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46DE7A">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color w:val="auto"/>
          <w:highlight w:val="none"/>
        </w:rPr>
        <w:t xml:space="preserve"> </w:t>
      </w:r>
      <w:r>
        <w:rPr>
          <w:rFonts w:ascii="宋体" w:hAnsi="宋体" w:eastAsia="宋体" w:cs="宋体"/>
          <w:b/>
          <w:color w:val="auto"/>
          <w:sz w:val="48"/>
          <w:highlight w:val="none"/>
        </w:rPr>
        <w:t> </w:t>
      </w:r>
    </w:p>
    <w:p w14:paraId="708EE5CF">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48"/>
          <w:highlight w:val="none"/>
        </w:rPr>
        <w:t> </w:t>
      </w:r>
    </w:p>
    <w:p w14:paraId="1B73E4C9">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48"/>
          <w:highlight w:val="none"/>
        </w:rPr>
        <w:t> </w:t>
      </w:r>
    </w:p>
    <w:p w14:paraId="6B4DC464">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eastAsia" w:eastAsia="宋体"/>
          <w:color w:val="auto"/>
          <w:highlight w:val="none"/>
          <w:lang w:eastAsia="zh-CN"/>
        </w:rPr>
      </w:pPr>
      <w:r>
        <w:rPr>
          <w:rFonts w:hint="eastAsia" w:ascii="宋体" w:hAnsi="宋体" w:eastAsia="宋体" w:cs="宋体"/>
          <w:b/>
          <w:color w:val="auto"/>
          <w:sz w:val="48"/>
          <w:highlight w:val="none"/>
          <w:lang w:eastAsia="zh-CN"/>
        </w:rPr>
        <w:t>南京市江宁医院老年综合楼灯床塔项目</w:t>
      </w:r>
    </w:p>
    <w:p w14:paraId="1CCAD3A4">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32"/>
          <w:highlight w:val="none"/>
        </w:rPr>
        <w:t> </w:t>
      </w:r>
    </w:p>
    <w:p w14:paraId="60ADEB1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281EE98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7E55FDE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招 标 文 件</w:t>
      </w:r>
    </w:p>
    <w:p w14:paraId="0ABF75C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62F5011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6CEB7B62">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lang w:val="en-US" w:eastAsia="zh-CN"/>
        </w:rPr>
      </w:pPr>
      <w:r>
        <w:rPr>
          <w:rFonts w:ascii="宋体" w:hAnsi="宋体" w:eastAsia="宋体" w:cs="宋体"/>
          <w:b/>
          <w:color w:val="auto"/>
          <w:sz w:val="36"/>
          <w:highlight w:val="none"/>
        </w:rPr>
        <w:t>项目编号：</w:t>
      </w:r>
      <w:r>
        <w:rPr>
          <w:rFonts w:hint="eastAsia" w:ascii="宋体" w:hAnsi="宋体" w:eastAsia="宋体" w:cs="宋体"/>
          <w:b/>
          <w:color w:val="auto"/>
          <w:sz w:val="36"/>
          <w:highlight w:val="none"/>
          <w:lang w:eastAsia="zh-CN"/>
        </w:rPr>
        <w:t>JSZC-320115-JCEC-G2026-0344</w:t>
      </w:r>
    </w:p>
    <w:p w14:paraId="095B147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r>
        <w:rPr>
          <w:rFonts w:hint="eastAsia"/>
          <w:b/>
          <w:color w:val="auto"/>
          <w:sz w:val="30"/>
          <w:szCs w:val="30"/>
          <w:highlight w:val="none"/>
        </w:rPr>
        <w:t>（</w:t>
      </w:r>
      <w:r>
        <w:rPr>
          <w:rFonts w:hint="eastAsia" w:ascii="宋体" w:hAnsi="宋体" w:cs="宋体"/>
          <w:b/>
          <w:bCs/>
          <w:color w:val="auto"/>
          <w:sz w:val="30"/>
          <w:szCs w:val="30"/>
          <w:highlight w:val="none"/>
        </w:rPr>
        <w:t>非专门</w:t>
      </w:r>
      <w:r>
        <w:rPr>
          <w:rFonts w:hint="eastAsia"/>
          <w:b/>
          <w:color w:val="auto"/>
          <w:sz w:val="30"/>
          <w:szCs w:val="30"/>
          <w:highlight w:val="none"/>
        </w:rPr>
        <w:t>面向中小企业）</w:t>
      </w:r>
    </w:p>
    <w:p w14:paraId="02C4CBAD">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color w:val="auto"/>
          <w:sz w:val="32"/>
          <w:highlight w:val="none"/>
        </w:rPr>
        <w:t>  </w:t>
      </w:r>
    </w:p>
    <w:p w14:paraId="74E46CA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02453FF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rPr>
      </w:pPr>
      <w:r>
        <w:rPr>
          <w:rFonts w:ascii="宋体" w:hAnsi="宋体" w:eastAsia="宋体" w:cs="宋体"/>
          <w:b/>
          <w:color w:val="auto"/>
          <w:sz w:val="36"/>
          <w:highlight w:val="none"/>
        </w:rPr>
        <w:t> </w:t>
      </w:r>
    </w:p>
    <w:p w14:paraId="5D2EF87D">
      <w:pPr>
        <w:pStyle w:val="35"/>
        <w:rPr>
          <w:rFonts w:ascii="宋体" w:hAnsi="宋体" w:eastAsia="宋体" w:cs="宋体"/>
          <w:b/>
          <w:color w:val="auto"/>
          <w:sz w:val="36"/>
          <w:highlight w:val="none"/>
        </w:rPr>
      </w:pPr>
    </w:p>
    <w:p w14:paraId="48C615C4">
      <w:pPr>
        <w:rPr>
          <w:rFonts w:ascii="宋体" w:hAnsi="宋体" w:eastAsia="宋体" w:cs="宋体"/>
          <w:b/>
          <w:color w:val="auto"/>
          <w:sz w:val="36"/>
          <w:highlight w:val="none"/>
        </w:rPr>
      </w:pPr>
    </w:p>
    <w:p w14:paraId="1602B6C2">
      <w:pPr>
        <w:pStyle w:val="35"/>
        <w:rPr>
          <w:rFonts w:ascii="宋体" w:hAnsi="宋体" w:eastAsia="宋体" w:cs="宋体"/>
          <w:b/>
          <w:color w:val="auto"/>
          <w:sz w:val="36"/>
          <w:highlight w:val="none"/>
        </w:rPr>
      </w:pPr>
    </w:p>
    <w:p w14:paraId="648C2AF9">
      <w:pPr>
        <w:rPr>
          <w:rFonts w:ascii="宋体" w:hAnsi="宋体" w:eastAsia="宋体" w:cs="宋体"/>
          <w:b/>
          <w:color w:val="auto"/>
          <w:sz w:val="36"/>
          <w:highlight w:val="none"/>
        </w:rPr>
      </w:pPr>
    </w:p>
    <w:p w14:paraId="219F83AD">
      <w:pPr>
        <w:pStyle w:val="35"/>
        <w:rPr>
          <w:color w:val="auto"/>
          <w:highlight w:val="none"/>
        </w:rPr>
      </w:pPr>
    </w:p>
    <w:p w14:paraId="28822D6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江苏省设备成套股份有限公司</w:t>
      </w:r>
    </w:p>
    <w:p w14:paraId="65D67C34">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eastAsia" w:eastAsia="宋体"/>
          <w:color w:val="auto"/>
          <w:highlight w:val="none"/>
          <w:lang w:eastAsia="zh-CN"/>
        </w:rPr>
      </w:pPr>
      <w:r>
        <w:rPr>
          <w:rFonts w:hint="eastAsia" w:ascii="宋体" w:hAnsi="宋体" w:eastAsia="宋体" w:cs="宋体"/>
          <w:b/>
          <w:color w:val="auto"/>
          <w:sz w:val="36"/>
          <w:highlight w:val="none"/>
          <w:lang w:eastAsia="zh-CN"/>
        </w:rPr>
        <w:t>2026年0</w:t>
      </w:r>
      <w:r>
        <w:rPr>
          <w:rFonts w:hint="eastAsia" w:ascii="宋体" w:hAnsi="宋体" w:eastAsia="宋体" w:cs="宋体"/>
          <w:b/>
          <w:color w:val="auto"/>
          <w:sz w:val="36"/>
          <w:highlight w:val="none"/>
          <w:lang w:val="en-US" w:eastAsia="zh-CN"/>
        </w:rPr>
        <w:t>9</w:t>
      </w:r>
      <w:r>
        <w:rPr>
          <w:rFonts w:hint="eastAsia" w:ascii="宋体" w:hAnsi="宋体" w:eastAsia="宋体" w:cs="宋体"/>
          <w:b/>
          <w:color w:val="auto"/>
          <w:sz w:val="36"/>
          <w:highlight w:val="none"/>
          <w:lang w:eastAsia="zh-CN"/>
        </w:rPr>
        <w:t>月</w:t>
      </w:r>
    </w:p>
    <w:p w14:paraId="2147DB53">
      <w:pPr>
        <w:pBdr>
          <w:top w:val="none" w:color="000000" w:sz="0" w:space="0"/>
          <w:left w:val="none" w:color="000000" w:sz="0" w:space="0"/>
          <w:bottom w:val="none" w:color="000000" w:sz="0" w:space="0"/>
          <w:right w:val="none" w:color="000000" w:sz="0" w:space="0"/>
        </w:pBdr>
        <w:spacing w:line="85" w:lineRule="atLeast"/>
        <w:rPr>
          <w:color w:val="auto"/>
          <w:highlight w:val="none"/>
        </w:rPr>
      </w:pPr>
      <w:r>
        <w:rPr>
          <w:color w:val="auto"/>
          <w:highlight w:val="none"/>
        </w:rPr>
        <w:br w:type="page" w:clear="all"/>
      </w:r>
    </w:p>
    <w:p w14:paraId="4025CACA">
      <w:pPr>
        <w:pBdr>
          <w:top w:val="none" w:color="000000" w:sz="0" w:space="0"/>
          <w:left w:val="none" w:color="000000" w:sz="0" w:space="0"/>
          <w:bottom w:val="none" w:color="000000" w:sz="0" w:space="0"/>
          <w:right w:val="none" w:color="000000" w:sz="0" w:space="0"/>
        </w:pBdr>
        <w:spacing w:before="240" w:after="240"/>
        <w:jc w:val="center"/>
        <w:rPr>
          <w:color w:val="auto"/>
          <w:highlight w:val="none"/>
        </w:rPr>
      </w:pPr>
      <w:r>
        <w:rPr>
          <w:rFonts w:ascii="宋体" w:hAnsi="宋体" w:eastAsia="宋体" w:cs="宋体"/>
          <w:b/>
          <w:color w:val="auto"/>
          <w:sz w:val="36"/>
          <w:highlight w:val="none"/>
        </w:rPr>
        <w:t>目录</w:t>
      </w:r>
    </w:p>
    <w:p w14:paraId="6487FA87">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sz w:val="28"/>
          <w:highlight w:val="none"/>
        </w:rPr>
        <w:t> </w:t>
      </w:r>
    </w:p>
    <w:p w14:paraId="60E32D1D">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"_Toc11866" \o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41"/>
          <w:rFonts w:ascii="宋体" w:hAnsi="宋体" w:eastAsia="宋体" w:cs="宋体"/>
          <w:color w:val="auto"/>
          <w:sz w:val="24"/>
          <w:highlight w:val="none"/>
        </w:rPr>
        <w:t>第一章</w:t>
      </w:r>
      <w:r>
        <w:rPr>
          <w:rStyle w:val="41"/>
          <w:rFonts w:ascii="宋体" w:hAnsi="宋体" w:eastAsia="宋体" w:cs="宋体"/>
          <w:color w:val="auto"/>
          <w:sz w:val="24"/>
          <w:highlight w:val="none"/>
          <w:u w:val="none"/>
        </w:rPr>
        <w:t xml:space="preserve"> </w:t>
      </w:r>
      <w:r>
        <w:rPr>
          <w:rStyle w:val="41"/>
          <w:rFonts w:ascii="宋体" w:hAnsi="宋体" w:eastAsia="宋体" w:cs="宋体"/>
          <w:color w:val="auto"/>
          <w:sz w:val="24"/>
          <w:highlight w:val="none"/>
        </w:rPr>
        <w:t>招标公告</w:t>
      </w:r>
      <w:r>
        <w:rPr>
          <w:rStyle w:val="41"/>
          <w:rFonts w:ascii="宋体" w:hAnsi="宋体" w:eastAsia="宋体" w:cs="宋体"/>
          <w:color w:val="auto"/>
          <w:sz w:val="24"/>
          <w:highlight w:val="none"/>
        </w:rPr>
        <w:fldChar w:fldCharType="end"/>
      </w:r>
    </w:p>
    <w:p w14:paraId="76DD88A9">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"_Toc7593" \o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41"/>
          <w:rFonts w:ascii="宋体" w:hAnsi="宋体" w:eastAsia="宋体" w:cs="宋体"/>
          <w:color w:val="auto"/>
          <w:sz w:val="24"/>
          <w:highlight w:val="none"/>
        </w:rPr>
        <w:t>第二章</w:t>
      </w:r>
      <w:r>
        <w:rPr>
          <w:rStyle w:val="41"/>
          <w:rFonts w:ascii="宋体" w:hAnsi="宋体" w:eastAsia="宋体" w:cs="宋体"/>
          <w:color w:val="auto"/>
          <w:sz w:val="24"/>
          <w:highlight w:val="none"/>
          <w:u w:val="none"/>
        </w:rPr>
        <w:t xml:space="preserve"> </w:t>
      </w:r>
      <w:r>
        <w:rPr>
          <w:rStyle w:val="41"/>
          <w:rFonts w:ascii="宋体" w:hAnsi="宋体" w:eastAsia="宋体" w:cs="宋体"/>
          <w:color w:val="auto"/>
          <w:sz w:val="24"/>
          <w:highlight w:val="none"/>
        </w:rPr>
        <w:t>投标人须知</w:t>
      </w:r>
      <w:r>
        <w:rPr>
          <w:rStyle w:val="41"/>
          <w:rFonts w:ascii="宋体" w:hAnsi="宋体" w:eastAsia="宋体" w:cs="宋体"/>
          <w:color w:val="auto"/>
          <w:sz w:val="24"/>
          <w:highlight w:val="none"/>
        </w:rPr>
        <w:fldChar w:fldCharType="end"/>
      </w:r>
    </w:p>
    <w:p w14:paraId="30063D6E">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"_Toc11112" \o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41"/>
          <w:rFonts w:ascii="宋体" w:hAnsi="宋体" w:eastAsia="宋体" w:cs="宋体"/>
          <w:color w:val="auto"/>
          <w:sz w:val="24"/>
          <w:highlight w:val="none"/>
        </w:rPr>
        <w:t>第三章</w:t>
      </w:r>
      <w:r>
        <w:rPr>
          <w:rStyle w:val="41"/>
          <w:rFonts w:ascii="宋体" w:hAnsi="宋体" w:eastAsia="宋体" w:cs="宋体"/>
          <w:color w:val="auto"/>
          <w:sz w:val="24"/>
          <w:highlight w:val="none"/>
          <w:u w:val="none"/>
        </w:rPr>
        <w:t xml:space="preserve"> </w:t>
      </w:r>
      <w:r>
        <w:rPr>
          <w:rStyle w:val="41"/>
          <w:rFonts w:ascii="宋体" w:hAnsi="宋体" w:eastAsia="宋体" w:cs="宋体"/>
          <w:color w:val="auto"/>
          <w:sz w:val="24"/>
          <w:highlight w:val="none"/>
        </w:rPr>
        <w:t>评标标准</w:t>
      </w:r>
      <w:r>
        <w:rPr>
          <w:rStyle w:val="41"/>
          <w:rFonts w:ascii="宋体" w:hAnsi="宋体" w:eastAsia="宋体" w:cs="宋体"/>
          <w:color w:val="auto"/>
          <w:sz w:val="24"/>
          <w:highlight w:val="none"/>
        </w:rPr>
        <w:fldChar w:fldCharType="end"/>
      </w:r>
    </w:p>
    <w:p w14:paraId="2FB6F138">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"_Toc23380" \o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41"/>
          <w:rFonts w:ascii="宋体" w:hAnsi="宋体" w:eastAsia="宋体" w:cs="宋体"/>
          <w:color w:val="auto"/>
          <w:sz w:val="24"/>
          <w:highlight w:val="none"/>
        </w:rPr>
        <w:t>第四章</w:t>
      </w:r>
      <w:r>
        <w:rPr>
          <w:rStyle w:val="41"/>
          <w:rFonts w:ascii="宋体" w:hAnsi="宋体" w:eastAsia="宋体" w:cs="宋体"/>
          <w:color w:val="auto"/>
          <w:sz w:val="24"/>
          <w:highlight w:val="none"/>
          <w:u w:val="none"/>
        </w:rPr>
        <w:t xml:space="preserve"> </w:t>
      </w:r>
      <w:r>
        <w:rPr>
          <w:rStyle w:val="41"/>
          <w:rFonts w:ascii="宋体" w:hAnsi="宋体" w:eastAsia="宋体" w:cs="宋体"/>
          <w:color w:val="auto"/>
          <w:sz w:val="24"/>
          <w:highlight w:val="none"/>
        </w:rPr>
        <w:t>采购需求</w:t>
      </w:r>
      <w:r>
        <w:rPr>
          <w:rStyle w:val="41"/>
          <w:rFonts w:ascii="宋体" w:hAnsi="宋体" w:eastAsia="宋体" w:cs="宋体"/>
          <w:color w:val="auto"/>
          <w:sz w:val="24"/>
          <w:highlight w:val="none"/>
        </w:rPr>
        <w:fldChar w:fldCharType="end"/>
      </w:r>
    </w:p>
    <w:p w14:paraId="4FFCAECB">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"_Toc15239" \o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41"/>
          <w:rFonts w:ascii="宋体" w:hAnsi="宋体" w:eastAsia="宋体" w:cs="宋体"/>
          <w:color w:val="auto"/>
          <w:sz w:val="24"/>
          <w:highlight w:val="none"/>
        </w:rPr>
        <w:t>第五章</w:t>
      </w:r>
      <w:r>
        <w:rPr>
          <w:rStyle w:val="41"/>
          <w:rFonts w:ascii="宋体" w:hAnsi="宋体" w:eastAsia="宋体" w:cs="宋体"/>
          <w:color w:val="auto"/>
          <w:sz w:val="24"/>
          <w:highlight w:val="none"/>
          <w:u w:val="none"/>
        </w:rPr>
        <w:t xml:space="preserve"> </w:t>
      </w:r>
      <w:r>
        <w:rPr>
          <w:rStyle w:val="41"/>
          <w:rFonts w:ascii="宋体" w:hAnsi="宋体" w:eastAsia="宋体" w:cs="宋体"/>
          <w:color w:val="auto"/>
          <w:sz w:val="24"/>
          <w:highlight w:val="none"/>
        </w:rPr>
        <w:t>合同主要条款及格式</w:t>
      </w:r>
      <w:r>
        <w:rPr>
          <w:rStyle w:val="41"/>
          <w:rFonts w:ascii="宋体" w:hAnsi="宋体" w:eastAsia="宋体" w:cs="宋体"/>
          <w:color w:val="auto"/>
          <w:sz w:val="24"/>
          <w:highlight w:val="none"/>
        </w:rPr>
        <w:fldChar w:fldCharType="end"/>
      </w:r>
    </w:p>
    <w:p w14:paraId="7CD1B3E2">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"_Toc6328" \o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41"/>
          <w:rFonts w:ascii="宋体" w:hAnsi="宋体" w:eastAsia="宋体" w:cs="宋体"/>
          <w:color w:val="auto"/>
          <w:sz w:val="24"/>
          <w:highlight w:val="none"/>
        </w:rPr>
        <w:t>第六章</w:t>
      </w:r>
      <w:r>
        <w:rPr>
          <w:rStyle w:val="41"/>
          <w:rFonts w:ascii="宋体" w:hAnsi="宋体" w:eastAsia="宋体" w:cs="宋体"/>
          <w:color w:val="auto"/>
          <w:sz w:val="24"/>
          <w:highlight w:val="none"/>
          <w:u w:val="none"/>
        </w:rPr>
        <w:t xml:space="preserve"> </w:t>
      </w:r>
      <w:r>
        <w:rPr>
          <w:rStyle w:val="41"/>
          <w:rFonts w:ascii="宋体" w:hAnsi="宋体" w:eastAsia="宋体" w:cs="宋体"/>
          <w:color w:val="auto"/>
          <w:sz w:val="24"/>
          <w:highlight w:val="none"/>
        </w:rPr>
        <w:t>投标文件格式及附件</w:t>
      </w:r>
      <w:r>
        <w:rPr>
          <w:rStyle w:val="41"/>
          <w:rFonts w:ascii="宋体" w:hAnsi="宋体" w:eastAsia="宋体" w:cs="宋体"/>
          <w:color w:val="auto"/>
          <w:sz w:val="24"/>
          <w:highlight w:val="none"/>
        </w:rPr>
        <w:fldChar w:fldCharType="end"/>
      </w:r>
    </w:p>
    <w:p w14:paraId="13A34B51">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rFonts w:ascii="宋体" w:hAnsi="宋体" w:eastAsia="宋体" w:cs="宋体"/>
          <w:color w:val="auto"/>
          <w:sz w:val="28"/>
          <w:highlight w:val="none"/>
        </w:rPr>
        <w:t> </w:t>
      </w:r>
    </w:p>
    <w:p w14:paraId="1F66C247">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36"/>
          <w:highlight w:val="none"/>
        </w:rPr>
        <w:t> </w:t>
      </w:r>
    </w:p>
    <w:p w14:paraId="10329903">
      <w:pPr>
        <w:pBdr>
          <w:top w:val="none" w:color="000000" w:sz="0" w:space="0"/>
          <w:left w:val="none" w:color="000000" w:sz="0" w:space="0"/>
          <w:bottom w:val="none" w:color="000000" w:sz="0" w:space="0"/>
          <w:right w:val="none" w:color="000000" w:sz="0" w:space="0"/>
        </w:pBdr>
        <w:spacing w:line="85" w:lineRule="atLeast"/>
        <w:rPr>
          <w:color w:val="auto"/>
          <w:highlight w:val="none"/>
        </w:rPr>
      </w:pPr>
    </w:p>
    <w:p w14:paraId="572DBF9B">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ascii="宋体" w:hAnsi="宋体" w:eastAsia="宋体" w:cs="宋体"/>
          <w:b/>
          <w:color w:val="auto"/>
          <w:sz w:val="32"/>
          <w:highlight w:val="none"/>
        </w:rPr>
        <w:sectPr>
          <w:pgSz w:w="11906" w:h="16838"/>
          <w:pgMar w:top="1134" w:right="850" w:bottom="1134" w:left="850" w:header="709" w:footer="709" w:gutter="0"/>
          <w:cols w:space="0" w:num="1"/>
          <w:rtlGutter w:val="0"/>
          <w:docGrid w:linePitch="360" w:charSpace="0"/>
        </w:sectPr>
      </w:pPr>
    </w:p>
    <w:p w14:paraId="1D4DFAB8">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一</w:t>
      </w:r>
      <w:r>
        <w:rPr>
          <w:rFonts w:ascii="宋体" w:hAnsi="宋体" w:eastAsia="宋体" w:cs="宋体"/>
          <w:b/>
          <w:color w:val="auto"/>
          <w:sz w:val="32"/>
          <w:highlight w:val="none"/>
        </w:rPr>
        <w:t>章 招标公告</w:t>
      </w:r>
    </w:p>
    <w:p w14:paraId="5F32A06F">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项目概况</w:t>
      </w:r>
    </w:p>
    <w:p w14:paraId="7BB656A2">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hint="eastAsia" w:ascii="宋体" w:hAnsi="宋体" w:eastAsia="宋体" w:cs="宋体"/>
          <w:color w:val="auto"/>
          <w:spacing w:val="8"/>
          <w:highlight w:val="none"/>
          <w:u w:val="single"/>
          <w:lang w:eastAsia="zh-CN"/>
        </w:rPr>
        <w:t>南京市江宁医院老年综合楼灯床塔项目</w:t>
      </w:r>
      <w:r>
        <w:rPr>
          <w:rFonts w:ascii="宋体" w:hAnsi="宋体" w:eastAsia="宋体" w:cs="宋体"/>
          <w:color w:val="auto"/>
          <w:spacing w:val="8"/>
          <w:highlight w:val="none"/>
        </w:rPr>
        <w:t>的潜在投标人应在</w:t>
      </w:r>
      <w:r>
        <w:rPr>
          <w:rFonts w:ascii="宋体" w:hAnsi="宋体" w:eastAsia="宋体" w:cs="宋体"/>
          <w:color w:val="auto"/>
          <w:highlight w:val="none"/>
          <w:u w:val="single"/>
        </w:rPr>
        <w:t>江苏政府采购网</w:t>
      </w:r>
      <w:r>
        <w:rPr>
          <w:rFonts w:ascii="宋体" w:hAnsi="宋体" w:eastAsia="宋体" w:cs="宋体"/>
          <w:color w:val="auto"/>
          <w:spacing w:val="8"/>
          <w:highlight w:val="none"/>
        </w:rPr>
        <w:t>获取招标文件，并于</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9</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30</w:t>
      </w:r>
      <w:r>
        <w:rPr>
          <w:rFonts w:ascii="宋体" w:hAnsi="宋体" w:eastAsia="宋体" w:cs="宋体"/>
          <w:color w:val="auto"/>
          <w:highlight w:val="none"/>
          <w:u w:val="single"/>
        </w:rPr>
        <w:t>分</w:t>
      </w:r>
      <w:r>
        <w:rPr>
          <w:rFonts w:ascii="宋体" w:hAnsi="宋体" w:eastAsia="宋体" w:cs="宋体"/>
          <w:color w:val="auto"/>
          <w:spacing w:val="8"/>
          <w:highlight w:val="none"/>
        </w:rPr>
        <w:t>（北京时间）前递交投标文件。</w:t>
      </w:r>
    </w:p>
    <w:p w14:paraId="777EC407">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 </w:t>
      </w:r>
    </w:p>
    <w:p w14:paraId="204E33A0">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spacing w:val="8"/>
          <w:sz w:val="24"/>
          <w:highlight w:val="none"/>
        </w:rPr>
        <w:t> </w:t>
      </w:r>
      <w:r>
        <w:rPr>
          <w:rFonts w:ascii="宋体" w:hAnsi="宋体" w:eastAsia="宋体" w:cs="宋体"/>
          <w:b/>
          <w:color w:val="auto"/>
          <w:spacing w:val="8"/>
          <w:sz w:val="24"/>
          <w:highlight w:val="none"/>
        </w:rPr>
        <w:t>一、项目基本情况</w:t>
      </w:r>
    </w:p>
    <w:p w14:paraId="0C10DBD7">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1.1项目编号：</w:t>
      </w:r>
      <w:r>
        <w:rPr>
          <w:rFonts w:hint="eastAsia" w:ascii="宋体" w:hAnsi="宋体" w:eastAsia="宋体" w:cs="宋体"/>
          <w:color w:val="auto"/>
          <w:spacing w:val="8"/>
          <w:highlight w:val="none"/>
          <w:lang w:eastAsia="zh-CN"/>
        </w:rPr>
        <w:t>JSZC-320115-JCEC-G2026-0344</w:t>
      </w:r>
      <w:r>
        <w:rPr>
          <w:rFonts w:ascii="宋体" w:hAnsi="宋体" w:eastAsia="宋体" w:cs="宋体"/>
          <w:color w:val="auto"/>
          <w:spacing w:val="8"/>
          <w:highlight w:val="none"/>
        </w:rPr>
        <w:t>  </w:t>
      </w:r>
    </w:p>
    <w:p w14:paraId="60CC750D">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eastAsia="zh-CN"/>
        </w:rPr>
      </w:pPr>
      <w:r>
        <w:rPr>
          <w:rFonts w:ascii="宋体" w:hAnsi="宋体" w:eastAsia="宋体" w:cs="宋体"/>
          <w:color w:val="auto"/>
          <w:spacing w:val="8"/>
          <w:highlight w:val="none"/>
        </w:rPr>
        <w:t>1.2项目名称：</w:t>
      </w:r>
      <w:r>
        <w:rPr>
          <w:rFonts w:hint="eastAsia" w:ascii="宋体" w:hAnsi="宋体" w:eastAsia="宋体" w:cs="宋体"/>
          <w:color w:val="auto"/>
          <w:spacing w:val="8"/>
          <w:highlight w:val="none"/>
          <w:lang w:eastAsia="zh-CN"/>
        </w:rPr>
        <w:t>南京市江宁医院老年综合楼灯床塔项目</w:t>
      </w:r>
    </w:p>
    <w:p w14:paraId="3CBEC57C">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val="en-US" w:eastAsia="zh-CN"/>
        </w:rPr>
      </w:pPr>
      <w:r>
        <w:rPr>
          <w:rFonts w:ascii="宋体" w:hAnsi="宋体" w:eastAsia="宋体" w:cs="宋体"/>
          <w:color w:val="auto"/>
          <w:spacing w:val="8"/>
          <w:highlight w:val="none"/>
        </w:rPr>
        <w:t>1.3预算金额：</w:t>
      </w:r>
      <w:r>
        <w:rPr>
          <w:rFonts w:hint="eastAsia" w:ascii="宋体" w:hAnsi="宋体" w:eastAsia="宋体" w:cs="宋体"/>
          <w:color w:val="auto"/>
          <w:spacing w:val="8"/>
          <w:highlight w:val="none"/>
          <w:lang w:val="en-US" w:eastAsia="zh-CN"/>
        </w:rPr>
        <w:t>396万元。</w:t>
      </w:r>
    </w:p>
    <w:p w14:paraId="51E14E7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eastAsia="zh-CN"/>
        </w:rPr>
      </w:pPr>
      <w:r>
        <w:rPr>
          <w:rFonts w:ascii="宋体" w:hAnsi="宋体" w:eastAsia="宋体" w:cs="宋体"/>
          <w:color w:val="auto"/>
          <w:spacing w:val="8"/>
          <w:highlight w:val="none"/>
        </w:rPr>
        <w:t>1.4最高限价</w:t>
      </w:r>
      <w:r>
        <w:rPr>
          <w:rFonts w:ascii="宋体" w:hAnsi="宋体" w:eastAsia="宋体" w:cs="宋体"/>
          <w:color w:val="auto"/>
          <w:spacing w:val="8"/>
          <w:highlight w:val="none"/>
        </w:rPr>
        <w:t>：</w:t>
      </w:r>
      <w:r>
        <w:rPr>
          <w:rFonts w:hint="eastAsia" w:ascii="宋体" w:hAnsi="宋体" w:eastAsia="宋体" w:cs="宋体"/>
          <w:color w:val="auto"/>
          <w:spacing w:val="8"/>
          <w:highlight w:val="none"/>
          <w:lang w:val="en-US" w:eastAsia="zh-CN"/>
        </w:rPr>
        <w:t>396万元。</w:t>
      </w:r>
    </w:p>
    <w:p w14:paraId="2E24C51B">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1.5采购需求：</w:t>
      </w:r>
      <w:r>
        <w:rPr>
          <w:rFonts w:hint="eastAsia" w:ascii="宋体" w:hAnsi="宋体" w:eastAsia="宋体" w:cs="宋体"/>
          <w:color w:val="auto"/>
          <w:spacing w:val="8"/>
          <w:highlight w:val="none"/>
          <w:lang w:eastAsia="zh-CN"/>
        </w:rPr>
        <w:t>南京市江宁医院老年综合楼灯床塔项目</w:t>
      </w:r>
      <w:r>
        <w:rPr>
          <w:rFonts w:ascii="宋体" w:hAnsi="宋体" w:eastAsia="宋体" w:cs="宋体"/>
          <w:color w:val="auto"/>
          <w:spacing w:val="8"/>
          <w:highlight w:val="none"/>
        </w:rPr>
        <w:t>，具体要求见</w:t>
      </w:r>
      <w:r>
        <w:rPr>
          <w:rFonts w:hint="eastAsia" w:ascii="宋体" w:hAnsi="宋体" w:eastAsia="宋体" w:cs="宋体"/>
          <w:color w:val="auto"/>
          <w:spacing w:val="8"/>
          <w:highlight w:val="none"/>
          <w:lang w:eastAsia="zh-CN"/>
        </w:rPr>
        <w:t>本</w:t>
      </w:r>
      <w:r>
        <w:rPr>
          <w:rFonts w:ascii="宋体" w:hAnsi="宋体" w:eastAsia="宋体" w:cs="宋体"/>
          <w:color w:val="auto"/>
          <w:spacing w:val="8"/>
          <w:highlight w:val="none"/>
        </w:rPr>
        <w:t>招标文件</w:t>
      </w:r>
      <w:r>
        <w:rPr>
          <w:rFonts w:hint="eastAsia" w:ascii="宋体" w:hAnsi="宋体" w:eastAsia="宋体" w:cs="宋体"/>
          <w:color w:val="auto"/>
          <w:spacing w:val="8"/>
          <w:highlight w:val="none"/>
          <w:lang w:eastAsia="zh-CN"/>
        </w:rPr>
        <w:t>第四章</w:t>
      </w:r>
      <w:r>
        <w:rPr>
          <w:rFonts w:ascii="宋体" w:hAnsi="宋体" w:eastAsia="宋体" w:cs="宋体"/>
          <w:color w:val="auto"/>
          <w:spacing w:val="8"/>
          <w:highlight w:val="none"/>
        </w:rPr>
        <w:t>。</w:t>
      </w:r>
    </w:p>
    <w:p w14:paraId="12819171">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1.6合同履行期限：</w:t>
      </w:r>
      <w:r>
        <w:rPr>
          <w:rFonts w:hint="eastAsia" w:ascii="宋体" w:hAnsi="宋体" w:eastAsia="宋体" w:cs="宋体"/>
          <w:color w:val="auto"/>
          <w:spacing w:val="8"/>
          <w:highlight w:val="none"/>
        </w:rPr>
        <w:t>自合同签订后</w:t>
      </w:r>
      <w:r>
        <w:rPr>
          <w:rFonts w:hint="eastAsia" w:ascii="宋体" w:hAnsi="宋体" w:eastAsia="宋体" w:cs="宋体"/>
          <w:color w:val="auto"/>
          <w:spacing w:val="8"/>
          <w:highlight w:val="none"/>
          <w:lang w:val="en-US" w:eastAsia="zh-CN"/>
        </w:rPr>
        <w:t>30</w:t>
      </w:r>
      <w:r>
        <w:rPr>
          <w:rFonts w:hint="eastAsia" w:ascii="宋体" w:hAnsi="宋体" w:eastAsia="宋体" w:cs="宋体"/>
          <w:color w:val="auto"/>
          <w:spacing w:val="8"/>
          <w:highlight w:val="none"/>
        </w:rPr>
        <w:t>日内设备供货并完成安装调试交付使用</w:t>
      </w:r>
      <w:r>
        <w:rPr>
          <w:rFonts w:ascii="宋体" w:hAnsi="宋体" w:eastAsia="宋体" w:cs="宋体"/>
          <w:color w:val="auto"/>
          <w:spacing w:val="8"/>
          <w:highlight w:val="none"/>
        </w:rPr>
        <w:t>。</w:t>
      </w:r>
    </w:p>
    <w:p w14:paraId="4FEEFD61">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1.7行业划分：工业</w:t>
      </w:r>
    </w:p>
    <w:p w14:paraId="17723A3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1.8本项目（非专门）面向中小企业（或监狱企业或残疾人福利性单位）采购。</w:t>
      </w:r>
    </w:p>
    <w:p w14:paraId="0557AD4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val="en-US" w:eastAsia="zh-CN"/>
        </w:rPr>
        <w:t>1.9</w:t>
      </w:r>
      <w:r>
        <w:rPr>
          <w:rFonts w:hint="eastAsia" w:ascii="宋体" w:hAnsi="宋体" w:eastAsia="宋体" w:cs="宋体"/>
          <w:color w:val="auto"/>
          <w:spacing w:val="8"/>
          <w:highlight w:val="none"/>
        </w:rPr>
        <w:t>本项目不接受进口产品投标。</w:t>
      </w:r>
    </w:p>
    <w:p w14:paraId="0654283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1.10</w:t>
      </w:r>
      <w:r>
        <w:rPr>
          <w:rFonts w:hint="eastAsia" w:ascii="宋体" w:hAnsi="宋体" w:eastAsia="宋体" w:cs="宋体"/>
          <w:color w:val="auto"/>
          <w:spacing w:val="8"/>
          <w:highlight w:val="none"/>
        </w:rPr>
        <w:t>本项目不接受联合体投标。</w:t>
      </w:r>
    </w:p>
    <w:p w14:paraId="244BC13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sz w:val="24"/>
          <w:highlight w:val="none"/>
        </w:rPr>
        <w:t>二、申请人的资格要求</w:t>
      </w:r>
    </w:p>
    <w:p w14:paraId="0F522B2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2.1满足《中华人民共和国政府采购法》第二十二条规定；</w:t>
      </w:r>
    </w:p>
    <w:p w14:paraId="48461C1A">
      <w:pPr>
        <w:numPr>
          <w:ilvl w:val="0"/>
          <w:numId w:val="1"/>
        </w:num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符合《中华人民共和国政府采购法》第二十二条规定，提供《南京市政府采购供应商信用记录表暨信用承诺书》。</w:t>
      </w:r>
    </w:p>
    <w:p w14:paraId="1AB5D465">
      <w:pPr>
        <w:numPr>
          <w:ilvl w:val="0"/>
          <w:numId w:val="0"/>
        </w:numPr>
        <w:pBdr>
          <w:top w:val="none" w:color="000000" w:sz="0" w:space="0"/>
          <w:left w:val="none" w:color="000000" w:sz="0" w:space="0"/>
          <w:bottom w:val="none" w:color="000000" w:sz="0" w:space="0"/>
          <w:right w:val="none" w:color="000000" w:sz="0" w:space="0"/>
        </w:pBdr>
        <w:spacing w:line="460" w:lineRule="atLeast"/>
        <w:ind w:firstLine="454" w:firstLineChars="200"/>
        <w:jc w:val="both"/>
        <w:rPr>
          <w:rFonts w:hint="eastAsia"/>
          <w:color w:val="auto"/>
          <w:highlight w:val="none"/>
        </w:rPr>
      </w:pPr>
      <w:r>
        <w:rPr>
          <w:rFonts w:ascii="宋体" w:hAnsi="宋体" w:eastAsia="宋体" w:cs="宋体"/>
          <w:b/>
          <w:color w:val="auto"/>
          <w:spacing w:val="8"/>
          <w:highlight w:val="none"/>
        </w:rPr>
        <w:t>2.2落实政府采购政策需满足的资格要求：</w:t>
      </w:r>
      <w:r>
        <w:rPr>
          <w:rFonts w:hint="eastAsia"/>
          <w:color w:val="auto"/>
          <w:highlight w:val="none"/>
        </w:rPr>
        <w:t>(如属于专门面向中小企业采购的项目，供应商应为中小微企业、监狱企业、残疾人福利性单位)本项目按照采用以下第(4)种方式落实政府采购促进中小企业发展的要求:</w:t>
      </w:r>
    </w:p>
    <w:p w14:paraId="65022CC9">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(1)本项目整体专门面向中小企业采购服务。</w:t>
      </w:r>
    </w:p>
    <w:p w14:paraId="6EBFDE9C">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(2)本项目整体专门面向小微企业采购服务。</w:t>
      </w:r>
    </w:p>
    <w:p w14:paraId="7CDDF43A">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(3)本项目通过以下第()种方式预留部分采购份额采购中小企业服务:</w:t>
      </w:r>
    </w:p>
    <w:p w14:paraId="14F407C2">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1本项目要求供应商以联合体形式参加，中小企业合同金额应当达到的比例为 %。</w:t>
      </w:r>
    </w:p>
    <w:p w14:paraId="17238FF0">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2本项目要求供应商进行合同分包，中小企业合同金额应当达到的比例为 %。</w:t>
      </w:r>
    </w:p>
    <w:p w14:paraId="1981BAB9">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(4)本项目为非预留份额的采购项目或采购包，执行价格扣除优惠政策，具体详见评标办法与标准。</w:t>
      </w:r>
    </w:p>
    <w:p w14:paraId="7E854D0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2.3</w:t>
      </w:r>
      <w:r>
        <w:rPr>
          <w:rFonts w:ascii="宋体" w:hAnsi="宋体" w:eastAsia="宋体" w:cs="宋体"/>
          <w:b/>
          <w:color w:val="auto"/>
          <w:highlight w:val="none"/>
        </w:rPr>
        <w:t>采购人根据采购项目的特殊要求规定的特定条件，并提供符合特殊要求的证明材料或者情况说明：</w:t>
      </w:r>
    </w:p>
    <w:p w14:paraId="47DF29F0">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(1)投标产品如果属于医疗器械注册范畴的，</w:t>
      </w:r>
      <w:r>
        <w:rPr>
          <w:rFonts w:hint="eastAsia" w:ascii="宋体" w:hAnsi="宋体" w:eastAsia="宋体" w:cs="宋体"/>
          <w:color w:val="auto"/>
          <w:highlight w:val="none"/>
          <w:lang w:val="en-US" w:eastAsia="zh-CN"/>
        </w:rPr>
        <w:t>须</w:t>
      </w:r>
      <w:r>
        <w:rPr>
          <w:rFonts w:hint="eastAsia" w:ascii="宋体" w:hAnsi="宋体" w:eastAsia="宋体" w:cs="宋体"/>
          <w:color w:val="auto"/>
          <w:highlight w:val="none"/>
        </w:rPr>
        <w:t>具有《医疗器械注册证》或者《医疗器械备案凭证》(原件扫描加盖电子公章);</w:t>
      </w:r>
    </w:p>
    <w:p w14:paraId="5F06B16E">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(2)若投标供应商为代理商，须具有有效的《医疗器械经营许可证》或《医疗器械经营备案凭证》(原件扫描加盖电子公章);</w:t>
      </w:r>
    </w:p>
    <w:p w14:paraId="3CCB14B3">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hint="eastAsia" w:ascii="宋体" w:hAnsi="宋体" w:eastAsia="宋体" w:cs="宋体"/>
          <w:color w:val="auto"/>
          <w:highlight w:val="none"/>
        </w:rPr>
        <w:t>(3)若投标供应商为生产商，须具有有效的《医疗器械生产许可证》或《生产备案凭证》(如有医疗器械生产产品登记表的须一并提供)(原件扫描加盖电子公章)。</w:t>
      </w:r>
    </w:p>
    <w:p w14:paraId="454D7C95">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ascii="宋体" w:hAnsi="宋体" w:eastAsia="宋体" w:cs="宋体"/>
          <w:color w:val="auto"/>
          <w:highlight w:val="none"/>
        </w:rPr>
        <w:t>拒绝下述供应商参加本次招标活动：</w:t>
      </w:r>
    </w:p>
    <w:p w14:paraId="2E2B59F8">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（1）单位负责人为同一人或者存在直接控股、管理关系的不同供应商，不得参加同一合同项下的政府采购活动。</w:t>
      </w:r>
    </w:p>
    <w:p w14:paraId="63038659">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（2）为采购项目提供整体设计、规范编制或者项目管理、监理、检测等服务的供应商，不得参加本项目的采购活动。</w:t>
      </w:r>
    </w:p>
    <w:p w14:paraId="5317C126">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失信主体</w:t>
      </w:r>
      <w:r>
        <w:rPr>
          <w:rFonts w:ascii="宋体" w:hAnsi="宋体" w:eastAsia="宋体" w:cs="宋体"/>
          <w:color w:val="auto"/>
          <w:highlight w:val="none"/>
        </w:rPr>
        <w:t>名单、政府采购严重违法失信行为记录名单。</w:t>
      </w:r>
    </w:p>
    <w:p w14:paraId="51BE7543">
      <w:pPr>
        <w:pBdr>
          <w:top w:val="none" w:color="000000" w:sz="0" w:space="0"/>
          <w:left w:val="none" w:color="000000" w:sz="0" w:space="0"/>
          <w:bottom w:val="none" w:color="000000" w:sz="0" w:space="0"/>
          <w:right w:val="none" w:color="000000" w:sz="0" w:space="0"/>
        </w:pBdr>
        <w:spacing w:line="460" w:lineRule="atLeast"/>
        <w:ind w:firstLine="420"/>
        <w:jc w:val="both"/>
        <w:rPr>
          <w:color w:val="auto"/>
          <w:highlight w:val="none"/>
        </w:rPr>
      </w:pPr>
      <w:r>
        <w:rPr>
          <w:rFonts w:ascii="宋体" w:hAnsi="宋体" w:eastAsia="宋体" w:cs="宋体"/>
          <w:b/>
          <w:color w:val="auto"/>
          <w:spacing w:val="8"/>
          <w:sz w:val="24"/>
          <w:highlight w:val="none"/>
        </w:rPr>
        <w:t>三、获取招标文件</w:t>
      </w:r>
    </w:p>
    <w:p w14:paraId="075693AA">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3.1时间：自</w:t>
      </w:r>
      <w:r>
        <w:rPr>
          <w:rFonts w:hint="eastAsia" w:ascii="宋体" w:hAnsi="宋体" w:eastAsia="宋体" w:cs="宋体"/>
          <w:color w:val="auto"/>
          <w:spacing w:val="8"/>
          <w:highlight w:val="none"/>
          <w:lang w:val="en-US" w:eastAsia="zh-CN"/>
        </w:rPr>
        <w:t>招标文件公告发布之日起5个工作日</w:t>
      </w:r>
    </w:p>
    <w:p w14:paraId="53BA1419">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3.2地点：</w:t>
      </w:r>
      <w:r>
        <w:rPr>
          <w:rFonts w:hint="eastAsia" w:ascii="宋体" w:hAnsi="宋体" w:eastAsia="宋体" w:cs="宋体"/>
          <w:color w:val="auto"/>
          <w:spacing w:val="8"/>
          <w:highlight w:val="none"/>
        </w:rPr>
        <w:t>在“江苏政府采购网”免费下载</w:t>
      </w:r>
    </w:p>
    <w:p w14:paraId="23EB65EF">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3.3方式：本项目采用网上注册登记方式免费获取</w:t>
      </w:r>
    </w:p>
    <w:p w14:paraId="15216490">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四、提交投标文件截止时间、开标时间和地点</w:t>
      </w:r>
    </w:p>
    <w:p w14:paraId="04D95A95">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4.1 </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9</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30</w:t>
      </w:r>
      <w:r>
        <w:rPr>
          <w:rFonts w:ascii="宋体" w:hAnsi="宋体" w:eastAsia="宋体" w:cs="宋体"/>
          <w:color w:val="auto"/>
          <w:highlight w:val="none"/>
          <w:u w:val="single"/>
        </w:rPr>
        <w:t>分</w:t>
      </w:r>
      <w:r>
        <w:rPr>
          <w:rFonts w:ascii="宋体" w:hAnsi="宋体" w:eastAsia="宋体" w:cs="宋体"/>
          <w:color w:val="auto"/>
          <w:spacing w:val="8"/>
          <w:highlight w:val="none"/>
        </w:rPr>
        <w:t>（北京时间）</w:t>
      </w:r>
    </w:p>
    <w:p w14:paraId="72135C7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41"/>
          <w:rFonts w:ascii="宋体" w:hAnsi="宋体" w:eastAsia="宋体" w:cs="宋体"/>
          <w:color w:val="auto"/>
          <w:spacing w:val="8"/>
          <w:highlight w:val="none"/>
        </w:rPr>
        <w:t>http://jszfcg.jsczt.cn/）</w:t>
      </w:r>
      <w:r>
        <w:rPr>
          <w:rStyle w:val="41"/>
          <w:rFonts w:ascii="宋体" w:hAnsi="宋体" w:eastAsia="宋体" w:cs="宋体"/>
          <w:color w:val="auto"/>
          <w:spacing w:val="8"/>
          <w:highlight w:val="none"/>
        </w:rPr>
        <w:fldChar w:fldCharType="end"/>
      </w:r>
    </w:p>
    <w:p w14:paraId="756ED5D5">
      <w:pPr>
        <w:pBdr>
          <w:top w:val="none" w:color="000000" w:sz="0" w:space="0"/>
          <w:left w:val="none" w:color="000000" w:sz="0" w:space="0"/>
          <w:bottom w:val="none" w:color="000000" w:sz="0" w:space="0"/>
          <w:right w:val="none" w:color="000000" w:sz="0" w:space="0"/>
        </w:pBdr>
        <w:spacing w:line="460" w:lineRule="atLeast"/>
        <w:ind w:firstLine="370"/>
        <w:jc w:val="both"/>
        <w:rPr>
          <w:color w:val="auto"/>
          <w:highlight w:val="none"/>
        </w:rPr>
      </w:pPr>
      <w:r>
        <w:rPr>
          <w:rFonts w:ascii="宋体" w:hAnsi="宋体" w:eastAsia="宋体" w:cs="宋体"/>
          <w:color w:val="auto"/>
          <w:spacing w:val="8"/>
          <w:highlight w:val="none"/>
        </w:rPr>
        <w:t>4.3开标地点：“苏采云”开标大厅 </w:t>
      </w:r>
    </w:p>
    <w:p w14:paraId="0407A910">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五、公告期限</w:t>
      </w:r>
    </w:p>
    <w:p w14:paraId="2634421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自本公告发布之日起5个工作日。</w:t>
      </w:r>
    </w:p>
    <w:p w14:paraId="14D51FC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42A5B423">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六、其他补充事宜</w:t>
      </w:r>
    </w:p>
    <w:p w14:paraId="47ACF37E">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6.1本项目在 南京公共采购信息网、江苏政府采购网、中国政府采购网 网站发布公告。</w:t>
      </w:r>
    </w:p>
    <w:p w14:paraId="2812D7F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\o "http://jszfcg.jsczt.cn/%EF%BC%89%E5%8F%82%E4%B8%8E%E6%94%BF%E5%BA%9C%E9%87%87%E8%B4%AD%E9%A1%B9%E7%9B%AE%EF%BC%8C%E9%9C%80%E8%A6%81%E5%8A%9E%E7%90%86%E6%B1%9F%E8%8B%8F%E7%9C%81%E6%94%BF%E5%BA%9C%E9%87%87%E8%B4%AD%E6%95%B0%E5%AD%97%E8%AF%81%E4%B9%A6%E5%8F%8A%E7"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41"/>
          <w:rFonts w:ascii="宋体" w:hAnsi="宋体" w:eastAsia="宋体" w:cs="宋体"/>
          <w:color w:val="auto"/>
          <w:highlight w:val="none"/>
        </w:rPr>
        <w:t>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41"/>
          <w:rFonts w:ascii="宋体" w:hAnsi="宋体" w:eastAsia="宋体" w:cs="宋体"/>
          <w:color w:val="auto"/>
          <w:highlight w:val="none"/>
        </w:rPr>
        <w:fldChar w:fldCharType="end"/>
      </w:r>
    </w:p>
    <w:p w14:paraId="2823812D">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left"/>
        <w:rPr>
          <w:color w:val="auto"/>
          <w:highlight w:val="none"/>
        </w:rPr>
      </w:pPr>
      <w:r>
        <w:rPr>
          <w:rFonts w:ascii="宋体" w:hAnsi="宋体" w:eastAsia="宋体" w:cs="宋体"/>
          <w:color w:val="auto"/>
          <w:highlight w:val="none"/>
        </w:rPr>
        <w:t>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41"/>
          <w:rFonts w:ascii="宋体" w:hAnsi="宋体" w:eastAsia="宋体" w:cs="宋体"/>
          <w:color w:val="auto"/>
          <w:highlight w:val="none"/>
        </w:rPr>
        <w:t>http://www.ccgp-jiangsu.gov.cn/jiangsu/zlxz/ee/ee3a4bc5a3454aa2b0d9312230633ce9.html</w:t>
      </w:r>
      <w:r>
        <w:rPr>
          <w:rStyle w:val="41"/>
          <w:rFonts w:ascii="宋体" w:hAnsi="宋体" w:eastAsia="宋体" w:cs="宋体"/>
          <w:color w:val="auto"/>
          <w:highlight w:val="none"/>
        </w:rPr>
        <w:fldChar w:fldCharType="end"/>
      </w:r>
    </w:p>
    <w:p w14:paraId="7C0DFD7E">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首次登录“苏采云”系统的新用户，登录网址后，点击“用户注册”--“新CA办理指南”--获取CA后绑定、登录系统--采购项目参与--下载采购文件（文件后缀名为“.kedt”）。</w:t>
      </w:r>
    </w:p>
    <w:p w14:paraId="58B7AE50">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“苏采云”南京地区客服热线025-83633744、025-83633743。</w:t>
      </w:r>
    </w:p>
    <w:p w14:paraId="386770CD">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有关本次招标的事项若存在变动或修改，请及时关注“江苏政府采购网”（www.ccgp-jiangsu.gov.cn）更正公告。</w:t>
      </w:r>
    </w:p>
    <w:p w14:paraId="259D1A12">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6.3勘察现场：无</w:t>
      </w:r>
    </w:p>
    <w:p w14:paraId="0E10F646">
      <w:pPr>
        <w:pStyle w:val="33"/>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hint="eastAsia" w:asciiTheme="minorEastAsia" w:hAnsiTheme="minorEastAsia"/>
          <w:color w:val="auto"/>
          <w:sz w:val="21"/>
          <w:szCs w:val="21"/>
          <w:highlight w:val="none"/>
          <w:shd w:val="clear" w:color="auto" w:fill="FFFFFF"/>
          <w:lang w:val="en-US" w:eastAsia="zh-CN"/>
        </w:rPr>
        <w:t>6.4</w:t>
      </w:r>
      <w:r>
        <w:rPr>
          <w:rFonts w:asciiTheme="minorEastAsia" w:hAnsiTheme="minorEastAsia" w:eastAsiaTheme="minorEastAsia"/>
          <w:color w:val="auto"/>
          <w:sz w:val="21"/>
          <w:szCs w:val="21"/>
          <w:highlight w:val="none"/>
          <w:shd w:val="clear" w:color="auto" w:fill="FFFFFF"/>
        </w:rPr>
        <w:t>根据《关于在政府采购活动中推行信用承诺制的通知》宁财购通〔</w:t>
      </w:r>
      <w:r>
        <w:rPr>
          <w:rFonts w:cs="Arial" w:asciiTheme="minorEastAsia" w:hAnsiTheme="minorEastAsia" w:eastAsiaTheme="minorEastAsia"/>
          <w:color w:val="auto"/>
          <w:sz w:val="21"/>
          <w:szCs w:val="21"/>
          <w:highlight w:val="none"/>
          <w:shd w:val="clear" w:color="auto" w:fill="FFFFFF"/>
        </w:rPr>
        <w:t>2021</w:t>
      </w:r>
      <w:r>
        <w:rPr>
          <w:rFonts w:asciiTheme="minorEastAsia" w:hAnsiTheme="minorEastAsia" w:eastAsiaTheme="minorEastAsia"/>
          <w:color w:val="auto"/>
          <w:sz w:val="21"/>
          <w:szCs w:val="21"/>
          <w:highlight w:val="none"/>
          <w:shd w:val="clear" w:color="auto" w:fill="FFFFFF"/>
        </w:rPr>
        <w:t>〕</w:t>
      </w:r>
      <w:r>
        <w:rPr>
          <w:rFonts w:cs="Arial" w:asciiTheme="minorEastAsia" w:hAnsiTheme="minorEastAsia" w:eastAsiaTheme="minorEastAsia"/>
          <w:color w:val="auto"/>
          <w:sz w:val="21"/>
          <w:szCs w:val="21"/>
          <w:highlight w:val="none"/>
          <w:shd w:val="clear" w:color="auto" w:fill="FFFFFF"/>
        </w:rPr>
        <w:t>5</w:t>
      </w:r>
      <w:r>
        <w:rPr>
          <w:rFonts w:asciiTheme="minorEastAsia" w:hAnsiTheme="minorEastAsia" w:eastAsiaTheme="minorEastAsia"/>
          <w:color w:val="auto"/>
          <w:sz w:val="21"/>
          <w:szCs w:val="21"/>
          <w:highlight w:val="none"/>
          <w:shd w:val="clear" w:color="auto" w:fill="FFFFFF"/>
        </w:rPr>
        <w:t>号规定，参加南京地区政府采购活动的供应商，应以书面形式向采购人或政府采购代理机构作出信用承诺。</w:t>
      </w:r>
      <w:r>
        <w:rPr>
          <w:rFonts w:hint="eastAsia" w:asciiTheme="minorEastAsia" w:hAnsiTheme="minorEastAsia" w:eastAsiaTheme="minorEastAsia"/>
          <w:color w:val="auto"/>
          <w:sz w:val="21"/>
          <w:szCs w:val="21"/>
          <w:highlight w:val="none"/>
          <w:shd w:val="clear" w:color="auto" w:fill="FFFFFF"/>
          <w:lang w:val="en-US" w:eastAsia="zh-CN"/>
        </w:rPr>
        <w:t>详见第六章附件十</w:t>
      </w:r>
      <w:r>
        <w:rPr>
          <w:rFonts w:hint="eastAsia" w:asciiTheme="minorEastAsia" w:hAnsiTheme="minorEastAsia"/>
          <w:color w:val="auto"/>
          <w:sz w:val="21"/>
          <w:szCs w:val="21"/>
          <w:highlight w:val="none"/>
          <w:shd w:val="clear" w:color="auto" w:fill="FFFFFF"/>
          <w:lang w:val="en-US" w:eastAsia="zh-CN"/>
        </w:rPr>
        <w:t>四</w:t>
      </w:r>
      <w:r>
        <w:rPr>
          <w:rFonts w:asciiTheme="minorEastAsia" w:hAnsiTheme="minorEastAsia" w:eastAsiaTheme="minorEastAsia"/>
          <w:color w:val="auto"/>
          <w:sz w:val="21"/>
          <w:szCs w:val="21"/>
          <w:highlight w:val="none"/>
          <w:shd w:val="clear" w:color="auto" w:fill="FFFFFF"/>
        </w:rPr>
        <w:t>《南京市政府采购供应商信用记录表暨信用承诺书》，由法定代表人签字并盖单位公章，随投标文件一并递交。</w:t>
      </w:r>
      <w:r>
        <w:rPr>
          <w:rFonts w:asciiTheme="minorEastAsia" w:hAnsiTheme="minorEastAsia" w:eastAsiaTheme="minorEastAsia"/>
          <w:b/>
          <w:bCs/>
          <w:color w:val="auto"/>
          <w:sz w:val="21"/>
          <w:szCs w:val="21"/>
          <w:highlight w:val="none"/>
          <w:shd w:val="clear" w:color="auto" w:fill="FFFFFF"/>
        </w:rPr>
        <w:t>未按要求提供《南京市政府采购供应商信用记录表暨信用承诺书》则该供应商投标文件按无效投标处理。</w:t>
      </w:r>
    </w:p>
    <w:p w14:paraId="2F8730B1">
      <w:pPr>
        <w:pStyle w:val="33"/>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在政府采购资格审查环节，供应商只需提供书面《南京市政府采购供应商信用记录表暨信用承诺书》，即可替代以下证明材料：</w:t>
      </w:r>
    </w:p>
    <w:p w14:paraId="685F5321">
      <w:pPr>
        <w:pStyle w:val="33"/>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符合国家相关规定的财务状况报告</w:t>
      </w:r>
    </w:p>
    <w:p w14:paraId="38DE5D03">
      <w:pPr>
        <w:pStyle w:val="33"/>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依法缴纳税收的证明材料</w:t>
      </w:r>
    </w:p>
    <w:p w14:paraId="6263FC87">
      <w:pPr>
        <w:pStyle w:val="33"/>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依法缴纳社会保障资金的证明材料</w:t>
      </w:r>
    </w:p>
    <w:p w14:paraId="1FD06186">
      <w:pPr>
        <w:pStyle w:val="33"/>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具备履行政府采购合同所必需的设备和专业技术能力的证明材料；</w:t>
      </w:r>
    </w:p>
    <w:p w14:paraId="33F9A5D6">
      <w:pPr>
        <w:pStyle w:val="33"/>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参加政府采购活动前三年内在经营活动中没有重大违法记录的证明材料；</w:t>
      </w:r>
    </w:p>
    <w:p w14:paraId="5C6909D0">
      <w:pPr>
        <w:pStyle w:val="33"/>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未被列入失信被执行人、</w:t>
      </w:r>
      <w:r>
        <w:rPr>
          <w:rFonts w:hint="eastAsia" w:asciiTheme="minorEastAsia" w:hAnsiTheme="minorEastAsia" w:eastAsiaTheme="minorEastAsia"/>
          <w:color w:val="auto"/>
          <w:sz w:val="21"/>
          <w:szCs w:val="21"/>
          <w:highlight w:val="none"/>
          <w:shd w:val="clear" w:color="auto" w:fill="FFFFFF"/>
        </w:rPr>
        <w:t>重大税收违法失信主体名单</w:t>
      </w:r>
      <w:r>
        <w:rPr>
          <w:rFonts w:asciiTheme="minorEastAsia" w:hAnsiTheme="minorEastAsia" w:eastAsiaTheme="minorEastAsia"/>
          <w:color w:val="auto"/>
          <w:sz w:val="21"/>
          <w:szCs w:val="21"/>
          <w:highlight w:val="none"/>
          <w:shd w:val="clear" w:color="auto" w:fill="FFFFFF"/>
        </w:rPr>
        <w:t>、政府采购严重违法失信行为记录名单的证明材料。</w:t>
      </w:r>
    </w:p>
    <w:p w14:paraId="651EAB2C">
      <w:pPr>
        <w:pStyle w:val="33"/>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根据宁财购通</w:t>
      </w:r>
      <w:r>
        <w:rPr>
          <w:rFonts w:cs="Arial" w:asciiTheme="minorEastAsia" w:hAnsiTheme="minorEastAsia" w:eastAsiaTheme="minorEastAsia"/>
          <w:color w:val="auto"/>
          <w:sz w:val="21"/>
          <w:szCs w:val="21"/>
          <w:highlight w:val="none"/>
          <w:shd w:val="clear" w:color="auto" w:fill="FFFFFF"/>
        </w:rPr>
        <w:t>[2021]5</w:t>
      </w:r>
      <w:r>
        <w:rPr>
          <w:rFonts w:asciiTheme="minorEastAsia" w:hAnsiTheme="minorEastAsia" w:eastAsiaTheme="minorEastAsia"/>
          <w:color w:val="auto"/>
          <w:sz w:val="21"/>
          <w:szCs w:val="21"/>
          <w:highlight w:val="none"/>
          <w:shd w:val="clear" w:color="auto" w:fill="FFFFFF"/>
        </w:rPr>
        <w:t>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7C67C5F2">
      <w:pPr>
        <w:pStyle w:val="33"/>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供应商涉及</w:t>
      </w:r>
      <w:r>
        <w:rPr>
          <w:rFonts w:hint="eastAsia" w:asciiTheme="minorEastAsia" w:hAnsiTheme="minorEastAsia" w:eastAsiaTheme="minorEastAsia"/>
          <w:b/>
          <w:bCs/>
          <w:color w:val="auto"/>
          <w:sz w:val="21"/>
          <w:szCs w:val="21"/>
          <w:highlight w:val="none"/>
          <w:shd w:val="clear" w:color="auto" w:fill="FFFFFF"/>
          <w:lang w:val="en-US" w:eastAsia="zh-CN"/>
        </w:rPr>
        <w:t>以</w:t>
      </w:r>
      <w:r>
        <w:rPr>
          <w:rFonts w:asciiTheme="minorEastAsia" w:hAnsiTheme="minorEastAsia" w:eastAsiaTheme="minorEastAsia"/>
          <w:b/>
          <w:bCs/>
          <w:color w:val="auto"/>
          <w:sz w:val="21"/>
          <w:szCs w:val="21"/>
          <w:highlight w:val="none"/>
          <w:shd w:val="clear" w:color="auto" w:fill="FFFFFF"/>
        </w:rPr>
        <w:t>下情形的，不适用信用承诺：</w:t>
      </w:r>
    </w:p>
    <w:p w14:paraId="56384C08">
      <w:pPr>
        <w:pStyle w:val="33"/>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供应商被列入严重失信主体名单；</w:t>
      </w:r>
    </w:p>
    <w:p w14:paraId="2B29BE59">
      <w:pPr>
        <w:pStyle w:val="33"/>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被相关监管部门做出行政处罚且尚在</w:t>
      </w:r>
      <w:r>
        <w:rPr>
          <w:rFonts w:hint="eastAsia" w:asciiTheme="minorEastAsia" w:hAnsiTheme="minorEastAsia" w:eastAsiaTheme="minorEastAsia"/>
          <w:b/>
          <w:bCs/>
          <w:color w:val="auto"/>
          <w:sz w:val="21"/>
          <w:szCs w:val="21"/>
          <w:highlight w:val="none"/>
          <w:shd w:val="clear" w:color="auto" w:fill="FFFFFF"/>
          <w:lang w:val="en-US" w:eastAsia="zh-CN"/>
        </w:rPr>
        <w:t>处罚</w:t>
      </w:r>
      <w:r>
        <w:rPr>
          <w:rFonts w:asciiTheme="minorEastAsia" w:hAnsiTheme="minorEastAsia" w:eastAsiaTheme="minorEastAsia"/>
          <w:b/>
          <w:bCs/>
          <w:color w:val="auto"/>
          <w:sz w:val="21"/>
          <w:szCs w:val="21"/>
          <w:highlight w:val="none"/>
          <w:shd w:val="clear" w:color="auto" w:fill="FFFFFF"/>
        </w:rPr>
        <w:t>有效期内；</w:t>
      </w:r>
    </w:p>
    <w:p w14:paraId="675BB17E">
      <w:pPr>
        <w:pStyle w:val="33"/>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被其他法律、行政法规规定的不适用信用承诺的情形。</w:t>
      </w:r>
    </w:p>
    <w:p w14:paraId="13C283C1">
      <w:pPr>
        <w:pStyle w:val="33"/>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2"/>
          <w:szCs w:val="22"/>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供应商对信用承诺内容的真实性、合法性、有效性负责。如作出虚假信用承诺，视同为“提供虚假材料谋取中标、成交”的违法行为。</w:t>
      </w:r>
    </w:p>
    <w:p w14:paraId="095F8439">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七、对本次招标提出询问，请按以下方式联系</w:t>
      </w:r>
    </w:p>
    <w:p w14:paraId="4E1251D6">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 xml:space="preserve"> 7.1采购人信息</w:t>
      </w:r>
    </w:p>
    <w:p w14:paraId="7A34E3EF">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名 称：</w:t>
      </w:r>
      <w:r>
        <w:rPr>
          <w:rFonts w:hint="eastAsia" w:ascii="宋体" w:hAnsi="宋体" w:eastAsia="宋体" w:cs="宋体"/>
          <w:color w:val="auto"/>
          <w:spacing w:val="8"/>
          <w:highlight w:val="none"/>
          <w:lang w:eastAsia="zh-CN"/>
        </w:rPr>
        <w:t>南京市江宁医院</w:t>
      </w:r>
    </w:p>
    <w:p w14:paraId="7975BD44">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地址：</w:t>
      </w:r>
      <w:r>
        <w:rPr>
          <w:rFonts w:hint="eastAsia" w:ascii="宋体" w:hAnsi="宋体" w:eastAsia="宋体" w:cs="宋体"/>
          <w:color w:val="auto"/>
          <w:spacing w:val="8"/>
          <w:highlight w:val="none"/>
          <w:lang w:val="en-US" w:eastAsia="zh-CN"/>
        </w:rPr>
        <w:t xml:space="preserve"> 江宁区东山街道湖山路169号</w:t>
      </w:r>
      <w:bookmarkStart w:id="137" w:name="_GoBack"/>
      <w:bookmarkEnd w:id="137"/>
    </w:p>
    <w:p w14:paraId="1B837383">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val="en-US"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rPr>
        <w:t>李老师</w:t>
      </w:r>
      <w:r>
        <w:rPr>
          <w:rFonts w:hint="eastAsia" w:ascii="宋体" w:hAnsi="宋体" w:eastAsia="宋体" w:cs="宋体"/>
          <w:color w:val="auto"/>
          <w:spacing w:val="8"/>
          <w:highlight w:val="none"/>
          <w:lang w:val="en-US" w:eastAsia="zh-CN"/>
        </w:rPr>
        <w:t xml:space="preserve"> 15295506334</w:t>
      </w:r>
    </w:p>
    <w:p w14:paraId="63199E77">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7.2采购代理机构信息</w:t>
      </w:r>
    </w:p>
    <w:p w14:paraId="582C3FBC">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名 称： 江苏省设备成套股份有限公司</w:t>
      </w:r>
    </w:p>
    <w:p w14:paraId="54AED49C">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地　址：南京市鼓楼区清江南路18号鼓楼创新广场D栋1004室</w:t>
      </w:r>
    </w:p>
    <w:p w14:paraId="4F09530C">
      <w:pPr>
        <w:pBdr>
          <w:top w:val="none" w:color="000000" w:sz="0" w:space="0"/>
          <w:left w:val="none" w:color="000000" w:sz="0" w:space="0"/>
          <w:bottom w:val="none" w:color="000000" w:sz="0" w:space="0"/>
          <w:right w:val="none" w:color="000000" w:sz="0" w:space="0"/>
        </w:pBdr>
        <w:shd w:val="clear" w:color="FFFFFF" w:fill="FFFFFF"/>
        <w:spacing w:line="460" w:lineRule="atLeast"/>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eastAsia="zh-CN"/>
        </w:rPr>
        <w:t>汪惠子</w:t>
      </w:r>
      <w:r>
        <w:rPr>
          <w:rFonts w:hint="eastAsia" w:ascii="宋体" w:hAnsi="宋体" w:eastAsia="宋体" w:cs="宋体"/>
          <w:color w:val="auto"/>
          <w:spacing w:val="8"/>
          <w:highlight w:val="none"/>
          <w:lang w:val="en-US" w:eastAsia="zh-CN"/>
        </w:rPr>
        <w:t>、刘寅</w:t>
      </w:r>
    </w:p>
    <w:p w14:paraId="68C8D2F0">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电子邮箱：</w:t>
      </w:r>
      <w:r>
        <w:rPr>
          <w:rFonts w:hint="eastAsia" w:ascii="宋体" w:hAnsi="宋体" w:eastAsia="宋体" w:cs="宋体"/>
          <w:color w:val="auto"/>
          <w:spacing w:val="8"/>
          <w:highlight w:val="none"/>
          <w:lang w:val="en-US" w:eastAsia="zh-CN"/>
        </w:rPr>
        <w:t>2277893572</w:t>
      </w:r>
      <w:r>
        <w:rPr>
          <w:rFonts w:ascii="宋体" w:hAnsi="宋体" w:eastAsia="宋体" w:cs="宋体"/>
          <w:color w:val="auto"/>
          <w:spacing w:val="8"/>
          <w:highlight w:val="none"/>
        </w:rPr>
        <w:t>@qq.com</w:t>
      </w:r>
    </w:p>
    <w:p w14:paraId="606F7C84">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7.3项目联系方式</w:t>
      </w:r>
    </w:p>
    <w:p w14:paraId="291A6606">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项目联系人：</w:t>
      </w:r>
      <w:r>
        <w:rPr>
          <w:rFonts w:hint="eastAsia" w:ascii="宋体" w:hAnsi="宋体" w:eastAsia="宋体" w:cs="宋体"/>
          <w:color w:val="auto"/>
          <w:spacing w:val="8"/>
          <w:highlight w:val="none"/>
          <w:lang w:eastAsia="zh-CN"/>
        </w:rPr>
        <w:t>汪惠子</w:t>
      </w:r>
    </w:p>
    <w:p w14:paraId="55F119E9">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　话：</w:t>
      </w:r>
      <w:r>
        <w:rPr>
          <w:rFonts w:hint="eastAsia" w:ascii="宋体" w:hAnsi="宋体" w:eastAsia="宋体" w:cs="宋体"/>
          <w:color w:val="auto"/>
          <w:spacing w:val="8"/>
          <w:highlight w:val="none"/>
          <w:lang w:val="en-US" w:eastAsia="zh-CN"/>
        </w:rPr>
        <w:t>13655172889</w:t>
      </w:r>
      <w:r>
        <w:rPr>
          <w:rFonts w:ascii="宋体" w:hAnsi="宋体" w:eastAsia="宋体" w:cs="宋体"/>
          <w:color w:val="auto"/>
          <w:spacing w:val="8"/>
          <w:highlight w:val="none"/>
        </w:rPr>
        <w:t> </w:t>
      </w:r>
    </w:p>
    <w:p w14:paraId="18311946">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right"/>
        <w:rPr>
          <w:color w:val="auto"/>
          <w:highlight w:val="none"/>
        </w:rPr>
      </w:pPr>
      <w:r>
        <w:rPr>
          <w:rFonts w:ascii="宋体" w:hAnsi="宋体" w:eastAsia="宋体" w:cs="宋体"/>
          <w:color w:val="auto"/>
          <w:spacing w:val="8"/>
          <w:highlight w:val="none"/>
        </w:rPr>
        <w:t>采购代理机构：江苏省设备成套股份有限公司</w:t>
      </w:r>
    </w:p>
    <w:p w14:paraId="1F912B1C">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center"/>
        <w:rPr>
          <w:color w:val="auto"/>
          <w:highlight w:val="none"/>
        </w:rP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2026年</w:t>
      </w:r>
      <w:r>
        <w:rPr>
          <w:rFonts w:hint="eastAsia" w:ascii="宋体" w:hAnsi="宋体" w:eastAsia="宋体" w:cs="宋体"/>
          <w:color w:val="auto"/>
          <w:spacing w:val="8"/>
          <w:highlight w:val="none"/>
          <w:lang w:val="en-US" w:eastAsia="zh-CN"/>
        </w:rPr>
        <w:t>9</w:t>
      </w:r>
      <w:r>
        <w:rPr>
          <w:rFonts w:hint="eastAsia" w:ascii="宋体" w:hAnsi="宋体" w:eastAsia="宋体" w:cs="宋体"/>
          <w:color w:val="auto"/>
          <w:spacing w:val="8"/>
          <w:highlight w:val="none"/>
          <w:lang w:eastAsia="zh-CN"/>
        </w:rPr>
        <w:t>月</w:t>
      </w:r>
      <w:r>
        <w:rPr>
          <w:rFonts w:hint="eastAsia" w:ascii="宋体" w:hAnsi="宋体" w:eastAsia="宋体" w:cs="宋体"/>
          <w:color w:val="auto"/>
          <w:spacing w:val="8"/>
          <w:highlight w:val="none"/>
          <w:lang w:val="en-US" w:eastAsia="zh-CN"/>
        </w:rPr>
        <w:t>11</w:t>
      </w:r>
      <w:r>
        <w:rPr>
          <w:rFonts w:ascii="宋体" w:hAnsi="宋体" w:eastAsia="宋体" w:cs="宋体"/>
          <w:color w:val="auto"/>
          <w:spacing w:val="8"/>
          <w:highlight w:val="none"/>
        </w:rPr>
        <w:t>日</w:t>
      </w:r>
    </w:p>
    <w:p w14:paraId="1172E45A">
      <w:pPr>
        <w:pBdr>
          <w:top w:val="none" w:color="000000" w:sz="0" w:space="0"/>
          <w:left w:val="none" w:color="000000" w:sz="0" w:space="0"/>
          <w:bottom w:val="none" w:color="000000" w:sz="0" w:space="0"/>
          <w:right w:val="none" w:color="000000" w:sz="0" w:space="0"/>
        </w:pBdr>
        <w:spacing w:before="240" w:after="240"/>
        <w:ind w:firstLine="452"/>
        <w:rPr>
          <w:color w:val="auto"/>
          <w:highlight w:val="none"/>
        </w:rPr>
      </w:pPr>
      <w:r>
        <w:rPr>
          <w:rFonts w:ascii="宋体" w:hAnsi="宋体" w:eastAsia="宋体" w:cs="宋体"/>
          <w:color w:val="auto"/>
          <w:spacing w:val="8"/>
          <w:highlight w:val="none"/>
        </w:rPr>
        <w:t> </w:t>
      </w:r>
    </w:p>
    <w:p w14:paraId="30DAA40A">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1088164C">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第二章 投标人须知</w:t>
      </w:r>
    </w:p>
    <w:p w14:paraId="7057686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0" w:name="_Toc120614214"/>
      <w:bookmarkStart w:id="1" w:name="_Toc513029203"/>
      <w:bookmarkStart w:id="2" w:name="_Toc16938519"/>
      <w:bookmarkStart w:id="3" w:name="_Toc20823275"/>
      <w:r>
        <w:rPr>
          <w:rFonts w:hint="eastAsia" w:ascii="宋体" w:hAnsi="宋体" w:eastAsia="宋体" w:cs="宋体"/>
          <w:b w:val="0"/>
          <w:bCs w:val="0"/>
          <w:color w:val="auto"/>
          <w:sz w:val="21"/>
          <w:szCs w:val="21"/>
          <w:highlight w:val="none"/>
          <w:lang w:eastAsia="zh-CN"/>
        </w:rPr>
        <w:t>一、总则</w:t>
      </w:r>
      <w:bookmarkEnd w:id="0"/>
      <w:bookmarkEnd w:id="1"/>
      <w:bookmarkEnd w:id="2"/>
      <w:bookmarkEnd w:id="3"/>
    </w:p>
    <w:p w14:paraId="0F1DA8F2">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 w:name="_Hlt16619475"/>
      <w:bookmarkEnd w:id="4"/>
      <w:bookmarkStart w:id="5" w:name="_Toc458694821"/>
      <w:bookmarkStart w:id="6" w:name="_Toc16938520"/>
      <w:bookmarkStart w:id="7" w:name="_Toc513029204"/>
      <w:bookmarkStart w:id="8" w:name="_Toc20823276"/>
      <w:r>
        <w:rPr>
          <w:rFonts w:hint="eastAsia" w:ascii="宋体" w:hAnsi="宋体" w:eastAsia="宋体" w:cs="宋体"/>
          <w:color w:val="auto"/>
          <w:sz w:val="21"/>
          <w:szCs w:val="21"/>
          <w:highlight w:val="none"/>
          <w:lang w:eastAsia="zh-CN"/>
        </w:rPr>
        <w:t>1</w:t>
      </w:r>
      <w:bookmarkEnd w:id="5"/>
      <w:r>
        <w:rPr>
          <w:rFonts w:hint="eastAsia" w:ascii="宋体" w:hAnsi="宋体" w:eastAsia="宋体" w:cs="宋体"/>
          <w:color w:val="auto"/>
          <w:sz w:val="21"/>
          <w:szCs w:val="21"/>
          <w:highlight w:val="none"/>
          <w:lang w:eastAsia="zh-CN"/>
        </w:rPr>
        <w:t>.招标方式</w:t>
      </w:r>
      <w:bookmarkEnd w:id="6"/>
      <w:bookmarkEnd w:id="7"/>
      <w:bookmarkEnd w:id="8"/>
    </w:p>
    <w:p w14:paraId="3C1F109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本次招标采取公开招标方式，本文件仅适用于招标公告中所述项目。</w:t>
      </w:r>
    </w:p>
    <w:p w14:paraId="59C3FA26">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 w:name="_Toc20823277"/>
      <w:bookmarkStart w:id="10" w:name="_Toc513029205"/>
      <w:bookmarkStart w:id="11" w:name="_Toc16938521"/>
      <w:r>
        <w:rPr>
          <w:rFonts w:hint="eastAsia" w:ascii="宋体" w:hAnsi="宋体" w:eastAsia="宋体" w:cs="宋体"/>
          <w:color w:val="auto"/>
          <w:sz w:val="21"/>
          <w:szCs w:val="21"/>
          <w:highlight w:val="none"/>
          <w:lang w:eastAsia="zh-CN"/>
        </w:rPr>
        <w:t>2.合格的投标人</w:t>
      </w:r>
      <w:bookmarkEnd w:id="9"/>
      <w:bookmarkEnd w:id="10"/>
      <w:bookmarkEnd w:id="11"/>
    </w:p>
    <w:p w14:paraId="63ACD84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满足招标公告对供应商资格要求的规定。</w:t>
      </w:r>
    </w:p>
    <w:p w14:paraId="7B4385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满足招标文件规定的实质性要求和条件。</w:t>
      </w:r>
    </w:p>
    <w:p w14:paraId="11D8B113">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 w:name="_Toc513029206"/>
      <w:bookmarkStart w:id="13" w:name="_Toc16938522"/>
      <w:bookmarkStart w:id="14" w:name="_Toc20823278"/>
      <w:r>
        <w:rPr>
          <w:rFonts w:hint="eastAsia" w:ascii="宋体" w:hAnsi="宋体" w:eastAsia="宋体" w:cs="宋体"/>
          <w:color w:val="auto"/>
          <w:sz w:val="21"/>
          <w:szCs w:val="21"/>
          <w:highlight w:val="none"/>
          <w:lang w:eastAsia="zh-CN"/>
        </w:rPr>
        <w:t>3.适用法律</w:t>
      </w:r>
      <w:bookmarkEnd w:id="12"/>
      <w:bookmarkEnd w:id="13"/>
      <w:bookmarkEnd w:id="14"/>
    </w:p>
    <w:p w14:paraId="0BDBDEB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本次招标及由此产生的合同受中华人民共和国有关的法律法规制约和保护。</w:t>
      </w:r>
    </w:p>
    <w:p w14:paraId="43C7BD32">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5" w:name="_Toc462564067"/>
      <w:bookmarkStart w:id="16" w:name="_Toc20823279"/>
      <w:bookmarkStart w:id="17" w:name="_Toc513029207"/>
      <w:bookmarkStart w:id="18" w:name="_Toc16938523"/>
      <w:r>
        <w:rPr>
          <w:rFonts w:hint="eastAsia" w:ascii="宋体" w:hAnsi="宋体" w:eastAsia="宋体" w:cs="宋体"/>
          <w:color w:val="auto"/>
          <w:sz w:val="21"/>
          <w:szCs w:val="21"/>
          <w:highlight w:val="none"/>
          <w:lang w:eastAsia="zh-CN"/>
        </w:rPr>
        <w:t>4.投标费用</w:t>
      </w:r>
      <w:bookmarkEnd w:id="15"/>
      <w:bookmarkEnd w:id="16"/>
      <w:bookmarkEnd w:id="17"/>
      <w:bookmarkEnd w:id="18"/>
    </w:p>
    <w:p w14:paraId="79066B3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在任何情况下均无义务和责任承担这些费用。</w:t>
      </w:r>
    </w:p>
    <w:p w14:paraId="03B5F26A">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5.招标文件的约束力</w:t>
      </w:r>
    </w:p>
    <w:p w14:paraId="3E3372B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投标人一旦参加本项目采购活动，即被认为接受了本文件的规定和约束。</w:t>
      </w:r>
    </w:p>
    <w:p w14:paraId="65D68C7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9" w:name="_Toc513029209"/>
      <w:bookmarkStart w:id="20" w:name="_Toc16938525"/>
      <w:bookmarkStart w:id="21" w:name="_Toc120614215"/>
      <w:bookmarkStart w:id="22" w:name="_Toc20823281"/>
      <w:r>
        <w:rPr>
          <w:rFonts w:hint="eastAsia" w:ascii="宋体" w:hAnsi="宋体" w:eastAsia="宋体" w:cs="宋体"/>
          <w:b w:val="0"/>
          <w:bCs w:val="0"/>
          <w:color w:val="auto"/>
          <w:sz w:val="21"/>
          <w:szCs w:val="21"/>
          <w:highlight w:val="none"/>
          <w:lang w:eastAsia="zh-CN"/>
        </w:rPr>
        <w:t>二、招标文件</w:t>
      </w:r>
      <w:bookmarkEnd w:id="19"/>
      <w:bookmarkEnd w:id="20"/>
      <w:bookmarkEnd w:id="21"/>
      <w:bookmarkEnd w:id="22"/>
    </w:p>
    <w:p w14:paraId="216AC8E5">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3" w:name="_Toc20823282"/>
      <w:bookmarkStart w:id="24" w:name="_Toc16938526"/>
      <w:bookmarkStart w:id="25" w:name="_Toc513029210"/>
      <w:r>
        <w:rPr>
          <w:rFonts w:hint="eastAsia" w:ascii="宋体" w:hAnsi="宋体" w:eastAsia="宋体" w:cs="宋体"/>
          <w:color w:val="auto"/>
          <w:sz w:val="21"/>
          <w:szCs w:val="21"/>
          <w:highlight w:val="none"/>
          <w:lang w:eastAsia="zh-CN"/>
        </w:rPr>
        <w:t>6.招标文件构成</w:t>
      </w:r>
      <w:bookmarkEnd w:id="23"/>
      <w:bookmarkEnd w:id="24"/>
      <w:bookmarkEnd w:id="25"/>
    </w:p>
    <w:p w14:paraId="0047745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6392682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（1）投标邀请</w:t>
      </w:r>
    </w:p>
    <w:p w14:paraId="7CD9A96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0E68A99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（3）合同文本</w:t>
      </w:r>
    </w:p>
    <w:p w14:paraId="1D35EA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031E73F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（5）评标方法与评标标准</w:t>
      </w:r>
    </w:p>
    <w:p w14:paraId="5EDAF9D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5244503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投标人应仔细检查招标文件是否齐全，如有缺漏请立即与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联系。</w:t>
      </w:r>
    </w:p>
    <w:p w14:paraId="34E89E5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25ED7B2">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6" w:name="_Toc462564070"/>
      <w:bookmarkStart w:id="27" w:name="_Toc16938527"/>
      <w:bookmarkStart w:id="28" w:name="_Toc20823283"/>
      <w:bookmarkStart w:id="29" w:name="_Toc513029211"/>
      <w:r>
        <w:rPr>
          <w:rFonts w:hint="eastAsia" w:ascii="宋体" w:hAnsi="宋体" w:eastAsia="宋体" w:cs="宋体"/>
          <w:color w:val="auto"/>
          <w:sz w:val="21"/>
          <w:szCs w:val="21"/>
          <w:highlight w:val="none"/>
          <w:lang w:eastAsia="zh-CN"/>
        </w:rPr>
        <w:t>7.招标文件的澄清</w:t>
      </w:r>
      <w:bookmarkEnd w:id="26"/>
      <w:bookmarkEnd w:id="27"/>
      <w:bookmarkEnd w:id="28"/>
      <w:bookmarkEnd w:id="29"/>
    </w:p>
    <w:p w14:paraId="1339E59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w:t>
      </w:r>
    </w:p>
    <w:p w14:paraId="051036FE">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0" w:name="_Toc20823284"/>
      <w:bookmarkStart w:id="31" w:name="_Toc16938528"/>
      <w:bookmarkStart w:id="32" w:name="_Toc513029212"/>
      <w:bookmarkStart w:id="33" w:name="_Toc462564071"/>
      <w:r>
        <w:rPr>
          <w:rFonts w:hint="eastAsia" w:ascii="宋体" w:hAnsi="宋体" w:eastAsia="宋体" w:cs="宋体"/>
          <w:color w:val="auto"/>
          <w:sz w:val="21"/>
          <w:szCs w:val="21"/>
          <w:highlight w:val="none"/>
          <w:lang w:eastAsia="zh-CN"/>
        </w:rPr>
        <w:t>8.招标文件的修改</w:t>
      </w:r>
      <w:bookmarkEnd w:id="30"/>
      <w:bookmarkEnd w:id="31"/>
      <w:bookmarkEnd w:id="32"/>
      <w:bookmarkEnd w:id="33"/>
    </w:p>
    <w:p w14:paraId="2661357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34" w:name="_Toc462564072"/>
      <w:bookmarkStart w:id="35" w:name="_Toc20823285"/>
      <w:bookmarkStart w:id="36" w:name="_Toc16938529"/>
      <w:bookmarkStart w:id="37" w:name="_Toc120614216"/>
      <w:bookmarkStart w:id="38" w:name="_Toc513029213"/>
      <w:r>
        <w:rPr>
          <w:rFonts w:hint="eastAsia" w:ascii="宋体" w:hAnsi="宋体" w:eastAsia="宋体" w:cs="宋体"/>
          <w:color w:val="auto"/>
          <w:sz w:val="21"/>
          <w:szCs w:val="21"/>
          <w:highlight w:val="none"/>
        </w:rPr>
        <w:t>8.1 在投标截止时间前，</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可以对招标文件进行修改。招标文件的修改将在原公告媒体发布更正公告，更正内容将作为招标文件的组成部分，并对投标人具有约束力。</w:t>
      </w:r>
    </w:p>
    <w:p w14:paraId="640E7ED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投标人应在提交投标文件截止时间前，关注原公告媒体有关本项目的更正公告，根据更正公告内容自行决定是否需要重新制作和提交投标文件，并承担由此产生的相应责任。</w:t>
      </w:r>
    </w:p>
    <w:p w14:paraId="6E51D98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有权按照法定的要求推迟投标截止日期和开标日期，并在原公告媒体发布更正公告。</w:t>
      </w:r>
    </w:p>
    <w:p w14:paraId="6D4BC76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三、投标文件的编制</w:t>
      </w:r>
      <w:bookmarkEnd w:id="34"/>
      <w:bookmarkEnd w:id="35"/>
      <w:bookmarkEnd w:id="36"/>
      <w:bookmarkEnd w:id="37"/>
      <w:bookmarkEnd w:id="38"/>
    </w:p>
    <w:p w14:paraId="2FEA1CE8">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9" w:name="_Toc16938530"/>
      <w:bookmarkStart w:id="40" w:name="_Toc20823286"/>
      <w:bookmarkStart w:id="41" w:name="_Toc513029214"/>
      <w:bookmarkStart w:id="42" w:name="_Toc462564073"/>
      <w:r>
        <w:rPr>
          <w:rFonts w:hint="eastAsia" w:ascii="宋体" w:hAnsi="宋体" w:eastAsia="宋体" w:cs="宋体"/>
          <w:color w:val="auto"/>
          <w:sz w:val="21"/>
          <w:szCs w:val="21"/>
          <w:highlight w:val="none"/>
          <w:lang w:eastAsia="zh-CN"/>
        </w:rPr>
        <w:t>9.投标文件的语言及度量衡单位</w:t>
      </w:r>
      <w:bookmarkEnd w:id="39"/>
      <w:bookmarkEnd w:id="40"/>
      <w:bookmarkEnd w:id="41"/>
      <w:bookmarkEnd w:id="42"/>
    </w:p>
    <w:p w14:paraId="2ED075D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投标人提交的投标文件以及投标人与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就有关投标的所有来往通知、函件和文件均应使用简体中文。</w:t>
      </w:r>
    </w:p>
    <w:p w14:paraId="034FD0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除技术性能另有规定外，投标文件所使用的度量衡单位，均须采用国家法定计量单位。</w:t>
      </w:r>
    </w:p>
    <w:p w14:paraId="5292DDED">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3" w:name="_Toc16938531"/>
      <w:bookmarkStart w:id="44" w:name="_Toc20823287"/>
      <w:bookmarkStart w:id="45" w:name="_Toc513029215"/>
      <w:bookmarkStart w:id="46" w:name="_Toc462564074"/>
      <w:r>
        <w:rPr>
          <w:rFonts w:hint="eastAsia" w:ascii="宋体" w:hAnsi="宋体" w:eastAsia="宋体" w:cs="宋体"/>
          <w:color w:val="auto"/>
          <w:sz w:val="21"/>
          <w:szCs w:val="21"/>
          <w:highlight w:val="none"/>
          <w:lang w:eastAsia="zh-CN"/>
        </w:rPr>
        <w:t>10.投标文件构成</w:t>
      </w:r>
      <w:bookmarkEnd w:id="43"/>
      <w:bookmarkEnd w:id="44"/>
      <w:bookmarkEnd w:id="45"/>
      <w:bookmarkEnd w:id="46"/>
    </w:p>
    <w:p w14:paraId="56E7003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投标人编写的投标文件应包括资格证明文件、符合性证明文件、投标分项报价表、响应及偏离表、其他证明文件、投标函、开标一览表等部分。</w:t>
      </w:r>
    </w:p>
    <w:p w14:paraId="6BF9319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如标书制作工具中格式和内容与“江苏政府采购网”发布的招标文件不一致，以“江苏政府采购网”发布的招标文件为准。</w:t>
      </w:r>
    </w:p>
    <w:p w14:paraId="2E0B379D">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7" w:name="_Hlt26954838"/>
      <w:bookmarkEnd w:id="47"/>
      <w:bookmarkStart w:id="48" w:name="_Hlt26670360"/>
      <w:bookmarkEnd w:id="48"/>
      <w:bookmarkStart w:id="49" w:name="_Hlt26668975"/>
      <w:bookmarkEnd w:id="49"/>
      <w:bookmarkStart w:id="50" w:name="_Toc14577357"/>
      <w:bookmarkStart w:id="51" w:name="_Toc513029219"/>
      <w:bookmarkStart w:id="52" w:name="_Toc49090509"/>
      <w:bookmarkStart w:id="53" w:name="_Toc49090507"/>
      <w:bookmarkStart w:id="54" w:name="_Toc513029216"/>
      <w:bookmarkStart w:id="55" w:name="_Toc14577354"/>
      <w:r>
        <w:rPr>
          <w:rFonts w:hint="eastAsia" w:ascii="宋体" w:hAnsi="宋体" w:eastAsia="宋体" w:cs="宋体"/>
          <w:color w:val="auto"/>
          <w:sz w:val="21"/>
          <w:szCs w:val="21"/>
          <w:highlight w:val="none"/>
          <w:lang w:eastAsia="zh-CN"/>
        </w:rPr>
        <w:t>11.证明投标人及投标标的符合招标文件规定的文件</w:t>
      </w:r>
      <w:bookmarkEnd w:id="50"/>
      <w:bookmarkEnd w:id="51"/>
      <w:bookmarkEnd w:id="52"/>
    </w:p>
    <w:bookmarkEnd w:id="53"/>
    <w:bookmarkEnd w:id="54"/>
    <w:bookmarkEnd w:id="55"/>
    <w:p w14:paraId="422CCC7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56" w:name="_Toc14577355"/>
      <w:bookmarkStart w:id="57" w:name="_Toc49090508"/>
      <w:r>
        <w:rPr>
          <w:rFonts w:hint="eastAsia" w:ascii="宋体" w:hAnsi="宋体" w:eastAsia="宋体" w:cs="宋体"/>
          <w:color w:val="auto"/>
          <w:sz w:val="21"/>
          <w:szCs w:val="21"/>
          <w:highlight w:val="none"/>
        </w:rPr>
        <w:t>11.1 投标人应按照法律、法规、规章和规范性文件以及招标文件要求提交证明文件，证明其投标标的符合招标文件规定。</w:t>
      </w:r>
    </w:p>
    <w:p w14:paraId="10C0585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招标文件对证明文件无明确形式要求的，证明文件可以以文字资料、图纸和数据等形式提交。</w:t>
      </w:r>
    </w:p>
    <w:p w14:paraId="048BA7A0">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12.投标分项报价</w:t>
      </w:r>
      <w:bookmarkEnd w:id="56"/>
      <w:bookmarkStart w:id="58" w:name="_Hlt26670373"/>
      <w:bookmarkEnd w:id="58"/>
      <w:r>
        <w:rPr>
          <w:rFonts w:hint="eastAsia" w:ascii="宋体" w:hAnsi="宋体" w:eastAsia="宋体" w:cs="宋体"/>
          <w:color w:val="auto"/>
          <w:sz w:val="21"/>
          <w:szCs w:val="21"/>
          <w:highlight w:val="none"/>
          <w:lang w:eastAsia="zh-CN"/>
        </w:rPr>
        <w:t>表</w:t>
      </w:r>
      <w:bookmarkEnd w:id="57"/>
      <w:r>
        <w:rPr>
          <w:rFonts w:hint="eastAsia" w:ascii="宋体" w:hAnsi="宋体" w:eastAsia="宋体" w:cs="宋体"/>
          <w:color w:val="auto"/>
          <w:sz w:val="21"/>
          <w:szCs w:val="21"/>
          <w:highlight w:val="none"/>
          <w:lang w:eastAsia="zh-CN"/>
        </w:rPr>
        <w:t>（如有）</w:t>
      </w:r>
    </w:p>
    <w:p w14:paraId="2048003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投</w:t>
      </w:r>
      <w:bookmarkStart w:id="59" w:name="_Hlt26954840"/>
      <w:bookmarkEnd w:id="59"/>
      <w:r>
        <w:rPr>
          <w:rFonts w:hint="eastAsia" w:ascii="宋体" w:hAnsi="宋体" w:eastAsia="宋体" w:cs="宋体"/>
          <w:color w:val="auto"/>
          <w:sz w:val="21"/>
          <w:szCs w:val="21"/>
          <w:highlight w:val="none"/>
        </w:rPr>
        <w:t>标人应按照招标文件规定格式填报投标分项报价表</w:t>
      </w:r>
      <w:bookmarkStart w:id="60" w:name="_Hlt26670399"/>
      <w:bookmarkEnd w:id="60"/>
      <w:r>
        <w:rPr>
          <w:rFonts w:hint="eastAsia" w:ascii="宋体" w:hAnsi="宋体" w:eastAsia="宋体" w:cs="宋体"/>
          <w:color w:val="auto"/>
          <w:sz w:val="21"/>
          <w:szCs w:val="21"/>
          <w:highlight w:val="none"/>
        </w:rPr>
        <w:t>。</w:t>
      </w:r>
    </w:p>
    <w:p w14:paraId="1C63197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投标文件中的单价和总价无特殊规定的采用人民币报价，以元为单位标注。招标文件另有规定的按规定执行。</w:t>
      </w:r>
    </w:p>
    <w:p w14:paraId="2A636C96">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61" w:name="_Hlt26670486"/>
      <w:bookmarkEnd w:id="61"/>
      <w:bookmarkStart w:id="62" w:name="_Hlt26954846"/>
      <w:bookmarkEnd w:id="62"/>
      <w:bookmarkStart w:id="63" w:name="_Hlt26670403"/>
      <w:bookmarkEnd w:id="63"/>
      <w:bookmarkStart w:id="64" w:name="_Hlt26670425"/>
      <w:bookmarkEnd w:id="64"/>
      <w:bookmarkStart w:id="65" w:name="_Hlt26670482"/>
      <w:bookmarkEnd w:id="65"/>
      <w:bookmarkStart w:id="66" w:name="_Hlt26668983"/>
      <w:bookmarkEnd w:id="66"/>
      <w:bookmarkStart w:id="67" w:name="_Hlt26954731"/>
      <w:bookmarkEnd w:id="67"/>
      <w:bookmarkStart w:id="68" w:name="_Hlt26954844"/>
      <w:bookmarkEnd w:id="68"/>
      <w:bookmarkStart w:id="69" w:name="_Hlt26954842"/>
      <w:bookmarkEnd w:id="69"/>
      <w:bookmarkStart w:id="70" w:name="_Hlt26954848"/>
      <w:bookmarkEnd w:id="70"/>
      <w:r>
        <w:rPr>
          <w:rFonts w:hint="eastAsia" w:ascii="宋体" w:hAnsi="宋体" w:eastAsia="宋体" w:cs="宋体"/>
          <w:color w:val="auto"/>
          <w:sz w:val="21"/>
          <w:szCs w:val="21"/>
          <w:highlight w:val="none"/>
          <w:lang w:eastAsia="zh-CN"/>
        </w:rPr>
        <w:t>13.响应及偏离表</w:t>
      </w:r>
    </w:p>
    <w:p w14:paraId="1A1A42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13.1 投标人需对招标文件中的技术要求与商务要求逐项作出响应或偏离说明。</w:t>
      </w:r>
    </w:p>
    <w:p w14:paraId="47600CF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13.2 投标人可以在投标文件中提供认为需要的其他技术文件或说明。</w:t>
      </w:r>
    </w:p>
    <w:p w14:paraId="72766FCC">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1" w:name="_Toc49090510"/>
      <w:bookmarkStart w:id="72" w:name="_Toc14577359"/>
      <w:r>
        <w:rPr>
          <w:rFonts w:hint="eastAsia" w:ascii="宋体" w:hAnsi="宋体" w:eastAsia="宋体" w:cs="宋体"/>
          <w:color w:val="auto"/>
          <w:sz w:val="21"/>
          <w:szCs w:val="21"/>
          <w:highlight w:val="none"/>
          <w:lang w:eastAsia="zh-CN"/>
        </w:rPr>
        <w:t>14.投标函和开标一览表及核心产品品牌一览表</w:t>
      </w:r>
    </w:p>
    <w:p w14:paraId="7CA5ABF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14.1 投标人应按照招标文件规定格式完整、正确填报投标函、开标一览表及核心产品品牌一览表。</w:t>
      </w:r>
    </w:p>
    <w:p w14:paraId="0E7F12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zh-CN"/>
        </w:rPr>
        <w:t>开标一览表中价格为准。</w:t>
      </w:r>
    </w:p>
    <w:p w14:paraId="2617DBC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14.3 核心产品品牌一览表中所投核心产品品牌缺项的将视为无效投标。</w:t>
      </w:r>
    </w:p>
    <w:bookmarkEnd w:id="71"/>
    <w:bookmarkEnd w:id="72"/>
    <w:p w14:paraId="1B382199">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3" w:name="_Hlt26670489"/>
      <w:bookmarkEnd w:id="73"/>
      <w:bookmarkStart w:id="74" w:name="_Hlt26954734"/>
      <w:bookmarkEnd w:id="74"/>
      <w:bookmarkStart w:id="75" w:name="_Hlt26954850"/>
      <w:bookmarkEnd w:id="75"/>
      <w:bookmarkStart w:id="76" w:name="_Toc49090511"/>
      <w:bookmarkStart w:id="77" w:name="_Toc14577360"/>
      <w:r>
        <w:rPr>
          <w:rFonts w:hint="eastAsia" w:ascii="宋体" w:hAnsi="宋体" w:eastAsia="宋体" w:cs="宋体"/>
          <w:color w:val="auto"/>
          <w:sz w:val="21"/>
          <w:szCs w:val="21"/>
          <w:highlight w:val="none"/>
          <w:lang w:eastAsia="zh-CN"/>
        </w:rPr>
        <w:t>15.投标有效期</w:t>
      </w:r>
      <w:bookmarkEnd w:id="76"/>
      <w:bookmarkEnd w:id="77"/>
    </w:p>
    <w:p w14:paraId="6FB3B7B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15.1 投标有效期为</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val="zh-CN"/>
        </w:rPr>
        <w:t>规定的开标之日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zh-CN"/>
        </w:rPr>
        <w:t>六十天。投标有效期比规定短的将被视为未实质性响应招标文件而</w:t>
      </w:r>
      <w:r>
        <w:rPr>
          <w:rFonts w:hint="eastAsia" w:ascii="宋体" w:hAnsi="宋体" w:eastAsia="宋体" w:cs="宋体"/>
          <w:color w:val="auto"/>
          <w:sz w:val="21"/>
          <w:szCs w:val="21"/>
          <w:highlight w:val="none"/>
        </w:rPr>
        <w:t>被</w:t>
      </w:r>
      <w:r>
        <w:rPr>
          <w:rFonts w:hint="eastAsia" w:ascii="宋体" w:hAnsi="宋体" w:eastAsia="宋体" w:cs="宋体"/>
          <w:color w:val="auto"/>
          <w:sz w:val="21"/>
          <w:szCs w:val="21"/>
          <w:highlight w:val="none"/>
          <w:lang w:val="zh-CN"/>
        </w:rPr>
        <w:t>拒绝。</w:t>
      </w:r>
    </w:p>
    <w:p w14:paraId="20D9DD63">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16.投标有效期的延长</w:t>
      </w:r>
    </w:p>
    <w:p w14:paraId="40317CA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p>
    <w:p w14:paraId="1016D94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78" w:name="_Hlt26954852"/>
      <w:bookmarkEnd w:id="78"/>
      <w:bookmarkStart w:id="79" w:name="_Hlt26954739"/>
      <w:bookmarkEnd w:id="79"/>
      <w:bookmarkStart w:id="80" w:name="_Toc513029224"/>
      <w:bookmarkStart w:id="81" w:name="_Toc20823296"/>
      <w:bookmarkStart w:id="82" w:name="_Toc16938540"/>
      <w:bookmarkStart w:id="83" w:name="_Toc120614217"/>
      <w:r>
        <w:rPr>
          <w:rFonts w:hint="eastAsia" w:ascii="宋体" w:hAnsi="宋体" w:eastAsia="宋体" w:cs="宋体"/>
          <w:b w:val="0"/>
          <w:bCs w:val="0"/>
          <w:color w:val="auto"/>
          <w:sz w:val="21"/>
          <w:szCs w:val="21"/>
          <w:highlight w:val="none"/>
          <w:lang w:eastAsia="zh-CN"/>
        </w:rPr>
        <w:t>四、投标文件的递交</w:t>
      </w:r>
      <w:bookmarkEnd w:id="80"/>
      <w:bookmarkEnd w:id="81"/>
      <w:bookmarkEnd w:id="82"/>
      <w:bookmarkEnd w:id="83"/>
    </w:p>
    <w:p w14:paraId="64DD1495">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84" w:name="_Toc20823297"/>
      <w:bookmarkStart w:id="85" w:name="_Toc513029225"/>
      <w:bookmarkStart w:id="86" w:name="_Toc16938541"/>
      <w:bookmarkStart w:id="87" w:name="_Toc462564084"/>
      <w:r>
        <w:rPr>
          <w:rFonts w:hint="eastAsia" w:ascii="宋体" w:hAnsi="宋体" w:eastAsia="宋体" w:cs="宋体"/>
          <w:color w:val="auto"/>
          <w:sz w:val="21"/>
          <w:szCs w:val="21"/>
          <w:highlight w:val="none"/>
          <w:lang w:eastAsia="zh-CN"/>
        </w:rPr>
        <w:t>17.投标文件</w:t>
      </w:r>
      <w:bookmarkEnd w:id="84"/>
      <w:bookmarkEnd w:id="85"/>
      <w:bookmarkEnd w:id="86"/>
      <w:bookmarkEnd w:id="87"/>
      <w:r>
        <w:rPr>
          <w:rFonts w:hint="eastAsia" w:ascii="宋体" w:hAnsi="宋体" w:eastAsia="宋体" w:cs="宋体"/>
          <w:color w:val="auto"/>
          <w:sz w:val="21"/>
          <w:szCs w:val="21"/>
          <w:highlight w:val="none"/>
          <w:lang w:eastAsia="zh-CN"/>
        </w:rPr>
        <w:t>的递交</w:t>
      </w:r>
    </w:p>
    <w:p w14:paraId="0408654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17.1 投标人应当按照《操作手册》规定，在招标公告规定的投标截止时间前制作并上传电子投标文件。</w:t>
      </w:r>
      <w:bookmarkStart w:id="88" w:name="_Toc513029226"/>
      <w:bookmarkEnd w:id="88"/>
      <w:bookmarkStart w:id="89" w:name="_Toc16938542"/>
      <w:bookmarkEnd w:id="89"/>
      <w:bookmarkStart w:id="90" w:name="_Toc20823298"/>
      <w:bookmarkEnd w:id="90"/>
    </w:p>
    <w:p w14:paraId="2FA27E2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可能对投标产生的影响</w:t>
      </w:r>
      <w:r>
        <w:rPr>
          <w:rFonts w:hint="eastAsia" w:ascii="宋体" w:hAnsi="宋体" w:eastAsia="宋体" w:cs="宋体"/>
          <w:color w:val="auto"/>
          <w:sz w:val="21"/>
          <w:szCs w:val="21"/>
          <w:highlight w:val="none"/>
          <w:lang w:val="zh-CN"/>
        </w:rPr>
        <w:t>，如因投标人自身原因造成的电子投标文件上传不成功的，按照本招标文件第二章第2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.1条规定做无效投标处理。</w:t>
      </w:r>
    </w:p>
    <w:p w14:paraId="38C60C4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p>
    <w:p w14:paraId="7CE2CBC4">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1" w:name="_Toc16938543"/>
      <w:bookmarkStart w:id="92" w:name="_Toc513029227"/>
      <w:bookmarkStart w:id="93" w:name="_Toc20823299"/>
      <w:r>
        <w:rPr>
          <w:rFonts w:hint="eastAsia" w:ascii="宋体" w:hAnsi="宋体" w:eastAsia="宋体" w:cs="宋体"/>
          <w:color w:val="auto"/>
          <w:sz w:val="21"/>
          <w:szCs w:val="21"/>
          <w:highlight w:val="none"/>
          <w:lang w:eastAsia="zh-CN"/>
        </w:rPr>
        <w:t>18.投标文件</w:t>
      </w:r>
      <w:bookmarkEnd w:id="91"/>
      <w:bookmarkEnd w:id="92"/>
      <w:bookmarkEnd w:id="93"/>
      <w:r>
        <w:rPr>
          <w:rFonts w:hint="eastAsia" w:ascii="宋体" w:hAnsi="宋体" w:eastAsia="宋体" w:cs="宋体"/>
          <w:color w:val="auto"/>
          <w:sz w:val="21"/>
          <w:szCs w:val="21"/>
          <w:highlight w:val="none"/>
          <w:lang w:eastAsia="zh-CN"/>
        </w:rPr>
        <w:t>的拒收</w:t>
      </w:r>
    </w:p>
    <w:p w14:paraId="2541868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投标截止时间后上传的任何投标文件将被拒绝。</w:t>
      </w:r>
    </w:p>
    <w:p w14:paraId="32771BC5">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4" w:name="_Toc20823300"/>
      <w:bookmarkStart w:id="95" w:name="_Toc513029228"/>
      <w:bookmarkStart w:id="96" w:name="_Toc16938544"/>
      <w:r>
        <w:rPr>
          <w:rFonts w:hint="eastAsia" w:ascii="宋体" w:hAnsi="宋体" w:eastAsia="宋体" w:cs="宋体"/>
          <w:color w:val="auto"/>
          <w:sz w:val="21"/>
          <w:szCs w:val="21"/>
          <w:highlight w:val="none"/>
          <w:lang w:eastAsia="zh-CN"/>
        </w:rPr>
        <w:t>19.投标文件的撤回和修改</w:t>
      </w:r>
      <w:bookmarkEnd w:id="94"/>
      <w:bookmarkEnd w:id="95"/>
      <w:bookmarkEnd w:id="96"/>
    </w:p>
    <w:p w14:paraId="1834237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 投标文件的撤回</w:t>
      </w:r>
    </w:p>
    <w:p w14:paraId="20D17F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投标人可在投标截止时间前撤回其电子投标文件，具体操作方法见《操作手册》。</w:t>
      </w:r>
    </w:p>
    <w:p w14:paraId="5238214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投标人撤回电子投标文件，则认为其不再参与本项目投标活动。</w:t>
      </w:r>
    </w:p>
    <w:p w14:paraId="0078307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 投标文件的修改</w:t>
      </w:r>
    </w:p>
    <w:p w14:paraId="778181B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投标人可在投标截止时间前对其电子投标文件进行修改，具体操作方法见《操作手册》。</w:t>
      </w:r>
    </w:p>
    <w:p w14:paraId="4884471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投标截止时间之后，投标人不得对其电子投标文件作任何修改。</w:t>
      </w:r>
    </w:p>
    <w:p w14:paraId="7274CD3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.3 在投标截止时间至招标文件中规定的投标有效期满之间的这段时间内，投标人不得撤回其投标。</w:t>
      </w:r>
      <w:bookmarkStart w:id="97" w:name="_Toc20823301"/>
      <w:bookmarkStart w:id="98" w:name="_Toc120614218"/>
      <w:bookmarkStart w:id="99" w:name="_Toc16938545"/>
      <w:bookmarkStart w:id="100" w:name="_Toc513029229"/>
    </w:p>
    <w:p w14:paraId="2D548CD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五、开标与评标</w:t>
      </w:r>
      <w:bookmarkEnd w:id="97"/>
      <w:bookmarkEnd w:id="98"/>
      <w:bookmarkEnd w:id="99"/>
      <w:bookmarkEnd w:id="100"/>
    </w:p>
    <w:p w14:paraId="14A610DF">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1" w:name="_Toc20823302"/>
      <w:bookmarkStart w:id="102" w:name="_Toc513029230"/>
      <w:bookmarkStart w:id="103" w:name="_Toc16938546"/>
      <w:r>
        <w:rPr>
          <w:rFonts w:hint="eastAsia" w:ascii="宋体" w:hAnsi="宋体" w:eastAsia="宋体" w:cs="宋体"/>
          <w:color w:val="auto"/>
          <w:sz w:val="21"/>
          <w:szCs w:val="21"/>
          <w:highlight w:val="none"/>
          <w:lang w:eastAsia="zh-CN"/>
        </w:rPr>
        <w:t>20.开标</w:t>
      </w:r>
      <w:bookmarkEnd w:id="101"/>
      <w:bookmarkEnd w:id="102"/>
      <w:bookmarkEnd w:id="103"/>
    </w:p>
    <w:p w14:paraId="253F9E7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.1 招标代理在招标公告中规定的时间和地点组织公开开标。投标人按照《操作手册》规定参加开标活动，并在苏采云系统规定的时间内对投标文件进行解密。苏采云系统公布各投标人名称和投标价格。</w:t>
      </w:r>
    </w:p>
    <w:p w14:paraId="57F46F5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投标人在开标过程中涉及到的投标文件解密、开标结果确认等工作，应按照《操作手册》规定执行。</w:t>
      </w:r>
    </w:p>
    <w:p w14:paraId="5226FFC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投标人如果对开标过程和开标</w:t>
      </w:r>
      <w:r>
        <w:rPr>
          <w:rFonts w:hint="eastAsia" w:ascii="宋体" w:hAnsi="宋体" w:eastAsia="宋体" w:cs="宋体"/>
          <w:color w:val="auto"/>
          <w:sz w:val="21"/>
          <w:szCs w:val="21"/>
          <w:highlight w:val="none"/>
        </w:rPr>
        <w:t>结果</w:t>
      </w:r>
      <w:r>
        <w:rPr>
          <w:rFonts w:hint="eastAsia" w:ascii="宋体" w:hAnsi="宋体" w:eastAsia="宋体" w:cs="宋体"/>
          <w:color w:val="auto"/>
          <w:sz w:val="21"/>
          <w:szCs w:val="21"/>
          <w:highlight w:val="none"/>
          <w:lang w:val="zh-CN"/>
        </w:rPr>
        <w:t>有疑义，应当根据《操作手册》规定提出，苏采云系统中《开标记录表》公布后5分钟内未提出的，视同认可开标结果。</w:t>
      </w:r>
    </w:p>
    <w:p w14:paraId="1F27A6F2">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4" w:name="_Toc513029231"/>
      <w:bookmarkStart w:id="105" w:name="_Toc20823303"/>
      <w:bookmarkStart w:id="106" w:name="_Toc16938547"/>
      <w:r>
        <w:rPr>
          <w:rFonts w:hint="eastAsia" w:ascii="宋体" w:hAnsi="宋体" w:eastAsia="宋体" w:cs="宋体"/>
          <w:color w:val="auto"/>
          <w:sz w:val="21"/>
          <w:szCs w:val="21"/>
          <w:highlight w:val="none"/>
          <w:lang w:eastAsia="zh-CN"/>
        </w:rPr>
        <w:t>21.评标</w:t>
      </w:r>
    </w:p>
    <w:p w14:paraId="042C30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评标由依法组建的</w:t>
      </w:r>
      <w:r>
        <w:rPr>
          <w:rFonts w:hint="eastAsia" w:ascii="宋体" w:hAnsi="宋体" w:eastAsia="宋体" w:cs="宋体"/>
          <w:color w:val="auto"/>
          <w:sz w:val="21"/>
          <w:szCs w:val="21"/>
          <w:highlight w:val="none"/>
          <w:lang w:val="zh-CN"/>
        </w:rPr>
        <w:t>评标委员会（以下简称“评委会”）进行。</w:t>
      </w:r>
    </w:p>
    <w:p w14:paraId="7FD4434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.2 评委会由采购人代表和有关方面专家组成，人员构成符合政府采购有关规定。</w:t>
      </w:r>
    </w:p>
    <w:p w14:paraId="3F09E91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评委会独立工作，负责评审所有投标文件并</w:t>
      </w:r>
      <w:r>
        <w:rPr>
          <w:rFonts w:hint="eastAsia" w:ascii="宋体" w:hAnsi="宋体" w:eastAsia="宋体" w:cs="宋体"/>
          <w:color w:val="auto"/>
          <w:sz w:val="21"/>
          <w:szCs w:val="21"/>
          <w:highlight w:val="none"/>
        </w:rPr>
        <w:t>推荐</w:t>
      </w:r>
      <w:r>
        <w:rPr>
          <w:rFonts w:hint="eastAsia" w:ascii="宋体" w:hAnsi="宋体" w:eastAsia="宋体" w:cs="宋体"/>
          <w:color w:val="auto"/>
          <w:sz w:val="21"/>
          <w:szCs w:val="21"/>
          <w:highlight w:val="none"/>
          <w:lang w:val="zh-CN"/>
        </w:rPr>
        <w:t>中标候选人，</w:t>
      </w:r>
      <w:r>
        <w:rPr>
          <w:rFonts w:hint="eastAsia" w:ascii="宋体" w:hAnsi="宋体" w:eastAsia="宋体" w:cs="宋体"/>
          <w:color w:val="auto"/>
          <w:sz w:val="21"/>
          <w:szCs w:val="21"/>
          <w:highlight w:val="none"/>
        </w:rPr>
        <w:t>或根据采购人授权直接确定中标人</w:t>
      </w:r>
      <w:r>
        <w:rPr>
          <w:rFonts w:hint="eastAsia" w:ascii="宋体" w:hAnsi="宋体" w:eastAsia="宋体" w:cs="宋体"/>
          <w:color w:val="auto"/>
          <w:sz w:val="21"/>
          <w:szCs w:val="21"/>
          <w:highlight w:val="none"/>
          <w:lang w:val="zh-CN"/>
        </w:rPr>
        <w:t>。</w:t>
      </w:r>
    </w:p>
    <w:p w14:paraId="777A766E">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22.评标过程的保密与公正</w:t>
      </w:r>
      <w:bookmarkEnd w:id="104"/>
      <w:bookmarkEnd w:id="105"/>
      <w:bookmarkEnd w:id="106"/>
    </w:p>
    <w:p w14:paraId="73E533E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凡是与审查、澄清、评价和比较投标的有关资料以及授标建议等，采购人、评委、招标代理均不得向投标人或与评标无关的其他人员透露。</w:t>
      </w:r>
    </w:p>
    <w:p w14:paraId="134C0B9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投标人不得以任何</w:t>
      </w:r>
      <w:r>
        <w:rPr>
          <w:rFonts w:hint="eastAsia" w:ascii="宋体" w:hAnsi="宋体" w:eastAsia="宋体" w:cs="宋体"/>
          <w:color w:val="auto"/>
          <w:sz w:val="21"/>
          <w:szCs w:val="21"/>
          <w:highlight w:val="none"/>
        </w:rPr>
        <w:t>方式</w:t>
      </w:r>
      <w:r>
        <w:rPr>
          <w:rFonts w:hint="eastAsia" w:ascii="宋体" w:hAnsi="宋体" w:eastAsia="宋体" w:cs="宋体"/>
          <w:color w:val="auto"/>
          <w:sz w:val="21"/>
          <w:szCs w:val="21"/>
          <w:highlight w:val="none"/>
          <w:lang w:val="zh-CN"/>
        </w:rPr>
        <w:t>影响评标，否则其投标文件将被作为无效投标文件。</w:t>
      </w:r>
    </w:p>
    <w:p w14:paraId="5CEA893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 招标代理和评委会不向未中标的投标人解释未中标原因，也不公布评标过程中的相关细节。</w:t>
      </w:r>
    </w:p>
    <w:p w14:paraId="34E8C87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本单位</w:t>
      </w:r>
      <w:r>
        <w:rPr>
          <w:rFonts w:hint="eastAsia" w:ascii="宋体" w:hAnsi="宋体" w:eastAsia="宋体" w:cs="宋体"/>
          <w:color w:val="auto"/>
          <w:sz w:val="21"/>
          <w:szCs w:val="21"/>
          <w:highlight w:val="none"/>
          <w:lang w:val="zh-CN"/>
        </w:rPr>
        <w:t>的评审得分及排</w:t>
      </w: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zh-CN"/>
        </w:rPr>
        <w:t>情况。</w:t>
      </w:r>
    </w:p>
    <w:p w14:paraId="5E472EF4">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7" w:name="_Toc20823304"/>
      <w:bookmarkStart w:id="108" w:name="_Toc16938548"/>
      <w:bookmarkStart w:id="109" w:name="_Toc513029232"/>
      <w:r>
        <w:rPr>
          <w:rFonts w:hint="eastAsia" w:ascii="宋体" w:hAnsi="宋体" w:eastAsia="宋体" w:cs="宋体"/>
          <w:color w:val="auto"/>
          <w:sz w:val="21"/>
          <w:szCs w:val="21"/>
          <w:highlight w:val="none"/>
          <w:lang w:eastAsia="zh-CN"/>
        </w:rPr>
        <w:t>23.投标文件的澄清</w:t>
      </w:r>
      <w:bookmarkEnd w:id="107"/>
      <w:bookmarkEnd w:id="108"/>
      <w:bookmarkEnd w:id="109"/>
    </w:p>
    <w:p w14:paraId="64929C2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评标期间，评委会对投标文件中含义不明确、同类问题表述不一致或者有明显文字和计算错误的内容，有权要求投标人作出必要的澄清、说明或者补正。</w:t>
      </w:r>
    </w:p>
    <w:p w14:paraId="63982A9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投标人的澄清、说明或者补正不得超出投标文件的范围或者改变投标文件的实质性内容。</w:t>
      </w:r>
    </w:p>
    <w:p w14:paraId="6ADFC83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评委会并非对每个投标人都做澄清要求。</w:t>
      </w:r>
    </w:p>
    <w:p w14:paraId="0EA783D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需要供应商进行澄清、说明和补正的，评委会将通过苏采云系统向</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发出《澄清要求函》，接到《澄清要求函》的</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应当按照要求在苏采云系统中提交《澄清响应函》并加盖电子公章。澄清、说明和补正的内容作为投标文件的补充部分，具体操作方式见《操作手册》。</w:t>
      </w:r>
    </w:p>
    <w:p w14:paraId="315890A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.3 接到评委会澄清、说明和补正要求的，投标人如未按规定</w:t>
      </w:r>
      <w:r>
        <w:rPr>
          <w:rFonts w:hint="eastAsia" w:ascii="宋体" w:hAnsi="宋体" w:eastAsia="宋体" w:cs="宋体"/>
          <w:color w:val="auto"/>
          <w:sz w:val="21"/>
          <w:szCs w:val="21"/>
          <w:highlight w:val="none"/>
        </w:rPr>
        <w:t>作</w:t>
      </w:r>
      <w:r>
        <w:rPr>
          <w:rFonts w:hint="eastAsia" w:ascii="宋体" w:hAnsi="宋体" w:eastAsia="宋体" w:cs="宋体"/>
          <w:color w:val="auto"/>
          <w:sz w:val="21"/>
          <w:szCs w:val="21"/>
          <w:highlight w:val="none"/>
          <w:lang w:val="zh-CN"/>
        </w:rPr>
        <w:t>出澄清、说明和补正，其风险由投标人自行承担。</w:t>
      </w:r>
    </w:p>
    <w:p w14:paraId="52A8B8A3">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10" w:name="_Toc20823305"/>
      <w:bookmarkStart w:id="111" w:name="_Toc16938549"/>
      <w:bookmarkStart w:id="112" w:name="_Toc513029233"/>
      <w:r>
        <w:rPr>
          <w:rFonts w:hint="eastAsia" w:ascii="宋体" w:hAnsi="宋体" w:eastAsia="宋体" w:cs="宋体"/>
          <w:color w:val="auto"/>
          <w:sz w:val="21"/>
          <w:szCs w:val="21"/>
          <w:highlight w:val="none"/>
          <w:lang w:eastAsia="zh-CN"/>
        </w:rPr>
        <w:t>24.投标文件的</w:t>
      </w:r>
      <w:bookmarkEnd w:id="110"/>
      <w:bookmarkEnd w:id="111"/>
      <w:bookmarkEnd w:id="112"/>
      <w:r>
        <w:rPr>
          <w:rFonts w:hint="eastAsia" w:ascii="宋体" w:hAnsi="宋体" w:eastAsia="宋体" w:cs="宋体"/>
          <w:color w:val="auto"/>
          <w:sz w:val="21"/>
          <w:szCs w:val="21"/>
          <w:highlight w:val="none"/>
          <w:lang w:eastAsia="zh-CN"/>
        </w:rPr>
        <w:t>审查</w:t>
      </w:r>
    </w:p>
    <w:p w14:paraId="1092610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投标文件审查分为资格审查和符合性审查。</w:t>
      </w:r>
    </w:p>
    <w:p w14:paraId="785EDF0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资格审查。依据法律法规和招标文件规定，由采购人对投标文件中的资格证明文件进行审查，</w:t>
      </w:r>
      <w:r>
        <w:rPr>
          <w:rFonts w:hint="eastAsia" w:ascii="宋体" w:hAnsi="宋体" w:eastAsia="宋体" w:cs="宋体"/>
          <w:color w:val="auto"/>
          <w:sz w:val="21"/>
          <w:szCs w:val="21"/>
          <w:highlight w:val="none"/>
        </w:rPr>
        <w:t>并</w:t>
      </w:r>
      <w:r>
        <w:rPr>
          <w:rFonts w:hint="eastAsia" w:ascii="宋体" w:hAnsi="宋体" w:eastAsia="宋体" w:cs="宋体"/>
          <w:color w:val="auto"/>
          <w:sz w:val="21"/>
          <w:szCs w:val="21"/>
          <w:highlight w:val="none"/>
          <w:lang w:val="zh-CN"/>
        </w:rPr>
        <w:t>向评委会反馈</w:t>
      </w:r>
      <w:r>
        <w:rPr>
          <w:rFonts w:hint="eastAsia" w:ascii="宋体" w:hAnsi="宋体" w:eastAsia="宋体" w:cs="宋体"/>
          <w:color w:val="auto"/>
          <w:sz w:val="21"/>
          <w:szCs w:val="21"/>
          <w:highlight w:val="none"/>
        </w:rPr>
        <w:t>审查结论</w:t>
      </w:r>
      <w:r>
        <w:rPr>
          <w:rFonts w:hint="eastAsia" w:ascii="宋体" w:hAnsi="宋体" w:eastAsia="宋体" w:cs="宋体"/>
          <w:color w:val="auto"/>
          <w:sz w:val="21"/>
          <w:szCs w:val="21"/>
          <w:highlight w:val="none"/>
          <w:lang w:val="zh-CN"/>
        </w:rPr>
        <w:t>。</w:t>
      </w:r>
    </w:p>
    <w:p w14:paraId="7C06D7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采购人进行资格审查时，将在“信用中国”网站（www.creditchina.gov.cn）查询投标人的信用记录，以确定投标人是否具备投标资格，查询结果留存并归档。</w:t>
      </w:r>
    </w:p>
    <w:p w14:paraId="5949156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接受联合体的项目，联合体成员存在不良信用记录的，视同联合体存在不良</w:t>
      </w:r>
      <w:r>
        <w:rPr>
          <w:rFonts w:hint="eastAsia" w:ascii="宋体" w:hAnsi="宋体" w:eastAsia="宋体" w:cs="宋体"/>
          <w:color w:val="auto"/>
          <w:sz w:val="21"/>
          <w:szCs w:val="21"/>
          <w:highlight w:val="none"/>
        </w:rPr>
        <w:t>信</w:t>
      </w:r>
      <w:r>
        <w:rPr>
          <w:rFonts w:hint="eastAsia" w:ascii="宋体" w:hAnsi="宋体" w:eastAsia="宋体" w:cs="宋体"/>
          <w:color w:val="auto"/>
          <w:sz w:val="21"/>
          <w:szCs w:val="21"/>
          <w:highlight w:val="none"/>
          <w:lang w:val="zh-CN"/>
        </w:rPr>
        <w:t>用记录。</w:t>
      </w:r>
    </w:p>
    <w:p w14:paraId="5BED5C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符合性审查。依据招标文件的规定，由评委会从有效性、完整性和对招标文件的响应程度</w:t>
      </w:r>
      <w:r>
        <w:rPr>
          <w:rFonts w:hint="eastAsia" w:ascii="宋体" w:hAnsi="宋体" w:eastAsia="宋体" w:cs="宋体"/>
          <w:color w:val="auto"/>
          <w:sz w:val="21"/>
          <w:szCs w:val="21"/>
          <w:highlight w:val="none"/>
        </w:rPr>
        <w:t>等方面对投标文件</w:t>
      </w:r>
      <w:r>
        <w:rPr>
          <w:rFonts w:hint="eastAsia" w:ascii="宋体" w:hAnsi="宋体" w:eastAsia="宋体" w:cs="宋体"/>
          <w:color w:val="auto"/>
          <w:sz w:val="21"/>
          <w:szCs w:val="21"/>
          <w:highlight w:val="none"/>
          <w:lang w:val="zh-CN"/>
        </w:rPr>
        <w:t>进行审查，以确定是否对招标文件的实质性要求作出响应。</w:t>
      </w:r>
    </w:p>
    <w:p w14:paraId="7F9C7A3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未通过资格审查或符合性审查的投标人，招标代理将</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苏采云系统告知</w:t>
      </w:r>
      <w:r>
        <w:rPr>
          <w:rFonts w:hint="eastAsia" w:ascii="宋体" w:hAnsi="宋体" w:eastAsia="宋体" w:cs="宋体"/>
          <w:color w:val="auto"/>
          <w:sz w:val="21"/>
          <w:szCs w:val="21"/>
          <w:highlight w:val="none"/>
        </w:rPr>
        <w:t>其具体</w:t>
      </w:r>
      <w:r>
        <w:rPr>
          <w:rFonts w:hint="eastAsia" w:ascii="宋体" w:hAnsi="宋体" w:eastAsia="宋体" w:cs="宋体"/>
          <w:color w:val="auto"/>
          <w:sz w:val="21"/>
          <w:szCs w:val="21"/>
          <w:highlight w:val="none"/>
          <w:lang w:val="zh-CN"/>
        </w:rPr>
        <w:t>原因，评标结束后</w:t>
      </w:r>
      <w:r>
        <w:rPr>
          <w:rFonts w:hint="eastAsia" w:ascii="宋体" w:hAnsi="宋体" w:eastAsia="宋体" w:cs="宋体"/>
          <w:color w:val="auto"/>
          <w:sz w:val="21"/>
          <w:szCs w:val="21"/>
          <w:highlight w:val="none"/>
        </w:rPr>
        <w:t>不再接受有关询问</w:t>
      </w:r>
      <w:r>
        <w:rPr>
          <w:rFonts w:hint="eastAsia" w:ascii="宋体" w:hAnsi="宋体" w:eastAsia="宋体" w:cs="宋体"/>
          <w:color w:val="auto"/>
          <w:sz w:val="21"/>
          <w:szCs w:val="21"/>
          <w:highlight w:val="none"/>
          <w:lang w:val="zh-CN"/>
        </w:rPr>
        <w:t>。</w:t>
      </w:r>
    </w:p>
    <w:p w14:paraId="59E3E44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仅对</w:t>
      </w:r>
      <w:r>
        <w:rPr>
          <w:rFonts w:hint="eastAsia" w:ascii="宋体" w:hAnsi="宋体" w:eastAsia="宋体" w:cs="宋体"/>
          <w:color w:val="auto"/>
          <w:sz w:val="21"/>
          <w:szCs w:val="21"/>
          <w:highlight w:val="none"/>
          <w:lang w:val="zh-CN"/>
        </w:rPr>
        <w:t>实质性响应招标文件要求</w:t>
      </w:r>
      <w:r>
        <w:rPr>
          <w:rFonts w:hint="eastAsia" w:ascii="宋体" w:hAnsi="宋体" w:eastAsia="宋体" w:cs="宋体"/>
          <w:color w:val="auto"/>
          <w:sz w:val="21"/>
          <w:szCs w:val="21"/>
          <w:highlight w:val="none"/>
        </w:rPr>
        <w:t>的投标文件进行详细评审</w:t>
      </w:r>
      <w:r>
        <w:rPr>
          <w:rFonts w:hint="eastAsia" w:ascii="宋体" w:hAnsi="宋体" w:eastAsia="宋体" w:cs="宋体"/>
          <w:color w:val="auto"/>
          <w:sz w:val="21"/>
          <w:szCs w:val="21"/>
          <w:highlight w:val="none"/>
          <w:lang w:val="zh-CN"/>
        </w:rPr>
        <w:t>。实质性响应的投标文件应该是与招标文件要求的全部条款、条件和规格相符，没有重大偏离或保留的文件。</w:t>
      </w:r>
    </w:p>
    <w:p w14:paraId="34C6EC7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val="zh-CN"/>
        </w:rPr>
        <w:t>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少数服从多数的原则作出结论。评委</w:t>
      </w:r>
      <w:r>
        <w:rPr>
          <w:rFonts w:hint="eastAsia" w:ascii="宋体" w:hAnsi="宋体" w:eastAsia="宋体" w:cs="宋体"/>
          <w:color w:val="auto"/>
          <w:sz w:val="21"/>
          <w:szCs w:val="21"/>
          <w:highlight w:val="none"/>
        </w:rPr>
        <w:t>会认</w:t>
      </w:r>
      <w:r>
        <w:rPr>
          <w:rFonts w:hint="eastAsia" w:ascii="宋体" w:hAnsi="宋体" w:eastAsia="宋体" w:cs="宋体"/>
          <w:color w:val="auto"/>
          <w:sz w:val="21"/>
          <w:szCs w:val="21"/>
          <w:highlight w:val="none"/>
          <w:lang w:val="zh-CN"/>
        </w:rPr>
        <w:t>定投标文件的响应性只根据投标文件本身的内容，而不寻求外部的证据。</w:t>
      </w:r>
    </w:p>
    <w:p w14:paraId="6DDD9F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如果投标文件实质上没有响应招标文件的要求，评委会将予以拒绝，投标人不得通过修改或撤销不合要求的偏离或保留而使其投标成为实质性响应的投标。</w:t>
      </w:r>
    </w:p>
    <w:p w14:paraId="1279699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评委会将对确定为实质性响应的投标进行进一步审核，确定其是否有计算上或累加上的算术错误。修正错误的原则如下：</w:t>
      </w:r>
    </w:p>
    <w:p w14:paraId="62614CF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（1）投标文件中开标一览表内容与投标文件中相应内容不一致的，以开标一览表为准；</w:t>
      </w:r>
    </w:p>
    <w:p w14:paraId="231A134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（2）大写金额和小写金额不一致的，以大写金额为准；</w:t>
      </w:r>
    </w:p>
    <w:p w14:paraId="0500DBE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（3）单价金额小数点或者百分比有明显错位的，以开标一览表的总价为准，并修改单价；</w:t>
      </w:r>
    </w:p>
    <w:p w14:paraId="78AD25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（4）总价金额与按单价汇总金额不一致的，以单价金额计算结果为准。</w:t>
      </w:r>
    </w:p>
    <w:p w14:paraId="4F0F11E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同时出现两种以上错误的，按照前款规定的顺序修正。</w:t>
      </w:r>
    </w:p>
    <w:p w14:paraId="3C0579D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15DC74F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3" w:name="_Toc513029234"/>
      <w:bookmarkStart w:id="114" w:name="_Toc20823306"/>
      <w:bookmarkStart w:id="115" w:name="_Toc1693855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投标人在开、评标全过程中应保持通讯畅通，及时登录苏采云系统查阅、答复相关信息，并安排专人与招标代理及评委会联系。</w:t>
      </w:r>
    </w:p>
    <w:p w14:paraId="7C4A4525">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bookmarkEnd w:id="113"/>
      <w:bookmarkEnd w:id="114"/>
      <w:bookmarkEnd w:id="115"/>
      <w:r>
        <w:rPr>
          <w:rFonts w:hint="eastAsia" w:ascii="宋体" w:hAnsi="宋体" w:eastAsia="宋体" w:cs="宋体"/>
          <w:color w:val="auto"/>
          <w:sz w:val="21"/>
          <w:szCs w:val="21"/>
          <w:highlight w:val="none"/>
          <w:lang w:eastAsia="zh-CN"/>
        </w:rPr>
        <w:t>5.无效投标和废标</w:t>
      </w:r>
    </w:p>
    <w:p w14:paraId="2E8431C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6" w:name="_Toc16938551"/>
      <w:bookmarkStart w:id="117" w:name="_Toc20823307"/>
      <w:bookmarkStart w:id="118" w:name="_Toc513029235"/>
      <w:bookmarkStart w:id="119" w:name="_Toc120614219"/>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无效投标</w:t>
      </w:r>
      <w:r>
        <w:rPr>
          <w:rFonts w:hint="eastAsia" w:ascii="宋体" w:hAnsi="宋体" w:eastAsia="宋体" w:cs="宋体"/>
          <w:color w:val="auto"/>
          <w:sz w:val="21"/>
          <w:szCs w:val="21"/>
          <w:highlight w:val="none"/>
        </w:rPr>
        <w:t>情形</w:t>
      </w:r>
    </w:p>
    <w:p w14:paraId="78DC9DA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投标人在苏采云系统规定的时间内未成功解密电子投标文件。</w:t>
      </w:r>
    </w:p>
    <w:p w14:paraId="293240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投标人未按照招标文件要求上传电子投标文件。</w:t>
      </w:r>
    </w:p>
    <w:p w14:paraId="6674755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同一投标人提交两个（含两个）以上不同的投标报价。</w:t>
      </w:r>
    </w:p>
    <w:p w14:paraId="3C18E84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投标人不具备招标文件中规定资格要求。</w:t>
      </w:r>
    </w:p>
    <w:p w14:paraId="5365E1C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投标人的报价超过了采购预算或最高限价</w:t>
      </w:r>
      <w:r>
        <w:rPr>
          <w:rFonts w:hint="eastAsia" w:ascii="宋体" w:hAnsi="宋体" w:eastAsia="宋体" w:cs="宋体"/>
          <w:color w:val="auto"/>
          <w:sz w:val="21"/>
          <w:szCs w:val="21"/>
          <w:highlight w:val="none"/>
        </w:rPr>
        <w:t>或单价上限</w:t>
      </w:r>
      <w:r>
        <w:rPr>
          <w:rFonts w:hint="eastAsia" w:ascii="宋体" w:hAnsi="宋体" w:eastAsia="宋体" w:cs="宋体"/>
          <w:color w:val="auto"/>
          <w:sz w:val="21"/>
          <w:szCs w:val="21"/>
          <w:highlight w:val="none"/>
          <w:lang w:val="zh-CN"/>
        </w:rPr>
        <w:t>。</w:t>
      </w:r>
    </w:p>
    <w:p w14:paraId="6CD431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未通过符合性审查。</w:t>
      </w:r>
    </w:p>
    <w:p w14:paraId="3E7433A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不符合招标文件中实质性要求和条件（</w:t>
      </w:r>
      <w:r>
        <w:rPr>
          <w:rFonts w:hint="eastAsia" w:ascii="宋体" w:hAnsi="宋体" w:eastAsia="宋体" w:cs="宋体"/>
          <w:b/>
          <w:bCs/>
          <w:color w:val="auto"/>
          <w:sz w:val="21"/>
          <w:szCs w:val="21"/>
          <w:highlight w:val="none"/>
          <w:lang w:val="zh-CN"/>
        </w:rPr>
        <w:t>本文件中斜体且有下划线部分，或者打“</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zh-CN"/>
        </w:rPr>
        <w:t>”内容为实质性要求和条件</w:t>
      </w:r>
      <w:r>
        <w:rPr>
          <w:rFonts w:hint="eastAsia" w:ascii="宋体" w:hAnsi="宋体" w:eastAsia="宋体" w:cs="宋体"/>
          <w:color w:val="auto"/>
          <w:sz w:val="21"/>
          <w:szCs w:val="21"/>
          <w:highlight w:val="none"/>
          <w:lang w:val="zh-CN"/>
        </w:rPr>
        <w:t>）。</w:t>
      </w:r>
    </w:p>
    <w:p w14:paraId="256488E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p>
    <w:p w14:paraId="39D9523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投标文件含有采购人不能接受的附加条件。</w:t>
      </w:r>
    </w:p>
    <w:p w14:paraId="6FF4202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6A61AAC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25.1.11 采购产品被财政部、国家发改委、生态环境部等列入“节能产品品目清单”强制采购范围，而投标人提供的产品不在强制采购范围内。</w:t>
      </w:r>
    </w:p>
    <w:p w14:paraId="465F1D6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25.1.12 投标文件未按照招标文件要求加盖电子公章。</w:t>
      </w:r>
    </w:p>
    <w:p w14:paraId="0CF0791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法律法规及本招标文件规定的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无效投标情形。</w:t>
      </w:r>
    </w:p>
    <w:p w14:paraId="3EB4CEC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废标</w:t>
      </w:r>
      <w:r>
        <w:rPr>
          <w:rFonts w:hint="eastAsia" w:ascii="宋体" w:hAnsi="宋体" w:eastAsia="宋体" w:cs="宋体"/>
          <w:color w:val="auto"/>
          <w:sz w:val="21"/>
          <w:szCs w:val="21"/>
          <w:highlight w:val="none"/>
        </w:rPr>
        <w:t>情形</w:t>
      </w:r>
    </w:p>
    <w:p w14:paraId="61BAC6D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符合资格条件的供应商或者对招标文件作实质响应的供应商不足三家。</w:t>
      </w:r>
    </w:p>
    <w:p w14:paraId="49BCA26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出现影响采购公正的违法、违规行为。</w:t>
      </w:r>
    </w:p>
    <w:p w14:paraId="4F142C9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因重大变故采购任务取消。</w:t>
      </w:r>
    </w:p>
    <w:p w14:paraId="5D8DA9A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评委会认定招标文件存在歧义、重大缺陷导致评审工作无法进行。</w:t>
      </w:r>
    </w:p>
    <w:p w14:paraId="0B97FF8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25.2.5 因苏采云系统故障造成开标不成功。</w:t>
      </w:r>
    </w:p>
    <w:p w14:paraId="0C1A6E3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25.3 如出现投标截止时间后参加投标的供应商或者对招标文件作出实质性响应的供应商不足三家的情况，按政府采购相关规定执行。</w:t>
      </w:r>
    </w:p>
    <w:p w14:paraId="53AB359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25.4 如出现25.2.1或25.3情形，招标活动失败，评审委员会</w:t>
      </w:r>
      <w:r>
        <w:rPr>
          <w:rFonts w:hint="eastAsia" w:ascii="宋体" w:hAnsi="宋体" w:eastAsia="宋体" w:cs="宋体"/>
          <w:color w:val="auto"/>
          <w:sz w:val="21"/>
          <w:szCs w:val="21"/>
          <w:highlight w:val="none"/>
        </w:rPr>
        <w:t>应对</w:t>
      </w:r>
      <w:r>
        <w:rPr>
          <w:rFonts w:hint="eastAsia" w:ascii="宋体" w:hAnsi="宋体" w:eastAsia="宋体" w:cs="宋体"/>
          <w:color w:val="auto"/>
          <w:sz w:val="21"/>
          <w:szCs w:val="21"/>
          <w:highlight w:val="none"/>
          <w:lang w:val="zh-CN"/>
        </w:rPr>
        <w:t>招标文件是否存在不合理条款</w:t>
      </w:r>
      <w:r>
        <w:rPr>
          <w:rFonts w:hint="eastAsia" w:ascii="宋体" w:hAnsi="宋体" w:eastAsia="宋体" w:cs="宋体"/>
          <w:color w:val="auto"/>
          <w:sz w:val="21"/>
          <w:szCs w:val="21"/>
          <w:highlight w:val="none"/>
        </w:rPr>
        <w:t>进行论证，并在评审报告中写明</w:t>
      </w:r>
      <w:r>
        <w:rPr>
          <w:rFonts w:hint="eastAsia" w:ascii="宋体" w:hAnsi="宋体" w:eastAsia="宋体" w:cs="宋体"/>
          <w:color w:val="auto"/>
          <w:sz w:val="21"/>
          <w:szCs w:val="21"/>
          <w:highlight w:val="none"/>
          <w:lang w:val="zh-CN"/>
        </w:rPr>
        <w:t>论证意见。</w:t>
      </w:r>
    </w:p>
    <w:p w14:paraId="08D0C18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六、</w:t>
      </w:r>
      <w:bookmarkEnd w:id="116"/>
      <w:bookmarkEnd w:id="117"/>
      <w:bookmarkEnd w:id="118"/>
      <w:r>
        <w:rPr>
          <w:rFonts w:hint="eastAsia" w:ascii="宋体" w:hAnsi="宋体" w:eastAsia="宋体" w:cs="宋体"/>
          <w:b w:val="0"/>
          <w:bCs w:val="0"/>
          <w:color w:val="auto"/>
          <w:sz w:val="21"/>
          <w:szCs w:val="21"/>
          <w:highlight w:val="none"/>
          <w:lang w:eastAsia="zh-CN"/>
        </w:rPr>
        <w:t>定标</w:t>
      </w:r>
      <w:bookmarkEnd w:id="119"/>
    </w:p>
    <w:p w14:paraId="43185A93">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0" w:name="_Toc513029238"/>
      <w:bookmarkStart w:id="121" w:name="_Toc16938554"/>
      <w:bookmarkStart w:id="122" w:name="_Toc20823310"/>
      <w:r>
        <w:rPr>
          <w:rFonts w:hint="eastAsia" w:ascii="宋体" w:hAnsi="宋体" w:eastAsia="宋体" w:cs="宋体"/>
          <w:color w:val="auto"/>
          <w:sz w:val="21"/>
          <w:szCs w:val="21"/>
          <w:highlight w:val="none"/>
          <w:lang w:eastAsia="zh-CN"/>
        </w:rPr>
        <w:t>2</w:t>
      </w:r>
      <w:bookmarkEnd w:id="120"/>
      <w:r>
        <w:rPr>
          <w:rFonts w:hint="eastAsia" w:ascii="宋体" w:hAnsi="宋体" w:eastAsia="宋体" w:cs="宋体"/>
          <w:color w:val="auto"/>
          <w:sz w:val="21"/>
          <w:szCs w:val="21"/>
          <w:highlight w:val="none"/>
          <w:lang w:eastAsia="zh-CN"/>
        </w:rPr>
        <w:t>6.确定</w:t>
      </w:r>
      <w:bookmarkEnd w:id="121"/>
      <w:bookmarkEnd w:id="122"/>
      <w:r>
        <w:rPr>
          <w:rFonts w:hint="eastAsia" w:ascii="宋体" w:hAnsi="宋体" w:eastAsia="宋体" w:cs="宋体"/>
          <w:color w:val="auto"/>
          <w:sz w:val="21"/>
          <w:szCs w:val="21"/>
          <w:highlight w:val="none"/>
          <w:lang w:eastAsia="zh-CN"/>
        </w:rPr>
        <w:t>中标单位</w:t>
      </w:r>
    </w:p>
    <w:p w14:paraId="508EE40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中标候选人的</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zh-CN"/>
        </w:rPr>
        <w:t xml:space="preserve">原则和数量见招标文件第五章。 </w:t>
      </w:r>
    </w:p>
    <w:p w14:paraId="310DB9C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.2 按以下第（</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）种方式确定中标人：</w:t>
      </w:r>
    </w:p>
    <w:p w14:paraId="784EA7D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（1）评委会直接确定排名第一的中标候选人为中标人；</w:t>
      </w:r>
    </w:p>
    <w:p w14:paraId="40D762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（2）采购人在评委会推荐的中标候选人中按顺序确定中标人。</w:t>
      </w:r>
    </w:p>
    <w:p w14:paraId="7B4A1CF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按第二种方式确定中标人的，招标代理自评审结束之日起两个工作日内将评审报告送</w:t>
      </w:r>
      <w:r>
        <w:rPr>
          <w:rFonts w:hint="eastAsia" w:ascii="宋体" w:hAnsi="宋体" w:eastAsia="宋体" w:cs="宋体"/>
          <w:color w:val="auto"/>
          <w:sz w:val="21"/>
          <w:szCs w:val="21"/>
          <w:highlight w:val="none"/>
        </w:rPr>
        <w:t>达</w:t>
      </w:r>
      <w:r>
        <w:rPr>
          <w:rFonts w:hint="eastAsia" w:ascii="宋体" w:hAnsi="宋体" w:eastAsia="宋体" w:cs="宋体"/>
          <w:color w:val="auto"/>
          <w:sz w:val="21"/>
          <w:szCs w:val="21"/>
          <w:highlight w:val="none"/>
          <w:lang w:val="zh-CN"/>
        </w:rPr>
        <w:t>采购人，采购人自收到评审报告之日起五个工作日内，在评审报告推荐的中标候选人中按顺序确定中标人。</w:t>
      </w:r>
    </w:p>
    <w:p w14:paraId="0AAB974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.3 招标代理将在“江苏政府采购网”发布中标公告，公告期限为1个工作日。</w:t>
      </w:r>
    </w:p>
    <w:p w14:paraId="24BACD2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若有充分证据证明中标人</w:t>
      </w: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lang w:val="zh-CN"/>
        </w:rPr>
        <w:t>下列情况之一的，一经查实将被取消中标资格：</w:t>
      </w:r>
    </w:p>
    <w:p w14:paraId="339B476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提供虚假材料谋取中标。</w:t>
      </w:r>
    </w:p>
    <w:p w14:paraId="49D003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向评审专家、采购人或招标代理工作人员行贿或者提供其他不正当利益。</w:t>
      </w:r>
    </w:p>
    <w:p w14:paraId="7EFF5F6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与其他供应商、评审专家、采购人或招标代理工作人员恶意串通。</w:t>
      </w:r>
    </w:p>
    <w:p w14:paraId="4135988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属于本文件规定的无效</w:t>
      </w:r>
      <w:r>
        <w:rPr>
          <w:rFonts w:hint="eastAsia" w:ascii="宋体" w:hAnsi="宋体" w:eastAsia="宋体" w:cs="宋体"/>
          <w:color w:val="auto"/>
          <w:sz w:val="21"/>
          <w:szCs w:val="21"/>
          <w:highlight w:val="none"/>
        </w:rPr>
        <w:t>投标情形</w:t>
      </w:r>
      <w:r>
        <w:rPr>
          <w:rFonts w:hint="eastAsia" w:ascii="宋体" w:hAnsi="宋体" w:eastAsia="宋体" w:cs="宋体"/>
          <w:color w:val="auto"/>
          <w:sz w:val="21"/>
          <w:szCs w:val="21"/>
          <w:highlight w:val="none"/>
          <w:lang w:val="zh-CN"/>
        </w:rPr>
        <w:t>，但在评标过程中未被评委会发现。</w:t>
      </w:r>
    </w:p>
    <w:p w14:paraId="3861AFA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采取不正当手段诋毁、排挤其他供应商。</w:t>
      </w:r>
    </w:p>
    <w:p w14:paraId="30A201E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bookmarkStart w:id="123" w:name="_Toc20045196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有下列情形之一的视为投标人串通投标，投标无效：</w:t>
      </w:r>
    </w:p>
    <w:p w14:paraId="09A9848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不同投标人的投标文件由同一单位或者个人编制。</w:t>
      </w:r>
    </w:p>
    <w:p w14:paraId="571BA94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不同投标人委托同一单位或者个人办理投标事宜。</w:t>
      </w:r>
    </w:p>
    <w:p w14:paraId="2279CFA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不同投标人的投标文件载明的项目管理成员或者联系人员为同一人。</w:t>
      </w:r>
    </w:p>
    <w:p w14:paraId="507E3BA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不同投标人的投标文件异常一致或者投标报价呈规律性差异。</w:t>
      </w:r>
      <w:bookmarkEnd w:id="123"/>
    </w:p>
    <w:p w14:paraId="57D2EFBF">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27.中标通知书</w:t>
      </w:r>
    </w:p>
    <w:p w14:paraId="5BD941F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.l 中标结果确定后，招标代理将向中标人发出《中标通知书》。中标人</w:t>
      </w:r>
      <w:r>
        <w:rPr>
          <w:rFonts w:hint="eastAsia" w:ascii="宋体" w:hAnsi="宋体" w:eastAsia="宋体" w:cs="宋体"/>
          <w:color w:val="auto"/>
          <w:sz w:val="21"/>
          <w:szCs w:val="21"/>
          <w:highlight w:val="none"/>
        </w:rPr>
        <w:t>可</w:t>
      </w:r>
      <w:r>
        <w:rPr>
          <w:rFonts w:hint="eastAsia" w:ascii="宋体" w:hAnsi="宋体" w:eastAsia="宋体" w:cs="宋体"/>
          <w:color w:val="auto"/>
          <w:sz w:val="21"/>
          <w:szCs w:val="21"/>
          <w:highlight w:val="none"/>
          <w:lang w:val="zh-CN"/>
        </w:rPr>
        <w:t>在中标结果公告届满之日起三十日内，登录苏采云系统下载。</w:t>
      </w:r>
    </w:p>
    <w:p w14:paraId="76F345B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因系统存储空间有限，中标结果公告届满之日起三十日后，苏采云系统不再保证提供下载《中标通知书》服务，因未及时下载而造成的不利后果由中标人自行承担。</w:t>
      </w:r>
    </w:p>
    <w:p w14:paraId="037C61F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中标通知书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是合同的一个组成部分，对采购人和中标人均具有法律效力。《中标通知书》发出后，采购人改变中标结果或者中标人放弃中标项目的，应当依法承担法律责任。</w:t>
      </w:r>
    </w:p>
    <w:p w14:paraId="0004BDA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24" w:name="_Toc120614220"/>
      <w:bookmarkStart w:id="125" w:name="_Toc16938552"/>
      <w:bookmarkStart w:id="126" w:name="_Toc513029236"/>
      <w:bookmarkStart w:id="127" w:name="_Toc20823308"/>
      <w:r>
        <w:rPr>
          <w:rFonts w:hint="eastAsia" w:ascii="宋体" w:hAnsi="宋体" w:eastAsia="宋体" w:cs="宋体"/>
          <w:b w:val="0"/>
          <w:bCs w:val="0"/>
          <w:color w:val="auto"/>
          <w:sz w:val="21"/>
          <w:szCs w:val="21"/>
          <w:highlight w:val="none"/>
          <w:lang w:eastAsia="zh-CN"/>
        </w:rPr>
        <w:t>七、授予合同</w:t>
      </w:r>
      <w:bookmarkEnd w:id="124"/>
    </w:p>
    <w:bookmarkEnd w:id="125"/>
    <w:bookmarkEnd w:id="126"/>
    <w:bookmarkEnd w:id="127"/>
    <w:p w14:paraId="4048F48C">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8" w:name="_Toc20823309"/>
      <w:bookmarkStart w:id="129" w:name="_Toc513029237"/>
      <w:bookmarkStart w:id="130" w:name="_Toc16938553"/>
      <w:r>
        <w:rPr>
          <w:rFonts w:hint="eastAsia" w:ascii="宋体" w:hAnsi="宋体" w:eastAsia="宋体" w:cs="宋体"/>
          <w:color w:val="auto"/>
          <w:sz w:val="21"/>
          <w:szCs w:val="21"/>
          <w:highlight w:val="none"/>
          <w:lang w:eastAsia="zh-CN"/>
        </w:rPr>
        <w:t>28.签订合同</w:t>
      </w:r>
    </w:p>
    <w:p w14:paraId="4E894E1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中标人应当在《中标通知书》发出之日起三十日内，按照招标文件确定的事项与采购人签订政府采购合同。采购人于合同签订后2个工作日内通过苏采云系统进行公示。</w:t>
      </w:r>
    </w:p>
    <w:p w14:paraId="4153C2A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.2 招标文件、中标人的投标文件及招标过程中有关澄清、承诺文件均作为合同附件。</w:t>
      </w:r>
    </w:p>
    <w:p w14:paraId="4FCCAAB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0BB5A9A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.4 中标人因自身原因拒绝与采购人签订合同的，不得参加采购人</w:t>
      </w:r>
      <w:r>
        <w:rPr>
          <w:rFonts w:hint="eastAsia" w:ascii="宋体" w:hAnsi="宋体" w:eastAsia="宋体" w:cs="宋体"/>
          <w:color w:val="auto"/>
          <w:sz w:val="21"/>
          <w:szCs w:val="21"/>
          <w:highlight w:val="none"/>
        </w:rPr>
        <w:t>重新组织的</w:t>
      </w:r>
      <w:r>
        <w:rPr>
          <w:rFonts w:hint="eastAsia" w:ascii="宋体" w:hAnsi="宋体" w:eastAsia="宋体" w:cs="宋体"/>
          <w:color w:val="auto"/>
          <w:sz w:val="21"/>
          <w:szCs w:val="21"/>
          <w:highlight w:val="none"/>
          <w:lang w:val="zh-CN"/>
        </w:rPr>
        <w:t>采购活动</w:t>
      </w:r>
      <w:r>
        <w:rPr>
          <w:rFonts w:hint="eastAsia" w:ascii="宋体" w:hAnsi="宋体" w:eastAsia="宋体" w:cs="宋体"/>
          <w:color w:val="auto"/>
          <w:sz w:val="21"/>
          <w:szCs w:val="21"/>
          <w:highlight w:val="none"/>
        </w:rPr>
        <w:t>，且将可能被拒绝参加该采购人</w:t>
      </w:r>
      <w:r>
        <w:rPr>
          <w:rFonts w:hint="eastAsia" w:ascii="宋体" w:hAnsi="宋体" w:eastAsia="宋体" w:cs="宋体"/>
          <w:color w:val="auto"/>
          <w:sz w:val="21"/>
          <w:szCs w:val="21"/>
          <w:highlight w:val="none"/>
          <w:lang w:val="zh-CN"/>
        </w:rPr>
        <w:t>一年内</w:t>
      </w:r>
      <w:r>
        <w:rPr>
          <w:rFonts w:hint="eastAsia" w:ascii="宋体" w:hAnsi="宋体" w:eastAsia="宋体" w:cs="宋体"/>
          <w:color w:val="auto"/>
          <w:sz w:val="21"/>
          <w:szCs w:val="21"/>
          <w:highlight w:val="none"/>
        </w:rPr>
        <w:t>的其他</w:t>
      </w:r>
      <w:r>
        <w:rPr>
          <w:rFonts w:hint="eastAsia" w:ascii="宋体" w:hAnsi="宋体" w:eastAsia="宋体" w:cs="宋体"/>
          <w:color w:val="auto"/>
          <w:sz w:val="21"/>
          <w:szCs w:val="21"/>
          <w:highlight w:val="none"/>
          <w:lang w:val="zh-CN"/>
        </w:rPr>
        <w:t>政府采购活动。</w:t>
      </w:r>
    </w:p>
    <w:p w14:paraId="38CE551A">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29.标的物的追加</w:t>
      </w:r>
    </w:p>
    <w:p w14:paraId="656A632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10%。</w:t>
      </w:r>
      <w:bookmarkEnd w:id="128"/>
      <w:bookmarkEnd w:id="129"/>
      <w:bookmarkEnd w:id="130"/>
    </w:p>
    <w:p w14:paraId="52E46837">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30.政府采购履约资金扶持政策</w:t>
      </w:r>
    </w:p>
    <w:p w14:paraId="1467B95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南京市公共资源交易</w:t>
      </w:r>
      <w:r>
        <w:rPr>
          <w:rFonts w:hint="eastAsia" w:ascii="宋体" w:hAnsi="宋体" w:eastAsia="宋体" w:cs="宋体"/>
          <w:color w:val="auto"/>
          <w:sz w:val="21"/>
          <w:szCs w:val="21"/>
          <w:highlight w:val="none"/>
        </w:rPr>
        <w:t>平台</w:t>
      </w:r>
      <w:r>
        <w:rPr>
          <w:rFonts w:hint="eastAsia" w:ascii="宋体" w:hAnsi="宋体" w:eastAsia="宋体" w:cs="宋体"/>
          <w:color w:val="auto"/>
          <w:sz w:val="21"/>
          <w:szCs w:val="21"/>
          <w:highlight w:val="none"/>
          <w:lang w:val="zh-CN"/>
        </w:rPr>
        <w:t>网站“小企业融资平台”，</w:t>
      </w:r>
      <w:r>
        <w:rPr>
          <w:rFonts w:hint="eastAsia" w:ascii="宋体" w:hAnsi="宋体" w:eastAsia="宋体" w:cs="宋体"/>
          <w:color w:val="auto"/>
          <w:sz w:val="21"/>
          <w:szCs w:val="21"/>
          <w:highlight w:val="none"/>
        </w:rPr>
        <w:t>选择相应的金融机构</w:t>
      </w:r>
      <w:r>
        <w:rPr>
          <w:rFonts w:hint="eastAsia" w:ascii="宋体" w:hAnsi="宋体" w:eastAsia="宋体" w:cs="宋体"/>
          <w:color w:val="auto"/>
          <w:sz w:val="21"/>
          <w:szCs w:val="21"/>
          <w:highlight w:val="none"/>
          <w:lang w:val="zh-CN"/>
        </w:rPr>
        <w:t>办理融资贷款。</w:t>
      </w:r>
    </w:p>
    <w:p w14:paraId="624320E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w:t>
      </w:r>
    </w:p>
    <w:p w14:paraId="3D01EF9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八、质疑</w:t>
      </w:r>
    </w:p>
    <w:p w14:paraId="0506AF8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zh-CN"/>
        </w:rPr>
        <w:t>提出质疑的供应商应当是参与所质疑项目采购活动的供应商，潜在供应商依法获取其可质疑的采购文件的，可以对采购文件提出质疑。</w:t>
      </w:r>
    </w:p>
    <w:p w14:paraId="7C14D1D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按照第3</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条</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第35</w:t>
      </w:r>
      <w:r>
        <w:rPr>
          <w:rFonts w:hint="eastAsia" w:ascii="宋体" w:hAnsi="宋体" w:eastAsia="宋体" w:cs="宋体"/>
          <w:color w:val="auto"/>
          <w:sz w:val="21"/>
          <w:szCs w:val="21"/>
          <w:highlight w:val="none"/>
          <w:lang w:val="zh-CN"/>
        </w:rPr>
        <w:t>条</w:t>
      </w:r>
      <w:r>
        <w:rPr>
          <w:rFonts w:hint="eastAsia" w:ascii="宋体" w:hAnsi="宋体" w:eastAsia="宋体" w:cs="宋体"/>
          <w:color w:val="auto"/>
          <w:sz w:val="21"/>
          <w:szCs w:val="21"/>
          <w:highlight w:val="none"/>
        </w:rPr>
        <w:t>之</w:t>
      </w:r>
      <w:r>
        <w:rPr>
          <w:rFonts w:hint="eastAsia" w:ascii="宋体" w:hAnsi="宋体" w:eastAsia="宋体" w:cs="宋体"/>
          <w:color w:val="auto"/>
          <w:sz w:val="21"/>
          <w:szCs w:val="21"/>
          <w:highlight w:val="none"/>
          <w:lang w:val="zh-CN"/>
        </w:rPr>
        <w:t>规定以书面形式向采购人或招标代理提出质疑。</w:t>
      </w:r>
      <w:r>
        <w:rPr>
          <w:rFonts w:hint="eastAsia" w:ascii="宋体" w:hAnsi="宋体" w:eastAsia="宋体" w:cs="宋体"/>
          <w:b/>
          <w:bCs/>
          <w:color w:val="auto"/>
          <w:sz w:val="21"/>
          <w:szCs w:val="21"/>
          <w:highlight w:val="none"/>
          <w:lang w:val="zh-CN"/>
        </w:rPr>
        <w:t>上述应知其权益受到损害之日是指</w:t>
      </w:r>
      <w:r>
        <w:rPr>
          <w:rFonts w:hint="eastAsia" w:ascii="宋体" w:hAnsi="宋体" w:eastAsia="宋体" w:cs="宋体"/>
          <w:color w:val="auto"/>
          <w:sz w:val="21"/>
          <w:szCs w:val="21"/>
          <w:highlight w:val="none"/>
          <w:lang w:val="zh-CN"/>
        </w:rPr>
        <w:t>：</w:t>
      </w:r>
    </w:p>
    <w:p w14:paraId="7D7F745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2.1 对采购文件提出质疑的，为收到采购文件之日或者采购文件公告期限届满之日。</w:t>
      </w:r>
    </w:p>
    <w:p w14:paraId="14DE287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2.2 对采购过程提出质疑的，为各采购程序环节结束之日。</w:t>
      </w:r>
    </w:p>
    <w:p w14:paraId="36B5FAC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2.3 对中标或者成交结果提出质疑的，为中标或者成交结果公告期限届满之日。</w:t>
      </w:r>
    </w:p>
    <w:p w14:paraId="2D7DE5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zh-CN"/>
        </w:rPr>
        <w:t>供应商应当在法定质疑期内一次性提出针对同一采购程序环节的质疑。供应商如在法定期限内对同一采购程序环节提出多次质疑的，招标代理或采购人将只对供应商第一次质疑作出答复。</w:t>
      </w:r>
    </w:p>
    <w:p w14:paraId="1A3EDA2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31" w:name="_Hlk218852672"/>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lang w:val="zh-CN"/>
        </w:rPr>
        <w:t>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格式和内容填写。</w:t>
      </w:r>
      <w:r>
        <w:rPr>
          <w:rFonts w:hint="eastAsia" w:ascii="宋体" w:hAnsi="宋体" w:eastAsia="宋体" w:cs="宋体"/>
          <w:b/>
          <w:bCs/>
          <w:color w:val="auto"/>
          <w:sz w:val="21"/>
          <w:szCs w:val="21"/>
          <w:highlight w:val="none"/>
        </w:rPr>
        <w:t>由授权代表负责质疑事宜的，《质疑函》附件中应提交由质疑供应商法定代表人或主要负责人签署的《授权委托书》。</w:t>
      </w:r>
    </w:p>
    <w:p w14:paraId="344C45D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供应商如组成联合体参加采购活动，《质疑函范本》中要求加盖公章之处，联合体各方均须按要求加盖公章。</w:t>
      </w:r>
    </w:p>
    <w:p w14:paraId="08002C7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35.</w:t>
      </w:r>
      <w:r>
        <w:rPr>
          <w:rFonts w:hint="eastAsia" w:ascii="宋体" w:hAnsi="宋体" w:eastAsia="宋体" w:cs="宋体"/>
          <w:b/>
          <w:bCs/>
          <w:color w:val="auto"/>
          <w:sz w:val="21"/>
          <w:szCs w:val="21"/>
          <w:highlight w:val="none"/>
        </w:rPr>
        <w:t>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招标代理</w:t>
      </w:r>
      <w:r>
        <w:rPr>
          <w:rFonts w:hint="eastAsia" w:ascii="宋体" w:hAnsi="宋体" w:eastAsia="宋体" w:cs="宋体"/>
          <w:b/>
          <w:bCs/>
          <w:color w:val="auto"/>
          <w:sz w:val="21"/>
          <w:szCs w:val="21"/>
          <w:highlight w:val="none"/>
        </w:rPr>
        <w:t>。</w:t>
      </w:r>
    </w:p>
    <w:p w14:paraId="6E6EAEA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以下情形的质疑不予受理：</w:t>
      </w:r>
    </w:p>
    <w:p w14:paraId="316F2CC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6.1 超出政府采购法定期限的质疑；</w:t>
      </w:r>
    </w:p>
    <w:p w14:paraId="05906CE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6.2 在法定期限内对同一采购程序环节提出</w:t>
      </w:r>
      <w:r>
        <w:rPr>
          <w:rFonts w:hint="eastAsia" w:ascii="宋体" w:hAnsi="宋体" w:eastAsia="宋体" w:cs="宋体"/>
          <w:color w:val="auto"/>
          <w:sz w:val="21"/>
          <w:szCs w:val="21"/>
          <w:highlight w:val="none"/>
        </w:rPr>
        <w:t>第一次质疑之外的多次</w:t>
      </w:r>
      <w:r>
        <w:rPr>
          <w:rFonts w:hint="eastAsia" w:ascii="宋体" w:hAnsi="宋体" w:eastAsia="宋体" w:cs="宋体"/>
          <w:color w:val="auto"/>
          <w:sz w:val="21"/>
          <w:szCs w:val="21"/>
          <w:highlight w:val="none"/>
          <w:lang w:val="zh-CN"/>
        </w:rPr>
        <w:t>质疑；</w:t>
      </w:r>
    </w:p>
    <w:p w14:paraId="57961C6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6.3 法律法规规定的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不予受理情形。</w:t>
      </w:r>
      <w:bookmarkEnd w:id="131"/>
    </w:p>
    <w:p w14:paraId="26E381D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37.</w:t>
      </w:r>
      <w:r>
        <w:rPr>
          <w:rFonts w:hint="eastAsia" w:ascii="宋体" w:hAnsi="宋体" w:eastAsia="宋体" w:cs="宋体"/>
          <w:color w:val="auto"/>
          <w:sz w:val="21"/>
          <w:szCs w:val="21"/>
          <w:highlight w:val="none"/>
          <w:lang w:val="zh-CN"/>
        </w:rPr>
        <w:t>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p>
    <w:p w14:paraId="6EEA9AE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九、政策功能落实</w:t>
      </w:r>
    </w:p>
    <w:p w14:paraId="50B37E08">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38.促进中小企业发展</w:t>
      </w:r>
    </w:p>
    <w:p w14:paraId="345BBC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38.1 本项目中的</w:t>
      </w:r>
      <w:r>
        <w:rPr>
          <w:rFonts w:hint="eastAsia" w:ascii="宋体" w:hAnsi="宋体" w:eastAsia="宋体" w:cs="宋体"/>
          <w:color w:val="auto"/>
          <w:sz w:val="21"/>
          <w:szCs w:val="21"/>
          <w:highlight w:val="none"/>
          <w:lang w:val="zh-CN"/>
        </w:rPr>
        <w:t>货物</w:t>
      </w:r>
      <w:r>
        <w:rPr>
          <w:rFonts w:hint="eastAsia" w:ascii="宋体" w:hAnsi="宋体" w:eastAsia="宋体" w:cs="宋体"/>
          <w:color w:val="auto"/>
          <w:sz w:val="21"/>
          <w:szCs w:val="21"/>
          <w:highlight w:val="none"/>
        </w:rPr>
        <w:t>全部</w:t>
      </w:r>
      <w:r>
        <w:rPr>
          <w:rFonts w:hint="eastAsia" w:ascii="宋体" w:hAnsi="宋体" w:eastAsia="宋体" w:cs="宋体"/>
          <w:color w:val="auto"/>
          <w:sz w:val="21"/>
          <w:szCs w:val="21"/>
          <w:highlight w:val="none"/>
          <w:lang w:val="zh-CN"/>
        </w:rPr>
        <w:t>由中小企业制造的，</w:t>
      </w:r>
      <w:r>
        <w:rPr>
          <w:rFonts w:hint="eastAsia" w:ascii="宋体" w:hAnsi="宋体" w:eastAsia="宋体" w:cs="宋体"/>
          <w:color w:val="auto"/>
          <w:sz w:val="21"/>
          <w:szCs w:val="21"/>
          <w:highlight w:val="none"/>
        </w:rPr>
        <w:t>投标供应商</w:t>
      </w:r>
      <w:r>
        <w:rPr>
          <w:rFonts w:hint="eastAsia" w:ascii="宋体" w:hAnsi="宋体" w:eastAsia="宋体" w:cs="宋体"/>
          <w:color w:val="auto"/>
          <w:sz w:val="21"/>
          <w:szCs w:val="21"/>
          <w:highlight w:val="none"/>
          <w:lang w:val="zh-CN"/>
        </w:rPr>
        <w:t>享受中小企业扶持政策。</w:t>
      </w:r>
    </w:p>
    <w:p w14:paraId="73C0E3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18BF23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中小企业参加政府采购活动，应当出具《中小企业声明函》，否则不享受相关中小企业</w:t>
      </w:r>
      <w:r>
        <w:rPr>
          <w:rFonts w:hint="eastAsia" w:ascii="宋体" w:hAnsi="宋体" w:eastAsia="宋体" w:cs="宋体"/>
          <w:color w:val="auto"/>
          <w:sz w:val="21"/>
          <w:szCs w:val="21"/>
          <w:highlight w:val="none"/>
        </w:rPr>
        <w:t>支持</w:t>
      </w:r>
      <w:r>
        <w:rPr>
          <w:rFonts w:hint="eastAsia" w:ascii="宋体" w:hAnsi="宋体" w:eastAsia="宋体" w:cs="宋体"/>
          <w:color w:val="auto"/>
          <w:sz w:val="21"/>
          <w:szCs w:val="21"/>
          <w:highlight w:val="none"/>
          <w:lang w:val="zh-CN"/>
        </w:rPr>
        <w:t>政策。</w:t>
      </w:r>
    </w:p>
    <w:p w14:paraId="3BB6E2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以联合体形式参加政府采购活动，联合体各方均为中小企业的，联合体视同中小企业。其中，联合体各方均为小微企业的，联合体视同小微企业。</w:t>
      </w:r>
    </w:p>
    <w:p w14:paraId="0A13A94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监狱和戒毒企业（简称监狱企业）视同小型、微型企业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《关于政府采购支持监狱企业发展有关问题的通知》（财库〔2014〕68号）</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val="zh-CN"/>
        </w:rPr>
        <w:t>监狱企业需提供由省级以上监狱管理局、戒毒管理局(含新疆生产建设兵团)出具的属于监狱企业的证明文件。</w:t>
      </w:r>
    </w:p>
    <w:p w14:paraId="36CD870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按照《关于促进残疾人就业政府采购政策的通知》（财库〔2017〕141号）规定，残疾人福利单位需</w:t>
      </w:r>
      <w:r>
        <w:rPr>
          <w:rFonts w:hint="eastAsia" w:ascii="宋体" w:hAnsi="宋体" w:eastAsia="宋体" w:cs="宋体"/>
          <w:color w:val="auto"/>
          <w:sz w:val="21"/>
          <w:szCs w:val="21"/>
          <w:highlight w:val="none"/>
          <w:lang w:val="zh-CN"/>
        </w:rPr>
        <w:t>提供《残疾人福利性单位声明函》。</w:t>
      </w:r>
    </w:p>
    <w:p w14:paraId="594E4801">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3</w:t>
      </w: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节能环保产品</w:t>
      </w:r>
    </w:p>
    <w:p w14:paraId="64D6716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102EEED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548C71A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39.3 采购产品</w:t>
      </w:r>
      <w:r>
        <w:rPr>
          <w:rFonts w:hint="eastAsia" w:ascii="宋体" w:hAnsi="宋体" w:eastAsia="宋体" w:cs="宋体"/>
          <w:color w:val="auto"/>
          <w:sz w:val="21"/>
          <w:szCs w:val="21"/>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第五章评标方法与评标标准</w:t>
      </w:r>
      <w:r>
        <w:rPr>
          <w:rFonts w:hint="eastAsia" w:ascii="宋体" w:hAnsi="宋体" w:eastAsia="宋体" w:cs="宋体"/>
          <w:color w:val="auto"/>
          <w:sz w:val="21"/>
          <w:szCs w:val="21"/>
          <w:highlight w:val="none"/>
          <w:lang w:val="zh-CN"/>
        </w:rPr>
        <w:t>）。</w:t>
      </w:r>
    </w:p>
    <w:p w14:paraId="6EBE26E5">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40</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绿色采购</w:t>
      </w:r>
    </w:p>
    <w:p w14:paraId="3BCFE63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40.1 采购产品</w:t>
      </w:r>
      <w:r>
        <w:rPr>
          <w:rFonts w:hint="eastAsia" w:ascii="宋体" w:hAnsi="宋体" w:eastAsia="宋体" w:cs="宋体"/>
          <w:bCs/>
          <w:color w:val="auto"/>
          <w:sz w:val="21"/>
          <w:szCs w:val="21"/>
          <w:highlight w:val="none"/>
        </w:rPr>
        <w:t>中涉及商品包装、快递包装要求的，应按照</w:t>
      </w:r>
      <w:r>
        <w:rPr>
          <w:rFonts w:hint="eastAsia" w:ascii="宋体" w:hAnsi="宋体" w:eastAsia="宋体" w:cs="宋体"/>
          <w:color w:val="auto"/>
          <w:sz w:val="21"/>
          <w:szCs w:val="21"/>
          <w:highlight w:val="none"/>
        </w:rPr>
        <w:t>《商品包装政府采购需求标准（试行）》《快递包装政府采购需求标准（试行）》（财办库〔2020〕123号）、《江苏省财政厅关于加强政府绿色采购有关事项的通知》（苏财购〔2023〕65号）文件执行。采购文件对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2B0506D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D675CA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17CEA9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229EF7FF">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创新产品采购</w:t>
      </w:r>
    </w:p>
    <w:p w14:paraId="274A204C">
      <w:pPr>
        <w:pageBreakBefore w:val="0"/>
        <w:widowControl/>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优先采购各级政府部门公开发布的有效期内的创新产品、首台套等《目录》内的创新产品。创新产品自进入《目录》起2年内视同具备相应销售业绩。</w:t>
      </w:r>
    </w:p>
    <w:p w14:paraId="2BEA0373">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w:t>
      </w:r>
      <w:r>
        <w:rPr>
          <w:rFonts w:hint="eastAsia" w:ascii="宋体" w:hAnsi="宋体" w:eastAsia="宋体" w:cs="宋体"/>
          <w:color w:val="auto"/>
          <w:sz w:val="21"/>
          <w:szCs w:val="21"/>
          <w:highlight w:val="none"/>
          <w:lang w:val="zh-CN" w:eastAsia="zh-CN"/>
        </w:rPr>
        <w:t>网络产品、市场准入类产品采购</w:t>
      </w:r>
    </w:p>
    <w:p w14:paraId="5A5D48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47C5640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514E6EE4">
      <w:pPr>
        <w:pStyle w:val="198"/>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43.实施本国产品标准及相关政策</w:t>
      </w:r>
    </w:p>
    <w:p w14:paraId="63D7759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w:t>
      </w:r>
    </w:p>
    <w:p w14:paraId="244018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43.2本国产品应当符合以下条件：</w:t>
      </w:r>
    </w:p>
    <w:p w14:paraId="4A28ABA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（1）在中国境内生产</w:t>
      </w:r>
    </w:p>
    <w:p w14:paraId="7060636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4137762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1A068C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（2）在中国境内生产的组件成本占比达到规定比例</w:t>
      </w:r>
    </w:p>
    <w:p w14:paraId="2ABD109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08A9D38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（3）特定产品的关键组件、关键工序符合相关要求</w:t>
      </w:r>
    </w:p>
    <w:p w14:paraId="3DA296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62657D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43.3本国产品标准的适用范围</w:t>
      </w:r>
    </w:p>
    <w:p w14:paraId="5ECCC6C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6545B4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43.4对本国产品的支持政策</w:t>
      </w:r>
    </w:p>
    <w:p w14:paraId="0E952EC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本项目如</w:t>
      </w:r>
      <w:r>
        <w:rPr>
          <w:rFonts w:hint="eastAsia" w:ascii="宋体" w:hAnsi="宋体" w:eastAsia="宋体" w:cs="宋体"/>
          <w:b/>
          <w:bCs/>
          <w:color w:val="auto"/>
          <w:sz w:val="21"/>
          <w:szCs w:val="21"/>
          <w:highlight w:val="none"/>
          <w:lang w:val="zh-CN"/>
        </w:rPr>
        <w:t>既有本国产品又有非本国产品参与竞争，依法对本国产品给予价格评审优惠，</w:t>
      </w:r>
      <w:r>
        <w:rPr>
          <w:rFonts w:hint="eastAsia" w:ascii="宋体" w:hAnsi="宋体" w:eastAsia="宋体" w:cs="宋体"/>
          <w:b/>
          <w:bCs/>
          <w:color w:val="auto"/>
          <w:sz w:val="21"/>
          <w:szCs w:val="21"/>
          <w:highlight w:val="none"/>
        </w:rPr>
        <w:t>具体详见第</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章。</w:t>
      </w:r>
    </w:p>
    <w:p w14:paraId="7AAE517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43.5政策执行要求</w:t>
      </w:r>
    </w:p>
    <w:p w14:paraId="73A40E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shd w:val="clear" w:color="auto" w:fill="FFFFFF"/>
        </w:rPr>
        <w:t>《国务院办公厅关于在政府采购中实施本国产品标准及相关政策的通知》（国办发〔2025〕34号）规定。</w:t>
      </w:r>
    </w:p>
    <w:p w14:paraId="374681E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（2）有关证明文件。</w:t>
      </w:r>
      <w:r>
        <w:rPr>
          <w:rFonts w:hint="eastAsia" w:ascii="宋体" w:hAnsi="宋体" w:eastAsia="宋体" w:cs="宋体"/>
          <w:b/>
          <w:bCs/>
          <w:color w:val="auto"/>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6CCBD21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6DBA3CFB">
      <w:pPr>
        <w:pStyle w:val="199"/>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6221CCAB">
      <w:pPr>
        <w:pageBreakBefore w:val="0"/>
        <w:numPr>
          <w:ilvl w:val="0"/>
          <w:numId w:val="2"/>
        </w:numPr>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费用</w:t>
      </w:r>
    </w:p>
    <w:p w14:paraId="0BC41D92">
      <w:pPr>
        <w:pStyle w:val="199"/>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招标代理服务费：中标人参照《招标代理服务费管理暂行办法》（国家发展计划委员会计价格【2002】1980号）代理招标收费基准费率60%计算，在领取中标通知书前向采购代理机构支付招标服务费。本项费用无需在投标报价表中单列。</w:t>
      </w:r>
    </w:p>
    <w:p w14:paraId="63190520">
      <w:pPr>
        <w:pStyle w:val="199"/>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p>
    <w:p w14:paraId="3542DE9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200E7EC2">
      <w:pPr>
        <w:pBdr>
          <w:top w:val="none" w:color="000000" w:sz="0" w:space="0"/>
          <w:left w:val="none" w:color="000000" w:sz="0" w:space="0"/>
          <w:bottom w:val="none" w:color="000000" w:sz="0" w:space="0"/>
          <w:right w:val="none" w:color="000000" w:sz="0" w:space="0"/>
        </w:pBdr>
        <w:jc w:val="both"/>
        <w:rPr>
          <w:color w:val="auto"/>
          <w:highlight w:val="none"/>
        </w:rPr>
      </w:pPr>
      <w:r>
        <w:rPr>
          <w:color w:val="auto"/>
          <w:highlight w:val="none"/>
        </w:rPr>
        <w:br w:type="page" w:clear="all"/>
      </w:r>
    </w:p>
    <w:p w14:paraId="63E3F62A">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评标标准</w:t>
      </w:r>
    </w:p>
    <w:p w14:paraId="7651BF8B">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r>
        <w:rPr>
          <w:rFonts w:ascii="宋体" w:hAnsi="宋体" w:eastAsia="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110378FF">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tbl>
      <w:tblPr>
        <w:tblStyle w:val="3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2086F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vAlign w:val="center"/>
          </w:tcPr>
          <w:p w14:paraId="330ED7A1">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序号</w:t>
            </w:r>
          </w:p>
        </w:tc>
        <w:tc>
          <w:tcPr>
            <w:tcW w:w="1179" w:type="dxa"/>
            <w:tcBorders>
              <w:top w:val="single" w:color="000000" w:sz="2" w:space="0"/>
              <w:bottom w:val="single" w:color="000000" w:sz="2" w:space="0"/>
            </w:tcBorders>
            <w:vAlign w:val="center"/>
          </w:tcPr>
          <w:p w14:paraId="16A6F860">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评审因素</w:t>
            </w:r>
          </w:p>
        </w:tc>
        <w:tc>
          <w:tcPr>
            <w:tcW w:w="6330" w:type="dxa"/>
            <w:tcBorders>
              <w:top w:val="single" w:color="000000" w:sz="2" w:space="0"/>
              <w:bottom w:val="single" w:color="000000" w:sz="2" w:space="0"/>
            </w:tcBorders>
            <w:vAlign w:val="center"/>
          </w:tcPr>
          <w:p w14:paraId="467BBC06">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评审细则</w:t>
            </w:r>
          </w:p>
        </w:tc>
        <w:tc>
          <w:tcPr>
            <w:tcW w:w="647" w:type="dxa"/>
            <w:tcBorders>
              <w:top w:val="single" w:color="000000" w:sz="2" w:space="0"/>
              <w:bottom w:val="single" w:color="000000" w:sz="2" w:space="0"/>
            </w:tcBorders>
            <w:vAlign w:val="center"/>
          </w:tcPr>
          <w:p w14:paraId="58AAD8B4">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分值</w:t>
            </w:r>
          </w:p>
        </w:tc>
        <w:tc>
          <w:tcPr>
            <w:tcW w:w="900" w:type="dxa"/>
            <w:tcBorders>
              <w:top w:val="single" w:color="000000" w:sz="2" w:space="0"/>
              <w:bottom w:val="single" w:color="000000" w:sz="2" w:space="0"/>
            </w:tcBorders>
            <w:vAlign w:val="center"/>
          </w:tcPr>
          <w:p w14:paraId="530D7018">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类型</w:t>
            </w:r>
          </w:p>
        </w:tc>
      </w:tr>
      <w:tr w14:paraId="1C18F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51BF4151">
            <w:pPr>
              <w:widowControl w:val="0"/>
              <w:spacing w:before="122"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1.价</w:t>
            </w:r>
            <w:r>
              <w:rPr>
                <w:rFonts w:hint="eastAsia" w:ascii="宋体" w:hAnsi="宋体" w:eastAsia="宋体" w:cs="宋体"/>
                <w:b/>
                <w:bCs/>
                <w:color w:val="auto"/>
                <w:spacing w:val="-2"/>
                <w:sz w:val="21"/>
                <w:szCs w:val="21"/>
                <w:highlight w:val="none"/>
                <w:lang w:val="en-US" w:eastAsia="en-US" w:bidi="ar-SA"/>
              </w:rPr>
              <w:t>格</w:t>
            </w:r>
          </w:p>
        </w:tc>
      </w:tr>
      <w:tr w14:paraId="4AC80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vAlign w:val="center"/>
          </w:tcPr>
          <w:p w14:paraId="3DFC066F">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1</w:t>
            </w:r>
            <w:r>
              <w:rPr>
                <w:rFonts w:hint="eastAsia" w:ascii="宋体" w:hAnsi="宋体" w:eastAsia="宋体" w:cs="宋体"/>
                <w:color w:val="auto"/>
                <w:spacing w:val="-5"/>
                <w:sz w:val="21"/>
                <w:szCs w:val="21"/>
                <w:highlight w:val="none"/>
                <w:lang w:val="en-US" w:eastAsia="en-US" w:bidi="ar-SA"/>
              </w:rPr>
              <w:t>.1</w:t>
            </w:r>
          </w:p>
        </w:tc>
        <w:tc>
          <w:tcPr>
            <w:tcW w:w="1179" w:type="dxa"/>
            <w:tcBorders>
              <w:top w:val="single" w:color="000000" w:sz="2" w:space="0"/>
              <w:bottom w:val="single" w:color="000000" w:sz="2" w:space="0"/>
            </w:tcBorders>
            <w:vAlign w:val="center"/>
          </w:tcPr>
          <w:p w14:paraId="5E91CF92">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价格分</w:t>
            </w:r>
          </w:p>
        </w:tc>
        <w:tc>
          <w:tcPr>
            <w:tcW w:w="6330" w:type="dxa"/>
            <w:tcBorders>
              <w:top w:val="single" w:color="000000" w:sz="2" w:space="0"/>
              <w:bottom w:val="single" w:color="000000" w:sz="2" w:space="0"/>
            </w:tcBorders>
            <w:vAlign w:val="center"/>
          </w:tcPr>
          <w:p w14:paraId="783A2158">
            <w:pPr>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采用低价优先</w:t>
            </w:r>
            <w:r>
              <w:rPr>
                <w:rFonts w:hint="eastAsia" w:ascii="宋体" w:hAnsi="宋体" w:eastAsia="宋体" w:cs="宋体"/>
                <w:color w:val="auto"/>
                <w:sz w:val="21"/>
                <w:szCs w:val="21"/>
                <w:highlight w:val="none"/>
                <w:lang w:val="en-US" w:eastAsia="en-US" w:bidi="ar-SA"/>
              </w:rPr>
              <w:t>法计算，即满足招标文件要求且投标价格最低的投标</w:t>
            </w:r>
            <w:r>
              <w:rPr>
                <w:rFonts w:hint="eastAsia" w:ascii="宋体" w:hAnsi="宋体" w:eastAsia="宋体" w:cs="宋体"/>
                <w:color w:val="auto"/>
                <w:spacing w:val="1"/>
                <w:sz w:val="21"/>
                <w:szCs w:val="21"/>
                <w:highlight w:val="none"/>
                <w:lang w:val="en-US" w:eastAsia="en-US" w:bidi="ar-SA"/>
              </w:rPr>
              <w:t>报价为评标基准</w:t>
            </w:r>
            <w:r>
              <w:rPr>
                <w:rFonts w:hint="eastAsia" w:ascii="宋体" w:hAnsi="宋体" w:eastAsia="宋体" w:cs="宋体"/>
                <w:color w:val="auto"/>
                <w:sz w:val="21"/>
                <w:szCs w:val="21"/>
                <w:highlight w:val="none"/>
                <w:lang w:val="en-US" w:eastAsia="en-US" w:bidi="ar-SA"/>
              </w:rPr>
              <w:t>价，其价格分为满分。其他投标人的价格分统一按</w:t>
            </w:r>
            <w:r>
              <w:rPr>
                <w:rFonts w:hint="eastAsia" w:ascii="宋体" w:hAnsi="宋体" w:eastAsia="宋体" w:cs="宋体"/>
                <w:color w:val="auto"/>
                <w:spacing w:val="-1"/>
                <w:sz w:val="21"/>
                <w:szCs w:val="21"/>
                <w:highlight w:val="none"/>
                <w:lang w:val="en-US" w:eastAsia="en-US" w:bidi="ar-SA"/>
              </w:rPr>
              <w:t>照下列公</w:t>
            </w:r>
            <w:r>
              <w:rPr>
                <w:rFonts w:hint="eastAsia" w:ascii="宋体" w:hAnsi="宋体" w:eastAsia="宋体" w:cs="宋体"/>
                <w:color w:val="auto"/>
                <w:sz w:val="21"/>
                <w:szCs w:val="21"/>
                <w:highlight w:val="none"/>
                <w:lang w:val="en-US" w:eastAsia="en-US" w:bidi="ar-SA"/>
              </w:rPr>
              <w:t>式计算：投标报价得分=(评标基准价/投标报价)×价格分值（小数点保留两位）</w:t>
            </w:r>
          </w:p>
        </w:tc>
        <w:tc>
          <w:tcPr>
            <w:tcW w:w="647" w:type="dxa"/>
            <w:tcBorders>
              <w:top w:val="single" w:color="000000" w:sz="2" w:space="0"/>
              <w:bottom w:val="single" w:color="000000" w:sz="2" w:space="0"/>
            </w:tcBorders>
            <w:vAlign w:val="center"/>
          </w:tcPr>
          <w:p w14:paraId="34186393">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30</w:t>
            </w:r>
          </w:p>
        </w:tc>
        <w:tc>
          <w:tcPr>
            <w:tcW w:w="900" w:type="dxa"/>
            <w:tcBorders>
              <w:top w:val="single" w:color="000000" w:sz="2" w:space="0"/>
              <w:bottom w:val="single" w:color="000000" w:sz="2" w:space="0"/>
            </w:tcBorders>
            <w:vAlign w:val="center"/>
          </w:tcPr>
          <w:p w14:paraId="792E603F">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价格分</w:t>
            </w:r>
          </w:p>
        </w:tc>
      </w:tr>
      <w:tr w14:paraId="08586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0DF2BEB1">
            <w:pPr>
              <w:widowControl w:val="0"/>
              <w:spacing w:before="123"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2.技术</w:t>
            </w:r>
          </w:p>
        </w:tc>
      </w:tr>
      <w:tr w14:paraId="09766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9" w:hRule="atLeast"/>
          <w:jc w:val="center"/>
        </w:trPr>
        <w:tc>
          <w:tcPr>
            <w:tcW w:w="519" w:type="dxa"/>
            <w:tcBorders>
              <w:top w:val="single" w:color="000000" w:sz="2" w:space="0"/>
              <w:bottom w:val="single" w:color="000000" w:sz="2" w:space="0"/>
            </w:tcBorders>
            <w:vAlign w:val="center"/>
          </w:tcPr>
          <w:p w14:paraId="7DD6ADC5">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2.1</w:t>
            </w:r>
          </w:p>
        </w:tc>
        <w:tc>
          <w:tcPr>
            <w:tcW w:w="1179" w:type="dxa"/>
            <w:tcBorders>
              <w:top w:val="single" w:color="000000" w:sz="2" w:space="0"/>
              <w:bottom w:val="single" w:color="000000" w:sz="2" w:space="0"/>
            </w:tcBorders>
            <w:vAlign w:val="center"/>
          </w:tcPr>
          <w:p w14:paraId="0384D3C8">
            <w:pPr>
              <w:widowControl w:val="0"/>
              <w:spacing w:before="68" w:line="264" w:lineRule="auto"/>
              <w:jc w:val="left"/>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产品技术参数</w:t>
            </w:r>
          </w:p>
        </w:tc>
        <w:tc>
          <w:tcPr>
            <w:tcW w:w="6330" w:type="dxa"/>
            <w:tcBorders>
              <w:top w:val="single" w:color="000000" w:sz="2" w:space="0"/>
              <w:bottom w:val="single" w:color="000000" w:sz="2" w:space="0"/>
            </w:tcBorders>
            <w:vAlign w:val="center"/>
          </w:tcPr>
          <w:p w14:paraId="5DCA6E45">
            <w:pPr>
              <w:widowControl w:val="0"/>
              <w:spacing w:line="264" w:lineRule="auto"/>
              <w:jc w:val="both"/>
              <w:rPr>
                <w:rFonts w:hint="eastAsia"/>
                <w:color w:val="auto"/>
                <w:highlight w:val="none"/>
                <w:lang w:val="en-US" w:eastAsia="en-US"/>
              </w:rPr>
            </w:pPr>
            <w:r>
              <w:rPr>
                <w:rFonts w:hint="eastAsia" w:ascii="宋体" w:hAnsi="宋体" w:eastAsia="宋体" w:cs="宋体"/>
                <w:color w:val="auto"/>
                <w:sz w:val="21"/>
                <w:szCs w:val="21"/>
                <w:highlight w:val="none"/>
                <w:lang w:val="en-US" w:eastAsia="en-US" w:bidi="ar-SA"/>
              </w:rPr>
              <w:t>产品技术参数全部满足招标要求的得满分，打★指标为必须满足项，如有负偏离将作为无效投标，打▲指标为重要指标，有</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项负偏离扣</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en-US" w:bidi="ar-SA"/>
              </w:rPr>
              <w:t>分，其余指标有1项负偏离扣</w:t>
            </w:r>
            <w:r>
              <w:rPr>
                <w:rFonts w:hint="eastAsia" w:ascii="宋体" w:hAnsi="宋体" w:eastAsia="宋体" w:cs="宋体"/>
                <w:color w:val="auto"/>
                <w:sz w:val="21"/>
                <w:szCs w:val="21"/>
                <w:highlight w:val="none"/>
                <w:lang w:val="en-US" w:eastAsia="zh-CN" w:bidi="ar-SA"/>
              </w:rPr>
              <w:t>0.5</w:t>
            </w:r>
            <w:r>
              <w:rPr>
                <w:rFonts w:hint="eastAsia" w:ascii="宋体" w:hAnsi="宋体" w:eastAsia="宋体" w:cs="宋体"/>
                <w:color w:val="auto"/>
                <w:sz w:val="21"/>
                <w:szCs w:val="21"/>
                <w:highlight w:val="none"/>
                <w:lang w:val="en-US" w:eastAsia="en-US" w:bidi="ar-SA"/>
              </w:rPr>
              <w:t>分，扣完为止。</w:t>
            </w:r>
          </w:p>
        </w:tc>
        <w:tc>
          <w:tcPr>
            <w:tcW w:w="647" w:type="dxa"/>
            <w:tcBorders>
              <w:top w:val="single" w:color="000000" w:sz="2" w:space="0"/>
              <w:bottom w:val="single" w:color="000000" w:sz="2" w:space="0"/>
            </w:tcBorders>
            <w:vAlign w:val="center"/>
          </w:tcPr>
          <w:p w14:paraId="255CC71E">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38</w:t>
            </w:r>
          </w:p>
        </w:tc>
        <w:tc>
          <w:tcPr>
            <w:tcW w:w="900" w:type="dxa"/>
            <w:tcBorders>
              <w:top w:val="single" w:color="000000" w:sz="2" w:space="0"/>
              <w:bottom w:val="single" w:color="000000" w:sz="2" w:space="0"/>
            </w:tcBorders>
            <w:vAlign w:val="center"/>
          </w:tcPr>
          <w:p w14:paraId="05ED6D23">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49760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320F9CE2">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2.2</w:t>
            </w:r>
          </w:p>
        </w:tc>
        <w:tc>
          <w:tcPr>
            <w:tcW w:w="1179" w:type="dxa"/>
            <w:tcBorders>
              <w:top w:val="single" w:color="000000" w:sz="2" w:space="0"/>
              <w:bottom w:val="single" w:color="000000" w:sz="2" w:space="0"/>
            </w:tcBorders>
            <w:shd w:val="clear" w:color="auto" w:fill="auto"/>
            <w:vAlign w:val="center"/>
          </w:tcPr>
          <w:p w14:paraId="14FA08F2">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所投产品综合性能评价</w:t>
            </w:r>
          </w:p>
        </w:tc>
        <w:tc>
          <w:tcPr>
            <w:tcW w:w="6330" w:type="dxa"/>
            <w:tcBorders>
              <w:top w:val="single" w:color="000000" w:sz="2" w:space="0"/>
              <w:bottom w:val="single" w:color="000000" w:sz="2" w:space="0"/>
            </w:tcBorders>
            <w:shd w:val="clear" w:color="auto" w:fill="auto"/>
            <w:vAlign w:val="center"/>
          </w:tcPr>
          <w:p w14:paraId="66BAE833">
            <w:pPr>
              <w:widowControl w:val="0"/>
              <w:spacing w:line="264" w:lineRule="auto"/>
              <w:jc w:val="both"/>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评委根据</w:t>
            </w:r>
            <w:r>
              <w:rPr>
                <w:rFonts w:hint="eastAsia" w:eastAsia="宋体"/>
                <w:color w:val="auto"/>
                <w:sz w:val="21"/>
                <w:szCs w:val="21"/>
                <w:highlight w:val="none"/>
                <w:lang w:val="en-US" w:eastAsia="zh-CN" w:bidi="ar-SA"/>
              </w:rPr>
              <w:t>投标人</w:t>
            </w:r>
            <w:r>
              <w:rPr>
                <w:rFonts w:hint="eastAsia" w:eastAsia="宋体"/>
                <w:color w:val="auto"/>
                <w:sz w:val="21"/>
                <w:szCs w:val="21"/>
                <w:highlight w:val="none"/>
                <w:lang w:val="en-US" w:eastAsia="en-US" w:bidi="ar-SA"/>
              </w:rPr>
              <w:t>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7</w:t>
            </w:r>
            <w:r>
              <w:rPr>
                <w:rFonts w:hint="eastAsia" w:eastAsia="宋体"/>
                <w:color w:val="auto"/>
                <w:sz w:val="21"/>
                <w:szCs w:val="21"/>
                <w:highlight w:val="none"/>
                <w:lang w:val="en-US" w:eastAsia="en-US" w:bidi="ar-SA"/>
              </w:rPr>
              <w:t>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4</w:t>
            </w:r>
            <w:r>
              <w:rPr>
                <w:rFonts w:hint="eastAsia" w:eastAsia="宋体"/>
                <w:color w:val="auto"/>
                <w:sz w:val="21"/>
                <w:szCs w:val="21"/>
                <w:highlight w:val="none"/>
                <w:lang w:val="en-US" w:eastAsia="en-US" w:bidi="ar-SA"/>
              </w:rPr>
              <w:t>分；产品安全性一般、稳定性一般，操作界面较为复杂，操作流程不太符合临床需要，配置一般，功能不太全面，基本符合采购需求但有待改进的得1分；其余或不提供不得分。</w:t>
            </w:r>
          </w:p>
        </w:tc>
        <w:tc>
          <w:tcPr>
            <w:tcW w:w="647" w:type="dxa"/>
            <w:tcBorders>
              <w:top w:val="single" w:color="000000" w:sz="2" w:space="0"/>
              <w:bottom w:val="single" w:color="000000" w:sz="2" w:space="0"/>
            </w:tcBorders>
            <w:shd w:val="clear" w:color="auto" w:fill="auto"/>
            <w:vAlign w:val="center"/>
          </w:tcPr>
          <w:p w14:paraId="5B25D0B9">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7</w:t>
            </w:r>
          </w:p>
        </w:tc>
        <w:tc>
          <w:tcPr>
            <w:tcW w:w="900" w:type="dxa"/>
            <w:tcBorders>
              <w:top w:val="single" w:color="000000" w:sz="2" w:space="0"/>
              <w:bottom w:val="single" w:color="000000" w:sz="2" w:space="0"/>
            </w:tcBorders>
            <w:shd w:val="clear" w:color="auto" w:fill="auto"/>
            <w:vAlign w:val="center"/>
          </w:tcPr>
          <w:p w14:paraId="4B46017C">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30747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335B8326">
            <w:pPr>
              <w:widowControl w:val="0"/>
              <w:spacing w:before="68" w:line="264" w:lineRule="auto"/>
              <w:jc w:val="center"/>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2.3</w:t>
            </w:r>
          </w:p>
        </w:tc>
        <w:tc>
          <w:tcPr>
            <w:tcW w:w="1179" w:type="dxa"/>
            <w:tcBorders>
              <w:top w:val="single" w:color="000000" w:sz="2" w:space="0"/>
              <w:bottom w:val="single" w:color="000000" w:sz="2" w:space="0"/>
            </w:tcBorders>
            <w:shd w:val="clear" w:color="auto" w:fill="auto"/>
            <w:vAlign w:val="center"/>
          </w:tcPr>
          <w:p w14:paraId="1CFB0A2E">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项目实施方案</w:t>
            </w:r>
          </w:p>
        </w:tc>
        <w:tc>
          <w:tcPr>
            <w:tcW w:w="6330" w:type="dxa"/>
            <w:tcBorders>
              <w:top w:val="single" w:color="000000" w:sz="2" w:space="0"/>
              <w:bottom w:val="single" w:color="000000" w:sz="2" w:space="0"/>
            </w:tcBorders>
            <w:shd w:val="clear" w:color="auto" w:fill="auto"/>
            <w:vAlign w:val="center"/>
          </w:tcPr>
          <w:p w14:paraId="023E0B2C">
            <w:pPr>
              <w:pStyle w:val="196"/>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评委根据投标人提供的</w:t>
            </w:r>
            <w:r>
              <w:rPr>
                <w:rFonts w:hint="eastAsia" w:ascii="宋体" w:hAnsi="宋体" w:eastAsia="宋体" w:cs="宋体"/>
                <w:color w:val="auto"/>
                <w:sz w:val="21"/>
                <w:szCs w:val="21"/>
                <w:highlight w:val="none"/>
                <w:lang w:val="en-US" w:eastAsia="en-US" w:bidi="ar-SA"/>
              </w:rPr>
              <w:t>项目实施方案综合评分，包含：1.货物的包装与运输；2.供货进度保证措施；3.质量体系与措施；4.安全管理体系与措施；5.协调配合措施。以上每项内容逐条阐述。</w:t>
            </w:r>
          </w:p>
          <w:p w14:paraId="644B2755">
            <w:pPr>
              <w:pStyle w:val="196"/>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1EE5C897">
            <w:pPr>
              <w:pStyle w:val="196"/>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76334228">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shd w:val="clear" w:color="auto" w:fill="auto"/>
            <w:vAlign w:val="center"/>
          </w:tcPr>
          <w:p w14:paraId="79D6CF43">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5</w:t>
            </w:r>
          </w:p>
        </w:tc>
        <w:tc>
          <w:tcPr>
            <w:tcW w:w="900" w:type="dxa"/>
            <w:tcBorders>
              <w:top w:val="single" w:color="000000" w:sz="2" w:space="0"/>
              <w:bottom w:val="single" w:color="000000" w:sz="2" w:space="0"/>
            </w:tcBorders>
            <w:shd w:val="clear" w:color="auto" w:fill="auto"/>
            <w:vAlign w:val="center"/>
          </w:tcPr>
          <w:p w14:paraId="75490058">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698D9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vAlign w:val="center"/>
          </w:tcPr>
          <w:p w14:paraId="27F4BC55">
            <w:pPr>
              <w:widowControl w:val="0"/>
              <w:spacing w:before="68"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3.服务</w:t>
            </w:r>
          </w:p>
        </w:tc>
      </w:tr>
      <w:tr w14:paraId="21FEA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tcBorders>
              <w:top w:val="single" w:color="000000" w:sz="2" w:space="0"/>
              <w:bottom w:val="single" w:color="000000" w:sz="2" w:space="0"/>
            </w:tcBorders>
            <w:vAlign w:val="center"/>
          </w:tcPr>
          <w:p w14:paraId="26D23ECD">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3.1</w:t>
            </w:r>
          </w:p>
        </w:tc>
        <w:tc>
          <w:tcPr>
            <w:tcW w:w="1179" w:type="dxa"/>
            <w:tcBorders>
              <w:top w:val="single" w:color="000000" w:sz="2" w:space="0"/>
              <w:bottom w:val="single" w:color="000000" w:sz="2" w:space="0"/>
            </w:tcBorders>
            <w:vAlign w:val="center"/>
          </w:tcPr>
          <w:p w14:paraId="1F769633">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售后服务方案</w:t>
            </w:r>
          </w:p>
        </w:tc>
        <w:tc>
          <w:tcPr>
            <w:tcW w:w="6330" w:type="dxa"/>
            <w:tcBorders>
              <w:top w:val="single" w:color="000000" w:sz="2" w:space="0"/>
              <w:bottom w:val="single" w:color="000000" w:sz="2" w:space="0"/>
            </w:tcBorders>
            <w:vAlign w:val="center"/>
          </w:tcPr>
          <w:p w14:paraId="0592D2C3">
            <w:pPr>
              <w:pStyle w:val="196"/>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；5、服务人员配备</w:t>
            </w:r>
            <w:r>
              <w:rPr>
                <w:rFonts w:hint="eastAsia" w:ascii="宋体" w:hAnsi="宋体" w:eastAsia="宋体" w:cs="宋体"/>
                <w:color w:val="auto"/>
                <w:sz w:val="21"/>
                <w:szCs w:val="21"/>
                <w:highlight w:val="none"/>
                <w:lang w:val="en-US" w:eastAsia="en-US" w:bidi="ar-SA"/>
              </w:rPr>
              <w:t>。以上每项内容逐条阐述。</w:t>
            </w:r>
          </w:p>
          <w:p w14:paraId="31670223">
            <w:pPr>
              <w:pStyle w:val="196"/>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762BA95F">
            <w:pPr>
              <w:pStyle w:val="196"/>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358D8C71">
            <w:pPr>
              <w:pStyle w:val="196"/>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33C6E57A">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34CBC669">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49D96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4D9D670E">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3.2</w:t>
            </w:r>
          </w:p>
        </w:tc>
        <w:tc>
          <w:tcPr>
            <w:tcW w:w="1179" w:type="dxa"/>
            <w:tcBorders>
              <w:top w:val="single" w:color="000000" w:sz="2" w:space="0"/>
              <w:bottom w:val="single" w:color="000000" w:sz="2" w:space="0"/>
            </w:tcBorders>
            <w:vAlign w:val="center"/>
          </w:tcPr>
          <w:p w14:paraId="074B9C5D">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调试和应急维护方案</w:t>
            </w:r>
          </w:p>
        </w:tc>
        <w:tc>
          <w:tcPr>
            <w:tcW w:w="6330" w:type="dxa"/>
            <w:tcBorders>
              <w:top w:val="single" w:color="000000" w:sz="2" w:space="0"/>
              <w:bottom w:val="single" w:color="000000" w:sz="2" w:space="0"/>
            </w:tcBorders>
            <w:vAlign w:val="center"/>
          </w:tcPr>
          <w:p w14:paraId="77031652">
            <w:pPr>
              <w:pStyle w:val="196"/>
              <w:widowControl w:val="0"/>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；5、调试和应急人员配备</w:t>
            </w:r>
            <w:r>
              <w:rPr>
                <w:rFonts w:hint="eastAsia" w:ascii="宋体" w:hAnsi="宋体" w:eastAsia="宋体" w:cs="宋体"/>
                <w:color w:val="auto"/>
                <w:sz w:val="21"/>
                <w:szCs w:val="21"/>
                <w:highlight w:val="none"/>
                <w:lang w:val="en-US" w:eastAsia="en-US" w:bidi="ar-SA"/>
              </w:rPr>
              <w:t>。以上每项内容逐条阐述。</w:t>
            </w:r>
          </w:p>
          <w:p w14:paraId="52D6D8BB">
            <w:pPr>
              <w:pStyle w:val="196"/>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743474CD">
            <w:pPr>
              <w:pStyle w:val="196"/>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68BDCB7A">
            <w:pPr>
              <w:pStyle w:val="196"/>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547862E2">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6F91F31B">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29ED9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2F38D578">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3.3</w:t>
            </w:r>
          </w:p>
        </w:tc>
        <w:tc>
          <w:tcPr>
            <w:tcW w:w="1179" w:type="dxa"/>
            <w:tcBorders>
              <w:top w:val="single" w:color="000000" w:sz="2" w:space="0"/>
              <w:bottom w:val="single" w:color="000000" w:sz="2" w:space="0"/>
            </w:tcBorders>
            <w:vAlign w:val="center"/>
          </w:tcPr>
          <w:p w14:paraId="6BA62BC9">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培训方案</w:t>
            </w:r>
          </w:p>
        </w:tc>
        <w:tc>
          <w:tcPr>
            <w:tcW w:w="6330" w:type="dxa"/>
            <w:tcBorders>
              <w:top w:val="single" w:color="000000" w:sz="2" w:space="0"/>
              <w:bottom w:val="single" w:color="000000" w:sz="2" w:space="0"/>
            </w:tcBorders>
            <w:vAlign w:val="center"/>
          </w:tcPr>
          <w:p w14:paraId="4E6A5B82">
            <w:pPr>
              <w:pStyle w:val="196"/>
              <w:widowControl w:val="0"/>
              <w:jc w:val="left"/>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评委根据投标人提供的项目培训方案</w:t>
            </w:r>
            <w:r>
              <w:rPr>
                <w:rFonts w:hint="eastAsia" w:ascii="宋体" w:hAnsi="宋体" w:eastAsia="宋体" w:cs="宋体"/>
                <w:color w:val="auto"/>
                <w:sz w:val="22"/>
                <w:szCs w:val="21"/>
                <w:highlight w:val="none"/>
                <w:lang w:val="en-US" w:eastAsia="en-US" w:bidi="zh-CN"/>
              </w:rPr>
              <w:t>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p>
          <w:p w14:paraId="7B518AAD">
            <w:pPr>
              <w:pStyle w:val="196"/>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（1）上述每项内容全面合理、针对性及操作性强的，得1分；</w:t>
            </w:r>
          </w:p>
          <w:p w14:paraId="1FE59AB9">
            <w:pPr>
              <w:pStyle w:val="196"/>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（2）上述每项内容较合理、针对性及操作性较强的，得0.5分；</w:t>
            </w:r>
          </w:p>
          <w:p w14:paraId="3D658ECB">
            <w:pPr>
              <w:pStyle w:val="196"/>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（3）上述每项内容不合理、缺乏针对性及操作性或未提供方案的不得分。</w:t>
            </w:r>
          </w:p>
        </w:tc>
        <w:tc>
          <w:tcPr>
            <w:tcW w:w="647" w:type="dxa"/>
            <w:tcBorders>
              <w:top w:val="single" w:color="000000" w:sz="2" w:space="0"/>
              <w:bottom w:val="single" w:color="000000" w:sz="2" w:space="0"/>
            </w:tcBorders>
            <w:vAlign w:val="center"/>
          </w:tcPr>
          <w:p w14:paraId="730F027B">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4</w:t>
            </w:r>
          </w:p>
        </w:tc>
        <w:tc>
          <w:tcPr>
            <w:tcW w:w="900" w:type="dxa"/>
            <w:tcBorders>
              <w:top w:val="single" w:color="000000" w:sz="2" w:space="0"/>
              <w:bottom w:val="single" w:color="000000" w:sz="2" w:space="0"/>
            </w:tcBorders>
            <w:vAlign w:val="center"/>
          </w:tcPr>
          <w:p w14:paraId="2215AD63">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5340B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vAlign w:val="center"/>
          </w:tcPr>
          <w:p w14:paraId="6D2A69D3">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4.业绩</w:t>
            </w:r>
          </w:p>
        </w:tc>
      </w:tr>
      <w:tr w14:paraId="15FE0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vAlign w:val="center"/>
          </w:tcPr>
          <w:p w14:paraId="38C1F180">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4.1</w:t>
            </w:r>
          </w:p>
        </w:tc>
        <w:tc>
          <w:tcPr>
            <w:tcW w:w="1179" w:type="dxa"/>
            <w:tcBorders>
              <w:top w:val="single" w:color="000000" w:sz="2" w:space="0"/>
              <w:bottom w:val="single" w:color="000000" w:sz="2" w:space="0"/>
            </w:tcBorders>
            <w:vAlign w:val="center"/>
          </w:tcPr>
          <w:p w14:paraId="4EF8B0EE">
            <w:pPr>
              <w:widowControl w:val="0"/>
              <w:spacing w:before="69" w:line="264" w:lineRule="auto"/>
              <w:jc w:val="both"/>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产品业绩</w:t>
            </w:r>
          </w:p>
        </w:tc>
        <w:tc>
          <w:tcPr>
            <w:tcW w:w="6330" w:type="dxa"/>
            <w:tcBorders>
              <w:top w:val="single" w:color="000000" w:sz="2" w:space="0"/>
              <w:bottom w:val="single" w:color="000000" w:sz="2" w:space="0"/>
            </w:tcBorders>
            <w:vAlign w:val="center"/>
          </w:tcPr>
          <w:p w14:paraId="1C7EA595">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提供投标人202</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年1月1日（含）以来（时间以合同签订时间为准）所投产品（同品牌同型号）业绩，每提供1个得</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分，最多得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p>
          <w:p w14:paraId="55A2F740">
            <w:pPr>
              <w:widowControl w:val="0"/>
              <w:spacing w:line="264" w:lineRule="auto"/>
              <w:jc w:val="both"/>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同时，投标人需提供所投业绩情况说明列表，内容主要包括买方名称、供货机型、合同金额、数量、签订时间、联系人及电话等，采购人将根据此表随机抽查，如有虚假将取消中标人资格。</w:t>
            </w:r>
          </w:p>
        </w:tc>
        <w:tc>
          <w:tcPr>
            <w:tcW w:w="647" w:type="dxa"/>
            <w:tcBorders>
              <w:top w:val="single" w:color="000000" w:sz="2" w:space="0"/>
              <w:bottom w:val="single" w:color="000000" w:sz="2" w:space="0"/>
            </w:tcBorders>
            <w:vAlign w:val="center"/>
          </w:tcPr>
          <w:p w14:paraId="6EE40882">
            <w:pPr>
              <w:widowControl w:val="0"/>
              <w:spacing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63643444">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635C1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vAlign w:val="top"/>
          </w:tcPr>
          <w:p w14:paraId="22FA2A63">
            <w:pPr>
              <w:widowControl w:val="0"/>
              <w:spacing w:before="123"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5.履约能力</w:t>
            </w:r>
          </w:p>
        </w:tc>
      </w:tr>
      <w:tr w14:paraId="61A60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vAlign w:val="center"/>
          </w:tcPr>
          <w:p w14:paraId="6A12AE49">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5.1</w:t>
            </w:r>
          </w:p>
        </w:tc>
        <w:tc>
          <w:tcPr>
            <w:tcW w:w="1179" w:type="dxa"/>
            <w:tcBorders>
              <w:top w:val="single" w:color="000000" w:sz="2" w:space="0"/>
              <w:bottom w:val="single" w:color="000000" w:sz="2" w:space="0"/>
            </w:tcBorders>
            <w:vAlign w:val="center"/>
          </w:tcPr>
          <w:p w14:paraId="38CE6859">
            <w:pPr>
              <w:widowControl w:val="0"/>
              <w:spacing w:before="69"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履约能力</w:t>
            </w:r>
          </w:p>
        </w:tc>
        <w:tc>
          <w:tcPr>
            <w:tcW w:w="6330" w:type="dxa"/>
            <w:tcBorders>
              <w:top w:val="single" w:color="000000" w:sz="2" w:space="0"/>
              <w:bottom w:val="single" w:color="000000" w:sz="2" w:space="0"/>
            </w:tcBorders>
            <w:vAlign w:val="center"/>
          </w:tcPr>
          <w:p w14:paraId="056F6DAE">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投标人承诺</w:t>
            </w:r>
            <w:r>
              <w:rPr>
                <w:rFonts w:hint="eastAsia" w:ascii="宋体" w:hAnsi="宋体" w:eastAsia="宋体" w:cs="宋体"/>
                <w:color w:val="auto"/>
                <w:sz w:val="21"/>
                <w:szCs w:val="21"/>
                <w:highlight w:val="none"/>
                <w:lang w:val="en-US" w:eastAsia="zh-CN" w:bidi="ar-SA"/>
              </w:rPr>
              <w:t>所</w:t>
            </w:r>
            <w:r>
              <w:rPr>
                <w:rFonts w:hint="eastAsia" w:ascii="宋体" w:hAnsi="宋体" w:eastAsia="宋体" w:cs="宋体"/>
                <w:color w:val="auto"/>
                <w:sz w:val="21"/>
                <w:szCs w:val="21"/>
                <w:highlight w:val="none"/>
                <w:lang w:val="en-US" w:eastAsia="zh-CN" w:bidi="ar-SA"/>
              </w:rPr>
              <w:t>投产品7年</w:t>
            </w:r>
            <w:r>
              <w:rPr>
                <w:rFonts w:hint="eastAsia" w:ascii="宋体" w:hAnsi="宋体" w:eastAsia="宋体" w:cs="宋体"/>
                <w:color w:val="auto"/>
                <w:sz w:val="21"/>
                <w:szCs w:val="21"/>
                <w:highlight w:val="none"/>
                <w:lang w:val="en-US" w:eastAsia="en-US" w:bidi="ar-SA"/>
              </w:rPr>
              <w:t>（含）以上原厂质保得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w:t>
            </w:r>
            <w:r>
              <w:rPr>
                <w:rFonts w:hint="eastAsia"/>
                <w:color w:val="auto"/>
                <w:sz w:val="21"/>
                <w:szCs w:val="21"/>
                <w:highlight w:val="none"/>
              </w:rPr>
              <w:t>所有质保服务及配件</w:t>
            </w:r>
            <w:r>
              <w:rPr>
                <w:rFonts w:hint="eastAsia"/>
                <w:color w:val="auto"/>
                <w:sz w:val="21"/>
                <w:szCs w:val="21"/>
                <w:highlight w:val="none"/>
                <w:lang w:eastAsia="zh-CN"/>
              </w:rPr>
              <w:t>等</w:t>
            </w:r>
            <w:r>
              <w:rPr>
                <w:rFonts w:hint="eastAsia"/>
                <w:color w:val="auto"/>
                <w:sz w:val="21"/>
                <w:szCs w:val="21"/>
                <w:highlight w:val="none"/>
              </w:rPr>
              <w:t>费用包含在总报价中</w:t>
            </w:r>
            <w:r>
              <w:rPr>
                <w:rFonts w:hint="eastAsia"/>
                <w:color w:val="auto"/>
                <w:sz w:val="21"/>
                <w:szCs w:val="21"/>
                <w:highlight w:val="none"/>
                <w:lang w:eastAsia="zh-CN"/>
              </w:rPr>
              <w:t>；</w:t>
            </w:r>
            <w:r>
              <w:rPr>
                <w:rFonts w:hint="eastAsia" w:ascii="宋体" w:hAnsi="宋体" w:eastAsia="宋体" w:cs="宋体"/>
                <w:color w:val="auto"/>
                <w:sz w:val="21"/>
                <w:szCs w:val="21"/>
                <w:highlight w:val="none"/>
                <w:lang w:val="en-US" w:eastAsia="en-US" w:bidi="ar-SA"/>
              </w:rPr>
              <w:t>未提供的不得分（提供承诺函，格式自拟）。</w:t>
            </w:r>
          </w:p>
          <w:p w14:paraId="2D880C36">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备注:投标时提供产品原厂公章的质保承诺函原件，格式自拟。</w:t>
            </w:r>
          </w:p>
        </w:tc>
        <w:tc>
          <w:tcPr>
            <w:tcW w:w="647" w:type="dxa"/>
            <w:tcBorders>
              <w:top w:val="single" w:color="000000" w:sz="2" w:space="0"/>
              <w:bottom w:val="single" w:color="000000" w:sz="2" w:space="0"/>
            </w:tcBorders>
            <w:vAlign w:val="center"/>
          </w:tcPr>
          <w:p w14:paraId="2E23A8B4">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69866419">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0D993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vAlign w:val="center"/>
          </w:tcPr>
          <w:p w14:paraId="7955F3D6">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合</w:t>
            </w:r>
            <w:r>
              <w:rPr>
                <w:rFonts w:hint="eastAsia" w:ascii="宋体" w:hAnsi="宋体" w:eastAsia="宋体" w:cs="宋体"/>
                <w:color w:val="auto"/>
                <w:spacing w:val="-2"/>
                <w:sz w:val="21"/>
                <w:szCs w:val="21"/>
                <w:highlight w:val="none"/>
                <w:lang w:val="en-US" w:eastAsia="en-US" w:bidi="ar-SA"/>
              </w:rPr>
              <w:t>计</w:t>
            </w:r>
          </w:p>
        </w:tc>
        <w:tc>
          <w:tcPr>
            <w:tcW w:w="7509" w:type="dxa"/>
            <w:gridSpan w:val="2"/>
            <w:tcBorders>
              <w:top w:val="single" w:color="000000" w:sz="2" w:space="0"/>
              <w:bottom w:val="single" w:color="000000" w:sz="2" w:space="0"/>
            </w:tcBorders>
            <w:vAlign w:val="center"/>
          </w:tcPr>
          <w:p w14:paraId="077A2C3D">
            <w:pPr>
              <w:widowControl w:val="0"/>
              <w:spacing w:before="123" w:line="264" w:lineRule="auto"/>
              <w:ind w:left="172"/>
              <w:jc w:val="center"/>
              <w:rPr>
                <w:rFonts w:hint="eastAsia" w:ascii="宋体" w:hAnsi="宋体" w:eastAsia="宋体" w:cs="宋体"/>
                <w:color w:val="auto"/>
                <w:spacing w:val="-2"/>
                <w:sz w:val="21"/>
                <w:szCs w:val="21"/>
                <w:highlight w:val="none"/>
                <w:lang w:val="en-US" w:eastAsia="en-US" w:bidi="ar-SA"/>
              </w:rPr>
            </w:pPr>
          </w:p>
        </w:tc>
        <w:tc>
          <w:tcPr>
            <w:tcW w:w="1547" w:type="dxa"/>
            <w:gridSpan w:val="2"/>
            <w:tcBorders>
              <w:top w:val="single" w:color="000000" w:sz="2" w:space="0"/>
              <w:bottom w:val="single" w:color="000000" w:sz="2" w:space="0"/>
            </w:tcBorders>
            <w:vAlign w:val="center"/>
          </w:tcPr>
          <w:p w14:paraId="071C618D">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100分</w:t>
            </w:r>
          </w:p>
        </w:tc>
      </w:tr>
    </w:tbl>
    <w:p w14:paraId="44FB1B60">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2D133F4A">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highlight w:val="none"/>
        </w:rPr>
        <w:t> </w:t>
      </w:r>
    </w:p>
    <w:p w14:paraId="4DB29CA8">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说明：</w:t>
      </w:r>
    </w:p>
    <w:p w14:paraId="7A08B8DA">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1.所有认证、证明和业绩均以有效清晰的证明文件的复印件为依据，原件备查。</w:t>
      </w:r>
    </w:p>
    <w:p w14:paraId="62C84A8F">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2.小微企业价格扣除</w:t>
      </w:r>
    </w:p>
    <w:p w14:paraId="08267FF4">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47A5249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78284A75">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3.监狱和戒毒企业的价格扣除</w:t>
      </w:r>
    </w:p>
    <w:p w14:paraId="29CB47EA">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3.1 本项目对监狱和戒毒企业，给予10%的价格扣除，用扣除后的价格参与评审。</w:t>
      </w:r>
    </w:p>
    <w:p w14:paraId="74E9D86A">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3.2 监狱企业需提供由省级以上监狱管理局、戒毒管理局（含新疆生产建设兵团）出具的属于监狱企业的证明文件。</w:t>
      </w:r>
    </w:p>
    <w:p w14:paraId="7E327886">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3.3 监狱企业标准请参照《关于政府采购支持监狱企业发展有关问题的通知》（财库〔2014〕68号）。</w:t>
      </w:r>
    </w:p>
    <w:p w14:paraId="6110722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4.残疾人福利性单位的价格扣除</w:t>
      </w:r>
    </w:p>
    <w:p w14:paraId="4BA1645D">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4.1 本项目对残疾人福利性单位，给予10%的价格扣除，用扣除后的价格参与评审。</w:t>
      </w:r>
    </w:p>
    <w:p w14:paraId="3340812C">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4.2 残疾人福利性单位需提供《残疾人福利性单位声明函》。</w:t>
      </w:r>
    </w:p>
    <w:p w14:paraId="2504ED7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4.3 残疾人福利性单位标准请参照《关于促进残疾人就业政府采购政策的通知》（财库〔2017〕141号）。</w:t>
      </w:r>
    </w:p>
    <w:p w14:paraId="043D5ACB">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5. 监狱企业、残疾人福利性单位属于小型、微型企业的，不重复享受政策。</w:t>
      </w:r>
    </w:p>
    <w:p w14:paraId="3268B45D">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6.6.本国产品的价格扣除</w:t>
      </w:r>
    </w:p>
    <w:p w14:paraId="1BA5A9AD">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6.1本国产品标准、本国产品标准的适用范围、对本国产品的支持政策等详见《国务院办公厅关于在政府采购中实施本国产品标准及相关政策的通知》（国办发〔2025〕34号）。</w:t>
      </w:r>
    </w:p>
    <w:p w14:paraId="77E2B8E9">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 政府采购活动中既有本国产品又有非本国产品参与竞争的，依法对本国产品给予价格评审优惠，对本国产品的报价给予20%的价格扣除，用扣除后的价格参与评审。</w:t>
      </w:r>
    </w:p>
    <w:p w14:paraId="3C9FC79D">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hint="eastAsia" w:ascii="宋体" w:hAnsi="宋体" w:eastAsia="宋体" w:cs="宋体"/>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p>
    <w:p w14:paraId="19047F70">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第四章 采购需求</w:t>
      </w:r>
    </w:p>
    <w:p w14:paraId="597771BC">
      <w:pP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一、货物需求一览表</w:t>
      </w:r>
    </w:p>
    <w:tbl>
      <w:tblPr>
        <w:tblStyle w:val="36"/>
        <w:tblW w:w="988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85"/>
        <w:gridCol w:w="2530"/>
        <w:gridCol w:w="1833"/>
        <w:gridCol w:w="1917"/>
        <w:gridCol w:w="1817"/>
      </w:tblGrid>
      <w:tr w14:paraId="74858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B28C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3"/>
                <w:rFonts w:hint="eastAsia" w:ascii="宋体" w:hAnsi="宋体" w:eastAsia="宋体" w:cs="宋体"/>
                <w:color w:val="auto"/>
                <w:sz w:val="21"/>
                <w:szCs w:val="21"/>
                <w:highlight w:val="none"/>
                <w:lang w:val="en-US" w:eastAsia="zh-CN" w:bidi="ar"/>
              </w:rPr>
              <w:t>设备名称</w:t>
            </w:r>
          </w:p>
        </w:tc>
        <w:tc>
          <w:tcPr>
            <w:tcW w:w="2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9AFE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设备明细</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8DE0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需求科室</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90D6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需求数量（套）</w:t>
            </w: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745C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交货地点</w:t>
            </w:r>
          </w:p>
        </w:tc>
      </w:tr>
      <w:tr w14:paraId="15539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17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27102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4"/>
                <w:rFonts w:hint="eastAsia" w:ascii="宋体" w:hAnsi="宋体" w:eastAsia="宋体" w:cs="宋体"/>
                <w:color w:val="auto"/>
                <w:sz w:val="21"/>
                <w:szCs w:val="21"/>
                <w:highlight w:val="none"/>
                <w:lang w:val="en-US" w:eastAsia="zh-CN" w:bidi="ar"/>
              </w:rPr>
              <w:t>吊塔</w:t>
            </w:r>
            <w:r>
              <w:rPr>
                <w:rFonts w:hint="eastAsia" w:ascii="宋体" w:hAnsi="宋体" w:eastAsia="宋体" w:cs="宋体"/>
                <w:i w:val="0"/>
                <w:iCs w:val="0"/>
                <w:color w:val="auto"/>
                <w:kern w:val="0"/>
                <w:sz w:val="21"/>
                <w:szCs w:val="21"/>
                <w:highlight w:val="none"/>
                <w:u w:val="none"/>
                <w:lang w:val="en-US" w:eastAsia="zh-CN" w:bidi="ar"/>
              </w:rPr>
              <w:br w:type="textWrapping"/>
            </w:r>
            <w:r>
              <w:rPr>
                <w:rStyle w:val="214"/>
                <w:rFonts w:hint="eastAsia" w:ascii="宋体" w:hAnsi="宋体" w:eastAsia="宋体" w:cs="宋体"/>
                <w:color w:val="auto"/>
                <w:sz w:val="21"/>
                <w:szCs w:val="21"/>
                <w:highlight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71</w:t>
            </w:r>
            <w:r>
              <w:rPr>
                <w:rStyle w:val="214"/>
                <w:rFonts w:hint="eastAsia" w:ascii="宋体" w:hAnsi="宋体" w:eastAsia="宋体" w:cs="宋体"/>
                <w:color w:val="auto"/>
                <w:sz w:val="21"/>
                <w:szCs w:val="21"/>
                <w:highlight w:val="none"/>
                <w:lang w:val="en-US" w:eastAsia="zh-CN" w:bidi="ar"/>
              </w:rPr>
              <w:t>套）</w:t>
            </w:r>
          </w:p>
        </w:tc>
        <w:tc>
          <w:tcPr>
            <w:tcW w:w="2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CFD7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5"/>
                <w:rFonts w:hint="eastAsia" w:ascii="宋体" w:hAnsi="宋体" w:eastAsia="宋体" w:cs="宋体"/>
                <w:color w:val="auto"/>
                <w:sz w:val="21"/>
                <w:szCs w:val="21"/>
                <w:highlight w:val="none"/>
                <w:lang w:val="en-US" w:eastAsia="zh-CN" w:bidi="ar"/>
              </w:rPr>
              <w:t>机械双臂麻醉吊塔</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5F33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DSA</w:t>
            </w:r>
            <w:r>
              <w:rPr>
                <w:rStyle w:val="215"/>
                <w:rFonts w:hint="eastAsia" w:ascii="宋体" w:hAnsi="宋体" w:eastAsia="宋体" w:cs="宋体"/>
                <w:color w:val="auto"/>
                <w:sz w:val="21"/>
                <w:szCs w:val="21"/>
                <w:highlight w:val="none"/>
                <w:lang w:val="en-US" w:eastAsia="zh-CN" w:bidi="ar"/>
              </w:rPr>
              <w:t>室</w:t>
            </w:r>
          </w:p>
        </w:tc>
        <w:tc>
          <w:tcPr>
            <w:tcW w:w="1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9DFD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8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AEFE3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南京市江宁医院指定地点</w:t>
            </w:r>
          </w:p>
        </w:tc>
      </w:tr>
      <w:tr w14:paraId="14070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trPr>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1531F">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2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3EF5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5"/>
                <w:rFonts w:hint="eastAsia" w:ascii="宋体" w:hAnsi="宋体" w:eastAsia="宋体" w:cs="宋体"/>
                <w:color w:val="auto"/>
                <w:sz w:val="21"/>
                <w:szCs w:val="21"/>
                <w:highlight w:val="none"/>
                <w:lang w:val="en-US" w:eastAsia="zh-CN" w:bidi="ar"/>
              </w:rPr>
              <w:t>机械双臂麻醉吊塔</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2D2E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5"/>
                <w:rFonts w:hint="eastAsia" w:ascii="宋体" w:hAnsi="宋体" w:eastAsia="宋体" w:cs="宋体"/>
                <w:color w:val="auto"/>
                <w:sz w:val="21"/>
                <w:szCs w:val="21"/>
                <w:highlight w:val="none"/>
                <w:lang w:val="en-US" w:eastAsia="zh-CN" w:bidi="ar"/>
              </w:rPr>
              <w:t>手术室</w:t>
            </w:r>
          </w:p>
        </w:tc>
        <w:tc>
          <w:tcPr>
            <w:tcW w:w="1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534E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8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B229C">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r>
      <w:tr w14:paraId="76F62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A9021">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2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1484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5"/>
                <w:rFonts w:hint="eastAsia" w:ascii="宋体" w:hAnsi="宋体" w:eastAsia="宋体" w:cs="宋体"/>
                <w:color w:val="auto"/>
                <w:sz w:val="21"/>
                <w:szCs w:val="21"/>
                <w:highlight w:val="none"/>
                <w:lang w:val="en-US" w:eastAsia="zh-CN" w:bidi="ar"/>
              </w:rPr>
              <w:t>医疗柱</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7A15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5"/>
                <w:rFonts w:hint="eastAsia" w:ascii="宋体" w:hAnsi="宋体" w:eastAsia="宋体" w:cs="宋体"/>
                <w:color w:val="auto"/>
                <w:sz w:val="21"/>
                <w:szCs w:val="21"/>
                <w:highlight w:val="none"/>
                <w:lang w:val="en-US" w:eastAsia="zh-CN" w:bidi="ar"/>
              </w:rPr>
              <w:t>急诊科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DEF0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8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32D14">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r>
      <w:tr w14:paraId="542A7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trPr>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8CFFC">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2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A5E5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5"/>
                <w:rFonts w:hint="eastAsia" w:ascii="宋体" w:hAnsi="宋体" w:eastAsia="宋体" w:cs="宋体"/>
                <w:color w:val="auto"/>
                <w:sz w:val="21"/>
                <w:szCs w:val="21"/>
                <w:highlight w:val="none"/>
                <w:lang w:val="en-US" w:eastAsia="zh-CN" w:bidi="ar"/>
              </w:rPr>
              <w:t>双臂吊塔</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8C9E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5"/>
                <w:rFonts w:hint="eastAsia" w:ascii="宋体" w:hAnsi="宋体" w:eastAsia="宋体" w:cs="宋体"/>
                <w:color w:val="auto"/>
                <w:sz w:val="21"/>
                <w:szCs w:val="21"/>
                <w:highlight w:val="none"/>
                <w:lang w:val="en-US" w:eastAsia="zh-CN" w:bidi="ar"/>
              </w:rPr>
              <w:t>急诊科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9FC6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8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52B14">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r>
      <w:tr w14:paraId="64014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938A4">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2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4301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4"/>
                <w:rFonts w:hint="eastAsia" w:ascii="宋体" w:hAnsi="宋体" w:eastAsia="宋体" w:cs="宋体"/>
                <w:color w:val="auto"/>
                <w:sz w:val="21"/>
                <w:szCs w:val="21"/>
                <w:highlight w:val="none"/>
                <w:lang w:val="en-US" w:eastAsia="zh-CN" w:bidi="ar"/>
              </w:rPr>
              <w:t>单臂吊塔</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5D40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CRCU</w:t>
            </w:r>
          </w:p>
        </w:tc>
        <w:tc>
          <w:tcPr>
            <w:tcW w:w="1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EDF0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18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23476">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r>
      <w:tr w14:paraId="09AA5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D62AC">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2530" w:type="dxa"/>
            <w:tcBorders>
              <w:top w:val="nil"/>
              <w:left w:val="nil"/>
              <w:bottom w:val="nil"/>
              <w:right w:val="nil"/>
            </w:tcBorders>
            <w:shd w:val="clear" w:color="auto" w:fill="auto"/>
            <w:noWrap/>
            <w:vAlign w:val="center"/>
          </w:tcPr>
          <w:p w14:paraId="2199016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6"/>
                <w:rFonts w:hint="eastAsia" w:ascii="宋体" w:hAnsi="宋体" w:eastAsia="宋体" w:cs="宋体"/>
                <w:color w:val="auto"/>
                <w:sz w:val="21"/>
                <w:szCs w:val="21"/>
                <w:highlight w:val="none"/>
                <w:lang w:val="en-US" w:eastAsia="zh-CN" w:bidi="ar"/>
              </w:rPr>
              <w:t>电动双臂腔镜吊塔</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4AA8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4"/>
                <w:rFonts w:hint="eastAsia" w:ascii="宋体" w:hAnsi="宋体" w:eastAsia="宋体" w:cs="宋体"/>
                <w:color w:val="auto"/>
                <w:sz w:val="21"/>
                <w:szCs w:val="21"/>
                <w:highlight w:val="none"/>
                <w:lang w:val="en-US" w:eastAsia="zh-CN" w:bidi="ar"/>
              </w:rPr>
              <w:t>手术室</w:t>
            </w:r>
          </w:p>
        </w:tc>
        <w:tc>
          <w:tcPr>
            <w:tcW w:w="1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DF02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8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98E4BD">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r>
      <w:tr w14:paraId="119B2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A4CAE0">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2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9A6B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4"/>
                <w:rFonts w:hint="eastAsia" w:ascii="宋体" w:hAnsi="宋体" w:eastAsia="宋体" w:cs="宋体"/>
                <w:color w:val="auto"/>
                <w:sz w:val="21"/>
                <w:szCs w:val="21"/>
                <w:highlight w:val="none"/>
                <w:lang w:val="en-US" w:eastAsia="zh-CN" w:bidi="ar"/>
              </w:rPr>
              <w:t>双吊柱吊桥</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6151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ICU</w:t>
            </w:r>
          </w:p>
        </w:tc>
        <w:tc>
          <w:tcPr>
            <w:tcW w:w="1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EA48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18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B84CA">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r>
      <w:tr w14:paraId="5DEC8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trPr>
        <w:tc>
          <w:tcPr>
            <w:tcW w:w="17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8EC2F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4"/>
                <w:rFonts w:hint="eastAsia" w:ascii="宋体" w:hAnsi="宋体" w:eastAsia="宋体" w:cs="宋体"/>
                <w:color w:val="auto"/>
                <w:sz w:val="21"/>
                <w:szCs w:val="21"/>
                <w:highlight w:val="none"/>
                <w:lang w:val="en-US" w:eastAsia="zh-CN" w:bidi="ar"/>
              </w:rPr>
              <w:t>手术无影灯</w:t>
            </w:r>
            <w:r>
              <w:rPr>
                <w:rFonts w:hint="eastAsia" w:ascii="宋体" w:hAnsi="宋体" w:eastAsia="宋体" w:cs="宋体"/>
                <w:i w:val="0"/>
                <w:iCs w:val="0"/>
                <w:color w:val="auto"/>
                <w:kern w:val="0"/>
                <w:sz w:val="21"/>
                <w:szCs w:val="21"/>
                <w:highlight w:val="none"/>
                <w:u w:val="none"/>
                <w:lang w:val="en-US" w:eastAsia="zh-CN" w:bidi="ar"/>
              </w:rPr>
              <w:br w:type="textWrapping"/>
            </w:r>
            <w:r>
              <w:rPr>
                <w:rStyle w:val="214"/>
                <w:rFonts w:hint="eastAsia" w:ascii="宋体" w:hAnsi="宋体" w:eastAsia="宋体" w:cs="宋体"/>
                <w:color w:val="auto"/>
                <w:sz w:val="21"/>
                <w:szCs w:val="21"/>
                <w:highlight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13</w:t>
            </w:r>
            <w:r>
              <w:rPr>
                <w:rStyle w:val="214"/>
                <w:rFonts w:hint="eastAsia" w:ascii="宋体" w:hAnsi="宋体" w:eastAsia="宋体" w:cs="宋体"/>
                <w:color w:val="auto"/>
                <w:sz w:val="21"/>
                <w:szCs w:val="21"/>
                <w:highlight w:val="none"/>
                <w:lang w:val="en-US" w:eastAsia="zh-CN" w:bidi="ar"/>
              </w:rPr>
              <w:t>套）</w:t>
            </w:r>
          </w:p>
        </w:tc>
        <w:tc>
          <w:tcPr>
            <w:tcW w:w="2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F23B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4"/>
                <w:rFonts w:hint="eastAsia" w:ascii="宋体" w:hAnsi="宋体" w:eastAsia="宋体" w:cs="宋体"/>
                <w:color w:val="auto"/>
                <w:sz w:val="21"/>
                <w:szCs w:val="21"/>
                <w:highlight w:val="none"/>
                <w:lang w:val="en-US" w:eastAsia="zh-CN" w:bidi="ar"/>
              </w:rPr>
              <w:t>加长臂单头无影灯</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A3DB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DSA</w:t>
            </w:r>
            <w:r>
              <w:rPr>
                <w:rStyle w:val="214"/>
                <w:rFonts w:hint="eastAsia" w:ascii="宋体" w:hAnsi="宋体" w:eastAsia="宋体" w:cs="宋体"/>
                <w:color w:val="auto"/>
                <w:sz w:val="21"/>
                <w:szCs w:val="21"/>
                <w:highlight w:val="none"/>
                <w:lang w:val="en-US" w:eastAsia="zh-CN" w:bidi="ar"/>
              </w:rPr>
              <w:t>室</w:t>
            </w:r>
          </w:p>
        </w:tc>
        <w:tc>
          <w:tcPr>
            <w:tcW w:w="1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6898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8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DF57C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南京市江宁医院指定地点</w:t>
            </w:r>
          </w:p>
        </w:tc>
      </w:tr>
      <w:tr w14:paraId="19B66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D6CB9">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2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9E4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4"/>
                <w:rFonts w:hint="eastAsia" w:ascii="宋体" w:hAnsi="宋体" w:eastAsia="宋体" w:cs="宋体"/>
                <w:color w:val="auto"/>
                <w:sz w:val="21"/>
                <w:szCs w:val="21"/>
                <w:highlight w:val="none"/>
                <w:lang w:val="en-US" w:eastAsia="zh-CN" w:bidi="ar"/>
              </w:rPr>
              <w:t>加长臂单头无影灯</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7E90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4"/>
                <w:rFonts w:hint="eastAsia" w:ascii="宋体" w:hAnsi="宋体" w:eastAsia="宋体" w:cs="宋体"/>
                <w:color w:val="auto"/>
                <w:sz w:val="21"/>
                <w:szCs w:val="21"/>
                <w:highlight w:val="none"/>
                <w:lang w:val="en-US" w:eastAsia="zh-CN" w:bidi="ar"/>
              </w:rPr>
              <w:t>手术室</w:t>
            </w:r>
          </w:p>
        </w:tc>
        <w:tc>
          <w:tcPr>
            <w:tcW w:w="1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3466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8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52A9F">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r>
      <w:tr w14:paraId="00623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trPr>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8EB47">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2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131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4"/>
                <w:rFonts w:hint="eastAsia" w:ascii="宋体" w:hAnsi="宋体" w:eastAsia="宋体" w:cs="宋体"/>
                <w:color w:val="auto"/>
                <w:sz w:val="21"/>
                <w:szCs w:val="21"/>
                <w:highlight w:val="none"/>
                <w:lang w:val="en-US" w:eastAsia="zh-CN" w:bidi="ar"/>
              </w:rPr>
              <w:t>双头无影灯</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05DD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4"/>
                <w:rFonts w:hint="eastAsia" w:ascii="宋体" w:hAnsi="宋体" w:eastAsia="宋体" w:cs="宋体"/>
                <w:color w:val="auto"/>
                <w:sz w:val="21"/>
                <w:szCs w:val="21"/>
                <w:highlight w:val="none"/>
                <w:lang w:val="en-US" w:eastAsia="zh-CN" w:bidi="ar"/>
              </w:rPr>
              <w:t>手术室</w:t>
            </w:r>
          </w:p>
        </w:tc>
        <w:tc>
          <w:tcPr>
            <w:tcW w:w="1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1077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8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604B8">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r>
      <w:tr w14:paraId="6B496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7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9F001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7"/>
                <w:rFonts w:hint="eastAsia" w:ascii="宋体" w:hAnsi="宋体" w:eastAsia="宋体" w:cs="宋体"/>
                <w:color w:val="auto"/>
                <w:sz w:val="21"/>
                <w:szCs w:val="21"/>
                <w:highlight w:val="none"/>
                <w:lang w:val="en-US" w:eastAsia="zh-CN" w:bidi="ar"/>
              </w:rPr>
              <w:t>手术床</w:t>
            </w:r>
            <w:r>
              <w:rPr>
                <w:rStyle w:val="218"/>
                <w:rFonts w:hint="eastAsia" w:ascii="宋体" w:hAnsi="宋体" w:eastAsia="宋体" w:cs="宋体"/>
                <w:color w:val="auto"/>
                <w:sz w:val="21"/>
                <w:szCs w:val="21"/>
                <w:highlight w:val="none"/>
                <w:lang w:val="en-US" w:eastAsia="zh-CN" w:bidi="ar"/>
              </w:rPr>
              <w:br w:type="textWrapping"/>
            </w:r>
            <w:r>
              <w:rPr>
                <w:rStyle w:val="217"/>
                <w:rFonts w:hint="eastAsia" w:ascii="宋体" w:hAnsi="宋体" w:eastAsia="宋体" w:cs="宋体"/>
                <w:color w:val="auto"/>
                <w:sz w:val="21"/>
                <w:szCs w:val="21"/>
                <w:highlight w:val="none"/>
                <w:lang w:val="en-US" w:eastAsia="zh-CN" w:bidi="ar"/>
              </w:rPr>
              <w:t>（</w:t>
            </w:r>
            <w:r>
              <w:rPr>
                <w:rStyle w:val="218"/>
                <w:rFonts w:hint="eastAsia" w:ascii="宋体" w:hAnsi="宋体" w:eastAsia="宋体" w:cs="宋体"/>
                <w:color w:val="auto"/>
                <w:sz w:val="21"/>
                <w:szCs w:val="21"/>
                <w:highlight w:val="none"/>
                <w:lang w:val="en-US" w:eastAsia="zh-CN" w:bidi="ar"/>
              </w:rPr>
              <w:t>5</w:t>
            </w:r>
            <w:r>
              <w:rPr>
                <w:rStyle w:val="217"/>
                <w:rFonts w:hint="eastAsia" w:ascii="宋体" w:hAnsi="宋体" w:eastAsia="宋体" w:cs="宋体"/>
                <w:color w:val="auto"/>
                <w:sz w:val="21"/>
                <w:szCs w:val="21"/>
                <w:highlight w:val="none"/>
                <w:lang w:val="en-US" w:eastAsia="zh-CN" w:bidi="ar"/>
              </w:rPr>
              <w:t>套）</w:t>
            </w:r>
          </w:p>
        </w:tc>
        <w:tc>
          <w:tcPr>
            <w:tcW w:w="2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6BDB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9"/>
                <w:rFonts w:hint="eastAsia" w:ascii="宋体" w:hAnsi="宋体" w:eastAsia="宋体" w:cs="宋体"/>
                <w:color w:val="auto"/>
                <w:sz w:val="21"/>
                <w:szCs w:val="21"/>
                <w:highlight w:val="none"/>
                <w:lang w:val="en-US" w:eastAsia="zh-CN" w:bidi="ar"/>
              </w:rPr>
              <w:t>骨科床</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9AE4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4"/>
                <w:rFonts w:hint="eastAsia" w:ascii="宋体" w:hAnsi="宋体" w:eastAsia="宋体" w:cs="宋体"/>
                <w:color w:val="auto"/>
                <w:sz w:val="21"/>
                <w:szCs w:val="21"/>
                <w:highlight w:val="none"/>
                <w:lang w:val="en-US" w:eastAsia="zh-CN" w:bidi="ar"/>
              </w:rPr>
              <w:t>手术室</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516A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8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23280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南京市江宁医院指定地点</w:t>
            </w:r>
          </w:p>
        </w:tc>
      </w:tr>
      <w:tr w14:paraId="73A56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DB50D">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2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7620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7"/>
                <w:rFonts w:hint="eastAsia" w:ascii="宋体" w:hAnsi="宋体" w:eastAsia="宋体" w:cs="宋体"/>
                <w:color w:val="auto"/>
                <w:sz w:val="21"/>
                <w:szCs w:val="21"/>
                <w:highlight w:val="none"/>
                <w:lang w:val="en-US" w:eastAsia="zh-CN" w:bidi="ar"/>
              </w:rPr>
              <w:t>常规床</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906F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14"/>
                <w:rFonts w:hint="eastAsia" w:ascii="宋体" w:hAnsi="宋体" w:eastAsia="宋体" w:cs="宋体"/>
                <w:color w:val="auto"/>
                <w:sz w:val="21"/>
                <w:szCs w:val="21"/>
                <w:highlight w:val="none"/>
                <w:lang w:val="en-US" w:eastAsia="zh-CN" w:bidi="ar"/>
              </w:rPr>
              <w:t>手术室</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3230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8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1C684">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r>
      <w:tr w14:paraId="51047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6BD5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合计</w:t>
            </w:r>
          </w:p>
        </w:tc>
        <w:tc>
          <w:tcPr>
            <w:tcW w:w="2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91A96">
            <w:pPr>
              <w:keepNext w:val="0"/>
              <w:keepLines w:val="0"/>
              <w:pageBreakBefore w:val="0"/>
              <w:widowControl/>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highlight w:val="none"/>
                <w:u w:val="none"/>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90E65">
            <w:pPr>
              <w:keepNext w:val="0"/>
              <w:keepLines w:val="0"/>
              <w:pageBreakBefore w:val="0"/>
              <w:widowControl/>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highlight w:val="none"/>
                <w:u w:val="none"/>
              </w:rPr>
            </w:pPr>
          </w:p>
        </w:tc>
        <w:tc>
          <w:tcPr>
            <w:tcW w:w="1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6E35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89</w:t>
            </w: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9F2DA">
            <w:pPr>
              <w:keepNext w:val="0"/>
              <w:keepLines w:val="0"/>
              <w:pageBreakBefore w:val="0"/>
              <w:widowControl/>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highlight w:val="none"/>
                <w:u w:val="none"/>
              </w:rPr>
            </w:pPr>
          </w:p>
        </w:tc>
      </w:tr>
    </w:tbl>
    <w:p w14:paraId="29ABA8F0">
      <w:pPr>
        <w:pStyle w:val="35"/>
        <w:rPr>
          <w:rFonts w:hint="eastAsia"/>
          <w:color w:val="auto"/>
          <w:highlight w:val="none"/>
        </w:rPr>
      </w:pPr>
    </w:p>
    <w:p w14:paraId="68EF39CF">
      <w:pPr>
        <w:numPr>
          <w:ilvl w:val="0"/>
          <w:numId w:val="3"/>
        </w:numPr>
        <w:spacing w:line="360" w:lineRule="auto"/>
        <w:rPr>
          <w:rFonts w:hint="eastAsia" w:ascii="黑体" w:hAnsi="黑体" w:eastAsia="黑体" w:cs="宋体"/>
          <w:b/>
          <w:color w:val="auto"/>
          <w:sz w:val="28"/>
          <w:szCs w:val="28"/>
          <w:highlight w:val="none"/>
        </w:rPr>
      </w:pPr>
      <w:r>
        <w:rPr>
          <w:rFonts w:hint="eastAsia" w:ascii="黑体" w:hAnsi="黑体" w:eastAsia="黑体" w:cs="宋体"/>
          <w:b/>
          <w:color w:val="auto"/>
          <w:sz w:val="28"/>
          <w:szCs w:val="28"/>
          <w:highlight w:val="none"/>
        </w:rPr>
        <w:t>技术参数及要求</w:t>
      </w:r>
    </w:p>
    <w:p w14:paraId="1C006106">
      <w:pPr>
        <w:pStyle w:val="35"/>
        <w:jc w:val="center"/>
        <w:rPr>
          <w:rFonts w:hint="eastAsia" w:eastAsia="黑体"/>
          <w:color w:val="auto"/>
          <w:highlight w:val="none"/>
          <w:lang w:val="en-US" w:eastAsia="zh-CN"/>
        </w:rPr>
      </w:pPr>
      <w:r>
        <w:rPr>
          <w:rFonts w:hint="eastAsia" w:ascii="黑体" w:hAnsi="黑体" w:eastAsia="黑体" w:cs="宋体"/>
          <w:b/>
          <w:color w:val="auto"/>
          <w:sz w:val="28"/>
          <w:szCs w:val="28"/>
          <w:highlight w:val="none"/>
          <w:lang w:eastAsia="zh-CN"/>
        </w:rPr>
        <w:t>吊塔技术</w:t>
      </w:r>
      <w:r>
        <w:rPr>
          <w:rFonts w:hint="eastAsia" w:ascii="黑体" w:hAnsi="黑体" w:eastAsia="黑体" w:cs="宋体"/>
          <w:b/>
          <w:color w:val="auto"/>
          <w:sz w:val="28"/>
          <w:szCs w:val="28"/>
          <w:highlight w:val="none"/>
          <w:lang w:val="en-US" w:eastAsia="zh-CN"/>
        </w:rPr>
        <w:t>参数及要求</w:t>
      </w:r>
    </w:p>
    <w:tbl>
      <w:tblPr>
        <w:tblStyle w:val="36"/>
        <w:tblW w:w="97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7"/>
        <w:gridCol w:w="1075"/>
        <w:gridCol w:w="8000"/>
      </w:tblGrid>
      <w:tr w14:paraId="20488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C8E79">
            <w:pPr>
              <w:keepNext w:val="0"/>
              <w:keepLines w:val="0"/>
              <w:pageBreakBefore w:val="0"/>
              <w:widowControl/>
              <w:suppressLineNumbers w:val="0"/>
              <w:kinsoku/>
              <w:wordWrap/>
              <w:overflowPunct/>
              <w:topLinePunct w:val="0"/>
              <w:autoSpaceDE/>
              <w:autoSpaceDN/>
              <w:bidi w:val="0"/>
              <w:adjustRightInd/>
              <w:snapToGrid/>
              <w:spacing w:line="0" w:lineRule="atLeast"/>
              <w:ind w:left="0" w:firstLine="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BCA3">
            <w:pPr>
              <w:keepNext w:val="0"/>
              <w:keepLines w:val="0"/>
              <w:pageBreakBefore w:val="0"/>
              <w:widowControl/>
              <w:suppressLineNumbers w:val="0"/>
              <w:kinsoku/>
              <w:wordWrap/>
              <w:overflowPunct/>
              <w:topLinePunct w:val="0"/>
              <w:autoSpaceDE/>
              <w:autoSpaceDN/>
              <w:bidi w:val="0"/>
              <w:adjustRightInd/>
              <w:snapToGrid/>
              <w:spacing w:line="0" w:lineRule="atLeast"/>
              <w:ind w:left="0" w:firstLine="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货物名称</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5FF39">
            <w:pPr>
              <w:keepNext w:val="0"/>
              <w:keepLines w:val="0"/>
              <w:pageBreakBefore w:val="0"/>
              <w:widowControl/>
              <w:suppressLineNumbers w:val="0"/>
              <w:kinsoku/>
              <w:wordWrap/>
              <w:overflowPunct/>
              <w:topLinePunct w:val="0"/>
              <w:autoSpaceDE/>
              <w:autoSpaceDN/>
              <w:bidi w:val="0"/>
              <w:adjustRightInd/>
              <w:snapToGrid/>
              <w:spacing w:line="0" w:lineRule="atLeast"/>
              <w:ind w:left="0" w:firstLine="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技术参数及要求</w:t>
            </w:r>
          </w:p>
        </w:tc>
      </w:tr>
      <w:tr w14:paraId="1512E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restart"/>
            <w:tcBorders>
              <w:top w:val="single" w:color="000000" w:sz="4" w:space="0"/>
              <w:left w:val="single" w:color="000000" w:sz="4" w:space="0"/>
              <w:right w:val="single" w:color="000000" w:sz="4" w:space="0"/>
            </w:tcBorders>
            <w:shd w:val="clear" w:color="auto" w:fill="auto"/>
            <w:vAlign w:val="center"/>
          </w:tcPr>
          <w:p w14:paraId="699667CF">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75" w:type="dxa"/>
            <w:vMerge w:val="restart"/>
            <w:tcBorders>
              <w:top w:val="single" w:color="000000" w:sz="4" w:space="0"/>
              <w:left w:val="single" w:color="000000" w:sz="4" w:space="0"/>
              <w:right w:val="single" w:color="000000" w:sz="4" w:space="0"/>
            </w:tcBorders>
            <w:shd w:val="clear" w:color="auto" w:fill="auto"/>
            <w:vAlign w:val="center"/>
          </w:tcPr>
          <w:p w14:paraId="723DA39C">
            <w:pPr>
              <w:keepNext w:val="0"/>
              <w:keepLines w:val="0"/>
              <w:pageBreakBefore w:val="0"/>
              <w:widowControl/>
              <w:kinsoku/>
              <w:wordWrap/>
              <w:overflowPunct/>
              <w:topLinePunct w:val="0"/>
              <w:autoSpaceDE/>
              <w:autoSpaceDN/>
              <w:bidi w:val="0"/>
              <w:adjustRightInd/>
              <w:snapToGrid/>
              <w:spacing w:line="0" w:lineRule="atLeast"/>
              <w:ind w:firstLine="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lang w:eastAsia="zh-CN" w:bidi="ar"/>
              </w:rPr>
              <w:t>机械</w:t>
            </w:r>
            <w:r>
              <w:rPr>
                <w:rFonts w:hint="eastAsia" w:ascii="宋体" w:hAnsi="宋体" w:eastAsia="宋体" w:cs="宋体"/>
                <w:color w:val="auto"/>
                <w:kern w:val="0"/>
                <w:sz w:val="21"/>
                <w:szCs w:val="21"/>
                <w:highlight w:val="none"/>
                <w:lang w:bidi="ar"/>
              </w:rPr>
              <w:t>吊塔</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吊桥</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99ED">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1、吊塔</w:t>
            </w:r>
            <w:r>
              <w:rPr>
                <w:rFonts w:hint="eastAsia" w:ascii="宋体" w:hAnsi="宋体" w:eastAsia="宋体" w:cs="宋体"/>
                <w:color w:val="auto"/>
                <w:sz w:val="21"/>
                <w:szCs w:val="21"/>
                <w:highlight w:val="none"/>
                <w:lang w:val="en-US" w:eastAsia="zh-CN" w:bidi="ar-SA"/>
              </w:rPr>
              <w:t>/吊桥</w:t>
            </w:r>
            <w:r>
              <w:rPr>
                <w:rFonts w:hint="eastAsia" w:ascii="宋体" w:hAnsi="宋体" w:eastAsia="宋体" w:cs="宋体"/>
                <w:color w:val="auto"/>
                <w:sz w:val="21"/>
                <w:szCs w:val="21"/>
                <w:highlight w:val="none"/>
                <w:lang w:val="en-US" w:eastAsia="zh-CN" w:bidi="ar-SA"/>
              </w:rPr>
              <w:t>主体材料要求为高强度铝合金，全封闭式设计。吊塔</w:t>
            </w:r>
            <w:r>
              <w:rPr>
                <w:rFonts w:hint="eastAsia" w:ascii="宋体" w:hAnsi="宋体" w:eastAsia="宋体" w:cs="宋体"/>
                <w:color w:val="auto"/>
                <w:sz w:val="21"/>
                <w:szCs w:val="21"/>
                <w:highlight w:val="none"/>
                <w:lang w:val="en-US" w:eastAsia="zh-CN" w:bidi="ar-SA"/>
              </w:rPr>
              <w:t>/吊桥</w:t>
            </w:r>
            <w:r>
              <w:rPr>
                <w:rFonts w:hint="eastAsia" w:ascii="宋体" w:hAnsi="宋体" w:eastAsia="宋体" w:cs="宋体"/>
                <w:color w:val="auto"/>
                <w:sz w:val="21"/>
                <w:szCs w:val="21"/>
                <w:highlight w:val="none"/>
                <w:lang w:val="en-US" w:eastAsia="zh-CN" w:bidi="ar-SA"/>
              </w:rPr>
              <w:t>表面可抑制细菌再生。吊塔</w:t>
            </w:r>
            <w:r>
              <w:rPr>
                <w:rFonts w:hint="eastAsia" w:ascii="宋体" w:hAnsi="宋体" w:eastAsia="宋体" w:cs="宋体"/>
                <w:color w:val="auto"/>
                <w:sz w:val="21"/>
                <w:szCs w:val="21"/>
                <w:highlight w:val="none"/>
                <w:lang w:val="en-US" w:eastAsia="zh-CN" w:bidi="ar-SA"/>
              </w:rPr>
              <w:t>/吊桥</w:t>
            </w:r>
            <w:r>
              <w:rPr>
                <w:rFonts w:hint="eastAsia" w:ascii="宋体" w:hAnsi="宋体" w:eastAsia="宋体" w:cs="宋体"/>
                <w:color w:val="auto"/>
                <w:sz w:val="21"/>
                <w:szCs w:val="21"/>
                <w:highlight w:val="none"/>
                <w:lang w:val="en-US" w:eastAsia="zh-CN" w:bidi="ar-SA"/>
              </w:rPr>
              <w:t>外壳涂膜附着力达到最高等级0。且在中性盐雾试验中，评价等级最高为10。吊塔的外壳防护等级应符合GB/T 4208-2017中IP20的规定（提供检测报告或证明文件）；</w:t>
            </w:r>
          </w:p>
        </w:tc>
      </w:tr>
      <w:tr w14:paraId="2075F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7" w:hRule="atLeast"/>
        </w:trPr>
        <w:tc>
          <w:tcPr>
            <w:tcW w:w="687" w:type="dxa"/>
            <w:vMerge w:val="continue"/>
            <w:tcBorders>
              <w:left w:val="single" w:color="000000" w:sz="4" w:space="0"/>
              <w:right w:val="single" w:color="000000" w:sz="4" w:space="0"/>
            </w:tcBorders>
            <w:shd w:val="clear" w:color="auto" w:fill="auto"/>
            <w:vAlign w:val="center"/>
          </w:tcPr>
          <w:p w14:paraId="40B55FBB">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color w:val="auto"/>
                <w:sz w:val="21"/>
                <w:szCs w:val="21"/>
                <w:highlight w:val="none"/>
              </w:rPr>
            </w:pPr>
          </w:p>
        </w:tc>
        <w:tc>
          <w:tcPr>
            <w:tcW w:w="1075" w:type="dxa"/>
            <w:vMerge w:val="continue"/>
            <w:tcBorders>
              <w:left w:val="single" w:color="000000" w:sz="4" w:space="0"/>
              <w:right w:val="single" w:color="000000" w:sz="4" w:space="0"/>
            </w:tcBorders>
            <w:shd w:val="clear" w:color="auto" w:fill="auto"/>
            <w:vAlign w:val="center"/>
          </w:tcPr>
          <w:p w14:paraId="3B51D512">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color w:val="auto"/>
                <w:sz w:val="21"/>
                <w:szCs w:val="21"/>
                <w:highlight w:val="none"/>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234FC">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▲2、吊塔最大宣称承重≥600Kg，同时安全承重应为宣称承重的4倍。（提供检测报告或证明文件）；</w:t>
            </w:r>
          </w:p>
        </w:tc>
      </w:tr>
      <w:tr w14:paraId="4395E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70DA141E">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2CFD86EE">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A1E67">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3、吊桥</w:t>
            </w:r>
            <w:r>
              <w:rPr>
                <w:rFonts w:hint="eastAsia" w:ascii="宋体" w:hAnsi="宋体" w:eastAsia="宋体" w:cs="宋体"/>
                <w:color w:val="auto"/>
                <w:sz w:val="21"/>
                <w:szCs w:val="21"/>
                <w:highlight w:val="none"/>
                <w:lang w:val="en-US" w:eastAsia="zh-CN" w:bidi="ar-SA"/>
              </w:rPr>
              <w:t>最大宣称承重≥600Kg，同时安全承重应为宣称承重的4倍。（提供检测报告或证明文件）；</w:t>
            </w:r>
          </w:p>
        </w:tc>
      </w:tr>
      <w:tr w14:paraId="78F99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57C6D92A">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2AC78D1F">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01A3B">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4、吊塔/吊桥基础架保证牢固可靠，平缓施加荷载至10000N.m的试验扭矩，持续10min，法兰盘水平偏角≤0.4°。吊塔关节轴承可在额定载荷下，运行次数≥12万次。（提供检测报告或证明文件）；</w:t>
            </w:r>
          </w:p>
        </w:tc>
      </w:tr>
      <w:tr w14:paraId="22263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2853DB46">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321DFA4A">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82998">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bookmarkStart w:id="132" w:name="_Hlk169502396"/>
            <w:r>
              <w:rPr>
                <w:rFonts w:hint="eastAsia" w:ascii="宋体" w:hAnsi="宋体" w:eastAsia="宋体" w:cs="宋体"/>
                <w:color w:val="auto"/>
                <w:sz w:val="21"/>
                <w:szCs w:val="21"/>
                <w:highlight w:val="none"/>
                <w:lang w:val="en-US" w:eastAsia="zh-CN" w:bidi="ar-SA"/>
              </w:rPr>
              <w:t>吊塔/吊桥所有气体终端和接头均为德标制式，金属外壳，与吊塔同品牌，保证对接良好，不漏气。气源终端具有原位待接通状态功能，支持带气维修，并提供10万次插拔测试证明</w:t>
            </w:r>
            <w:bookmarkEnd w:id="132"/>
            <w:r>
              <w:rPr>
                <w:rFonts w:hint="eastAsia" w:ascii="宋体" w:hAnsi="宋体" w:eastAsia="宋体" w:cs="宋体"/>
                <w:color w:val="auto"/>
                <w:sz w:val="21"/>
                <w:szCs w:val="21"/>
                <w:highlight w:val="none"/>
                <w:lang w:val="en-US" w:eastAsia="zh-CN" w:bidi="ar-SA"/>
              </w:rPr>
              <w:t>。（提供检测报告或证明文件）；</w:t>
            </w:r>
          </w:p>
        </w:tc>
      </w:tr>
      <w:tr w14:paraId="3B804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57E35B7E">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768096C0">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9A817">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▲6、吊塔/吊桥外观件可耐受多种消毒剂，保证不发生变色开裂等外观破损现象。吊塔外观件具有耐黄变性能，可耐受紫外线照射，色差小于7。（提供检测报告或证明文件）</w:t>
            </w:r>
          </w:p>
        </w:tc>
      </w:tr>
      <w:tr w14:paraId="38D67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687" w:type="dxa"/>
            <w:vMerge w:val="continue"/>
            <w:tcBorders>
              <w:left w:val="single" w:color="000000" w:sz="4" w:space="0"/>
              <w:right w:val="single" w:color="000000" w:sz="4" w:space="0"/>
            </w:tcBorders>
            <w:shd w:val="clear" w:color="auto" w:fill="auto"/>
            <w:vAlign w:val="center"/>
          </w:tcPr>
          <w:p w14:paraId="02FC35AE">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0D25974C">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EA550">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7、吊塔/吊桥在正常工作过程中噪声应≤ 35dB（A），避免噪声污染；</w:t>
            </w:r>
          </w:p>
        </w:tc>
      </w:tr>
      <w:tr w14:paraId="0A21C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trPr>
        <w:tc>
          <w:tcPr>
            <w:tcW w:w="687" w:type="dxa"/>
            <w:vMerge w:val="continue"/>
            <w:tcBorders>
              <w:left w:val="single" w:color="000000" w:sz="4" w:space="0"/>
              <w:right w:val="single" w:color="000000" w:sz="4" w:space="0"/>
            </w:tcBorders>
            <w:shd w:val="clear" w:color="auto" w:fill="auto"/>
            <w:vAlign w:val="center"/>
          </w:tcPr>
          <w:p w14:paraId="1C95CD9A">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39CF9084">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F5270">
            <w:pPr>
              <w:keepNext w:val="0"/>
              <w:keepLines w:val="0"/>
              <w:pageBreakBefore w:val="0"/>
              <w:widowControl w:val="0"/>
              <w:kinsoku/>
              <w:wordWrap/>
              <w:overflowPunct/>
              <w:topLinePunct w:val="0"/>
              <w:autoSpaceDE/>
              <w:autoSpaceDN/>
              <w:bidi w:val="0"/>
              <w:adjustRightInd/>
              <w:snapToGrid/>
              <w:spacing w:line="0" w:lineRule="atLeast"/>
              <w:ind w:firstLine="0" w:firstLineChars="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8、吊塔悬臂、终端箱转动范围≥340°，且具有良好的限位系统；</w:t>
            </w:r>
          </w:p>
        </w:tc>
      </w:tr>
      <w:tr w14:paraId="1FCDC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75F99CBB">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5D9E96B7">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EE4B5">
            <w:pPr>
              <w:keepNext w:val="0"/>
              <w:keepLines w:val="0"/>
              <w:pageBreakBefore w:val="0"/>
              <w:widowControl w:val="0"/>
              <w:kinsoku/>
              <w:wordWrap/>
              <w:overflowPunct/>
              <w:topLinePunct w:val="0"/>
              <w:autoSpaceDE/>
              <w:autoSpaceDN/>
              <w:bidi w:val="0"/>
              <w:adjustRightInd/>
              <w:snapToGrid/>
              <w:spacing w:line="0" w:lineRule="atLeast"/>
              <w:ind w:firstLine="0" w:firstLineChars="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9、吊桥滑车最大移动范围不小于 700mm，终端箱转动范围不小于 340°；（提供检测报告或证明文件）</w:t>
            </w:r>
          </w:p>
        </w:tc>
      </w:tr>
      <w:tr w14:paraId="6FF6F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6BD74A91">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7326FC6B">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135C4">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10、托盘必须为铝合金材质，表面无螺钉，不易藏污，便于清洁。</w:t>
            </w:r>
          </w:p>
        </w:tc>
      </w:tr>
      <w:tr w14:paraId="3B21F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6A65DC98">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1DAC840F">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41AA6">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11、每个塔体必须配备独立电源空气开关，防止短路影响整体供电；</w:t>
            </w:r>
          </w:p>
        </w:tc>
      </w:tr>
      <w:tr w14:paraId="607D3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bottom w:val="single" w:color="000000" w:sz="4" w:space="0"/>
              <w:right w:val="single" w:color="000000" w:sz="4" w:space="0"/>
            </w:tcBorders>
            <w:shd w:val="clear" w:color="auto" w:fill="auto"/>
            <w:vAlign w:val="center"/>
          </w:tcPr>
          <w:p w14:paraId="54B755FA">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bottom w:val="single" w:color="000000" w:sz="4" w:space="0"/>
              <w:right w:val="single" w:color="000000" w:sz="4" w:space="0"/>
            </w:tcBorders>
            <w:shd w:val="clear" w:color="auto" w:fill="auto"/>
            <w:vAlign w:val="center"/>
          </w:tcPr>
          <w:p w14:paraId="3A9E3B23">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5FCB3">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12、医用软管符合EN ISO 5359标准，符合医疗标准无异味；</w:t>
            </w:r>
          </w:p>
        </w:tc>
      </w:tr>
      <w:tr w14:paraId="0F974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bottom w:val="single" w:color="000000" w:sz="4" w:space="0"/>
              <w:right w:val="single" w:color="000000" w:sz="4" w:space="0"/>
            </w:tcBorders>
            <w:shd w:val="clear" w:color="auto" w:fill="auto"/>
            <w:vAlign w:val="center"/>
          </w:tcPr>
          <w:p w14:paraId="370AA211">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bottom w:val="single" w:color="000000" w:sz="4" w:space="0"/>
              <w:right w:val="single" w:color="000000" w:sz="4" w:space="0"/>
            </w:tcBorders>
            <w:shd w:val="clear" w:color="auto" w:fill="auto"/>
            <w:vAlign w:val="center"/>
          </w:tcPr>
          <w:p w14:paraId="7F647C0F">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90E1">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13、使用期限≥10年</w:t>
            </w:r>
          </w:p>
        </w:tc>
      </w:tr>
      <w:tr w14:paraId="20D42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restart"/>
            <w:tcBorders>
              <w:top w:val="single" w:color="000000" w:sz="4" w:space="0"/>
              <w:left w:val="single" w:color="000000" w:sz="4" w:space="0"/>
              <w:right w:val="single" w:color="000000" w:sz="4" w:space="0"/>
            </w:tcBorders>
            <w:shd w:val="clear" w:color="auto" w:fill="auto"/>
            <w:vAlign w:val="center"/>
          </w:tcPr>
          <w:p w14:paraId="53660813">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1075" w:type="dxa"/>
            <w:vMerge w:val="restart"/>
            <w:tcBorders>
              <w:top w:val="single" w:color="000000" w:sz="4" w:space="0"/>
              <w:left w:val="single" w:color="000000" w:sz="4" w:space="0"/>
              <w:right w:val="single" w:color="000000" w:sz="4" w:space="0"/>
            </w:tcBorders>
            <w:shd w:val="clear" w:color="auto" w:fill="auto"/>
            <w:vAlign w:val="center"/>
          </w:tcPr>
          <w:p w14:paraId="5BFC6EFA">
            <w:pPr>
              <w:keepNext w:val="0"/>
              <w:keepLines w:val="0"/>
              <w:pageBreakBefore w:val="0"/>
              <w:widowControl/>
              <w:kinsoku/>
              <w:wordWrap/>
              <w:overflowPunct/>
              <w:topLinePunct w:val="0"/>
              <w:autoSpaceDE/>
              <w:autoSpaceDN/>
              <w:bidi w:val="0"/>
              <w:adjustRightInd/>
              <w:snapToGrid/>
              <w:spacing w:line="0" w:lineRule="atLeast"/>
              <w:ind w:firstLine="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lang w:bidi="ar"/>
              </w:rPr>
              <w:t>电动吊塔</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09353">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1、吊塔主体材料要求为高强度铝合金，全封闭式设计。吊塔表面可抑制细菌再生。吊塔外壳涂膜附着力达到最高等级0。且在中性盐雾试验中，评价等级最高为10。吊塔的外壳防护等级应符合GB/T 4208-2017中IP20的规定；</w:t>
            </w:r>
          </w:p>
        </w:tc>
      </w:tr>
      <w:tr w14:paraId="50CB6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15F36EBC">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color w:val="auto"/>
                <w:sz w:val="21"/>
                <w:szCs w:val="21"/>
                <w:highlight w:val="none"/>
              </w:rPr>
            </w:pPr>
          </w:p>
        </w:tc>
        <w:tc>
          <w:tcPr>
            <w:tcW w:w="1075" w:type="dxa"/>
            <w:vMerge w:val="continue"/>
            <w:tcBorders>
              <w:left w:val="single" w:color="000000" w:sz="4" w:space="0"/>
              <w:right w:val="single" w:color="000000" w:sz="4" w:space="0"/>
            </w:tcBorders>
            <w:shd w:val="clear" w:color="auto" w:fill="auto"/>
            <w:vAlign w:val="center"/>
          </w:tcPr>
          <w:p w14:paraId="5D83E57E">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color w:val="auto"/>
                <w:sz w:val="21"/>
                <w:szCs w:val="21"/>
                <w:highlight w:val="none"/>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EF724">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2、吊塔最大宣称承重≥220Kg，同时安全承重应为宣称承重的4倍；</w:t>
            </w:r>
          </w:p>
        </w:tc>
      </w:tr>
      <w:tr w14:paraId="7E1D2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4D1E5767">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434BFA14">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61E50">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▲3、吊塔内部具备腔体，可提供弱电支持，设备的相关线缆可以直接收纳至吊柱腔体内部，有效管理线缆。（提供检测报告或证明文件）</w:t>
            </w:r>
          </w:p>
        </w:tc>
      </w:tr>
      <w:tr w14:paraId="0F07D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0D4A208A">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5D29D8BB">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7570A">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4、每个塔体必须配备独立电源空气开关，防止短路影响整体供电；</w:t>
            </w:r>
          </w:p>
        </w:tc>
      </w:tr>
      <w:tr w14:paraId="6699E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0B808512">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58032478">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13065">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5、吊塔承载部件经承受2倍额定安全载荷后，应无永久性的损坏，且相对负载表面的偏移应≤10º；（提供检测报告或证明文件）</w:t>
            </w:r>
          </w:p>
        </w:tc>
      </w:tr>
      <w:tr w14:paraId="14625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3BD8C82F">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15F1FF83">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7E662">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6、吊塔的医用气体管道系统（刹车除外）应能承受1.2MPa的气压试验，吊塔的负压吸引系统应能承受500kPa的气压试验，不得出现明显漏气或破裂现象；（提供检测报告或证明文件）</w:t>
            </w:r>
          </w:p>
        </w:tc>
      </w:tr>
      <w:tr w14:paraId="0A4BE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54DD80BE">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0DEDE83A">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F9BEE">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7、吊塔所有气体终端和接头均为，金属外壳，与吊塔同品牌，保证对接良好，不漏气。气源终端具有原位待接通状态功能，支持带气维修，并提供10万次插拔测试证明；</w:t>
            </w:r>
          </w:p>
        </w:tc>
      </w:tr>
      <w:tr w14:paraId="14DFB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6393AC91">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05A77A19">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7A11C">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8、吊塔可承受400 kg 物体撞击30 次，不发生断裂坍塌。（提供检测报告或证明文件）</w:t>
            </w:r>
          </w:p>
        </w:tc>
      </w:tr>
      <w:tr w14:paraId="2BBD4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100E7824">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374D8690">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F18B2">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9、吊塔外观件可耐受多种消毒剂，保证不发生变色开裂等外观破损现象。吊塔外观件具有耐黄变性能，可耐受紫外线照射，色差小于7。</w:t>
            </w:r>
          </w:p>
        </w:tc>
      </w:tr>
      <w:tr w14:paraId="572C6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bottom w:val="single" w:color="000000" w:sz="4" w:space="0"/>
              <w:right w:val="single" w:color="000000" w:sz="4" w:space="0"/>
            </w:tcBorders>
            <w:shd w:val="clear" w:color="auto" w:fill="auto"/>
            <w:vAlign w:val="center"/>
          </w:tcPr>
          <w:p w14:paraId="4A8CE3C9">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bottom w:val="single" w:color="000000" w:sz="4" w:space="0"/>
              <w:right w:val="single" w:color="000000" w:sz="4" w:space="0"/>
            </w:tcBorders>
            <w:shd w:val="clear" w:color="auto" w:fill="auto"/>
            <w:vAlign w:val="center"/>
          </w:tcPr>
          <w:p w14:paraId="57754120">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4D5F9">
            <w:pPr>
              <w:keepNext w:val="0"/>
              <w:keepLines w:val="0"/>
              <w:pageBreakBefore w:val="0"/>
              <w:widowControl w:val="0"/>
              <w:kinsoku/>
              <w:wordWrap/>
              <w:overflowPunct/>
              <w:topLinePunct w:val="0"/>
              <w:autoSpaceDE/>
              <w:autoSpaceDN/>
              <w:bidi w:val="0"/>
              <w:adjustRightInd/>
              <w:snapToGrid/>
              <w:spacing w:line="0" w:lineRule="atLeast"/>
              <w:ind w:firstLine="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10、使用期限≥10年</w:t>
            </w:r>
          </w:p>
        </w:tc>
      </w:tr>
      <w:tr w14:paraId="33581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restart"/>
            <w:tcBorders>
              <w:top w:val="single" w:color="000000" w:sz="4" w:space="0"/>
              <w:left w:val="single" w:color="000000" w:sz="4" w:space="0"/>
              <w:right w:val="single" w:color="000000" w:sz="4" w:space="0"/>
            </w:tcBorders>
            <w:shd w:val="clear" w:color="auto" w:fill="auto"/>
            <w:vAlign w:val="center"/>
          </w:tcPr>
          <w:p w14:paraId="05820304">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1075" w:type="dxa"/>
            <w:vMerge w:val="restart"/>
            <w:tcBorders>
              <w:top w:val="single" w:color="000000" w:sz="4" w:space="0"/>
              <w:left w:val="single" w:color="000000" w:sz="4" w:space="0"/>
              <w:right w:val="single" w:color="000000" w:sz="4" w:space="0"/>
            </w:tcBorders>
            <w:shd w:val="clear" w:color="auto" w:fill="auto"/>
            <w:vAlign w:val="center"/>
          </w:tcPr>
          <w:p w14:paraId="552519DE">
            <w:pPr>
              <w:keepNext w:val="0"/>
              <w:keepLines w:val="0"/>
              <w:pageBreakBefore w:val="0"/>
              <w:widowControl/>
              <w:kinsoku/>
              <w:wordWrap/>
              <w:overflowPunct/>
              <w:topLinePunct w:val="0"/>
              <w:autoSpaceDE/>
              <w:autoSpaceDN/>
              <w:bidi w:val="0"/>
              <w:adjustRightInd/>
              <w:snapToGrid/>
              <w:spacing w:line="0" w:lineRule="atLeast"/>
              <w:ind w:firstLine="0"/>
              <w:jc w:val="center"/>
              <w:textAlignment w:val="center"/>
              <w:rPr>
                <w:rFonts w:hint="eastAsia" w:ascii="宋体" w:hAnsi="宋体" w:eastAsia="宋体" w:cs="宋体"/>
                <w:color w:val="auto"/>
                <w:kern w:val="0"/>
                <w:sz w:val="21"/>
                <w:szCs w:val="21"/>
                <w:highlight w:val="none"/>
                <w:lang w:val="en-US" w:eastAsia="zh-CN" w:bidi="ar"/>
              </w:rPr>
            </w:pPr>
            <w:r>
              <w:rPr>
                <w:rFonts w:hint="eastAsia" w:ascii="微软雅黑" w:hAnsi="微软雅黑" w:eastAsia="微软雅黑" w:cs="微软雅黑"/>
                <w:color w:val="auto"/>
                <w:kern w:val="0"/>
                <w:sz w:val="28"/>
                <w:szCs w:val="28"/>
                <w:highlight w:val="none"/>
                <w:lang w:val="en-US" w:eastAsia="zh-CN"/>
              </w:rPr>
              <w:t>★</w:t>
            </w:r>
            <w:r>
              <w:rPr>
                <w:rFonts w:hint="eastAsia" w:ascii="宋体" w:hAnsi="宋体" w:eastAsia="宋体" w:cs="宋体"/>
                <w:color w:val="auto"/>
                <w:kern w:val="0"/>
                <w:sz w:val="21"/>
                <w:szCs w:val="21"/>
                <w:highlight w:val="none"/>
                <w:lang w:val="en-US" w:eastAsia="zh-CN" w:bidi="ar"/>
              </w:rPr>
              <w:t>配置要求</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CCECC">
            <w:pPr>
              <w:pStyle w:val="35"/>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机械吊塔配置：</w:t>
            </w:r>
          </w:p>
          <w:p w14:paraId="430AA1BE">
            <w:pPr>
              <w:pStyle w:val="15"/>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（一）DSA介入中心-机械双臂麻醉吊塔配置要求（2套）：</w:t>
            </w:r>
          </w:p>
          <w:p w14:paraId="29B40948">
            <w:pPr>
              <w:pStyle w:val="15"/>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1、机械双臂吊塔，双臂长度1500mm-2000mm，需根据DSA实际情况调整臂长；</w:t>
            </w:r>
          </w:p>
          <w:p w14:paraId="32072FFB">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2、气体终端：氧气接口2个，空气接口2个，氮气接口2个，负压接口2个，废气排放口2个，均为</w:t>
            </w:r>
            <w:r>
              <w:rPr>
                <w:rFonts w:hint="eastAsia" w:ascii="宋体" w:hAnsi="宋体" w:eastAsia="宋体" w:cs="宋体"/>
                <w:color w:val="auto"/>
                <w:kern w:val="2"/>
                <w:sz w:val="21"/>
                <w:szCs w:val="21"/>
                <w:highlight w:val="none"/>
                <w:lang w:val="en-US" w:eastAsia="zh-CN" w:bidi="ar-SA"/>
              </w:rPr>
              <w:t>德标</w:t>
            </w:r>
            <w:r>
              <w:rPr>
                <w:rFonts w:hint="eastAsia" w:ascii="宋体" w:hAnsi="宋体" w:eastAsia="宋体" w:cs="宋体"/>
                <w:color w:val="auto"/>
                <w:kern w:val="2"/>
                <w:sz w:val="21"/>
                <w:szCs w:val="21"/>
                <w:highlight w:val="none"/>
                <w:lang w:val="en-US" w:eastAsia="zh-CN" w:bidi="ar-SA"/>
              </w:rPr>
              <w:t>；</w:t>
            </w:r>
          </w:p>
          <w:p w14:paraId="3D53F0BE">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3、10A电源接口：数量≥10个；</w:t>
            </w:r>
          </w:p>
          <w:p w14:paraId="4299C79F">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4、RJ45网络接口≥2个；</w:t>
            </w:r>
          </w:p>
          <w:p w14:paraId="626A775C">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5、托盘层数≥2，托盘尺寸≥400*400mm，承重≥50kg，抽屉1个；</w:t>
            </w:r>
          </w:p>
          <w:p w14:paraId="2A3862B0">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6、输液架2个（需保证至少可承载6路输液器），网篮1个；</w:t>
            </w:r>
          </w:p>
          <w:p w14:paraId="45B6E216">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7、独立电源空气开关。</w:t>
            </w:r>
          </w:p>
          <w:p w14:paraId="15857707">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（二）手术室-机械双臂麻醉吊塔配置要求（10套）：</w:t>
            </w:r>
          </w:p>
          <w:p w14:paraId="0F24C1A2">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1、机械双臂吊塔，双臂长度≥1500mm；</w:t>
            </w:r>
          </w:p>
          <w:p w14:paraId="0BB62388">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2、气体终端：氧气接口2个，空气接口2个，氮气接口2个，负压接口2个，废弃排放口1个，均为</w:t>
            </w:r>
            <w:r>
              <w:rPr>
                <w:rFonts w:hint="eastAsia" w:ascii="宋体" w:hAnsi="宋体" w:eastAsia="宋体" w:cs="宋体"/>
                <w:color w:val="auto"/>
                <w:kern w:val="2"/>
                <w:sz w:val="21"/>
                <w:szCs w:val="21"/>
                <w:highlight w:val="none"/>
                <w:lang w:val="en-US" w:eastAsia="zh-CN" w:bidi="ar-SA"/>
              </w:rPr>
              <w:t>德标</w:t>
            </w:r>
            <w:r>
              <w:rPr>
                <w:rFonts w:hint="eastAsia" w:ascii="宋体" w:hAnsi="宋体" w:eastAsia="宋体" w:cs="宋体"/>
                <w:color w:val="auto"/>
                <w:kern w:val="2"/>
                <w:sz w:val="21"/>
                <w:szCs w:val="21"/>
                <w:highlight w:val="none"/>
                <w:lang w:val="en-US" w:eastAsia="zh-CN" w:bidi="ar-SA"/>
              </w:rPr>
              <w:t>；</w:t>
            </w:r>
          </w:p>
          <w:p w14:paraId="6C0404FD">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3、10A电源接口：数量≥12个；</w:t>
            </w:r>
          </w:p>
          <w:p w14:paraId="34692E02">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4、RJ45网络接口≥4个；</w:t>
            </w:r>
          </w:p>
          <w:p w14:paraId="7FC4B020">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5、托盘层数≥2，托盘尺寸≥400*400mm，承重≥50kg，抽屉1个；</w:t>
            </w:r>
          </w:p>
          <w:p w14:paraId="564C1C10">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6、输液架1个，网篮1个；</w:t>
            </w:r>
          </w:p>
          <w:p w14:paraId="21F2EA2C">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7、独立电源空气开关。</w:t>
            </w:r>
          </w:p>
          <w:p w14:paraId="7A2B0B7E">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（三）急诊科-医疗柱配置要求（5套）：</w:t>
            </w:r>
          </w:p>
          <w:p w14:paraId="03C5C7DC">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1、气体终端：氧气接口3个，空气接口2个，负压接口2个，均为</w:t>
            </w:r>
            <w:r>
              <w:rPr>
                <w:rFonts w:hint="eastAsia" w:ascii="宋体" w:hAnsi="宋体" w:eastAsia="宋体" w:cs="宋体"/>
                <w:color w:val="auto"/>
                <w:kern w:val="2"/>
                <w:sz w:val="21"/>
                <w:szCs w:val="21"/>
                <w:highlight w:val="none"/>
                <w:lang w:val="en-US" w:eastAsia="zh-CN" w:bidi="ar-SA"/>
              </w:rPr>
              <w:t>德标</w:t>
            </w:r>
            <w:r>
              <w:rPr>
                <w:rFonts w:hint="eastAsia" w:ascii="宋体" w:hAnsi="宋体" w:eastAsia="宋体" w:cs="宋体"/>
                <w:color w:val="auto"/>
                <w:kern w:val="2"/>
                <w:sz w:val="21"/>
                <w:szCs w:val="21"/>
                <w:highlight w:val="none"/>
                <w:lang w:val="en-US" w:eastAsia="zh-CN" w:bidi="ar-SA"/>
              </w:rPr>
              <w:t>；</w:t>
            </w:r>
          </w:p>
          <w:p w14:paraId="6FE8B4D8">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2、10A电源接口：数量≥10个；</w:t>
            </w:r>
          </w:p>
          <w:p w14:paraId="78377504">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3、RJ45网络接口≥2个；</w:t>
            </w:r>
          </w:p>
          <w:p w14:paraId="75E5ACE7">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4、托盘层数≥2，托盘尺寸≥400*400mm，承重≥50kg，抽屉1个；</w:t>
            </w:r>
          </w:p>
          <w:p w14:paraId="13C35096">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5、输液架2个，网篮1个；</w:t>
            </w:r>
          </w:p>
          <w:p w14:paraId="6B447245">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6、独立电源空气开关。</w:t>
            </w:r>
          </w:p>
          <w:p w14:paraId="45CFA378">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（四）急诊科-双臂吊塔配置要求（2套）：</w:t>
            </w:r>
          </w:p>
          <w:p w14:paraId="4AE722E4">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1、机械双臂吊塔，双臂长度≥1500mm；</w:t>
            </w:r>
          </w:p>
          <w:p w14:paraId="7E588B3A">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2、气体终端：氧气接口3个，空气接口2个，负压接口2个，均为</w:t>
            </w:r>
            <w:r>
              <w:rPr>
                <w:rFonts w:hint="eastAsia" w:ascii="宋体" w:hAnsi="宋体" w:eastAsia="宋体" w:cs="宋体"/>
                <w:color w:val="auto"/>
                <w:kern w:val="2"/>
                <w:sz w:val="21"/>
                <w:szCs w:val="21"/>
                <w:highlight w:val="none"/>
                <w:lang w:val="en-US" w:eastAsia="zh-CN" w:bidi="ar-SA"/>
              </w:rPr>
              <w:t>德标</w:t>
            </w:r>
            <w:r>
              <w:rPr>
                <w:rFonts w:hint="eastAsia" w:ascii="宋体" w:hAnsi="宋体" w:eastAsia="宋体" w:cs="宋体"/>
                <w:color w:val="auto"/>
                <w:kern w:val="2"/>
                <w:sz w:val="21"/>
                <w:szCs w:val="21"/>
                <w:highlight w:val="none"/>
                <w:lang w:val="en-US" w:eastAsia="zh-CN" w:bidi="ar-SA"/>
              </w:rPr>
              <w:t>；</w:t>
            </w:r>
          </w:p>
          <w:p w14:paraId="62B24651">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3、10A电源接口：数量≥10个；</w:t>
            </w:r>
          </w:p>
          <w:p w14:paraId="60CA16A1">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4、RJ45网络接口≥2个；</w:t>
            </w:r>
          </w:p>
          <w:p w14:paraId="2816B8E1">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5、托盘层数≥2，托盘尺寸≥400*400mm，承重≥50kg，抽屉1个；</w:t>
            </w:r>
          </w:p>
          <w:p w14:paraId="62E84CA7">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6、输液架2个，网篮1个；</w:t>
            </w:r>
          </w:p>
          <w:p w14:paraId="5AE6D6EE">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7、独立电源空气开关。</w:t>
            </w:r>
          </w:p>
          <w:p w14:paraId="5E74A278">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（五）CRCU-单臂吊塔配置要求（30套）：</w:t>
            </w:r>
          </w:p>
          <w:p w14:paraId="6082DDD8">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1、机械单臂吊塔，单臂长度≥750mm；</w:t>
            </w:r>
          </w:p>
          <w:p w14:paraId="3FE10FAF">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2、气体终端：氧气接口3个，空气接口3个，负压接口3个，均为</w:t>
            </w:r>
            <w:r>
              <w:rPr>
                <w:rFonts w:hint="eastAsia" w:ascii="宋体" w:hAnsi="宋体" w:eastAsia="宋体" w:cs="宋体"/>
                <w:color w:val="auto"/>
                <w:kern w:val="2"/>
                <w:sz w:val="21"/>
                <w:szCs w:val="21"/>
                <w:highlight w:val="none"/>
                <w:lang w:val="en-US" w:eastAsia="zh-CN" w:bidi="ar-SA"/>
              </w:rPr>
              <w:t>德标</w:t>
            </w:r>
            <w:r>
              <w:rPr>
                <w:rFonts w:hint="eastAsia" w:ascii="宋体" w:hAnsi="宋体" w:eastAsia="宋体" w:cs="宋体"/>
                <w:color w:val="auto"/>
                <w:kern w:val="2"/>
                <w:sz w:val="21"/>
                <w:szCs w:val="21"/>
                <w:highlight w:val="none"/>
                <w:lang w:val="en-US" w:eastAsia="zh-CN" w:bidi="ar-SA"/>
              </w:rPr>
              <w:t>；</w:t>
            </w:r>
          </w:p>
          <w:p w14:paraId="5DF754F4">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3、10A电源接口：数量≥10个；</w:t>
            </w:r>
          </w:p>
          <w:p w14:paraId="4A7BAD03">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4、RJ45网络接口≥2个；</w:t>
            </w:r>
          </w:p>
          <w:p w14:paraId="7FDA3925">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5、托盘层数≥3，托盘尺寸≥400*400mm，承重≥50kg，抽屉1个；</w:t>
            </w:r>
          </w:p>
          <w:p w14:paraId="5D4A6B2B">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6、输液架2个，网篮1个；</w:t>
            </w:r>
          </w:p>
          <w:p w14:paraId="15C985A1">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kern w:val="2"/>
                <w:sz w:val="21"/>
                <w:szCs w:val="21"/>
                <w:highlight w:val="none"/>
                <w:lang w:val="en-US" w:eastAsia="zh-CN" w:bidi="ar-SA"/>
              </w:rPr>
              <w:t>7、独立电源空气开关。</w:t>
            </w:r>
          </w:p>
        </w:tc>
      </w:tr>
      <w:tr w14:paraId="4EDBA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796096F1">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54A15B29">
            <w:pPr>
              <w:keepNext w:val="0"/>
              <w:keepLines w:val="0"/>
              <w:pageBreakBefore w:val="0"/>
              <w:widowControl/>
              <w:kinsoku/>
              <w:wordWrap/>
              <w:overflowPunct/>
              <w:topLinePunct w:val="0"/>
              <w:autoSpaceDE/>
              <w:autoSpaceDN/>
              <w:bidi w:val="0"/>
              <w:adjustRightInd/>
              <w:snapToGrid/>
              <w:spacing w:line="0" w:lineRule="atLeast"/>
              <w:ind w:firstLine="0"/>
              <w:jc w:val="center"/>
              <w:textAlignment w:val="center"/>
              <w:rPr>
                <w:rFonts w:hint="eastAsia" w:ascii="宋体" w:hAnsi="宋体" w:eastAsia="宋体" w:cs="宋体"/>
                <w:color w:val="auto"/>
                <w:kern w:val="0"/>
                <w:sz w:val="21"/>
                <w:szCs w:val="21"/>
                <w:highlight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4625C">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电动吊塔配置：</w:t>
            </w:r>
          </w:p>
          <w:p w14:paraId="6DDF76FF">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（一）手术室-电动双臂腔镜吊塔配置要求（4套）：</w:t>
            </w:r>
          </w:p>
          <w:p w14:paraId="39F4CC16">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1、电动双臂结构，可电动升降，总悬臂长度≥1500mm；</w:t>
            </w:r>
          </w:p>
          <w:p w14:paraId="6F6CE083">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2、独立旋臂承载大尺寸腔镜显示屏；</w:t>
            </w:r>
          </w:p>
          <w:p w14:paraId="172F1F26">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3、气体终端：氧气接口1个，空气接口1个，二氧化碳接口2个，负压接口1个，均为</w:t>
            </w:r>
            <w:r>
              <w:rPr>
                <w:rFonts w:hint="eastAsia" w:ascii="宋体" w:hAnsi="宋体" w:eastAsia="宋体" w:cs="宋体"/>
                <w:color w:val="auto"/>
                <w:kern w:val="2"/>
                <w:sz w:val="21"/>
                <w:szCs w:val="21"/>
                <w:highlight w:val="none"/>
                <w:lang w:val="en-US" w:eastAsia="zh-CN" w:bidi="ar-SA"/>
              </w:rPr>
              <w:t>德标</w:t>
            </w:r>
            <w:r>
              <w:rPr>
                <w:rFonts w:hint="eastAsia" w:ascii="宋体" w:hAnsi="宋体" w:eastAsia="宋体" w:cs="宋体"/>
                <w:color w:val="auto"/>
                <w:kern w:val="2"/>
                <w:sz w:val="21"/>
                <w:szCs w:val="21"/>
                <w:highlight w:val="none"/>
                <w:lang w:val="en-US" w:eastAsia="zh-CN" w:bidi="ar-SA"/>
              </w:rPr>
              <w:t>；</w:t>
            </w:r>
          </w:p>
          <w:p w14:paraId="0AB99B98">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4、10A电源接口：数量≥10个；</w:t>
            </w:r>
          </w:p>
          <w:p w14:paraId="7696ECF4">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5、RJ45网络接口≥2个；</w:t>
            </w:r>
          </w:p>
          <w:p w14:paraId="550F00E7">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6、视频传输端口：保证1个HDMI端口，1个VGA端口，1个DVI端口，后期需可改动；</w:t>
            </w:r>
          </w:p>
          <w:p w14:paraId="3C04E221">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7、托盘层数≥4，托盘尺寸≥500*500mm，承重≥50kg，抽屉1个；</w:t>
            </w:r>
          </w:p>
          <w:p w14:paraId="18465FD4">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8、输液架1个，网篮1个；</w:t>
            </w:r>
          </w:p>
          <w:p w14:paraId="5F6878D1">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kern w:val="2"/>
                <w:sz w:val="21"/>
                <w:szCs w:val="21"/>
                <w:highlight w:val="none"/>
                <w:lang w:val="en-US" w:eastAsia="zh-CN" w:bidi="ar-SA"/>
              </w:rPr>
              <w:t>9、独立电源空气开关。</w:t>
            </w:r>
          </w:p>
        </w:tc>
      </w:tr>
      <w:tr w14:paraId="25855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bottom w:val="single" w:color="000000" w:sz="4" w:space="0"/>
              <w:right w:val="single" w:color="000000" w:sz="4" w:space="0"/>
            </w:tcBorders>
            <w:shd w:val="clear" w:color="auto" w:fill="auto"/>
            <w:vAlign w:val="center"/>
          </w:tcPr>
          <w:p w14:paraId="6C5E18C5">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bottom w:val="single" w:color="000000" w:sz="4" w:space="0"/>
              <w:right w:val="single" w:color="000000" w:sz="4" w:space="0"/>
            </w:tcBorders>
            <w:shd w:val="clear" w:color="auto" w:fill="auto"/>
            <w:vAlign w:val="center"/>
          </w:tcPr>
          <w:p w14:paraId="38A16E68">
            <w:pPr>
              <w:keepNext w:val="0"/>
              <w:keepLines w:val="0"/>
              <w:pageBreakBefore w:val="0"/>
              <w:widowControl/>
              <w:kinsoku/>
              <w:wordWrap/>
              <w:overflowPunct/>
              <w:topLinePunct w:val="0"/>
              <w:autoSpaceDE/>
              <w:autoSpaceDN/>
              <w:bidi w:val="0"/>
              <w:adjustRightInd/>
              <w:snapToGrid/>
              <w:spacing w:line="0" w:lineRule="atLeast"/>
              <w:ind w:firstLine="0"/>
              <w:jc w:val="center"/>
              <w:textAlignment w:val="center"/>
              <w:rPr>
                <w:rFonts w:hint="eastAsia" w:ascii="宋体" w:hAnsi="宋体" w:eastAsia="宋体" w:cs="宋体"/>
                <w:color w:val="auto"/>
                <w:kern w:val="0"/>
                <w:sz w:val="21"/>
                <w:szCs w:val="21"/>
                <w:highlight w:val="none"/>
                <w:lang w:val="en-US"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71A07">
            <w:pPr>
              <w:pStyle w:val="35"/>
              <w:keepNext w:val="0"/>
              <w:keepLines w:val="0"/>
              <w:pageBreakBefore w:val="0"/>
              <w:kinsoku/>
              <w:wordWrap/>
              <w:overflowPunct/>
              <w:topLinePunct w:val="0"/>
              <w:autoSpaceDE/>
              <w:autoSpaceDN/>
              <w:bidi w:val="0"/>
              <w:adjustRightInd/>
              <w:snapToGrid/>
              <w:spacing w:line="0" w:lineRule="atLeast"/>
              <w:ind w:left="0" w:leftChars="0"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吊桥配置：</w:t>
            </w:r>
          </w:p>
          <w:p w14:paraId="135C0EE6">
            <w:pPr>
              <w:keepNext w:val="0"/>
              <w:keepLines w:val="0"/>
              <w:pageBreakBefore w:val="0"/>
              <w:widowControl/>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ICU-双吊柱吊桥参数及配置要求（18套）：</w:t>
            </w:r>
          </w:p>
          <w:p w14:paraId="40DAC3A1">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1、干湿分离吊桥，吊桥长度≤2800mm，根据实际勘察尺寸可做调整；每床配2个吊柱，吊柱长度≥800mm，其中一个吊柱带单旋臂；</w:t>
            </w:r>
          </w:p>
          <w:p w14:paraId="005D04E3">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2、干区配置：</w:t>
            </w:r>
          </w:p>
          <w:p w14:paraId="0192E578">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（1）气体终端：氧气接口2个，空气接口2个，负压接口2个，均为</w:t>
            </w:r>
            <w:r>
              <w:rPr>
                <w:rFonts w:hint="eastAsia" w:ascii="宋体" w:hAnsi="宋体" w:eastAsia="宋体" w:cs="宋体"/>
                <w:color w:val="auto"/>
                <w:kern w:val="2"/>
                <w:sz w:val="21"/>
                <w:szCs w:val="21"/>
                <w:highlight w:val="none"/>
                <w:lang w:val="en-US" w:eastAsia="zh-CN" w:bidi="ar-SA"/>
              </w:rPr>
              <w:t>德标</w:t>
            </w:r>
            <w:r>
              <w:rPr>
                <w:rFonts w:hint="eastAsia" w:ascii="宋体" w:hAnsi="宋体" w:eastAsia="宋体" w:cs="宋体"/>
                <w:color w:val="auto"/>
                <w:kern w:val="2"/>
                <w:sz w:val="21"/>
                <w:szCs w:val="21"/>
                <w:highlight w:val="none"/>
                <w:lang w:val="en-US" w:eastAsia="zh-CN" w:bidi="ar-SA"/>
              </w:rPr>
              <w:t>；</w:t>
            </w:r>
          </w:p>
          <w:p w14:paraId="30C88C03">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（2）10A电源接口数量≥10个；</w:t>
            </w:r>
          </w:p>
          <w:p w14:paraId="216AAF2E">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（3）RJ45网络接口≥3个；</w:t>
            </w:r>
          </w:p>
          <w:p w14:paraId="335F93DF">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（4）托盘层数≥2，托盘尺寸≥400*400mm，承重≥60kg，抽屉1个；</w:t>
            </w:r>
          </w:p>
          <w:p w14:paraId="68060A3D">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（5）输液架1个，网篮1个；</w:t>
            </w:r>
          </w:p>
          <w:p w14:paraId="04C633DE">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（6）独立电源空气开关；</w:t>
            </w:r>
          </w:p>
          <w:p w14:paraId="5253B0BC">
            <w:pPr>
              <w:keepNext w:val="0"/>
              <w:keepLines w:val="0"/>
              <w:pageBreakBefore w:val="0"/>
              <w:kinsoku/>
              <w:wordWrap/>
              <w:overflowPunct/>
              <w:topLinePunct w:val="0"/>
              <w:autoSpaceDE/>
              <w:autoSpaceDN/>
              <w:bidi w:val="0"/>
              <w:adjustRightInd/>
              <w:snapToGrid/>
              <w:spacing w:line="0" w:lineRule="atLeast"/>
              <w:ind w:firstLine="0"/>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kern w:val="2"/>
                <w:sz w:val="21"/>
                <w:szCs w:val="21"/>
                <w:highlight w:val="none"/>
                <w:lang w:val="en-US" w:eastAsia="zh-CN" w:bidi="ar-SA"/>
              </w:rPr>
              <w:t>3、湿区配置：与干区一致。</w:t>
            </w:r>
          </w:p>
        </w:tc>
      </w:tr>
    </w:tbl>
    <w:p w14:paraId="6F48FC90">
      <w:pPr>
        <w:pStyle w:val="35"/>
        <w:jc w:val="center"/>
        <w:rPr>
          <w:rFonts w:hint="eastAsia" w:eastAsia="黑体"/>
          <w:color w:val="auto"/>
          <w:highlight w:val="none"/>
          <w:lang w:val="en-US" w:eastAsia="zh-CN"/>
        </w:rPr>
      </w:pPr>
      <w:r>
        <w:rPr>
          <w:rFonts w:hint="eastAsia" w:ascii="黑体" w:hAnsi="黑体" w:eastAsia="黑体" w:cs="宋体"/>
          <w:b/>
          <w:color w:val="auto"/>
          <w:sz w:val="28"/>
          <w:szCs w:val="28"/>
          <w:highlight w:val="none"/>
          <w:lang w:eastAsia="zh-CN"/>
        </w:rPr>
        <w:t>手术无影灯</w:t>
      </w:r>
      <w:r>
        <w:rPr>
          <w:rFonts w:hint="eastAsia" w:ascii="黑体" w:hAnsi="黑体" w:eastAsia="黑体" w:cs="宋体"/>
          <w:b/>
          <w:color w:val="auto"/>
          <w:sz w:val="28"/>
          <w:szCs w:val="28"/>
          <w:highlight w:val="none"/>
          <w:lang w:val="en-US" w:eastAsia="zh-CN"/>
        </w:rPr>
        <w:t>技术参数及要求</w:t>
      </w:r>
    </w:p>
    <w:tbl>
      <w:tblPr>
        <w:tblStyle w:val="36"/>
        <w:tblW w:w="97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7"/>
        <w:gridCol w:w="1075"/>
        <w:gridCol w:w="8000"/>
      </w:tblGrid>
      <w:tr w14:paraId="7CA3A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061DC">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A1579">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b/>
                <w:bCs/>
                <w:i w:val="0"/>
                <w:iCs w:val="0"/>
                <w:color w:val="auto"/>
                <w:kern w:val="0"/>
                <w:sz w:val="21"/>
                <w:szCs w:val="21"/>
                <w:highlight w:val="none"/>
                <w:u w:val="none"/>
                <w:lang w:val="en-US" w:eastAsia="zh-CN" w:bidi="ar"/>
              </w:rPr>
              <w:t>货物名称</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15F0F">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技术参数及要求</w:t>
            </w:r>
          </w:p>
        </w:tc>
      </w:tr>
      <w:tr w14:paraId="7A939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restart"/>
            <w:tcBorders>
              <w:top w:val="single" w:color="000000" w:sz="4" w:space="0"/>
              <w:left w:val="single" w:color="000000" w:sz="4" w:space="0"/>
              <w:right w:val="single" w:color="000000" w:sz="4" w:space="0"/>
            </w:tcBorders>
            <w:shd w:val="clear" w:color="auto" w:fill="auto"/>
            <w:vAlign w:val="center"/>
          </w:tcPr>
          <w:p w14:paraId="383AC938">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75" w:type="dxa"/>
            <w:vMerge w:val="restart"/>
            <w:tcBorders>
              <w:top w:val="single" w:color="000000" w:sz="4" w:space="0"/>
              <w:left w:val="single" w:color="000000" w:sz="4" w:space="0"/>
              <w:right w:val="single" w:color="000000" w:sz="4" w:space="0"/>
            </w:tcBorders>
            <w:shd w:val="clear" w:color="auto" w:fill="auto"/>
            <w:vAlign w:val="center"/>
          </w:tcPr>
          <w:p w14:paraId="6AC0059B">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手术无影灯</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55732">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1、手术灯采用医用级LED冷光源，LED透镜式无影灯，灯珠寿命≥60000小时；</w:t>
            </w:r>
          </w:p>
        </w:tc>
      </w:tr>
      <w:tr w14:paraId="6BC68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12E4A7BD">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791BABEF">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0FF4C">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2、灯头为一体化超薄设计，全封闭光滑表面，易清洁、散热效果佳，符合手术室层流标准；</w:t>
            </w:r>
          </w:p>
        </w:tc>
      </w:tr>
      <w:tr w14:paraId="76E10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201C5F23">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7F0A5954">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D8AF9">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3.吊顶基座需远离天轨，不得影响DSA正常运行；</w:t>
            </w:r>
          </w:p>
        </w:tc>
      </w:tr>
      <w:tr w14:paraId="3D05B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06435C15">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2EC2E7FC">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E3066">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4.照明深度≥1000mm；</w:t>
            </w:r>
          </w:p>
        </w:tc>
      </w:tr>
      <w:tr w14:paraId="65233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25AC8813">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5643A097">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8D05C">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▲5、手术灯灯头≥IP55防水防尘等级；</w:t>
            </w:r>
          </w:p>
        </w:tc>
      </w:tr>
      <w:tr w14:paraId="0AD56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6621F404">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3FCA84D7">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EB415">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6、基础架负载10000N˙m的作用力持续10min，法兰盘水平倾斜角小于0.5°；旋转转轴在负重300kg状态下旋转寿命≥10万次；（提供检测报告或证明文件）</w:t>
            </w:r>
          </w:p>
        </w:tc>
      </w:tr>
      <w:tr w14:paraId="1E5AE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3168FB8E">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7F886A97">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FF532">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7、手术灯中心照度≥160000Lx，照度≥10级可调；</w:t>
            </w:r>
          </w:p>
        </w:tc>
      </w:tr>
      <w:tr w14:paraId="55EFE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76D90DED">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12AC67B4">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D6C1C">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8、具备色温可调功能，可调范围不小于3500K-5100K，不少于5级可调；（提供检测报告或证明文件）</w:t>
            </w:r>
          </w:p>
        </w:tc>
      </w:tr>
      <w:tr w14:paraId="69069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4C6ADA39">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7D940FC7">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2EDE1">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9、手术灯深腔照明率≥100%；</w:t>
            </w:r>
          </w:p>
        </w:tc>
      </w:tr>
      <w:tr w14:paraId="6AF37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2B99C266">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159EEFC4">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66389">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10、光斑直径≥5级可调，母灯及子灯均满足最小光斑直径d10≤170mm，光斑均匀性：d50/d10≥50%；</w:t>
            </w:r>
          </w:p>
        </w:tc>
      </w:tr>
      <w:tr w14:paraId="1A3C2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1B1F6591">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1E3AC2A9">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8FC07">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11、显色指数Ra≥95，确保光源能最真实的还原创面的实际面貌；</w:t>
            </w:r>
          </w:p>
        </w:tc>
      </w:tr>
      <w:tr w14:paraId="7D5E0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751B43D8">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581DC2A9">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B7950">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▲12、无影灯可360°旋转关节数≥5个，轻巧灵活、定位稳定。灯臂关节处配置操作屏，方便控制照度、色温、光斑的调节，便于医生操作观察；（提供检测报告或证明文件）</w:t>
            </w:r>
          </w:p>
        </w:tc>
      </w:tr>
      <w:tr w14:paraId="35EBF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07538000">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7E469BFF">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B5EA9">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13、辐照度Ee和照度Ec的比值≤3.5±10%  mW/（m2·lux）。（提供检测报告或证明文件）</w:t>
            </w:r>
          </w:p>
        </w:tc>
      </w:tr>
      <w:tr w14:paraId="3192D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bottom w:val="single" w:color="000000" w:sz="4" w:space="0"/>
              <w:right w:val="single" w:color="000000" w:sz="4" w:space="0"/>
            </w:tcBorders>
            <w:shd w:val="clear" w:color="auto" w:fill="auto"/>
            <w:vAlign w:val="center"/>
          </w:tcPr>
          <w:p w14:paraId="44E09BC5">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bottom w:val="single" w:color="000000" w:sz="4" w:space="0"/>
              <w:right w:val="single" w:color="000000" w:sz="4" w:space="0"/>
            </w:tcBorders>
            <w:shd w:val="clear" w:color="auto" w:fill="auto"/>
            <w:vAlign w:val="center"/>
          </w:tcPr>
          <w:p w14:paraId="3CDA2E35">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51C86">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14、使用期限≥10年</w:t>
            </w:r>
          </w:p>
        </w:tc>
      </w:tr>
      <w:tr w14:paraId="2D0A9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F755E">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9B98E">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b/>
                <w:bCs/>
                <w:color w:val="auto"/>
                <w:kern w:val="0"/>
                <w:sz w:val="21"/>
                <w:szCs w:val="21"/>
                <w:highlight w:val="none"/>
                <w:lang w:val="en-US" w:eastAsia="zh-CN"/>
              </w:rPr>
              <w:t>配置要求</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70DCD">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（一）介入中心-加长臂单头无影灯配置要求（2套）：</w:t>
            </w:r>
          </w:p>
          <w:p w14:paraId="4FE8C46F">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1、单灯及C臂，灯臂关节处配置按键板；</w:t>
            </w:r>
          </w:p>
          <w:p w14:paraId="2DF6691A">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2、加长弹簧臂，需根据DSA实际情况调整臂长；</w:t>
            </w:r>
          </w:p>
          <w:p w14:paraId="2CDAF04B">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3、灭菌手柄2个；</w:t>
            </w:r>
          </w:p>
          <w:p w14:paraId="3B0EF86B">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4、普通手柄1个。</w:t>
            </w:r>
          </w:p>
          <w:p w14:paraId="75D7C430">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（二）手术室-双头无影灯配置要求（9套）：</w:t>
            </w:r>
          </w:p>
          <w:p w14:paraId="268E42AD">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1、双母灯及C臂，灯臂关节处配置按键板；</w:t>
            </w:r>
          </w:p>
          <w:p w14:paraId="713AE016">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2、灭菌手柄4个；</w:t>
            </w:r>
          </w:p>
          <w:p w14:paraId="654B3E62">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3、普通手柄2个；</w:t>
            </w:r>
          </w:p>
          <w:p w14:paraId="7F4AABF8">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4、其中四套配旋臂承载大尺寸腔镜显示屏。</w:t>
            </w:r>
          </w:p>
          <w:p w14:paraId="7D2D9AB9">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（三）手术室-加长臂单头无影灯配置要求（2套）：</w:t>
            </w:r>
          </w:p>
          <w:p w14:paraId="0373B787">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1、单灯及C臂，灯臂关节处配置按键板；</w:t>
            </w:r>
          </w:p>
          <w:p w14:paraId="0FA3FFEF">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2、加长弹簧臂，需根据DSA实际情况调整臂长；</w:t>
            </w:r>
          </w:p>
          <w:p w14:paraId="4070DCDA">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3、灭菌手柄2个；</w:t>
            </w:r>
          </w:p>
          <w:p w14:paraId="45BE125C">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4、普通手柄1个。</w:t>
            </w:r>
          </w:p>
        </w:tc>
      </w:tr>
    </w:tbl>
    <w:p w14:paraId="5681CCF3">
      <w:pPr>
        <w:pStyle w:val="35"/>
        <w:jc w:val="center"/>
        <w:rPr>
          <w:rFonts w:hint="eastAsia" w:eastAsia="黑体"/>
          <w:color w:val="auto"/>
          <w:highlight w:val="none"/>
          <w:lang w:val="en-US" w:eastAsia="zh-CN"/>
        </w:rPr>
      </w:pPr>
      <w:r>
        <w:rPr>
          <w:rFonts w:hint="eastAsia" w:ascii="黑体" w:hAnsi="黑体" w:eastAsia="黑体" w:cs="宋体"/>
          <w:b/>
          <w:color w:val="auto"/>
          <w:sz w:val="28"/>
          <w:szCs w:val="28"/>
          <w:highlight w:val="none"/>
          <w:lang w:eastAsia="zh-CN"/>
        </w:rPr>
        <w:t>手术床</w:t>
      </w:r>
      <w:r>
        <w:rPr>
          <w:rFonts w:hint="eastAsia" w:ascii="黑体" w:hAnsi="黑体" w:eastAsia="黑体" w:cs="宋体"/>
          <w:b/>
          <w:color w:val="auto"/>
          <w:sz w:val="28"/>
          <w:szCs w:val="28"/>
          <w:highlight w:val="none"/>
          <w:lang w:val="en-US" w:eastAsia="zh-CN"/>
        </w:rPr>
        <w:t>技术参数及要求</w:t>
      </w:r>
    </w:p>
    <w:tbl>
      <w:tblPr>
        <w:tblStyle w:val="36"/>
        <w:tblW w:w="97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7"/>
        <w:gridCol w:w="1075"/>
        <w:gridCol w:w="8000"/>
      </w:tblGrid>
      <w:tr w14:paraId="3C600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ED7A">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2D87E">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b/>
                <w:bCs/>
                <w:i w:val="0"/>
                <w:iCs w:val="0"/>
                <w:color w:val="auto"/>
                <w:kern w:val="0"/>
                <w:sz w:val="21"/>
                <w:szCs w:val="21"/>
                <w:highlight w:val="none"/>
                <w:u w:val="none"/>
                <w:lang w:val="en-US" w:eastAsia="zh-CN" w:bidi="ar"/>
              </w:rPr>
              <w:t>货物名称</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1E690">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技术参数及要求</w:t>
            </w:r>
          </w:p>
        </w:tc>
      </w:tr>
      <w:tr w14:paraId="0B161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restart"/>
            <w:tcBorders>
              <w:top w:val="single" w:color="000000" w:sz="4" w:space="0"/>
              <w:left w:val="single" w:color="000000" w:sz="4" w:space="0"/>
              <w:right w:val="single" w:color="000000" w:sz="4" w:space="0"/>
            </w:tcBorders>
            <w:shd w:val="clear" w:color="auto" w:fill="auto"/>
            <w:vAlign w:val="center"/>
          </w:tcPr>
          <w:p w14:paraId="548654A5">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75" w:type="dxa"/>
            <w:vMerge w:val="restart"/>
            <w:tcBorders>
              <w:top w:val="single" w:color="000000" w:sz="4" w:space="0"/>
              <w:left w:val="single" w:color="000000" w:sz="4" w:space="0"/>
              <w:right w:val="single" w:color="000000" w:sz="4" w:space="0"/>
            </w:tcBorders>
            <w:shd w:val="clear" w:color="auto" w:fill="auto"/>
            <w:vAlign w:val="center"/>
          </w:tcPr>
          <w:p w14:paraId="752C0A1D">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C5E1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1、手术床采用电动液压动力系统，可电动调节实现台面升降、头脚倾、左右倾、背板上下折、解锁和锁定，平移，同时手术床具备多种控制系统可选，包括遥控器、备用控制面板等；</w:t>
            </w:r>
          </w:p>
        </w:tc>
      </w:tr>
      <w:tr w14:paraId="50483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6F935F78">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56A42ED3">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6776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▲2、手术床可在手术室内任意位置通过无线功能遥控手术床运行， 同时手术床具备无线充电器可对遥控器进行无线充电；</w:t>
            </w:r>
          </w:p>
        </w:tc>
      </w:tr>
      <w:tr w14:paraId="09E73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12F1B6ED">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5482126C">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2F07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▲3、手术床床垫厚度≥80mm，为记忆海绵制成，表面无缝隙，防水透气，且床垫皮层通过防火等级测试。（提供证明材料或检测报告）；</w:t>
            </w:r>
          </w:p>
        </w:tc>
      </w:tr>
      <w:tr w14:paraId="3052E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0B5EDDAE">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3CC7025A">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A1DE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4、手术床头板及腿板采用快捷安装设计，腿板采用气弹簧设计，且头板和腿板可互换，便于临床拆卸和操作。（提供证明材料或检测报告）</w:t>
            </w:r>
          </w:p>
        </w:tc>
      </w:tr>
      <w:tr w14:paraId="6E74B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66D65551">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1F054445">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D082D">
            <w:pPr>
              <w:pStyle w:val="35"/>
              <w:keepNext w:val="0"/>
              <w:keepLines w:val="0"/>
              <w:pageBreakBefore w:val="0"/>
              <w:numPr>
                <w:ilvl w:val="0"/>
                <w:numId w:val="0"/>
              </w:numPr>
              <w:kinsoku/>
              <w:wordWrap/>
              <w:overflowPunct/>
              <w:topLinePunct w:val="0"/>
              <w:autoSpaceDE/>
              <w:autoSpaceDN/>
              <w:bidi w:val="0"/>
              <w:adjustRightInd/>
              <w:snapToGrid/>
              <w:spacing w:line="240" w:lineRule="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手术床底罩为光滑平面设计，底座厚度≤150mm。（提供证明材料或检测报告）；</w:t>
            </w:r>
          </w:p>
        </w:tc>
      </w:tr>
      <w:tr w14:paraId="388E2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6335BAF7">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44231CD3">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B36E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6、手术床防水测试等级≥IPX5，电源开关处具备防水盖；</w:t>
            </w:r>
          </w:p>
        </w:tc>
      </w:tr>
      <w:tr w14:paraId="3AE0C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3C1FB673">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5E31E5DB">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7042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7、床板可透视X光；</w:t>
            </w:r>
          </w:p>
        </w:tc>
      </w:tr>
      <w:tr w14:paraId="5FEDE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43F21C18">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0E58E5E9">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1C7E4">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8、具备遥控操作及控制面板双独立操作，单方故障不影响使用；</w:t>
            </w:r>
          </w:p>
        </w:tc>
      </w:tr>
      <w:tr w14:paraId="7F2AE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30FD6A37">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18C6038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7A22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9、供电方式为交流供电，具备蓄电池，可在无交流电源供电状态下工作，可满足不少于60 次手术需要；</w:t>
            </w:r>
          </w:p>
        </w:tc>
      </w:tr>
      <w:tr w14:paraId="502CB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0376E016">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64D0B733">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731E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10、手术床具备四个万向脚轮，方便原地旋转和移动，具备电动刹车系统，支持手动解锁；</w:t>
            </w:r>
          </w:p>
        </w:tc>
      </w:tr>
      <w:tr w14:paraId="2BB32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2A6D368F">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49C16C5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A9F6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11、具体参数要求：</w:t>
            </w:r>
          </w:p>
          <w:p w14:paraId="5D1B34A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(1)手术床宽度：≥520mm，长度≥2080mm</w:t>
            </w:r>
          </w:p>
          <w:p w14:paraId="27AC922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(2)手术床头倾：≥35°，手术床脚倾≥25°</w:t>
            </w:r>
          </w:p>
          <w:p w14:paraId="67557B1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(3)手术床左右倾：≥20°</w:t>
            </w:r>
          </w:p>
          <w:p w14:paraId="72B3A88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(4)头板最大倾斜角度：上折≥60°，下折≥85°</w:t>
            </w:r>
          </w:p>
          <w:p w14:paraId="4D9D0AE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(5)背板最大倾斜角度：上折≥75°，下折≥45°</w:t>
            </w:r>
          </w:p>
          <w:p w14:paraId="5C4D003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(6)腿板最大倾斜角度：上折≥40°，下折≥85°</w:t>
            </w:r>
          </w:p>
          <w:p w14:paraId="2E961FD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(7)手术床最低台面：≤600mm，手术床最高台面：≥950mm</w:t>
            </w:r>
          </w:p>
          <w:p w14:paraId="0D093B9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(8)具备一键正反屈曲及一键水平功能</w:t>
            </w:r>
          </w:p>
        </w:tc>
      </w:tr>
      <w:tr w14:paraId="08DCF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right w:val="single" w:color="000000" w:sz="4" w:space="0"/>
            </w:tcBorders>
            <w:shd w:val="clear" w:color="auto" w:fill="auto"/>
            <w:vAlign w:val="center"/>
          </w:tcPr>
          <w:p w14:paraId="3014299C">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right w:val="single" w:color="000000" w:sz="4" w:space="0"/>
            </w:tcBorders>
            <w:shd w:val="clear" w:color="auto" w:fill="auto"/>
            <w:vAlign w:val="center"/>
          </w:tcPr>
          <w:p w14:paraId="23BF5795">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2DDA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sz w:val="21"/>
                <w:szCs w:val="21"/>
                <w:highlight w:val="none"/>
                <w:lang w:val="en-US" w:eastAsia="zh-CN" w:bidi="ar-SA"/>
              </w:rPr>
              <w:t>12、最大承重：≥400kg；</w:t>
            </w:r>
          </w:p>
        </w:tc>
      </w:tr>
      <w:tr w14:paraId="6A40C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vMerge w:val="continue"/>
            <w:tcBorders>
              <w:left w:val="single" w:color="000000" w:sz="4" w:space="0"/>
              <w:bottom w:val="single" w:color="000000" w:sz="4" w:space="0"/>
              <w:right w:val="single" w:color="000000" w:sz="4" w:space="0"/>
            </w:tcBorders>
            <w:shd w:val="clear" w:color="auto" w:fill="auto"/>
            <w:vAlign w:val="center"/>
          </w:tcPr>
          <w:p w14:paraId="28025F8A">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75" w:type="dxa"/>
            <w:vMerge w:val="continue"/>
            <w:tcBorders>
              <w:left w:val="single" w:color="000000" w:sz="4" w:space="0"/>
              <w:bottom w:val="single" w:color="000000" w:sz="4" w:space="0"/>
              <w:right w:val="single" w:color="000000" w:sz="4" w:space="0"/>
            </w:tcBorders>
            <w:shd w:val="clear" w:color="auto" w:fill="auto"/>
            <w:vAlign w:val="center"/>
          </w:tcPr>
          <w:p w14:paraId="77811CDA">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B23E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13、使用期限≥10年</w:t>
            </w:r>
          </w:p>
        </w:tc>
      </w:tr>
      <w:tr w14:paraId="559E7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BC778">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BF8B2">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b/>
                <w:bCs/>
                <w:color w:val="auto"/>
                <w:kern w:val="0"/>
                <w:sz w:val="21"/>
                <w:szCs w:val="21"/>
                <w:highlight w:val="none"/>
                <w:lang w:val="en-US" w:eastAsia="zh-CN"/>
              </w:rPr>
              <w:t>配置要求</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494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骨科单台配置：</w:t>
            </w:r>
          </w:p>
          <w:p w14:paraId="5CC5E5F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1、床体一套；</w:t>
            </w:r>
          </w:p>
          <w:p w14:paraId="5DB3913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2头板、腿板、背板、腰板、臀板各一套；</w:t>
            </w:r>
          </w:p>
          <w:p w14:paraId="2603164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3、床垫一套；</w:t>
            </w:r>
          </w:p>
          <w:p w14:paraId="0333AAD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4、无线手控器一个；</w:t>
            </w:r>
          </w:p>
          <w:p w14:paraId="3FDE986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5、搁手板一对；</w:t>
            </w:r>
          </w:p>
          <w:p w14:paraId="2DC257A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6、支身架一对；</w:t>
            </w:r>
          </w:p>
          <w:p w14:paraId="6DB356A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7、支肩架一对；</w:t>
            </w:r>
          </w:p>
          <w:p w14:paraId="5B2677B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8、托腿架一对；</w:t>
            </w:r>
          </w:p>
          <w:p w14:paraId="1812F45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9、麻醉架一套；</w:t>
            </w:r>
          </w:p>
          <w:p w14:paraId="57084B4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10、头腿板互换功能一套。</w:t>
            </w:r>
          </w:p>
          <w:p w14:paraId="44065E1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11、2台透视床增配骨科牵引架一套。</w:t>
            </w:r>
          </w:p>
          <w:p w14:paraId="30BF251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常规手术床配置：</w:t>
            </w:r>
          </w:p>
          <w:p w14:paraId="75DA653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1、床体一套；</w:t>
            </w:r>
          </w:p>
          <w:p w14:paraId="75F3EA1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2、头板、腿板、背板、腰板、臀板各一套；</w:t>
            </w:r>
          </w:p>
          <w:p w14:paraId="1FB93EA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3、床垫一套；</w:t>
            </w:r>
          </w:p>
          <w:p w14:paraId="042823F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4、无线手控器一个；</w:t>
            </w:r>
          </w:p>
          <w:p w14:paraId="4F2CBE3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5、搁手板一对；</w:t>
            </w:r>
          </w:p>
          <w:p w14:paraId="1699922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6、支身架一对；</w:t>
            </w:r>
          </w:p>
          <w:p w14:paraId="6165213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7、支肩架一对；</w:t>
            </w:r>
          </w:p>
          <w:p w14:paraId="6DAF567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8、托腿架一对；</w:t>
            </w:r>
          </w:p>
          <w:p w14:paraId="2C35710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9、麻醉架一套；</w:t>
            </w:r>
          </w:p>
          <w:p w14:paraId="3D41977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10、平移一套；</w:t>
            </w:r>
          </w:p>
          <w:p w14:paraId="63D4DFC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11、腰桥一套；</w:t>
            </w:r>
          </w:p>
          <w:p w14:paraId="1AEAEBB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12、头腿板互换功能一套。</w:t>
            </w:r>
          </w:p>
        </w:tc>
      </w:tr>
    </w:tbl>
    <w:p w14:paraId="5656427E">
      <w:pPr>
        <w:spacing w:line="440" w:lineRule="exact"/>
        <w:outlineLvl w:val="2"/>
        <w:rPr>
          <w:rFonts w:hint="eastAsia" w:ascii="仿宋" w:hAnsi="仿宋" w:eastAsia="仿宋" w:cs="仿宋"/>
          <w:b/>
          <w:bCs/>
          <w:color w:val="auto"/>
          <w:highlight w:val="none"/>
          <w:lang w:val="en-US" w:eastAsia="zh-CN"/>
        </w:rPr>
      </w:pPr>
      <w:r>
        <w:rPr>
          <w:rFonts w:hint="eastAsia" w:ascii="宋体" w:hAnsi="宋体" w:eastAsia="宋体" w:cs="宋体"/>
          <w:b/>
          <w:bCs/>
          <w:color w:val="auto"/>
          <w:sz w:val="21"/>
          <w:szCs w:val="21"/>
          <w:highlight w:val="none"/>
        </w:rPr>
        <w:t>★</w:t>
      </w:r>
      <w:r>
        <w:rPr>
          <w:rFonts w:hint="eastAsia" w:ascii="黑体" w:hAnsi="黑体" w:eastAsia="黑体" w:cs="宋体"/>
          <w:b/>
          <w:color w:val="auto"/>
          <w:sz w:val="28"/>
          <w:szCs w:val="28"/>
          <w:highlight w:val="none"/>
          <w:lang w:val="en-US" w:eastAsia="zh-CN"/>
        </w:rPr>
        <w:t>三、商务要求</w:t>
      </w:r>
    </w:p>
    <w:p w14:paraId="4668BECA">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付款方式：以第五章合同文本内容为准。</w:t>
      </w:r>
    </w:p>
    <w:p w14:paraId="2659A954">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交货期：自合同签订后30日内设备供货并完成安装调试交付使用。</w:t>
      </w:r>
    </w:p>
    <w:p w14:paraId="224D3AA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3.质保期：</w:t>
      </w:r>
      <w:r>
        <w:rPr>
          <w:rFonts w:hint="eastAsia" w:ascii="宋体" w:hAnsi="宋体" w:eastAsia="宋体" w:cs="宋体"/>
          <w:color w:val="auto"/>
          <w:highlight w:val="none"/>
          <w:lang w:val="en-US" w:eastAsia="zh-CN"/>
        </w:rPr>
        <w:t>设备验收合格后原厂质保不少于7年，</w:t>
      </w:r>
      <w:r>
        <w:rPr>
          <w:rFonts w:hint="eastAsia" w:ascii="宋体" w:hAnsi="宋体" w:eastAsia="宋体" w:cs="宋体"/>
          <w:color w:val="auto"/>
          <w:highlight w:val="none"/>
          <w:lang w:val="en-US" w:eastAsia="zh-CN"/>
        </w:rPr>
        <w:t>每年4次巡检、2次保养，质保期外提供终身维修服务，软件终身免费升级。</w:t>
      </w:r>
    </w:p>
    <w:p w14:paraId="7F742F2D">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4.维修保证：</w:t>
      </w:r>
    </w:p>
    <w:p w14:paraId="45BD5FAB">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p>
    <w:p w14:paraId="473FF7E2">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（2）保修期内，中标人负责对其提供的货物进行维修，不再收取任何费用，所有维修配件均为原厂全新合格产品，但不可抗力（如火灾、雷击等）造成的故障除外。</w:t>
      </w:r>
    </w:p>
    <w:p w14:paraId="7FA769E2">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（3）所有货物保修服务方式均为中标人上门保修，即由中标人派员到货物使用现场维修，由此产生的一切费用均由中标人承担。</w:t>
      </w:r>
    </w:p>
    <w:p w14:paraId="6A0EE1DF">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p>
    <w:p w14:paraId="1C50E61D">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p>
    <w:p w14:paraId="066D4F76">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（6）保修期内提供不限次数现场维修，免费更换所含备件/配件。</w:t>
      </w:r>
    </w:p>
    <w:p w14:paraId="7B8F2C15">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（7）免费提供设备的系统软件及硬件的安全性改版升级和技术支持。</w:t>
      </w:r>
    </w:p>
    <w:p w14:paraId="731706CA">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5.货物和系统调试验收的标准：按行业通行标准、厂方出厂标准和中标人投标文件的承诺，供应商提供的商品必须符合我国最新颁布的与之相关的技术规范与标准。</w:t>
      </w:r>
    </w:p>
    <w:p w14:paraId="3C409181">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6.货物到达需方地址至验收合格期间，由供应商负责保管，若因保管不当造成的质量问题，供应商应负责修理，同时费用由供应商承担。</w:t>
      </w:r>
    </w:p>
    <w:p w14:paraId="63753EF7">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p>
    <w:p w14:paraId="1AEB23A9">
      <w:pPr>
        <w:spacing w:line="440" w:lineRule="exact"/>
        <w:outlineLvl w:val="2"/>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val="en-US" w:eastAsia="zh-CN"/>
        </w:rPr>
        <w:t>四、其他</w:t>
      </w:r>
    </w:p>
    <w:p w14:paraId="29BB1D50">
      <w:pPr>
        <w:pStyle w:val="194"/>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1.</w:t>
      </w:r>
      <w:r>
        <w:rPr>
          <w:rFonts w:hint="eastAsia" w:ascii="宋体" w:hAnsi="宋体" w:eastAsia="宋体" w:cs="宋体"/>
          <w:bCs/>
          <w:color w:val="auto"/>
          <w:sz w:val="21"/>
          <w:szCs w:val="21"/>
          <w:highlight w:val="none"/>
        </w:rPr>
        <w:t>落实商品包装、快递包装政府采购需求标准。具体详见投标人须知第</w:t>
      </w:r>
      <w:r>
        <w:rPr>
          <w:rFonts w:hint="eastAsia" w:ascii="宋体" w:hAnsi="宋体" w:eastAsia="宋体" w:cs="宋体"/>
          <w:bCs/>
          <w:color w:val="auto"/>
          <w:sz w:val="21"/>
          <w:szCs w:val="21"/>
          <w:highlight w:val="none"/>
          <w:lang w:val="en-US" w:eastAsia="zh-CN"/>
        </w:rPr>
        <w:t>29</w:t>
      </w:r>
      <w:r>
        <w:rPr>
          <w:rFonts w:hint="eastAsia" w:ascii="宋体" w:hAnsi="宋体" w:eastAsia="宋体" w:cs="宋体"/>
          <w:bCs/>
          <w:color w:val="auto"/>
          <w:sz w:val="21"/>
          <w:szCs w:val="21"/>
          <w:highlight w:val="none"/>
        </w:rPr>
        <w:t>条，在履约验收时按照本条款执行，违反本约定的对照合同违约条款追究违约责任。供应商一旦参与本项目投标，即完全响应本条款要求。</w:t>
      </w:r>
    </w:p>
    <w:p w14:paraId="563337B1">
      <w:pPr>
        <w:pStyle w:val="194"/>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2.</w:t>
      </w:r>
      <w:r>
        <w:rPr>
          <w:rFonts w:hint="eastAsia" w:ascii="宋体" w:hAnsi="宋体" w:eastAsia="宋体" w:cs="宋体"/>
          <w:bCs/>
          <w:color w:val="auto"/>
          <w:sz w:val="21"/>
          <w:szCs w:val="21"/>
          <w:highlight w:val="none"/>
        </w:rPr>
        <w:t>项目实施方案</w:t>
      </w:r>
    </w:p>
    <w:p w14:paraId="744A1A8C">
      <w:pPr>
        <w:pStyle w:val="194"/>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根据该项目提供符合采购人情况的设备交付方案和安装调试方案，应具有明确的交货时间、设备交付安装安排、时间进度安排。</w:t>
      </w:r>
    </w:p>
    <w:p w14:paraId="114242C1">
      <w:pPr>
        <w:pStyle w:val="194"/>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3.</w:t>
      </w:r>
      <w:r>
        <w:rPr>
          <w:rFonts w:hint="eastAsia" w:ascii="宋体" w:hAnsi="宋体" w:eastAsia="宋体" w:cs="宋体"/>
          <w:bCs/>
          <w:color w:val="auto"/>
          <w:sz w:val="21"/>
          <w:szCs w:val="21"/>
          <w:highlight w:val="none"/>
        </w:rPr>
        <w:t>售后服务方案</w:t>
      </w:r>
    </w:p>
    <w:p w14:paraId="4297A569">
      <w:pPr>
        <w:pStyle w:val="194"/>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根据该项目提供符合采购人情况的售后服务承诺及应急方案，应体现售后响应时间、应急售后措施、对可能存在的情况有具体应对方案和具体时间节点安排，售后及应急人员安排。</w:t>
      </w:r>
    </w:p>
    <w:p w14:paraId="391D9FEE">
      <w:pPr>
        <w:pStyle w:val="194"/>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4.</w:t>
      </w:r>
      <w:r>
        <w:rPr>
          <w:rFonts w:hint="eastAsia" w:ascii="宋体" w:hAnsi="宋体" w:eastAsia="宋体" w:cs="宋体"/>
          <w:bCs/>
          <w:color w:val="auto"/>
          <w:sz w:val="21"/>
          <w:szCs w:val="21"/>
          <w:highlight w:val="none"/>
        </w:rPr>
        <w:t>培训及技术支持方案</w:t>
      </w:r>
    </w:p>
    <w:p w14:paraId="6EF8C903">
      <w:pPr>
        <w:pStyle w:val="194"/>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根据该项目提供符合采购人情况的培训服务方案及技术支持方案，应具有对采购人工作人员的操作培训和售后培训以及采购人所需的技术和学术支持。</w:t>
      </w:r>
    </w:p>
    <w:p w14:paraId="36B24135">
      <w:pPr>
        <w:pStyle w:val="194"/>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5.</w:t>
      </w:r>
      <w:r>
        <w:rPr>
          <w:rFonts w:hint="eastAsia" w:ascii="宋体" w:hAnsi="宋体" w:eastAsia="宋体" w:cs="宋体"/>
          <w:bCs/>
          <w:color w:val="auto"/>
          <w:sz w:val="21"/>
          <w:szCs w:val="21"/>
          <w:highlight w:val="none"/>
        </w:rPr>
        <w:t>应急方案</w:t>
      </w:r>
    </w:p>
    <w:p w14:paraId="39002515">
      <w:pPr>
        <w:pStyle w:val="194"/>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根据该项目提供符合采购人情况的</w:t>
      </w:r>
      <w:r>
        <w:rPr>
          <w:rFonts w:hint="eastAsia" w:ascii="宋体" w:hAnsi="宋体" w:eastAsia="宋体" w:cs="宋体"/>
          <w:color w:val="auto"/>
          <w:sz w:val="21"/>
          <w:szCs w:val="21"/>
          <w:highlight w:val="none"/>
        </w:rPr>
        <w:t>应急方案及措施、应急人员安排、应急预案，应明确应急响应时间和应急人员（单位）的联系方式。</w:t>
      </w:r>
    </w:p>
    <w:p w14:paraId="799EDD64">
      <w:pPr>
        <w:pStyle w:val="194"/>
        <w:numPr>
          <w:ilvl w:val="0"/>
          <w:numId w:val="0"/>
        </w:num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6.</w:t>
      </w:r>
      <w:r>
        <w:rPr>
          <w:rFonts w:hint="eastAsia" w:ascii="宋体" w:hAnsi="宋体" w:eastAsia="宋体" w:cs="宋体"/>
          <w:color w:val="auto"/>
          <w:sz w:val="21"/>
          <w:szCs w:val="21"/>
          <w:highlight w:val="none"/>
        </w:rPr>
        <w:t>投标设备产品综合性能评价</w:t>
      </w:r>
    </w:p>
    <w:p w14:paraId="06EE3932">
      <w:pPr>
        <w:pStyle w:val="194"/>
        <w:spacing w:line="440" w:lineRule="exact"/>
        <w:ind w:firstLine="480"/>
        <w:rPr>
          <w:color w:val="auto"/>
          <w:highlight w:val="none"/>
        </w:rPr>
      </w:pPr>
      <w:r>
        <w:rPr>
          <w:rFonts w:hint="eastAsia" w:ascii="宋体" w:hAnsi="宋体" w:eastAsia="宋体" w:cs="宋体"/>
          <w:color w:val="auto"/>
          <w:sz w:val="21"/>
          <w:szCs w:val="21"/>
          <w:highlight w:val="none"/>
        </w:rPr>
        <w:t>根据该项目采购需求选择最适合本项目的设备进行响应，提供材质证明材料、工艺证明材料等，以及产品技术指标的描述、检测文件及证明照片等内容，体现产品的安全性、稳定性、易用性、配置及功能。</w:t>
      </w:r>
      <w:r>
        <w:rPr>
          <w:color w:val="auto"/>
          <w:highlight w:val="none"/>
        </w:rPr>
        <w:br w:type="page" w:clear="all"/>
      </w:r>
    </w:p>
    <w:p w14:paraId="441BA6B5">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五</w:t>
      </w:r>
      <w:r>
        <w:rPr>
          <w:rFonts w:ascii="宋体" w:hAnsi="宋体" w:eastAsia="宋体" w:cs="宋体"/>
          <w:b/>
          <w:color w:val="auto"/>
          <w:sz w:val="32"/>
          <w:highlight w:val="none"/>
        </w:rPr>
        <w:t>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合同主要条款及格式</w:t>
      </w:r>
    </w:p>
    <w:p w14:paraId="7C6ED474">
      <w:pPr>
        <w:pBdr>
          <w:top w:val="none" w:color="000000" w:sz="0" w:space="0"/>
          <w:left w:val="none" w:color="000000" w:sz="0" w:space="0"/>
          <w:bottom w:val="none" w:color="000000" w:sz="0" w:space="0"/>
          <w:right w:val="none" w:color="000000" w:sz="0" w:space="0"/>
        </w:pBdr>
        <w:spacing w:line="439" w:lineRule="atLeast"/>
        <w:jc w:val="both"/>
        <w:rPr>
          <w:rFonts w:hint="eastAsia" w:ascii="宋体" w:hAnsi="宋体" w:eastAsia="宋体" w:cs="宋体"/>
          <w:color w:val="auto"/>
          <w:highlight w:val="none"/>
        </w:rPr>
      </w:pPr>
      <w:r>
        <w:rPr>
          <w:rFonts w:hint="eastAsia" w:ascii="宋体" w:hAnsi="宋体" w:eastAsia="宋体" w:cs="宋体"/>
          <w:color w:val="auto"/>
          <w:sz w:val="24"/>
          <w:highlight w:val="none"/>
        </w:rPr>
        <w:t>（以下为成交后签订本项目合同的通用条款，成交供应商不得提出实质性修改，关于专用条款将由采购人与成交供应商结合本项目具体情况协商后签订）</w:t>
      </w:r>
    </w:p>
    <w:p w14:paraId="68F5285B">
      <w:pPr>
        <w:pBdr>
          <w:top w:val="none" w:color="000000" w:sz="0" w:space="0"/>
          <w:left w:val="none" w:color="000000" w:sz="0" w:space="0"/>
          <w:bottom w:val="none" w:color="000000" w:sz="0" w:space="0"/>
          <w:right w:val="none" w:color="000000" w:sz="0" w:space="0"/>
        </w:pBdr>
        <w:ind w:firstLine="42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3C33CFC6">
      <w:pPr>
        <w:widowControl w:val="0"/>
        <w:jc w:val="center"/>
        <w:rPr>
          <w:rFonts w:ascii="Times New Roman" w:hAnsi="Times New Roman" w:eastAsia="黑体" w:cs="Times New Roman"/>
          <w:b/>
          <w:bCs/>
          <w:color w:val="auto"/>
          <w:kern w:val="2"/>
          <w:sz w:val="32"/>
          <w:szCs w:val="32"/>
          <w:highlight w:val="none"/>
        </w:rPr>
      </w:pPr>
      <w:r>
        <w:rPr>
          <w:rFonts w:ascii="Times New Roman" w:hAnsi="Times New Roman" w:eastAsia="黑体" w:cs="Times New Roman"/>
          <w:b/>
          <w:bCs/>
          <w:color w:val="auto"/>
          <w:kern w:val="2"/>
          <w:sz w:val="32"/>
          <w:szCs w:val="32"/>
          <w:highlight w:val="none"/>
        </w:rPr>
        <w:t>设备采购合同</w:t>
      </w:r>
    </w:p>
    <w:p w14:paraId="7F6C9531">
      <w:pPr>
        <w:widowControl w:val="0"/>
        <w:spacing w:line="360" w:lineRule="auto"/>
        <w:jc w:val="both"/>
        <w:rPr>
          <w:rFonts w:ascii="Times New Roman" w:hAnsi="Times New Roman" w:eastAsia="宋体" w:cs="Times New Roman"/>
          <w:b/>
          <w:bCs/>
          <w:color w:val="auto"/>
          <w:kern w:val="2"/>
          <w:szCs w:val="21"/>
          <w:highlight w:val="none"/>
        </w:rPr>
      </w:pPr>
      <w:r>
        <w:rPr>
          <w:rFonts w:ascii="Times New Roman" w:hAnsi="Times New Roman" w:eastAsia="宋体" w:cs="Times New Roman"/>
          <w:b/>
          <w:bCs/>
          <w:color w:val="auto"/>
          <w:kern w:val="2"/>
          <w:szCs w:val="21"/>
          <w:highlight w:val="none"/>
        </w:rPr>
        <w:t>甲方：南京市江宁医院</w:t>
      </w:r>
    </w:p>
    <w:p w14:paraId="244986C5">
      <w:pPr>
        <w:widowControl w:val="0"/>
        <w:spacing w:line="360" w:lineRule="auto"/>
        <w:jc w:val="both"/>
        <w:rPr>
          <w:rFonts w:hint="eastAsia" w:ascii="Times New Roman" w:hAnsi="Times New Roman" w:eastAsia="宋体" w:cs="Times New Roman"/>
          <w:b/>
          <w:bCs/>
          <w:color w:val="auto"/>
          <w:kern w:val="2"/>
          <w:szCs w:val="21"/>
          <w:highlight w:val="none"/>
          <w:lang w:eastAsia="zh-CN"/>
        </w:rPr>
      </w:pPr>
      <w:r>
        <w:rPr>
          <w:rFonts w:ascii="Times New Roman" w:hAnsi="Times New Roman" w:eastAsia="宋体" w:cs="Times New Roman"/>
          <w:b/>
          <w:bCs/>
          <w:color w:val="auto"/>
          <w:kern w:val="2"/>
          <w:szCs w:val="21"/>
          <w:highlight w:val="none"/>
        </w:rPr>
        <w:t>乙方：</w:t>
      </w:r>
    </w:p>
    <w:p w14:paraId="6EF0A802">
      <w:pPr>
        <w:widowControl w:val="0"/>
        <w:spacing w:line="360" w:lineRule="auto"/>
        <w:jc w:val="right"/>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合同签署地点：南京市江宁医院湖山路院区</w:t>
      </w:r>
    </w:p>
    <w:p w14:paraId="5E4C2BE9">
      <w:pPr>
        <w:widowControl w:val="0"/>
        <w:spacing w:line="360" w:lineRule="auto"/>
        <w:jc w:val="left"/>
        <w:rPr>
          <w:rFonts w:hint="eastAsia" w:ascii="Times New Roman" w:hAnsi="Times New Roman" w:eastAsia="宋体" w:cs="Times New Roman"/>
          <w:b/>
          <w:bCs/>
          <w:color w:val="auto"/>
          <w:kern w:val="2"/>
          <w:szCs w:val="21"/>
          <w:highlight w:val="none"/>
          <w:lang w:val="en-US" w:eastAsia="zh-CN"/>
        </w:rPr>
      </w:pPr>
      <w:r>
        <w:rPr>
          <w:rFonts w:hint="eastAsia" w:ascii="Times New Roman" w:hAnsi="Times New Roman" w:eastAsia="宋体" w:cs="Times New Roman"/>
          <w:b/>
          <w:bCs/>
          <w:color w:val="auto"/>
          <w:kern w:val="2"/>
          <w:szCs w:val="21"/>
          <w:highlight w:val="none"/>
          <w:lang w:val="en-US" w:eastAsia="zh-CN"/>
        </w:rPr>
        <w:t>采购代理机构：</w:t>
      </w:r>
    </w:p>
    <w:p w14:paraId="07AAB20F">
      <w:pPr>
        <w:widowControl w:val="0"/>
        <w:spacing w:line="240" w:lineRule="auto"/>
        <w:jc w:val="left"/>
        <w:rPr>
          <w:rFonts w:hint="default" w:ascii="Times New Roman" w:hAnsi="Times New Roman" w:eastAsia="宋体" w:cs="Times New Roman"/>
          <w:color w:val="auto"/>
          <w:kern w:val="2"/>
          <w:szCs w:val="21"/>
          <w:highlight w:val="none"/>
          <w:lang w:val="en-US" w:eastAsia="zh-CN"/>
        </w:rPr>
      </w:pPr>
    </w:p>
    <w:p w14:paraId="5C20FC93">
      <w:pPr>
        <w:widowControl w:val="0"/>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为了</w:t>
      </w:r>
      <w:r>
        <w:rPr>
          <w:rFonts w:hint="eastAsia" w:ascii="Times New Roman" w:hAnsi="Times New Roman" w:eastAsia="宋体" w:cs="Times New Roman"/>
          <w:color w:val="auto"/>
          <w:kern w:val="2"/>
          <w:szCs w:val="21"/>
          <w:highlight w:val="none"/>
        </w:rPr>
        <w:t>维护甲乙双方</w:t>
      </w:r>
      <w:r>
        <w:rPr>
          <w:rFonts w:ascii="Times New Roman" w:hAnsi="Times New Roman" w:eastAsia="宋体" w:cs="Times New Roman"/>
          <w:color w:val="auto"/>
          <w:kern w:val="2"/>
          <w:szCs w:val="21"/>
          <w:highlight w:val="none"/>
        </w:rPr>
        <w:t>的合法权益，依据《中华人民共和国民法典》等有</w:t>
      </w:r>
      <w:r>
        <w:rPr>
          <w:rFonts w:hint="eastAsia" w:ascii="Times New Roman" w:hAnsi="Times New Roman" w:eastAsia="宋体" w:cs="Times New Roman"/>
          <w:color w:val="auto"/>
          <w:kern w:val="2"/>
          <w:szCs w:val="21"/>
          <w:highlight w:val="none"/>
        </w:rPr>
        <w:t>关</w:t>
      </w:r>
      <w:r>
        <w:rPr>
          <w:rFonts w:ascii="Times New Roman" w:hAnsi="Times New Roman" w:eastAsia="宋体" w:cs="Times New Roman"/>
          <w:color w:val="auto"/>
          <w:kern w:val="2"/>
          <w:szCs w:val="21"/>
          <w:highlight w:val="none"/>
        </w:rPr>
        <w:t>法律法规的规定，</w:t>
      </w:r>
      <w:r>
        <w:rPr>
          <w:rFonts w:hint="eastAsia" w:ascii="Times New Roman" w:hAnsi="Times New Roman" w:eastAsia="宋体" w:cs="Times New Roman"/>
          <w:color w:val="auto"/>
          <w:kern w:val="2"/>
          <w:szCs w:val="21"/>
          <w:highlight w:val="none"/>
          <w:lang w:eastAsia="zh-CN"/>
        </w:rPr>
        <w:t>以及医疗设备采购项目（招标编号：</w:t>
      </w:r>
      <w:r>
        <w:rPr>
          <w:rFonts w:hint="eastAsia" w:ascii="Times New Roman" w:hAnsi="Times New Roman" w:eastAsia="宋体" w:cs="Times New Roman"/>
          <w:color w:val="auto"/>
          <w:kern w:val="2"/>
          <w:szCs w:val="21"/>
          <w:highlight w:val="none"/>
          <w:u w:val="single"/>
          <w:lang w:val="en-US" w:eastAsia="zh-CN"/>
        </w:rPr>
        <w:t xml:space="preserve">      </w:t>
      </w:r>
      <w:r>
        <w:rPr>
          <w:rFonts w:hint="eastAsia" w:ascii="Times New Roman" w:hAnsi="Times New Roman" w:eastAsia="宋体" w:cs="Times New Roman"/>
          <w:color w:val="auto"/>
          <w:kern w:val="2"/>
          <w:szCs w:val="21"/>
          <w:highlight w:val="none"/>
          <w:lang w:eastAsia="zh-CN"/>
        </w:rPr>
        <w:t>）《招标文件》、乙方《投标文件》</w:t>
      </w:r>
      <w:r>
        <w:rPr>
          <w:rFonts w:hint="default" w:ascii="Times New Roman" w:hAnsi="Times New Roman" w:eastAsia="宋体" w:cs="Times New Roman"/>
          <w:color w:val="auto"/>
          <w:kern w:val="2"/>
          <w:szCs w:val="21"/>
          <w:highlight w:val="none"/>
        </w:rPr>
        <w:t>，</w:t>
      </w:r>
      <w:r>
        <w:rPr>
          <w:rFonts w:hint="eastAsia" w:ascii="Times New Roman" w:hAnsi="Times New Roman" w:eastAsia="宋体" w:cs="Times New Roman"/>
          <w:color w:val="auto"/>
          <w:kern w:val="2"/>
          <w:szCs w:val="21"/>
          <w:highlight w:val="none"/>
        </w:rPr>
        <w:t>甲方</w:t>
      </w:r>
      <w:r>
        <w:rPr>
          <w:rFonts w:ascii="Times New Roman" w:hAnsi="Times New Roman" w:eastAsia="宋体" w:cs="Times New Roman"/>
          <w:color w:val="auto"/>
          <w:kern w:val="2"/>
          <w:szCs w:val="21"/>
          <w:highlight w:val="none"/>
        </w:rPr>
        <w:t>为</w:t>
      </w:r>
      <w:r>
        <w:rPr>
          <w:rFonts w:hint="eastAsia" w:ascii="Times New Roman" w:hAnsi="Times New Roman" w:eastAsia="宋体" w:cs="Times New Roman"/>
          <w:color w:val="auto"/>
          <w:kern w:val="2"/>
          <w:szCs w:val="21"/>
          <w:highlight w:val="none"/>
          <w:u w:val="single"/>
          <w:lang w:val="en-US" w:eastAsia="zh-CN"/>
        </w:rPr>
        <w:t xml:space="preserve">   </w:t>
      </w:r>
      <w:r>
        <w:rPr>
          <w:rFonts w:ascii="Times New Roman" w:hAnsi="Times New Roman" w:eastAsia="宋体" w:cs="Times New Roman"/>
          <w:color w:val="auto"/>
          <w:kern w:val="2"/>
          <w:szCs w:val="21"/>
          <w:highlight w:val="none"/>
        </w:rPr>
        <w:t>科购置设备</w:t>
      </w:r>
      <w:r>
        <w:rPr>
          <w:rFonts w:hint="eastAsia" w:ascii="Times New Roman" w:hAnsi="Times New Roman" w:eastAsia="宋体" w:cs="Times New Roman"/>
          <w:color w:val="auto"/>
          <w:kern w:val="2"/>
          <w:szCs w:val="21"/>
          <w:highlight w:val="none"/>
        </w:rPr>
        <w:t>，</w:t>
      </w:r>
      <w:r>
        <w:rPr>
          <w:rFonts w:ascii="Times New Roman" w:hAnsi="Times New Roman" w:eastAsia="宋体" w:cs="Times New Roman"/>
          <w:color w:val="auto"/>
          <w:kern w:val="2"/>
          <w:szCs w:val="21"/>
          <w:highlight w:val="none"/>
        </w:rPr>
        <w:t>特订立本合同。</w:t>
      </w:r>
    </w:p>
    <w:p w14:paraId="5DCD0E05">
      <w:pPr>
        <w:widowControl w:val="0"/>
        <w:spacing w:before="312" w:beforeLines="100" w:after="156" w:afterLines="50" w:line="240" w:lineRule="auto"/>
        <w:ind w:firstLine="482" w:firstLineChars="200"/>
        <w:jc w:val="both"/>
        <w:rPr>
          <w:rFonts w:ascii="Times New Roman" w:hAnsi="Times New Roman" w:eastAsia="宋体" w:cs="Times New Roman"/>
          <w:b/>
          <w:bCs/>
          <w:color w:val="auto"/>
          <w:kern w:val="2"/>
          <w:sz w:val="24"/>
          <w:szCs w:val="24"/>
          <w:highlight w:val="none"/>
        </w:rPr>
      </w:pPr>
      <w:r>
        <w:rPr>
          <w:rFonts w:ascii="Times New Roman" w:hAnsi="Times New Roman" w:eastAsia="宋体" w:cs="Times New Roman"/>
          <w:b/>
          <w:bCs/>
          <w:color w:val="auto"/>
          <w:kern w:val="2"/>
          <w:sz w:val="24"/>
          <w:szCs w:val="24"/>
          <w:highlight w:val="none"/>
        </w:rPr>
        <w:t>第一条  采购清单</w:t>
      </w:r>
    </w:p>
    <w:tbl>
      <w:tblPr>
        <w:tblStyle w:val="36"/>
        <w:tblW w:w="106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8"/>
        <w:gridCol w:w="871"/>
        <w:gridCol w:w="1215"/>
        <w:gridCol w:w="1320"/>
        <w:gridCol w:w="750"/>
        <w:gridCol w:w="660"/>
        <w:gridCol w:w="705"/>
        <w:gridCol w:w="1200"/>
        <w:gridCol w:w="1194"/>
        <w:gridCol w:w="1228"/>
      </w:tblGrid>
      <w:tr w14:paraId="7128B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538" w:type="dxa"/>
            <w:noWrap w:val="0"/>
            <w:vAlign w:val="center"/>
          </w:tcPr>
          <w:p w14:paraId="43C1942A">
            <w:pPr>
              <w:widowControl w:val="0"/>
              <w:spacing w:line="360" w:lineRule="auto"/>
              <w:jc w:val="center"/>
              <w:rPr>
                <w:rFonts w:ascii="Times New Roman" w:hAnsi="Times New Roman" w:eastAsia="宋体" w:cs="Times New Roman"/>
                <w:color w:val="auto"/>
                <w:kern w:val="2"/>
                <w:sz w:val="20"/>
                <w:szCs w:val="20"/>
                <w:highlight w:val="none"/>
              </w:rPr>
            </w:pPr>
            <w:r>
              <w:rPr>
                <w:rFonts w:ascii="Times New Roman" w:hAnsi="Times New Roman" w:eastAsia="宋体" w:cs="Times New Roman"/>
                <w:color w:val="auto"/>
                <w:kern w:val="2"/>
                <w:sz w:val="20"/>
                <w:szCs w:val="20"/>
                <w:highlight w:val="none"/>
              </w:rPr>
              <w:t>设备名称</w:t>
            </w:r>
          </w:p>
        </w:tc>
        <w:tc>
          <w:tcPr>
            <w:tcW w:w="871" w:type="dxa"/>
            <w:noWrap w:val="0"/>
            <w:vAlign w:val="center"/>
          </w:tcPr>
          <w:p w14:paraId="094E0821">
            <w:pPr>
              <w:widowControl w:val="0"/>
              <w:spacing w:line="360" w:lineRule="auto"/>
              <w:jc w:val="center"/>
              <w:rPr>
                <w:rFonts w:ascii="Times New Roman" w:hAnsi="Times New Roman" w:eastAsia="宋体" w:cs="Times New Roman"/>
                <w:color w:val="auto"/>
                <w:kern w:val="2"/>
                <w:sz w:val="20"/>
                <w:szCs w:val="20"/>
                <w:highlight w:val="none"/>
              </w:rPr>
            </w:pPr>
            <w:r>
              <w:rPr>
                <w:rFonts w:ascii="Times New Roman" w:hAnsi="Times New Roman" w:eastAsia="宋体" w:cs="Times New Roman"/>
                <w:color w:val="auto"/>
                <w:kern w:val="2"/>
                <w:sz w:val="20"/>
                <w:szCs w:val="20"/>
                <w:highlight w:val="none"/>
              </w:rPr>
              <w:t>品牌</w:t>
            </w:r>
          </w:p>
        </w:tc>
        <w:tc>
          <w:tcPr>
            <w:tcW w:w="1215" w:type="dxa"/>
            <w:noWrap w:val="0"/>
            <w:vAlign w:val="center"/>
          </w:tcPr>
          <w:p w14:paraId="03DC5295">
            <w:pPr>
              <w:widowControl w:val="0"/>
              <w:spacing w:line="360" w:lineRule="auto"/>
              <w:jc w:val="center"/>
              <w:rPr>
                <w:rFonts w:ascii="Times New Roman" w:hAnsi="Times New Roman" w:eastAsia="宋体" w:cs="Times New Roman"/>
                <w:color w:val="auto"/>
                <w:kern w:val="2"/>
                <w:sz w:val="20"/>
                <w:szCs w:val="20"/>
                <w:highlight w:val="none"/>
              </w:rPr>
            </w:pPr>
            <w:r>
              <w:rPr>
                <w:rFonts w:ascii="Times New Roman" w:hAnsi="Times New Roman" w:eastAsia="宋体" w:cs="Times New Roman"/>
                <w:color w:val="auto"/>
                <w:kern w:val="2"/>
                <w:sz w:val="20"/>
                <w:szCs w:val="20"/>
                <w:highlight w:val="none"/>
              </w:rPr>
              <w:t>型号</w:t>
            </w:r>
          </w:p>
        </w:tc>
        <w:tc>
          <w:tcPr>
            <w:tcW w:w="1320" w:type="dxa"/>
            <w:noWrap w:val="0"/>
            <w:vAlign w:val="center"/>
          </w:tcPr>
          <w:p w14:paraId="3CA4DCC6">
            <w:pPr>
              <w:widowControl w:val="0"/>
              <w:spacing w:line="360" w:lineRule="auto"/>
              <w:jc w:val="center"/>
              <w:rPr>
                <w:rFonts w:ascii="Times New Roman" w:hAnsi="Times New Roman" w:eastAsia="宋体" w:cs="Times New Roman"/>
                <w:color w:val="auto"/>
                <w:kern w:val="0"/>
                <w:sz w:val="20"/>
                <w:szCs w:val="20"/>
                <w:highlight w:val="none"/>
              </w:rPr>
            </w:pPr>
            <w:r>
              <w:rPr>
                <w:rFonts w:ascii="Times New Roman" w:hAnsi="Times New Roman" w:eastAsia="宋体" w:cs="Times New Roman"/>
                <w:color w:val="auto"/>
                <w:kern w:val="0"/>
                <w:sz w:val="20"/>
                <w:szCs w:val="20"/>
                <w:highlight w:val="none"/>
              </w:rPr>
              <w:t>注册证号</w:t>
            </w:r>
          </w:p>
        </w:tc>
        <w:tc>
          <w:tcPr>
            <w:tcW w:w="750" w:type="dxa"/>
            <w:noWrap w:val="0"/>
            <w:vAlign w:val="center"/>
          </w:tcPr>
          <w:p w14:paraId="2AC8A46C">
            <w:pPr>
              <w:widowControl w:val="0"/>
              <w:spacing w:line="360" w:lineRule="auto"/>
              <w:jc w:val="center"/>
              <w:rPr>
                <w:rFonts w:ascii="Times New Roman" w:hAnsi="Times New Roman" w:eastAsia="宋体" w:cs="Times New Roman"/>
                <w:color w:val="auto"/>
                <w:kern w:val="0"/>
                <w:sz w:val="20"/>
                <w:szCs w:val="20"/>
                <w:highlight w:val="none"/>
              </w:rPr>
            </w:pPr>
            <w:r>
              <w:rPr>
                <w:rFonts w:ascii="Times New Roman" w:hAnsi="Times New Roman" w:eastAsia="宋体" w:cs="Times New Roman"/>
                <w:color w:val="auto"/>
                <w:kern w:val="0"/>
                <w:sz w:val="20"/>
                <w:szCs w:val="20"/>
                <w:highlight w:val="none"/>
              </w:rPr>
              <w:t>产地</w:t>
            </w:r>
          </w:p>
        </w:tc>
        <w:tc>
          <w:tcPr>
            <w:tcW w:w="660" w:type="dxa"/>
            <w:noWrap w:val="0"/>
            <w:vAlign w:val="center"/>
          </w:tcPr>
          <w:p w14:paraId="5DB2D6BE">
            <w:pPr>
              <w:widowControl w:val="0"/>
              <w:spacing w:line="360" w:lineRule="auto"/>
              <w:jc w:val="center"/>
              <w:rPr>
                <w:rFonts w:ascii="Times New Roman" w:hAnsi="Times New Roman" w:eastAsia="宋体" w:cs="Times New Roman"/>
                <w:color w:val="auto"/>
                <w:kern w:val="2"/>
                <w:sz w:val="20"/>
                <w:szCs w:val="20"/>
                <w:highlight w:val="none"/>
              </w:rPr>
            </w:pPr>
            <w:r>
              <w:rPr>
                <w:rFonts w:ascii="Times New Roman" w:hAnsi="Times New Roman" w:eastAsia="宋体" w:cs="Times New Roman"/>
                <w:color w:val="auto"/>
                <w:kern w:val="2"/>
                <w:sz w:val="20"/>
                <w:szCs w:val="20"/>
                <w:highlight w:val="none"/>
              </w:rPr>
              <w:t>单位</w:t>
            </w:r>
          </w:p>
        </w:tc>
        <w:tc>
          <w:tcPr>
            <w:tcW w:w="705" w:type="dxa"/>
            <w:noWrap w:val="0"/>
            <w:vAlign w:val="center"/>
          </w:tcPr>
          <w:p w14:paraId="34196EEF">
            <w:pPr>
              <w:widowControl w:val="0"/>
              <w:spacing w:line="360" w:lineRule="auto"/>
              <w:jc w:val="center"/>
              <w:rPr>
                <w:rFonts w:ascii="Times New Roman" w:hAnsi="Times New Roman" w:eastAsia="宋体" w:cs="Times New Roman"/>
                <w:color w:val="auto"/>
                <w:kern w:val="2"/>
                <w:sz w:val="20"/>
                <w:szCs w:val="20"/>
                <w:highlight w:val="none"/>
              </w:rPr>
            </w:pPr>
            <w:r>
              <w:rPr>
                <w:rFonts w:ascii="Times New Roman" w:hAnsi="Times New Roman" w:eastAsia="宋体" w:cs="Times New Roman"/>
                <w:color w:val="auto"/>
                <w:spacing w:val="20"/>
                <w:kern w:val="0"/>
                <w:sz w:val="20"/>
                <w:szCs w:val="20"/>
                <w:highlight w:val="none"/>
                <w:fitText w:val="420" w:id="196425555"/>
              </w:rPr>
              <w:t>数</w:t>
            </w:r>
            <w:r>
              <w:rPr>
                <w:rFonts w:ascii="Times New Roman" w:hAnsi="Times New Roman" w:eastAsia="宋体" w:cs="Times New Roman"/>
                <w:color w:val="auto"/>
                <w:spacing w:val="0"/>
                <w:kern w:val="0"/>
                <w:sz w:val="20"/>
                <w:szCs w:val="20"/>
                <w:highlight w:val="none"/>
                <w:fitText w:val="420" w:id="196425555"/>
              </w:rPr>
              <w:t>量</w:t>
            </w:r>
          </w:p>
        </w:tc>
        <w:tc>
          <w:tcPr>
            <w:tcW w:w="1200" w:type="dxa"/>
            <w:noWrap w:val="0"/>
            <w:vAlign w:val="center"/>
          </w:tcPr>
          <w:p w14:paraId="07949661">
            <w:pPr>
              <w:widowControl w:val="0"/>
              <w:spacing w:line="360" w:lineRule="auto"/>
              <w:jc w:val="center"/>
              <w:rPr>
                <w:rFonts w:ascii="Times New Roman" w:hAnsi="Times New Roman" w:eastAsia="宋体" w:cs="Times New Roman"/>
                <w:color w:val="auto"/>
                <w:kern w:val="2"/>
                <w:sz w:val="20"/>
                <w:szCs w:val="20"/>
                <w:highlight w:val="none"/>
              </w:rPr>
            </w:pPr>
            <w:r>
              <w:rPr>
                <w:rFonts w:ascii="Times New Roman" w:hAnsi="Times New Roman" w:eastAsia="宋体" w:cs="Times New Roman"/>
                <w:color w:val="auto"/>
                <w:kern w:val="2"/>
                <w:sz w:val="20"/>
                <w:szCs w:val="20"/>
                <w:highlight w:val="none"/>
              </w:rPr>
              <w:t>单价（元）</w:t>
            </w:r>
          </w:p>
        </w:tc>
        <w:tc>
          <w:tcPr>
            <w:tcW w:w="1194" w:type="dxa"/>
            <w:noWrap w:val="0"/>
            <w:vAlign w:val="center"/>
          </w:tcPr>
          <w:p w14:paraId="70BD3375">
            <w:pPr>
              <w:widowControl w:val="0"/>
              <w:spacing w:line="360" w:lineRule="auto"/>
              <w:jc w:val="center"/>
              <w:rPr>
                <w:rFonts w:ascii="Times New Roman" w:hAnsi="Times New Roman" w:eastAsia="宋体" w:cs="Times New Roman"/>
                <w:color w:val="auto"/>
                <w:kern w:val="2"/>
                <w:sz w:val="20"/>
                <w:szCs w:val="20"/>
                <w:highlight w:val="none"/>
              </w:rPr>
            </w:pPr>
            <w:r>
              <w:rPr>
                <w:rFonts w:ascii="Times New Roman" w:hAnsi="Times New Roman" w:eastAsia="宋体" w:cs="Times New Roman"/>
                <w:color w:val="auto"/>
                <w:kern w:val="2"/>
                <w:sz w:val="20"/>
                <w:szCs w:val="20"/>
                <w:highlight w:val="none"/>
              </w:rPr>
              <w:t>合计（元）</w:t>
            </w:r>
          </w:p>
        </w:tc>
        <w:tc>
          <w:tcPr>
            <w:tcW w:w="1228" w:type="dxa"/>
            <w:noWrap w:val="0"/>
            <w:vAlign w:val="center"/>
          </w:tcPr>
          <w:p w14:paraId="3B33F74C">
            <w:pPr>
              <w:widowControl w:val="0"/>
              <w:spacing w:line="360" w:lineRule="auto"/>
              <w:jc w:val="center"/>
              <w:rPr>
                <w:rFonts w:ascii="Times New Roman" w:hAnsi="Times New Roman" w:eastAsia="宋体" w:cs="Times New Roman"/>
                <w:color w:val="auto"/>
                <w:kern w:val="2"/>
                <w:sz w:val="20"/>
                <w:szCs w:val="20"/>
                <w:highlight w:val="none"/>
              </w:rPr>
            </w:pPr>
            <w:r>
              <w:rPr>
                <w:rFonts w:ascii="Times New Roman" w:hAnsi="Times New Roman" w:eastAsia="宋体" w:cs="Times New Roman"/>
                <w:color w:val="auto"/>
                <w:kern w:val="2"/>
                <w:sz w:val="20"/>
                <w:szCs w:val="20"/>
                <w:highlight w:val="none"/>
              </w:rPr>
              <w:t>备注</w:t>
            </w:r>
          </w:p>
        </w:tc>
      </w:tr>
      <w:tr w14:paraId="691F7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538" w:type="dxa"/>
            <w:noWrap w:val="0"/>
            <w:vAlign w:val="center"/>
          </w:tcPr>
          <w:p w14:paraId="5D817E5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kern w:val="2"/>
                <w:sz w:val="20"/>
                <w:szCs w:val="20"/>
                <w:highlight w:val="none"/>
                <w:lang w:eastAsia="zh-CN"/>
              </w:rPr>
            </w:pPr>
          </w:p>
        </w:tc>
        <w:tc>
          <w:tcPr>
            <w:tcW w:w="871" w:type="dxa"/>
            <w:noWrap w:val="0"/>
            <w:vAlign w:val="center"/>
          </w:tcPr>
          <w:p w14:paraId="20F4D93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kern w:val="2"/>
                <w:sz w:val="20"/>
                <w:szCs w:val="20"/>
                <w:highlight w:val="none"/>
                <w:lang w:eastAsia="zh-CN"/>
              </w:rPr>
            </w:pPr>
          </w:p>
        </w:tc>
        <w:tc>
          <w:tcPr>
            <w:tcW w:w="1215" w:type="dxa"/>
            <w:noWrap w:val="0"/>
            <w:vAlign w:val="center"/>
          </w:tcPr>
          <w:p w14:paraId="688966E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kern w:val="2"/>
                <w:sz w:val="20"/>
                <w:szCs w:val="20"/>
                <w:highlight w:val="none"/>
                <w:lang w:eastAsia="zh-CN"/>
              </w:rPr>
            </w:pPr>
          </w:p>
        </w:tc>
        <w:tc>
          <w:tcPr>
            <w:tcW w:w="1320" w:type="dxa"/>
            <w:noWrap w:val="0"/>
            <w:vAlign w:val="center"/>
          </w:tcPr>
          <w:p w14:paraId="3B4676F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2"/>
                <w:sz w:val="20"/>
                <w:szCs w:val="20"/>
                <w:highlight w:val="none"/>
                <w:lang w:val="en-US" w:eastAsia="zh-CN"/>
              </w:rPr>
            </w:pPr>
          </w:p>
        </w:tc>
        <w:tc>
          <w:tcPr>
            <w:tcW w:w="750" w:type="dxa"/>
            <w:noWrap w:val="0"/>
            <w:vAlign w:val="center"/>
          </w:tcPr>
          <w:p w14:paraId="32176CA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kern w:val="2"/>
                <w:sz w:val="20"/>
                <w:szCs w:val="20"/>
                <w:highlight w:val="none"/>
                <w:lang w:eastAsia="zh-CN"/>
              </w:rPr>
            </w:pPr>
          </w:p>
        </w:tc>
        <w:tc>
          <w:tcPr>
            <w:tcW w:w="660" w:type="dxa"/>
            <w:noWrap w:val="0"/>
            <w:vAlign w:val="center"/>
          </w:tcPr>
          <w:p w14:paraId="73B083D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kern w:val="2"/>
                <w:sz w:val="20"/>
                <w:szCs w:val="20"/>
                <w:highlight w:val="none"/>
                <w:lang w:eastAsia="zh-CN"/>
              </w:rPr>
            </w:pPr>
          </w:p>
        </w:tc>
        <w:tc>
          <w:tcPr>
            <w:tcW w:w="705" w:type="dxa"/>
            <w:noWrap w:val="0"/>
            <w:vAlign w:val="center"/>
          </w:tcPr>
          <w:p w14:paraId="23F10CA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kern w:val="2"/>
                <w:sz w:val="20"/>
                <w:szCs w:val="20"/>
                <w:highlight w:val="none"/>
                <w:lang w:val="en-US" w:eastAsia="zh-CN"/>
              </w:rPr>
            </w:pPr>
          </w:p>
        </w:tc>
        <w:tc>
          <w:tcPr>
            <w:tcW w:w="1200" w:type="dxa"/>
            <w:noWrap w:val="0"/>
            <w:vAlign w:val="center"/>
          </w:tcPr>
          <w:p w14:paraId="3D59390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2"/>
                <w:sz w:val="20"/>
                <w:szCs w:val="20"/>
                <w:highlight w:val="none"/>
                <w:lang w:val="en-US" w:eastAsia="zh-CN"/>
              </w:rPr>
            </w:pPr>
          </w:p>
        </w:tc>
        <w:tc>
          <w:tcPr>
            <w:tcW w:w="1194" w:type="dxa"/>
            <w:noWrap w:val="0"/>
            <w:vAlign w:val="center"/>
          </w:tcPr>
          <w:p w14:paraId="40A5B8D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2"/>
                <w:sz w:val="20"/>
                <w:szCs w:val="20"/>
                <w:highlight w:val="none"/>
                <w:lang w:val="en-US" w:eastAsia="zh-CN"/>
              </w:rPr>
            </w:pPr>
          </w:p>
        </w:tc>
        <w:tc>
          <w:tcPr>
            <w:tcW w:w="1228" w:type="dxa"/>
            <w:vMerge w:val="restart"/>
            <w:noWrap w:val="0"/>
            <w:vAlign w:val="center"/>
          </w:tcPr>
          <w:p w14:paraId="261A45C2">
            <w:pPr>
              <w:widowControl w:val="0"/>
              <w:spacing w:line="240" w:lineRule="auto"/>
              <w:jc w:val="center"/>
              <w:rPr>
                <w:rFonts w:ascii="Times New Roman" w:hAnsi="Times New Roman" w:eastAsia="宋体" w:cs="Times New Roman"/>
                <w:color w:val="auto"/>
                <w:kern w:val="2"/>
                <w:sz w:val="20"/>
                <w:szCs w:val="20"/>
                <w:highlight w:val="none"/>
              </w:rPr>
            </w:pPr>
          </w:p>
        </w:tc>
      </w:tr>
      <w:tr w14:paraId="788DE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354" w:type="dxa"/>
            <w:gridSpan w:val="6"/>
            <w:tcBorders>
              <w:right w:val="nil"/>
            </w:tcBorders>
            <w:noWrap w:val="0"/>
            <w:vAlign w:val="center"/>
          </w:tcPr>
          <w:p w14:paraId="5D0B681F">
            <w:pPr>
              <w:widowControl w:val="0"/>
              <w:spacing w:line="360" w:lineRule="auto"/>
              <w:jc w:val="both"/>
              <w:rPr>
                <w:rFonts w:hint="eastAsia" w:ascii="Times New Roman" w:hAnsi="Times New Roman" w:eastAsia="宋体" w:cs="Times New Roman"/>
                <w:color w:val="auto"/>
                <w:kern w:val="2"/>
                <w:sz w:val="20"/>
                <w:szCs w:val="20"/>
                <w:highlight w:val="none"/>
                <w:lang w:eastAsia="zh-CN"/>
              </w:rPr>
            </w:pPr>
            <w:r>
              <w:rPr>
                <w:rFonts w:ascii="Times New Roman" w:hAnsi="Times New Roman" w:eastAsia="宋体" w:cs="Times New Roman"/>
                <w:color w:val="auto"/>
                <w:kern w:val="2"/>
                <w:sz w:val="20"/>
                <w:szCs w:val="20"/>
                <w:highlight w:val="none"/>
              </w:rPr>
              <w:t>总金额（大写/人民</w:t>
            </w:r>
            <w:r>
              <w:rPr>
                <w:rFonts w:hint="eastAsia" w:ascii="Times New Roman" w:hAnsi="Times New Roman" w:eastAsia="宋体" w:cs="Times New Roman"/>
                <w:color w:val="auto"/>
                <w:kern w:val="2"/>
                <w:sz w:val="20"/>
                <w:szCs w:val="20"/>
                <w:highlight w:val="none"/>
              </w:rPr>
              <w:t>币</w:t>
            </w:r>
            <w:r>
              <w:rPr>
                <w:rFonts w:ascii="Times New Roman" w:hAnsi="Times New Roman" w:eastAsia="宋体" w:cs="Times New Roman"/>
                <w:color w:val="auto"/>
                <w:kern w:val="2"/>
                <w:sz w:val="20"/>
                <w:szCs w:val="20"/>
                <w:highlight w:val="none"/>
              </w:rPr>
              <w:t>）</w:t>
            </w:r>
            <w:r>
              <w:rPr>
                <w:rFonts w:hint="eastAsia" w:ascii="Times New Roman" w:hAnsi="Times New Roman" w:eastAsia="宋体" w:cs="Times New Roman"/>
                <w:color w:val="auto"/>
                <w:kern w:val="2"/>
                <w:sz w:val="20"/>
                <w:szCs w:val="20"/>
                <w:highlight w:val="none"/>
              </w:rPr>
              <w:t>：</w:t>
            </w:r>
            <w:r>
              <w:rPr>
                <w:rFonts w:hint="eastAsia" w:ascii="Times New Roman" w:hAnsi="Times New Roman" w:eastAsia="宋体" w:cs="Times New Roman"/>
                <w:color w:val="auto"/>
                <w:kern w:val="2"/>
                <w:sz w:val="20"/>
                <w:szCs w:val="20"/>
                <w:highlight w:val="none"/>
                <w:lang w:eastAsia="zh-CN"/>
              </w:rPr>
              <w:t>元整</w:t>
            </w:r>
          </w:p>
        </w:tc>
        <w:tc>
          <w:tcPr>
            <w:tcW w:w="3099" w:type="dxa"/>
            <w:gridSpan w:val="3"/>
            <w:tcBorders>
              <w:left w:val="nil"/>
            </w:tcBorders>
            <w:noWrap w:val="0"/>
            <w:vAlign w:val="center"/>
          </w:tcPr>
          <w:p w14:paraId="0D8D3931">
            <w:pPr>
              <w:widowControl w:val="0"/>
              <w:spacing w:line="360" w:lineRule="auto"/>
              <w:jc w:val="both"/>
              <w:rPr>
                <w:rFonts w:hint="default" w:ascii="Times New Roman" w:hAnsi="Times New Roman" w:eastAsia="宋体" w:cs="Times New Roman"/>
                <w:color w:val="auto"/>
                <w:kern w:val="2"/>
                <w:sz w:val="20"/>
                <w:szCs w:val="20"/>
                <w:highlight w:val="none"/>
                <w:lang w:val="en-US" w:eastAsia="zh-CN"/>
              </w:rPr>
            </w:pPr>
            <w:r>
              <w:rPr>
                <w:rFonts w:hint="eastAsia" w:ascii="Times New Roman" w:hAnsi="Times New Roman" w:eastAsia="宋体" w:cs="Times New Roman"/>
                <w:color w:val="auto"/>
                <w:kern w:val="2"/>
                <w:sz w:val="20"/>
                <w:szCs w:val="20"/>
                <w:highlight w:val="none"/>
              </w:rPr>
              <w:t>小写：</w:t>
            </w:r>
            <w:r>
              <w:rPr>
                <w:rFonts w:hint="default" w:ascii="Times New Roman" w:hAnsi="Times New Roman" w:eastAsia="宋体" w:cs="Times New Roman"/>
                <w:color w:val="auto"/>
                <w:kern w:val="2"/>
                <w:sz w:val="20"/>
                <w:szCs w:val="20"/>
                <w:highlight w:val="none"/>
              </w:rPr>
              <w:t>￥</w:t>
            </w:r>
          </w:p>
        </w:tc>
        <w:tc>
          <w:tcPr>
            <w:tcW w:w="1228" w:type="dxa"/>
            <w:vMerge w:val="continue"/>
            <w:noWrap w:val="0"/>
            <w:vAlign w:val="center"/>
          </w:tcPr>
          <w:p w14:paraId="27E0A7F9">
            <w:pPr>
              <w:widowControl w:val="0"/>
              <w:spacing w:line="360" w:lineRule="auto"/>
              <w:jc w:val="both"/>
              <w:rPr>
                <w:rFonts w:ascii="Times New Roman" w:hAnsi="Times New Roman" w:eastAsia="宋体" w:cs="Times New Roman"/>
                <w:color w:val="auto"/>
                <w:kern w:val="2"/>
                <w:sz w:val="20"/>
                <w:szCs w:val="20"/>
                <w:highlight w:val="none"/>
              </w:rPr>
            </w:pPr>
          </w:p>
        </w:tc>
      </w:tr>
    </w:tbl>
    <w:p w14:paraId="6995059E">
      <w:pPr>
        <w:widowControl w:val="0"/>
        <w:numPr>
          <w:ilvl w:val="0"/>
          <w:numId w:val="5"/>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上述价格含设备制造、包装、仓储、运输、</w:t>
      </w:r>
      <w:r>
        <w:rPr>
          <w:rFonts w:hint="eastAsia" w:ascii="Times New Roman" w:hAnsi="Times New Roman" w:eastAsia="宋体" w:cs="Times New Roman"/>
          <w:color w:val="auto"/>
          <w:kern w:val="2"/>
          <w:szCs w:val="21"/>
          <w:highlight w:val="none"/>
        </w:rPr>
        <w:t>退换货、</w:t>
      </w:r>
      <w:r>
        <w:rPr>
          <w:rFonts w:ascii="Times New Roman" w:hAnsi="Times New Roman" w:eastAsia="宋体" w:cs="Times New Roman"/>
          <w:color w:val="auto"/>
          <w:kern w:val="2"/>
          <w:szCs w:val="21"/>
          <w:highlight w:val="none"/>
        </w:rPr>
        <w:t>安装、调试以及</w:t>
      </w:r>
      <w:r>
        <w:rPr>
          <w:rFonts w:ascii="Times New Roman" w:hAnsi="Times New Roman" w:eastAsia="宋体" w:cs="Times New Roman"/>
          <w:color w:val="auto"/>
          <w:kern w:val="2"/>
          <w:highlight w:val="none"/>
        </w:rPr>
        <w:t>提供相应的培训，</w:t>
      </w:r>
      <w:r>
        <w:rPr>
          <w:rFonts w:ascii="Times New Roman" w:hAnsi="Times New Roman" w:eastAsia="宋体" w:cs="Times New Roman"/>
          <w:color w:val="auto"/>
          <w:kern w:val="2"/>
          <w:szCs w:val="21"/>
          <w:highlight w:val="none"/>
        </w:rPr>
        <w:t>验收合格之前和质保期内备品、备件发生的所有含税费用，以及包装拆除物的清理费用</w:t>
      </w:r>
      <w:r>
        <w:rPr>
          <w:rFonts w:hint="eastAsia" w:ascii="Times New Roman" w:hAnsi="Times New Roman" w:eastAsia="宋体" w:cs="Times New Roman"/>
          <w:color w:val="auto"/>
          <w:kern w:val="2"/>
          <w:szCs w:val="21"/>
          <w:highlight w:val="none"/>
          <w:lang w:eastAsia="zh-CN"/>
        </w:rPr>
        <w:t>。</w:t>
      </w:r>
    </w:p>
    <w:p w14:paraId="1F6B49AE">
      <w:pPr>
        <w:widowControl w:val="0"/>
        <w:numPr>
          <w:ilvl w:val="0"/>
          <w:numId w:val="5"/>
        </w:numPr>
        <w:spacing w:line="360" w:lineRule="auto"/>
        <w:ind w:firstLine="420" w:firstLineChars="200"/>
        <w:jc w:val="both"/>
        <w:rPr>
          <w:rFonts w:ascii="Times New Roman" w:hAnsi="Times New Roman" w:eastAsia="宋体" w:cs="Times New Roman"/>
          <w:color w:val="auto"/>
          <w:kern w:val="2"/>
          <w:highlight w:val="none"/>
        </w:rPr>
      </w:pPr>
      <w:r>
        <w:rPr>
          <w:rFonts w:ascii="Times New Roman" w:hAnsi="Times New Roman" w:eastAsia="宋体" w:cs="Times New Roman"/>
          <w:color w:val="auto"/>
          <w:kern w:val="2"/>
          <w:highlight w:val="none"/>
        </w:rPr>
        <w:t>质保期内的维护、保养（含设备所有部件）与技术支持等事项而发生的一切费用，均已包含在合同总价中，由乙方自行承担。</w:t>
      </w:r>
    </w:p>
    <w:p w14:paraId="688A7FB6">
      <w:pPr>
        <w:widowControl w:val="0"/>
        <w:numPr>
          <w:ilvl w:val="0"/>
          <w:numId w:val="5"/>
        </w:numPr>
        <w:spacing w:line="360" w:lineRule="auto"/>
        <w:ind w:firstLine="420" w:firstLineChars="200"/>
        <w:jc w:val="both"/>
        <w:rPr>
          <w:rFonts w:ascii="Times New Roman" w:hAnsi="Times New Roman" w:eastAsia="宋体" w:cs="Times New Roman"/>
          <w:color w:val="auto"/>
          <w:kern w:val="2"/>
          <w:highlight w:val="none"/>
        </w:rPr>
      </w:pPr>
      <w:r>
        <w:rPr>
          <w:rFonts w:ascii="Times New Roman" w:hAnsi="Times New Roman" w:eastAsia="宋体" w:cs="Times New Roman"/>
          <w:color w:val="auto"/>
          <w:kern w:val="2"/>
          <w:highlight w:val="none"/>
        </w:rPr>
        <w:t>乙方</w:t>
      </w:r>
      <w:r>
        <w:rPr>
          <w:rFonts w:hint="eastAsia" w:ascii="Times New Roman" w:hAnsi="Times New Roman" w:eastAsia="宋体" w:cs="Times New Roman"/>
          <w:color w:val="auto"/>
          <w:kern w:val="2"/>
          <w:highlight w:val="none"/>
        </w:rPr>
        <w:t>未</w:t>
      </w:r>
      <w:r>
        <w:rPr>
          <w:rFonts w:ascii="Times New Roman" w:hAnsi="Times New Roman" w:eastAsia="宋体" w:cs="Times New Roman"/>
          <w:color w:val="auto"/>
          <w:kern w:val="2"/>
          <w:highlight w:val="none"/>
        </w:rPr>
        <w:t>按本合同约定提交设备所产生的任何费用由乙方负责，甲方对由此所引起的任何价格变动不予</w:t>
      </w:r>
      <w:r>
        <w:rPr>
          <w:rFonts w:hint="eastAsia" w:ascii="Times New Roman" w:hAnsi="Times New Roman" w:eastAsia="宋体" w:cs="Times New Roman"/>
          <w:color w:val="auto"/>
          <w:kern w:val="2"/>
          <w:highlight w:val="none"/>
        </w:rPr>
        <w:t>承</w:t>
      </w:r>
      <w:r>
        <w:rPr>
          <w:rFonts w:ascii="Times New Roman" w:hAnsi="Times New Roman" w:eastAsia="宋体" w:cs="Times New Roman"/>
          <w:color w:val="auto"/>
          <w:kern w:val="2"/>
          <w:highlight w:val="none"/>
        </w:rPr>
        <w:t>认。</w:t>
      </w:r>
    </w:p>
    <w:p w14:paraId="75E8C9E6">
      <w:pPr>
        <w:widowControl w:val="0"/>
        <w:spacing w:before="312" w:beforeLines="100" w:after="156" w:afterLines="50" w:line="240" w:lineRule="auto"/>
        <w:ind w:firstLine="482" w:firstLineChars="200"/>
        <w:jc w:val="both"/>
        <w:rPr>
          <w:rFonts w:ascii="Times New Roman" w:hAnsi="Times New Roman" w:eastAsia="宋体" w:cs="Times New Roman"/>
          <w:b/>
          <w:bCs/>
          <w:color w:val="auto"/>
          <w:kern w:val="2"/>
          <w:sz w:val="24"/>
          <w:szCs w:val="24"/>
          <w:highlight w:val="none"/>
        </w:rPr>
      </w:pPr>
      <w:r>
        <w:rPr>
          <w:rFonts w:ascii="Times New Roman" w:hAnsi="Times New Roman" w:eastAsia="宋体" w:cs="Times New Roman"/>
          <w:b/>
          <w:bCs/>
          <w:color w:val="auto"/>
          <w:kern w:val="2"/>
          <w:sz w:val="24"/>
          <w:szCs w:val="24"/>
          <w:highlight w:val="none"/>
        </w:rPr>
        <w:t>第二条  付款条件与方式</w:t>
      </w:r>
    </w:p>
    <w:p w14:paraId="6EA10981">
      <w:pPr>
        <w:widowControl w:val="0"/>
        <w:numPr>
          <w:ilvl w:val="0"/>
          <w:numId w:val="6"/>
        </w:numPr>
        <w:spacing w:line="360" w:lineRule="auto"/>
        <w:ind w:firstLine="420" w:firstLineChars="200"/>
        <w:jc w:val="both"/>
        <w:rPr>
          <w:rFonts w:ascii="Times New Roman" w:hAnsi="Times New Roman" w:eastAsia="宋体" w:cs="Times New Roman"/>
          <w:color w:val="auto"/>
          <w:kern w:val="2"/>
          <w:highlight w:val="none"/>
        </w:rPr>
      </w:pPr>
      <w:r>
        <w:rPr>
          <w:rFonts w:ascii="Times New Roman" w:hAnsi="Times New Roman" w:eastAsia="宋体" w:cs="Times New Roman"/>
          <w:bCs/>
          <w:color w:val="auto"/>
          <w:kern w:val="2"/>
          <w:szCs w:val="21"/>
          <w:highlight w:val="none"/>
        </w:rPr>
        <w:t>设备验收合格且正常运行</w:t>
      </w:r>
      <w:r>
        <w:rPr>
          <w:rFonts w:hint="eastAsia" w:ascii="Times New Roman" w:hAnsi="Times New Roman" w:eastAsia="宋体" w:cs="Times New Roman"/>
          <w:bCs/>
          <w:color w:val="auto"/>
          <w:kern w:val="2"/>
          <w:szCs w:val="21"/>
          <w:highlight w:val="none"/>
        </w:rPr>
        <w:t>后</w:t>
      </w:r>
      <w:r>
        <w:rPr>
          <w:rFonts w:ascii="Times New Roman" w:hAnsi="Times New Roman" w:eastAsia="宋体" w:cs="Times New Roman"/>
          <w:bCs/>
          <w:color w:val="auto"/>
          <w:kern w:val="2"/>
          <w:szCs w:val="21"/>
          <w:highlight w:val="none"/>
        </w:rPr>
        <w:t>，甲方收到发票后</w:t>
      </w:r>
      <w:r>
        <w:rPr>
          <w:rFonts w:hint="eastAsia" w:ascii="Times New Roman" w:hAnsi="Times New Roman" w:eastAsia="宋体" w:cs="Times New Roman"/>
          <w:bCs/>
          <w:color w:val="auto"/>
          <w:kern w:val="2"/>
          <w:szCs w:val="21"/>
          <w:highlight w:val="none"/>
          <w:lang w:eastAsia="zh-CN"/>
        </w:rPr>
        <w:t>按照医院规定进入付款流程，合同总额</w:t>
      </w:r>
      <w:r>
        <w:rPr>
          <w:rFonts w:hint="eastAsia" w:ascii="Times New Roman" w:hAnsi="Times New Roman" w:eastAsia="宋体" w:cs="Times New Roman"/>
          <w:bCs/>
          <w:color w:val="auto"/>
          <w:kern w:val="2"/>
          <w:szCs w:val="21"/>
          <w:highlight w:val="none"/>
          <w:lang w:val="en-US" w:eastAsia="zh-CN"/>
        </w:rPr>
        <w:t>1万元以上</w:t>
      </w:r>
      <w:r>
        <w:rPr>
          <w:rFonts w:hint="eastAsia" w:ascii="Times New Roman" w:hAnsi="Times New Roman" w:eastAsia="宋体" w:cs="Times New Roman"/>
          <w:bCs/>
          <w:color w:val="auto"/>
          <w:kern w:val="2"/>
          <w:szCs w:val="21"/>
          <w:highlight w:val="none"/>
          <w:lang w:eastAsia="zh-CN"/>
        </w:rPr>
        <w:t>首次</w:t>
      </w:r>
      <w:r>
        <w:rPr>
          <w:rFonts w:ascii="Times New Roman" w:hAnsi="Times New Roman" w:eastAsia="宋体" w:cs="Times New Roman"/>
          <w:bCs/>
          <w:color w:val="auto"/>
          <w:kern w:val="2"/>
          <w:szCs w:val="21"/>
          <w:highlight w:val="none"/>
        </w:rPr>
        <w:t>支付合同总额的90%货款，正常使用一年无息付清</w:t>
      </w:r>
      <w:r>
        <w:rPr>
          <w:rFonts w:hint="eastAsia" w:ascii="Times New Roman" w:hAnsi="Times New Roman" w:eastAsia="宋体" w:cs="Times New Roman"/>
          <w:bCs/>
          <w:color w:val="auto"/>
          <w:kern w:val="2"/>
          <w:szCs w:val="21"/>
          <w:highlight w:val="none"/>
          <w:lang w:eastAsia="zh-CN"/>
        </w:rPr>
        <w:t>尾</w:t>
      </w:r>
      <w:r>
        <w:rPr>
          <w:rFonts w:ascii="Times New Roman" w:hAnsi="Times New Roman" w:eastAsia="宋体" w:cs="Times New Roman"/>
          <w:bCs/>
          <w:color w:val="auto"/>
          <w:kern w:val="2"/>
          <w:szCs w:val="21"/>
          <w:highlight w:val="none"/>
        </w:rPr>
        <w:t>款，尾款支付按照尾款支付申请表执行。</w:t>
      </w:r>
      <w:r>
        <w:rPr>
          <w:rFonts w:hint="eastAsia" w:ascii="Times New Roman" w:hAnsi="Times New Roman" w:eastAsia="宋体" w:cs="Times New Roman"/>
          <w:bCs/>
          <w:color w:val="auto"/>
          <w:kern w:val="2"/>
          <w:szCs w:val="21"/>
          <w:highlight w:val="none"/>
          <w:lang w:eastAsia="zh-CN"/>
        </w:rPr>
        <w:t>合同总额</w:t>
      </w:r>
      <w:r>
        <w:rPr>
          <w:rFonts w:hint="eastAsia" w:ascii="Times New Roman" w:hAnsi="Times New Roman" w:eastAsia="宋体" w:cs="Times New Roman"/>
          <w:bCs/>
          <w:color w:val="auto"/>
          <w:kern w:val="2"/>
          <w:szCs w:val="21"/>
          <w:highlight w:val="none"/>
          <w:lang w:val="en-US" w:eastAsia="zh-CN"/>
        </w:rPr>
        <w:t>1万元以下及1500元以上</w:t>
      </w:r>
      <w:r>
        <w:rPr>
          <w:rFonts w:ascii="Times New Roman" w:hAnsi="Times New Roman" w:eastAsia="宋体" w:cs="Times New Roman"/>
          <w:bCs/>
          <w:color w:val="auto"/>
          <w:kern w:val="2"/>
          <w:szCs w:val="21"/>
          <w:highlight w:val="none"/>
        </w:rPr>
        <w:t>支付合同总额的</w:t>
      </w:r>
      <w:r>
        <w:rPr>
          <w:rFonts w:hint="eastAsia" w:ascii="Times New Roman" w:hAnsi="Times New Roman" w:eastAsia="宋体" w:cs="Times New Roman"/>
          <w:bCs/>
          <w:color w:val="auto"/>
          <w:kern w:val="2"/>
          <w:szCs w:val="21"/>
          <w:highlight w:val="none"/>
          <w:lang w:val="en-US" w:eastAsia="zh-CN"/>
        </w:rPr>
        <w:t>10</w:t>
      </w:r>
      <w:r>
        <w:rPr>
          <w:rFonts w:ascii="Times New Roman" w:hAnsi="Times New Roman" w:eastAsia="宋体" w:cs="Times New Roman"/>
          <w:bCs/>
          <w:color w:val="auto"/>
          <w:kern w:val="2"/>
          <w:szCs w:val="21"/>
          <w:highlight w:val="none"/>
        </w:rPr>
        <w:t>0%货款</w:t>
      </w:r>
      <w:r>
        <w:rPr>
          <w:rFonts w:hint="eastAsia" w:ascii="Times New Roman" w:hAnsi="Times New Roman" w:eastAsia="宋体" w:cs="Times New Roman"/>
          <w:bCs/>
          <w:color w:val="auto"/>
          <w:kern w:val="2"/>
          <w:szCs w:val="21"/>
          <w:highlight w:val="none"/>
          <w:lang w:eastAsia="zh-CN"/>
        </w:rPr>
        <w:t>。</w:t>
      </w:r>
    </w:p>
    <w:p w14:paraId="48FDF21F">
      <w:pPr>
        <w:widowControl w:val="0"/>
        <w:numPr>
          <w:ilvl w:val="0"/>
          <w:numId w:val="6"/>
        </w:numPr>
        <w:spacing w:line="360" w:lineRule="auto"/>
        <w:ind w:firstLine="420" w:firstLineChars="200"/>
        <w:jc w:val="both"/>
        <w:rPr>
          <w:rFonts w:ascii="Times New Roman" w:hAnsi="Times New Roman" w:eastAsia="宋体" w:cs="Times New Roman"/>
          <w:color w:val="auto"/>
          <w:kern w:val="2"/>
          <w:highlight w:val="none"/>
        </w:rPr>
      </w:pPr>
      <w:r>
        <w:rPr>
          <w:rFonts w:ascii="Times New Roman" w:hAnsi="Times New Roman" w:eastAsia="宋体" w:cs="Times New Roman"/>
          <w:color w:val="auto"/>
          <w:kern w:val="2"/>
          <w:highlight w:val="none"/>
        </w:rPr>
        <w:t>在达到本合同约定的付款条件后，乙方应向甲方出具正式合法的全额增值税发票，在乙方向甲方提出付款申请并提供发票之前，甲方有权拒绝付款。因乙方原因致使甲方未能及时付款所产生的责任由乙方负责，甲方不承担违约责任。</w:t>
      </w:r>
    </w:p>
    <w:p w14:paraId="4E3B9419">
      <w:pPr>
        <w:widowControl w:val="0"/>
        <w:numPr>
          <w:ilvl w:val="0"/>
          <w:numId w:val="6"/>
        </w:numPr>
        <w:spacing w:line="360" w:lineRule="auto"/>
        <w:ind w:firstLine="420" w:firstLineChars="200"/>
        <w:jc w:val="both"/>
        <w:rPr>
          <w:rFonts w:ascii="Times New Roman" w:hAnsi="Times New Roman" w:eastAsia="宋体" w:cs="Times New Roman"/>
          <w:color w:val="auto"/>
          <w:kern w:val="2"/>
          <w:highlight w:val="none"/>
        </w:rPr>
      </w:pPr>
      <w:r>
        <w:rPr>
          <w:rFonts w:ascii="Times New Roman" w:hAnsi="Times New Roman" w:eastAsia="宋体" w:cs="Times New Roman"/>
          <w:color w:val="auto"/>
          <w:kern w:val="2"/>
          <w:highlight w:val="none"/>
        </w:rPr>
        <w:t>涉及试剂类设备除试剂外不产生其他任何费用。</w:t>
      </w:r>
    </w:p>
    <w:p w14:paraId="72267D93">
      <w:pPr>
        <w:widowControl w:val="0"/>
        <w:spacing w:before="312" w:beforeLines="100" w:after="156" w:afterLines="50" w:line="240" w:lineRule="auto"/>
        <w:ind w:firstLine="482" w:firstLineChars="200"/>
        <w:jc w:val="both"/>
        <w:rPr>
          <w:rFonts w:ascii="Times New Roman" w:hAnsi="Times New Roman" w:eastAsia="宋体" w:cs="Times New Roman"/>
          <w:b/>
          <w:bCs/>
          <w:color w:val="auto"/>
          <w:kern w:val="2"/>
          <w:sz w:val="24"/>
          <w:szCs w:val="24"/>
          <w:highlight w:val="none"/>
        </w:rPr>
      </w:pPr>
      <w:r>
        <w:rPr>
          <w:rFonts w:ascii="Times New Roman" w:hAnsi="Times New Roman" w:eastAsia="宋体" w:cs="Times New Roman"/>
          <w:b/>
          <w:bCs/>
          <w:color w:val="auto"/>
          <w:kern w:val="2"/>
          <w:sz w:val="24"/>
          <w:szCs w:val="24"/>
          <w:highlight w:val="none"/>
        </w:rPr>
        <w:t>第三条  供货方式及时间</w:t>
      </w:r>
    </w:p>
    <w:p w14:paraId="5AD1BD76">
      <w:pPr>
        <w:widowControl w:val="0"/>
        <w:numPr>
          <w:ilvl w:val="0"/>
          <w:numId w:val="7"/>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本次采购采用乙方送货的供货方式，免费安装、调试完毕方视为交付甲方，在交付甲方之前所供货物毁损、灭失的责任均由乙方承担。</w:t>
      </w:r>
    </w:p>
    <w:p w14:paraId="1DFDE7CB">
      <w:pPr>
        <w:widowControl w:val="0"/>
        <w:numPr>
          <w:ilvl w:val="0"/>
          <w:numId w:val="7"/>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预计到货时间：合同签订后</w:t>
      </w:r>
      <w:r>
        <w:rPr>
          <w:rFonts w:ascii="Times New Roman" w:hAnsi="Times New Roman" w:eastAsia="宋体" w:cs="Times New Roman"/>
          <w:color w:val="auto"/>
          <w:kern w:val="2"/>
          <w:szCs w:val="21"/>
          <w:highlight w:val="none"/>
          <w:u w:val="single"/>
        </w:rPr>
        <w:t xml:space="preserve">    </w:t>
      </w:r>
      <w:r>
        <w:rPr>
          <w:rFonts w:ascii="Times New Roman" w:hAnsi="Times New Roman" w:eastAsia="宋体" w:cs="Times New Roman"/>
          <w:color w:val="auto"/>
          <w:kern w:val="2"/>
          <w:szCs w:val="21"/>
          <w:highlight w:val="none"/>
        </w:rPr>
        <w:t>天。交货地点：甲方指定地点。</w:t>
      </w:r>
    </w:p>
    <w:p w14:paraId="0BB049D1">
      <w:pPr>
        <w:widowControl w:val="0"/>
        <w:numPr>
          <w:ilvl w:val="0"/>
          <w:numId w:val="7"/>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乙方应采取适当的、符合运输方式的包装、固定方式，因包装、固定不当对所供设备造成损毁</w:t>
      </w:r>
      <w:r>
        <w:rPr>
          <w:rFonts w:hint="eastAsia" w:ascii="Times New Roman" w:hAnsi="Times New Roman" w:eastAsia="宋体" w:cs="Times New Roman"/>
          <w:color w:val="auto"/>
          <w:kern w:val="2"/>
          <w:szCs w:val="21"/>
          <w:highlight w:val="none"/>
        </w:rPr>
        <w:t>责任由乙方承担，乙方的</w:t>
      </w:r>
      <w:r>
        <w:rPr>
          <w:rFonts w:hint="eastAsia" w:ascii="Times New Roman" w:hAnsi="Times New Roman" w:eastAsia="宋体" w:cs="Times New Roman"/>
          <w:color w:val="auto"/>
          <w:kern w:val="2"/>
          <w:szCs w:val="21"/>
          <w:highlight w:val="none"/>
          <w:lang w:eastAsia="zh-CN"/>
        </w:rPr>
        <w:t>安装</w:t>
      </w:r>
      <w:r>
        <w:rPr>
          <w:rFonts w:hint="eastAsia" w:ascii="Times New Roman" w:hAnsi="Times New Roman" w:eastAsia="宋体" w:cs="Times New Roman"/>
          <w:color w:val="auto"/>
          <w:kern w:val="2"/>
          <w:szCs w:val="21"/>
          <w:highlight w:val="none"/>
        </w:rPr>
        <w:t>、调试等行为不得对</w:t>
      </w:r>
      <w:r>
        <w:rPr>
          <w:rFonts w:ascii="Times New Roman" w:hAnsi="Times New Roman" w:eastAsia="宋体" w:cs="Times New Roman"/>
          <w:color w:val="auto"/>
          <w:kern w:val="2"/>
          <w:szCs w:val="21"/>
          <w:highlight w:val="none"/>
        </w:rPr>
        <w:t>甲方使用造成不良影响。</w:t>
      </w:r>
    </w:p>
    <w:p w14:paraId="61AFE87B">
      <w:pPr>
        <w:widowControl w:val="0"/>
        <w:numPr>
          <w:ilvl w:val="0"/>
          <w:numId w:val="7"/>
        </w:numPr>
        <w:spacing w:line="360" w:lineRule="auto"/>
        <w:ind w:firstLine="422" w:firstLineChars="200"/>
        <w:jc w:val="both"/>
        <w:rPr>
          <w:rFonts w:ascii="Times New Roman" w:hAnsi="Times New Roman" w:eastAsia="宋体" w:cs="Times New Roman"/>
          <w:bCs/>
          <w:color w:val="auto"/>
          <w:kern w:val="2"/>
          <w:szCs w:val="21"/>
          <w:highlight w:val="none"/>
        </w:rPr>
      </w:pPr>
      <w:r>
        <w:rPr>
          <w:rFonts w:ascii="Times New Roman" w:hAnsi="Times New Roman" w:eastAsia="宋体" w:cs="Times New Roman"/>
          <w:b/>
          <w:color w:val="auto"/>
          <w:kern w:val="2"/>
          <w:szCs w:val="21"/>
          <w:highlight w:val="none"/>
        </w:rPr>
        <w:t>特别提醒：设备到货时间，乙方至少提前三天通知甲方医学装备部设备质控科（电话：025-52087505），以便甲方安排好相关收货工作。设备到达甲方医院时，乙方代表必须</w:t>
      </w:r>
      <w:r>
        <w:rPr>
          <w:rFonts w:hint="eastAsia" w:ascii="Times New Roman" w:hAnsi="Times New Roman" w:eastAsia="宋体" w:cs="Times New Roman"/>
          <w:b/>
          <w:color w:val="auto"/>
          <w:kern w:val="2"/>
          <w:szCs w:val="21"/>
          <w:highlight w:val="none"/>
        </w:rPr>
        <w:t>同时</w:t>
      </w:r>
      <w:r>
        <w:rPr>
          <w:rFonts w:ascii="Times New Roman" w:hAnsi="Times New Roman" w:eastAsia="宋体" w:cs="Times New Roman"/>
          <w:b/>
          <w:color w:val="auto"/>
          <w:kern w:val="2"/>
          <w:szCs w:val="21"/>
          <w:highlight w:val="none"/>
        </w:rPr>
        <w:t>到达，由乙方负责卸货并搬运至甲方指定的地点，待设备搬运完毕后，甲乙双方办理交接手续。如未按上述规定执行，造成的一切后果全部由乙方承担。</w:t>
      </w:r>
    </w:p>
    <w:p w14:paraId="426E4D47">
      <w:pPr>
        <w:widowControl w:val="0"/>
        <w:spacing w:before="312" w:beforeLines="100" w:after="156" w:afterLines="50" w:line="240" w:lineRule="auto"/>
        <w:ind w:firstLine="482" w:firstLineChars="200"/>
        <w:jc w:val="both"/>
        <w:rPr>
          <w:rFonts w:ascii="Times New Roman" w:hAnsi="Times New Roman" w:eastAsia="宋体" w:cs="Times New Roman"/>
          <w:b/>
          <w:bCs/>
          <w:color w:val="auto"/>
          <w:kern w:val="2"/>
          <w:sz w:val="24"/>
          <w:szCs w:val="24"/>
          <w:highlight w:val="none"/>
        </w:rPr>
      </w:pPr>
      <w:r>
        <w:rPr>
          <w:rFonts w:ascii="Times New Roman" w:hAnsi="Times New Roman" w:eastAsia="宋体" w:cs="Times New Roman"/>
          <w:b/>
          <w:bCs/>
          <w:color w:val="auto"/>
          <w:kern w:val="2"/>
          <w:sz w:val="24"/>
          <w:szCs w:val="24"/>
          <w:highlight w:val="none"/>
        </w:rPr>
        <w:t>第四条  质量标准及要求</w:t>
      </w:r>
    </w:p>
    <w:p w14:paraId="49D72061">
      <w:pPr>
        <w:widowControl w:val="0"/>
        <w:numPr>
          <w:ilvl w:val="0"/>
          <w:numId w:val="8"/>
        </w:numPr>
        <w:spacing w:line="360" w:lineRule="auto"/>
        <w:ind w:left="0"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乙方保证所供设备是</w:t>
      </w:r>
      <w:r>
        <w:rPr>
          <w:rFonts w:hint="eastAsia" w:ascii="Times New Roman" w:hAnsi="Times New Roman" w:eastAsia="宋体" w:cs="Times New Roman"/>
          <w:color w:val="auto"/>
          <w:kern w:val="2"/>
          <w:szCs w:val="21"/>
          <w:highlight w:val="none"/>
        </w:rPr>
        <w:t>完全符合谈判时确定的</w:t>
      </w:r>
      <w:r>
        <w:rPr>
          <w:rFonts w:ascii="Times New Roman" w:hAnsi="Times New Roman" w:eastAsia="宋体" w:cs="Times New Roman"/>
          <w:color w:val="auto"/>
          <w:kern w:val="2"/>
          <w:highlight w:val="none"/>
        </w:rPr>
        <w:t>原厂生产的、</w:t>
      </w:r>
      <w:r>
        <w:rPr>
          <w:rFonts w:ascii="Times New Roman" w:hAnsi="Times New Roman" w:eastAsia="宋体" w:cs="Times New Roman"/>
          <w:color w:val="auto"/>
          <w:kern w:val="2"/>
          <w:szCs w:val="21"/>
          <w:highlight w:val="none"/>
        </w:rPr>
        <w:t>全新、未使用过的产品</w:t>
      </w:r>
      <w:r>
        <w:rPr>
          <w:rFonts w:ascii="Times New Roman" w:hAnsi="Times New Roman" w:eastAsia="宋体" w:cs="Times New Roman"/>
          <w:color w:val="auto"/>
          <w:kern w:val="2"/>
          <w:highlight w:val="none"/>
        </w:rPr>
        <w:t>（包括零部件）</w:t>
      </w:r>
      <w:r>
        <w:rPr>
          <w:rFonts w:ascii="Times New Roman" w:hAnsi="Times New Roman" w:eastAsia="宋体" w:cs="Times New Roman"/>
          <w:color w:val="auto"/>
          <w:kern w:val="2"/>
          <w:szCs w:val="21"/>
          <w:highlight w:val="none"/>
        </w:rPr>
        <w:t>，</w:t>
      </w:r>
      <w:r>
        <w:rPr>
          <w:rFonts w:ascii="Times New Roman" w:hAnsi="Times New Roman" w:eastAsia="宋体" w:cs="Times New Roman"/>
          <w:color w:val="auto"/>
          <w:kern w:val="2"/>
          <w:highlight w:val="none"/>
        </w:rPr>
        <w:t>设备出厂日期不得早于到货日期陆个月（或180天）</w:t>
      </w:r>
      <w:r>
        <w:rPr>
          <w:rFonts w:ascii="Times New Roman" w:hAnsi="Times New Roman" w:eastAsia="宋体" w:cs="Times New Roman"/>
          <w:b/>
          <w:bCs/>
          <w:color w:val="auto"/>
          <w:kern w:val="2"/>
          <w:szCs w:val="21"/>
          <w:highlight w:val="none"/>
        </w:rPr>
        <w:t>。</w:t>
      </w:r>
      <w:r>
        <w:rPr>
          <w:rFonts w:ascii="Times New Roman" w:hAnsi="Times New Roman" w:eastAsia="宋体" w:cs="Times New Roman"/>
          <w:color w:val="auto"/>
          <w:kern w:val="2"/>
          <w:szCs w:val="21"/>
          <w:highlight w:val="none"/>
        </w:rPr>
        <w:t>乙方须保证所供产品质量合格，不得</w:t>
      </w:r>
      <w:r>
        <w:rPr>
          <w:rFonts w:hint="eastAsia" w:ascii="Times New Roman" w:hAnsi="Times New Roman" w:eastAsia="宋体" w:cs="Times New Roman"/>
          <w:color w:val="auto"/>
          <w:kern w:val="2"/>
          <w:szCs w:val="21"/>
          <w:highlight w:val="none"/>
          <w:lang w:eastAsia="zh-CN"/>
        </w:rPr>
        <w:t>弄虚作假</w:t>
      </w:r>
      <w:r>
        <w:rPr>
          <w:rFonts w:ascii="Times New Roman" w:hAnsi="Times New Roman" w:eastAsia="宋体" w:cs="Times New Roman"/>
          <w:color w:val="auto"/>
          <w:kern w:val="2"/>
          <w:szCs w:val="21"/>
          <w:highlight w:val="none"/>
        </w:rPr>
        <w:t>、不得提供假冒伪劣产品或任意提供合同外产品，如果设备的质量或规格与合同不符，或证实设备有缺陷（包括潜在的缺陷或使用不符合要求的材料等</w:t>
      </w:r>
      <w:r>
        <w:rPr>
          <w:rFonts w:hint="eastAsia" w:ascii="Times New Roman" w:hAnsi="Times New Roman" w:eastAsia="宋体" w:cs="Times New Roman"/>
          <w:color w:val="auto"/>
          <w:kern w:val="2"/>
          <w:szCs w:val="21"/>
          <w:highlight w:val="none"/>
          <w:lang w:eastAsia="zh-CN"/>
        </w:rPr>
        <w:t>）</w:t>
      </w:r>
      <w:r>
        <w:rPr>
          <w:rFonts w:ascii="Times New Roman" w:hAnsi="Times New Roman" w:eastAsia="宋体" w:cs="Times New Roman"/>
          <w:color w:val="auto"/>
          <w:kern w:val="2"/>
          <w:szCs w:val="21"/>
          <w:highlight w:val="none"/>
        </w:rPr>
        <w:t>，乙方应在接到甲方通知后5个工作日内更换成达标设备，其费用由乙方负担。同时，甲方有权要求延长设备的保修期。由于设备质量引起的医疗纠纷，乙方承担全部的法律和经济责任。</w:t>
      </w:r>
    </w:p>
    <w:p w14:paraId="0C91D01D">
      <w:pPr>
        <w:widowControl w:val="0"/>
        <w:numPr>
          <w:ilvl w:val="0"/>
          <w:numId w:val="8"/>
        </w:numPr>
        <w:spacing w:line="360" w:lineRule="auto"/>
        <w:ind w:left="0"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乙方保证向甲方提供的设备满足中国国家标准及相关行业标</w:t>
      </w:r>
      <w:r>
        <w:rPr>
          <w:rFonts w:hint="eastAsia" w:ascii="Times New Roman" w:hAnsi="Times New Roman" w:eastAsia="宋体" w:cs="Times New Roman"/>
          <w:color w:val="auto"/>
          <w:kern w:val="2"/>
          <w:szCs w:val="21"/>
          <w:highlight w:val="none"/>
          <w:lang w:eastAsia="zh-CN"/>
        </w:rPr>
        <w:t>准</w:t>
      </w:r>
      <w:r>
        <w:rPr>
          <w:rFonts w:ascii="Times New Roman" w:hAnsi="Times New Roman" w:eastAsia="宋体" w:cs="Times New Roman"/>
          <w:color w:val="auto"/>
          <w:kern w:val="2"/>
          <w:szCs w:val="21"/>
          <w:highlight w:val="none"/>
        </w:rPr>
        <w:t>。根据国家规定，如需要提供3C认证证书和标记的设备及有关配置，必须提供上述证书和标记。</w:t>
      </w:r>
    </w:p>
    <w:p w14:paraId="7982D991">
      <w:pPr>
        <w:widowControl w:val="0"/>
        <w:numPr>
          <w:ilvl w:val="0"/>
          <w:numId w:val="8"/>
        </w:numPr>
        <w:spacing w:line="360" w:lineRule="auto"/>
        <w:ind w:left="0" w:firstLine="422"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b/>
          <w:bCs/>
          <w:color w:val="auto"/>
          <w:kern w:val="2"/>
          <w:szCs w:val="21"/>
          <w:highlight w:val="none"/>
        </w:rPr>
        <w:t>特别提醒：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w:t>
      </w:r>
    </w:p>
    <w:p w14:paraId="3B1D9837">
      <w:pPr>
        <w:widowControl w:val="0"/>
        <w:spacing w:before="312" w:beforeLines="100" w:after="156" w:afterLines="50" w:line="240" w:lineRule="auto"/>
        <w:ind w:firstLine="482" w:firstLineChars="200"/>
        <w:jc w:val="both"/>
        <w:rPr>
          <w:rFonts w:ascii="Times New Roman" w:hAnsi="Times New Roman" w:eastAsia="宋体" w:cs="Times New Roman"/>
          <w:b/>
          <w:bCs/>
          <w:color w:val="auto"/>
          <w:kern w:val="2"/>
          <w:sz w:val="24"/>
          <w:szCs w:val="24"/>
          <w:highlight w:val="none"/>
        </w:rPr>
      </w:pPr>
      <w:r>
        <w:rPr>
          <w:rFonts w:ascii="Times New Roman" w:hAnsi="Times New Roman" w:eastAsia="宋体" w:cs="Times New Roman"/>
          <w:b/>
          <w:bCs/>
          <w:color w:val="auto"/>
          <w:kern w:val="2"/>
          <w:sz w:val="24"/>
          <w:szCs w:val="24"/>
          <w:highlight w:val="none"/>
        </w:rPr>
        <w:t>第五条  安装、调试与验收</w:t>
      </w:r>
    </w:p>
    <w:p w14:paraId="47798882">
      <w:pPr>
        <w:widowControl w:val="0"/>
        <w:numPr>
          <w:ilvl w:val="0"/>
          <w:numId w:val="9"/>
        </w:numPr>
        <w:spacing w:line="360" w:lineRule="auto"/>
        <w:ind w:firstLine="420" w:firstLineChars="200"/>
        <w:jc w:val="both"/>
        <w:rPr>
          <w:rFonts w:ascii="Times New Roman" w:hAnsi="Times New Roman" w:eastAsia="宋体" w:cs="Times New Roman"/>
          <w:color w:val="auto"/>
          <w:kern w:val="2"/>
          <w:highlight w:val="none"/>
        </w:rPr>
      </w:pPr>
      <w:r>
        <w:rPr>
          <w:rFonts w:ascii="Times New Roman" w:hAnsi="Times New Roman" w:eastAsia="宋体" w:cs="Times New Roman"/>
          <w:color w:val="auto"/>
          <w:kern w:val="2"/>
          <w:highlight w:val="none"/>
        </w:rPr>
        <w:t>乙方必须在甲方指定的地点免费进行设备的安装，安装所需的相应配套设施由乙方自行负责解决，用户提供必</w:t>
      </w:r>
      <w:r>
        <w:rPr>
          <w:rFonts w:hint="eastAsia" w:ascii="Times New Roman" w:hAnsi="Times New Roman" w:eastAsia="宋体" w:cs="Times New Roman"/>
          <w:color w:val="auto"/>
          <w:kern w:val="2"/>
          <w:highlight w:val="none"/>
          <w:lang w:eastAsia="zh-CN"/>
        </w:rPr>
        <w:t>需</w:t>
      </w:r>
      <w:r>
        <w:rPr>
          <w:rFonts w:ascii="Times New Roman" w:hAnsi="Times New Roman" w:eastAsia="宋体" w:cs="Times New Roman"/>
          <w:color w:val="auto"/>
          <w:kern w:val="2"/>
          <w:highlight w:val="none"/>
        </w:rPr>
        <w:t>的现场安装条件，并给予必要的配合。如现场安装需特殊条件，乙方</w:t>
      </w:r>
      <w:r>
        <w:rPr>
          <w:rFonts w:ascii="Times New Roman" w:hAnsi="Times New Roman" w:eastAsia="宋体" w:cs="Times New Roman"/>
          <w:color w:val="auto"/>
          <w:kern w:val="2"/>
          <w:szCs w:val="21"/>
          <w:highlight w:val="none"/>
        </w:rPr>
        <w:t>在合同签订后</w:t>
      </w:r>
      <w:r>
        <w:rPr>
          <w:rFonts w:hint="eastAsia" w:ascii="Times New Roman" w:hAnsi="Times New Roman" w:eastAsia="宋体" w:cs="Times New Roman"/>
          <w:color w:val="auto"/>
          <w:kern w:val="2"/>
          <w:szCs w:val="21"/>
          <w:highlight w:val="none"/>
          <w:u w:val="single"/>
          <w:lang w:val="en-US" w:eastAsia="zh-CN"/>
        </w:rPr>
        <w:t>2</w:t>
      </w:r>
      <w:r>
        <w:rPr>
          <w:rFonts w:ascii="Times New Roman" w:hAnsi="Times New Roman" w:eastAsia="宋体" w:cs="Times New Roman"/>
          <w:color w:val="auto"/>
          <w:kern w:val="2"/>
          <w:szCs w:val="21"/>
          <w:highlight w:val="none"/>
        </w:rPr>
        <w:t>个工作日内，给出场地要求，</w:t>
      </w:r>
      <w:r>
        <w:rPr>
          <w:rFonts w:hint="eastAsia" w:ascii="Times New Roman" w:hAnsi="Times New Roman" w:eastAsia="宋体" w:cs="Times New Roman"/>
          <w:color w:val="auto"/>
          <w:kern w:val="2"/>
          <w:szCs w:val="21"/>
          <w:highlight w:val="none"/>
          <w:u w:val="single"/>
          <w:lang w:val="en-US" w:eastAsia="zh-CN"/>
        </w:rPr>
        <w:t>1</w:t>
      </w:r>
      <w:r>
        <w:rPr>
          <w:rFonts w:ascii="Times New Roman" w:hAnsi="Times New Roman" w:eastAsia="宋体" w:cs="Times New Roman"/>
          <w:color w:val="auto"/>
          <w:kern w:val="2"/>
          <w:szCs w:val="21"/>
          <w:highlight w:val="none"/>
        </w:rPr>
        <w:t>工作日内完成场地施工。乙方免费提前为甲方提供设备安装图纸，并充分协助甲方做好机房的准备工作（如必要的话）。</w:t>
      </w:r>
      <w:r>
        <w:rPr>
          <w:rFonts w:ascii="Times New Roman" w:hAnsi="Times New Roman" w:eastAsia="宋体" w:cs="Times New Roman"/>
          <w:color w:val="auto"/>
          <w:kern w:val="2"/>
          <w:highlight w:val="none"/>
        </w:rPr>
        <w:t>乙方需于</w:t>
      </w:r>
      <w:r>
        <w:rPr>
          <w:rFonts w:ascii="Times New Roman" w:hAnsi="Times New Roman" w:eastAsia="宋体" w:cs="Times New Roman"/>
          <w:color w:val="auto"/>
          <w:kern w:val="2"/>
          <w:szCs w:val="21"/>
          <w:highlight w:val="none"/>
        </w:rPr>
        <w:t>合同签订之日起</w:t>
      </w:r>
      <w:r>
        <w:rPr>
          <w:rFonts w:ascii="Times New Roman" w:hAnsi="Times New Roman" w:eastAsia="宋体" w:cs="Times New Roman"/>
          <w:color w:val="auto"/>
          <w:kern w:val="2"/>
          <w:szCs w:val="21"/>
          <w:highlight w:val="none"/>
          <w:u w:val="single"/>
        </w:rPr>
        <w:t xml:space="preserve">    </w:t>
      </w:r>
      <w:r>
        <w:rPr>
          <w:rFonts w:ascii="Times New Roman" w:hAnsi="Times New Roman" w:eastAsia="宋体" w:cs="Times New Roman"/>
          <w:color w:val="auto"/>
          <w:kern w:val="2"/>
          <w:szCs w:val="21"/>
          <w:highlight w:val="none"/>
        </w:rPr>
        <w:t>个工作日内</w:t>
      </w:r>
      <w:r>
        <w:rPr>
          <w:rFonts w:ascii="Times New Roman" w:hAnsi="Times New Roman" w:eastAsia="宋体" w:cs="Times New Roman"/>
          <w:color w:val="auto"/>
          <w:kern w:val="2"/>
          <w:highlight w:val="none"/>
        </w:rPr>
        <w:t>完成交货及相应的安装、调试、</w:t>
      </w:r>
      <w:r>
        <w:rPr>
          <w:rFonts w:ascii="Times New Roman" w:hAnsi="Times New Roman" w:eastAsia="宋体" w:cs="Times New Roman"/>
          <w:color w:val="auto"/>
          <w:kern w:val="2"/>
          <w:szCs w:val="21"/>
          <w:highlight w:val="none"/>
        </w:rPr>
        <w:t>正常运行和现场培训</w:t>
      </w:r>
      <w:r>
        <w:rPr>
          <w:rFonts w:ascii="Times New Roman" w:hAnsi="Times New Roman" w:eastAsia="宋体" w:cs="Times New Roman"/>
          <w:color w:val="auto"/>
          <w:kern w:val="2"/>
          <w:highlight w:val="none"/>
        </w:rPr>
        <w:t>工作，确保所供设备符合本合同约定的质量、数量、技术参数及要求，否则将按照合同约定承担违约责任。</w:t>
      </w:r>
    </w:p>
    <w:p w14:paraId="1D8BDF6D">
      <w:pPr>
        <w:widowControl w:val="0"/>
        <w:numPr>
          <w:ilvl w:val="0"/>
          <w:numId w:val="9"/>
        </w:numPr>
        <w:spacing w:line="360" w:lineRule="auto"/>
        <w:ind w:firstLine="420" w:firstLineChars="200"/>
        <w:jc w:val="both"/>
        <w:rPr>
          <w:rFonts w:ascii="Times New Roman" w:hAnsi="Times New Roman" w:eastAsia="宋体" w:cs="Times New Roman"/>
          <w:bCs/>
          <w:color w:val="auto"/>
          <w:kern w:val="2"/>
          <w:szCs w:val="21"/>
          <w:highlight w:val="none"/>
        </w:rPr>
      </w:pPr>
      <w:r>
        <w:rPr>
          <w:rFonts w:ascii="Times New Roman" w:hAnsi="Times New Roman" w:eastAsia="宋体" w:cs="Times New Roman"/>
          <w:bCs/>
          <w:color w:val="auto"/>
          <w:kern w:val="2"/>
          <w:szCs w:val="21"/>
          <w:highlight w:val="none"/>
        </w:rPr>
        <w:t>乙方必须提供产品必备的证件，包括注册证（含附件产品技术要求）、原厂出具的合格证明文件、安全认证、中文标签、经营及生产资质、海关报关单、商检合格证明等并加盖公章，操作手册、简易操作流程卡、维修手册（含详细电路图）一并提供，及以上技术资料的电子版，如资料不全，甲方不予验收，因此产生的损失由乙方自行承担。</w:t>
      </w:r>
    </w:p>
    <w:p w14:paraId="5A1EC1D3">
      <w:pPr>
        <w:widowControl w:val="0"/>
        <w:numPr>
          <w:ilvl w:val="0"/>
          <w:numId w:val="9"/>
        </w:numPr>
        <w:spacing w:line="360" w:lineRule="auto"/>
        <w:ind w:firstLine="422" w:firstLineChars="200"/>
        <w:jc w:val="both"/>
        <w:rPr>
          <w:rFonts w:ascii="Times New Roman" w:hAnsi="Times New Roman" w:eastAsia="宋体" w:cs="Times New Roman"/>
          <w:bCs/>
          <w:color w:val="auto"/>
          <w:kern w:val="2"/>
          <w:szCs w:val="21"/>
          <w:highlight w:val="none"/>
        </w:rPr>
      </w:pPr>
      <w:r>
        <w:rPr>
          <w:rFonts w:ascii="Times New Roman" w:hAnsi="Times New Roman" w:eastAsia="宋体" w:cs="Times New Roman"/>
          <w:b/>
          <w:color w:val="auto"/>
          <w:kern w:val="2"/>
          <w:szCs w:val="21"/>
          <w:highlight w:val="none"/>
        </w:rPr>
        <w:t>特</w:t>
      </w:r>
      <w:r>
        <w:rPr>
          <w:rFonts w:hint="eastAsia" w:ascii="Times New Roman" w:hAnsi="Times New Roman" w:eastAsia="宋体" w:cs="Times New Roman"/>
          <w:b/>
          <w:color w:val="auto"/>
          <w:kern w:val="2"/>
          <w:szCs w:val="21"/>
          <w:highlight w:val="none"/>
        </w:rPr>
        <w:t>别</w:t>
      </w:r>
      <w:r>
        <w:rPr>
          <w:rFonts w:ascii="Times New Roman" w:hAnsi="Times New Roman" w:eastAsia="宋体" w:cs="Times New Roman"/>
          <w:b/>
          <w:color w:val="auto"/>
          <w:kern w:val="2"/>
          <w:szCs w:val="21"/>
          <w:highlight w:val="none"/>
        </w:rPr>
        <w:t>提醒：设备安装时，乙方负责设备的免费安装和调试，但乙方必须事先与甲方的医学装备部设备质控科联系，并与设备质控科共同参与，否则引起的一切责任由乙方承担。</w:t>
      </w:r>
    </w:p>
    <w:p w14:paraId="226F9507">
      <w:pPr>
        <w:widowControl w:val="0"/>
        <w:numPr>
          <w:ilvl w:val="0"/>
          <w:numId w:val="9"/>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设备安装后，</w:t>
      </w:r>
      <w:r>
        <w:rPr>
          <w:rFonts w:ascii="Times New Roman" w:hAnsi="Times New Roman" w:eastAsia="宋体" w:cs="Times New Roman"/>
          <w:color w:val="auto"/>
          <w:kern w:val="2"/>
          <w:highlight w:val="none"/>
        </w:rPr>
        <w:t>乙方应</w:t>
      </w:r>
      <w:r>
        <w:rPr>
          <w:rFonts w:hint="eastAsia" w:ascii="Times New Roman" w:hAnsi="Times New Roman" w:eastAsia="宋体" w:cs="Times New Roman"/>
          <w:color w:val="auto"/>
          <w:kern w:val="2"/>
          <w:highlight w:val="none"/>
          <w:lang w:eastAsia="zh-CN"/>
        </w:rPr>
        <w:t>在</w:t>
      </w:r>
      <w:r>
        <w:rPr>
          <w:rFonts w:ascii="Times New Roman" w:hAnsi="Times New Roman" w:eastAsia="宋体" w:cs="Times New Roman"/>
          <w:color w:val="auto"/>
          <w:kern w:val="2"/>
          <w:highlight w:val="none"/>
        </w:rPr>
        <w:t>甲方的监督下进行调试，调试结果符合国家、行业及本合同约定的技术指标方视为符合交付条件。乙方所提供的设备安装调试完成后，甲方最终用户必须按本合同所约定的货物清单及要求对货物的品牌、外观、规格、数量、配件及安装调试后的使用性能、运行状况及其他情况进行验收，乙方必须在验收现场提供必要的技术支持。甲方最终用户应在乙方所提供的设备安装调试完成后选个工作日内验收完毕。</w:t>
      </w:r>
      <w:r>
        <w:rPr>
          <w:rFonts w:ascii="Times New Roman" w:hAnsi="Times New Roman" w:eastAsia="宋体" w:cs="Times New Roman"/>
          <w:color w:val="auto"/>
          <w:kern w:val="2"/>
          <w:szCs w:val="21"/>
          <w:highlight w:val="none"/>
        </w:rPr>
        <w:t>若有歧义，甲方有权委托国内具有相关资质的单位对该设备进行质量检测，</w:t>
      </w:r>
      <w:r>
        <w:rPr>
          <w:rFonts w:hint="eastAsia" w:ascii="Times New Roman" w:hAnsi="Times New Roman" w:eastAsia="宋体" w:cs="Times New Roman"/>
          <w:color w:val="auto"/>
          <w:kern w:val="2"/>
          <w:szCs w:val="21"/>
          <w:highlight w:val="none"/>
        </w:rPr>
        <w:t>检测结果对于乙方有约束力，</w:t>
      </w:r>
      <w:r>
        <w:rPr>
          <w:rFonts w:ascii="Times New Roman" w:hAnsi="Times New Roman" w:eastAsia="宋体" w:cs="Times New Roman"/>
          <w:color w:val="auto"/>
          <w:kern w:val="2"/>
          <w:szCs w:val="21"/>
          <w:highlight w:val="none"/>
        </w:rPr>
        <w:t>费用由乙方承担。</w:t>
      </w:r>
    </w:p>
    <w:p w14:paraId="0A16BC79">
      <w:pPr>
        <w:widowControl w:val="0"/>
        <w:numPr>
          <w:ilvl w:val="0"/>
          <w:numId w:val="9"/>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技术培训：在安装过程中或安装结束后，乙方工程师或有关人员有义务对甲方工程师和操作人员进行现场维修、保养、操作培训并提供快捷操作指南（制作二维码卡片贴于设备醒目处），解答甲方人员提出的问题。必要时提供正规培训班培训，确保操作人员掌握完成日常工作所需的基本操作方法为止，工程师掌握基本的维护保养操作技术为止。</w:t>
      </w:r>
      <w:r>
        <w:rPr>
          <w:rFonts w:ascii="Times New Roman" w:hAnsi="Times New Roman" w:eastAsia="宋体" w:cs="Times New Roman"/>
          <w:color w:val="auto"/>
          <w:kern w:val="2"/>
          <w:highlight w:val="none"/>
        </w:rPr>
        <w:t>大型设备、特种设备或有特殊要求的高风险设备须提供满足学时要求的人员培训证明文件。</w:t>
      </w:r>
      <w:r>
        <w:rPr>
          <w:rFonts w:ascii="Times New Roman" w:hAnsi="Times New Roman" w:eastAsia="宋体" w:cs="Times New Roman"/>
          <w:color w:val="auto"/>
          <w:kern w:val="2"/>
          <w:szCs w:val="21"/>
          <w:highlight w:val="none"/>
        </w:rPr>
        <w:t>详见乙方的承诺书。</w:t>
      </w:r>
    </w:p>
    <w:p w14:paraId="3AED983F">
      <w:pPr>
        <w:widowControl w:val="0"/>
        <w:numPr>
          <w:ilvl w:val="0"/>
          <w:numId w:val="9"/>
        </w:numPr>
        <w:spacing w:line="360" w:lineRule="auto"/>
        <w:ind w:firstLine="420" w:firstLineChars="200"/>
        <w:jc w:val="both"/>
        <w:rPr>
          <w:rFonts w:ascii="Times New Roman" w:hAnsi="Times New Roman" w:eastAsia="宋体" w:cs="Times New Roman"/>
          <w:color w:val="auto"/>
          <w:kern w:val="2"/>
          <w:highlight w:val="none"/>
        </w:rPr>
      </w:pPr>
      <w:r>
        <w:rPr>
          <w:rFonts w:ascii="Times New Roman" w:hAnsi="Times New Roman" w:eastAsia="宋体" w:cs="Times New Roman"/>
          <w:color w:val="auto"/>
          <w:kern w:val="2"/>
          <w:highlight w:val="none"/>
        </w:rPr>
        <w:t>经验收发现设备与合同规定不符或</w:t>
      </w:r>
      <w:r>
        <w:rPr>
          <w:rFonts w:ascii="Times New Roman" w:hAnsi="Times New Roman" w:eastAsia="宋体" w:cs="Times New Roman"/>
          <w:color w:val="auto"/>
          <w:kern w:val="2"/>
          <w:szCs w:val="21"/>
          <w:highlight w:val="none"/>
        </w:rPr>
        <w:t>验收不合格，</w:t>
      </w:r>
      <w:r>
        <w:rPr>
          <w:rFonts w:ascii="Times New Roman" w:hAnsi="Times New Roman" w:eastAsia="宋体" w:cs="Times New Roman"/>
          <w:color w:val="auto"/>
          <w:kern w:val="2"/>
          <w:highlight w:val="none"/>
        </w:rPr>
        <w:t>甲方有权拒绝接受并要求</w:t>
      </w:r>
      <w:r>
        <w:rPr>
          <w:rFonts w:ascii="Times New Roman" w:hAnsi="Times New Roman" w:eastAsia="宋体" w:cs="Times New Roman"/>
          <w:color w:val="auto"/>
          <w:kern w:val="2"/>
          <w:szCs w:val="21"/>
          <w:highlight w:val="none"/>
        </w:rPr>
        <w:t>乙方无条件换货或退货，由此引起的一切损失由乙方承担。</w:t>
      </w:r>
      <w:r>
        <w:rPr>
          <w:rFonts w:ascii="Times New Roman" w:hAnsi="Times New Roman" w:eastAsia="宋体" w:cs="Times New Roman"/>
          <w:color w:val="auto"/>
          <w:kern w:val="2"/>
          <w:highlight w:val="none"/>
        </w:rPr>
        <w:t>如设备在保证期内被证明存在缺陷，包括潜在的缺陷或使用不合适的材料，甲方有权凭有关证明文件向乙方提出索赔。</w:t>
      </w:r>
    </w:p>
    <w:p w14:paraId="3C7C1405">
      <w:pPr>
        <w:widowControl w:val="0"/>
        <w:numPr>
          <w:ilvl w:val="0"/>
          <w:numId w:val="9"/>
        </w:numPr>
        <w:spacing w:line="360" w:lineRule="auto"/>
        <w:ind w:firstLine="420" w:firstLineChars="200"/>
        <w:jc w:val="both"/>
        <w:rPr>
          <w:rFonts w:ascii="Times New Roman" w:hAnsi="Times New Roman" w:eastAsia="宋体" w:cs="Times New Roman"/>
          <w:color w:val="auto"/>
          <w:kern w:val="2"/>
          <w:highlight w:val="none"/>
        </w:rPr>
      </w:pPr>
      <w:r>
        <w:rPr>
          <w:rFonts w:ascii="Times New Roman" w:hAnsi="Times New Roman" w:eastAsia="宋体" w:cs="Times New Roman"/>
          <w:color w:val="auto"/>
          <w:kern w:val="2"/>
          <w:highlight w:val="none"/>
        </w:rPr>
        <w:t>原则上，设备到货试运行至少15个工作日后方可完成验收签字，设备验收后30个工作日内如甲方发现技术指标异常或提出其他异议的，乙方应在5个工作日内负责解决。</w:t>
      </w:r>
    </w:p>
    <w:p w14:paraId="589E7FBC">
      <w:pPr>
        <w:widowControl w:val="0"/>
        <w:numPr>
          <w:ilvl w:val="0"/>
          <w:numId w:val="9"/>
        </w:numPr>
        <w:spacing w:line="360" w:lineRule="auto"/>
        <w:ind w:firstLine="420" w:firstLineChars="200"/>
        <w:jc w:val="both"/>
        <w:rPr>
          <w:rFonts w:ascii="Times New Roman" w:hAnsi="Times New Roman" w:eastAsia="宋体" w:cs="Times New Roman"/>
          <w:color w:val="auto"/>
          <w:kern w:val="2"/>
          <w:highlight w:val="none"/>
        </w:rPr>
      </w:pPr>
      <w:r>
        <w:rPr>
          <w:rFonts w:hint="eastAsia" w:ascii="Times New Roman" w:hAnsi="Times New Roman" w:eastAsia="宋体" w:cs="Times New Roman"/>
          <w:color w:val="auto"/>
          <w:kern w:val="2"/>
          <w:highlight w:val="none"/>
          <w:lang w:eastAsia="zh-CN"/>
        </w:rPr>
        <w:t>设备安装后乙方需积极配合甲方完成验收工作，若因乙方原因未在设备到货后</w:t>
      </w:r>
      <w:r>
        <w:rPr>
          <w:rFonts w:hint="eastAsia" w:ascii="Times New Roman" w:hAnsi="Times New Roman" w:eastAsia="宋体" w:cs="Times New Roman"/>
          <w:color w:val="auto"/>
          <w:kern w:val="2"/>
          <w:highlight w:val="none"/>
          <w:lang w:val="en-US" w:eastAsia="zh-CN"/>
        </w:rPr>
        <w:t>3个月内完成验收，则合同作废，乙方需无偿撤回已安装设备。若到货设备不符合合同或验收要求，需要换货，则乙方需在3个月内完成换货及验收工作（国产设备），进口设备需在6个月内完成换货及验收，若更换产品仍不合格，则合同作废，乙方承担所有损失。</w:t>
      </w:r>
    </w:p>
    <w:p w14:paraId="3B8FEA9F">
      <w:pPr>
        <w:widowControl w:val="0"/>
        <w:spacing w:before="312" w:beforeLines="100" w:after="156" w:afterLines="50" w:line="240" w:lineRule="auto"/>
        <w:ind w:firstLine="482" w:firstLineChars="200"/>
        <w:jc w:val="both"/>
        <w:rPr>
          <w:rFonts w:ascii="Times New Roman" w:hAnsi="Times New Roman" w:eastAsia="宋体" w:cs="Times New Roman"/>
          <w:b/>
          <w:bCs/>
          <w:color w:val="auto"/>
          <w:kern w:val="2"/>
          <w:sz w:val="24"/>
          <w:szCs w:val="24"/>
          <w:highlight w:val="none"/>
        </w:rPr>
      </w:pPr>
      <w:r>
        <w:rPr>
          <w:rFonts w:ascii="Times New Roman" w:hAnsi="Times New Roman" w:eastAsia="宋体" w:cs="Times New Roman"/>
          <w:b/>
          <w:bCs/>
          <w:color w:val="auto"/>
          <w:kern w:val="2"/>
          <w:sz w:val="24"/>
          <w:szCs w:val="24"/>
          <w:highlight w:val="none"/>
        </w:rPr>
        <w:t>第六条  服务条款</w:t>
      </w:r>
    </w:p>
    <w:p w14:paraId="63038752">
      <w:pPr>
        <w:widowControl w:val="0"/>
        <w:numPr>
          <w:ilvl w:val="0"/>
          <w:numId w:val="10"/>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乙方提供的设备免费保修</w:t>
      </w:r>
      <w:r>
        <w:rPr>
          <w:rFonts w:ascii="Times New Roman" w:hAnsi="Times New Roman" w:eastAsia="宋体" w:cs="Times New Roman"/>
          <w:color w:val="auto"/>
          <w:kern w:val="2"/>
          <w:szCs w:val="21"/>
          <w:highlight w:val="none"/>
          <w:u w:val="single"/>
        </w:rPr>
        <w:t xml:space="preserve">    </w:t>
      </w:r>
      <w:r>
        <w:rPr>
          <w:rFonts w:ascii="Times New Roman" w:hAnsi="Times New Roman" w:eastAsia="宋体" w:cs="Times New Roman"/>
          <w:color w:val="auto"/>
          <w:kern w:val="2"/>
          <w:szCs w:val="21"/>
          <w:highlight w:val="none"/>
        </w:rPr>
        <w:t>年。</w:t>
      </w:r>
      <w:r>
        <w:rPr>
          <w:rFonts w:hint="eastAsia" w:ascii="Times New Roman" w:hAnsi="Times New Roman" w:eastAsia="宋体" w:cs="Times New Roman"/>
          <w:color w:val="auto"/>
          <w:kern w:val="2"/>
          <w:szCs w:val="21"/>
          <w:highlight w:val="none"/>
          <w:lang w:eastAsia="zh-CN"/>
        </w:rPr>
        <w:t>设备保修启始期以医院验收完成为准，</w:t>
      </w:r>
      <w:r>
        <w:rPr>
          <w:rFonts w:ascii="Times New Roman" w:hAnsi="Times New Roman" w:eastAsia="宋体" w:cs="Times New Roman"/>
          <w:color w:val="auto"/>
          <w:kern w:val="2"/>
          <w:szCs w:val="21"/>
          <w:highlight w:val="none"/>
        </w:rPr>
        <w:t>保修期内易耗品仍需免费提供，不与易耗品使用期限挂钩。保修期以甲方验收报告签订日始，按365天/年计，保修范围包括合同中所有配置</w:t>
      </w:r>
      <w:r>
        <w:rPr>
          <w:rFonts w:hint="eastAsia" w:ascii="Times New Roman" w:hAnsi="Times New Roman" w:eastAsia="宋体" w:cs="Times New Roman"/>
          <w:color w:val="auto"/>
          <w:kern w:val="2"/>
          <w:szCs w:val="21"/>
          <w:highlight w:val="none"/>
          <w:lang w:eastAsia="zh-CN"/>
        </w:rPr>
        <w:t>和第三方产品，且不排除人为因素</w:t>
      </w:r>
      <w:r>
        <w:rPr>
          <w:rFonts w:ascii="Times New Roman" w:hAnsi="Times New Roman" w:eastAsia="宋体" w:cs="Times New Roman"/>
          <w:color w:val="auto"/>
          <w:kern w:val="2"/>
          <w:szCs w:val="21"/>
          <w:highlight w:val="none"/>
        </w:rPr>
        <w:t>。并确保设备开机率≥9</w:t>
      </w:r>
      <w:r>
        <w:rPr>
          <w:rFonts w:hint="eastAsia" w:ascii="Times New Roman" w:hAnsi="Times New Roman" w:eastAsia="宋体" w:cs="Times New Roman"/>
          <w:color w:val="auto"/>
          <w:kern w:val="2"/>
          <w:szCs w:val="21"/>
          <w:highlight w:val="none"/>
          <w:lang w:val="en-US" w:eastAsia="zh-CN"/>
        </w:rPr>
        <w:t>8</w:t>
      </w:r>
      <w:r>
        <w:rPr>
          <w:rFonts w:ascii="Times New Roman" w:hAnsi="Times New Roman" w:eastAsia="宋体" w:cs="Times New Roman"/>
          <w:color w:val="auto"/>
          <w:kern w:val="2"/>
          <w:szCs w:val="21"/>
          <w:highlight w:val="none"/>
        </w:rPr>
        <w:t>%，如设备故障停机率超过</w:t>
      </w:r>
      <w:r>
        <w:rPr>
          <w:rFonts w:hint="eastAsia" w:ascii="Times New Roman" w:hAnsi="Times New Roman" w:eastAsia="宋体" w:cs="Times New Roman"/>
          <w:color w:val="auto"/>
          <w:kern w:val="2"/>
          <w:szCs w:val="21"/>
          <w:highlight w:val="none"/>
          <w:lang w:val="en-US" w:eastAsia="zh-CN"/>
        </w:rPr>
        <w:t>2</w:t>
      </w:r>
      <w:r>
        <w:rPr>
          <w:rFonts w:ascii="Times New Roman" w:hAnsi="Times New Roman" w:eastAsia="宋体" w:cs="Times New Roman"/>
          <w:color w:val="auto"/>
          <w:kern w:val="2"/>
          <w:szCs w:val="21"/>
          <w:highlight w:val="none"/>
        </w:rPr>
        <w:t>%（一年按365天计算，每年</w:t>
      </w:r>
      <w:r>
        <w:rPr>
          <w:rFonts w:hint="eastAsia" w:ascii="Times New Roman" w:hAnsi="Times New Roman" w:eastAsia="宋体" w:cs="Times New Roman"/>
          <w:color w:val="auto"/>
          <w:kern w:val="2"/>
          <w:szCs w:val="21"/>
          <w:highlight w:val="none"/>
          <w:lang w:val="en-US" w:eastAsia="zh-CN"/>
        </w:rPr>
        <w:t>7</w:t>
      </w:r>
      <w:r>
        <w:rPr>
          <w:rFonts w:ascii="Times New Roman" w:hAnsi="Times New Roman" w:eastAsia="宋体" w:cs="Times New Roman"/>
          <w:color w:val="auto"/>
          <w:kern w:val="2"/>
          <w:szCs w:val="21"/>
          <w:highlight w:val="none"/>
        </w:rPr>
        <w:t>天），保修期顺延</w:t>
      </w:r>
      <w:r>
        <w:rPr>
          <w:rFonts w:hint="eastAsia" w:ascii="Times New Roman" w:hAnsi="Times New Roman" w:eastAsia="宋体" w:cs="Times New Roman"/>
          <w:color w:val="auto"/>
          <w:kern w:val="2"/>
          <w:szCs w:val="21"/>
          <w:highlight w:val="none"/>
        </w:rPr>
        <w:t>：</w:t>
      </w:r>
      <w:r>
        <w:rPr>
          <w:rFonts w:ascii="Times New Roman" w:hAnsi="Times New Roman" w:eastAsia="宋体" w:cs="Times New Roman"/>
          <w:color w:val="auto"/>
          <w:kern w:val="2"/>
          <w:szCs w:val="21"/>
          <w:highlight w:val="none"/>
        </w:rPr>
        <w:t>多停机一天，延保两周。保修期满，若续保，保修费不得超过产品总价的5%（具体保修费</w:t>
      </w:r>
      <w:r>
        <w:rPr>
          <w:rFonts w:hint="eastAsia" w:ascii="Times New Roman" w:hAnsi="Times New Roman" w:eastAsia="宋体" w:cs="Times New Roman"/>
          <w:color w:val="auto"/>
          <w:kern w:val="2"/>
          <w:szCs w:val="21"/>
          <w:highlight w:val="none"/>
          <w:lang w:eastAsia="zh-CN"/>
        </w:rPr>
        <w:t>由</w:t>
      </w:r>
      <w:r>
        <w:rPr>
          <w:rFonts w:ascii="Times New Roman" w:hAnsi="Times New Roman" w:eastAsia="宋体" w:cs="Times New Roman"/>
          <w:color w:val="auto"/>
          <w:kern w:val="2"/>
          <w:szCs w:val="21"/>
          <w:highlight w:val="none"/>
        </w:rPr>
        <w:t>双方另行商议）。</w:t>
      </w:r>
    </w:p>
    <w:p w14:paraId="396B6515">
      <w:pPr>
        <w:widowControl w:val="0"/>
        <w:numPr>
          <w:ilvl w:val="0"/>
          <w:numId w:val="10"/>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p>
    <w:p w14:paraId="452E9BCC">
      <w:pPr>
        <w:widowControl w:val="0"/>
        <w:numPr>
          <w:ilvl w:val="0"/>
          <w:numId w:val="10"/>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保修期内提供每年</w:t>
      </w:r>
      <w:r>
        <w:rPr>
          <w:rFonts w:ascii="Times New Roman" w:hAnsi="Times New Roman" w:eastAsia="宋体" w:cs="Times New Roman"/>
          <w:color w:val="auto"/>
          <w:kern w:val="2"/>
          <w:szCs w:val="21"/>
          <w:highlight w:val="none"/>
          <w:u w:val="single"/>
        </w:rPr>
        <w:t xml:space="preserve">    </w:t>
      </w:r>
      <w:r>
        <w:rPr>
          <w:rFonts w:ascii="Times New Roman" w:hAnsi="Times New Roman" w:eastAsia="宋体" w:cs="Times New Roman"/>
          <w:color w:val="auto"/>
          <w:kern w:val="2"/>
          <w:szCs w:val="21"/>
          <w:highlight w:val="none"/>
        </w:rPr>
        <w:t>次保养（质控），或制定有效保养（质控）计划，并按计划执行，每年提供保养（质控）分析报告，并经甲方工程师签字确认，留档备查</w:t>
      </w:r>
      <w:r>
        <w:rPr>
          <w:rFonts w:hint="eastAsia" w:ascii="Times New Roman" w:hAnsi="Times New Roman" w:eastAsia="宋体" w:cs="Times New Roman"/>
          <w:color w:val="auto"/>
          <w:kern w:val="2"/>
          <w:szCs w:val="21"/>
          <w:highlight w:val="none"/>
          <w:lang w:eastAsia="zh-CN"/>
        </w:rPr>
        <w:t>，</w:t>
      </w:r>
      <w:r>
        <w:rPr>
          <w:rFonts w:hint="eastAsia" w:ascii="Times New Roman" w:hAnsi="Times New Roman" w:eastAsia="宋体" w:cs="Times New Roman"/>
          <w:b w:val="0"/>
          <w:bCs w:val="0"/>
          <w:color w:val="auto"/>
          <w:kern w:val="2"/>
          <w:szCs w:val="21"/>
          <w:highlight w:val="none"/>
          <w:lang w:eastAsia="zh-CN"/>
        </w:rPr>
        <w:t>若未按合同要求提供保养服务，设备将自动延保</w:t>
      </w:r>
      <w:r>
        <w:rPr>
          <w:rFonts w:hint="eastAsia" w:ascii="Times New Roman" w:hAnsi="Times New Roman" w:eastAsia="宋体" w:cs="Times New Roman"/>
          <w:b w:val="0"/>
          <w:bCs w:val="0"/>
          <w:color w:val="auto"/>
          <w:kern w:val="2"/>
          <w:szCs w:val="21"/>
          <w:highlight w:val="none"/>
          <w:lang w:val="en-US" w:eastAsia="zh-CN"/>
        </w:rPr>
        <w:t>1年</w:t>
      </w:r>
      <w:r>
        <w:rPr>
          <w:rFonts w:ascii="Times New Roman" w:hAnsi="Times New Roman" w:eastAsia="宋体" w:cs="Times New Roman"/>
          <w:b w:val="0"/>
          <w:bCs w:val="0"/>
          <w:color w:val="auto"/>
          <w:kern w:val="2"/>
          <w:szCs w:val="21"/>
          <w:highlight w:val="none"/>
        </w:rPr>
        <w:t>。</w:t>
      </w:r>
      <w:r>
        <w:rPr>
          <w:rFonts w:ascii="Times New Roman" w:hAnsi="Times New Roman" w:eastAsia="宋体" w:cs="Times New Roman"/>
          <w:color w:val="auto"/>
          <w:kern w:val="2"/>
          <w:highlight w:val="none"/>
        </w:rPr>
        <w:t>保修期内质控或者计量检测不合格的，乙方必须免费承担校准检修服务，直至检测合格</w:t>
      </w:r>
      <w:r>
        <w:rPr>
          <w:rFonts w:ascii="Times New Roman" w:hAnsi="Times New Roman" w:eastAsia="宋体" w:cs="Times New Roman"/>
          <w:color w:val="auto"/>
          <w:kern w:val="2"/>
          <w:szCs w:val="21"/>
          <w:highlight w:val="none"/>
        </w:rPr>
        <w:t>。</w:t>
      </w:r>
    </w:p>
    <w:p w14:paraId="1FE1A10D">
      <w:pPr>
        <w:widowControl w:val="0"/>
        <w:numPr>
          <w:ilvl w:val="0"/>
          <w:numId w:val="10"/>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无论在保修期内还是保修期外，乙方必须上门维修。出保后的维修，只收取配件成本费，免收上门费、人工费和其他工时杂</w:t>
      </w:r>
      <w:r>
        <w:rPr>
          <w:rFonts w:hint="eastAsia" w:ascii="Times New Roman" w:hAnsi="Times New Roman" w:eastAsia="宋体" w:cs="Times New Roman"/>
          <w:color w:val="auto"/>
          <w:kern w:val="2"/>
          <w:szCs w:val="21"/>
          <w:highlight w:val="none"/>
          <w:lang w:eastAsia="zh-CN"/>
        </w:rPr>
        <w:t>费</w:t>
      </w:r>
      <w:r>
        <w:rPr>
          <w:rFonts w:ascii="Times New Roman" w:hAnsi="Times New Roman" w:eastAsia="宋体" w:cs="Times New Roman"/>
          <w:color w:val="auto"/>
          <w:kern w:val="2"/>
          <w:szCs w:val="21"/>
          <w:highlight w:val="none"/>
        </w:rPr>
        <w:t>。乙方工程师至甲方维修本设备，必须事先与甲方医学装备部设备维修科取得联系，并做相应登记；在维修过程中与甲方工程师共同完成维修工作。否则引起的一切责任由乙方负责。</w:t>
      </w:r>
    </w:p>
    <w:p w14:paraId="1D68A2C3">
      <w:pPr>
        <w:widowControl w:val="0"/>
        <w:numPr>
          <w:ilvl w:val="0"/>
          <w:numId w:val="10"/>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如设备软件升级，乙方负责免费软件升级，保证软件为在国内已取得注册证认证的最新、最高版本。</w:t>
      </w:r>
    </w:p>
    <w:p w14:paraId="6AC45C4D">
      <w:pPr>
        <w:widowControl w:val="0"/>
        <w:numPr>
          <w:ilvl w:val="0"/>
          <w:numId w:val="10"/>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如有设备具有远程维修诊断功能，乙方需在签订合同前告知甲方，并按甲方要求签订保密协议及承诺书后，乙方按照甲方要求负责免费为甲方安装，并在保证数据安全的前提下进行远程操作。</w:t>
      </w:r>
    </w:p>
    <w:p w14:paraId="239EB526">
      <w:pPr>
        <w:widowControl w:val="0"/>
        <w:numPr>
          <w:ilvl w:val="0"/>
          <w:numId w:val="10"/>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如乙方提供的设备设有维修软件密码，乙方保证无条件地为甲方免费打开，直至最底层维修模式。</w:t>
      </w:r>
    </w:p>
    <w:p w14:paraId="7A68E07B">
      <w:pPr>
        <w:widowControl w:val="0"/>
        <w:numPr>
          <w:ilvl w:val="0"/>
          <w:numId w:val="10"/>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若该设备涉及网络问题，甲方只负责提供一个网络接口，设备内部的局域网建设由乙方负责提供。</w:t>
      </w:r>
    </w:p>
    <w:p w14:paraId="3DB0AE64">
      <w:pPr>
        <w:widowControl w:val="0"/>
        <w:numPr>
          <w:ilvl w:val="0"/>
          <w:numId w:val="10"/>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乙方须免费开放所投产品的所有输入输出接口，能与</w:t>
      </w:r>
      <w:r>
        <w:rPr>
          <w:rFonts w:hint="eastAsia" w:ascii="Times New Roman" w:hAnsi="Times New Roman" w:eastAsia="宋体" w:cs="Times New Roman"/>
          <w:color w:val="auto"/>
          <w:kern w:val="2"/>
          <w:szCs w:val="21"/>
          <w:highlight w:val="none"/>
        </w:rPr>
        <w:t>甲方</w:t>
      </w:r>
      <w:r>
        <w:rPr>
          <w:rFonts w:ascii="Times New Roman" w:hAnsi="Times New Roman" w:eastAsia="宋体" w:cs="Times New Roman"/>
          <w:color w:val="auto"/>
          <w:kern w:val="2"/>
          <w:szCs w:val="21"/>
          <w:highlight w:val="none"/>
        </w:rPr>
        <w:t>现有网络及信息系统对接。如接入第三方系统产生费用，该费用由乙方承担。</w:t>
      </w:r>
    </w:p>
    <w:p w14:paraId="036FA9CC">
      <w:pPr>
        <w:widowControl w:val="0"/>
        <w:numPr>
          <w:ilvl w:val="0"/>
          <w:numId w:val="10"/>
        </w:numPr>
        <w:spacing w:line="360" w:lineRule="auto"/>
        <w:ind w:firstLine="420" w:firstLineChars="200"/>
        <w:jc w:val="both"/>
        <w:rPr>
          <w:rFonts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乙方承诺在设备使用期间，该设备对应专机专用耗材保证无条件正常供应，若发生因耗材停产造成设备无法使用的情况，由乙方承担该设备停用开始时的折旧费。</w:t>
      </w:r>
    </w:p>
    <w:p w14:paraId="30163C5B">
      <w:pPr>
        <w:widowControl w:val="0"/>
        <w:spacing w:before="312" w:beforeLines="100" w:after="156" w:afterLines="50" w:line="240" w:lineRule="auto"/>
        <w:ind w:firstLine="482" w:firstLineChars="200"/>
        <w:jc w:val="both"/>
        <w:rPr>
          <w:rFonts w:ascii="Times New Roman" w:hAnsi="Times New Roman" w:eastAsia="宋体" w:cs="Times New Roman"/>
          <w:b/>
          <w:bCs/>
          <w:color w:val="auto"/>
          <w:kern w:val="2"/>
          <w:sz w:val="24"/>
          <w:szCs w:val="24"/>
          <w:highlight w:val="none"/>
        </w:rPr>
      </w:pPr>
      <w:r>
        <w:rPr>
          <w:rFonts w:ascii="Times New Roman" w:hAnsi="Times New Roman" w:eastAsia="宋体" w:cs="Times New Roman"/>
          <w:b/>
          <w:bCs/>
          <w:color w:val="auto"/>
          <w:kern w:val="2"/>
          <w:sz w:val="24"/>
          <w:szCs w:val="24"/>
          <w:highlight w:val="none"/>
        </w:rPr>
        <w:t>第七条  违约责任</w:t>
      </w:r>
    </w:p>
    <w:p w14:paraId="082CEF07">
      <w:pPr>
        <w:widowControl w:val="0"/>
        <w:numPr>
          <w:ilvl w:val="0"/>
          <w:numId w:val="11"/>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自本协议生效之日起，双方应严格依约</w:t>
      </w:r>
      <w:r>
        <w:rPr>
          <w:rFonts w:hint="eastAsia" w:ascii="Times New Roman" w:hAnsi="Times New Roman" w:eastAsia="宋体" w:cs="Times New Roman"/>
          <w:color w:val="auto"/>
          <w:kern w:val="2"/>
          <w:szCs w:val="21"/>
          <w:highlight w:val="none"/>
          <w:lang w:eastAsia="zh-CN"/>
        </w:rPr>
        <w:t>履</w:t>
      </w:r>
      <w:r>
        <w:rPr>
          <w:rFonts w:ascii="Times New Roman" w:hAnsi="Times New Roman" w:eastAsia="宋体" w:cs="Times New Roman"/>
          <w:color w:val="auto"/>
          <w:kern w:val="2"/>
          <w:szCs w:val="21"/>
          <w:highlight w:val="none"/>
        </w:rPr>
        <w:t>行。若任何一方违反本协议规定，应赔偿由此给其他方造成的损失。</w:t>
      </w:r>
    </w:p>
    <w:p w14:paraId="78E1C056">
      <w:pPr>
        <w:widowControl w:val="0"/>
        <w:numPr>
          <w:ilvl w:val="0"/>
          <w:numId w:val="11"/>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如果乙方没有按照合同规定时间交货的，每逾期一日，乙方应按逾期交付货物价款总值的1%计算，向甲方支付逾期交货违约金，但该违约金总额不超过合同总金额的30%。乙方延期交货10日以上的，则视为乙方不能交货，甲方有权因此解除本合同。</w:t>
      </w:r>
    </w:p>
    <w:p w14:paraId="6B74408A">
      <w:pPr>
        <w:widowControl w:val="0"/>
        <w:numPr>
          <w:ilvl w:val="0"/>
          <w:numId w:val="11"/>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乙方向甲方提供假冒伪劣产品的，乙方按本批次所购产品金额的10倍向甲方支付</w:t>
      </w:r>
      <w:r>
        <w:rPr>
          <w:rFonts w:hint="eastAsia" w:ascii="Times New Roman" w:hAnsi="Times New Roman" w:eastAsia="宋体" w:cs="Times New Roman"/>
          <w:color w:val="auto"/>
          <w:kern w:val="2"/>
          <w:szCs w:val="21"/>
          <w:highlight w:val="none"/>
        </w:rPr>
        <w:t>赔偿</w:t>
      </w:r>
      <w:r>
        <w:rPr>
          <w:rFonts w:ascii="Times New Roman" w:hAnsi="Times New Roman" w:eastAsia="宋体" w:cs="Times New Roman"/>
          <w:color w:val="auto"/>
          <w:kern w:val="2"/>
          <w:szCs w:val="21"/>
          <w:highlight w:val="none"/>
        </w:rPr>
        <w:t>金。</w:t>
      </w:r>
    </w:p>
    <w:p w14:paraId="3A0D5E1A">
      <w:pPr>
        <w:widowControl w:val="0"/>
        <w:numPr>
          <w:ilvl w:val="0"/>
          <w:numId w:val="11"/>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乙方其他违约行为的，乙方</w:t>
      </w:r>
      <w:r>
        <w:rPr>
          <w:rFonts w:hint="eastAsia" w:ascii="Times New Roman" w:hAnsi="Times New Roman" w:eastAsia="宋体" w:cs="Times New Roman"/>
          <w:color w:val="auto"/>
          <w:kern w:val="2"/>
          <w:szCs w:val="21"/>
          <w:highlight w:val="none"/>
        </w:rPr>
        <w:t>自愿</w:t>
      </w:r>
      <w:r>
        <w:rPr>
          <w:rFonts w:ascii="Times New Roman" w:hAnsi="Times New Roman" w:eastAsia="宋体" w:cs="Times New Roman"/>
          <w:color w:val="auto"/>
          <w:kern w:val="2"/>
          <w:szCs w:val="21"/>
          <w:highlight w:val="none"/>
        </w:rPr>
        <w:t>按违约期内甲方向乙方购货总额的30%计算，向甲方支付违约金。如果乙方违约，在收到甲方通知后的10日内没有或拒不承担违约责任的，</w:t>
      </w:r>
      <w:r>
        <w:rPr>
          <w:rFonts w:hint="eastAsia" w:ascii="Times New Roman" w:hAnsi="Times New Roman" w:eastAsia="宋体" w:cs="Times New Roman"/>
          <w:color w:val="auto"/>
          <w:kern w:val="2"/>
          <w:szCs w:val="21"/>
          <w:highlight w:val="none"/>
        </w:rPr>
        <w:t>乙方同意</w:t>
      </w:r>
      <w:r>
        <w:rPr>
          <w:rFonts w:ascii="Times New Roman" w:hAnsi="Times New Roman" w:eastAsia="宋体" w:cs="Times New Roman"/>
          <w:color w:val="auto"/>
          <w:kern w:val="2"/>
          <w:szCs w:val="21"/>
          <w:highlight w:val="none"/>
        </w:rPr>
        <w:t>则甲方有权从</w:t>
      </w:r>
      <w:r>
        <w:rPr>
          <w:rFonts w:hint="eastAsia" w:ascii="Times New Roman" w:hAnsi="Times New Roman" w:eastAsia="宋体" w:cs="Times New Roman"/>
          <w:color w:val="auto"/>
          <w:kern w:val="2"/>
          <w:szCs w:val="21"/>
          <w:highlight w:val="none"/>
          <w:lang w:eastAsia="zh-CN"/>
        </w:rPr>
        <w:t>尚未</w:t>
      </w:r>
      <w:r>
        <w:rPr>
          <w:rFonts w:ascii="Times New Roman" w:hAnsi="Times New Roman" w:eastAsia="宋体" w:cs="Times New Roman"/>
          <w:color w:val="auto"/>
          <w:kern w:val="2"/>
          <w:szCs w:val="21"/>
          <w:highlight w:val="none"/>
        </w:rPr>
        <w:t>支付乙方的购货价款中扣回违约金。</w:t>
      </w:r>
    </w:p>
    <w:p w14:paraId="414BF2C8">
      <w:pPr>
        <w:widowControl w:val="0"/>
        <w:numPr>
          <w:ilvl w:val="0"/>
          <w:numId w:val="11"/>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因乙方的违约行为给甲方造成损失的（包括所有直接和</w:t>
      </w:r>
      <w:r>
        <w:rPr>
          <w:rFonts w:hint="eastAsia" w:ascii="Times New Roman" w:hAnsi="Times New Roman" w:eastAsia="宋体" w:cs="Times New Roman"/>
          <w:color w:val="auto"/>
          <w:kern w:val="2"/>
          <w:szCs w:val="21"/>
          <w:highlight w:val="none"/>
          <w:lang w:eastAsia="zh-CN"/>
        </w:rPr>
        <w:t>间接</w:t>
      </w:r>
      <w:r>
        <w:rPr>
          <w:rFonts w:ascii="Times New Roman" w:hAnsi="Times New Roman" w:eastAsia="宋体" w:cs="Times New Roman"/>
          <w:color w:val="auto"/>
          <w:kern w:val="2"/>
          <w:szCs w:val="21"/>
          <w:highlight w:val="none"/>
        </w:rPr>
        <w:t>损失），如果违约金不足以补偿该损失部分的，甲方有权继续要求乙方赔偿甲方所有实际损失，并保留</w:t>
      </w:r>
      <w:r>
        <w:rPr>
          <w:rFonts w:hint="eastAsia" w:ascii="Times New Roman" w:hAnsi="Times New Roman" w:eastAsia="宋体" w:cs="Times New Roman"/>
          <w:color w:val="auto"/>
          <w:kern w:val="2"/>
          <w:szCs w:val="21"/>
          <w:highlight w:val="none"/>
        </w:rPr>
        <w:t>追偿</w:t>
      </w:r>
      <w:r>
        <w:rPr>
          <w:rFonts w:ascii="Times New Roman" w:hAnsi="Times New Roman" w:eastAsia="宋体" w:cs="Times New Roman"/>
          <w:color w:val="auto"/>
          <w:kern w:val="2"/>
          <w:szCs w:val="21"/>
          <w:highlight w:val="none"/>
        </w:rPr>
        <w:t>的权利。</w:t>
      </w:r>
    </w:p>
    <w:p w14:paraId="48FD58FC">
      <w:pPr>
        <w:widowControl w:val="0"/>
        <w:numPr>
          <w:ilvl w:val="0"/>
          <w:numId w:val="11"/>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乙方对本合同所约定的设备价格负责，如果产生与设备价值、成本相关的任何法律纠纷由乙方承担，甲方不承担任何相关法律责任。</w:t>
      </w:r>
    </w:p>
    <w:p w14:paraId="01BD490A">
      <w:pPr>
        <w:widowControl w:val="0"/>
        <w:numPr>
          <w:ilvl w:val="0"/>
          <w:numId w:val="11"/>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乙方保证提供的商品、服务不存在任何法律纠纷，甲方在使用该商品或服务以及其中的任何一部分时，不侵犯任何的专利权、商标权、工业设计权或其他知识产权，如收到来自第三方的侵权诉讼或索赔，所有责任及由此造成的损失由乙方承担。</w:t>
      </w:r>
    </w:p>
    <w:p w14:paraId="4450C417">
      <w:pPr>
        <w:widowControl w:val="0"/>
        <w:numPr>
          <w:ilvl w:val="0"/>
          <w:numId w:val="11"/>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以上各项交付的违约金并不影响乙方继续履行本协议的其他各项义务。</w:t>
      </w:r>
    </w:p>
    <w:p w14:paraId="2245AEC9">
      <w:pPr>
        <w:widowControl w:val="0"/>
        <w:numPr>
          <w:ilvl w:val="0"/>
          <w:numId w:val="11"/>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乙方应保证甲方在使用、接受本合同货物和服务或其任何一部分时不受第三方提出侵犯其专利权、版权、商标权和工业设计权等知识产权的起诉。一旦出现侵权，由乙方负全部责任</w:t>
      </w:r>
      <w:r>
        <w:rPr>
          <w:rFonts w:hint="eastAsia" w:ascii="Times New Roman" w:hAnsi="Times New Roman" w:eastAsia="宋体" w:cs="Times New Roman"/>
          <w:color w:val="auto"/>
          <w:kern w:val="2"/>
          <w:szCs w:val="21"/>
          <w:highlight w:val="none"/>
        </w:rPr>
        <w:t>，由此导致的甲方损失包括但不限于诉讼费、鉴定费、侵权赔偿、律师费等费用应当由乙方赔偿给甲方</w:t>
      </w:r>
      <w:r>
        <w:rPr>
          <w:rFonts w:ascii="Times New Roman" w:hAnsi="Times New Roman" w:eastAsia="宋体" w:cs="Times New Roman"/>
          <w:color w:val="auto"/>
          <w:kern w:val="2"/>
          <w:szCs w:val="21"/>
          <w:highlight w:val="none"/>
        </w:rPr>
        <w:t>。</w:t>
      </w:r>
    </w:p>
    <w:p w14:paraId="58F333B5">
      <w:pPr>
        <w:widowControl w:val="0"/>
        <w:spacing w:before="312" w:beforeLines="100" w:after="156" w:afterLines="50" w:line="240" w:lineRule="auto"/>
        <w:ind w:firstLine="482" w:firstLineChars="200"/>
        <w:jc w:val="both"/>
        <w:rPr>
          <w:rFonts w:ascii="Times New Roman" w:hAnsi="Times New Roman" w:eastAsia="宋体" w:cs="Times New Roman"/>
          <w:b/>
          <w:bCs/>
          <w:color w:val="auto"/>
          <w:kern w:val="2"/>
          <w:sz w:val="24"/>
          <w:szCs w:val="24"/>
          <w:highlight w:val="none"/>
        </w:rPr>
      </w:pPr>
      <w:r>
        <w:rPr>
          <w:rFonts w:ascii="Times New Roman" w:hAnsi="Times New Roman" w:eastAsia="宋体" w:cs="Times New Roman"/>
          <w:b/>
          <w:bCs/>
          <w:color w:val="auto"/>
          <w:kern w:val="2"/>
          <w:sz w:val="24"/>
          <w:szCs w:val="24"/>
          <w:highlight w:val="none"/>
        </w:rPr>
        <w:t>第八条  合同解除与终止</w:t>
      </w:r>
    </w:p>
    <w:p w14:paraId="41038FA2">
      <w:pPr>
        <w:widowControl w:val="0"/>
        <w:numPr>
          <w:ilvl w:val="0"/>
          <w:numId w:val="12"/>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本合同签订后，任何一方无正当理由均不得单方解除合同，否则应按照本合同总价款的30%承担违约责任。</w:t>
      </w:r>
    </w:p>
    <w:p w14:paraId="7E7E6CED">
      <w:pPr>
        <w:widowControl w:val="0"/>
        <w:numPr>
          <w:ilvl w:val="0"/>
          <w:numId w:val="12"/>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一方违约，经他方催告并在合理期限内仍未履行或整改到位的，守约方有权单方解除合同，并要求违约方按照本合同总价款的30%承担违约责任。合同解除文件自实际送达之日起生效，如发生拒收，则自合同解除文件向本合同中记载的甲乙双方联系地址发出之日起生效。</w:t>
      </w:r>
    </w:p>
    <w:p w14:paraId="5E8DDAFC">
      <w:pPr>
        <w:widowControl w:val="0"/>
        <w:numPr>
          <w:ilvl w:val="0"/>
          <w:numId w:val="12"/>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任何一方由于下列原因而导致不能或暂时不能履行全部或部分合同义务的，不负责任：水灾、火灾、地震、干</w:t>
      </w:r>
      <w:r>
        <w:rPr>
          <w:rFonts w:hint="eastAsia" w:ascii="Times New Roman" w:hAnsi="Times New Roman" w:eastAsia="宋体" w:cs="Times New Roman"/>
          <w:color w:val="auto"/>
          <w:kern w:val="2"/>
          <w:szCs w:val="21"/>
          <w:highlight w:val="none"/>
          <w:lang w:eastAsia="zh-CN"/>
        </w:rPr>
        <w:t>旱</w:t>
      </w:r>
      <w:r>
        <w:rPr>
          <w:rFonts w:ascii="Times New Roman" w:hAnsi="Times New Roman" w:eastAsia="宋体" w:cs="Times New Roman"/>
          <w:color w:val="auto"/>
          <w:kern w:val="2"/>
          <w:szCs w:val="21"/>
          <w:highlight w:val="none"/>
        </w:rPr>
        <w:t>、战争或其他任何在签约时不能预料、无法控制且不能避免和克服的事件。但受不可抗力影响的一方，应尽快地将所发生的事件通知对方，并应在事件发生后15天内将有关机构出具的不可抗力事件的证明寄交对方。</w:t>
      </w:r>
    </w:p>
    <w:p w14:paraId="3026B86C">
      <w:pPr>
        <w:widowControl w:val="0"/>
        <w:spacing w:before="312" w:beforeLines="100" w:after="156" w:afterLines="50" w:line="240" w:lineRule="auto"/>
        <w:ind w:firstLine="482" w:firstLineChars="200"/>
        <w:jc w:val="both"/>
        <w:rPr>
          <w:rFonts w:ascii="Times New Roman" w:hAnsi="Times New Roman" w:eastAsia="宋体" w:cs="Times New Roman"/>
          <w:b/>
          <w:bCs/>
          <w:color w:val="auto"/>
          <w:kern w:val="2"/>
          <w:sz w:val="24"/>
          <w:szCs w:val="24"/>
          <w:highlight w:val="none"/>
        </w:rPr>
      </w:pPr>
      <w:r>
        <w:rPr>
          <w:rFonts w:ascii="Times New Roman" w:hAnsi="Times New Roman" w:eastAsia="宋体" w:cs="Times New Roman"/>
          <w:b/>
          <w:bCs/>
          <w:color w:val="auto"/>
          <w:kern w:val="2"/>
          <w:sz w:val="24"/>
          <w:szCs w:val="24"/>
          <w:highlight w:val="none"/>
        </w:rPr>
        <w:t xml:space="preserve">第九条 </w:t>
      </w:r>
      <w:r>
        <w:rPr>
          <w:rFonts w:hint="eastAsia" w:ascii="Times New Roman" w:hAnsi="Times New Roman" w:eastAsia="宋体" w:cs="Times New Roman"/>
          <w:b/>
          <w:bCs/>
          <w:color w:val="auto"/>
          <w:kern w:val="2"/>
          <w:sz w:val="24"/>
          <w:szCs w:val="24"/>
          <w:highlight w:val="none"/>
          <w:lang w:val="en-US" w:eastAsia="zh-CN"/>
        </w:rPr>
        <w:t xml:space="preserve"> </w:t>
      </w:r>
      <w:r>
        <w:rPr>
          <w:rFonts w:ascii="Times New Roman" w:hAnsi="Times New Roman" w:eastAsia="宋体" w:cs="Times New Roman"/>
          <w:b/>
          <w:bCs/>
          <w:color w:val="auto"/>
          <w:kern w:val="2"/>
          <w:sz w:val="24"/>
          <w:szCs w:val="24"/>
          <w:highlight w:val="none"/>
        </w:rPr>
        <w:t>保密条款</w:t>
      </w:r>
    </w:p>
    <w:p w14:paraId="5D834786">
      <w:pPr>
        <w:widowControl w:val="0"/>
        <w:numPr>
          <w:ilvl w:val="0"/>
          <w:numId w:val="13"/>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双方对于本协议的签订、本协议的内容、本协议的履行以及因履行本协议而获知的甲方的技术、商务、管理（及甲方患者的）等相关信息应承担保密义务。未经甲方书面同意，不得向任何第三方泄露。法律、行政法规另有规定者除外。</w:t>
      </w:r>
    </w:p>
    <w:p w14:paraId="62773F6F">
      <w:pPr>
        <w:widowControl w:val="0"/>
        <w:numPr>
          <w:ilvl w:val="0"/>
          <w:numId w:val="13"/>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双方应确保己方人员</w:t>
      </w:r>
      <w:r>
        <w:rPr>
          <w:rFonts w:hint="eastAsia" w:ascii="Times New Roman" w:hAnsi="Times New Roman" w:eastAsia="宋体" w:cs="Times New Roman"/>
          <w:color w:val="auto"/>
          <w:kern w:val="2"/>
          <w:szCs w:val="21"/>
          <w:highlight w:val="none"/>
          <w:lang w:eastAsia="zh-CN"/>
        </w:rPr>
        <w:t>遵</w:t>
      </w:r>
      <w:r>
        <w:rPr>
          <w:rFonts w:ascii="Times New Roman" w:hAnsi="Times New Roman" w:eastAsia="宋体" w:cs="Times New Roman"/>
          <w:color w:val="auto"/>
          <w:kern w:val="2"/>
          <w:szCs w:val="21"/>
          <w:highlight w:val="none"/>
        </w:rPr>
        <w:t>守本条约定保密义务，否则由此产生的一切后果由违约方承担责任。</w:t>
      </w:r>
    </w:p>
    <w:p w14:paraId="061CC02F">
      <w:pPr>
        <w:widowControl w:val="0"/>
        <w:numPr>
          <w:ilvl w:val="0"/>
          <w:numId w:val="13"/>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本条约定在本协议解除、终止或被认为无效后仍然有效。</w:t>
      </w:r>
    </w:p>
    <w:p w14:paraId="4E2BDC31">
      <w:pPr>
        <w:widowControl w:val="0"/>
        <w:spacing w:before="312" w:beforeLines="100" w:after="156" w:afterLines="50" w:line="240" w:lineRule="auto"/>
        <w:ind w:firstLine="482" w:firstLineChars="200"/>
        <w:jc w:val="both"/>
        <w:rPr>
          <w:rFonts w:ascii="Times New Roman" w:hAnsi="Times New Roman" w:eastAsia="宋体" w:cs="Times New Roman"/>
          <w:b/>
          <w:bCs/>
          <w:color w:val="auto"/>
          <w:kern w:val="2"/>
          <w:sz w:val="24"/>
          <w:szCs w:val="24"/>
          <w:highlight w:val="none"/>
        </w:rPr>
      </w:pPr>
      <w:r>
        <w:rPr>
          <w:rFonts w:ascii="Times New Roman" w:hAnsi="Times New Roman" w:eastAsia="宋体" w:cs="Times New Roman"/>
          <w:b/>
          <w:bCs/>
          <w:color w:val="auto"/>
          <w:kern w:val="2"/>
          <w:sz w:val="24"/>
          <w:szCs w:val="24"/>
          <w:highlight w:val="none"/>
        </w:rPr>
        <w:t xml:space="preserve">第十条 </w:t>
      </w:r>
      <w:r>
        <w:rPr>
          <w:rFonts w:hint="eastAsia" w:ascii="Times New Roman" w:hAnsi="Times New Roman" w:eastAsia="宋体" w:cs="Times New Roman"/>
          <w:b/>
          <w:bCs/>
          <w:color w:val="auto"/>
          <w:kern w:val="2"/>
          <w:sz w:val="24"/>
          <w:szCs w:val="24"/>
          <w:highlight w:val="none"/>
          <w:lang w:val="en-US" w:eastAsia="zh-CN"/>
        </w:rPr>
        <w:t xml:space="preserve"> </w:t>
      </w:r>
      <w:r>
        <w:rPr>
          <w:rFonts w:ascii="Times New Roman" w:hAnsi="Times New Roman" w:eastAsia="宋体" w:cs="Times New Roman"/>
          <w:b/>
          <w:bCs/>
          <w:color w:val="auto"/>
          <w:kern w:val="2"/>
          <w:sz w:val="24"/>
          <w:szCs w:val="24"/>
          <w:highlight w:val="none"/>
        </w:rPr>
        <w:t>其他</w:t>
      </w:r>
    </w:p>
    <w:p w14:paraId="2D4736B2">
      <w:pPr>
        <w:widowControl w:val="0"/>
        <w:numPr>
          <w:ilvl w:val="0"/>
          <w:numId w:val="14"/>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双方应本着友好协商的原则，解决与本合同有关的一切争议。如一方不愿协商或协商开始后30日内无法解决，应提交甲方所在地人民法院裁决。</w:t>
      </w:r>
    </w:p>
    <w:p w14:paraId="49734897">
      <w:pPr>
        <w:widowControl w:val="0"/>
        <w:numPr>
          <w:ilvl w:val="0"/>
          <w:numId w:val="14"/>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有关本采购项目的采购文件以及相关函件（如澄清函、确认函等）、供应商投标文件均构成本合同不可分割的一部分，与本合同具有同等法律效力。</w:t>
      </w:r>
    </w:p>
    <w:p w14:paraId="4219C14F">
      <w:pPr>
        <w:widowControl w:val="0"/>
        <w:numPr>
          <w:ilvl w:val="0"/>
          <w:numId w:val="14"/>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本合同未尽事宜及变更，应由甲乙双方另行签订书面补充协议确定。</w:t>
      </w:r>
    </w:p>
    <w:p w14:paraId="17715C10">
      <w:pPr>
        <w:widowControl w:val="0"/>
        <w:numPr>
          <w:ilvl w:val="0"/>
          <w:numId w:val="14"/>
        </w:numPr>
        <w:spacing w:line="360" w:lineRule="auto"/>
        <w:ind w:firstLine="420" w:firstLineChars="200"/>
        <w:jc w:val="both"/>
        <w:rPr>
          <w:rFonts w:ascii="Times New Roman" w:hAnsi="Times New Roman" w:eastAsia="宋体" w:cs="Times New Roman"/>
          <w:color w:val="auto"/>
          <w:kern w:val="2"/>
          <w:szCs w:val="21"/>
          <w:highlight w:val="none"/>
        </w:rPr>
      </w:pPr>
      <w:r>
        <w:rPr>
          <w:rFonts w:ascii="Times New Roman" w:hAnsi="Times New Roman" w:eastAsia="宋体" w:cs="Times New Roman"/>
          <w:color w:val="auto"/>
          <w:kern w:val="2"/>
          <w:szCs w:val="21"/>
          <w:highlight w:val="none"/>
        </w:rPr>
        <w:t>本合同一式叁份，经双方签字盖章并加盖骑缝章后生效。甲方执贰份，乙方执壹份，具有同等效力。</w:t>
      </w:r>
    </w:p>
    <w:p w14:paraId="77CA0BB3">
      <w:pPr>
        <w:rPr>
          <w:rFonts w:ascii="Times New Roman" w:hAnsi="Times New Roman" w:eastAsia="宋体" w:cs="Times New Roman"/>
          <w:color w:val="auto"/>
          <w:kern w:val="2"/>
          <w:sz w:val="21"/>
          <w:szCs w:val="22"/>
          <w:highlight w:val="none"/>
        </w:rPr>
      </w:pPr>
      <w:r>
        <w:rPr>
          <w:rFonts w:ascii="Times New Roman" w:hAnsi="Times New Roman" w:eastAsia="宋体" w:cs="Times New Roman"/>
          <w:color w:val="auto"/>
          <w:kern w:val="2"/>
          <w:sz w:val="21"/>
          <w:szCs w:val="22"/>
          <w:highlight w:val="none"/>
        </w:rPr>
        <w:br w:type="page"/>
      </w:r>
    </w:p>
    <w:p w14:paraId="06C7C65A">
      <w:pPr>
        <w:widowControl w:val="0"/>
        <w:spacing w:line="240" w:lineRule="auto"/>
        <w:ind w:firstLine="420" w:firstLineChars="200"/>
        <w:jc w:val="both"/>
        <w:rPr>
          <w:rFonts w:hint="eastAsia" w:ascii="Times New Roman" w:hAnsi="Times New Roman" w:eastAsia="宋体" w:cs="Times New Roman"/>
          <w:color w:val="auto"/>
          <w:kern w:val="2"/>
          <w:sz w:val="21"/>
          <w:szCs w:val="22"/>
          <w:highlight w:val="none"/>
          <w:lang w:eastAsia="zh-CN"/>
        </w:rPr>
      </w:pPr>
      <w:r>
        <w:rPr>
          <w:rFonts w:hint="eastAsia" w:ascii="Times New Roman" w:hAnsi="Times New Roman" w:eastAsia="宋体" w:cs="Times New Roman"/>
          <w:color w:val="auto"/>
          <w:kern w:val="2"/>
          <w:sz w:val="21"/>
          <w:szCs w:val="22"/>
          <w:highlight w:val="none"/>
          <w:lang w:eastAsia="zh-CN"/>
        </w:rPr>
        <w:t>（本页为签署页）</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0974D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3" w:hRule="atLeast"/>
        </w:trPr>
        <w:tc>
          <w:tcPr>
            <w:tcW w:w="4643" w:type="dxa"/>
            <w:tcBorders>
              <w:top w:val="nil"/>
              <w:left w:val="nil"/>
              <w:bottom w:val="nil"/>
              <w:right w:val="nil"/>
            </w:tcBorders>
            <w:noWrap w:val="0"/>
            <w:vAlign w:val="top"/>
          </w:tcPr>
          <w:p w14:paraId="34C6AA27">
            <w:pPr>
              <w:widowControl w:val="0"/>
              <w:spacing w:line="360" w:lineRule="auto"/>
              <w:jc w:val="both"/>
              <w:rPr>
                <w:rFonts w:ascii="Times New Roman" w:hAnsi="Times New Roman" w:eastAsia="宋体" w:cs="Times New Roman"/>
                <w:b/>
                <w:bCs/>
                <w:color w:val="auto"/>
                <w:kern w:val="2"/>
                <w:szCs w:val="21"/>
                <w:highlight w:val="none"/>
              </w:rPr>
            </w:pPr>
            <w:r>
              <w:rPr>
                <w:rFonts w:ascii="Times New Roman" w:hAnsi="Times New Roman" w:eastAsia="宋体" w:cs="Times New Roman"/>
                <w:b/>
                <w:bCs/>
                <w:color w:val="auto"/>
                <w:kern w:val="2"/>
                <w:szCs w:val="21"/>
                <w:highlight w:val="none"/>
              </w:rPr>
              <w:t>甲方（盖章）：南京市江宁医院</w:t>
            </w:r>
          </w:p>
        </w:tc>
        <w:tc>
          <w:tcPr>
            <w:tcW w:w="4643" w:type="dxa"/>
            <w:tcBorders>
              <w:top w:val="nil"/>
              <w:left w:val="nil"/>
              <w:bottom w:val="nil"/>
              <w:right w:val="nil"/>
            </w:tcBorders>
            <w:noWrap w:val="0"/>
            <w:vAlign w:val="top"/>
          </w:tcPr>
          <w:p w14:paraId="5CE18605">
            <w:pPr>
              <w:widowControl w:val="0"/>
              <w:spacing w:line="360" w:lineRule="auto"/>
              <w:jc w:val="both"/>
              <w:rPr>
                <w:rFonts w:ascii="Times New Roman" w:hAnsi="Times New Roman" w:eastAsia="宋体" w:cs="Times New Roman"/>
                <w:b/>
                <w:bCs/>
                <w:color w:val="auto"/>
                <w:kern w:val="2"/>
                <w:szCs w:val="21"/>
                <w:highlight w:val="none"/>
              </w:rPr>
            </w:pPr>
            <w:r>
              <w:rPr>
                <w:rFonts w:ascii="Times New Roman" w:hAnsi="Times New Roman" w:eastAsia="宋体" w:cs="Times New Roman"/>
                <w:b/>
                <w:bCs/>
                <w:color w:val="auto"/>
                <w:kern w:val="2"/>
                <w:szCs w:val="21"/>
                <w:highlight w:val="none"/>
              </w:rPr>
              <w:t>乙方（盖章）：</w:t>
            </w:r>
          </w:p>
        </w:tc>
      </w:tr>
      <w:tr w14:paraId="3FEC6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5" w:hRule="atLeast"/>
        </w:trPr>
        <w:tc>
          <w:tcPr>
            <w:tcW w:w="4643" w:type="dxa"/>
            <w:tcBorders>
              <w:top w:val="nil"/>
              <w:left w:val="nil"/>
              <w:bottom w:val="nil"/>
              <w:right w:val="nil"/>
            </w:tcBorders>
            <w:noWrap w:val="0"/>
            <w:vAlign w:val="top"/>
          </w:tcPr>
          <w:p w14:paraId="5C331DE5">
            <w:pPr>
              <w:widowControl w:val="0"/>
              <w:spacing w:line="360" w:lineRule="auto"/>
              <w:jc w:val="both"/>
              <w:rPr>
                <w:rFonts w:ascii="Times New Roman" w:hAnsi="Times New Roman" w:eastAsia="宋体" w:cs="Times New Roman"/>
                <w:b/>
                <w:bCs/>
                <w:color w:val="auto"/>
                <w:kern w:val="2"/>
                <w:szCs w:val="21"/>
                <w:highlight w:val="none"/>
              </w:rPr>
            </w:pPr>
            <w:r>
              <w:rPr>
                <w:rFonts w:ascii="Times New Roman" w:hAnsi="Times New Roman" w:eastAsia="宋体" w:cs="Times New Roman"/>
                <w:b/>
                <w:bCs/>
                <w:color w:val="auto"/>
                <w:kern w:val="2"/>
                <w:szCs w:val="21"/>
                <w:highlight w:val="none"/>
              </w:rPr>
              <w:t>地址：江宁区东山街道湖山路169号</w:t>
            </w:r>
          </w:p>
        </w:tc>
        <w:tc>
          <w:tcPr>
            <w:tcW w:w="4643" w:type="dxa"/>
            <w:tcBorders>
              <w:top w:val="nil"/>
              <w:left w:val="nil"/>
              <w:bottom w:val="nil"/>
              <w:right w:val="nil"/>
            </w:tcBorders>
            <w:noWrap w:val="0"/>
            <w:vAlign w:val="top"/>
          </w:tcPr>
          <w:p w14:paraId="16BC8322">
            <w:pPr>
              <w:widowControl w:val="0"/>
              <w:spacing w:line="360" w:lineRule="auto"/>
              <w:jc w:val="both"/>
              <w:rPr>
                <w:rFonts w:ascii="Times New Roman" w:hAnsi="Times New Roman" w:eastAsia="宋体" w:cs="Times New Roman"/>
                <w:b/>
                <w:bCs/>
                <w:color w:val="auto"/>
                <w:kern w:val="2"/>
                <w:szCs w:val="21"/>
                <w:highlight w:val="none"/>
              </w:rPr>
            </w:pPr>
            <w:r>
              <w:rPr>
                <w:rFonts w:ascii="Times New Roman" w:hAnsi="Times New Roman" w:eastAsia="宋体" w:cs="Times New Roman"/>
                <w:b/>
                <w:bCs/>
                <w:color w:val="auto"/>
                <w:kern w:val="2"/>
                <w:szCs w:val="21"/>
                <w:highlight w:val="none"/>
              </w:rPr>
              <w:t>地址：</w:t>
            </w:r>
          </w:p>
        </w:tc>
      </w:tr>
      <w:tr w14:paraId="0F1D4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0" w:hRule="atLeast"/>
        </w:trPr>
        <w:tc>
          <w:tcPr>
            <w:tcW w:w="4643" w:type="dxa"/>
            <w:tcBorders>
              <w:top w:val="nil"/>
              <w:left w:val="nil"/>
              <w:bottom w:val="nil"/>
              <w:right w:val="nil"/>
            </w:tcBorders>
            <w:noWrap w:val="0"/>
            <w:vAlign w:val="top"/>
          </w:tcPr>
          <w:p w14:paraId="78EC5E68">
            <w:pPr>
              <w:widowControl w:val="0"/>
              <w:spacing w:line="360" w:lineRule="auto"/>
              <w:jc w:val="both"/>
              <w:rPr>
                <w:rFonts w:ascii="Times New Roman" w:hAnsi="Times New Roman" w:eastAsia="宋体" w:cs="Times New Roman"/>
                <w:b/>
                <w:bCs/>
                <w:color w:val="auto"/>
                <w:kern w:val="2"/>
                <w:szCs w:val="21"/>
                <w:highlight w:val="none"/>
              </w:rPr>
            </w:pPr>
            <w:r>
              <w:rPr>
                <w:rFonts w:ascii="Times New Roman" w:hAnsi="Times New Roman" w:eastAsia="宋体" w:cs="Times New Roman"/>
                <w:b/>
                <w:bCs/>
                <w:color w:val="auto"/>
                <w:kern w:val="2"/>
                <w:szCs w:val="21"/>
                <w:highlight w:val="none"/>
              </w:rPr>
              <w:t>电话：</w:t>
            </w:r>
            <w:r>
              <w:rPr>
                <w:rFonts w:hint="eastAsia" w:ascii="Times New Roman" w:hAnsi="Times New Roman" w:eastAsia="宋体" w:cs="Times New Roman"/>
                <w:b/>
                <w:bCs/>
                <w:color w:val="auto"/>
                <w:kern w:val="2"/>
                <w:szCs w:val="21"/>
                <w:highlight w:val="none"/>
                <w:lang w:val="en-US" w:eastAsia="zh-CN"/>
              </w:rPr>
              <w:t>025</w:t>
            </w:r>
            <w:r>
              <w:rPr>
                <w:rFonts w:ascii="Times New Roman" w:hAnsi="Times New Roman" w:eastAsia="宋体" w:cs="Times New Roman"/>
                <w:b/>
                <w:bCs/>
                <w:color w:val="auto"/>
                <w:kern w:val="2"/>
                <w:szCs w:val="21"/>
                <w:highlight w:val="none"/>
              </w:rPr>
              <w:t>-52087332</w:t>
            </w:r>
          </w:p>
        </w:tc>
        <w:tc>
          <w:tcPr>
            <w:tcW w:w="4643" w:type="dxa"/>
            <w:tcBorders>
              <w:top w:val="nil"/>
              <w:left w:val="nil"/>
              <w:bottom w:val="nil"/>
              <w:right w:val="nil"/>
            </w:tcBorders>
            <w:noWrap w:val="0"/>
            <w:vAlign w:val="top"/>
          </w:tcPr>
          <w:p w14:paraId="2AFB4115">
            <w:pPr>
              <w:widowControl w:val="0"/>
              <w:spacing w:line="360" w:lineRule="auto"/>
              <w:jc w:val="both"/>
              <w:rPr>
                <w:rFonts w:ascii="Times New Roman" w:hAnsi="Times New Roman" w:eastAsia="宋体" w:cs="Times New Roman"/>
                <w:b/>
                <w:bCs/>
                <w:color w:val="auto"/>
                <w:kern w:val="2"/>
                <w:szCs w:val="21"/>
                <w:highlight w:val="none"/>
              </w:rPr>
            </w:pPr>
            <w:r>
              <w:rPr>
                <w:rFonts w:ascii="Times New Roman" w:hAnsi="Times New Roman" w:eastAsia="宋体" w:cs="Times New Roman"/>
                <w:b/>
                <w:bCs/>
                <w:color w:val="auto"/>
                <w:kern w:val="2"/>
                <w:szCs w:val="21"/>
                <w:highlight w:val="none"/>
              </w:rPr>
              <w:t>电话：</w:t>
            </w:r>
          </w:p>
        </w:tc>
      </w:tr>
      <w:tr w14:paraId="22861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 w:hRule="atLeast"/>
        </w:trPr>
        <w:tc>
          <w:tcPr>
            <w:tcW w:w="4643" w:type="dxa"/>
            <w:tcBorders>
              <w:top w:val="nil"/>
              <w:left w:val="nil"/>
              <w:bottom w:val="nil"/>
              <w:right w:val="nil"/>
            </w:tcBorders>
            <w:noWrap w:val="0"/>
            <w:vAlign w:val="top"/>
          </w:tcPr>
          <w:p w14:paraId="2EA0C5D8">
            <w:pPr>
              <w:widowControl w:val="0"/>
              <w:spacing w:line="360" w:lineRule="auto"/>
              <w:jc w:val="both"/>
              <w:rPr>
                <w:rFonts w:ascii="Times New Roman" w:hAnsi="Times New Roman" w:eastAsia="宋体" w:cs="Times New Roman"/>
                <w:b/>
                <w:bCs/>
                <w:color w:val="auto"/>
                <w:kern w:val="2"/>
                <w:szCs w:val="21"/>
                <w:highlight w:val="none"/>
              </w:rPr>
            </w:pPr>
            <w:r>
              <w:rPr>
                <w:rFonts w:ascii="Times New Roman" w:hAnsi="Times New Roman" w:eastAsia="宋体" w:cs="Times New Roman"/>
                <w:b/>
                <w:bCs/>
                <w:color w:val="auto"/>
                <w:kern w:val="2"/>
                <w:szCs w:val="21"/>
                <w:highlight w:val="none"/>
              </w:rPr>
              <w:t>法</w:t>
            </w:r>
            <w:r>
              <w:rPr>
                <w:rFonts w:hint="eastAsia" w:ascii="Times New Roman" w:hAnsi="Times New Roman" w:eastAsia="宋体" w:cs="Times New Roman"/>
                <w:b/>
                <w:bCs/>
                <w:color w:val="auto"/>
                <w:kern w:val="2"/>
                <w:szCs w:val="21"/>
                <w:highlight w:val="none"/>
                <w:lang w:eastAsia="zh-CN"/>
              </w:rPr>
              <w:t>定代表人</w:t>
            </w:r>
            <w:r>
              <w:rPr>
                <w:rFonts w:ascii="Times New Roman" w:hAnsi="Times New Roman" w:eastAsia="宋体" w:cs="Times New Roman"/>
                <w:b/>
                <w:bCs/>
                <w:color w:val="auto"/>
                <w:kern w:val="2"/>
                <w:szCs w:val="21"/>
                <w:highlight w:val="none"/>
              </w:rPr>
              <w:t>（签字）：</w:t>
            </w:r>
          </w:p>
        </w:tc>
        <w:tc>
          <w:tcPr>
            <w:tcW w:w="4643" w:type="dxa"/>
            <w:tcBorders>
              <w:top w:val="nil"/>
              <w:left w:val="nil"/>
              <w:bottom w:val="nil"/>
              <w:right w:val="nil"/>
            </w:tcBorders>
            <w:noWrap w:val="0"/>
            <w:vAlign w:val="top"/>
          </w:tcPr>
          <w:p w14:paraId="3CE32D2A">
            <w:pPr>
              <w:widowControl w:val="0"/>
              <w:spacing w:line="360" w:lineRule="auto"/>
              <w:jc w:val="both"/>
              <w:rPr>
                <w:rFonts w:ascii="Times New Roman" w:hAnsi="Times New Roman" w:eastAsia="宋体" w:cs="Times New Roman"/>
                <w:b/>
                <w:bCs/>
                <w:color w:val="auto"/>
                <w:kern w:val="2"/>
                <w:szCs w:val="21"/>
                <w:highlight w:val="none"/>
              </w:rPr>
            </w:pPr>
            <w:r>
              <w:rPr>
                <w:rFonts w:ascii="Times New Roman" w:hAnsi="Times New Roman" w:eastAsia="宋体" w:cs="Times New Roman"/>
                <w:b/>
                <w:bCs/>
                <w:color w:val="auto"/>
                <w:kern w:val="2"/>
                <w:szCs w:val="21"/>
                <w:highlight w:val="none"/>
              </w:rPr>
              <w:t>法</w:t>
            </w:r>
            <w:r>
              <w:rPr>
                <w:rFonts w:hint="eastAsia" w:ascii="Times New Roman" w:hAnsi="Times New Roman" w:eastAsia="宋体" w:cs="Times New Roman"/>
                <w:b/>
                <w:bCs/>
                <w:color w:val="auto"/>
                <w:kern w:val="2"/>
                <w:szCs w:val="21"/>
                <w:highlight w:val="none"/>
                <w:lang w:eastAsia="zh-CN"/>
              </w:rPr>
              <w:t>定代表人</w:t>
            </w:r>
            <w:r>
              <w:rPr>
                <w:rFonts w:ascii="Times New Roman" w:hAnsi="Times New Roman" w:eastAsia="宋体" w:cs="Times New Roman"/>
                <w:b/>
                <w:bCs/>
                <w:color w:val="auto"/>
                <w:kern w:val="2"/>
                <w:szCs w:val="21"/>
                <w:highlight w:val="none"/>
              </w:rPr>
              <w:t>（签字）：</w:t>
            </w:r>
          </w:p>
        </w:tc>
      </w:tr>
      <w:tr w14:paraId="7AC1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0" w:hRule="atLeast"/>
        </w:trPr>
        <w:tc>
          <w:tcPr>
            <w:tcW w:w="4643" w:type="dxa"/>
            <w:tcBorders>
              <w:top w:val="nil"/>
              <w:left w:val="nil"/>
              <w:bottom w:val="nil"/>
              <w:right w:val="nil"/>
            </w:tcBorders>
            <w:noWrap w:val="0"/>
            <w:vAlign w:val="top"/>
          </w:tcPr>
          <w:p w14:paraId="660CD5C1">
            <w:pPr>
              <w:widowControl w:val="0"/>
              <w:spacing w:line="360" w:lineRule="auto"/>
              <w:jc w:val="both"/>
              <w:rPr>
                <w:rFonts w:ascii="Times New Roman" w:hAnsi="Times New Roman" w:eastAsia="宋体" w:cs="Times New Roman"/>
                <w:b/>
                <w:bCs/>
                <w:color w:val="auto"/>
                <w:kern w:val="2"/>
                <w:szCs w:val="21"/>
                <w:highlight w:val="none"/>
              </w:rPr>
            </w:pPr>
          </w:p>
        </w:tc>
        <w:tc>
          <w:tcPr>
            <w:tcW w:w="4643" w:type="dxa"/>
            <w:tcBorders>
              <w:top w:val="nil"/>
              <w:left w:val="nil"/>
              <w:bottom w:val="nil"/>
              <w:right w:val="nil"/>
            </w:tcBorders>
            <w:noWrap w:val="0"/>
            <w:vAlign w:val="top"/>
          </w:tcPr>
          <w:p w14:paraId="23A4A6F5">
            <w:pPr>
              <w:widowControl w:val="0"/>
              <w:spacing w:line="360" w:lineRule="auto"/>
              <w:jc w:val="both"/>
              <w:rPr>
                <w:rFonts w:hint="eastAsia" w:ascii="Times New Roman" w:hAnsi="Times New Roman" w:eastAsia="宋体" w:cs="Times New Roman"/>
                <w:b/>
                <w:bCs/>
                <w:color w:val="auto"/>
                <w:kern w:val="2"/>
                <w:szCs w:val="21"/>
                <w:highlight w:val="none"/>
                <w:lang w:eastAsia="zh-CN"/>
              </w:rPr>
            </w:pPr>
            <w:r>
              <w:rPr>
                <w:rFonts w:hint="eastAsia" w:ascii="Times New Roman" w:hAnsi="Times New Roman" w:eastAsia="宋体" w:cs="Times New Roman"/>
                <w:b/>
                <w:bCs/>
                <w:color w:val="auto"/>
                <w:kern w:val="2"/>
                <w:szCs w:val="21"/>
                <w:highlight w:val="none"/>
                <w:lang w:eastAsia="zh-CN"/>
              </w:rPr>
              <w:t>手机：</w:t>
            </w:r>
          </w:p>
        </w:tc>
      </w:tr>
      <w:tr w14:paraId="26446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4643" w:type="dxa"/>
            <w:tcBorders>
              <w:top w:val="nil"/>
              <w:left w:val="nil"/>
              <w:bottom w:val="nil"/>
              <w:right w:val="nil"/>
            </w:tcBorders>
            <w:noWrap w:val="0"/>
            <w:vAlign w:val="top"/>
          </w:tcPr>
          <w:p w14:paraId="74C90E25">
            <w:pPr>
              <w:widowControl w:val="0"/>
              <w:spacing w:line="360" w:lineRule="auto"/>
              <w:jc w:val="both"/>
              <w:rPr>
                <w:rFonts w:hint="eastAsia" w:ascii="Times New Roman" w:hAnsi="Times New Roman" w:eastAsia="宋体" w:cs="Times New Roman"/>
                <w:b/>
                <w:bCs/>
                <w:color w:val="auto"/>
                <w:kern w:val="2"/>
                <w:szCs w:val="21"/>
                <w:highlight w:val="none"/>
                <w:lang w:eastAsia="zh-CN"/>
              </w:rPr>
            </w:pPr>
            <w:r>
              <w:rPr>
                <w:rFonts w:hint="eastAsia" w:ascii="Times New Roman" w:hAnsi="Times New Roman" w:eastAsia="宋体" w:cs="Times New Roman"/>
                <w:b/>
                <w:bCs/>
                <w:color w:val="auto"/>
                <w:kern w:val="2"/>
                <w:szCs w:val="21"/>
                <w:highlight w:val="none"/>
                <w:lang w:eastAsia="zh-CN"/>
              </w:rPr>
              <w:t>经办人（签字）：</w:t>
            </w:r>
          </w:p>
        </w:tc>
        <w:tc>
          <w:tcPr>
            <w:tcW w:w="4643" w:type="dxa"/>
            <w:tcBorders>
              <w:top w:val="nil"/>
              <w:left w:val="nil"/>
              <w:bottom w:val="nil"/>
              <w:right w:val="nil"/>
            </w:tcBorders>
            <w:noWrap w:val="0"/>
            <w:vAlign w:val="top"/>
          </w:tcPr>
          <w:p w14:paraId="76F225C3">
            <w:pPr>
              <w:widowControl w:val="0"/>
              <w:spacing w:line="360" w:lineRule="auto"/>
              <w:jc w:val="both"/>
              <w:rPr>
                <w:rFonts w:ascii="Times New Roman" w:hAnsi="Times New Roman" w:eastAsia="宋体" w:cs="Times New Roman"/>
                <w:b/>
                <w:bCs/>
                <w:color w:val="auto"/>
                <w:kern w:val="2"/>
                <w:szCs w:val="21"/>
                <w:highlight w:val="none"/>
              </w:rPr>
            </w:pPr>
            <w:r>
              <w:rPr>
                <w:rFonts w:ascii="Times New Roman" w:hAnsi="Times New Roman" w:eastAsia="宋体" w:cs="Times New Roman"/>
                <w:b/>
                <w:bCs/>
                <w:color w:val="auto"/>
                <w:kern w:val="2"/>
                <w:szCs w:val="21"/>
                <w:highlight w:val="none"/>
              </w:rPr>
              <w:t>项目经理（签字）：</w:t>
            </w:r>
          </w:p>
        </w:tc>
      </w:tr>
      <w:tr w14:paraId="3BF48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3" w:hRule="atLeast"/>
        </w:trPr>
        <w:tc>
          <w:tcPr>
            <w:tcW w:w="4643" w:type="dxa"/>
            <w:tcBorders>
              <w:top w:val="nil"/>
              <w:left w:val="nil"/>
              <w:bottom w:val="nil"/>
              <w:right w:val="nil"/>
            </w:tcBorders>
            <w:noWrap w:val="0"/>
            <w:vAlign w:val="top"/>
          </w:tcPr>
          <w:p w14:paraId="66AD06D8">
            <w:pPr>
              <w:widowControl w:val="0"/>
              <w:spacing w:line="360" w:lineRule="auto"/>
              <w:jc w:val="both"/>
              <w:rPr>
                <w:rFonts w:ascii="Times New Roman" w:hAnsi="Times New Roman" w:eastAsia="宋体" w:cs="Times New Roman"/>
                <w:b/>
                <w:bCs/>
                <w:color w:val="auto"/>
                <w:kern w:val="2"/>
                <w:szCs w:val="21"/>
                <w:highlight w:val="none"/>
              </w:rPr>
            </w:pPr>
          </w:p>
        </w:tc>
        <w:tc>
          <w:tcPr>
            <w:tcW w:w="4643" w:type="dxa"/>
            <w:tcBorders>
              <w:top w:val="nil"/>
              <w:left w:val="nil"/>
              <w:bottom w:val="nil"/>
              <w:right w:val="nil"/>
            </w:tcBorders>
            <w:noWrap w:val="0"/>
            <w:vAlign w:val="top"/>
          </w:tcPr>
          <w:p w14:paraId="563B0105">
            <w:pPr>
              <w:widowControl w:val="0"/>
              <w:spacing w:line="360" w:lineRule="auto"/>
              <w:jc w:val="both"/>
              <w:rPr>
                <w:rFonts w:ascii="Times New Roman" w:hAnsi="Times New Roman" w:eastAsia="宋体" w:cs="Times New Roman"/>
                <w:b/>
                <w:bCs/>
                <w:color w:val="auto"/>
                <w:kern w:val="2"/>
                <w:szCs w:val="21"/>
                <w:highlight w:val="none"/>
              </w:rPr>
            </w:pPr>
            <w:r>
              <w:rPr>
                <w:rFonts w:ascii="Times New Roman" w:hAnsi="Times New Roman" w:eastAsia="宋体" w:cs="Times New Roman"/>
                <w:b/>
                <w:bCs/>
                <w:color w:val="auto"/>
                <w:kern w:val="2"/>
                <w:szCs w:val="21"/>
                <w:highlight w:val="none"/>
              </w:rPr>
              <w:t>手机</w:t>
            </w:r>
            <w:r>
              <w:rPr>
                <w:rFonts w:hint="eastAsia" w:ascii="Times New Roman" w:hAnsi="Times New Roman" w:eastAsia="宋体" w:cs="Times New Roman"/>
                <w:b/>
                <w:bCs/>
                <w:color w:val="auto"/>
                <w:kern w:val="2"/>
                <w:szCs w:val="21"/>
                <w:highlight w:val="none"/>
                <w:lang w:eastAsia="zh-CN"/>
              </w:rPr>
              <w:t>（法人及经理）</w:t>
            </w:r>
            <w:r>
              <w:rPr>
                <w:rFonts w:ascii="Times New Roman" w:hAnsi="Times New Roman" w:eastAsia="宋体" w:cs="Times New Roman"/>
                <w:b/>
                <w:bCs/>
                <w:color w:val="auto"/>
                <w:kern w:val="2"/>
                <w:szCs w:val="21"/>
                <w:highlight w:val="none"/>
              </w:rPr>
              <w:t>：</w:t>
            </w:r>
          </w:p>
        </w:tc>
      </w:tr>
      <w:tr w14:paraId="33809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4643" w:type="dxa"/>
            <w:tcBorders>
              <w:top w:val="nil"/>
              <w:left w:val="nil"/>
              <w:bottom w:val="nil"/>
              <w:right w:val="nil"/>
            </w:tcBorders>
            <w:noWrap w:val="0"/>
            <w:vAlign w:val="top"/>
          </w:tcPr>
          <w:p w14:paraId="236DE0B0">
            <w:pPr>
              <w:widowControl w:val="0"/>
              <w:spacing w:line="360" w:lineRule="auto"/>
              <w:jc w:val="both"/>
              <w:rPr>
                <w:rFonts w:ascii="Times New Roman" w:hAnsi="Times New Roman" w:eastAsia="宋体" w:cs="Times New Roman"/>
                <w:b/>
                <w:bCs/>
                <w:color w:val="auto"/>
                <w:kern w:val="2"/>
                <w:szCs w:val="21"/>
                <w:highlight w:val="none"/>
              </w:rPr>
            </w:pPr>
          </w:p>
        </w:tc>
        <w:tc>
          <w:tcPr>
            <w:tcW w:w="4643" w:type="dxa"/>
            <w:tcBorders>
              <w:top w:val="nil"/>
              <w:left w:val="nil"/>
              <w:bottom w:val="nil"/>
              <w:right w:val="nil"/>
            </w:tcBorders>
            <w:noWrap w:val="0"/>
            <w:vAlign w:val="top"/>
          </w:tcPr>
          <w:p w14:paraId="7A72E876">
            <w:pPr>
              <w:widowControl w:val="0"/>
              <w:spacing w:line="360" w:lineRule="auto"/>
              <w:jc w:val="both"/>
              <w:rPr>
                <w:rFonts w:ascii="Times New Roman" w:hAnsi="Times New Roman" w:eastAsia="宋体" w:cs="Times New Roman"/>
                <w:b/>
                <w:bCs/>
                <w:color w:val="auto"/>
                <w:kern w:val="2"/>
                <w:szCs w:val="21"/>
                <w:highlight w:val="none"/>
              </w:rPr>
            </w:pPr>
            <w:r>
              <w:rPr>
                <w:rFonts w:ascii="Times New Roman" w:hAnsi="Times New Roman" w:eastAsia="宋体" w:cs="Times New Roman"/>
                <w:b/>
                <w:bCs/>
                <w:color w:val="auto"/>
                <w:kern w:val="2"/>
                <w:szCs w:val="21"/>
                <w:highlight w:val="none"/>
              </w:rPr>
              <w:t>开户行：</w:t>
            </w:r>
          </w:p>
        </w:tc>
      </w:tr>
      <w:tr w14:paraId="4F1E1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4643" w:type="dxa"/>
            <w:tcBorders>
              <w:top w:val="nil"/>
              <w:left w:val="nil"/>
              <w:bottom w:val="nil"/>
              <w:right w:val="nil"/>
            </w:tcBorders>
            <w:noWrap w:val="0"/>
            <w:vAlign w:val="top"/>
          </w:tcPr>
          <w:p w14:paraId="6A13D91F">
            <w:pPr>
              <w:widowControl w:val="0"/>
              <w:spacing w:line="360" w:lineRule="auto"/>
              <w:jc w:val="both"/>
              <w:rPr>
                <w:rFonts w:ascii="Times New Roman" w:hAnsi="Times New Roman" w:eastAsia="宋体" w:cs="Times New Roman"/>
                <w:b/>
                <w:bCs/>
                <w:color w:val="auto"/>
                <w:kern w:val="2"/>
                <w:szCs w:val="21"/>
                <w:highlight w:val="none"/>
              </w:rPr>
            </w:pPr>
          </w:p>
        </w:tc>
        <w:tc>
          <w:tcPr>
            <w:tcW w:w="4643" w:type="dxa"/>
            <w:tcBorders>
              <w:top w:val="nil"/>
              <w:left w:val="nil"/>
              <w:bottom w:val="nil"/>
              <w:right w:val="nil"/>
            </w:tcBorders>
            <w:noWrap w:val="0"/>
            <w:vAlign w:val="top"/>
          </w:tcPr>
          <w:p w14:paraId="303D8D33">
            <w:pPr>
              <w:widowControl w:val="0"/>
              <w:spacing w:line="360" w:lineRule="auto"/>
              <w:jc w:val="both"/>
              <w:rPr>
                <w:rFonts w:ascii="Times New Roman" w:hAnsi="Times New Roman" w:eastAsia="宋体" w:cs="Times New Roman"/>
                <w:b/>
                <w:bCs/>
                <w:color w:val="auto"/>
                <w:kern w:val="2"/>
                <w:szCs w:val="21"/>
                <w:highlight w:val="none"/>
              </w:rPr>
            </w:pPr>
            <w:r>
              <w:rPr>
                <w:rFonts w:ascii="Times New Roman" w:hAnsi="Times New Roman" w:eastAsia="宋体" w:cs="Times New Roman"/>
                <w:b/>
                <w:bCs/>
                <w:color w:val="auto"/>
                <w:kern w:val="2"/>
                <w:szCs w:val="21"/>
                <w:highlight w:val="none"/>
              </w:rPr>
              <w:t>账号：</w:t>
            </w:r>
          </w:p>
        </w:tc>
      </w:tr>
    </w:tbl>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422CF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Borders>
              <w:top w:val="nil"/>
              <w:left w:val="nil"/>
              <w:bottom w:val="nil"/>
              <w:right w:val="nil"/>
            </w:tcBorders>
            <w:noWrap w:val="0"/>
            <w:vAlign w:val="top"/>
          </w:tcPr>
          <w:p w14:paraId="736F35EA">
            <w:pPr>
              <w:widowControl w:val="0"/>
              <w:spacing w:line="360" w:lineRule="auto"/>
              <w:jc w:val="both"/>
              <w:rPr>
                <w:rFonts w:hint="eastAsia" w:ascii="宋体" w:hAnsi="宋体" w:eastAsia="宋体" w:cs="宋体"/>
                <w:b/>
                <w:bCs/>
                <w:color w:val="auto"/>
                <w:kern w:val="2"/>
                <w:szCs w:val="21"/>
                <w:highlight w:val="none"/>
                <w:lang w:eastAsia="zh-CN"/>
              </w:rPr>
            </w:pPr>
            <w:r>
              <w:rPr>
                <w:rFonts w:hint="eastAsia" w:ascii="宋体" w:hAnsi="宋体" w:eastAsia="宋体" w:cs="宋体"/>
                <w:b/>
                <w:bCs/>
                <w:color w:val="auto"/>
                <w:kern w:val="2"/>
                <w:szCs w:val="21"/>
                <w:highlight w:val="none"/>
                <w:lang w:eastAsia="zh-CN"/>
              </w:rPr>
              <w:t>鉴证方（盖章）：</w:t>
            </w:r>
          </w:p>
        </w:tc>
      </w:tr>
      <w:tr w14:paraId="225AB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Borders>
              <w:top w:val="nil"/>
              <w:left w:val="nil"/>
              <w:bottom w:val="nil"/>
              <w:right w:val="nil"/>
            </w:tcBorders>
            <w:noWrap w:val="0"/>
            <w:vAlign w:val="top"/>
          </w:tcPr>
          <w:p w14:paraId="7DD4B029">
            <w:pPr>
              <w:widowControl w:val="0"/>
              <w:spacing w:line="360" w:lineRule="auto"/>
              <w:jc w:val="both"/>
              <w:rPr>
                <w:rFonts w:hint="eastAsia" w:ascii="宋体" w:hAnsi="宋体" w:eastAsia="宋体" w:cs="宋体"/>
                <w:b/>
                <w:bCs/>
                <w:color w:val="auto"/>
                <w:kern w:val="2"/>
                <w:szCs w:val="21"/>
                <w:highlight w:val="none"/>
                <w:lang w:eastAsia="zh-CN"/>
              </w:rPr>
            </w:pPr>
            <w:r>
              <w:rPr>
                <w:rFonts w:hint="eastAsia" w:ascii="宋体" w:hAnsi="宋体" w:eastAsia="宋体" w:cs="宋体"/>
                <w:b/>
                <w:bCs/>
                <w:color w:val="auto"/>
                <w:kern w:val="2"/>
                <w:szCs w:val="21"/>
                <w:highlight w:val="none"/>
                <w:lang w:eastAsia="zh-CN"/>
              </w:rPr>
              <w:t>地址：</w:t>
            </w:r>
          </w:p>
        </w:tc>
      </w:tr>
      <w:tr w14:paraId="3F856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Borders>
              <w:top w:val="nil"/>
              <w:left w:val="nil"/>
              <w:bottom w:val="nil"/>
              <w:right w:val="nil"/>
            </w:tcBorders>
            <w:noWrap w:val="0"/>
            <w:vAlign w:val="top"/>
          </w:tcPr>
          <w:p w14:paraId="138679D9">
            <w:pPr>
              <w:widowControl w:val="0"/>
              <w:spacing w:line="360" w:lineRule="auto"/>
              <w:jc w:val="both"/>
              <w:rPr>
                <w:rFonts w:hint="eastAsia" w:ascii="宋体" w:hAnsi="宋体" w:eastAsia="宋体" w:cs="宋体"/>
                <w:b/>
                <w:bCs/>
                <w:color w:val="auto"/>
                <w:kern w:val="2"/>
                <w:szCs w:val="21"/>
                <w:highlight w:val="none"/>
                <w:vertAlign w:val="baseline"/>
                <w:lang w:eastAsia="zh-CN"/>
              </w:rPr>
            </w:pPr>
            <w:r>
              <w:rPr>
                <w:rFonts w:hint="eastAsia" w:ascii="宋体" w:hAnsi="宋体" w:eastAsia="宋体" w:cs="宋体"/>
                <w:b/>
                <w:bCs/>
                <w:color w:val="auto"/>
                <w:kern w:val="2"/>
                <w:szCs w:val="21"/>
                <w:highlight w:val="none"/>
                <w:lang w:eastAsia="zh-CN"/>
              </w:rPr>
              <w:t>招标项目负责人（签字）：</w:t>
            </w:r>
          </w:p>
        </w:tc>
        <w:tc>
          <w:tcPr>
            <w:tcW w:w="4643" w:type="dxa"/>
            <w:tcBorders>
              <w:top w:val="nil"/>
              <w:left w:val="nil"/>
              <w:bottom w:val="nil"/>
              <w:right w:val="nil"/>
            </w:tcBorders>
            <w:noWrap w:val="0"/>
            <w:vAlign w:val="top"/>
          </w:tcPr>
          <w:p w14:paraId="34226A92">
            <w:pPr>
              <w:widowControl w:val="0"/>
              <w:spacing w:line="360" w:lineRule="auto"/>
              <w:jc w:val="both"/>
              <w:rPr>
                <w:rFonts w:hint="eastAsia" w:ascii="宋体" w:hAnsi="宋体" w:eastAsia="宋体" w:cs="宋体"/>
                <w:b/>
                <w:bCs/>
                <w:color w:val="auto"/>
                <w:kern w:val="2"/>
                <w:szCs w:val="21"/>
                <w:highlight w:val="none"/>
                <w:vertAlign w:val="baseline"/>
                <w:lang w:eastAsia="zh-CN"/>
              </w:rPr>
            </w:pPr>
          </w:p>
        </w:tc>
      </w:tr>
      <w:tr w14:paraId="27E23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Borders>
              <w:top w:val="nil"/>
              <w:left w:val="nil"/>
              <w:bottom w:val="nil"/>
              <w:right w:val="nil"/>
            </w:tcBorders>
            <w:noWrap w:val="0"/>
            <w:vAlign w:val="top"/>
          </w:tcPr>
          <w:p w14:paraId="6CF34661">
            <w:pPr>
              <w:widowControl w:val="0"/>
              <w:spacing w:line="360" w:lineRule="auto"/>
              <w:jc w:val="both"/>
              <w:rPr>
                <w:rFonts w:hint="eastAsia" w:ascii="宋体" w:hAnsi="宋体" w:eastAsia="宋体" w:cs="宋体"/>
                <w:b/>
                <w:bCs/>
                <w:color w:val="auto"/>
                <w:kern w:val="2"/>
                <w:szCs w:val="21"/>
                <w:highlight w:val="none"/>
                <w:vertAlign w:val="baseline"/>
                <w:lang w:eastAsia="zh-CN"/>
              </w:rPr>
            </w:pPr>
            <w:r>
              <w:rPr>
                <w:rFonts w:hint="eastAsia" w:ascii="宋体" w:hAnsi="宋体" w:eastAsia="宋体" w:cs="宋体"/>
                <w:b/>
                <w:bCs/>
                <w:color w:val="auto"/>
                <w:kern w:val="2"/>
                <w:szCs w:val="21"/>
                <w:highlight w:val="none"/>
                <w:lang w:eastAsia="zh-CN"/>
              </w:rPr>
              <w:t>联系电话：</w:t>
            </w:r>
          </w:p>
        </w:tc>
        <w:tc>
          <w:tcPr>
            <w:tcW w:w="4643" w:type="dxa"/>
            <w:tcBorders>
              <w:top w:val="nil"/>
              <w:left w:val="nil"/>
              <w:bottom w:val="nil"/>
              <w:right w:val="nil"/>
            </w:tcBorders>
            <w:noWrap w:val="0"/>
            <w:vAlign w:val="top"/>
          </w:tcPr>
          <w:p w14:paraId="5B5F76FB">
            <w:pPr>
              <w:widowControl w:val="0"/>
              <w:spacing w:line="360" w:lineRule="auto"/>
              <w:jc w:val="both"/>
              <w:rPr>
                <w:rFonts w:hint="eastAsia" w:ascii="宋体" w:hAnsi="宋体" w:eastAsia="宋体" w:cs="宋体"/>
                <w:b/>
                <w:bCs/>
                <w:color w:val="auto"/>
                <w:kern w:val="2"/>
                <w:szCs w:val="21"/>
                <w:highlight w:val="none"/>
                <w:vertAlign w:val="baseline"/>
                <w:lang w:eastAsia="zh-CN"/>
              </w:rPr>
            </w:pPr>
            <w:r>
              <w:rPr>
                <w:rFonts w:hint="eastAsia" w:ascii="宋体" w:hAnsi="宋体" w:eastAsia="宋体" w:cs="宋体"/>
                <w:b/>
                <w:bCs/>
                <w:color w:val="auto"/>
                <w:kern w:val="2"/>
                <w:szCs w:val="21"/>
                <w:highlight w:val="none"/>
                <w:vertAlign w:val="baseline"/>
                <w:lang w:eastAsia="zh-CN"/>
              </w:rPr>
              <w:t>签订日期：</w:t>
            </w:r>
            <w:r>
              <w:rPr>
                <w:rFonts w:ascii="Times New Roman" w:hAnsi="Times New Roman" w:eastAsia="宋体" w:cs="Times New Roman"/>
                <w:b/>
                <w:bCs/>
                <w:color w:val="auto"/>
                <w:kern w:val="2"/>
                <w:szCs w:val="21"/>
                <w:highlight w:val="none"/>
              </w:rPr>
              <w:t xml:space="preserve">      年   </w:t>
            </w:r>
            <w:r>
              <w:rPr>
                <w:rFonts w:hint="eastAsia" w:ascii="Times New Roman" w:hAnsi="Times New Roman" w:eastAsia="宋体" w:cs="Times New Roman"/>
                <w:b/>
                <w:bCs/>
                <w:color w:val="auto"/>
                <w:kern w:val="2"/>
                <w:szCs w:val="21"/>
                <w:highlight w:val="none"/>
              </w:rPr>
              <w:t xml:space="preserve"> </w:t>
            </w:r>
            <w:r>
              <w:rPr>
                <w:rFonts w:ascii="Times New Roman" w:hAnsi="Times New Roman" w:eastAsia="宋体" w:cs="Times New Roman"/>
                <w:b/>
                <w:bCs/>
                <w:color w:val="auto"/>
                <w:kern w:val="2"/>
                <w:szCs w:val="21"/>
                <w:highlight w:val="none"/>
              </w:rPr>
              <w:t xml:space="preserve">月 </w:t>
            </w:r>
            <w:r>
              <w:rPr>
                <w:rFonts w:hint="eastAsia" w:ascii="Times New Roman" w:hAnsi="Times New Roman" w:eastAsia="宋体" w:cs="Times New Roman"/>
                <w:b/>
                <w:bCs/>
                <w:color w:val="auto"/>
                <w:kern w:val="2"/>
                <w:szCs w:val="21"/>
                <w:highlight w:val="none"/>
              </w:rPr>
              <w:t xml:space="preserve"> </w:t>
            </w:r>
            <w:r>
              <w:rPr>
                <w:rFonts w:ascii="Times New Roman" w:hAnsi="Times New Roman" w:eastAsia="宋体" w:cs="Times New Roman"/>
                <w:b/>
                <w:bCs/>
                <w:color w:val="auto"/>
                <w:kern w:val="2"/>
                <w:szCs w:val="21"/>
                <w:highlight w:val="none"/>
              </w:rPr>
              <w:t xml:space="preserve">  日</w:t>
            </w:r>
          </w:p>
        </w:tc>
      </w:tr>
    </w:tbl>
    <w:p w14:paraId="1464D869">
      <w:pPr>
        <w:widowControl w:val="0"/>
        <w:spacing w:line="240" w:lineRule="auto"/>
        <w:ind w:left="-50" w:leftChars="-95" w:hanging="149" w:hangingChars="71"/>
        <w:jc w:val="both"/>
        <w:rPr>
          <w:rFonts w:ascii="Times New Roman" w:hAnsi="Times New Roman" w:eastAsia="新宋体" w:cs="Times New Roman"/>
          <w:color w:val="auto"/>
          <w:kern w:val="2"/>
          <w:szCs w:val="21"/>
          <w:highlight w:val="none"/>
        </w:rPr>
      </w:pPr>
    </w:p>
    <w:p w14:paraId="31EE16A5">
      <w:pPr>
        <w:widowControl w:val="0"/>
        <w:spacing w:line="240" w:lineRule="auto"/>
        <w:ind w:left="-50" w:leftChars="-95" w:hanging="149" w:hangingChars="71"/>
        <w:jc w:val="both"/>
        <w:rPr>
          <w:rFonts w:ascii="Times New Roman" w:hAnsi="Times New Roman" w:eastAsia="新宋体" w:cs="Times New Roman"/>
          <w:color w:val="auto"/>
          <w:kern w:val="2"/>
          <w:szCs w:val="21"/>
          <w:highlight w:val="none"/>
        </w:rPr>
      </w:pPr>
      <w:r>
        <w:rPr>
          <w:rFonts w:ascii="Times New Roman" w:hAnsi="Times New Roman" w:eastAsia="新宋体" w:cs="Times New Roman"/>
          <w:color w:val="auto"/>
          <w:kern w:val="2"/>
          <w:szCs w:val="21"/>
          <w:highlight w:val="none"/>
        </w:rPr>
        <w:t>附件1：设备配置清单</w:t>
      </w:r>
      <w:r>
        <w:rPr>
          <w:rFonts w:hint="eastAsia" w:ascii="Times New Roman" w:hAnsi="Times New Roman" w:eastAsia="新宋体" w:cs="Times New Roman"/>
          <w:color w:val="auto"/>
          <w:kern w:val="2"/>
          <w:szCs w:val="21"/>
          <w:highlight w:val="none"/>
          <w:lang w:eastAsia="zh-CN"/>
        </w:rPr>
        <w:t>、设备配套耗材</w:t>
      </w:r>
      <w:r>
        <w:rPr>
          <w:rFonts w:hint="eastAsia" w:ascii="Times New Roman" w:hAnsi="Times New Roman" w:eastAsia="新宋体" w:cs="Times New Roman"/>
          <w:color w:val="auto"/>
          <w:kern w:val="2"/>
          <w:szCs w:val="21"/>
          <w:highlight w:val="none"/>
          <w:lang w:val="en-US" w:eastAsia="zh-CN"/>
        </w:rPr>
        <w:t>/</w:t>
      </w:r>
      <w:r>
        <w:rPr>
          <w:rFonts w:hint="eastAsia" w:ascii="Times New Roman" w:hAnsi="Times New Roman" w:eastAsia="新宋体" w:cs="Times New Roman"/>
          <w:color w:val="auto"/>
          <w:kern w:val="2"/>
          <w:szCs w:val="21"/>
          <w:highlight w:val="none"/>
          <w:lang w:eastAsia="zh-CN"/>
        </w:rPr>
        <w:t>试剂清单（有配套耗材</w:t>
      </w:r>
      <w:r>
        <w:rPr>
          <w:rFonts w:hint="eastAsia" w:ascii="Times New Roman" w:hAnsi="Times New Roman" w:eastAsia="新宋体" w:cs="Times New Roman"/>
          <w:color w:val="auto"/>
          <w:kern w:val="2"/>
          <w:szCs w:val="21"/>
          <w:highlight w:val="none"/>
          <w:lang w:val="en-US" w:eastAsia="zh-CN"/>
        </w:rPr>
        <w:t>/试剂需附</w:t>
      </w:r>
      <w:r>
        <w:rPr>
          <w:rFonts w:hint="eastAsia" w:ascii="Times New Roman" w:hAnsi="Times New Roman" w:eastAsia="新宋体" w:cs="Times New Roman"/>
          <w:color w:val="auto"/>
          <w:kern w:val="2"/>
          <w:szCs w:val="21"/>
          <w:highlight w:val="none"/>
          <w:lang w:eastAsia="zh-CN"/>
        </w:rPr>
        <w:t>）</w:t>
      </w:r>
    </w:p>
    <w:p w14:paraId="7866C952">
      <w:pPr>
        <w:widowControl w:val="0"/>
        <w:spacing w:line="240" w:lineRule="auto"/>
        <w:ind w:left="-50" w:leftChars="-95" w:hanging="149" w:hangingChars="71"/>
        <w:jc w:val="both"/>
        <w:rPr>
          <w:rFonts w:ascii="Times New Roman" w:hAnsi="Times New Roman" w:eastAsia="新宋体" w:cs="Times New Roman"/>
          <w:color w:val="auto"/>
          <w:kern w:val="2"/>
          <w:szCs w:val="21"/>
          <w:highlight w:val="none"/>
        </w:rPr>
      </w:pPr>
      <w:r>
        <w:rPr>
          <w:rFonts w:ascii="Times New Roman" w:hAnsi="Times New Roman" w:eastAsia="新宋体" w:cs="Times New Roman"/>
          <w:color w:val="auto"/>
          <w:kern w:val="2"/>
          <w:szCs w:val="21"/>
          <w:highlight w:val="none"/>
        </w:rPr>
        <w:t>附件2：南京市江宁医院医疗设备供应商验收须知</w:t>
      </w:r>
    </w:p>
    <w:p w14:paraId="05F9CA47">
      <w:pPr>
        <w:widowControl w:val="0"/>
        <w:spacing w:line="240" w:lineRule="auto"/>
        <w:ind w:left="-50" w:leftChars="-95" w:hanging="149" w:hangingChars="71"/>
        <w:jc w:val="both"/>
        <w:rPr>
          <w:rFonts w:ascii="Times New Roman" w:hAnsi="Times New Roman" w:eastAsia="新宋体" w:cs="Times New Roman"/>
          <w:color w:val="auto"/>
          <w:kern w:val="2"/>
          <w:szCs w:val="21"/>
          <w:highlight w:val="none"/>
        </w:rPr>
      </w:pPr>
      <w:r>
        <w:rPr>
          <w:rFonts w:ascii="Times New Roman" w:hAnsi="Times New Roman" w:eastAsia="新宋体" w:cs="Times New Roman"/>
          <w:color w:val="auto"/>
          <w:kern w:val="2"/>
          <w:szCs w:val="21"/>
          <w:highlight w:val="none"/>
        </w:rPr>
        <w:t>附件3：南京市江宁医院医疗设备安装（含维修）单位消防、安全生产、治安管理承诺书</w:t>
      </w:r>
    </w:p>
    <w:p w14:paraId="4EB1C13A">
      <w:pPr>
        <w:widowControl w:val="0"/>
        <w:spacing w:line="240" w:lineRule="auto"/>
        <w:ind w:left="-50" w:leftChars="-95" w:hanging="149" w:hangingChars="71"/>
        <w:jc w:val="both"/>
        <w:rPr>
          <w:rFonts w:ascii="Times New Roman" w:hAnsi="Times New Roman" w:eastAsia="新宋体" w:cs="Times New Roman"/>
          <w:color w:val="auto"/>
          <w:kern w:val="2"/>
          <w:szCs w:val="21"/>
          <w:highlight w:val="none"/>
        </w:rPr>
      </w:pPr>
      <w:r>
        <w:rPr>
          <w:rFonts w:ascii="Times New Roman" w:hAnsi="Times New Roman" w:eastAsia="新宋体" w:cs="Times New Roman"/>
          <w:color w:val="auto"/>
          <w:kern w:val="2"/>
          <w:szCs w:val="21"/>
          <w:highlight w:val="none"/>
        </w:rPr>
        <w:t>附件4：南京市江宁医院医药产品购销廉洁条例</w:t>
      </w:r>
    </w:p>
    <w:p w14:paraId="0ED9B5EF">
      <w:pPr>
        <w:widowControl w:val="0"/>
        <w:spacing w:line="240" w:lineRule="auto"/>
        <w:ind w:left="-50" w:leftChars="-95" w:hanging="149" w:hangingChars="71"/>
        <w:jc w:val="both"/>
        <w:rPr>
          <w:rFonts w:hint="eastAsia" w:ascii="Times New Roman" w:hAnsi="Times New Roman" w:eastAsia="黑体" w:cs="Times New Roman"/>
          <w:color w:val="auto"/>
          <w:kern w:val="2"/>
          <w:sz w:val="32"/>
          <w:szCs w:val="40"/>
          <w:highlight w:val="none"/>
          <w:lang w:val="en-US" w:eastAsia="zh-CN"/>
        </w:rPr>
      </w:pPr>
      <w:r>
        <w:rPr>
          <w:rFonts w:ascii="Times New Roman" w:hAnsi="Times New Roman" w:eastAsia="新宋体" w:cs="Times New Roman"/>
          <w:color w:val="auto"/>
          <w:kern w:val="2"/>
          <w:szCs w:val="21"/>
          <w:highlight w:val="none"/>
        </w:rPr>
        <w:t>附件5：南京市政府采购供应商信用记录表暨信用承诺书</w:t>
      </w:r>
    </w:p>
    <w:p w14:paraId="3888DFAE">
      <w:pPr>
        <w:spacing w:before="145" w:after="145" w:line="264" w:lineRule="auto"/>
        <w:rPr>
          <w:rFonts w:hint="eastAsia" w:ascii="宋体" w:hAnsi="宋体" w:eastAsia="宋体" w:cs="宋体"/>
          <w:bCs/>
          <w:color w:val="auto"/>
          <w:sz w:val="32"/>
          <w:szCs w:val="32"/>
          <w:highlight w:val="none"/>
        </w:rPr>
      </w:pPr>
    </w:p>
    <w:p w14:paraId="7C09C52A">
      <w:pPr>
        <w:spacing w:before="145" w:after="145" w:line="264" w:lineRule="auto"/>
        <w:jc w:val="center"/>
        <w:outlineLvl w:val="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《*******合同》补充协议（合同附件）</w:t>
      </w:r>
    </w:p>
    <w:p w14:paraId="64BC5A96">
      <w:pPr>
        <w:pStyle w:val="20"/>
        <w:spacing w:before="120" w:after="120" w:line="264"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招标文件及合同未约定事项，双方可友好协商签订补充协议。</w:t>
      </w:r>
    </w:p>
    <w:p w14:paraId="28D67DED">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17D3E7A2">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3B72A0C4">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66CCD80B">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5F033C0C">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p>
    <w:p w14:paraId="491D119A">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第六章 投标文件格式及附件</w:t>
      </w:r>
    </w:p>
    <w:p w14:paraId="4F59591D">
      <w:pPr>
        <w:pBdr>
          <w:top w:val="none" w:color="000000" w:sz="0" w:space="0"/>
          <w:left w:val="none" w:color="000000" w:sz="0" w:space="0"/>
          <w:bottom w:val="none" w:color="000000" w:sz="0" w:space="0"/>
          <w:right w:val="none" w:color="000000" w:sz="0" w:space="0"/>
        </w:pBdr>
        <w:spacing w:line="239" w:lineRule="atLeast"/>
        <w:rPr>
          <w:color w:val="auto"/>
          <w:highlight w:val="none"/>
        </w:rPr>
      </w:pPr>
      <w:r>
        <w:rPr>
          <w:rFonts w:ascii="宋体" w:hAnsi="宋体" w:eastAsia="宋体" w:cs="宋体"/>
          <w:b/>
          <w:color w:val="auto"/>
          <w:highlight w:val="none"/>
        </w:rPr>
        <w:t> </w:t>
      </w:r>
    </w:p>
    <w:p w14:paraId="5F6DC91C">
      <w:pPr>
        <w:pBdr>
          <w:top w:val="none" w:color="000000" w:sz="0" w:space="0"/>
          <w:left w:val="none" w:color="000000" w:sz="0" w:space="0"/>
          <w:bottom w:val="none" w:color="000000" w:sz="0" w:space="0"/>
          <w:right w:val="none" w:color="000000" w:sz="0" w:space="0"/>
        </w:pBdr>
        <w:spacing w:line="439" w:lineRule="atLeast"/>
        <w:jc w:val="both"/>
        <w:rPr>
          <w:color w:val="auto"/>
          <w:highlight w:val="none"/>
        </w:rPr>
      </w:pPr>
      <w:r>
        <w:rPr>
          <w:rFonts w:ascii="宋体" w:hAnsi="宋体" w:eastAsia="宋体" w:cs="宋体"/>
          <w:color w:val="auto"/>
          <w:sz w:val="20"/>
          <w:highlight w:val="none"/>
        </w:rPr>
        <w:t> </w:t>
      </w:r>
    </w:p>
    <w:p w14:paraId="31937504">
      <w:pPr>
        <w:jc w:val="center"/>
        <w:rPr>
          <w:rFonts w:hint="eastAsia" w:ascii="宋体" w:hAnsi="宋体"/>
          <w:b/>
          <w:color w:val="auto"/>
          <w:sz w:val="72"/>
          <w:szCs w:val="21"/>
          <w:highlight w:val="none"/>
        </w:rPr>
      </w:pPr>
      <w:r>
        <w:rPr>
          <w:rFonts w:ascii="宋体" w:hAnsi="宋体" w:eastAsia="宋体" w:cs="宋体"/>
          <w:color w:val="auto"/>
          <w:sz w:val="20"/>
          <w:highlight w:val="none"/>
        </w:rPr>
        <w:t> </w:t>
      </w:r>
      <w:r>
        <w:rPr>
          <w:rFonts w:hint="eastAsia" w:ascii="宋体" w:hAnsi="宋体"/>
          <w:b/>
          <w:color w:val="auto"/>
          <w:sz w:val="72"/>
          <w:szCs w:val="21"/>
          <w:highlight w:val="none"/>
        </w:rPr>
        <w:t>投  标  文  件</w:t>
      </w:r>
    </w:p>
    <w:p w14:paraId="755782D6">
      <w:pPr>
        <w:jc w:val="center"/>
        <w:rPr>
          <w:rFonts w:hint="eastAsia" w:ascii="宋体" w:hAnsi="宋体" w:eastAsia="宋体" w:cs="宋体"/>
          <w:b/>
          <w:color w:val="auto"/>
          <w:sz w:val="72"/>
          <w:szCs w:val="21"/>
          <w:highlight w:val="none"/>
        </w:rPr>
      </w:pPr>
    </w:p>
    <w:p w14:paraId="527000DC">
      <w:pPr>
        <w:jc w:val="center"/>
        <w:rPr>
          <w:rFonts w:hint="eastAsia" w:ascii="宋体" w:hAnsi="宋体" w:eastAsia="宋体" w:cs="宋体"/>
          <w:b/>
          <w:color w:val="auto"/>
          <w:sz w:val="72"/>
          <w:szCs w:val="21"/>
          <w:highlight w:val="none"/>
        </w:rPr>
      </w:pPr>
    </w:p>
    <w:p w14:paraId="3E318F0D">
      <w:pPr>
        <w:jc w:val="center"/>
        <w:rPr>
          <w:rFonts w:hint="eastAsia" w:ascii="宋体" w:hAnsi="宋体" w:eastAsia="宋体" w:cs="宋体"/>
          <w:b/>
          <w:color w:val="auto"/>
          <w:sz w:val="36"/>
          <w:szCs w:val="21"/>
          <w:highlight w:val="none"/>
        </w:rPr>
      </w:pPr>
    </w:p>
    <w:p w14:paraId="35BEC2CB">
      <w:pPr>
        <w:jc w:val="center"/>
        <w:rPr>
          <w:rFonts w:hint="eastAsia" w:ascii="宋体" w:hAnsi="宋体" w:eastAsia="宋体" w:cs="宋体"/>
          <w:b/>
          <w:color w:val="auto"/>
          <w:sz w:val="36"/>
          <w:szCs w:val="21"/>
          <w:highlight w:val="none"/>
        </w:rPr>
      </w:pPr>
    </w:p>
    <w:p w14:paraId="0912CF85">
      <w:pPr>
        <w:jc w:val="center"/>
        <w:rPr>
          <w:rFonts w:hint="eastAsia" w:ascii="宋体" w:hAnsi="宋体" w:eastAsia="宋体" w:cs="宋体"/>
          <w:b/>
          <w:color w:val="auto"/>
          <w:sz w:val="36"/>
          <w:szCs w:val="21"/>
          <w:highlight w:val="none"/>
        </w:rPr>
      </w:pPr>
    </w:p>
    <w:p w14:paraId="79A513B0">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30C717AD">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2775D704">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p>
    <w:p w14:paraId="15802AFC">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038861A9">
      <w:pPr>
        <w:spacing w:line="440" w:lineRule="exact"/>
        <w:jc w:val="center"/>
        <w:rPr>
          <w:rFonts w:hint="eastAsia" w:ascii="宋体" w:hAnsi="宋体" w:eastAsia="宋体" w:cs="宋体"/>
          <w:b/>
          <w:bCs/>
          <w:color w:val="auto"/>
          <w:sz w:val="32"/>
          <w:szCs w:val="32"/>
          <w:highlight w:val="none"/>
        </w:rPr>
      </w:pPr>
    </w:p>
    <w:p w14:paraId="23888F42">
      <w:pPr>
        <w:spacing w:line="440" w:lineRule="exact"/>
        <w:rPr>
          <w:rFonts w:hint="eastAsia" w:ascii="宋体" w:hAnsi="宋体" w:eastAsia="宋体" w:cs="宋体"/>
          <w:color w:val="auto"/>
          <w:szCs w:val="21"/>
          <w:highlight w:val="none"/>
        </w:rPr>
      </w:pPr>
    </w:p>
    <w:p w14:paraId="700E2FBF">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投标文件目录</w:t>
      </w:r>
    </w:p>
    <w:p w14:paraId="462E4F1E">
      <w:pPr>
        <w:spacing w:line="600" w:lineRule="exact"/>
        <w:ind w:firstLine="560"/>
        <w:rPr>
          <w:rFonts w:hint="eastAsia" w:ascii="宋体" w:hAnsi="宋体" w:eastAsia="宋体" w:cs="宋体"/>
          <w:color w:val="auto"/>
          <w:sz w:val="28"/>
          <w:szCs w:val="28"/>
          <w:highlight w:val="none"/>
        </w:rPr>
      </w:pPr>
      <w:bookmarkStart w:id="133" w:name="_Toc120614284"/>
      <w:r>
        <w:rPr>
          <w:rFonts w:hint="eastAsia" w:ascii="宋体" w:hAnsi="宋体" w:eastAsia="宋体" w:cs="宋体"/>
          <w:color w:val="auto"/>
          <w:sz w:val="28"/>
          <w:szCs w:val="28"/>
          <w:highlight w:val="none"/>
        </w:rPr>
        <w:t>一、供应商信用承诺函</w:t>
      </w:r>
    </w:p>
    <w:p w14:paraId="0CBDAE5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二、满足特定资格要求的证明文件（如有特定资格要求）</w:t>
      </w:r>
    </w:p>
    <w:p w14:paraId="5894980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三、法人授权书</w:t>
      </w:r>
    </w:p>
    <w:p w14:paraId="7CB3F61F">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四、投标函</w:t>
      </w:r>
    </w:p>
    <w:p w14:paraId="6A715FD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五、开标一览表</w:t>
      </w:r>
    </w:p>
    <w:p w14:paraId="4D38077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六、核心产品品牌一览表</w:t>
      </w:r>
    </w:p>
    <w:p w14:paraId="2038E626">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七、投标分项报价表</w:t>
      </w:r>
    </w:p>
    <w:p w14:paraId="1E8C69D2">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八、技术要求响应及偏离表</w:t>
      </w:r>
    </w:p>
    <w:p w14:paraId="7DEE50BA">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九、商务要求响应及偏离表</w:t>
      </w:r>
    </w:p>
    <w:p w14:paraId="01C6AA3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十、中小企业声明函（如有）</w:t>
      </w:r>
    </w:p>
    <w:p w14:paraId="6FF7C6A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十一、残疾人福利性单位声明函（如有）</w:t>
      </w:r>
    </w:p>
    <w:p w14:paraId="2BAF143E">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十二、联合体协议（如有）</w:t>
      </w:r>
    </w:p>
    <w:p w14:paraId="732178F2">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rPr>
        <w:t>、关于符合本国产品标准的声明函</w:t>
      </w:r>
    </w:p>
    <w:p w14:paraId="3BBF5A6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《南京市政府采购供应商信用记录表暨信用承诺书》</w:t>
      </w:r>
    </w:p>
    <w:p w14:paraId="20BAD0E1">
      <w:pPr>
        <w:pStyle w:val="35"/>
        <w:rPr>
          <w:rFonts w:hint="eastAsia"/>
          <w:color w:val="auto"/>
          <w:highlight w:val="none"/>
        </w:rPr>
      </w:pPr>
    </w:p>
    <w:p w14:paraId="148C3C85">
      <w:pPr>
        <w:pStyle w:val="35"/>
        <w:rPr>
          <w:rFonts w:hint="eastAsia"/>
          <w:color w:val="auto"/>
          <w:highlight w:val="none"/>
        </w:rPr>
      </w:pPr>
    </w:p>
    <w:p w14:paraId="1B85520C">
      <w:pPr>
        <w:spacing w:line="600" w:lineRule="exact"/>
        <w:ind w:firstLine="560"/>
        <w:rPr>
          <w:rFonts w:hint="eastAsia" w:ascii="宋体" w:hAnsi="宋体" w:eastAsia="宋体" w:cs="宋体"/>
          <w:color w:val="auto"/>
          <w:sz w:val="28"/>
          <w:szCs w:val="28"/>
          <w:highlight w:val="none"/>
        </w:rPr>
      </w:pPr>
    </w:p>
    <w:p w14:paraId="6BEFD940">
      <w:pPr>
        <w:spacing w:line="440" w:lineRule="exact"/>
        <w:ind w:firstLine="480"/>
        <w:rPr>
          <w:rFonts w:hint="eastAsia" w:ascii="宋体" w:hAnsi="宋体" w:eastAsia="宋体" w:cs="宋体"/>
          <w:color w:val="auto"/>
          <w:sz w:val="24"/>
          <w:highlight w:val="none"/>
        </w:rPr>
      </w:pPr>
    </w:p>
    <w:p w14:paraId="74E6B82F">
      <w:pPr>
        <w:spacing w:line="440" w:lineRule="exact"/>
        <w:ind w:firstLine="480"/>
        <w:rPr>
          <w:rFonts w:hint="eastAsia" w:ascii="宋体" w:hAnsi="宋体" w:eastAsia="宋体" w:cs="宋体"/>
          <w:color w:val="auto"/>
          <w:sz w:val="24"/>
          <w:highlight w:val="none"/>
        </w:rPr>
      </w:pPr>
    </w:p>
    <w:p w14:paraId="021BDEE0">
      <w:pPr>
        <w:spacing w:line="440" w:lineRule="exact"/>
        <w:ind w:firstLine="480"/>
        <w:rPr>
          <w:rFonts w:hint="eastAsia" w:ascii="宋体" w:hAnsi="宋体" w:eastAsia="宋体" w:cs="宋体"/>
          <w:color w:val="auto"/>
          <w:sz w:val="24"/>
          <w:szCs w:val="24"/>
          <w:highlight w:val="none"/>
        </w:rPr>
      </w:pPr>
    </w:p>
    <w:p w14:paraId="4514FFEC">
      <w:pPr>
        <w:spacing w:line="440" w:lineRule="exact"/>
        <w:ind w:firstLine="480"/>
        <w:rPr>
          <w:rFonts w:hint="eastAsia" w:ascii="宋体" w:hAnsi="宋体" w:eastAsia="宋体" w:cs="宋体"/>
          <w:color w:val="auto"/>
          <w:sz w:val="24"/>
          <w:szCs w:val="24"/>
          <w:highlight w:val="none"/>
        </w:rPr>
      </w:pPr>
    </w:p>
    <w:p w14:paraId="65A3F275">
      <w:pPr>
        <w:spacing w:line="440" w:lineRule="exact"/>
        <w:ind w:firstLine="480"/>
        <w:rPr>
          <w:rFonts w:hint="eastAsia" w:ascii="宋体" w:hAnsi="宋体" w:eastAsia="宋体" w:cs="宋体"/>
          <w:color w:val="auto"/>
          <w:sz w:val="24"/>
          <w:szCs w:val="24"/>
          <w:highlight w:val="none"/>
        </w:rPr>
      </w:pPr>
    </w:p>
    <w:p w14:paraId="728CB333">
      <w:pPr>
        <w:spacing w:line="440" w:lineRule="exact"/>
        <w:ind w:firstLine="480"/>
        <w:rPr>
          <w:rFonts w:hint="eastAsia" w:ascii="宋体" w:hAnsi="宋体" w:eastAsia="宋体" w:cs="宋体"/>
          <w:color w:val="auto"/>
          <w:sz w:val="24"/>
          <w:szCs w:val="24"/>
          <w:highlight w:val="none"/>
        </w:rPr>
      </w:pPr>
    </w:p>
    <w:p w14:paraId="525DE6F0">
      <w:pPr>
        <w:spacing w:line="440" w:lineRule="exact"/>
        <w:ind w:firstLine="480"/>
        <w:rPr>
          <w:rFonts w:hint="eastAsia" w:ascii="宋体" w:hAnsi="宋体" w:eastAsia="宋体" w:cs="宋体"/>
          <w:color w:val="auto"/>
          <w:sz w:val="24"/>
          <w:szCs w:val="24"/>
          <w:highlight w:val="none"/>
        </w:rPr>
      </w:pPr>
    </w:p>
    <w:p w14:paraId="3CB02AA1">
      <w:pPr>
        <w:pStyle w:val="200"/>
        <w:rPr>
          <w:rFonts w:hint="eastAsia" w:ascii="宋体" w:hAnsi="宋体" w:eastAsia="宋体" w:cs="宋体"/>
          <w:color w:val="auto"/>
          <w:sz w:val="24"/>
          <w:highlight w:val="none"/>
        </w:rPr>
      </w:pPr>
    </w:p>
    <w:p w14:paraId="79FC57EB">
      <w:pPr>
        <w:pStyle w:val="200"/>
        <w:rPr>
          <w:rFonts w:hint="eastAsia" w:ascii="宋体" w:hAnsi="宋体" w:eastAsia="宋体" w:cs="宋体"/>
          <w:color w:val="auto"/>
          <w:sz w:val="24"/>
          <w:highlight w:val="none"/>
        </w:rPr>
      </w:pPr>
    </w:p>
    <w:p w14:paraId="31DCC6C2">
      <w:pPr>
        <w:pStyle w:val="200"/>
        <w:rPr>
          <w:rFonts w:hint="eastAsia" w:ascii="宋体" w:hAnsi="宋体" w:eastAsia="宋体" w:cs="宋体"/>
          <w:color w:val="auto"/>
          <w:sz w:val="24"/>
          <w:highlight w:val="none"/>
        </w:rPr>
      </w:pPr>
    </w:p>
    <w:p w14:paraId="074AD0A4">
      <w:pPr>
        <w:pStyle w:val="200"/>
        <w:rPr>
          <w:rFonts w:hint="eastAsia" w:ascii="宋体" w:hAnsi="宋体" w:eastAsia="宋体" w:cs="宋体"/>
          <w:color w:val="auto"/>
          <w:sz w:val="24"/>
          <w:highlight w:val="none"/>
        </w:rPr>
      </w:pPr>
    </w:p>
    <w:p w14:paraId="07EC893B">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AA434FE">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一、供应商信用承诺函</w:t>
      </w:r>
    </w:p>
    <w:p w14:paraId="56CF86DB">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供应商信用承诺函</w:t>
      </w:r>
    </w:p>
    <w:p w14:paraId="7FD26061">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w:t>
      </w:r>
    </w:p>
    <w:p w14:paraId="313F3B6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（供应商名称）郑重承诺：</w:t>
      </w:r>
    </w:p>
    <w:p w14:paraId="1E2D6AF2">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我公司符合下列要求：</w:t>
      </w:r>
    </w:p>
    <w:p w14:paraId="0FE1D61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4F2F50E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65061E1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4C7D131D">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07EBEDC5">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5C495BA4">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如果我公司中标，将在中标结果公示后七个工作日内向采购人提供下列材料核验：</w:t>
      </w:r>
    </w:p>
    <w:p w14:paraId="6968CB8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（1）营业执照副本或事业单位法人登记证书或其他证明材料；</w:t>
      </w:r>
    </w:p>
    <w:p w14:paraId="51BE2FA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3C922CBF">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（3）履行合同所必需的设备和专业技术能力证明材料；</w:t>
      </w:r>
    </w:p>
    <w:p w14:paraId="6B8B792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（4）参加本次政府采购活动前一年内至少一个月依法缴纳税收和社会保障资金的证明材料。</w:t>
      </w:r>
    </w:p>
    <w:p w14:paraId="4E71CF14">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本公司对上述承诺内容的真实性、合法性、有效性负责，如有虚假，将依法承担相应责任。</w:t>
      </w:r>
    </w:p>
    <w:p w14:paraId="57F6D37D">
      <w:pPr>
        <w:spacing w:line="460" w:lineRule="exact"/>
        <w:ind w:firstLine="492"/>
        <w:rPr>
          <w:rFonts w:hint="eastAsia" w:ascii="宋体" w:hAnsi="宋体" w:eastAsia="宋体" w:cs="宋体"/>
          <w:color w:val="auto"/>
          <w:sz w:val="24"/>
          <w:szCs w:val="24"/>
          <w:highlight w:val="none"/>
        </w:rPr>
      </w:pPr>
    </w:p>
    <w:p w14:paraId="494D60DE">
      <w:pPr>
        <w:pStyle w:val="201"/>
        <w:rPr>
          <w:rFonts w:hint="eastAsia" w:ascii="宋体" w:hAnsi="宋体" w:eastAsia="宋体" w:cs="宋体"/>
          <w:color w:val="auto"/>
          <w:sz w:val="24"/>
          <w:szCs w:val="24"/>
          <w:highlight w:val="none"/>
        </w:rPr>
      </w:pPr>
    </w:p>
    <w:p w14:paraId="556059A8">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p>
    <w:p w14:paraId="7169F67B">
      <w:pPr>
        <w:spacing w:line="560" w:lineRule="exact"/>
        <w:ind w:firstLine="6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B69A06B">
      <w:pPr>
        <w:rPr>
          <w:rFonts w:hint="eastAsia" w:ascii="宋体" w:hAnsi="宋体" w:eastAsia="宋体" w:cs="宋体"/>
          <w:color w:val="auto"/>
          <w:sz w:val="24"/>
          <w:szCs w:val="24"/>
          <w:highlight w:val="none"/>
        </w:rPr>
      </w:pPr>
    </w:p>
    <w:p w14:paraId="03C12837">
      <w:pPr>
        <w:spacing w:line="440" w:lineRule="exact"/>
        <w:rPr>
          <w:rFonts w:hint="eastAsia" w:ascii="宋体" w:hAnsi="宋体" w:eastAsia="宋体" w:cs="宋体"/>
          <w:color w:val="auto"/>
          <w:sz w:val="24"/>
          <w:szCs w:val="24"/>
          <w:highlight w:val="none"/>
        </w:rPr>
      </w:pPr>
    </w:p>
    <w:p w14:paraId="55BB865A">
      <w:pPr>
        <w:spacing w:line="440" w:lineRule="exact"/>
        <w:ind w:firstLine="480"/>
        <w:rPr>
          <w:rFonts w:hint="eastAsia" w:ascii="宋体" w:hAnsi="宋体" w:eastAsia="宋体" w:cs="宋体"/>
          <w:color w:val="auto"/>
          <w:sz w:val="24"/>
          <w:szCs w:val="24"/>
          <w:highlight w:val="none"/>
        </w:rPr>
      </w:pPr>
    </w:p>
    <w:p w14:paraId="5C04AD25">
      <w:pPr>
        <w:spacing w:line="440" w:lineRule="exact"/>
        <w:ind w:firstLine="480"/>
        <w:rPr>
          <w:rFonts w:hint="eastAsia" w:ascii="宋体" w:hAnsi="宋体" w:eastAsia="宋体" w:cs="宋体"/>
          <w:color w:val="auto"/>
          <w:sz w:val="24"/>
          <w:szCs w:val="24"/>
          <w:highlight w:val="none"/>
        </w:rPr>
      </w:pPr>
    </w:p>
    <w:p w14:paraId="2C5AAD12">
      <w:pPr>
        <w:spacing w:line="440" w:lineRule="exact"/>
        <w:ind w:firstLine="480"/>
        <w:rPr>
          <w:rFonts w:hint="eastAsia" w:ascii="宋体" w:hAnsi="宋体" w:eastAsia="宋体" w:cs="宋体"/>
          <w:color w:val="auto"/>
          <w:sz w:val="24"/>
          <w:szCs w:val="24"/>
          <w:highlight w:val="none"/>
        </w:rPr>
      </w:pPr>
    </w:p>
    <w:p w14:paraId="4D3F5B95">
      <w:pPr>
        <w:rPr>
          <w:rFonts w:hint="eastAsia" w:ascii="宋体" w:hAnsi="宋体" w:eastAsia="宋体" w:cs="宋体"/>
          <w:i/>
          <w:color w:val="auto"/>
          <w:sz w:val="32"/>
          <w:szCs w:val="32"/>
          <w:highlight w:val="none"/>
          <w:u w:val="single"/>
        </w:rPr>
      </w:pPr>
    </w:p>
    <w:p w14:paraId="50D1391E">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732D153D">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二、满足特定资格要求的证明文件</w:t>
      </w:r>
    </w:p>
    <w:p w14:paraId="21CD088C">
      <w:pPr>
        <w:pStyle w:val="202"/>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本项目申请人的特定资格要求中要求提供的材料。</w:t>
      </w:r>
    </w:p>
    <w:p w14:paraId="177586AA">
      <w:pPr>
        <w:rPr>
          <w:rFonts w:hint="eastAsia" w:ascii="宋体" w:hAnsi="宋体" w:eastAsia="宋体" w:cs="宋体"/>
          <w:i/>
          <w:color w:val="auto"/>
          <w:sz w:val="32"/>
          <w:szCs w:val="32"/>
          <w:highlight w:val="none"/>
          <w:u w:val="single"/>
        </w:rPr>
      </w:pPr>
    </w:p>
    <w:p w14:paraId="5D30C315">
      <w:pPr>
        <w:pStyle w:val="203"/>
        <w:rPr>
          <w:rFonts w:hint="eastAsia" w:ascii="宋体" w:hAnsi="宋体" w:eastAsia="宋体" w:cs="宋体"/>
          <w:color w:val="auto"/>
          <w:highlight w:val="none"/>
          <w:lang w:eastAsia="zh-CN"/>
        </w:rPr>
      </w:pPr>
    </w:p>
    <w:p w14:paraId="5D7A8C07">
      <w:pPr>
        <w:rPr>
          <w:rFonts w:hint="eastAsia" w:ascii="宋体" w:hAnsi="宋体" w:eastAsia="宋体" w:cs="宋体"/>
          <w:color w:val="auto"/>
          <w:highlight w:val="none"/>
        </w:rPr>
      </w:pPr>
    </w:p>
    <w:p w14:paraId="5CE22134">
      <w:pPr>
        <w:rPr>
          <w:rFonts w:hint="eastAsia" w:ascii="宋体" w:hAnsi="宋体" w:eastAsia="宋体" w:cs="宋体"/>
          <w:i/>
          <w:color w:val="auto"/>
          <w:sz w:val="32"/>
          <w:szCs w:val="32"/>
          <w:highlight w:val="none"/>
          <w:u w:val="single"/>
        </w:rPr>
      </w:pPr>
    </w:p>
    <w:p w14:paraId="4F2C5AE2">
      <w:pPr>
        <w:rPr>
          <w:rFonts w:hint="eastAsia" w:ascii="宋体" w:hAnsi="宋体" w:eastAsia="宋体" w:cs="宋体"/>
          <w:i/>
          <w:color w:val="auto"/>
          <w:sz w:val="32"/>
          <w:szCs w:val="32"/>
          <w:highlight w:val="none"/>
          <w:u w:val="single"/>
        </w:rPr>
      </w:pPr>
    </w:p>
    <w:p w14:paraId="71A660F5">
      <w:pPr>
        <w:rPr>
          <w:rFonts w:hint="eastAsia" w:ascii="宋体" w:hAnsi="宋体" w:eastAsia="宋体" w:cs="宋体"/>
          <w:i/>
          <w:color w:val="auto"/>
          <w:sz w:val="32"/>
          <w:szCs w:val="32"/>
          <w:highlight w:val="none"/>
          <w:u w:val="single"/>
        </w:rPr>
      </w:pPr>
    </w:p>
    <w:p w14:paraId="45EE3CBF">
      <w:pPr>
        <w:rPr>
          <w:rFonts w:hint="eastAsia" w:ascii="宋体" w:hAnsi="宋体" w:eastAsia="宋体" w:cs="宋体"/>
          <w:i/>
          <w:color w:val="auto"/>
          <w:sz w:val="32"/>
          <w:szCs w:val="32"/>
          <w:highlight w:val="none"/>
          <w:u w:val="single"/>
        </w:rPr>
      </w:pPr>
    </w:p>
    <w:p w14:paraId="7F3D1F1F">
      <w:pPr>
        <w:spacing w:line="360" w:lineRule="auto"/>
        <w:jc w:val="left"/>
        <w:rPr>
          <w:rFonts w:hint="eastAsia" w:ascii="宋体" w:hAnsi="宋体" w:eastAsia="宋体" w:cs="宋体"/>
          <w:color w:val="auto"/>
          <w:sz w:val="32"/>
          <w:szCs w:val="32"/>
          <w:highlight w:val="none"/>
        </w:rPr>
      </w:pPr>
    </w:p>
    <w:p w14:paraId="7CC749C2">
      <w:pPr>
        <w:spacing w:line="360" w:lineRule="auto"/>
        <w:jc w:val="left"/>
        <w:rPr>
          <w:rFonts w:hint="eastAsia" w:ascii="宋体" w:hAnsi="宋体" w:eastAsia="宋体" w:cs="宋体"/>
          <w:color w:val="auto"/>
          <w:sz w:val="32"/>
          <w:szCs w:val="32"/>
          <w:highlight w:val="none"/>
        </w:rPr>
      </w:pPr>
    </w:p>
    <w:p w14:paraId="326F1342">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三、法人授权书</w:t>
      </w:r>
    </w:p>
    <w:p w14:paraId="10EE58F4">
      <w:pPr>
        <w:spacing w:line="420" w:lineRule="exact"/>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法人授权书</w:t>
      </w:r>
    </w:p>
    <w:p w14:paraId="10884BCC">
      <w:pPr>
        <w:pStyle w:val="202"/>
        <w:spacing w:line="420" w:lineRule="exact"/>
        <w:ind w:firstLine="480"/>
        <w:rPr>
          <w:rFonts w:hint="eastAsia" w:ascii="宋体" w:hAnsi="宋体" w:eastAsia="宋体" w:cs="宋体"/>
          <w:color w:val="auto"/>
          <w:sz w:val="24"/>
          <w:szCs w:val="24"/>
          <w:highlight w:val="none"/>
        </w:rPr>
      </w:pPr>
    </w:p>
    <w:p w14:paraId="1D4300F4">
      <w:pPr>
        <w:pStyle w:val="202"/>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项目采购活动的合法代理人，以本单位名义全权处理一切与该项目采购有关的事务。</w:t>
      </w:r>
    </w:p>
    <w:p w14:paraId="14D24BB8">
      <w:pPr>
        <w:pStyle w:val="202"/>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本授权书自______年____月____日起生效，特此声明。</w:t>
      </w:r>
    </w:p>
    <w:p w14:paraId="27D12C6B">
      <w:pPr>
        <w:pStyle w:val="202"/>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被授权人身份证号码：</w:t>
      </w:r>
    </w:p>
    <w:p w14:paraId="476FA6A2">
      <w:pPr>
        <w:pStyle w:val="202"/>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p>
    <w:p w14:paraId="593B048C">
      <w:pPr>
        <w:pStyle w:val="202"/>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单位名称：（加盖电子公章）</w:t>
      </w:r>
    </w:p>
    <w:p w14:paraId="71CBD9E9">
      <w:pPr>
        <w:pStyle w:val="202"/>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9E1EF05">
      <w:pPr>
        <w:pStyle w:val="202"/>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bookmarkStart w:id="134" w:name="_Hlt26671380"/>
      <w:bookmarkEnd w:id="134"/>
      <w:bookmarkStart w:id="135" w:name="_Hlt26955070"/>
      <w:bookmarkEnd w:id="135"/>
      <w:bookmarkStart w:id="136" w:name="_格式3__银行出具的资信证明"/>
      <w:bookmarkEnd w:id="136"/>
    </w:p>
    <w:p w14:paraId="32F8BB76">
      <w:pPr>
        <w:pStyle w:val="12"/>
        <w:rPr>
          <w:rFonts w:hint="eastAsia" w:ascii="宋体" w:hAnsi="宋体" w:eastAsia="宋体" w:cs="宋体"/>
          <w:i/>
          <w:color w:val="auto"/>
          <w:sz w:val="24"/>
          <w:szCs w:val="24"/>
          <w:highlight w:val="none"/>
          <w:u w:val="single"/>
          <w:lang w:eastAsia="zh-CN"/>
        </w:rPr>
      </w:pPr>
    </w:p>
    <w:p w14:paraId="3EF64436">
      <w:pPr>
        <w:pStyle w:val="12"/>
        <w:ind w:firstLine="0"/>
        <w:rPr>
          <w:rFonts w:hint="eastAsia" w:ascii="宋体" w:hAnsi="宋体" w:eastAsia="宋体" w:cs="宋体"/>
          <w:color w:val="auto"/>
          <w:highlight w:val="none"/>
          <w:lang w:eastAsia="zh-CN"/>
        </w:rPr>
      </w:pPr>
    </w:p>
    <w:p w14:paraId="0F44527B">
      <w:pPr>
        <w:spacing w:line="460" w:lineRule="exact"/>
        <w:rPr>
          <w:rFonts w:hint="eastAsia" w:ascii="宋体" w:hAnsi="宋体" w:eastAsia="宋体" w:cs="宋体"/>
          <w:bCs/>
          <w:color w:val="auto"/>
          <w:sz w:val="24"/>
          <w:szCs w:val="24"/>
          <w:highlight w:val="none"/>
        </w:rPr>
      </w:pPr>
    </w:p>
    <w:p w14:paraId="402C14CF">
      <w:pPr>
        <w:spacing w:line="460" w:lineRule="exact"/>
        <w:rPr>
          <w:rFonts w:hint="eastAsia" w:ascii="宋体" w:hAnsi="宋体" w:eastAsia="宋体" w:cs="宋体"/>
          <w:color w:val="auto"/>
          <w:sz w:val="24"/>
          <w:szCs w:val="24"/>
          <w:highlight w:val="none"/>
        </w:rPr>
      </w:pPr>
    </w:p>
    <w:p w14:paraId="7940C0B1">
      <w:pPr>
        <w:spacing w:line="460" w:lineRule="exact"/>
        <w:rPr>
          <w:rFonts w:hint="eastAsia" w:ascii="宋体" w:hAnsi="宋体" w:eastAsia="宋体" w:cs="宋体"/>
          <w:color w:val="auto"/>
          <w:sz w:val="24"/>
          <w:szCs w:val="24"/>
          <w:highlight w:val="none"/>
        </w:rPr>
      </w:pPr>
    </w:p>
    <w:p w14:paraId="0CC237AF">
      <w:pPr>
        <w:spacing w:line="460" w:lineRule="exact"/>
        <w:rPr>
          <w:rFonts w:hint="eastAsia" w:ascii="宋体" w:hAnsi="宋体" w:eastAsia="宋体" w:cs="宋体"/>
          <w:color w:val="auto"/>
          <w:sz w:val="24"/>
          <w:szCs w:val="24"/>
          <w:highlight w:val="none"/>
        </w:rPr>
      </w:pPr>
    </w:p>
    <w:p w14:paraId="3F860FF5">
      <w:pPr>
        <w:spacing w:line="460" w:lineRule="exact"/>
        <w:rPr>
          <w:rFonts w:hint="eastAsia" w:ascii="宋体" w:hAnsi="宋体" w:eastAsia="宋体" w:cs="宋体"/>
          <w:color w:val="auto"/>
          <w:sz w:val="24"/>
          <w:szCs w:val="24"/>
          <w:highlight w:val="none"/>
        </w:rPr>
      </w:pPr>
    </w:p>
    <w:p w14:paraId="4A8CBBC1">
      <w:pPr>
        <w:spacing w:line="460" w:lineRule="exact"/>
        <w:rPr>
          <w:rFonts w:hint="eastAsia" w:ascii="宋体" w:hAnsi="宋体" w:eastAsia="宋体" w:cs="宋体"/>
          <w:color w:val="auto"/>
          <w:sz w:val="24"/>
          <w:szCs w:val="24"/>
          <w:highlight w:val="none"/>
        </w:rPr>
      </w:pPr>
    </w:p>
    <w:p w14:paraId="7BCA720B">
      <w:pPr>
        <w:pStyle w:val="200"/>
        <w:rPr>
          <w:rFonts w:hint="eastAsia" w:ascii="宋体" w:hAnsi="宋体" w:eastAsia="宋体" w:cs="宋体"/>
          <w:bCs/>
          <w:color w:val="auto"/>
          <w:sz w:val="24"/>
          <w:highlight w:val="none"/>
        </w:rPr>
      </w:pPr>
    </w:p>
    <w:p w14:paraId="5C9E909E">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0678EF8">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四、投标函</w:t>
      </w:r>
    </w:p>
    <w:p w14:paraId="434D9A35">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投标函</w:t>
      </w:r>
    </w:p>
    <w:p w14:paraId="59E9B00E">
      <w:pPr>
        <w:pStyle w:val="20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 w:val="24"/>
          <w:szCs w:val="24"/>
          <w:highlight w:val="none"/>
          <w:lang w:val="en-US" w:eastAsia="zh-CN"/>
        </w:rPr>
        <w:t>江苏省设备成套股份有限公司</w:t>
      </w:r>
    </w:p>
    <w:p w14:paraId="1B4171E5">
      <w:pPr>
        <w:pStyle w:val="20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w:t>
      </w:r>
      <w:r>
        <w:rPr>
          <w:rFonts w:hint="eastAsia" w:ascii="宋体" w:hAnsi="宋体" w:eastAsia="宋体" w:cs="宋体"/>
          <w:color w:val="auto"/>
          <w:szCs w:val="21"/>
          <w:highlight w:val="none"/>
        </w:rPr>
        <w:t>项目招标文件，我方正式提</w:t>
      </w:r>
      <w:r>
        <w:rPr>
          <w:rFonts w:hint="eastAsia" w:ascii="宋体" w:hAnsi="宋体" w:eastAsia="宋体" w:cs="宋体"/>
          <w:color w:val="auto"/>
          <w:highlight w:val="none"/>
        </w:rPr>
        <w:t>交投标函，</w:t>
      </w:r>
      <w:r>
        <w:rPr>
          <w:rFonts w:hint="eastAsia" w:ascii="宋体" w:hAnsi="宋体" w:eastAsia="宋体" w:cs="宋体"/>
          <w:color w:val="auto"/>
          <w:szCs w:val="21"/>
          <w:highlight w:val="none"/>
        </w:rPr>
        <w:t>并宣布同意如下内容：</w:t>
      </w:r>
    </w:p>
    <w:p w14:paraId="5F036D27">
      <w:pPr>
        <w:pStyle w:val="20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10F8CFB0">
      <w:pPr>
        <w:pStyle w:val="20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753D0FB8">
      <w:pPr>
        <w:pStyle w:val="20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3969FA72">
      <w:pPr>
        <w:pStyle w:val="20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5581B369">
      <w:pPr>
        <w:pStyle w:val="20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6F7963CA">
      <w:pPr>
        <w:pStyle w:val="20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3C4C6B97">
      <w:pPr>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大型企业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微型企业（在对应</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zh-CN"/>
        </w:rPr>
        <w:t>打“√”</w:t>
      </w:r>
      <w:r>
        <w:rPr>
          <w:rFonts w:hint="eastAsia" w:ascii="宋体" w:hAnsi="宋体" w:eastAsia="宋体" w:cs="宋体"/>
          <w:color w:val="auto"/>
          <w:sz w:val="24"/>
          <w:szCs w:val="24"/>
          <w:highlight w:val="none"/>
        </w:rPr>
        <w:t>）</w:t>
      </w:r>
    </w:p>
    <w:p w14:paraId="66826892">
      <w:pPr>
        <w:pStyle w:val="20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8.我方与本次投标有关信息</w:t>
      </w:r>
    </w:p>
    <w:p w14:paraId="42FCCFD6">
      <w:pPr>
        <w:pStyle w:val="20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02634832">
      <w:pPr>
        <w:pStyle w:val="20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521658DE">
      <w:pPr>
        <w:pStyle w:val="204"/>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p>
    <w:p w14:paraId="57DFEE8E">
      <w:pPr>
        <w:pStyle w:val="204"/>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p>
    <w:p w14:paraId="675A6BE2">
      <w:pPr>
        <w:pStyle w:val="204"/>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开户行：</w:t>
      </w:r>
    </w:p>
    <w:p w14:paraId="578F6486">
      <w:pPr>
        <w:pStyle w:val="204"/>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p>
    <w:p w14:paraId="3DC8C4DB">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68CA83A">
      <w:pPr>
        <w:pStyle w:val="20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p w14:paraId="7D3E7CB4">
      <w:pPr>
        <w:spacing w:line="560" w:lineRule="exact"/>
        <w:ind w:firstLine="240"/>
        <w:jc w:val="center"/>
        <w:rPr>
          <w:rFonts w:hint="eastAsia" w:ascii="宋体" w:hAnsi="宋体" w:eastAsia="宋体" w:cs="宋体"/>
          <w:bCs/>
          <w:color w:val="auto"/>
          <w:sz w:val="24"/>
          <w:highlight w:val="none"/>
        </w:rPr>
      </w:pPr>
    </w:p>
    <w:p w14:paraId="0DD3C1BA">
      <w:pPr>
        <w:spacing w:line="560" w:lineRule="exact"/>
        <w:ind w:firstLine="240"/>
        <w:jc w:val="center"/>
        <w:rPr>
          <w:rFonts w:hint="eastAsia" w:ascii="宋体" w:hAnsi="宋体" w:eastAsia="宋体" w:cs="宋体"/>
          <w:bCs/>
          <w:color w:val="auto"/>
          <w:sz w:val="24"/>
          <w:highlight w:val="none"/>
        </w:rPr>
      </w:pPr>
    </w:p>
    <w:p w14:paraId="0631DA27">
      <w:pPr>
        <w:spacing w:line="560" w:lineRule="exact"/>
        <w:ind w:firstLine="240"/>
        <w:jc w:val="center"/>
        <w:rPr>
          <w:rFonts w:hint="eastAsia" w:ascii="宋体" w:hAnsi="宋体" w:eastAsia="宋体" w:cs="宋体"/>
          <w:bCs/>
          <w:color w:val="auto"/>
          <w:sz w:val="24"/>
          <w:highlight w:val="none"/>
        </w:rPr>
      </w:pPr>
    </w:p>
    <w:p w14:paraId="08262F96">
      <w:pPr>
        <w:spacing w:line="360" w:lineRule="auto"/>
        <w:jc w:val="left"/>
        <w:rPr>
          <w:rFonts w:hint="eastAsia" w:ascii="宋体" w:hAnsi="宋体" w:eastAsia="宋体" w:cs="宋体"/>
          <w:color w:val="auto"/>
          <w:sz w:val="32"/>
          <w:szCs w:val="32"/>
          <w:highlight w:val="none"/>
        </w:rPr>
      </w:pPr>
    </w:p>
    <w:p w14:paraId="2A0BA5FA">
      <w:pPr>
        <w:spacing w:line="360" w:lineRule="auto"/>
        <w:jc w:val="left"/>
        <w:rPr>
          <w:rFonts w:hint="eastAsia" w:ascii="宋体" w:hAnsi="宋体" w:eastAsia="宋体" w:cs="宋体"/>
          <w:color w:val="auto"/>
          <w:sz w:val="32"/>
          <w:szCs w:val="32"/>
          <w:highlight w:val="none"/>
        </w:rPr>
      </w:pPr>
    </w:p>
    <w:p w14:paraId="0808EC34">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73DAC78">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五、开标一览表</w:t>
      </w:r>
    </w:p>
    <w:p w14:paraId="6CF00ECA">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开标一览表</w:t>
      </w:r>
    </w:p>
    <w:p w14:paraId="336B68A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373B8ED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301400F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采购包号：</w:t>
      </w:r>
    </w:p>
    <w:tbl>
      <w:tblPr>
        <w:tblStyle w:val="36"/>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0"/>
      </w:tblGrid>
      <w:tr w14:paraId="5057E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450" w:type="dxa"/>
            <w:vAlign w:val="center"/>
          </w:tcPr>
          <w:p w14:paraId="7968151E">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投标总报价</w:t>
            </w:r>
          </w:p>
        </w:tc>
      </w:tr>
      <w:tr w14:paraId="791BD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450" w:type="dxa"/>
            <w:vAlign w:val="center"/>
          </w:tcPr>
          <w:p w14:paraId="27169C53">
            <w:pPr>
              <w:pStyle w:val="204"/>
              <w:widowControl w:val="0"/>
              <w:spacing w:before="0" w:after="0" w:line="500" w:lineRule="exact"/>
              <w:ind w:firstLine="0"/>
              <w:jc w:val="left"/>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p>
        </w:tc>
      </w:tr>
    </w:tbl>
    <w:p w14:paraId="29E61064">
      <w:pPr>
        <w:rPr>
          <w:rFonts w:hint="eastAsia" w:ascii="宋体" w:hAnsi="宋体" w:eastAsia="宋体" w:cs="宋体"/>
          <w:color w:val="auto"/>
          <w:sz w:val="24"/>
          <w:szCs w:val="24"/>
          <w:highlight w:val="none"/>
        </w:rPr>
      </w:pPr>
    </w:p>
    <w:p w14:paraId="7392B009">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p>
    <w:p w14:paraId="28B3156C">
      <w:pPr>
        <w:spacing w:line="480" w:lineRule="exact"/>
        <w:ind w:firstLine="482"/>
        <w:rPr>
          <w:rFonts w:hint="eastAsia" w:ascii="宋体" w:hAnsi="宋体" w:eastAsia="宋体" w:cs="宋体"/>
          <w:b/>
          <w:bCs/>
          <w:color w:val="auto"/>
          <w:sz w:val="24"/>
          <w:szCs w:val="24"/>
          <w:highlight w:val="none"/>
        </w:rPr>
      </w:pPr>
    </w:p>
    <w:p w14:paraId="13E7D2AF">
      <w:pPr>
        <w:spacing w:line="480" w:lineRule="exact"/>
        <w:ind w:firstLine="482"/>
        <w:rPr>
          <w:rFonts w:hint="eastAsia" w:ascii="宋体" w:hAnsi="宋体" w:eastAsia="宋体" w:cs="宋体"/>
          <w:b/>
          <w:bCs/>
          <w:color w:val="auto"/>
          <w:sz w:val="24"/>
          <w:szCs w:val="24"/>
          <w:highlight w:val="none"/>
        </w:rPr>
      </w:pPr>
    </w:p>
    <w:p w14:paraId="1AD58CA5">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备注：投标人报价低于采购项目预算50%，或者低于采购项目最高限价45%，或者</w:t>
      </w:r>
      <w:r>
        <w:rPr>
          <w:rFonts w:hint="eastAsia" w:ascii="宋体" w:hAnsi="宋体" w:eastAsia="宋体" w:cs="宋体"/>
          <w:b/>
          <w:bCs/>
          <w:color w:val="auto"/>
          <w:sz w:val="24"/>
          <w:szCs w:val="24"/>
          <w:highlight w:val="none"/>
          <w:lang w:val="zh-CN"/>
        </w:rPr>
        <w:t>报价</w:t>
      </w:r>
      <w:r>
        <w:rPr>
          <w:rFonts w:hint="eastAsia" w:ascii="宋体" w:hAnsi="宋体" w:eastAsia="宋体" w:cs="宋体"/>
          <w:b/>
          <w:bCs/>
          <w:color w:val="auto"/>
          <w:sz w:val="24"/>
          <w:szCs w:val="24"/>
          <w:highlight w:val="none"/>
        </w:rPr>
        <w:t>过低</w:t>
      </w:r>
      <w:r>
        <w:rPr>
          <w:rFonts w:hint="eastAsia" w:ascii="宋体" w:hAnsi="宋体" w:eastAsia="宋体" w:cs="宋体"/>
          <w:b/>
          <w:bCs/>
          <w:color w:val="auto"/>
          <w:sz w:val="24"/>
          <w:szCs w:val="24"/>
          <w:highlight w:val="none"/>
          <w:lang w:val="zh-CN"/>
        </w:rPr>
        <w:t>，有可能影响</w:t>
      </w:r>
      <w:r>
        <w:rPr>
          <w:rFonts w:hint="eastAsia" w:ascii="宋体" w:hAnsi="宋体" w:eastAsia="宋体" w:cs="宋体"/>
          <w:b/>
          <w:bCs/>
          <w:color w:val="auto"/>
          <w:sz w:val="24"/>
          <w:szCs w:val="24"/>
          <w:highlight w:val="none"/>
        </w:rPr>
        <w:t>产品或服务</w:t>
      </w:r>
      <w:r>
        <w:rPr>
          <w:rFonts w:hint="eastAsia" w:ascii="宋体" w:hAnsi="宋体" w:eastAsia="宋体" w:cs="宋体"/>
          <w:b/>
          <w:bCs/>
          <w:color w:val="auto"/>
          <w:sz w:val="24"/>
          <w:szCs w:val="24"/>
          <w:highlight w:val="none"/>
          <w:lang w:val="zh-CN"/>
        </w:rPr>
        <w:t>质量或不能诚信履约的，</w:t>
      </w:r>
      <w:r>
        <w:rPr>
          <w:rFonts w:hint="eastAsia" w:ascii="宋体" w:hAnsi="宋体" w:eastAsia="宋体" w:cs="宋体"/>
          <w:b/>
          <w:bCs/>
          <w:color w:val="auto"/>
          <w:sz w:val="24"/>
          <w:szCs w:val="24"/>
          <w:highlight w:val="none"/>
        </w:rPr>
        <w:t>评委会将启动异常低价投标审查机制，投标人应</w:t>
      </w:r>
      <w:r>
        <w:rPr>
          <w:rFonts w:hint="eastAsia" w:ascii="宋体" w:hAnsi="宋体" w:eastAsia="宋体" w:cs="宋体"/>
          <w:b/>
          <w:bCs/>
          <w:color w:val="auto"/>
          <w:sz w:val="24"/>
          <w:szCs w:val="24"/>
          <w:highlight w:val="none"/>
          <w:lang w:val="zh-CN"/>
        </w:rPr>
        <w:t>在</w:t>
      </w:r>
      <w:r>
        <w:rPr>
          <w:rFonts w:hint="eastAsia" w:ascii="宋体" w:hAnsi="宋体" w:eastAsia="宋体" w:cs="宋体"/>
          <w:b/>
          <w:bCs/>
          <w:color w:val="auto"/>
          <w:sz w:val="24"/>
          <w:szCs w:val="24"/>
          <w:highlight w:val="none"/>
        </w:rPr>
        <w:t>评委会规定的合理</w:t>
      </w:r>
      <w:r>
        <w:rPr>
          <w:rFonts w:hint="eastAsia" w:ascii="宋体" w:hAnsi="宋体" w:eastAsia="宋体" w:cs="宋体"/>
          <w:b/>
          <w:bCs/>
          <w:color w:val="auto"/>
          <w:sz w:val="24"/>
          <w:szCs w:val="24"/>
          <w:highlight w:val="none"/>
          <w:lang w:val="zh-CN"/>
        </w:rPr>
        <w:t>时间内</w:t>
      </w:r>
      <w:r>
        <w:rPr>
          <w:rFonts w:hint="eastAsia" w:ascii="宋体" w:hAnsi="宋体" w:eastAsia="宋体" w:cs="宋体"/>
          <w:b/>
          <w:bCs/>
          <w:color w:val="auto"/>
          <w:sz w:val="24"/>
          <w:szCs w:val="24"/>
          <w:highlight w:val="none"/>
        </w:rPr>
        <w:t>通过苏采云系统</w:t>
      </w:r>
      <w:r>
        <w:rPr>
          <w:rFonts w:hint="eastAsia" w:ascii="宋体" w:hAnsi="宋体" w:eastAsia="宋体" w:cs="宋体"/>
          <w:b/>
          <w:bCs/>
          <w:color w:val="auto"/>
          <w:sz w:val="24"/>
          <w:szCs w:val="24"/>
          <w:highlight w:val="none"/>
          <w:lang w:val="zh-CN"/>
        </w:rPr>
        <w:t>提供</w:t>
      </w:r>
      <w:r>
        <w:rPr>
          <w:rFonts w:hint="eastAsia" w:ascii="宋体" w:hAnsi="宋体" w:eastAsia="宋体" w:cs="宋体"/>
          <w:b/>
          <w:bCs/>
          <w:color w:val="auto"/>
          <w:sz w:val="24"/>
          <w:szCs w:val="24"/>
          <w:highlight w:val="none"/>
        </w:rPr>
        <w:t>项目具体成本测算等与报价合理性相关的书面</w:t>
      </w:r>
      <w:r>
        <w:rPr>
          <w:rFonts w:hint="eastAsia" w:ascii="宋体" w:hAnsi="宋体" w:eastAsia="宋体" w:cs="宋体"/>
          <w:b/>
          <w:bCs/>
          <w:color w:val="auto"/>
          <w:sz w:val="24"/>
          <w:szCs w:val="24"/>
          <w:highlight w:val="none"/>
          <w:lang w:val="zh-CN"/>
        </w:rPr>
        <w:t>说明</w:t>
      </w:r>
      <w:r>
        <w:rPr>
          <w:rFonts w:hint="eastAsia" w:ascii="宋体" w:hAnsi="宋体" w:eastAsia="宋体" w:cs="宋体"/>
          <w:b/>
          <w:bCs/>
          <w:color w:val="auto"/>
          <w:sz w:val="24"/>
          <w:szCs w:val="24"/>
          <w:highlight w:val="none"/>
        </w:rPr>
        <w:t>及相关证明材料</w:t>
      </w:r>
      <w:r>
        <w:rPr>
          <w:rFonts w:hint="eastAsia" w:ascii="宋体" w:hAnsi="宋体" w:eastAsia="宋体" w:cs="宋体"/>
          <w:b/>
          <w:bCs/>
          <w:color w:val="auto"/>
          <w:sz w:val="24"/>
          <w:szCs w:val="24"/>
          <w:highlight w:val="none"/>
          <w:lang w:val="zh-CN"/>
        </w:rPr>
        <w:t>。投标人</w:t>
      </w:r>
      <w:r>
        <w:rPr>
          <w:rFonts w:hint="eastAsia" w:ascii="宋体" w:hAnsi="宋体" w:eastAsia="宋体" w:cs="宋体"/>
          <w:b/>
          <w:bCs/>
          <w:color w:val="auto"/>
          <w:sz w:val="24"/>
          <w:szCs w:val="24"/>
          <w:highlight w:val="none"/>
        </w:rPr>
        <w:t>不提供书面说明及证明材料，或者书面说明、证明材料</w:t>
      </w:r>
      <w:r>
        <w:rPr>
          <w:rFonts w:hint="eastAsia" w:ascii="宋体" w:hAnsi="宋体" w:eastAsia="宋体" w:cs="宋体"/>
          <w:b/>
          <w:bCs/>
          <w:color w:val="auto"/>
          <w:sz w:val="24"/>
          <w:szCs w:val="24"/>
          <w:highlight w:val="none"/>
          <w:lang w:val="zh-CN"/>
        </w:rPr>
        <w:t>不能证明其报价合理性的，将作为无效投标处理。</w:t>
      </w:r>
    </w:p>
    <w:p w14:paraId="341BB8C3">
      <w:pPr>
        <w:spacing w:line="360" w:lineRule="auto"/>
        <w:jc w:val="center"/>
        <w:rPr>
          <w:rFonts w:hint="eastAsia" w:ascii="宋体" w:hAnsi="宋体" w:eastAsia="宋体" w:cs="宋体"/>
          <w:color w:val="auto"/>
          <w:sz w:val="32"/>
          <w:szCs w:val="32"/>
          <w:highlight w:val="none"/>
        </w:rPr>
      </w:pPr>
    </w:p>
    <w:p w14:paraId="6116C60D">
      <w:pPr>
        <w:spacing w:line="360" w:lineRule="auto"/>
        <w:jc w:val="center"/>
        <w:rPr>
          <w:rFonts w:hint="eastAsia" w:ascii="宋体" w:hAnsi="宋体" w:eastAsia="宋体" w:cs="宋体"/>
          <w:color w:val="auto"/>
          <w:sz w:val="32"/>
          <w:szCs w:val="32"/>
          <w:highlight w:val="none"/>
        </w:rPr>
      </w:pPr>
    </w:p>
    <w:p w14:paraId="4816C29F">
      <w:pPr>
        <w:spacing w:line="360" w:lineRule="auto"/>
        <w:jc w:val="left"/>
        <w:rPr>
          <w:rFonts w:hint="eastAsia" w:ascii="宋体" w:hAnsi="宋体" w:eastAsia="宋体" w:cs="宋体"/>
          <w:color w:val="auto"/>
          <w:sz w:val="32"/>
          <w:szCs w:val="32"/>
          <w:highlight w:val="none"/>
        </w:rPr>
      </w:pPr>
    </w:p>
    <w:p w14:paraId="279905B4">
      <w:pPr>
        <w:spacing w:line="360" w:lineRule="auto"/>
        <w:jc w:val="left"/>
        <w:rPr>
          <w:rFonts w:hint="eastAsia" w:ascii="宋体" w:hAnsi="宋体" w:eastAsia="宋体" w:cs="宋体"/>
          <w:color w:val="auto"/>
          <w:sz w:val="32"/>
          <w:szCs w:val="32"/>
          <w:highlight w:val="none"/>
        </w:rPr>
      </w:pPr>
    </w:p>
    <w:p w14:paraId="6634A547">
      <w:pPr>
        <w:spacing w:line="360" w:lineRule="auto"/>
        <w:jc w:val="left"/>
        <w:rPr>
          <w:rFonts w:hint="eastAsia" w:ascii="宋体" w:hAnsi="宋体" w:eastAsia="宋体" w:cs="宋体"/>
          <w:color w:val="auto"/>
          <w:sz w:val="32"/>
          <w:szCs w:val="32"/>
          <w:highlight w:val="none"/>
        </w:rPr>
      </w:pPr>
    </w:p>
    <w:p w14:paraId="59B701DD">
      <w:pPr>
        <w:spacing w:line="360" w:lineRule="auto"/>
        <w:jc w:val="left"/>
        <w:rPr>
          <w:rFonts w:hint="eastAsia" w:ascii="宋体" w:hAnsi="宋体" w:eastAsia="宋体" w:cs="宋体"/>
          <w:color w:val="auto"/>
          <w:sz w:val="32"/>
          <w:szCs w:val="32"/>
          <w:highlight w:val="none"/>
        </w:rPr>
      </w:pPr>
    </w:p>
    <w:p w14:paraId="3D9898E0">
      <w:pPr>
        <w:spacing w:line="360" w:lineRule="auto"/>
        <w:jc w:val="left"/>
        <w:rPr>
          <w:rFonts w:hint="eastAsia" w:ascii="宋体" w:hAnsi="宋体" w:eastAsia="宋体" w:cs="宋体"/>
          <w:color w:val="auto"/>
          <w:sz w:val="32"/>
          <w:szCs w:val="32"/>
          <w:highlight w:val="none"/>
        </w:rPr>
      </w:pPr>
    </w:p>
    <w:p w14:paraId="796CBD1A">
      <w:pPr>
        <w:spacing w:line="360" w:lineRule="auto"/>
        <w:jc w:val="left"/>
        <w:rPr>
          <w:rFonts w:hint="eastAsia" w:ascii="宋体" w:hAnsi="宋体" w:eastAsia="宋体" w:cs="宋体"/>
          <w:color w:val="auto"/>
          <w:sz w:val="32"/>
          <w:szCs w:val="32"/>
          <w:highlight w:val="none"/>
        </w:rPr>
      </w:pPr>
    </w:p>
    <w:p w14:paraId="3823580E">
      <w:pPr>
        <w:spacing w:line="360" w:lineRule="auto"/>
        <w:jc w:val="left"/>
        <w:rPr>
          <w:rFonts w:hint="eastAsia" w:ascii="宋体" w:hAnsi="宋体" w:eastAsia="宋体" w:cs="宋体"/>
          <w:color w:val="auto"/>
          <w:sz w:val="32"/>
          <w:szCs w:val="32"/>
          <w:highlight w:val="none"/>
        </w:rPr>
      </w:pPr>
    </w:p>
    <w:p w14:paraId="58DDED7A">
      <w:pPr>
        <w:spacing w:line="360" w:lineRule="auto"/>
        <w:jc w:val="left"/>
        <w:rPr>
          <w:rFonts w:hint="eastAsia" w:ascii="宋体" w:hAnsi="宋体" w:eastAsia="宋体" w:cs="宋体"/>
          <w:color w:val="auto"/>
          <w:sz w:val="32"/>
          <w:szCs w:val="32"/>
          <w:highlight w:val="none"/>
        </w:rPr>
      </w:pPr>
    </w:p>
    <w:p w14:paraId="2C412F6D">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04B8281">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六、核心产品品牌一览表</w:t>
      </w:r>
    </w:p>
    <w:p w14:paraId="34624C78">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核心产品品牌一览表</w:t>
      </w:r>
    </w:p>
    <w:tbl>
      <w:tblPr>
        <w:tblStyle w:val="36"/>
        <w:tblpPr w:leftFromText="180" w:rightFromText="180" w:vertAnchor="text" w:horzAnchor="margin" w:tblpXSpec="center" w:tblpY="133"/>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1"/>
        <w:gridCol w:w="3753"/>
        <w:gridCol w:w="2158"/>
        <w:gridCol w:w="2601"/>
      </w:tblGrid>
      <w:tr w14:paraId="75749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2CBC8EAF">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3753" w:type="dxa"/>
            <w:tcBorders>
              <w:top w:val="single" w:color="000000" w:sz="4" w:space="0"/>
              <w:left w:val="single" w:color="000000" w:sz="4" w:space="0"/>
              <w:right w:val="single" w:color="000000" w:sz="4" w:space="0"/>
            </w:tcBorders>
            <w:vAlign w:val="center"/>
          </w:tcPr>
          <w:p w14:paraId="72ECF13F">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2158" w:type="dxa"/>
            <w:tcBorders>
              <w:top w:val="single" w:color="000000" w:sz="4" w:space="0"/>
              <w:left w:val="single" w:color="000000" w:sz="4" w:space="0"/>
              <w:right w:val="single" w:color="000000" w:sz="4" w:space="0"/>
            </w:tcBorders>
            <w:vAlign w:val="center"/>
          </w:tcPr>
          <w:p w14:paraId="605A5914">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产品品牌</w:t>
            </w:r>
          </w:p>
        </w:tc>
        <w:tc>
          <w:tcPr>
            <w:tcW w:w="2601" w:type="dxa"/>
            <w:tcBorders>
              <w:top w:val="single" w:color="000000" w:sz="4" w:space="0"/>
              <w:left w:val="single" w:color="000000" w:sz="4" w:space="0"/>
              <w:right w:val="single" w:color="000000" w:sz="4" w:space="0"/>
            </w:tcBorders>
            <w:vAlign w:val="center"/>
          </w:tcPr>
          <w:p w14:paraId="0BE9943C">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r>
      <w:tr w14:paraId="0B5B7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79F2644D">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1</w:t>
            </w:r>
          </w:p>
        </w:tc>
        <w:tc>
          <w:tcPr>
            <w:tcW w:w="3753" w:type="dxa"/>
            <w:tcBorders>
              <w:left w:val="single" w:color="000000" w:sz="4" w:space="0"/>
              <w:right w:val="single" w:color="000000" w:sz="4" w:space="0"/>
            </w:tcBorders>
            <w:vAlign w:val="center"/>
          </w:tcPr>
          <w:p w14:paraId="09E04E73">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009404C2">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686B5CD8">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57A67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431516A1">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53" w:type="dxa"/>
            <w:tcBorders>
              <w:left w:val="single" w:color="000000" w:sz="4" w:space="0"/>
              <w:right w:val="single" w:color="000000" w:sz="4" w:space="0"/>
            </w:tcBorders>
            <w:vAlign w:val="center"/>
          </w:tcPr>
          <w:p w14:paraId="1BF2C528">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1311C324">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4225D723">
            <w:pPr>
              <w:widowControl w:val="0"/>
              <w:spacing w:line="0" w:lineRule="atLeast"/>
              <w:jc w:val="center"/>
              <w:rPr>
                <w:rFonts w:hint="eastAsia" w:ascii="宋体" w:hAnsi="宋体" w:eastAsia="宋体" w:cs="宋体"/>
                <w:color w:val="auto"/>
                <w:sz w:val="24"/>
                <w:szCs w:val="24"/>
                <w:highlight w:val="none"/>
                <w:lang w:val="zh-CN" w:eastAsia="en-US" w:bidi="ar-SA"/>
              </w:rPr>
            </w:pPr>
          </w:p>
        </w:tc>
      </w:tr>
    </w:tbl>
    <w:p w14:paraId="1A2954D6">
      <w:pPr>
        <w:widowControl/>
        <w:spacing w:line="360" w:lineRule="auto"/>
        <w:ind w:firstLine="480"/>
        <w:jc w:val="left"/>
        <w:rPr>
          <w:rFonts w:hint="eastAsia" w:ascii="宋体" w:hAnsi="宋体" w:eastAsia="宋体" w:cs="宋体"/>
          <w:color w:val="auto"/>
          <w:sz w:val="24"/>
          <w:szCs w:val="24"/>
          <w:highlight w:val="none"/>
        </w:rPr>
      </w:pPr>
    </w:p>
    <w:p w14:paraId="7FA3F8C1">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名称：（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szCs w:val="24"/>
          <w:highlight w:val="none"/>
          <w:lang w:val="zh-CN"/>
        </w:rPr>
        <w:t>）</w:t>
      </w:r>
    </w:p>
    <w:p w14:paraId="3F970DDC">
      <w:pPr>
        <w:spacing w:line="480" w:lineRule="exact"/>
        <w:ind w:firstLine="482"/>
        <w:rPr>
          <w:rFonts w:hint="eastAsia" w:ascii="宋体" w:hAnsi="宋体" w:eastAsia="宋体" w:cs="宋体"/>
          <w:b/>
          <w:bCs/>
          <w:color w:val="auto"/>
          <w:sz w:val="24"/>
          <w:szCs w:val="24"/>
          <w:highlight w:val="none"/>
        </w:rPr>
      </w:pPr>
    </w:p>
    <w:p w14:paraId="7D19F929">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42BF0B63">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1.供应商须按照表格要求明确填写所投“核心产品”的品牌，不得填报“/”“无”等内容，否则视为无效投标。</w:t>
      </w:r>
    </w:p>
    <w:p w14:paraId="5450C020">
      <w:pPr>
        <w:spacing w:line="48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行数不够，可自行添加。</w:t>
      </w:r>
    </w:p>
    <w:p w14:paraId="3817627F">
      <w:pPr>
        <w:spacing w:line="360" w:lineRule="auto"/>
        <w:jc w:val="left"/>
        <w:rPr>
          <w:rFonts w:hint="eastAsia" w:ascii="宋体" w:hAnsi="宋体" w:eastAsia="宋体" w:cs="宋体"/>
          <w:color w:val="auto"/>
          <w:sz w:val="32"/>
          <w:szCs w:val="32"/>
          <w:highlight w:val="none"/>
        </w:rPr>
      </w:pPr>
    </w:p>
    <w:p w14:paraId="0A5A75FB">
      <w:pPr>
        <w:spacing w:line="360" w:lineRule="auto"/>
        <w:jc w:val="left"/>
        <w:rPr>
          <w:rFonts w:hint="eastAsia" w:ascii="宋体" w:hAnsi="宋体" w:eastAsia="宋体" w:cs="宋体"/>
          <w:color w:val="auto"/>
          <w:sz w:val="32"/>
          <w:szCs w:val="32"/>
          <w:highlight w:val="none"/>
        </w:rPr>
      </w:pPr>
    </w:p>
    <w:p w14:paraId="0E00C0A5">
      <w:pPr>
        <w:spacing w:line="360" w:lineRule="auto"/>
        <w:jc w:val="left"/>
        <w:rPr>
          <w:rFonts w:hint="eastAsia" w:ascii="宋体" w:hAnsi="宋体" w:eastAsia="宋体" w:cs="宋体"/>
          <w:color w:val="auto"/>
          <w:sz w:val="32"/>
          <w:szCs w:val="32"/>
          <w:highlight w:val="none"/>
        </w:rPr>
      </w:pPr>
    </w:p>
    <w:p w14:paraId="55961C17">
      <w:pPr>
        <w:spacing w:line="360" w:lineRule="auto"/>
        <w:jc w:val="left"/>
        <w:rPr>
          <w:rFonts w:hint="eastAsia" w:ascii="宋体" w:hAnsi="宋体" w:eastAsia="宋体" w:cs="宋体"/>
          <w:color w:val="auto"/>
          <w:sz w:val="32"/>
          <w:szCs w:val="32"/>
          <w:highlight w:val="none"/>
        </w:rPr>
      </w:pPr>
    </w:p>
    <w:p w14:paraId="40D1D3C9">
      <w:pPr>
        <w:spacing w:line="360" w:lineRule="auto"/>
        <w:jc w:val="left"/>
        <w:rPr>
          <w:rFonts w:hint="eastAsia" w:ascii="宋体" w:hAnsi="宋体" w:eastAsia="宋体" w:cs="宋体"/>
          <w:color w:val="auto"/>
          <w:sz w:val="32"/>
          <w:szCs w:val="32"/>
          <w:highlight w:val="none"/>
        </w:rPr>
      </w:pPr>
    </w:p>
    <w:p w14:paraId="137F609D">
      <w:pPr>
        <w:spacing w:line="360" w:lineRule="auto"/>
        <w:jc w:val="left"/>
        <w:rPr>
          <w:rFonts w:hint="eastAsia" w:ascii="宋体" w:hAnsi="宋体" w:eastAsia="宋体" w:cs="宋体"/>
          <w:color w:val="auto"/>
          <w:sz w:val="32"/>
          <w:szCs w:val="32"/>
          <w:highlight w:val="none"/>
        </w:rPr>
      </w:pPr>
    </w:p>
    <w:p w14:paraId="6C2159AA">
      <w:pPr>
        <w:spacing w:line="360" w:lineRule="auto"/>
        <w:jc w:val="left"/>
        <w:rPr>
          <w:rFonts w:hint="eastAsia" w:ascii="宋体" w:hAnsi="宋体" w:eastAsia="宋体" w:cs="宋体"/>
          <w:color w:val="auto"/>
          <w:sz w:val="32"/>
          <w:szCs w:val="32"/>
          <w:highlight w:val="none"/>
        </w:rPr>
      </w:pPr>
    </w:p>
    <w:p w14:paraId="382018CF">
      <w:pPr>
        <w:spacing w:line="360" w:lineRule="auto"/>
        <w:jc w:val="left"/>
        <w:rPr>
          <w:rFonts w:hint="eastAsia" w:ascii="宋体" w:hAnsi="宋体" w:eastAsia="宋体" w:cs="宋体"/>
          <w:color w:val="auto"/>
          <w:sz w:val="32"/>
          <w:szCs w:val="32"/>
          <w:highlight w:val="none"/>
        </w:rPr>
      </w:pPr>
    </w:p>
    <w:p w14:paraId="6B60BE26">
      <w:pPr>
        <w:spacing w:line="360" w:lineRule="auto"/>
        <w:jc w:val="left"/>
        <w:rPr>
          <w:rFonts w:hint="eastAsia" w:ascii="宋体" w:hAnsi="宋体" w:eastAsia="宋体" w:cs="宋体"/>
          <w:color w:val="auto"/>
          <w:sz w:val="32"/>
          <w:szCs w:val="32"/>
          <w:highlight w:val="none"/>
        </w:rPr>
      </w:pPr>
    </w:p>
    <w:p w14:paraId="725919F7">
      <w:pPr>
        <w:spacing w:line="360" w:lineRule="auto"/>
        <w:jc w:val="left"/>
        <w:rPr>
          <w:rFonts w:hint="eastAsia" w:ascii="宋体" w:hAnsi="宋体" w:eastAsia="宋体" w:cs="宋体"/>
          <w:color w:val="auto"/>
          <w:sz w:val="32"/>
          <w:szCs w:val="32"/>
          <w:highlight w:val="none"/>
        </w:rPr>
      </w:pPr>
    </w:p>
    <w:p w14:paraId="32265630">
      <w:pPr>
        <w:spacing w:line="360" w:lineRule="auto"/>
        <w:jc w:val="left"/>
        <w:rPr>
          <w:rFonts w:hint="eastAsia" w:ascii="宋体" w:hAnsi="宋体" w:eastAsia="宋体" w:cs="宋体"/>
          <w:color w:val="auto"/>
          <w:sz w:val="32"/>
          <w:szCs w:val="32"/>
          <w:highlight w:val="none"/>
        </w:rPr>
      </w:pPr>
    </w:p>
    <w:p w14:paraId="1AC38486">
      <w:pPr>
        <w:spacing w:line="360" w:lineRule="auto"/>
        <w:jc w:val="left"/>
        <w:rPr>
          <w:rFonts w:hint="eastAsia" w:ascii="宋体" w:hAnsi="宋体" w:eastAsia="宋体" w:cs="宋体"/>
          <w:color w:val="auto"/>
          <w:sz w:val="32"/>
          <w:szCs w:val="32"/>
          <w:highlight w:val="none"/>
        </w:rPr>
      </w:pPr>
    </w:p>
    <w:p w14:paraId="57C5C22C">
      <w:pPr>
        <w:spacing w:line="360" w:lineRule="auto"/>
        <w:jc w:val="left"/>
        <w:rPr>
          <w:rFonts w:hint="eastAsia" w:ascii="宋体" w:hAnsi="宋体" w:eastAsia="宋体" w:cs="宋体"/>
          <w:color w:val="auto"/>
          <w:sz w:val="32"/>
          <w:szCs w:val="32"/>
          <w:highlight w:val="none"/>
        </w:rPr>
      </w:pPr>
    </w:p>
    <w:p w14:paraId="7DDB5EDA">
      <w:pPr>
        <w:spacing w:line="360" w:lineRule="auto"/>
        <w:jc w:val="left"/>
        <w:rPr>
          <w:rFonts w:hint="eastAsia" w:ascii="宋体" w:hAnsi="宋体" w:eastAsia="宋体" w:cs="宋体"/>
          <w:color w:val="auto"/>
          <w:sz w:val="32"/>
          <w:szCs w:val="32"/>
          <w:highlight w:val="none"/>
        </w:rPr>
      </w:pPr>
    </w:p>
    <w:p w14:paraId="688AB336">
      <w:pPr>
        <w:spacing w:line="24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七、投标分项报价表</w:t>
      </w:r>
    </w:p>
    <w:p w14:paraId="7F41CCB3">
      <w:pPr>
        <w:spacing w:line="360" w:lineRule="auto"/>
        <w:jc w:val="center"/>
        <w:outlineLvl w:val="2"/>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投标分项报价表</w:t>
      </w:r>
    </w:p>
    <w:tbl>
      <w:tblPr>
        <w:tblStyle w:val="36"/>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210"/>
      </w:tblGrid>
      <w:tr w14:paraId="511A3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2598FDF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240" w:type="dxa"/>
            <w:vAlign w:val="center"/>
          </w:tcPr>
          <w:p w14:paraId="41BCF1D8">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970" w:type="dxa"/>
            <w:vAlign w:val="center"/>
          </w:tcPr>
          <w:p w14:paraId="0E54263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790" w:type="dxa"/>
            <w:vAlign w:val="center"/>
          </w:tcPr>
          <w:p w14:paraId="389CF21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470" w:type="dxa"/>
            <w:vAlign w:val="center"/>
          </w:tcPr>
          <w:p w14:paraId="1E3F569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w:t>
            </w:r>
          </w:p>
        </w:tc>
        <w:tc>
          <w:tcPr>
            <w:tcW w:w="830" w:type="dxa"/>
            <w:vAlign w:val="center"/>
          </w:tcPr>
          <w:p w14:paraId="7B668F1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w:t>
            </w:r>
          </w:p>
        </w:tc>
        <w:tc>
          <w:tcPr>
            <w:tcW w:w="820" w:type="dxa"/>
            <w:vAlign w:val="center"/>
          </w:tcPr>
          <w:p w14:paraId="254176D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w:t>
            </w:r>
          </w:p>
        </w:tc>
        <w:tc>
          <w:tcPr>
            <w:tcW w:w="960" w:type="dxa"/>
            <w:vAlign w:val="center"/>
          </w:tcPr>
          <w:p w14:paraId="55A61F5C">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w:t>
            </w:r>
          </w:p>
        </w:tc>
        <w:tc>
          <w:tcPr>
            <w:tcW w:w="1210" w:type="dxa"/>
            <w:vAlign w:val="center"/>
          </w:tcPr>
          <w:p w14:paraId="6A1F341C">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8</w:t>
            </w:r>
          </w:p>
        </w:tc>
      </w:tr>
      <w:tr w14:paraId="54D03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vAlign w:val="center"/>
          </w:tcPr>
          <w:p w14:paraId="3D0299A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40" w:type="dxa"/>
            <w:vAlign w:val="center"/>
          </w:tcPr>
          <w:p w14:paraId="0C51693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970" w:type="dxa"/>
            <w:vAlign w:val="center"/>
          </w:tcPr>
          <w:p w14:paraId="0601A73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品牌</w:t>
            </w:r>
          </w:p>
        </w:tc>
        <w:tc>
          <w:tcPr>
            <w:tcW w:w="1790" w:type="dxa"/>
            <w:vAlign w:val="center"/>
          </w:tcPr>
          <w:p w14:paraId="6D7A1BB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c>
          <w:tcPr>
            <w:tcW w:w="1470" w:type="dxa"/>
            <w:vAlign w:val="center"/>
          </w:tcPr>
          <w:p w14:paraId="47220BA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交付期（天）</w:t>
            </w:r>
          </w:p>
        </w:tc>
        <w:tc>
          <w:tcPr>
            <w:tcW w:w="830" w:type="dxa"/>
            <w:vAlign w:val="center"/>
          </w:tcPr>
          <w:p w14:paraId="2A91C0E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数量</w:t>
            </w:r>
          </w:p>
        </w:tc>
        <w:tc>
          <w:tcPr>
            <w:tcW w:w="820" w:type="dxa"/>
            <w:vAlign w:val="center"/>
          </w:tcPr>
          <w:p w14:paraId="1FD0E6B9">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单位</w:t>
            </w:r>
          </w:p>
        </w:tc>
        <w:tc>
          <w:tcPr>
            <w:tcW w:w="960" w:type="dxa"/>
            <w:vAlign w:val="center"/>
          </w:tcPr>
          <w:p w14:paraId="3C8F5A8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单价（元）</w:t>
            </w:r>
          </w:p>
        </w:tc>
        <w:tc>
          <w:tcPr>
            <w:tcW w:w="1210" w:type="dxa"/>
            <w:vAlign w:val="center"/>
          </w:tcPr>
          <w:p w14:paraId="7C77C3D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总价（元）</w:t>
            </w:r>
          </w:p>
        </w:tc>
      </w:tr>
      <w:tr w14:paraId="13A0F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05474A5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1240" w:type="dxa"/>
            <w:vAlign w:val="center"/>
          </w:tcPr>
          <w:p w14:paraId="07C357C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3B833C1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7409E8F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0B2234A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6539290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6C703BA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2AE30FE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653BF139">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6AB68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78FEB20">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240" w:type="dxa"/>
            <w:vAlign w:val="center"/>
          </w:tcPr>
          <w:p w14:paraId="27C57FA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7B45242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3FE380B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7569E09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40DFAA9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5DF3D5E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2A39566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093AD0FB">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485BD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3F024AA9">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240" w:type="dxa"/>
            <w:vAlign w:val="center"/>
          </w:tcPr>
          <w:p w14:paraId="73E7DEC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4FC85DA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2BCB414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28DB1FD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20B2245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2230E38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0EE72EB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75B61A97">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58B7B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DC9754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9290" w:type="dxa"/>
            <w:gridSpan w:val="8"/>
            <w:vAlign w:val="center"/>
          </w:tcPr>
          <w:p w14:paraId="6A17EC67">
            <w:pPr>
              <w:widowControl w:val="0"/>
              <w:spacing w:line="0" w:lineRule="atLeast"/>
              <w:jc w:val="both"/>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投标总价（元）：</w:t>
            </w:r>
          </w:p>
        </w:tc>
      </w:tr>
    </w:tbl>
    <w:p w14:paraId="07C9F461">
      <w:pPr>
        <w:ind w:firstLine="480"/>
        <w:rPr>
          <w:rFonts w:hint="eastAsia" w:ascii="宋体" w:hAnsi="宋体" w:eastAsia="宋体" w:cs="宋体"/>
          <w:color w:val="auto"/>
          <w:sz w:val="24"/>
          <w:szCs w:val="24"/>
          <w:highlight w:val="none"/>
        </w:rPr>
      </w:pPr>
    </w:p>
    <w:p w14:paraId="19F304B8">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3BC7DB3C">
      <w:pPr>
        <w:ind w:firstLine="480"/>
        <w:rPr>
          <w:rFonts w:hint="eastAsia" w:ascii="宋体" w:hAnsi="宋体" w:eastAsia="宋体" w:cs="宋体"/>
          <w:color w:val="auto"/>
          <w:sz w:val="24"/>
          <w:szCs w:val="24"/>
          <w:highlight w:val="none"/>
        </w:rPr>
      </w:pPr>
    </w:p>
    <w:p w14:paraId="794E703C">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79D649A4">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1.“投标总报价”应包括为完成整个项目所产生的所有费用，招标文件另有规定的除外。</w:t>
      </w:r>
    </w:p>
    <w:p w14:paraId="748361FD">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2.《投标分项报价表》中“投标总价”应当与《开标一览表》中“投标总报价”一致。</w:t>
      </w:r>
    </w:p>
    <w:p w14:paraId="7A261D1E">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3.供应商所投产品须与“第四章-</w:t>
      </w:r>
      <w:r>
        <w:rPr>
          <w:rFonts w:hint="eastAsia" w:ascii="宋体" w:hAnsi="宋体" w:eastAsia="宋体" w:cs="宋体"/>
          <w:b w:val="0"/>
          <w:color w:val="auto"/>
          <w:sz w:val="21"/>
          <w:szCs w:val="22"/>
          <w:highlight w:val="none"/>
        </w:rPr>
        <w:t>货物需求一览表</w:t>
      </w:r>
      <w:r>
        <w:rPr>
          <w:rFonts w:hint="eastAsia" w:ascii="宋体" w:hAnsi="宋体" w:eastAsia="宋体" w:cs="宋体"/>
          <w:color w:val="auto"/>
          <w:highlight w:val="none"/>
        </w:rPr>
        <w:t>”中的产品一一对应，如有缺项、漏项或者超出单价上限，视为无效投标。</w:t>
      </w:r>
    </w:p>
    <w:p w14:paraId="053B964F">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4.行数不够，可自行添加。</w:t>
      </w:r>
    </w:p>
    <w:p w14:paraId="598AB8A6">
      <w:pPr>
        <w:spacing w:line="480" w:lineRule="exact"/>
        <w:rPr>
          <w:rFonts w:hint="eastAsia" w:ascii="宋体" w:hAnsi="宋体" w:eastAsia="宋体" w:cs="宋体"/>
          <w:color w:val="auto"/>
          <w:sz w:val="24"/>
          <w:szCs w:val="24"/>
          <w:highlight w:val="none"/>
        </w:rPr>
      </w:pPr>
    </w:p>
    <w:p w14:paraId="180596C0">
      <w:pPr>
        <w:rPr>
          <w:rFonts w:hint="eastAsia" w:ascii="宋体" w:hAnsi="宋体" w:eastAsia="宋体" w:cs="宋体"/>
          <w:color w:val="auto"/>
          <w:sz w:val="24"/>
          <w:szCs w:val="24"/>
          <w:highlight w:val="none"/>
        </w:rPr>
      </w:pPr>
    </w:p>
    <w:p w14:paraId="4B94FF45">
      <w:pPr>
        <w:rPr>
          <w:rFonts w:hint="eastAsia" w:ascii="宋体" w:hAnsi="宋体" w:eastAsia="宋体" w:cs="宋体"/>
          <w:color w:val="auto"/>
          <w:sz w:val="24"/>
          <w:szCs w:val="24"/>
          <w:highlight w:val="none"/>
        </w:rPr>
      </w:pPr>
    </w:p>
    <w:p w14:paraId="49BB1364">
      <w:pPr>
        <w:spacing w:line="360" w:lineRule="auto"/>
        <w:jc w:val="left"/>
        <w:rPr>
          <w:rFonts w:hint="eastAsia" w:ascii="宋体" w:hAnsi="宋体" w:eastAsia="宋体" w:cs="宋体"/>
          <w:color w:val="auto"/>
          <w:sz w:val="32"/>
          <w:szCs w:val="32"/>
          <w:highlight w:val="none"/>
        </w:rPr>
      </w:pPr>
    </w:p>
    <w:p w14:paraId="1798A811">
      <w:pPr>
        <w:spacing w:line="360" w:lineRule="auto"/>
        <w:jc w:val="left"/>
        <w:rPr>
          <w:rFonts w:hint="eastAsia" w:ascii="宋体" w:hAnsi="宋体" w:eastAsia="宋体" w:cs="宋体"/>
          <w:color w:val="auto"/>
          <w:sz w:val="32"/>
          <w:szCs w:val="32"/>
          <w:highlight w:val="none"/>
        </w:rPr>
      </w:pPr>
    </w:p>
    <w:p w14:paraId="76ACCD90">
      <w:pPr>
        <w:spacing w:line="360" w:lineRule="auto"/>
        <w:jc w:val="left"/>
        <w:rPr>
          <w:rFonts w:hint="eastAsia" w:ascii="宋体" w:hAnsi="宋体" w:eastAsia="宋体" w:cs="宋体"/>
          <w:color w:val="auto"/>
          <w:sz w:val="32"/>
          <w:szCs w:val="32"/>
          <w:highlight w:val="none"/>
        </w:rPr>
      </w:pPr>
    </w:p>
    <w:p w14:paraId="7D1D4F61">
      <w:pPr>
        <w:spacing w:line="360" w:lineRule="auto"/>
        <w:jc w:val="left"/>
        <w:rPr>
          <w:rFonts w:hint="eastAsia" w:ascii="宋体" w:hAnsi="宋体" w:eastAsia="宋体" w:cs="宋体"/>
          <w:color w:val="auto"/>
          <w:sz w:val="32"/>
          <w:szCs w:val="32"/>
          <w:highlight w:val="none"/>
        </w:rPr>
      </w:pPr>
    </w:p>
    <w:p w14:paraId="349FAFCE">
      <w:pPr>
        <w:spacing w:line="360" w:lineRule="auto"/>
        <w:jc w:val="left"/>
        <w:rPr>
          <w:rFonts w:hint="eastAsia" w:ascii="宋体" w:hAnsi="宋体" w:eastAsia="宋体" w:cs="宋体"/>
          <w:color w:val="auto"/>
          <w:sz w:val="32"/>
          <w:szCs w:val="32"/>
          <w:highlight w:val="none"/>
        </w:rPr>
      </w:pPr>
    </w:p>
    <w:p w14:paraId="70F416F6">
      <w:pPr>
        <w:spacing w:line="360" w:lineRule="auto"/>
        <w:jc w:val="left"/>
        <w:rPr>
          <w:rFonts w:hint="eastAsia" w:ascii="宋体" w:hAnsi="宋体" w:eastAsia="宋体" w:cs="宋体"/>
          <w:color w:val="auto"/>
          <w:sz w:val="32"/>
          <w:szCs w:val="32"/>
          <w:highlight w:val="none"/>
        </w:rPr>
      </w:pPr>
    </w:p>
    <w:p w14:paraId="55EA0E0F">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14463A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八、技术要求响应及偏离表</w:t>
      </w:r>
    </w:p>
    <w:p w14:paraId="23D02024">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技术要求响应及偏离表</w:t>
      </w:r>
    </w:p>
    <w:tbl>
      <w:tblPr>
        <w:tblStyle w:val="36"/>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1768"/>
        <w:gridCol w:w="1809"/>
        <w:gridCol w:w="1770"/>
        <w:gridCol w:w="2755"/>
      </w:tblGrid>
      <w:tr w14:paraId="2B7F4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5" w:type="dxa"/>
            <w:vAlign w:val="center"/>
          </w:tcPr>
          <w:p w14:paraId="09097FD6">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768" w:type="dxa"/>
            <w:vAlign w:val="center"/>
          </w:tcPr>
          <w:p w14:paraId="4142EBD8">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1809" w:type="dxa"/>
            <w:vAlign w:val="center"/>
          </w:tcPr>
          <w:p w14:paraId="2FB320F8">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1770" w:type="dxa"/>
            <w:vAlign w:val="center"/>
          </w:tcPr>
          <w:p w14:paraId="2EF753CB">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c>
          <w:tcPr>
            <w:tcW w:w="2755" w:type="dxa"/>
            <w:vAlign w:val="center"/>
          </w:tcPr>
          <w:p w14:paraId="2CCB2D43">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证明材料在投标文件中页码及条款号</w:t>
            </w:r>
          </w:p>
        </w:tc>
      </w:tr>
      <w:tr w14:paraId="2D930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5B40126D">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F5388A4">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17BC9494">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AB44950">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D37998B">
            <w:pPr>
              <w:widowControl w:val="0"/>
              <w:jc w:val="center"/>
              <w:rPr>
                <w:rFonts w:hint="eastAsia" w:ascii="宋体" w:hAnsi="宋体" w:eastAsia="宋体" w:cs="宋体"/>
                <w:color w:val="auto"/>
                <w:sz w:val="24"/>
                <w:szCs w:val="24"/>
                <w:highlight w:val="none"/>
                <w:lang w:val="en-US" w:eastAsia="en-US" w:bidi="ar-SA"/>
              </w:rPr>
            </w:pPr>
          </w:p>
        </w:tc>
      </w:tr>
      <w:tr w14:paraId="13799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190F7A50">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0944FC46">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6EF5FB8C">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5E72D65C">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BF017E7">
            <w:pPr>
              <w:widowControl w:val="0"/>
              <w:jc w:val="center"/>
              <w:rPr>
                <w:rFonts w:hint="eastAsia" w:ascii="宋体" w:hAnsi="宋体" w:eastAsia="宋体" w:cs="宋体"/>
                <w:color w:val="auto"/>
                <w:sz w:val="24"/>
                <w:szCs w:val="24"/>
                <w:highlight w:val="none"/>
                <w:lang w:val="en-US" w:eastAsia="en-US" w:bidi="ar-SA"/>
              </w:rPr>
            </w:pPr>
          </w:p>
        </w:tc>
      </w:tr>
      <w:tr w14:paraId="17F0C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1FADCFC1">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68CFFA5">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2CC4AB97">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143CC94">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1C000E5D">
            <w:pPr>
              <w:widowControl w:val="0"/>
              <w:jc w:val="center"/>
              <w:rPr>
                <w:rFonts w:hint="eastAsia" w:ascii="宋体" w:hAnsi="宋体" w:eastAsia="宋体" w:cs="宋体"/>
                <w:color w:val="auto"/>
                <w:sz w:val="24"/>
                <w:szCs w:val="24"/>
                <w:highlight w:val="none"/>
                <w:lang w:val="en-US" w:eastAsia="en-US" w:bidi="ar-SA"/>
              </w:rPr>
            </w:pPr>
          </w:p>
        </w:tc>
      </w:tr>
      <w:tr w14:paraId="561CC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72338CA2">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00D7ADF">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4D676A5F">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5EF15062">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9A47704">
            <w:pPr>
              <w:widowControl w:val="0"/>
              <w:jc w:val="center"/>
              <w:rPr>
                <w:rFonts w:hint="eastAsia" w:ascii="宋体" w:hAnsi="宋体" w:eastAsia="宋体" w:cs="宋体"/>
                <w:color w:val="auto"/>
                <w:sz w:val="24"/>
                <w:szCs w:val="24"/>
                <w:highlight w:val="none"/>
                <w:lang w:val="en-US" w:eastAsia="en-US" w:bidi="ar-SA"/>
              </w:rPr>
            </w:pPr>
          </w:p>
        </w:tc>
      </w:tr>
      <w:tr w14:paraId="507B1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3FA78335">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4790D9A">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73C20E26">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0B283CF2">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1F60E424">
            <w:pPr>
              <w:widowControl w:val="0"/>
              <w:jc w:val="center"/>
              <w:rPr>
                <w:rFonts w:hint="eastAsia" w:ascii="宋体" w:hAnsi="宋体" w:eastAsia="宋体" w:cs="宋体"/>
                <w:color w:val="auto"/>
                <w:sz w:val="24"/>
                <w:szCs w:val="24"/>
                <w:highlight w:val="none"/>
                <w:lang w:val="en-US" w:eastAsia="en-US" w:bidi="ar-SA"/>
              </w:rPr>
            </w:pPr>
          </w:p>
        </w:tc>
      </w:tr>
      <w:tr w14:paraId="79AC2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591E342F">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F294917">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60623D98">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37ADF991">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1FB64522">
            <w:pPr>
              <w:widowControl w:val="0"/>
              <w:jc w:val="center"/>
              <w:rPr>
                <w:rFonts w:hint="eastAsia" w:ascii="宋体" w:hAnsi="宋体" w:eastAsia="宋体" w:cs="宋体"/>
                <w:color w:val="auto"/>
                <w:sz w:val="24"/>
                <w:szCs w:val="24"/>
                <w:highlight w:val="none"/>
                <w:lang w:val="en-US" w:eastAsia="en-US" w:bidi="ar-SA"/>
              </w:rPr>
            </w:pPr>
          </w:p>
        </w:tc>
      </w:tr>
      <w:tr w14:paraId="5F9D1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065668CB">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F284793">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3BE45269">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39EC742">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58AEF330">
            <w:pPr>
              <w:widowControl w:val="0"/>
              <w:jc w:val="center"/>
              <w:rPr>
                <w:rFonts w:hint="eastAsia" w:ascii="宋体" w:hAnsi="宋体" w:eastAsia="宋体" w:cs="宋体"/>
                <w:color w:val="auto"/>
                <w:sz w:val="24"/>
                <w:szCs w:val="24"/>
                <w:highlight w:val="none"/>
                <w:lang w:val="en-US" w:eastAsia="en-US" w:bidi="ar-SA"/>
              </w:rPr>
            </w:pPr>
          </w:p>
        </w:tc>
      </w:tr>
      <w:tr w14:paraId="71E2B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37881098">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101C7170">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463F8E89">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423CB05C">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2313F848">
            <w:pPr>
              <w:widowControl w:val="0"/>
              <w:jc w:val="center"/>
              <w:rPr>
                <w:rFonts w:hint="eastAsia" w:ascii="宋体" w:hAnsi="宋体" w:eastAsia="宋体" w:cs="宋体"/>
                <w:color w:val="auto"/>
                <w:sz w:val="24"/>
                <w:szCs w:val="24"/>
                <w:highlight w:val="none"/>
                <w:lang w:val="en-US" w:eastAsia="en-US" w:bidi="ar-SA"/>
              </w:rPr>
            </w:pPr>
          </w:p>
        </w:tc>
      </w:tr>
    </w:tbl>
    <w:p w14:paraId="510A7925">
      <w:pPr>
        <w:spacing w:line="560" w:lineRule="exact"/>
        <w:ind w:right="180" w:firstLine="480"/>
        <w:rPr>
          <w:rFonts w:hint="eastAsia" w:ascii="宋体" w:hAnsi="宋体" w:eastAsia="宋体" w:cs="宋体"/>
          <w:color w:val="auto"/>
          <w:sz w:val="24"/>
          <w:szCs w:val="24"/>
          <w:highlight w:val="none"/>
        </w:rPr>
      </w:pPr>
    </w:p>
    <w:p w14:paraId="0C128E77">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445205E6">
      <w:pPr>
        <w:pStyle w:val="33"/>
        <w:spacing w:before="0" w:beforeAutospacing="0" w:after="0" w:afterAutospacing="0"/>
        <w:ind w:firstLine="480"/>
        <w:jc w:val="both"/>
        <w:rPr>
          <w:rFonts w:hint="eastAsia" w:ascii="宋体" w:hAnsi="宋体" w:eastAsia="宋体" w:cs="宋体"/>
          <w:color w:val="auto"/>
          <w:highlight w:val="none"/>
        </w:rPr>
      </w:pPr>
    </w:p>
    <w:p w14:paraId="6E57F177">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2C30E4E2">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1.供应商须对招标文件技术要求中的实质性要求（斜体下划线内容或打“★”内容）及其他要求做出明确响应，否则视为无效投标。</w:t>
      </w:r>
    </w:p>
    <w:p w14:paraId="311A7D72">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2.技术</w:t>
      </w:r>
      <w:r>
        <w:rPr>
          <w:rFonts w:hint="eastAsia" w:ascii="宋体" w:hAnsi="宋体" w:eastAsia="宋体" w:cs="宋体"/>
          <w:color w:val="auto"/>
          <w:highlight w:val="none"/>
          <w:lang w:eastAsia="zh-CN"/>
        </w:rPr>
        <w:t>参数及</w:t>
      </w:r>
      <w:r>
        <w:rPr>
          <w:rFonts w:hint="eastAsia" w:ascii="宋体" w:hAnsi="宋体" w:eastAsia="宋体" w:cs="宋体"/>
          <w:color w:val="auto"/>
          <w:highlight w:val="none"/>
        </w:rPr>
        <w:t>要求</w:t>
      </w:r>
      <w:r>
        <w:rPr>
          <w:rFonts w:hint="eastAsia" w:ascii="宋体" w:hAnsi="宋体" w:eastAsia="宋体" w:cs="宋体"/>
          <w:color w:val="auto"/>
          <w:sz w:val="21"/>
          <w:szCs w:val="21"/>
          <w:highlight w:val="none"/>
          <w:lang w:val="en-US" w:eastAsia="zh-CN"/>
        </w:rPr>
        <w:t>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p>
    <w:p w14:paraId="732096E4">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3.行数不够，可自行添加。</w:t>
      </w:r>
    </w:p>
    <w:p w14:paraId="0A0CE2A6">
      <w:pPr>
        <w:spacing w:line="360" w:lineRule="auto"/>
        <w:jc w:val="left"/>
        <w:rPr>
          <w:rFonts w:hint="eastAsia" w:ascii="宋体" w:hAnsi="宋体" w:eastAsia="宋体" w:cs="宋体"/>
          <w:color w:val="auto"/>
          <w:sz w:val="32"/>
          <w:szCs w:val="32"/>
          <w:highlight w:val="none"/>
        </w:rPr>
      </w:pPr>
    </w:p>
    <w:p w14:paraId="357F81DD">
      <w:pPr>
        <w:spacing w:line="360" w:lineRule="auto"/>
        <w:jc w:val="left"/>
        <w:rPr>
          <w:rFonts w:hint="eastAsia" w:ascii="宋体" w:hAnsi="宋体" w:eastAsia="宋体" w:cs="宋体"/>
          <w:color w:val="auto"/>
          <w:sz w:val="32"/>
          <w:szCs w:val="32"/>
          <w:highlight w:val="none"/>
        </w:rPr>
      </w:pPr>
    </w:p>
    <w:p w14:paraId="236B4317">
      <w:pPr>
        <w:rPr>
          <w:rFonts w:hint="eastAsia" w:ascii="宋体" w:hAnsi="宋体" w:eastAsia="宋体" w:cs="宋体"/>
          <w:color w:val="auto"/>
          <w:highlight w:val="none"/>
        </w:rPr>
      </w:pPr>
    </w:p>
    <w:p w14:paraId="1E07A1AD">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E90112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九、商务要求响应及偏离表</w:t>
      </w:r>
    </w:p>
    <w:p w14:paraId="1C79D439">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商务要求响应及偏离表</w:t>
      </w:r>
    </w:p>
    <w:tbl>
      <w:tblPr>
        <w:tblStyle w:val="36"/>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70598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144EA191">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2878" w:type="dxa"/>
            <w:vAlign w:val="center"/>
          </w:tcPr>
          <w:p w14:paraId="5843A43B">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2832" w:type="dxa"/>
            <w:vAlign w:val="center"/>
          </w:tcPr>
          <w:p w14:paraId="63003A7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3352" w:type="dxa"/>
            <w:vAlign w:val="center"/>
          </w:tcPr>
          <w:p w14:paraId="60499F91">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r>
      <w:tr w14:paraId="090BB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33DF33B7">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2FBEDF8">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6EB78C8">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A544CF9">
            <w:pPr>
              <w:widowControl w:val="0"/>
              <w:jc w:val="center"/>
              <w:rPr>
                <w:rFonts w:hint="eastAsia" w:ascii="宋体" w:hAnsi="宋体" w:eastAsia="宋体" w:cs="宋体"/>
                <w:color w:val="auto"/>
                <w:sz w:val="24"/>
                <w:szCs w:val="24"/>
                <w:highlight w:val="none"/>
                <w:lang w:val="en-US" w:eastAsia="en-US" w:bidi="ar-SA"/>
              </w:rPr>
            </w:pPr>
          </w:p>
        </w:tc>
      </w:tr>
      <w:tr w14:paraId="2393C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5164191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A8552B7">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0DE99F47">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0EB7DE5">
            <w:pPr>
              <w:widowControl w:val="0"/>
              <w:jc w:val="center"/>
              <w:rPr>
                <w:rFonts w:hint="eastAsia" w:ascii="宋体" w:hAnsi="宋体" w:eastAsia="宋体" w:cs="宋体"/>
                <w:color w:val="auto"/>
                <w:sz w:val="24"/>
                <w:szCs w:val="24"/>
                <w:highlight w:val="none"/>
                <w:lang w:val="en-US" w:eastAsia="en-US" w:bidi="ar-SA"/>
              </w:rPr>
            </w:pPr>
          </w:p>
        </w:tc>
      </w:tr>
      <w:tr w14:paraId="77819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036E7D6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C748D9B">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39937907">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60BA1FC4">
            <w:pPr>
              <w:widowControl w:val="0"/>
              <w:jc w:val="center"/>
              <w:rPr>
                <w:rFonts w:hint="eastAsia" w:ascii="宋体" w:hAnsi="宋体" w:eastAsia="宋体" w:cs="宋体"/>
                <w:color w:val="auto"/>
                <w:sz w:val="24"/>
                <w:szCs w:val="24"/>
                <w:highlight w:val="none"/>
                <w:lang w:val="en-US" w:eastAsia="en-US" w:bidi="ar-SA"/>
              </w:rPr>
            </w:pPr>
          </w:p>
        </w:tc>
      </w:tr>
      <w:tr w14:paraId="5D18B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3994BAE">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737B1E71">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4868E73">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19087BA">
            <w:pPr>
              <w:widowControl w:val="0"/>
              <w:jc w:val="center"/>
              <w:rPr>
                <w:rFonts w:hint="eastAsia" w:ascii="宋体" w:hAnsi="宋体" w:eastAsia="宋体" w:cs="宋体"/>
                <w:color w:val="auto"/>
                <w:sz w:val="24"/>
                <w:szCs w:val="24"/>
                <w:highlight w:val="none"/>
                <w:lang w:val="en-US" w:eastAsia="en-US" w:bidi="ar-SA"/>
              </w:rPr>
            </w:pPr>
          </w:p>
        </w:tc>
      </w:tr>
      <w:tr w14:paraId="1608D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7E696BFE">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1152881">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E427181">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503ADF6C">
            <w:pPr>
              <w:widowControl w:val="0"/>
              <w:jc w:val="center"/>
              <w:rPr>
                <w:rFonts w:hint="eastAsia" w:ascii="宋体" w:hAnsi="宋体" w:eastAsia="宋体" w:cs="宋体"/>
                <w:color w:val="auto"/>
                <w:sz w:val="24"/>
                <w:szCs w:val="24"/>
                <w:highlight w:val="none"/>
                <w:lang w:val="en-US" w:eastAsia="en-US" w:bidi="ar-SA"/>
              </w:rPr>
            </w:pPr>
          </w:p>
        </w:tc>
      </w:tr>
      <w:tr w14:paraId="4F198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38389D21">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227DB3CA">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770404F5">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AFFB79A">
            <w:pPr>
              <w:widowControl w:val="0"/>
              <w:jc w:val="center"/>
              <w:rPr>
                <w:rFonts w:hint="eastAsia" w:ascii="宋体" w:hAnsi="宋体" w:eastAsia="宋体" w:cs="宋体"/>
                <w:color w:val="auto"/>
                <w:sz w:val="24"/>
                <w:szCs w:val="24"/>
                <w:highlight w:val="none"/>
                <w:lang w:val="en-US" w:eastAsia="en-US" w:bidi="ar-SA"/>
              </w:rPr>
            </w:pPr>
          </w:p>
        </w:tc>
      </w:tr>
      <w:tr w14:paraId="7963D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7EC1FA4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04DA75C2">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2C615AD1">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4EFA9DF">
            <w:pPr>
              <w:widowControl w:val="0"/>
              <w:jc w:val="center"/>
              <w:rPr>
                <w:rFonts w:hint="eastAsia" w:ascii="宋体" w:hAnsi="宋体" w:eastAsia="宋体" w:cs="宋体"/>
                <w:color w:val="auto"/>
                <w:sz w:val="24"/>
                <w:szCs w:val="24"/>
                <w:highlight w:val="none"/>
                <w:lang w:val="en-US" w:eastAsia="en-US" w:bidi="ar-SA"/>
              </w:rPr>
            </w:pPr>
          </w:p>
        </w:tc>
      </w:tr>
      <w:tr w14:paraId="69693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558743B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66654EE5">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6D09C90">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2E916E12">
            <w:pPr>
              <w:widowControl w:val="0"/>
              <w:jc w:val="center"/>
              <w:rPr>
                <w:rFonts w:hint="eastAsia" w:ascii="宋体" w:hAnsi="宋体" w:eastAsia="宋体" w:cs="宋体"/>
                <w:color w:val="auto"/>
                <w:sz w:val="24"/>
                <w:szCs w:val="24"/>
                <w:highlight w:val="none"/>
                <w:lang w:val="en-US" w:eastAsia="en-US" w:bidi="ar-SA"/>
              </w:rPr>
            </w:pPr>
          </w:p>
        </w:tc>
      </w:tr>
    </w:tbl>
    <w:p w14:paraId="3CF78583">
      <w:pPr>
        <w:spacing w:line="560" w:lineRule="exact"/>
        <w:ind w:right="180" w:firstLine="480"/>
        <w:rPr>
          <w:rFonts w:hint="eastAsia" w:ascii="宋体" w:hAnsi="宋体" w:eastAsia="宋体" w:cs="宋体"/>
          <w:color w:val="auto"/>
          <w:sz w:val="24"/>
          <w:szCs w:val="24"/>
          <w:highlight w:val="none"/>
        </w:rPr>
      </w:pPr>
    </w:p>
    <w:p w14:paraId="66E2410E">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6B4D9E4A">
      <w:pPr>
        <w:ind w:firstLine="480"/>
        <w:rPr>
          <w:rFonts w:hint="eastAsia" w:ascii="宋体" w:hAnsi="宋体" w:eastAsia="宋体" w:cs="宋体"/>
          <w:color w:val="auto"/>
          <w:sz w:val="24"/>
          <w:szCs w:val="24"/>
          <w:highlight w:val="none"/>
        </w:rPr>
      </w:pPr>
    </w:p>
    <w:p w14:paraId="3667810E">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2786B557">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1.供应商须对招标文件商务要求中的实质性要求（斜体下划线内容或打“★”内容）做出明确响应，否则视为无效投标。</w:t>
      </w:r>
    </w:p>
    <w:p w14:paraId="4624B557">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2.行数不够，可自行添加。</w:t>
      </w:r>
    </w:p>
    <w:p w14:paraId="512B9E63">
      <w:pPr>
        <w:spacing w:line="480" w:lineRule="auto"/>
        <w:rPr>
          <w:rFonts w:hint="eastAsia" w:ascii="宋体" w:hAnsi="宋体" w:eastAsia="宋体" w:cs="宋体"/>
          <w:color w:val="auto"/>
          <w:sz w:val="24"/>
          <w:szCs w:val="21"/>
          <w:highlight w:val="none"/>
        </w:rPr>
      </w:pPr>
    </w:p>
    <w:p w14:paraId="6EF886BF">
      <w:pPr>
        <w:spacing w:line="480" w:lineRule="auto"/>
        <w:rPr>
          <w:rFonts w:hint="eastAsia" w:ascii="宋体" w:hAnsi="宋体" w:eastAsia="宋体" w:cs="宋体"/>
          <w:color w:val="auto"/>
          <w:sz w:val="30"/>
          <w:szCs w:val="21"/>
          <w:highlight w:val="none"/>
        </w:rPr>
      </w:pPr>
    </w:p>
    <w:p w14:paraId="304FBF92">
      <w:pPr>
        <w:spacing w:line="360" w:lineRule="auto"/>
        <w:jc w:val="left"/>
        <w:rPr>
          <w:rFonts w:hint="eastAsia" w:ascii="宋体" w:hAnsi="宋体" w:eastAsia="宋体" w:cs="宋体"/>
          <w:color w:val="auto"/>
          <w:sz w:val="32"/>
          <w:szCs w:val="32"/>
          <w:highlight w:val="none"/>
        </w:rPr>
      </w:pPr>
    </w:p>
    <w:p w14:paraId="7ED60E46">
      <w:pPr>
        <w:spacing w:line="360" w:lineRule="auto"/>
        <w:jc w:val="left"/>
        <w:rPr>
          <w:rFonts w:hint="eastAsia" w:ascii="宋体" w:hAnsi="宋体" w:eastAsia="宋体" w:cs="宋体"/>
          <w:color w:val="auto"/>
          <w:sz w:val="32"/>
          <w:szCs w:val="32"/>
          <w:highlight w:val="none"/>
        </w:rPr>
      </w:pPr>
    </w:p>
    <w:p w14:paraId="2CE1DDD7">
      <w:pPr>
        <w:spacing w:line="360" w:lineRule="auto"/>
        <w:jc w:val="left"/>
        <w:rPr>
          <w:rFonts w:hint="eastAsia" w:ascii="宋体" w:hAnsi="宋体" w:eastAsia="宋体" w:cs="宋体"/>
          <w:color w:val="auto"/>
          <w:sz w:val="32"/>
          <w:szCs w:val="32"/>
          <w:highlight w:val="none"/>
        </w:rPr>
      </w:pPr>
    </w:p>
    <w:p w14:paraId="09FD2CDD">
      <w:pPr>
        <w:pStyle w:val="199"/>
        <w:rPr>
          <w:rFonts w:hint="eastAsia" w:ascii="宋体" w:hAnsi="宋体" w:eastAsia="宋体" w:cs="宋体"/>
          <w:color w:val="auto"/>
          <w:sz w:val="32"/>
          <w:szCs w:val="32"/>
          <w:highlight w:val="none"/>
          <w:lang w:val="en-US"/>
        </w:rPr>
      </w:pPr>
    </w:p>
    <w:p w14:paraId="09439698">
      <w:pPr>
        <w:rPr>
          <w:rFonts w:hint="eastAsia" w:ascii="宋体" w:hAnsi="宋体" w:eastAsia="宋体" w:cs="宋体"/>
          <w:color w:val="auto"/>
          <w:highlight w:val="none"/>
        </w:rPr>
      </w:pPr>
    </w:p>
    <w:p w14:paraId="0B97AB4B">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871AA11">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十、中小企业声明函</w:t>
      </w:r>
    </w:p>
    <w:p w14:paraId="4A6A5DD4">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中小企业声明函（货物）</w:t>
      </w:r>
    </w:p>
    <w:p w14:paraId="788663F3">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35E149B">
      <w:pPr>
        <w:spacing w:line="336"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63D95A9C">
      <w:pPr>
        <w:spacing w:line="336" w:lineRule="auto"/>
        <w:ind w:firstLine="360"/>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32433C08">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930A333">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3CAECE2">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57C3E9BE">
      <w:pPr>
        <w:pStyle w:val="199"/>
        <w:spacing w:line="336" w:lineRule="auto"/>
        <w:rPr>
          <w:rFonts w:hint="eastAsia" w:ascii="宋体" w:hAnsi="宋体" w:eastAsia="宋体" w:cs="宋体"/>
          <w:color w:val="auto"/>
          <w:sz w:val="24"/>
          <w:szCs w:val="24"/>
          <w:highlight w:val="none"/>
        </w:rPr>
      </w:pPr>
    </w:p>
    <w:p w14:paraId="25F01841">
      <w:pPr>
        <w:spacing w:line="336" w:lineRule="auto"/>
        <w:rPr>
          <w:rFonts w:hint="eastAsia" w:ascii="宋体" w:hAnsi="宋体" w:eastAsia="宋体" w:cs="宋体"/>
          <w:color w:val="auto"/>
          <w:highlight w:val="none"/>
        </w:rPr>
      </w:pPr>
    </w:p>
    <w:p w14:paraId="4B559ADC">
      <w:pPr>
        <w:spacing w:line="336"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5356AE91">
      <w:pPr>
        <w:spacing w:line="336"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07BF8492">
      <w:pPr>
        <w:spacing w:line="336" w:lineRule="auto"/>
        <w:ind w:firstLine="480"/>
        <w:rPr>
          <w:rFonts w:hint="eastAsia" w:ascii="宋体" w:hAnsi="宋体" w:eastAsia="宋体" w:cs="宋体"/>
          <w:color w:val="auto"/>
          <w:sz w:val="24"/>
          <w:szCs w:val="24"/>
          <w:highlight w:val="none"/>
        </w:rPr>
      </w:pPr>
    </w:p>
    <w:p w14:paraId="12656BB0">
      <w:pPr>
        <w:spacing w:line="336"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（货物由中小企业制造，即货物由中小企业生产且使用该中小企业商号或者注册商标）</w:t>
      </w:r>
      <w:r>
        <w:rPr>
          <w:rFonts w:hint="eastAsia" w:ascii="宋体" w:hAnsi="宋体" w:eastAsia="宋体" w:cs="宋体"/>
          <w:color w:val="auto"/>
          <w:sz w:val="24"/>
          <w:szCs w:val="24"/>
          <w:highlight w:val="none"/>
        </w:rPr>
        <w:t>，不对其中涉及的服务的承接商、工程的承建商作出要求。</w:t>
      </w:r>
    </w:p>
    <w:p w14:paraId="4C256A74">
      <w:pPr>
        <w:spacing w:line="360" w:lineRule="auto"/>
        <w:jc w:val="left"/>
        <w:rPr>
          <w:rFonts w:hint="eastAsia" w:ascii="宋体" w:hAnsi="宋体" w:eastAsia="宋体" w:cs="宋体"/>
          <w:color w:val="auto"/>
          <w:sz w:val="32"/>
          <w:szCs w:val="32"/>
          <w:highlight w:val="none"/>
        </w:rPr>
      </w:pPr>
    </w:p>
    <w:p w14:paraId="0D8D8287">
      <w:pPr>
        <w:pStyle w:val="35"/>
        <w:rPr>
          <w:rFonts w:hint="eastAsia"/>
          <w:color w:val="auto"/>
          <w:highlight w:val="none"/>
        </w:rPr>
      </w:pPr>
    </w:p>
    <w:p w14:paraId="41D4DC2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十一、残疾人福利性单位声明函</w:t>
      </w:r>
    </w:p>
    <w:p w14:paraId="69AC86D2">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p>
    <w:p w14:paraId="0A510C04">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提供本单位制造的货物，或者提供其他残疾人福利性单位制造的货物（不包括使用非残疾人福利性单位注册商标的货物）。</w:t>
      </w:r>
    </w:p>
    <w:p w14:paraId="6B57C88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40765883">
      <w:pPr>
        <w:pStyle w:val="199"/>
        <w:rPr>
          <w:rFonts w:hint="eastAsia" w:ascii="宋体" w:hAnsi="宋体" w:eastAsia="宋体" w:cs="宋体"/>
          <w:color w:val="auto"/>
          <w:sz w:val="24"/>
          <w:szCs w:val="24"/>
          <w:highlight w:val="none"/>
        </w:rPr>
      </w:pPr>
    </w:p>
    <w:p w14:paraId="1D544FD9">
      <w:pPr>
        <w:rPr>
          <w:rFonts w:hint="eastAsia" w:ascii="宋体" w:hAnsi="宋体" w:eastAsia="宋体" w:cs="宋体"/>
          <w:color w:val="auto"/>
          <w:highlight w:val="none"/>
        </w:rPr>
      </w:pPr>
    </w:p>
    <w:p w14:paraId="1578C3A9">
      <w:pPr>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5AF6D72D">
      <w:pPr>
        <w:spacing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FA36216">
      <w:pPr>
        <w:spacing w:line="588" w:lineRule="exact"/>
        <w:ind w:firstLine="480"/>
        <w:rPr>
          <w:rFonts w:hint="eastAsia" w:ascii="宋体" w:hAnsi="宋体" w:eastAsia="宋体" w:cs="宋体"/>
          <w:color w:val="auto"/>
          <w:sz w:val="24"/>
          <w:highlight w:val="none"/>
        </w:rPr>
      </w:pPr>
    </w:p>
    <w:p w14:paraId="3BE913C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709CC5B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1.投标人如不提供此声明函，价格将不作相应扣除。</w:t>
      </w:r>
    </w:p>
    <w:p w14:paraId="5B4CCCE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2.中标人为残疾人福利性单位的，此声明函将随中标结果同时公告，接受社会监督。</w:t>
      </w:r>
    </w:p>
    <w:p w14:paraId="441094F9">
      <w:pPr>
        <w:spacing w:line="480" w:lineRule="exact"/>
        <w:ind w:firstLine="624"/>
        <w:rPr>
          <w:rFonts w:hint="eastAsia" w:ascii="宋体" w:hAnsi="宋体" w:eastAsia="宋体" w:cs="宋体"/>
          <w:color w:val="auto"/>
          <w:spacing w:val="6"/>
          <w:sz w:val="30"/>
          <w:szCs w:val="30"/>
          <w:highlight w:val="none"/>
        </w:rPr>
      </w:pPr>
    </w:p>
    <w:p w14:paraId="3183CC36">
      <w:pPr>
        <w:pStyle w:val="200"/>
        <w:rPr>
          <w:rFonts w:hint="eastAsia" w:ascii="宋体" w:hAnsi="宋体" w:eastAsia="宋体" w:cs="宋体"/>
          <w:color w:val="auto"/>
          <w:highlight w:val="none"/>
        </w:rPr>
      </w:pPr>
    </w:p>
    <w:p w14:paraId="7FA7DD54">
      <w:pPr>
        <w:spacing w:line="560" w:lineRule="exact"/>
        <w:ind w:firstLine="57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B52A5E6">
      <w:pPr>
        <w:spacing w:line="560" w:lineRule="exact"/>
        <w:jc w:val="center"/>
        <w:rPr>
          <w:rFonts w:hint="eastAsia" w:ascii="宋体" w:hAnsi="宋体" w:eastAsia="宋体" w:cs="宋体"/>
          <w:b/>
          <w:color w:val="auto"/>
          <w:sz w:val="32"/>
          <w:szCs w:val="32"/>
          <w:highlight w:val="none"/>
        </w:rPr>
      </w:pPr>
    </w:p>
    <w:p w14:paraId="605049DB">
      <w:pPr>
        <w:spacing w:line="560" w:lineRule="exact"/>
        <w:jc w:val="center"/>
        <w:rPr>
          <w:rFonts w:hint="eastAsia" w:ascii="宋体" w:hAnsi="宋体" w:eastAsia="宋体" w:cs="宋体"/>
          <w:b/>
          <w:color w:val="auto"/>
          <w:sz w:val="32"/>
          <w:szCs w:val="32"/>
          <w:highlight w:val="none"/>
        </w:rPr>
      </w:pPr>
    </w:p>
    <w:p w14:paraId="5AA1B3DD">
      <w:pPr>
        <w:spacing w:line="560" w:lineRule="exact"/>
        <w:jc w:val="center"/>
        <w:rPr>
          <w:rFonts w:hint="eastAsia" w:ascii="宋体" w:hAnsi="宋体" w:eastAsia="宋体" w:cs="宋体"/>
          <w:b/>
          <w:color w:val="auto"/>
          <w:sz w:val="32"/>
          <w:szCs w:val="32"/>
          <w:highlight w:val="none"/>
        </w:rPr>
      </w:pPr>
    </w:p>
    <w:p w14:paraId="307592CA">
      <w:pPr>
        <w:spacing w:line="560" w:lineRule="exact"/>
        <w:jc w:val="center"/>
        <w:rPr>
          <w:rFonts w:hint="eastAsia" w:ascii="宋体" w:hAnsi="宋体" w:eastAsia="宋体" w:cs="宋体"/>
          <w:b/>
          <w:color w:val="auto"/>
          <w:sz w:val="32"/>
          <w:szCs w:val="32"/>
          <w:highlight w:val="none"/>
        </w:rPr>
      </w:pPr>
    </w:p>
    <w:p w14:paraId="0211D43A">
      <w:pPr>
        <w:spacing w:line="560" w:lineRule="exact"/>
        <w:jc w:val="center"/>
        <w:rPr>
          <w:rFonts w:hint="eastAsia" w:ascii="宋体" w:hAnsi="宋体" w:eastAsia="宋体" w:cs="宋体"/>
          <w:b/>
          <w:color w:val="auto"/>
          <w:sz w:val="32"/>
          <w:szCs w:val="32"/>
          <w:highlight w:val="none"/>
        </w:rPr>
      </w:pPr>
    </w:p>
    <w:p w14:paraId="52006969">
      <w:pPr>
        <w:spacing w:line="560" w:lineRule="exact"/>
        <w:jc w:val="center"/>
        <w:rPr>
          <w:rFonts w:hint="eastAsia" w:ascii="宋体" w:hAnsi="宋体" w:eastAsia="宋体" w:cs="宋体"/>
          <w:b/>
          <w:bCs/>
          <w:color w:val="auto"/>
          <w:sz w:val="32"/>
          <w:szCs w:val="32"/>
          <w:highlight w:val="none"/>
        </w:rPr>
      </w:pPr>
    </w:p>
    <w:p w14:paraId="0AF6DCB6">
      <w:pPr>
        <w:spacing w:line="560" w:lineRule="exact"/>
        <w:jc w:val="center"/>
        <w:rPr>
          <w:rFonts w:hint="eastAsia" w:ascii="宋体" w:hAnsi="宋体" w:eastAsia="宋体" w:cs="宋体"/>
          <w:b/>
          <w:bCs/>
          <w:color w:val="auto"/>
          <w:sz w:val="32"/>
          <w:szCs w:val="32"/>
          <w:highlight w:val="none"/>
        </w:rPr>
      </w:pPr>
    </w:p>
    <w:p w14:paraId="447F796D">
      <w:pPr>
        <w:spacing w:line="560" w:lineRule="exact"/>
        <w:jc w:val="center"/>
        <w:rPr>
          <w:rFonts w:hint="eastAsia" w:ascii="宋体" w:hAnsi="宋体" w:eastAsia="宋体" w:cs="宋体"/>
          <w:b/>
          <w:bCs/>
          <w:color w:val="auto"/>
          <w:sz w:val="32"/>
          <w:szCs w:val="32"/>
          <w:highlight w:val="none"/>
        </w:rPr>
      </w:pPr>
    </w:p>
    <w:p w14:paraId="45C67208">
      <w:pPr>
        <w:pStyle w:val="35"/>
        <w:rPr>
          <w:rFonts w:hint="eastAsia"/>
          <w:color w:val="auto"/>
          <w:highlight w:val="none"/>
        </w:rPr>
      </w:pPr>
    </w:p>
    <w:p w14:paraId="2F225020">
      <w:pPr>
        <w:spacing w:line="560" w:lineRule="exact"/>
        <w:jc w:val="center"/>
        <w:rPr>
          <w:rFonts w:hint="eastAsia" w:ascii="宋体" w:hAnsi="宋体" w:eastAsia="宋体" w:cs="宋体"/>
          <w:b/>
          <w:color w:val="auto"/>
          <w:sz w:val="32"/>
          <w:szCs w:val="32"/>
          <w:highlight w:val="none"/>
        </w:rPr>
      </w:pPr>
    </w:p>
    <w:p w14:paraId="20E4573E">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十二、联合体协议</w:t>
      </w:r>
    </w:p>
    <w:p w14:paraId="6D6CEC20">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联合体协议</w:t>
      </w:r>
    </w:p>
    <w:p w14:paraId="6844F35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（联合体中各供应商全称）在此达成以下协议：</w:t>
      </w:r>
    </w:p>
    <w:p w14:paraId="17F7D5B4">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自愿组成联合体，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，并指定</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（供应商名称）为牵头单位。</w:t>
      </w:r>
    </w:p>
    <w:p w14:paraId="0D8028B1">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2.若我们联合中标，</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（工作内容）部分工作，并承担相应的责任；……。（注：需明确联合体中各供应商所承担的工作和相应的责任）。</w:t>
      </w:r>
    </w:p>
    <w:p w14:paraId="0AC2B9BC">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3.其中，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（企业全称）为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小型、微型企业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残疾人福利性单位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F254966">
      <w:pPr>
        <w:spacing w:line="560" w:lineRule="exact"/>
        <w:ind w:firstLine="645"/>
        <w:rPr>
          <w:rFonts w:hint="eastAsia" w:ascii="宋体" w:hAnsi="宋体" w:eastAsia="宋体" w:cs="宋体"/>
          <w:color w:val="auto"/>
          <w:sz w:val="24"/>
          <w:highlight w:val="none"/>
        </w:rPr>
      </w:pPr>
    </w:p>
    <w:p w14:paraId="54373983">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4F7C96F3">
      <w:pPr>
        <w:spacing w:line="560" w:lineRule="exact"/>
        <w:ind w:firstLine="645"/>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highlight w:val="none"/>
        </w:rPr>
        <w:t xml:space="preserve">    </w:t>
      </w:r>
    </w:p>
    <w:p w14:paraId="6BA7259B">
      <w:pPr>
        <w:spacing w:line="560" w:lineRule="exact"/>
        <w:ind w:firstLine="5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125E723F">
      <w:pPr>
        <w:spacing w:line="480" w:lineRule="exact"/>
        <w:ind w:firstLine="480"/>
        <w:rPr>
          <w:rFonts w:hint="eastAsia" w:ascii="宋体" w:hAnsi="宋体" w:eastAsia="宋体" w:cs="宋体"/>
          <w:color w:val="auto"/>
          <w:sz w:val="24"/>
          <w:highlight w:val="none"/>
        </w:rPr>
      </w:pPr>
    </w:p>
    <w:p w14:paraId="6FCCD7B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7CEF426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1.牵头单位必须为联合体成员。</w:t>
      </w:r>
    </w:p>
    <w:p w14:paraId="7B7BA139">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w:t>
      </w:r>
    </w:p>
    <w:p w14:paraId="5822AA7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3.除另有说明外，本招标文件要求加盖电子公章之处，加盖牵头单位的电子公章即可。</w:t>
      </w:r>
    </w:p>
    <w:p w14:paraId="19FEC977">
      <w:pPr>
        <w:pStyle w:val="35"/>
        <w:ind w:firstLine="480"/>
        <w:rPr>
          <w:rFonts w:hint="eastAsia" w:ascii="宋体" w:hAnsi="宋体" w:eastAsia="宋体" w:cs="宋体"/>
          <w:color w:val="auto"/>
          <w:sz w:val="24"/>
          <w:highlight w:val="none"/>
          <w:lang w:eastAsia="zh-CN"/>
        </w:rPr>
      </w:pPr>
    </w:p>
    <w:p w14:paraId="70A79A99">
      <w:pPr>
        <w:rPr>
          <w:rFonts w:hint="eastAsia" w:ascii="宋体" w:hAnsi="宋体" w:eastAsia="宋体" w:cs="宋体"/>
          <w:color w:val="auto"/>
          <w:highlight w:val="none"/>
        </w:rPr>
      </w:pPr>
    </w:p>
    <w:p w14:paraId="6B58AFD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2EAFE2B3">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十三、关于符合本国产品标准的声明函</w:t>
      </w:r>
    </w:p>
    <w:p w14:paraId="6C7517FD">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关于符合本国产品标准的声明函</w:t>
      </w:r>
    </w:p>
    <w:p w14:paraId="6A6A23FC">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76673A24">
      <w:pPr>
        <w:pStyle w:val="33"/>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1.</w:t>
      </w:r>
      <w:r>
        <w:rPr>
          <w:rStyle w:val="40"/>
          <w:rFonts w:hint="eastAsia" w:ascii="宋体" w:hAnsi="宋体" w:eastAsia="宋体" w:cs="宋体"/>
          <w:i w:val="0"/>
          <w:color w:val="auto"/>
          <w:highlight w:val="none"/>
          <w:u w:val="single"/>
          <w:shd w:val="clear" w:color="auto" w:fill="FFFFFF"/>
        </w:rPr>
        <w:t>（产品名称1）</w:t>
      </w:r>
      <w:r>
        <w:rPr>
          <w:rStyle w:val="40"/>
          <w:rFonts w:hint="eastAsia" w:ascii="宋体" w:hAnsi="宋体" w:eastAsia="宋体" w:cs="宋体"/>
          <w:i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生产厂为</w:t>
      </w:r>
      <w:r>
        <w:rPr>
          <w:rStyle w:val="40"/>
          <w:rFonts w:hint="eastAsia" w:ascii="宋体" w:hAnsi="宋体" w:eastAsia="宋体" w:cs="宋体"/>
          <w:i w:val="0"/>
          <w:color w:val="auto"/>
          <w:highlight w:val="none"/>
          <w:u w:val="single"/>
          <w:shd w:val="clear" w:color="auto" w:fill="FFFFFF"/>
        </w:rPr>
        <w:t>（厂名）</w:t>
      </w:r>
      <w:r>
        <w:rPr>
          <w:rStyle w:val="40"/>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40"/>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0"/>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的中国境内生产的组件成本占比≥</w:t>
      </w:r>
      <w:r>
        <w:rPr>
          <w:rStyle w:val="40"/>
          <w:rFonts w:hint="eastAsia" w:ascii="宋体" w:hAnsi="宋体" w:eastAsia="宋体" w:cs="宋体"/>
          <w:i w:val="0"/>
          <w:strike w:val="0"/>
          <w:color w:val="auto"/>
          <w:highlight w:val="none"/>
          <w:u w:val="single"/>
          <w:shd w:val="clear" w:color="auto" w:fill="FFFFFF"/>
        </w:rPr>
        <w:t>（规定比例）</w:t>
      </w:r>
      <w:r>
        <w:rPr>
          <w:rStyle w:val="40"/>
          <w:rFonts w:hint="eastAsia" w:ascii="宋体" w:hAnsi="宋体" w:eastAsia="宋体" w:cs="宋体"/>
          <w:i w:val="0"/>
          <w:strike w:val="0"/>
          <w:color w:val="auto"/>
          <w:highlight w:val="none"/>
          <w:shd w:val="clear" w:color="auto" w:fill="FFFFFF"/>
          <w:vertAlign w:val="superscript"/>
        </w:rPr>
        <w:t>3</w:t>
      </w:r>
      <w:r>
        <w:rPr>
          <w:rFonts w:hint="eastAsia" w:ascii="宋体" w:hAnsi="宋体" w:eastAsia="宋体" w:cs="宋体"/>
          <w:strike w:val="0"/>
          <w:color w:val="auto"/>
          <w:highlight w:val="none"/>
          <w:shd w:val="clear" w:color="auto" w:fill="FFFFFF"/>
        </w:rPr>
        <w:t>。</w:t>
      </w:r>
      <w:r>
        <w:rPr>
          <w:rStyle w:val="40"/>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0"/>
          <w:rFonts w:hint="eastAsia" w:ascii="宋体" w:hAnsi="宋体" w:eastAsia="宋体" w:cs="宋体"/>
          <w:i w:val="0"/>
          <w:strike w:val="0"/>
          <w:color w:val="auto"/>
          <w:highlight w:val="none"/>
          <w:u w:val="single"/>
          <w:shd w:val="clear" w:color="auto" w:fill="FFFFFF"/>
        </w:rPr>
        <w:t>（关键组件）</w:t>
      </w:r>
      <w:r>
        <w:rPr>
          <w:rStyle w:val="40"/>
          <w:rFonts w:hint="eastAsia" w:ascii="宋体" w:hAnsi="宋体" w:eastAsia="宋体" w:cs="宋体"/>
          <w:i w:val="0"/>
          <w:strike w:val="0"/>
          <w:color w:val="auto"/>
          <w:highlight w:val="none"/>
          <w:shd w:val="clear" w:color="auto" w:fill="FFFFFF"/>
          <w:vertAlign w:val="superscript"/>
        </w:rPr>
        <w:t>4</w:t>
      </w:r>
      <w:r>
        <w:rPr>
          <w:rFonts w:hint="eastAsia" w:ascii="宋体" w:hAnsi="宋体" w:eastAsia="宋体" w:cs="宋体"/>
          <w:strike w:val="0"/>
          <w:color w:val="auto"/>
          <w:highlight w:val="none"/>
          <w:shd w:val="clear" w:color="auto" w:fill="FFFFFF"/>
        </w:rPr>
        <w:t>在中国境内生产。</w:t>
      </w:r>
      <w:r>
        <w:rPr>
          <w:rStyle w:val="40"/>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0"/>
          <w:rFonts w:hint="eastAsia" w:ascii="宋体" w:hAnsi="宋体" w:eastAsia="宋体" w:cs="宋体"/>
          <w:i w:val="0"/>
          <w:strike w:val="0"/>
          <w:color w:val="auto"/>
          <w:highlight w:val="none"/>
          <w:u w:val="single"/>
          <w:shd w:val="clear" w:color="auto" w:fill="FFFFFF"/>
        </w:rPr>
        <w:t>（关键工序）</w:t>
      </w:r>
      <w:r>
        <w:rPr>
          <w:rStyle w:val="40"/>
          <w:rFonts w:hint="eastAsia" w:ascii="宋体" w:hAnsi="宋体" w:eastAsia="宋体" w:cs="宋体"/>
          <w:i w:val="0"/>
          <w:strike w:val="0"/>
          <w:color w:val="auto"/>
          <w:highlight w:val="none"/>
          <w:shd w:val="clear" w:color="auto" w:fill="FFFFFF"/>
          <w:vertAlign w:val="superscript"/>
        </w:rPr>
        <w:t>5</w:t>
      </w:r>
      <w:r>
        <w:rPr>
          <w:rFonts w:hint="eastAsia" w:ascii="宋体" w:hAnsi="宋体" w:eastAsia="宋体" w:cs="宋体"/>
          <w:strike w:val="0"/>
          <w:color w:val="auto"/>
          <w:highlight w:val="none"/>
          <w:shd w:val="clear" w:color="auto" w:fill="FFFFFF"/>
        </w:rPr>
        <w:t>在中国境内完成。</w:t>
      </w:r>
    </w:p>
    <w:p w14:paraId="3A5D8C3F">
      <w:pPr>
        <w:pStyle w:val="33"/>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2.</w:t>
      </w:r>
      <w:r>
        <w:rPr>
          <w:rStyle w:val="40"/>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，生产厂为</w:t>
      </w:r>
      <w:r>
        <w:rPr>
          <w:rStyle w:val="40"/>
          <w:rFonts w:hint="eastAsia" w:ascii="宋体" w:hAnsi="宋体" w:eastAsia="宋体" w:cs="宋体"/>
          <w:i w:val="0"/>
          <w:strike w:val="0"/>
          <w:color w:val="auto"/>
          <w:highlight w:val="none"/>
          <w:u w:val="single"/>
          <w:shd w:val="clear" w:color="auto" w:fill="FFFFFF"/>
        </w:rPr>
        <w:t>（厂名）</w:t>
      </w:r>
      <w:r>
        <w:rPr>
          <w:rFonts w:hint="eastAsia" w:ascii="宋体" w:hAnsi="宋体" w:eastAsia="宋体" w:cs="宋体"/>
          <w:strike w:val="0"/>
          <w:color w:val="auto"/>
          <w:highlight w:val="none"/>
          <w:shd w:val="clear" w:color="auto" w:fill="FFFFFF"/>
        </w:rPr>
        <w:t>，厂址为</w:t>
      </w:r>
      <w:r>
        <w:rPr>
          <w:rStyle w:val="40"/>
          <w:rFonts w:hint="eastAsia" w:ascii="宋体" w:hAnsi="宋体" w:eastAsia="宋体" w:cs="宋体"/>
          <w:i w:val="0"/>
          <w:strike w:val="0"/>
          <w:color w:val="auto"/>
          <w:highlight w:val="none"/>
          <w:u w:val="single"/>
          <w:shd w:val="clear" w:color="auto" w:fill="FFFFFF"/>
        </w:rPr>
        <w:t>（生产厂址）</w:t>
      </w:r>
      <w:r>
        <w:rPr>
          <w:rFonts w:hint="eastAsia" w:ascii="宋体" w:hAnsi="宋体" w:eastAsia="宋体" w:cs="宋体"/>
          <w:strike w:val="0"/>
          <w:color w:val="auto"/>
          <w:highlight w:val="none"/>
          <w:shd w:val="clear" w:color="auto" w:fill="FFFFFF"/>
        </w:rPr>
        <w:t>。</w:t>
      </w:r>
      <w:r>
        <w:rPr>
          <w:rStyle w:val="40"/>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的中国境内生产的组件成本占比≥</w:t>
      </w:r>
      <w:r>
        <w:rPr>
          <w:rStyle w:val="40"/>
          <w:rFonts w:hint="eastAsia" w:ascii="宋体" w:hAnsi="宋体" w:eastAsia="宋体" w:cs="宋体"/>
          <w:i w:val="0"/>
          <w:strike w:val="0"/>
          <w:color w:val="auto"/>
          <w:highlight w:val="none"/>
          <w:u w:val="single"/>
          <w:shd w:val="clear" w:color="auto" w:fill="FFFFFF"/>
        </w:rPr>
        <w:t>（规定比例）</w:t>
      </w:r>
      <w:r>
        <w:rPr>
          <w:rFonts w:hint="eastAsia" w:ascii="宋体" w:hAnsi="宋体" w:eastAsia="宋体" w:cs="宋体"/>
          <w:strike w:val="0"/>
          <w:color w:val="auto"/>
          <w:highlight w:val="none"/>
          <w:shd w:val="clear" w:color="auto" w:fill="FFFFFF"/>
        </w:rPr>
        <w:t>。</w:t>
      </w:r>
      <w:r>
        <w:rPr>
          <w:rStyle w:val="40"/>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0"/>
          <w:rFonts w:hint="eastAsia" w:ascii="宋体" w:hAnsi="宋体" w:eastAsia="宋体" w:cs="宋体"/>
          <w:i w:val="0"/>
          <w:strike w:val="0"/>
          <w:color w:val="auto"/>
          <w:highlight w:val="none"/>
          <w:u w:val="single"/>
          <w:shd w:val="clear" w:color="auto" w:fill="FFFFFF"/>
        </w:rPr>
        <w:t>（关键组件）</w:t>
      </w:r>
      <w:r>
        <w:rPr>
          <w:rFonts w:hint="eastAsia" w:ascii="宋体" w:hAnsi="宋体" w:eastAsia="宋体" w:cs="宋体"/>
          <w:strike w:val="0"/>
          <w:color w:val="auto"/>
          <w:highlight w:val="none"/>
          <w:shd w:val="clear" w:color="auto" w:fill="FFFFFF"/>
        </w:rPr>
        <w:t>在中国境内生产。</w:t>
      </w:r>
      <w:r>
        <w:rPr>
          <w:rStyle w:val="40"/>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0"/>
          <w:rFonts w:hint="eastAsia" w:ascii="宋体" w:hAnsi="宋体" w:eastAsia="宋体" w:cs="宋体"/>
          <w:i w:val="0"/>
          <w:strike w:val="0"/>
          <w:color w:val="auto"/>
          <w:highlight w:val="none"/>
          <w:u w:val="single"/>
          <w:shd w:val="clear" w:color="auto" w:fill="FFFFFF"/>
        </w:rPr>
        <w:t>（关键工序）</w:t>
      </w:r>
      <w:r>
        <w:rPr>
          <w:rFonts w:hint="eastAsia" w:ascii="宋体" w:hAnsi="宋体" w:eastAsia="宋体" w:cs="宋体"/>
          <w:strike w:val="0"/>
          <w:color w:val="auto"/>
          <w:highlight w:val="none"/>
          <w:shd w:val="clear" w:color="auto" w:fill="FFFFFF"/>
        </w:rPr>
        <w:t>在中国境内完成。</w:t>
      </w:r>
    </w:p>
    <w:p w14:paraId="7E23AF21">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w:t>
      </w:r>
    </w:p>
    <w:p w14:paraId="28378335">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Style w:val="40"/>
          <w:rFonts w:hint="eastAsia" w:ascii="宋体" w:hAnsi="宋体" w:eastAsia="宋体" w:cs="宋体"/>
          <w:color w:val="auto"/>
          <w:highlight w:val="none"/>
          <w:vertAlign w:val="superscript"/>
        </w:rPr>
        <w:t>6</w:t>
      </w:r>
    </w:p>
    <w:p w14:paraId="7CD5D952">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71014F74">
      <w:pPr>
        <w:pStyle w:val="33"/>
        <w:shd w:val="clear" w:color="auto" w:fill="FFFFFF"/>
        <w:spacing w:before="24" w:beforeAutospacing="0" w:after="24"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58B49280">
      <w:pPr>
        <w:pStyle w:val="33"/>
        <w:shd w:val="clear" w:color="auto" w:fill="FFFFFF"/>
        <w:spacing w:before="24" w:beforeAutospacing="0" w:after="24" w:afterAutospacing="0" w:line="360" w:lineRule="auto"/>
        <w:jc w:val="right"/>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日期：　     年　  月　  日    </w:t>
      </w:r>
      <w:r>
        <w:rPr>
          <w:rFonts w:hint="eastAsia" w:ascii="宋体" w:hAnsi="宋体" w:eastAsia="宋体" w:cs="宋体"/>
          <w:color w:val="auto"/>
          <w:sz w:val="28"/>
          <w:szCs w:val="28"/>
          <w:highlight w:val="none"/>
          <w:shd w:val="clear" w:color="auto" w:fill="FFFFFF"/>
        </w:rPr>
        <w:t>     </w:t>
      </w:r>
    </w:p>
    <w:p w14:paraId="29523C68">
      <w:pPr>
        <w:pStyle w:val="33"/>
        <w:shd w:val="clear" w:color="auto" w:fill="FFFFFF"/>
        <w:spacing w:before="24" w:beforeAutospacing="0" w:after="24"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__________________</w:t>
      </w:r>
    </w:p>
    <w:p w14:paraId="47403611">
      <w:pPr>
        <w:pStyle w:val="33"/>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170D18F1">
      <w:pPr>
        <w:pStyle w:val="33"/>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2E0B5B1F">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3.该产品的中国境内生产的组件成本占比相关要求实施前，“规定比例”栏可不填。</w:t>
      </w:r>
    </w:p>
    <w:p w14:paraId="12D88EDD">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4.该产品的关键组件要求实施前，“关键组件”栏可不填。</w:t>
      </w:r>
    </w:p>
    <w:p w14:paraId="722E5090">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5.该产品的关键工序要求实施前，“关键工序”栏可不填。</w:t>
      </w:r>
    </w:p>
    <w:p w14:paraId="103EA310">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E043504">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p>
    <w:p w14:paraId="743ECD6E">
      <w:pPr>
        <w:pStyle w:val="35"/>
        <w:numPr>
          <w:ilvl w:val="0"/>
          <w:numId w:val="15"/>
        </w:numPr>
        <w:ind w:left="420" w:leftChars="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《南京市政府采购供应商信用记录表暨信用承诺书》</w:t>
      </w:r>
    </w:p>
    <w:p w14:paraId="6A56B226">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南京市政府采购供应商信用承诺书</w:t>
      </w:r>
    </w:p>
    <w:p w14:paraId="337CEA4B">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XXXX年XX月XX日</w:t>
      </w:r>
    </w:p>
    <w:p w14:paraId="6B001B06">
      <w:pPr>
        <w:jc w:val="center"/>
        <w:rPr>
          <w:rFonts w:hint="eastAsia" w:eastAsia="宋体"/>
          <w:color w:val="auto"/>
          <w:highlight w:val="none"/>
          <w:lang w:val="en-US" w:eastAsia="zh-CN"/>
        </w:rPr>
      </w:pPr>
    </w:p>
    <w:tbl>
      <w:tblPr>
        <w:tblStyle w:val="37"/>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09EEE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4C3557D4">
            <w:pPr>
              <w:tabs>
                <w:tab w:val="left" w:pos="2520"/>
              </w:tabs>
              <w:ind w:left="-420" w:leftChars="-200" w:firstLine="0" w:firstLineChars="0"/>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p>
        </w:tc>
        <w:tc>
          <w:tcPr>
            <w:tcW w:w="2284" w:type="dxa"/>
            <w:noWrap w:val="0"/>
            <w:vAlign w:val="center"/>
          </w:tcPr>
          <w:p w14:paraId="209EAE77">
            <w:pPr>
              <w:jc w:val="center"/>
              <w:rPr>
                <w:rFonts w:hint="eastAsia" w:eastAsia="宋体"/>
                <w:color w:val="auto"/>
                <w:sz w:val="24"/>
                <w:szCs w:val="32"/>
                <w:highlight w:val="none"/>
                <w:vertAlign w:val="baseline"/>
                <w:lang w:val="en-US" w:eastAsia="zh-CN"/>
              </w:rPr>
            </w:pPr>
          </w:p>
        </w:tc>
        <w:tc>
          <w:tcPr>
            <w:tcW w:w="1833" w:type="dxa"/>
            <w:noWrap w:val="0"/>
            <w:vAlign w:val="center"/>
          </w:tcPr>
          <w:p w14:paraId="461145F9">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统一社会信用代码</w:t>
            </w:r>
          </w:p>
        </w:tc>
        <w:tc>
          <w:tcPr>
            <w:tcW w:w="3331" w:type="dxa"/>
            <w:noWrap w:val="0"/>
            <w:vAlign w:val="center"/>
          </w:tcPr>
          <w:p w14:paraId="36C29E69">
            <w:pPr>
              <w:tabs>
                <w:tab w:val="left" w:pos="2320"/>
              </w:tabs>
              <w:ind w:right="-678" w:rightChars="-323"/>
              <w:jc w:val="center"/>
              <w:rPr>
                <w:rFonts w:hint="eastAsia" w:eastAsia="宋体"/>
                <w:color w:val="auto"/>
                <w:highlight w:val="none"/>
                <w:vertAlign w:val="baseline"/>
                <w:lang w:val="en-US" w:eastAsia="zh-CN"/>
              </w:rPr>
            </w:pPr>
          </w:p>
        </w:tc>
      </w:tr>
      <w:tr w14:paraId="13BFC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0147A4EA">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法定代表人</w:t>
            </w:r>
          </w:p>
        </w:tc>
        <w:tc>
          <w:tcPr>
            <w:tcW w:w="2284" w:type="dxa"/>
            <w:noWrap w:val="0"/>
            <w:vAlign w:val="center"/>
          </w:tcPr>
          <w:p w14:paraId="54DE1C7B">
            <w:pPr>
              <w:jc w:val="center"/>
              <w:rPr>
                <w:rFonts w:hint="eastAsia" w:eastAsia="宋体"/>
                <w:color w:val="auto"/>
                <w:sz w:val="24"/>
                <w:szCs w:val="32"/>
                <w:highlight w:val="none"/>
                <w:vertAlign w:val="baseline"/>
                <w:lang w:val="en-US" w:eastAsia="zh-CN"/>
              </w:rPr>
            </w:pPr>
          </w:p>
        </w:tc>
        <w:tc>
          <w:tcPr>
            <w:tcW w:w="1833" w:type="dxa"/>
            <w:noWrap w:val="0"/>
            <w:vAlign w:val="center"/>
          </w:tcPr>
          <w:p w14:paraId="0122DC20">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联系人</w:t>
            </w:r>
          </w:p>
        </w:tc>
        <w:tc>
          <w:tcPr>
            <w:tcW w:w="3331" w:type="dxa"/>
            <w:noWrap w:val="0"/>
            <w:vAlign w:val="center"/>
          </w:tcPr>
          <w:p w14:paraId="45CCAF4A">
            <w:pPr>
              <w:jc w:val="center"/>
              <w:rPr>
                <w:rFonts w:hint="eastAsia" w:eastAsia="宋体"/>
                <w:color w:val="auto"/>
                <w:highlight w:val="none"/>
                <w:vertAlign w:val="baseline"/>
                <w:lang w:val="en-US" w:eastAsia="zh-CN"/>
              </w:rPr>
            </w:pPr>
          </w:p>
        </w:tc>
      </w:tr>
      <w:tr w14:paraId="20390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20D7F3EC">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联系地址</w:t>
            </w:r>
          </w:p>
        </w:tc>
        <w:tc>
          <w:tcPr>
            <w:tcW w:w="2284" w:type="dxa"/>
            <w:noWrap w:val="0"/>
            <w:vAlign w:val="center"/>
          </w:tcPr>
          <w:p w14:paraId="7E2F8A23">
            <w:pPr>
              <w:jc w:val="center"/>
              <w:rPr>
                <w:rFonts w:hint="eastAsia" w:eastAsia="宋体"/>
                <w:color w:val="auto"/>
                <w:sz w:val="24"/>
                <w:szCs w:val="32"/>
                <w:highlight w:val="none"/>
                <w:vertAlign w:val="baseline"/>
                <w:lang w:val="en-US" w:eastAsia="zh-CN"/>
              </w:rPr>
            </w:pPr>
          </w:p>
        </w:tc>
        <w:tc>
          <w:tcPr>
            <w:tcW w:w="1833" w:type="dxa"/>
            <w:noWrap w:val="0"/>
            <w:vAlign w:val="center"/>
          </w:tcPr>
          <w:p w14:paraId="3C819654">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联系电话</w:t>
            </w:r>
          </w:p>
        </w:tc>
        <w:tc>
          <w:tcPr>
            <w:tcW w:w="3331" w:type="dxa"/>
            <w:noWrap w:val="0"/>
            <w:vAlign w:val="center"/>
          </w:tcPr>
          <w:p w14:paraId="282A5BE4">
            <w:pPr>
              <w:jc w:val="center"/>
              <w:rPr>
                <w:rFonts w:hint="eastAsia" w:eastAsia="宋体"/>
                <w:color w:val="auto"/>
                <w:highlight w:val="none"/>
                <w:vertAlign w:val="baseline"/>
                <w:lang w:val="en-US" w:eastAsia="zh-CN"/>
              </w:rPr>
            </w:pPr>
          </w:p>
        </w:tc>
      </w:tr>
      <w:tr w14:paraId="75AC7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noWrap w:val="0"/>
            <w:vAlign w:val="center"/>
          </w:tcPr>
          <w:p w14:paraId="6DBB7CD0">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信用承诺</w:t>
            </w:r>
          </w:p>
        </w:tc>
        <w:tc>
          <w:tcPr>
            <w:tcW w:w="7448" w:type="dxa"/>
            <w:gridSpan w:val="3"/>
            <w:noWrap w:val="0"/>
            <w:vAlign w:val="center"/>
          </w:tcPr>
          <w:p w14:paraId="09D28AEE">
            <w:pPr>
              <w:ind w:firstLine="420" w:firstLineChars="200"/>
              <w:jc w:val="both"/>
              <w:rPr>
                <w:rFonts w:hint="eastAsia"/>
                <w:color w:val="auto"/>
                <w:highlight w:val="none"/>
                <w:vertAlign w:val="baseline"/>
                <w:lang w:val="en-US" w:eastAsia="zh-CN"/>
              </w:rPr>
            </w:pPr>
            <w:r>
              <w:rPr>
                <w:rFonts w:hint="eastAsia" w:eastAsia="宋体"/>
                <w:color w:val="auto"/>
                <w:highlight w:val="none"/>
                <w:vertAlign w:val="baseline"/>
                <w:lang w:val="en-US" w:eastAsia="zh-CN"/>
              </w:rPr>
              <w:t>我公司自愿参加贵中心</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公司</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二</w:t>
            </w:r>
            <w:r>
              <w:rPr>
                <w:rFonts w:hint="eastAsia" w:eastAsia="宋体"/>
                <w:color w:val="auto"/>
                <w:highlight w:val="none"/>
                <w:vertAlign w:val="baseline"/>
                <w:lang w:val="en-US" w:eastAsia="zh-CN"/>
              </w:rPr>
              <w:t>条规定的条件，包括</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具有独立承担民事责任的能力</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具有良好的商业信誉和健全的财务会计制度</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有履行合同所必需的设备和专业技术能力</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有依法缴纳税收和社会保障资金的良好记录</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参加政府采购活动前三年内，在经营活动中没有重大违法记录</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符合法律、行政法规和采购文件规定的其他条件</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如有弄虚作假或其他违法违规行为，愿承担一切法律责任，接受各级政府采购监管部门和有权机关的审查和处罚</w:t>
            </w:r>
            <w:r>
              <w:rPr>
                <w:rFonts w:hint="eastAsia"/>
                <w:color w:val="auto"/>
                <w:highlight w:val="none"/>
                <w:vertAlign w:val="baseline"/>
                <w:lang w:val="en-US" w:eastAsia="zh-CN"/>
              </w:rPr>
              <w:t>。</w:t>
            </w:r>
          </w:p>
          <w:p w14:paraId="0FD61B9C">
            <w:pPr>
              <w:ind w:firstLine="420" w:firstLineChars="200"/>
              <w:jc w:val="both"/>
              <w:rPr>
                <w:rFonts w:hint="eastAsia"/>
                <w:color w:val="auto"/>
                <w:highlight w:val="none"/>
                <w:vertAlign w:val="baseline"/>
                <w:lang w:val="en-US" w:eastAsia="zh-CN"/>
              </w:rPr>
            </w:pPr>
          </w:p>
          <w:p w14:paraId="41C635E1">
            <w:pPr>
              <w:ind w:firstLine="420" w:firstLineChars="200"/>
              <w:jc w:val="center"/>
              <w:rPr>
                <w:rFonts w:hint="eastAsia"/>
                <w:color w:val="auto"/>
                <w:highlight w:val="none"/>
                <w:vertAlign w:val="baseline"/>
                <w:lang w:val="en-US" w:eastAsia="zh-CN"/>
              </w:rPr>
            </w:pPr>
            <w:r>
              <w:rPr>
                <w:rFonts w:hint="eastAsia"/>
                <w:color w:val="auto"/>
                <w:highlight w:val="none"/>
                <w:vertAlign w:val="baseline"/>
                <w:lang w:val="en-US" w:eastAsia="zh-CN"/>
              </w:rPr>
              <w:t>供应商名称（盖章）：</w:t>
            </w:r>
          </w:p>
          <w:p w14:paraId="7675277D">
            <w:pPr>
              <w:ind w:firstLine="420" w:firstLineChars="200"/>
              <w:jc w:val="center"/>
              <w:rPr>
                <w:rFonts w:hint="eastAsia"/>
                <w:color w:val="auto"/>
                <w:highlight w:val="none"/>
                <w:vertAlign w:val="baseline"/>
                <w:lang w:val="en-US" w:eastAsia="zh-CN"/>
              </w:rPr>
            </w:pPr>
          </w:p>
          <w:p w14:paraId="7D27AC5E">
            <w:pPr>
              <w:ind w:firstLine="420" w:firstLineChars="200"/>
              <w:jc w:val="center"/>
              <w:rPr>
                <w:rFonts w:hint="eastAsia"/>
                <w:color w:val="auto"/>
                <w:highlight w:val="none"/>
                <w:vertAlign w:val="baseline"/>
                <w:lang w:val="en-US" w:eastAsia="zh-CN"/>
              </w:rPr>
            </w:pPr>
            <w:r>
              <w:rPr>
                <w:rFonts w:hint="eastAsia"/>
                <w:color w:val="auto"/>
                <w:highlight w:val="none"/>
                <w:vertAlign w:val="baseline"/>
                <w:lang w:val="en-US" w:eastAsia="zh-CN"/>
              </w:rPr>
              <w:t>法定代表人（签字）：</w:t>
            </w:r>
          </w:p>
          <w:p w14:paraId="383420D2">
            <w:pPr>
              <w:ind w:firstLine="420" w:firstLineChars="200"/>
              <w:jc w:val="center"/>
              <w:rPr>
                <w:rFonts w:hint="eastAsia"/>
                <w:color w:val="auto"/>
                <w:highlight w:val="none"/>
                <w:vertAlign w:val="baseline"/>
                <w:lang w:val="en-US" w:eastAsia="zh-CN"/>
              </w:rPr>
            </w:pPr>
          </w:p>
          <w:p w14:paraId="33579250">
            <w:pPr>
              <w:ind w:firstLine="420" w:firstLineChars="200"/>
              <w:jc w:val="center"/>
              <w:rPr>
                <w:rFonts w:hint="default"/>
                <w:color w:val="auto"/>
                <w:highlight w:val="none"/>
                <w:vertAlign w:val="baseline"/>
                <w:lang w:val="en-US" w:eastAsia="zh-CN"/>
              </w:rPr>
            </w:pPr>
            <w:r>
              <w:rPr>
                <w:rFonts w:hint="eastAsia"/>
                <w:color w:val="auto"/>
                <w:highlight w:val="none"/>
                <w:vertAlign w:val="baseline"/>
                <w:lang w:val="en-US" w:eastAsia="zh-CN"/>
              </w:rPr>
              <w:t>XXXX年XX月XX日</w:t>
            </w:r>
          </w:p>
        </w:tc>
      </w:tr>
    </w:tbl>
    <w:p w14:paraId="2C887131">
      <w:pPr>
        <w:numPr>
          <w:numId w:val="0"/>
        </w:numPr>
        <w:rPr>
          <w:rFonts w:hint="eastAsia"/>
          <w:color w:val="auto"/>
          <w:highlight w:val="none"/>
          <w:lang w:val="en-US" w:eastAsia="zh-CN"/>
        </w:rPr>
      </w:pPr>
    </w:p>
    <w:sectPr>
      <w:footerReference r:id="rId3" w:type="default"/>
      <w:pgSz w:w="11906" w:h="16838"/>
      <w:pgMar w:top="1134" w:right="850" w:bottom="1134" w:left="850" w:header="709" w:footer="709" w:gutter="0"/>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CE7C6F2-7F22-468C-A91E-55FA7E817DF1}"/>
  </w:font>
  <w:font w:name="Arial">
    <w:panose1 w:val="020B0604020202020204"/>
    <w:charset w:val="01"/>
    <w:family w:val="swiss"/>
    <w:pitch w:val="default"/>
    <w:sig w:usb0="E0002EFF" w:usb1="C000785B" w:usb2="00000009" w:usb3="00000000" w:csb0="400001FF" w:csb1="FFFF0000"/>
    <w:embedRegular r:id="rId2" w:fontKey="{39F62482-BC35-4D61-BB71-F5B4DF9D4CA2}"/>
  </w:font>
  <w:font w:name="黑体">
    <w:panose1 w:val="02010609060101010101"/>
    <w:charset w:val="86"/>
    <w:family w:val="auto"/>
    <w:pitch w:val="default"/>
    <w:sig w:usb0="800002BF" w:usb1="38CF7CFA" w:usb2="00000016" w:usb3="00000000" w:csb0="00040001" w:csb1="00000000"/>
    <w:embedRegular r:id="rId3" w:fontKey="{179F002B-6F2D-4265-A7EA-D8921C5236C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4" w:fontKey="{80FD4E5D-96B3-4A0B-84D5-5E8D34CE18F2}"/>
  </w:font>
  <w:font w:name="方正仿宋简体">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embedRegular r:id="rId5" w:fontKey="{9DDEE817-52B1-4560-A32D-420F7C193637}"/>
  </w:font>
  <w:font w:name="新宋体">
    <w:panose1 w:val="02010609030101010101"/>
    <w:charset w:val="86"/>
    <w:family w:val="modern"/>
    <w:pitch w:val="default"/>
    <w:sig w:usb0="00000203" w:usb1="288F0000" w:usb2="00000006" w:usb3="00000000" w:csb0="00040001" w:csb1="00000000"/>
    <w:embedRegular r:id="rId6" w:fontKey="{82A12CF6-E2DB-4791-8897-7BDD9BC3AA2E}"/>
  </w:font>
  <w:font w:name="Arial">
    <w:panose1 w:val="020B0604020202020204"/>
    <w:charset w:val="00"/>
    <w:family w:val="auto"/>
    <w:pitch w:val="default"/>
    <w:sig w:usb0="E0002EFF" w:usb1="C000785B" w:usb2="00000009" w:usb3="00000000" w:csb0="400001FF" w:csb1="FFFF0000"/>
    <w:embedRegular r:id="rId7" w:fontKey="{91E19F08-2EBB-49F1-9A15-C32C885C9257}"/>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altName w:val="方正舒体"/>
    <w:panose1 w:val="03000509000000000000"/>
    <w:charset w:val="86"/>
    <w:family w:val="auto"/>
    <w:pitch w:val="default"/>
    <w:sig w:usb0="00000000" w:usb1="00000000" w:usb2="00000000" w:usb3="00000000" w:csb0="00040000" w:csb1="00000000"/>
    <w:embedRegular r:id="rId8" w:fontKey="{425999BF-3CC7-470A-8302-8B82399D11EB}"/>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9769B">
    <w:pPr>
      <w:pStyle w:val="23"/>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6A9E4AA">
                          <w:pPr>
                            <w:pStyle w:val="23"/>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76A9E4AA">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ADB64E"/>
    <w:multiLevelType w:val="singleLevel"/>
    <w:tmpl w:val="81ADB64E"/>
    <w:lvl w:ilvl="0" w:tentative="0">
      <w:start w:val="1"/>
      <w:numFmt w:val="decimal"/>
      <w:suff w:val="nothing"/>
      <w:lvlText w:val="%1．"/>
      <w:lvlJc w:val="left"/>
      <w:pPr>
        <w:ind w:left="0" w:firstLine="400"/>
      </w:pPr>
      <w:rPr>
        <w:rFonts w:hint="default"/>
      </w:rPr>
    </w:lvl>
  </w:abstractNum>
  <w:abstractNum w:abstractNumId="1">
    <w:nsid w:val="AF5DDEE0"/>
    <w:multiLevelType w:val="singleLevel"/>
    <w:tmpl w:val="AF5DDEE0"/>
    <w:lvl w:ilvl="0" w:tentative="0">
      <w:start w:val="1"/>
      <w:numFmt w:val="decimal"/>
      <w:suff w:val="nothing"/>
      <w:lvlText w:val="%1．"/>
      <w:lvlJc w:val="left"/>
      <w:pPr>
        <w:ind w:left="0" w:firstLine="400"/>
      </w:pPr>
      <w:rPr>
        <w:rFonts w:hint="default"/>
      </w:rPr>
    </w:lvl>
  </w:abstractNum>
  <w:abstractNum w:abstractNumId="2">
    <w:nsid w:val="B31F6EC4"/>
    <w:multiLevelType w:val="singleLevel"/>
    <w:tmpl w:val="B31F6EC4"/>
    <w:lvl w:ilvl="0" w:tentative="0">
      <w:start w:val="1"/>
      <w:numFmt w:val="decimal"/>
      <w:suff w:val="nothing"/>
      <w:lvlText w:val="%1．"/>
      <w:lvlJc w:val="left"/>
      <w:pPr>
        <w:ind w:left="0" w:firstLine="400"/>
      </w:pPr>
      <w:rPr>
        <w:rFonts w:hint="default"/>
      </w:rPr>
    </w:lvl>
  </w:abstractNum>
  <w:abstractNum w:abstractNumId="3">
    <w:nsid w:val="B430560D"/>
    <w:multiLevelType w:val="singleLevel"/>
    <w:tmpl w:val="B430560D"/>
    <w:lvl w:ilvl="0" w:tentative="0">
      <w:start w:val="1"/>
      <w:numFmt w:val="decimal"/>
      <w:suff w:val="nothing"/>
      <w:lvlText w:val="%1．"/>
      <w:lvlJc w:val="left"/>
      <w:pPr>
        <w:ind w:left="0" w:firstLine="400"/>
      </w:pPr>
      <w:rPr>
        <w:rFonts w:hint="default"/>
      </w:rPr>
    </w:lvl>
  </w:abstractNum>
  <w:abstractNum w:abstractNumId="4">
    <w:nsid w:val="B9E1969A"/>
    <w:multiLevelType w:val="singleLevel"/>
    <w:tmpl w:val="B9E1969A"/>
    <w:lvl w:ilvl="0" w:tentative="0">
      <w:start w:val="1"/>
      <w:numFmt w:val="decimal"/>
      <w:suff w:val="nothing"/>
      <w:lvlText w:val="%1．"/>
      <w:lvlJc w:val="left"/>
      <w:pPr>
        <w:ind w:left="0" w:firstLine="400"/>
      </w:pPr>
      <w:rPr>
        <w:rFonts w:hint="default"/>
      </w:rPr>
    </w:lvl>
  </w:abstractNum>
  <w:abstractNum w:abstractNumId="5">
    <w:nsid w:val="D3A6B5A0"/>
    <w:multiLevelType w:val="singleLevel"/>
    <w:tmpl w:val="D3A6B5A0"/>
    <w:lvl w:ilvl="0" w:tentative="0">
      <w:start w:val="1"/>
      <w:numFmt w:val="decimal"/>
      <w:suff w:val="nothing"/>
      <w:lvlText w:val="%1．"/>
      <w:lvlJc w:val="left"/>
      <w:pPr>
        <w:ind w:left="0" w:firstLine="400"/>
      </w:pPr>
      <w:rPr>
        <w:rFonts w:hint="default"/>
      </w:rPr>
    </w:lvl>
  </w:abstractNum>
  <w:abstractNum w:abstractNumId="6">
    <w:nsid w:val="E1EB1760"/>
    <w:multiLevelType w:val="singleLevel"/>
    <w:tmpl w:val="E1EB1760"/>
    <w:lvl w:ilvl="0" w:tentative="0">
      <w:start w:val="1"/>
      <w:numFmt w:val="decimal"/>
      <w:suff w:val="nothing"/>
      <w:lvlText w:val="%1．"/>
      <w:lvlJc w:val="left"/>
      <w:pPr>
        <w:ind w:left="0" w:firstLine="400"/>
      </w:pPr>
      <w:rPr>
        <w:rFonts w:hint="default"/>
      </w:rPr>
    </w:lvl>
  </w:abstractNum>
  <w:abstractNum w:abstractNumId="7">
    <w:nsid w:val="00452AFA"/>
    <w:multiLevelType w:val="singleLevel"/>
    <w:tmpl w:val="00452AFA"/>
    <w:lvl w:ilvl="0" w:tentative="0">
      <w:start w:val="14"/>
      <w:numFmt w:val="chineseCounting"/>
      <w:suff w:val="nothing"/>
      <w:lvlText w:val="%1、"/>
      <w:lvlJc w:val="left"/>
      <w:rPr>
        <w:rFonts w:hint="eastAsia"/>
      </w:rPr>
    </w:lvl>
  </w:abstractNum>
  <w:abstractNum w:abstractNumId="8">
    <w:nsid w:val="04F5FA48"/>
    <w:multiLevelType w:val="singleLevel"/>
    <w:tmpl w:val="04F5FA48"/>
    <w:lvl w:ilvl="0" w:tentative="0">
      <w:start w:val="1"/>
      <w:numFmt w:val="decimal"/>
      <w:suff w:val="nothing"/>
      <w:lvlText w:val="（%1）"/>
      <w:lvlJc w:val="left"/>
    </w:lvl>
  </w:abstractNum>
  <w:abstractNum w:abstractNumId="9">
    <w:nsid w:val="1BE2C785"/>
    <w:multiLevelType w:val="singleLevel"/>
    <w:tmpl w:val="1BE2C785"/>
    <w:lvl w:ilvl="0" w:tentative="0">
      <w:start w:val="1"/>
      <w:numFmt w:val="decimal"/>
      <w:suff w:val="nothing"/>
      <w:lvlText w:val="%1．"/>
      <w:lvlJc w:val="left"/>
      <w:pPr>
        <w:ind w:left="0" w:firstLine="400"/>
      </w:pPr>
      <w:rPr>
        <w:rFonts w:hint="default"/>
      </w:rPr>
    </w:lvl>
  </w:abstractNum>
  <w:abstractNum w:abstractNumId="10">
    <w:nsid w:val="444969A9"/>
    <w:multiLevelType w:val="singleLevel"/>
    <w:tmpl w:val="444969A9"/>
    <w:lvl w:ilvl="0" w:tentative="0">
      <w:start w:val="2"/>
      <w:numFmt w:val="chineseCounting"/>
      <w:suff w:val="nothing"/>
      <w:lvlText w:val="%1、"/>
      <w:lvlJc w:val="left"/>
      <w:rPr>
        <w:rFonts w:hint="eastAsia"/>
      </w:rPr>
    </w:lvl>
  </w:abstractNum>
  <w:abstractNum w:abstractNumId="11">
    <w:nsid w:val="46EDC958"/>
    <w:multiLevelType w:val="singleLevel"/>
    <w:tmpl w:val="46EDC958"/>
    <w:lvl w:ilvl="0" w:tentative="0">
      <w:start w:val="1"/>
      <w:numFmt w:val="decimal"/>
      <w:lvlText w:val="%1."/>
      <w:lvlJc w:val="left"/>
      <w:pPr>
        <w:tabs>
          <w:tab w:val="left" w:pos="312"/>
        </w:tabs>
      </w:pPr>
    </w:lvl>
  </w:abstractNum>
  <w:abstractNum w:abstractNumId="12">
    <w:nsid w:val="5128B00A"/>
    <w:multiLevelType w:val="singleLevel"/>
    <w:tmpl w:val="5128B00A"/>
    <w:lvl w:ilvl="0" w:tentative="0">
      <w:start w:val="1"/>
      <w:numFmt w:val="decimal"/>
      <w:suff w:val="nothing"/>
      <w:lvlText w:val="%1．"/>
      <w:lvlJc w:val="left"/>
      <w:pPr>
        <w:ind w:left="0" w:firstLine="400"/>
      </w:pPr>
      <w:rPr>
        <w:rFonts w:hint="default"/>
      </w:rPr>
    </w:lvl>
  </w:abstractNum>
  <w:abstractNum w:abstractNumId="13">
    <w:nsid w:val="7B19C20E"/>
    <w:multiLevelType w:val="singleLevel"/>
    <w:tmpl w:val="7B19C20E"/>
    <w:lvl w:ilvl="0" w:tentative="0">
      <w:start w:val="1"/>
      <w:numFmt w:val="decimal"/>
      <w:suff w:val="nothing"/>
      <w:lvlText w:val="%1．"/>
      <w:lvlJc w:val="left"/>
      <w:pPr>
        <w:ind w:left="-117" w:firstLine="400"/>
      </w:pPr>
      <w:rPr>
        <w:rFonts w:hint="default"/>
      </w:rPr>
    </w:lvl>
  </w:abstractNum>
  <w:abstractNum w:abstractNumId="14">
    <w:nsid w:val="7CECB1C2"/>
    <w:multiLevelType w:val="singleLevel"/>
    <w:tmpl w:val="7CECB1C2"/>
    <w:lvl w:ilvl="0" w:tentative="0">
      <w:start w:val="10"/>
      <w:numFmt w:val="chineseCounting"/>
      <w:suff w:val="nothing"/>
      <w:lvlText w:val="%1、"/>
      <w:lvlJc w:val="left"/>
      <w:rPr>
        <w:rFonts w:hint="eastAsia"/>
      </w:rPr>
    </w:lvl>
  </w:abstractNum>
  <w:num w:numId="1">
    <w:abstractNumId w:val="8"/>
  </w:num>
  <w:num w:numId="2">
    <w:abstractNumId w:val="14"/>
  </w:num>
  <w:num w:numId="3">
    <w:abstractNumId w:val="10"/>
  </w:num>
  <w:num w:numId="4">
    <w:abstractNumId w:val="11"/>
  </w:num>
  <w:num w:numId="5">
    <w:abstractNumId w:val="3"/>
  </w:num>
  <w:num w:numId="6">
    <w:abstractNumId w:val="0"/>
  </w:num>
  <w:num w:numId="7">
    <w:abstractNumId w:val="12"/>
  </w:num>
  <w:num w:numId="8">
    <w:abstractNumId w:val="13"/>
  </w:num>
  <w:num w:numId="9">
    <w:abstractNumId w:val="4"/>
  </w:num>
  <w:num w:numId="10">
    <w:abstractNumId w:val="9"/>
  </w:num>
  <w:num w:numId="11">
    <w:abstractNumId w:val="1"/>
  </w:num>
  <w:num w:numId="12">
    <w:abstractNumId w:val="6"/>
  </w:num>
  <w:num w:numId="13">
    <w:abstractNumId w:val="5"/>
  </w:num>
  <w:num w:numId="14">
    <w:abstractNumId w:val="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437"/>
    <w:rsid w:val="00014B6D"/>
    <w:rsid w:val="000B48CC"/>
    <w:rsid w:val="001E7437"/>
    <w:rsid w:val="00223F33"/>
    <w:rsid w:val="005D0F84"/>
    <w:rsid w:val="00693D68"/>
    <w:rsid w:val="00BB2A0F"/>
    <w:rsid w:val="00E537B3"/>
    <w:rsid w:val="00F1197F"/>
    <w:rsid w:val="020C396B"/>
    <w:rsid w:val="02FA0CA6"/>
    <w:rsid w:val="03564151"/>
    <w:rsid w:val="043C28E7"/>
    <w:rsid w:val="046A645E"/>
    <w:rsid w:val="04AB3B40"/>
    <w:rsid w:val="05364520"/>
    <w:rsid w:val="06F908C0"/>
    <w:rsid w:val="09990181"/>
    <w:rsid w:val="0A7100AA"/>
    <w:rsid w:val="0DB63E15"/>
    <w:rsid w:val="0E4050AE"/>
    <w:rsid w:val="0E9F5BF6"/>
    <w:rsid w:val="0EE332FB"/>
    <w:rsid w:val="0F0D54B8"/>
    <w:rsid w:val="0FD61C3B"/>
    <w:rsid w:val="0FF059D8"/>
    <w:rsid w:val="0FF32684"/>
    <w:rsid w:val="10497F0F"/>
    <w:rsid w:val="10761BCF"/>
    <w:rsid w:val="124E4C68"/>
    <w:rsid w:val="12BE2E48"/>
    <w:rsid w:val="13105093"/>
    <w:rsid w:val="13C736DD"/>
    <w:rsid w:val="148B307B"/>
    <w:rsid w:val="14D369CF"/>
    <w:rsid w:val="153B6FB6"/>
    <w:rsid w:val="15C72B47"/>
    <w:rsid w:val="160C0529"/>
    <w:rsid w:val="171E6032"/>
    <w:rsid w:val="17667630"/>
    <w:rsid w:val="17EA193C"/>
    <w:rsid w:val="19983D68"/>
    <w:rsid w:val="1B820AA2"/>
    <w:rsid w:val="1C6B2B69"/>
    <w:rsid w:val="1D385A0E"/>
    <w:rsid w:val="1E853266"/>
    <w:rsid w:val="213E64F7"/>
    <w:rsid w:val="222339F7"/>
    <w:rsid w:val="230D1610"/>
    <w:rsid w:val="23627FFE"/>
    <w:rsid w:val="23FF4C83"/>
    <w:rsid w:val="250D5FC6"/>
    <w:rsid w:val="25527533"/>
    <w:rsid w:val="26442101"/>
    <w:rsid w:val="27405364"/>
    <w:rsid w:val="2776790F"/>
    <w:rsid w:val="27C77D91"/>
    <w:rsid w:val="27DB06E2"/>
    <w:rsid w:val="295400BB"/>
    <w:rsid w:val="2B1D7FD4"/>
    <w:rsid w:val="2D3F3EC0"/>
    <w:rsid w:val="2D6D6966"/>
    <w:rsid w:val="2DAF4347"/>
    <w:rsid w:val="2E0A6AF7"/>
    <w:rsid w:val="2E2F2B8E"/>
    <w:rsid w:val="2E750BE6"/>
    <w:rsid w:val="2E78652E"/>
    <w:rsid w:val="2EE421F9"/>
    <w:rsid w:val="30B1347C"/>
    <w:rsid w:val="323F1A6E"/>
    <w:rsid w:val="33D47363"/>
    <w:rsid w:val="35490D8A"/>
    <w:rsid w:val="354B6B44"/>
    <w:rsid w:val="35E41950"/>
    <w:rsid w:val="370E007C"/>
    <w:rsid w:val="374F3770"/>
    <w:rsid w:val="376C024C"/>
    <w:rsid w:val="37973D18"/>
    <w:rsid w:val="39C85C5F"/>
    <w:rsid w:val="39CF0719"/>
    <w:rsid w:val="3A4E0949"/>
    <w:rsid w:val="3A6E02D4"/>
    <w:rsid w:val="3A7B0884"/>
    <w:rsid w:val="3B4413CB"/>
    <w:rsid w:val="3BCA20EE"/>
    <w:rsid w:val="3C065265"/>
    <w:rsid w:val="3C253401"/>
    <w:rsid w:val="3D7C212C"/>
    <w:rsid w:val="42EC1209"/>
    <w:rsid w:val="43001F21"/>
    <w:rsid w:val="43B766FA"/>
    <w:rsid w:val="44E52CF4"/>
    <w:rsid w:val="46D474D1"/>
    <w:rsid w:val="472646B9"/>
    <w:rsid w:val="47C762C1"/>
    <w:rsid w:val="48CC531F"/>
    <w:rsid w:val="48F915F7"/>
    <w:rsid w:val="490516FC"/>
    <w:rsid w:val="49F44C5D"/>
    <w:rsid w:val="4A8F4511"/>
    <w:rsid w:val="4BA57DEC"/>
    <w:rsid w:val="4D824981"/>
    <w:rsid w:val="4DC80FAA"/>
    <w:rsid w:val="51B31F5E"/>
    <w:rsid w:val="52832A5B"/>
    <w:rsid w:val="53227643"/>
    <w:rsid w:val="534348FB"/>
    <w:rsid w:val="54F34318"/>
    <w:rsid w:val="5587547A"/>
    <w:rsid w:val="5990139E"/>
    <w:rsid w:val="59F40440"/>
    <w:rsid w:val="5C72548C"/>
    <w:rsid w:val="5E692744"/>
    <w:rsid w:val="5EDC7B90"/>
    <w:rsid w:val="60D63997"/>
    <w:rsid w:val="639A0CF8"/>
    <w:rsid w:val="63DE760D"/>
    <w:rsid w:val="641D5397"/>
    <w:rsid w:val="6472448E"/>
    <w:rsid w:val="64FD39BC"/>
    <w:rsid w:val="64FD4E47"/>
    <w:rsid w:val="65646F17"/>
    <w:rsid w:val="68711971"/>
    <w:rsid w:val="699B4E42"/>
    <w:rsid w:val="6AF129A0"/>
    <w:rsid w:val="6C155782"/>
    <w:rsid w:val="6D6A4A10"/>
    <w:rsid w:val="6D81508D"/>
    <w:rsid w:val="6E7C1ADF"/>
    <w:rsid w:val="6EFF52F8"/>
    <w:rsid w:val="709F07E0"/>
    <w:rsid w:val="715F2A36"/>
    <w:rsid w:val="71DD64C0"/>
    <w:rsid w:val="78795B54"/>
    <w:rsid w:val="78D71657"/>
    <w:rsid w:val="797632A5"/>
    <w:rsid w:val="79814FA8"/>
    <w:rsid w:val="7A1359B5"/>
    <w:rsid w:val="7B1B4B77"/>
    <w:rsid w:val="7B2D2C9E"/>
    <w:rsid w:val="7B6B216B"/>
    <w:rsid w:val="7B762D85"/>
    <w:rsid w:val="7B8B5F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1"/>
      <w:szCs w:val="22"/>
      <w:lang w:val="en-US" w:eastAsia="zh-CN" w:bidi="ar-SA"/>
    </w:rPr>
  </w:style>
  <w:style w:type="paragraph" w:styleId="2">
    <w:name w:val="heading 1"/>
    <w:next w:val="1"/>
    <w:link w:val="46"/>
    <w:qFormat/>
    <w:uiPriority w:val="9"/>
    <w:pPr>
      <w:keepNext/>
      <w:keepLines/>
      <w:spacing w:before="480" w:after="200"/>
      <w:outlineLvl w:val="0"/>
    </w:pPr>
    <w:rPr>
      <w:rFonts w:ascii="Arial" w:hAnsi="Arial" w:eastAsia="Arial" w:cs="Arial"/>
      <w:sz w:val="40"/>
      <w:szCs w:val="40"/>
      <w:lang w:val="en-US" w:eastAsia="zh-CN" w:bidi="ar-SA"/>
    </w:rPr>
  </w:style>
  <w:style w:type="paragraph" w:styleId="3">
    <w:name w:val="heading 2"/>
    <w:next w:val="1"/>
    <w:link w:val="47"/>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4">
    <w:name w:val="heading 3"/>
    <w:next w:val="1"/>
    <w:link w:val="48"/>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5">
    <w:name w:val="heading 4"/>
    <w:next w:val="1"/>
    <w:link w:val="49"/>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6">
    <w:name w:val="heading 5"/>
    <w:next w:val="1"/>
    <w:link w:val="50"/>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7">
    <w:name w:val="heading 6"/>
    <w:next w:val="1"/>
    <w:link w:val="51"/>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8">
    <w:name w:val="heading 7"/>
    <w:next w:val="1"/>
    <w:link w:val="52"/>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9">
    <w:name w:val="heading 8"/>
    <w:next w:val="1"/>
    <w:link w:val="53"/>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0">
    <w:name w:val="heading 9"/>
    <w:next w:val="1"/>
    <w:link w:val="54"/>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38">
    <w:name w:val="Default Paragraph Font"/>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2">
    <w:name w:val="Normal Indent"/>
    <w:basedOn w:val="1"/>
    <w:qFormat/>
    <w:uiPriority w:val="0"/>
    <w:pPr>
      <w:ind w:firstLine="420"/>
    </w:pPr>
    <w:rPr>
      <w:sz w:val="20"/>
      <w:szCs w:val="21"/>
      <w:lang w:eastAsia="en-US"/>
    </w:rPr>
  </w:style>
  <w:style w:type="paragraph" w:styleId="13">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
    <w:qFormat/>
    <w:uiPriority w:val="0"/>
    <w:pPr>
      <w:widowControl w:val="0"/>
      <w:spacing w:line="60" w:lineRule="auto"/>
      <w:jc w:val="both"/>
    </w:pPr>
    <w:rPr>
      <w:rFonts w:ascii="仿宋_GB2312" w:hAnsi="Calibri" w:eastAsia="仿宋_GB2312" w:cs="Times New Roman"/>
      <w:kern w:val="2"/>
      <w:sz w:val="32"/>
      <w:szCs w:val="24"/>
      <w:lang w:val="en-US" w:eastAsia="zh-CN" w:bidi="ar-SA"/>
    </w:rPr>
  </w:style>
  <w:style w:type="paragraph" w:styleId="16">
    <w:name w:val="Body Text Indent"/>
    <w:basedOn w:val="1"/>
    <w:next w:val="17"/>
    <w:unhideWhenUsed/>
    <w:qFormat/>
    <w:uiPriority w:val="99"/>
    <w:pPr>
      <w:spacing w:after="120"/>
      <w:ind w:left="420"/>
    </w:pPr>
  </w:style>
  <w:style w:type="paragraph" w:styleId="17">
    <w:name w:val="envelope return"/>
    <w:basedOn w:val="1"/>
    <w:qFormat/>
    <w:uiPriority w:val="0"/>
    <w:rPr>
      <w:rFonts w:ascii="Arial" w:hAnsi="Arial" w:cs="宋体"/>
    </w:rPr>
  </w:style>
  <w:style w:type="paragraph" w:styleId="18">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19">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20">
    <w:name w:val="Plain Text"/>
    <w:basedOn w:val="1"/>
    <w:qFormat/>
    <w:uiPriority w:val="0"/>
    <w:rPr>
      <w:rFonts w:ascii="宋体" w:hAnsi="Courier New"/>
      <w:sz w:val="20"/>
      <w:szCs w:val="21"/>
      <w:lang w:eastAsia="en-US"/>
    </w:rPr>
  </w:style>
  <w:style w:type="paragraph" w:styleId="21">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2">
    <w:name w:val="endnote text"/>
    <w:link w:val="192"/>
    <w:semiHidden/>
    <w:unhideWhenUsed/>
    <w:qFormat/>
    <w:uiPriority w:val="99"/>
    <w:rPr>
      <w:rFonts w:asciiTheme="minorHAnsi" w:hAnsiTheme="minorHAnsi" w:eastAsiaTheme="minorEastAsia" w:cstheme="minorBidi"/>
      <w:szCs w:val="22"/>
      <w:lang w:val="en-US" w:eastAsia="zh-CN" w:bidi="ar-SA"/>
    </w:rPr>
  </w:style>
  <w:style w:type="paragraph" w:styleId="23">
    <w:name w:val="footer"/>
    <w:link w:val="65"/>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4">
    <w:name w:val="header"/>
    <w:link w:val="63"/>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5">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6">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7">
    <w:name w:val="Subtitle"/>
    <w:link w:val="58"/>
    <w:qFormat/>
    <w:uiPriority w:val="11"/>
    <w:pPr>
      <w:spacing w:before="200" w:after="200"/>
    </w:pPr>
    <w:rPr>
      <w:rFonts w:asciiTheme="minorHAnsi" w:hAnsiTheme="minorHAnsi" w:eastAsiaTheme="minorEastAsia" w:cstheme="minorBidi"/>
      <w:sz w:val="24"/>
      <w:szCs w:val="24"/>
      <w:lang w:val="en-US" w:eastAsia="zh-CN" w:bidi="ar-SA"/>
    </w:rPr>
  </w:style>
  <w:style w:type="paragraph" w:styleId="28">
    <w:name w:val="footnote text"/>
    <w:link w:val="191"/>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29">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30">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1">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2">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3">
    <w:name w:val="Normal (Web)"/>
    <w:basedOn w:val="1"/>
    <w:semiHidden/>
    <w:unhideWhenUsed/>
    <w:qFormat/>
    <w:uiPriority w:val="99"/>
    <w:pPr>
      <w:spacing w:beforeAutospacing="1" w:afterAutospacing="1"/>
      <w:jc w:val="left"/>
    </w:pPr>
  </w:style>
  <w:style w:type="paragraph" w:styleId="34">
    <w:name w:val="Title"/>
    <w:link w:val="57"/>
    <w:qFormat/>
    <w:uiPriority w:val="10"/>
    <w:pPr>
      <w:spacing w:before="300" w:after="200"/>
      <w:contextualSpacing/>
    </w:pPr>
    <w:rPr>
      <w:rFonts w:asciiTheme="minorHAnsi" w:hAnsiTheme="minorHAnsi" w:eastAsiaTheme="minorEastAsia" w:cstheme="minorBidi"/>
      <w:sz w:val="48"/>
      <w:szCs w:val="48"/>
      <w:lang w:val="en-US" w:eastAsia="zh-CN" w:bidi="ar-SA"/>
    </w:rPr>
  </w:style>
  <w:style w:type="paragraph" w:styleId="35">
    <w:name w:val="Body Text First Indent 2"/>
    <w:basedOn w:val="16"/>
    <w:next w:val="1"/>
    <w:qFormat/>
    <w:uiPriority w:val="0"/>
    <w:pPr>
      <w:spacing w:after="0" w:line="360" w:lineRule="auto"/>
      <w:ind w:left="0" w:firstLine="420"/>
    </w:pPr>
    <w:rPr>
      <w:rFonts w:ascii="宋体" w:hAnsi="宋体"/>
      <w:sz w:val="20"/>
      <w:szCs w:val="20"/>
      <w:lang w:eastAsia="en-US"/>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Emphasis"/>
    <w:qFormat/>
    <w:uiPriority w:val="0"/>
    <w:rPr>
      <w:i/>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正文首行缩进 211"/>
    <w:basedOn w:val="44"/>
    <w:next w:val="1"/>
    <w:qFormat/>
    <w:uiPriority w:val="0"/>
    <w:pPr>
      <w:spacing w:after="0" w:line="360" w:lineRule="auto"/>
      <w:ind w:left="0" w:firstLine="420"/>
    </w:pPr>
    <w:rPr>
      <w:rFonts w:ascii="宋体" w:hAnsi="宋体" w:eastAsia="宋体" w:cs="Times New Roman"/>
      <w:szCs w:val="20"/>
    </w:rPr>
  </w:style>
  <w:style w:type="paragraph" w:customStyle="1" w:styleId="44">
    <w:name w:val="正文文本缩进111"/>
    <w:basedOn w:val="1"/>
    <w:next w:val="45"/>
    <w:unhideWhenUsed/>
    <w:qFormat/>
    <w:uiPriority w:val="0"/>
    <w:pPr>
      <w:spacing w:after="120"/>
      <w:ind w:left="420"/>
    </w:pPr>
  </w:style>
  <w:style w:type="paragraph" w:customStyle="1" w:styleId="45">
    <w:name w:val="寄信人地址11"/>
    <w:basedOn w:val="1"/>
    <w:qFormat/>
    <w:uiPriority w:val="0"/>
    <w:rPr>
      <w:rFonts w:ascii="Arial" w:hAnsi="Arial" w:eastAsia="宋体" w:cs="宋体"/>
    </w:rPr>
  </w:style>
  <w:style w:type="character" w:customStyle="1" w:styleId="46">
    <w:name w:val="标题 1 字符"/>
    <w:link w:val="2"/>
    <w:qFormat/>
    <w:uiPriority w:val="9"/>
    <w:rPr>
      <w:rFonts w:ascii="Arial" w:hAnsi="Arial" w:eastAsia="Arial" w:cs="Arial"/>
      <w:sz w:val="40"/>
      <w:szCs w:val="40"/>
    </w:rPr>
  </w:style>
  <w:style w:type="character" w:customStyle="1" w:styleId="47">
    <w:name w:val="标题 2 字符"/>
    <w:link w:val="3"/>
    <w:qFormat/>
    <w:uiPriority w:val="9"/>
    <w:rPr>
      <w:rFonts w:ascii="Arial" w:hAnsi="Arial" w:eastAsia="Arial" w:cs="Arial"/>
      <w:sz w:val="34"/>
    </w:rPr>
  </w:style>
  <w:style w:type="character" w:customStyle="1" w:styleId="48">
    <w:name w:val="标题 3 字符"/>
    <w:link w:val="4"/>
    <w:qFormat/>
    <w:uiPriority w:val="9"/>
    <w:rPr>
      <w:rFonts w:ascii="Arial" w:hAnsi="Arial" w:eastAsia="Arial" w:cs="Arial"/>
      <w:sz w:val="30"/>
      <w:szCs w:val="30"/>
    </w:rPr>
  </w:style>
  <w:style w:type="character" w:customStyle="1" w:styleId="49">
    <w:name w:val="标题 4 字符"/>
    <w:link w:val="5"/>
    <w:qFormat/>
    <w:uiPriority w:val="9"/>
    <w:rPr>
      <w:rFonts w:ascii="Arial" w:hAnsi="Arial" w:eastAsia="Arial" w:cs="Arial"/>
      <w:b/>
      <w:bCs/>
      <w:sz w:val="26"/>
      <w:szCs w:val="26"/>
    </w:rPr>
  </w:style>
  <w:style w:type="character" w:customStyle="1" w:styleId="50">
    <w:name w:val="标题 5 字符"/>
    <w:link w:val="6"/>
    <w:qFormat/>
    <w:uiPriority w:val="9"/>
    <w:rPr>
      <w:rFonts w:ascii="Arial" w:hAnsi="Arial" w:eastAsia="Arial" w:cs="Arial"/>
      <w:b/>
      <w:bCs/>
      <w:sz w:val="24"/>
      <w:szCs w:val="24"/>
    </w:rPr>
  </w:style>
  <w:style w:type="character" w:customStyle="1" w:styleId="51">
    <w:name w:val="标题 6 字符"/>
    <w:link w:val="7"/>
    <w:qFormat/>
    <w:uiPriority w:val="9"/>
    <w:rPr>
      <w:rFonts w:ascii="Arial" w:hAnsi="Arial" w:eastAsia="Arial" w:cs="Arial"/>
      <w:b/>
      <w:bCs/>
      <w:sz w:val="22"/>
      <w:szCs w:val="22"/>
    </w:rPr>
  </w:style>
  <w:style w:type="character" w:customStyle="1" w:styleId="52">
    <w:name w:val="标题 7 字符"/>
    <w:link w:val="8"/>
    <w:qFormat/>
    <w:uiPriority w:val="9"/>
    <w:rPr>
      <w:rFonts w:ascii="Arial" w:hAnsi="Arial" w:eastAsia="Arial" w:cs="Arial"/>
      <w:b/>
      <w:bCs/>
      <w:i/>
      <w:iCs/>
      <w:sz w:val="22"/>
      <w:szCs w:val="22"/>
    </w:rPr>
  </w:style>
  <w:style w:type="character" w:customStyle="1" w:styleId="53">
    <w:name w:val="标题 8 字符"/>
    <w:link w:val="9"/>
    <w:qFormat/>
    <w:uiPriority w:val="9"/>
    <w:rPr>
      <w:rFonts w:ascii="Arial" w:hAnsi="Arial" w:eastAsia="Arial" w:cs="Arial"/>
      <w:i/>
      <w:iCs/>
      <w:sz w:val="22"/>
      <w:szCs w:val="22"/>
    </w:rPr>
  </w:style>
  <w:style w:type="character" w:customStyle="1" w:styleId="54">
    <w:name w:val="标题 9 字符"/>
    <w:link w:val="10"/>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rPr>
      <w:rFonts w:asciiTheme="minorHAnsi" w:hAnsiTheme="minorHAnsi" w:eastAsiaTheme="minorEastAsia" w:cstheme="minorBidi"/>
      <w:sz w:val="21"/>
      <w:szCs w:val="22"/>
      <w:lang w:val="en-US" w:eastAsia="zh-CN" w:bidi="ar-SA"/>
    </w:rPr>
  </w:style>
  <w:style w:type="character" w:customStyle="1" w:styleId="57">
    <w:name w:val="标题 字符"/>
    <w:link w:val="34"/>
    <w:qFormat/>
    <w:uiPriority w:val="10"/>
    <w:rPr>
      <w:sz w:val="48"/>
      <w:szCs w:val="48"/>
    </w:rPr>
  </w:style>
  <w:style w:type="character" w:customStyle="1" w:styleId="58">
    <w:name w:val="副标题 字符"/>
    <w:link w:val="27"/>
    <w:qFormat/>
    <w:uiPriority w:val="11"/>
    <w:rPr>
      <w:sz w:val="24"/>
      <w:szCs w:val="24"/>
    </w:rPr>
  </w:style>
  <w:style w:type="paragraph" w:styleId="59">
    <w:name w:val="Quote"/>
    <w:link w:val="60"/>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60">
    <w:name w:val="引用 字符"/>
    <w:link w:val="59"/>
    <w:qFormat/>
    <w:uiPriority w:val="29"/>
    <w:rPr>
      <w:i/>
    </w:rPr>
  </w:style>
  <w:style w:type="paragraph" w:styleId="61">
    <w:name w:val="Intense Quote"/>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62">
    <w:name w:val="明显引用 字符"/>
    <w:link w:val="61"/>
    <w:qFormat/>
    <w:uiPriority w:val="30"/>
    <w:rPr>
      <w:i/>
    </w:rPr>
  </w:style>
  <w:style w:type="character" w:customStyle="1" w:styleId="63">
    <w:name w:val="页眉 字符"/>
    <w:link w:val="24"/>
    <w:qFormat/>
    <w:uiPriority w:val="99"/>
  </w:style>
  <w:style w:type="character" w:customStyle="1" w:styleId="64">
    <w:name w:val="Footer Char"/>
    <w:qFormat/>
    <w:uiPriority w:val="99"/>
  </w:style>
  <w:style w:type="character" w:customStyle="1" w:styleId="65">
    <w:name w:val="页脚 字符"/>
    <w:link w:val="23"/>
    <w:qFormat/>
    <w:uiPriority w:val="99"/>
  </w:style>
  <w:style w:type="table" w:customStyle="1" w:styleId="6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字符"/>
    <w:link w:val="28"/>
    <w:qFormat/>
    <w:uiPriority w:val="99"/>
    <w:rPr>
      <w:sz w:val="18"/>
    </w:rPr>
  </w:style>
  <w:style w:type="character" w:customStyle="1" w:styleId="192">
    <w:name w:val="尾注文本 字符"/>
    <w:link w:val="22"/>
    <w:qFormat/>
    <w:uiPriority w:val="99"/>
    <w:rPr>
      <w:sz w:val="20"/>
    </w:rPr>
  </w:style>
  <w:style w:type="paragraph" w:customStyle="1" w:styleId="193">
    <w:name w:val="TOC 标题1"/>
    <w:unhideWhenUsed/>
    <w:qFormat/>
    <w:uiPriority w:val="39"/>
    <w:rPr>
      <w:rFonts w:asciiTheme="minorHAnsi" w:hAnsiTheme="minorHAnsi" w:eastAsiaTheme="minorEastAsia" w:cstheme="minorBidi"/>
      <w:sz w:val="21"/>
      <w:szCs w:val="22"/>
      <w:lang w:val="en-US" w:eastAsia="zh-CN" w:bidi="ar-SA"/>
    </w:rPr>
  </w:style>
  <w:style w:type="paragraph" w:customStyle="1" w:styleId="194">
    <w:name w:val="列出段落1"/>
    <w:basedOn w:val="1"/>
    <w:qFormat/>
    <w:uiPriority w:val="0"/>
    <w:pPr>
      <w:ind w:firstLine="420"/>
    </w:pPr>
    <w:rPr>
      <w:rFonts w:eastAsia="宋体"/>
    </w:rPr>
  </w:style>
  <w:style w:type="paragraph" w:customStyle="1" w:styleId="195">
    <w:name w:val="正文文本11"/>
    <w:basedOn w:val="1"/>
    <w:qFormat/>
    <w:uiPriority w:val="0"/>
    <w:pPr>
      <w:spacing w:line="60" w:lineRule="auto"/>
    </w:pPr>
    <w:rPr>
      <w:rFonts w:ascii="仿宋_GB2312" w:eastAsia="仿宋_GB2312"/>
      <w:sz w:val="32"/>
    </w:rPr>
  </w:style>
  <w:style w:type="paragraph" w:customStyle="1" w:styleId="196">
    <w:name w:val="Table Paragraph"/>
    <w:basedOn w:val="1"/>
    <w:qFormat/>
    <w:uiPriority w:val="1"/>
    <w:pPr>
      <w:jc w:val="left"/>
    </w:pPr>
    <w:rPr>
      <w:rFonts w:ascii="宋体" w:hAnsi="宋体" w:cs="宋体"/>
      <w:sz w:val="22"/>
      <w:lang w:val="zh-CN" w:bidi="zh-CN"/>
    </w:rPr>
  </w:style>
  <w:style w:type="paragraph" w:customStyle="1" w:styleId="197">
    <w:name w:val="Heading 3"/>
    <w:basedOn w:val="1"/>
    <w:next w:val="12"/>
    <w:qFormat/>
    <w:uiPriority w:val="0"/>
    <w:pPr>
      <w:keepNext/>
      <w:keepLines/>
      <w:spacing w:before="260" w:after="260" w:line="416" w:lineRule="auto"/>
      <w:outlineLvl w:val="2"/>
    </w:pPr>
    <w:rPr>
      <w:b/>
      <w:bCs/>
      <w:sz w:val="32"/>
      <w:szCs w:val="32"/>
      <w:lang w:eastAsia="en-US"/>
    </w:rPr>
  </w:style>
  <w:style w:type="paragraph" w:customStyle="1" w:styleId="198">
    <w:name w:val="Heading 4"/>
    <w:basedOn w:val="1"/>
    <w:next w:val="12"/>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199">
    <w:name w:val="索引 41"/>
    <w:basedOn w:val="1"/>
    <w:next w:val="1"/>
    <w:semiHidden/>
    <w:qFormat/>
    <w:uiPriority w:val="0"/>
    <w:pPr>
      <w:ind w:left="1260"/>
    </w:pPr>
    <w:rPr>
      <w:rFonts w:ascii="Calibri" w:hAnsi="Calibri" w:eastAsia="Calibri" w:cs="宋体"/>
      <w:sz w:val="20"/>
      <w:lang w:val="zh-CN"/>
    </w:rPr>
  </w:style>
  <w:style w:type="paragraph" w:customStyle="1" w:styleId="200">
    <w:name w:val="正文文本12"/>
    <w:basedOn w:val="1"/>
    <w:qFormat/>
    <w:uiPriority w:val="1"/>
    <w:pPr>
      <w:ind w:left="120"/>
    </w:pPr>
    <w:rPr>
      <w:rFonts w:ascii="宋体" w:hAnsi="宋体" w:cs="宋体"/>
      <w:szCs w:val="21"/>
      <w:lang w:val="zh-CN" w:bidi="zh-CN"/>
    </w:rPr>
  </w:style>
  <w:style w:type="paragraph" w:customStyle="1" w:styleId="201">
    <w:name w:val="正文文本 211"/>
    <w:basedOn w:val="1"/>
    <w:qFormat/>
    <w:uiPriority w:val="99"/>
    <w:pPr>
      <w:jc w:val="center"/>
    </w:pPr>
    <w:rPr>
      <w:b/>
      <w:bCs/>
      <w:sz w:val="20"/>
      <w:szCs w:val="20"/>
    </w:rPr>
  </w:style>
  <w:style w:type="paragraph" w:customStyle="1" w:styleId="202">
    <w:name w:val="Char"/>
    <w:basedOn w:val="1"/>
    <w:qFormat/>
    <w:uiPriority w:val="0"/>
    <w:pPr>
      <w:tabs>
        <w:tab w:val="left" w:pos="360"/>
      </w:tabs>
      <w:ind w:firstLine="200"/>
    </w:pPr>
    <w:rPr>
      <w:sz w:val="28"/>
      <w:szCs w:val="30"/>
    </w:rPr>
  </w:style>
  <w:style w:type="paragraph" w:customStyle="1" w:styleId="203">
    <w:name w:val="正文文本1"/>
    <w:basedOn w:val="1"/>
    <w:next w:val="1"/>
    <w:semiHidden/>
    <w:qFormat/>
    <w:uiPriority w:val="0"/>
    <w:rPr>
      <w:rFonts w:ascii="Arial" w:hAnsi="Arial" w:eastAsia="Arial" w:cs="Arial"/>
      <w:szCs w:val="21"/>
      <w:lang w:eastAsia="en-US"/>
    </w:rPr>
  </w:style>
  <w:style w:type="paragraph" w:customStyle="1" w:styleId="204">
    <w:name w:val="普通正文"/>
    <w:basedOn w:val="1"/>
    <w:qFormat/>
    <w:uiPriority w:val="0"/>
    <w:pPr>
      <w:spacing w:before="120" w:after="120" w:line="360" w:lineRule="auto"/>
      <w:ind w:firstLine="480"/>
      <w:jc w:val="left"/>
    </w:pPr>
    <w:rPr>
      <w:rFonts w:ascii="Arial" w:hAnsi="Arial"/>
      <w:sz w:val="24"/>
      <w:szCs w:val="24"/>
    </w:rPr>
  </w:style>
  <w:style w:type="character" w:customStyle="1" w:styleId="205">
    <w:name w:val="font51"/>
    <w:basedOn w:val="38"/>
    <w:qFormat/>
    <w:uiPriority w:val="0"/>
    <w:rPr>
      <w:rFonts w:ascii="宋体" w:hAnsi="宋体" w:eastAsia="宋体" w:cs="宋体"/>
      <w:color w:val="000000"/>
      <w:sz w:val="18"/>
      <w:szCs w:val="18"/>
      <w:u w:val="none"/>
    </w:rPr>
  </w:style>
  <w:style w:type="character" w:customStyle="1" w:styleId="206">
    <w:name w:val="font11"/>
    <w:basedOn w:val="38"/>
    <w:qFormat/>
    <w:uiPriority w:val="0"/>
    <w:rPr>
      <w:rFonts w:hint="eastAsia" w:ascii="宋体" w:hAnsi="宋体" w:eastAsia="宋体" w:cs="宋体"/>
      <w:color w:val="FF0000"/>
      <w:sz w:val="22"/>
      <w:szCs w:val="22"/>
      <w:u w:val="none"/>
    </w:rPr>
  </w:style>
  <w:style w:type="character" w:customStyle="1" w:styleId="207">
    <w:name w:val="font01"/>
    <w:basedOn w:val="38"/>
    <w:qFormat/>
    <w:uiPriority w:val="0"/>
    <w:rPr>
      <w:rFonts w:hint="eastAsia" w:ascii="宋体" w:hAnsi="宋体" w:eastAsia="宋体" w:cs="宋体"/>
      <w:color w:val="000000"/>
      <w:sz w:val="22"/>
      <w:szCs w:val="22"/>
      <w:u w:val="none"/>
    </w:rPr>
  </w:style>
  <w:style w:type="character" w:customStyle="1" w:styleId="208">
    <w:name w:val="font21"/>
    <w:basedOn w:val="38"/>
    <w:qFormat/>
    <w:uiPriority w:val="0"/>
    <w:rPr>
      <w:rFonts w:hint="eastAsia" w:ascii="宋体" w:hAnsi="宋体" w:eastAsia="宋体" w:cs="宋体"/>
      <w:color w:val="000000"/>
      <w:sz w:val="21"/>
      <w:szCs w:val="21"/>
      <w:u w:val="none"/>
    </w:rPr>
  </w:style>
  <w:style w:type="character" w:customStyle="1" w:styleId="209">
    <w:name w:val="font31"/>
    <w:basedOn w:val="38"/>
    <w:qFormat/>
    <w:uiPriority w:val="0"/>
    <w:rPr>
      <w:rFonts w:hint="eastAsia" w:ascii="宋体" w:hAnsi="宋体" w:eastAsia="宋体" w:cs="宋体"/>
      <w:color w:val="FF0000"/>
      <w:sz w:val="21"/>
      <w:szCs w:val="21"/>
      <w:u w:val="none"/>
    </w:rPr>
  </w:style>
  <w:style w:type="character" w:customStyle="1" w:styleId="210">
    <w:name w:val="font41"/>
    <w:basedOn w:val="38"/>
    <w:qFormat/>
    <w:uiPriority w:val="0"/>
    <w:rPr>
      <w:rFonts w:hint="eastAsia" w:ascii="宋体" w:hAnsi="宋体" w:eastAsia="宋体" w:cs="宋体"/>
      <w:color w:val="000000"/>
      <w:sz w:val="21"/>
      <w:szCs w:val="21"/>
      <w:u w:val="none"/>
    </w:rPr>
  </w:style>
  <w:style w:type="paragraph" w:customStyle="1" w:styleId="211">
    <w:name w:val="纯文本11"/>
    <w:basedOn w:val="1"/>
    <w:qFormat/>
    <w:uiPriority w:val="0"/>
    <w:rPr>
      <w:rFonts w:ascii="宋体" w:hAnsi="Courier New" w:eastAsia="宋体" w:cs="Courier New"/>
      <w:szCs w:val="21"/>
    </w:rPr>
  </w:style>
  <w:style w:type="paragraph" w:customStyle="1" w:styleId="212">
    <w:name w:val="列表段落1"/>
    <w:basedOn w:val="1"/>
    <w:qFormat/>
    <w:uiPriority w:val="34"/>
    <w:pPr>
      <w:ind w:firstLine="420" w:firstLineChars="200"/>
    </w:pPr>
  </w:style>
  <w:style w:type="character" w:customStyle="1" w:styleId="213">
    <w:name w:val="font101"/>
    <w:basedOn w:val="38"/>
    <w:qFormat/>
    <w:uiPriority w:val="0"/>
    <w:rPr>
      <w:rFonts w:ascii="黑体" w:hAnsi="宋体" w:eastAsia="黑体" w:cs="黑体"/>
      <w:color w:val="000000"/>
      <w:sz w:val="24"/>
      <w:szCs w:val="24"/>
      <w:u w:val="none"/>
    </w:rPr>
  </w:style>
  <w:style w:type="character" w:customStyle="1" w:styleId="214">
    <w:name w:val="font111"/>
    <w:basedOn w:val="38"/>
    <w:qFormat/>
    <w:uiPriority w:val="0"/>
    <w:rPr>
      <w:rFonts w:ascii="方正仿宋简体" w:hAnsi="方正仿宋简体" w:eastAsia="方正仿宋简体" w:cs="方正仿宋简体"/>
      <w:color w:val="000000"/>
      <w:sz w:val="24"/>
      <w:szCs w:val="24"/>
      <w:u w:val="none"/>
    </w:rPr>
  </w:style>
  <w:style w:type="character" w:customStyle="1" w:styleId="215">
    <w:name w:val="font122"/>
    <w:basedOn w:val="38"/>
    <w:qFormat/>
    <w:uiPriority w:val="0"/>
    <w:rPr>
      <w:rFonts w:hint="eastAsia" w:ascii="方正仿宋简体" w:hAnsi="方正仿宋简体" w:eastAsia="方正仿宋简体" w:cs="方正仿宋简体"/>
      <w:color w:val="000000"/>
      <w:sz w:val="24"/>
      <w:szCs w:val="24"/>
      <w:u w:val="none"/>
    </w:rPr>
  </w:style>
  <w:style w:type="character" w:customStyle="1" w:styleId="216">
    <w:name w:val="font131"/>
    <w:basedOn w:val="38"/>
    <w:qFormat/>
    <w:uiPriority w:val="0"/>
    <w:rPr>
      <w:rFonts w:hint="eastAsia" w:ascii="方正仿宋简体" w:hAnsi="方正仿宋简体" w:eastAsia="方正仿宋简体" w:cs="方正仿宋简体"/>
      <w:color w:val="000000"/>
      <w:sz w:val="21"/>
      <w:szCs w:val="21"/>
      <w:u w:val="none"/>
    </w:rPr>
  </w:style>
  <w:style w:type="character" w:customStyle="1" w:styleId="217">
    <w:name w:val="font141"/>
    <w:basedOn w:val="38"/>
    <w:qFormat/>
    <w:uiPriority w:val="0"/>
    <w:rPr>
      <w:rFonts w:hint="eastAsia" w:ascii="方正仿宋简体" w:hAnsi="方正仿宋简体" w:eastAsia="方正仿宋简体" w:cs="方正仿宋简体"/>
      <w:color w:val="000000"/>
      <w:sz w:val="24"/>
      <w:szCs w:val="24"/>
      <w:u w:val="none"/>
    </w:rPr>
  </w:style>
  <w:style w:type="character" w:customStyle="1" w:styleId="218">
    <w:name w:val="font12"/>
    <w:basedOn w:val="38"/>
    <w:qFormat/>
    <w:uiPriority w:val="0"/>
    <w:rPr>
      <w:rFonts w:hint="default" w:ascii="Times New Roman" w:hAnsi="Times New Roman" w:cs="Times New Roman"/>
      <w:color w:val="000000"/>
      <w:sz w:val="24"/>
      <w:szCs w:val="24"/>
      <w:u w:val="none"/>
    </w:rPr>
  </w:style>
  <w:style w:type="character" w:customStyle="1" w:styleId="219">
    <w:name w:val="font151"/>
    <w:basedOn w:val="38"/>
    <w:qFormat/>
    <w:uiPriority w:val="0"/>
    <w:rPr>
      <w:rFonts w:hint="eastAsia" w:ascii="方正仿宋简体" w:hAnsi="方正仿宋简体" w:eastAsia="方正仿宋简体" w:cs="方正仿宋简体"/>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50</Pages>
  <Words>28024</Words>
  <Characters>29919</Characters>
  <Lines>1114</Lines>
  <Paragraphs>955</Paragraphs>
  <TotalTime>1</TotalTime>
  <ScaleCrop>false</ScaleCrop>
  <LinksUpToDate>false</LinksUpToDate>
  <CharactersWithSpaces>30461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2024-11-08T09:47:00Z</dcterms:created>
  <dc:creator>Apache POI</dc:creator>
  <cp:lastModifiedBy>Maxxie D</cp:lastModifiedBy>
  <cp:lastPrinted>2026-01-30T08:25:00Z</cp:lastPrinted>
  <dcterms:modified xsi:type="dcterms:W3CDTF">2026-09-11T01:53:31Z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9E83BEE0CB85477C988ACAFDA647CC6B_13</vt:lpwstr>
  </property>
  <property fmtid="{D5CDD505-2E9C-101B-9397-08002B2CF9AE}" pid="4" name="KSOTemplateDocerSaveRecord">
    <vt:lpwstr>eyJoZGlkIjoiMWVjMzU3Yjc3NDAxOThhMGJkMTk1MTkyODk4ZDRmN2MiLCJ1c2VySWQiOiIzMTg2NTgxNTYifQ==</vt:lpwstr>
  </property>
</Properties>
</file>