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b/>
          <w:sz w:val="72"/>
          <w:szCs w:val="72"/>
        </w:rPr>
      </w:pPr>
      <w:r>
        <w:rPr>
          <w:rFonts w:ascii="宋体"/>
          <w:b/>
          <w:sz w:val="72"/>
          <w:szCs w:val="72"/>
        </w:rPr>
      </w:r>
      <w:r/>
    </w:p>
    <w:p>
      <w:pPr>
        <w:jc w:val="left"/>
        <w:rPr>
          <w:rFonts w:ascii="宋体"/>
          <w:b/>
          <w:sz w:val="72"/>
          <w:szCs w:val="72"/>
        </w:rPr>
      </w:pPr>
      <w:r>
        <w:rPr>
          <w:rFonts w:ascii="宋体"/>
          <w:b/>
          <w:sz w:val="72"/>
          <w:szCs w:val="72"/>
        </w:rPr>
      </w:r>
      <w:r/>
    </w:p>
    <w:p>
      <w:pPr>
        <w:jc w:val="center"/>
        <w:spacing w:line="960" w:lineRule="auto"/>
        <w:rPr>
          <w:rFonts w:hint="eastAsia" w:ascii="宋体" w:hAnsi="宋体" w:eastAsia="宋体" w:cs="宋体"/>
          <w:b/>
          <w:spacing w:val="40"/>
          <w:sz w:val="72"/>
          <w:szCs w:val="72"/>
        </w:rPr>
      </w:pPr>
      <w:r>
        <w:rPr>
          <w:rFonts w:hint="eastAsia" w:ascii="宋体" w:hAnsi="宋体" w:eastAsia="宋体" w:cs="宋体"/>
          <w:b/>
          <w:spacing w:val="40"/>
          <w:sz w:val="72"/>
          <w:szCs w:val="72"/>
        </w:rPr>
        <w:t xml:space="preserve">苏州市吴江区政府采购</w:t>
      </w:r>
      <w:r/>
    </w:p>
    <w:p>
      <w:pPr>
        <w:jc w:val="center"/>
        <w:rPr>
          <w:rFonts w:hint="eastAsia" w:ascii="宋体" w:hAnsi="宋体" w:eastAsia="宋体" w:cs="宋体"/>
          <w:b/>
          <w:sz w:val="144"/>
          <w:szCs w:val="72"/>
        </w:rPr>
      </w:pPr>
      <w:r>
        <w:rPr>
          <w:rFonts w:hint="eastAsia" w:ascii="宋体" w:hAnsi="宋体" w:eastAsia="宋体" w:cs="宋体"/>
          <w:b/>
          <w:spacing w:val="40"/>
          <w:sz w:val="72"/>
          <w:szCs w:val="72"/>
        </w:rPr>
        <w:t xml:space="preserve">招标</w:t>
      </w:r>
      <w:r>
        <w:rPr>
          <w:rFonts w:hint="eastAsia" w:ascii="宋体" w:hAnsi="宋体" w:eastAsia="宋体" w:cs="宋体"/>
          <w:b/>
          <w:spacing w:val="20"/>
          <w:sz w:val="72"/>
          <w:szCs w:val="72"/>
        </w:rPr>
        <w:t xml:space="preserve">文件</w:t>
      </w:r>
      <w:r/>
    </w:p>
    <w:p>
      <w:pPr>
        <w:jc w:val="left"/>
        <w:rPr>
          <w:rFonts w:hint="eastAsia" w:ascii="宋体" w:hAnsi="宋体" w:eastAsia="宋体" w:cs="宋体"/>
          <w:b/>
          <w:sz w:val="72"/>
          <w:szCs w:val="72"/>
        </w:rPr>
      </w:pPr>
      <w:r>
        <w:rPr>
          <w:rFonts w:hint="eastAsia" w:ascii="宋体" w:hAnsi="宋体" w:eastAsia="宋体" w:cs="宋体"/>
          <w:b/>
          <w:sz w:val="72"/>
          <w:szCs w:val="72"/>
        </w:rPr>
      </w:r>
      <w:r/>
    </w:p>
    <w:p>
      <w:pPr>
        <w:pStyle w:val="954"/>
        <w:rPr>
          <w:rFonts w:hint="eastAsia" w:ascii="宋体" w:hAnsi="宋体" w:eastAsia="宋体" w:cs="宋体"/>
        </w:rPr>
      </w:pPr>
      <w:r>
        <w:rPr>
          <w:rFonts w:hint="eastAsia" w:ascii="宋体" w:hAnsi="宋体" w:eastAsia="宋体" w:cs="宋体"/>
        </w:rPr>
      </w:r>
      <w:r/>
    </w:p>
    <w:p>
      <w:pPr>
        <w:jc w:val="left"/>
        <w:rPr>
          <w:rFonts w:hint="eastAsia" w:ascii="宋体" w:hAnsi="宋体" w:eastAsia="宋体" w:cs="宋体"/>
          <w:b/>
          <w:sz w:val="72"/>
          <w:szCs w:val="72"/>
        </w:rPr>
      </w:pPr>
      <w:r>
        <w:rPr>
          <w:rFonts w:hint="eastAsia" w:ascii="宋体" w:hAnsi="宋体" w:eastAsia="宋体" w:cs="宋体"/>
          <w:b/>
          <w:sz w:val="72"/>
          <w:szCs w:val="72"/>
        </w:rPr>
      </w:r>
      <w:r/>
    </w:p>
    <w:p>
      <w:pPr>
        <w:pStyle w:val="954"/>
        <w:rPr>
          <w:rFonts w:hint="eastAsia" w:ascii="宋体" w:hAnsi="宋体" w:eastAsia="宋体" w:cs="宋体"/>
        </w:rPr>
      </w:pPr>
      <w:r>
        <w:rPr>
          <w:rFonts w:hint="eastAsia" w:ascii="宋体" w:hAnsi="宋体" w:eastAsia="宋体" w:cs="宋体"/>
        </w:rPr>
      </w:r>
      <w:r/>
    </w:p>
    <w:p>
      <w:pPr>
        <w:ind w:firstLine="1285"/>
        <w:jc w:val="left"/>
        <w:rPr>
          <w:rFonts w:hint="eastAsia" w:ascii="宋体" w:hAnsi="宋体" w:eastAsia="宋体" w:cs="宋体"/>
          <w:b/>
          <w:sz w:val="32"/>
          <w:szCs w:val="32"/>
        </w:rPr>
      </w:pPr>
      <w:r>
        <w:rPr>
          <w:rFonts w:hint="eastAsia" w:ascii="宋体" w:hAnsi="宋体" w:eastAsia="宋体" w:cs="宋体"/>
          <w:b/>
          <w:sz w:val="32"/>
          <w:szCs w:val="32"/>
        </w:rPr>
        <w:t xml:space="preserve">项目编号：JSXH2026-ZZ-GKZB-027</w:t>
      </w:r>
      <w:r/>
    </w:p>
    <w:p>
      <w:pPr>
        <w:ind w:firstLine="1285"/>
        <w:jc w:val="left"/>
        <w:rPr>
          <w:rFonts w:hint="eastAsia" w:ascii="宋体" w:hAnsi="宋体" w:eastAsia="宋体" w:cs="宋体"/>
          <w:b/>
          <w:sz w:val="32"/>
          <w:szCs w:val="32"/>
        </w:rPr>
      </w:pPr>
      <w:r>
        <w:rPr>
          <w:rFonts w:hint="eastAsia" w:ascii="宋体" w:hAnsi="宋体" w:eastAsia="宋体" w:cs="宋体"/>
          <w:b/>
          <w:sz w:val="32"/>
          <w:szCs w:val="32"/>
        </w:rPr>
        <w:t xml:space="preserve">采购单位：苏州市吴江区第四人民医院</w:t>
      </w:r>
      <w:r/>
    </w:p>
    <w:p>
      <w:pPr>
        <w:ind w:firstLine="1285"/>
        <w:jc w:val="left"/>
        <w:rPr>
          <w:rFonts w:hint="eastAsia" w:ascii="宋体" w:hAnsi="宋体" w:eastAsia="宋体" w:cs="宋体"/>
          <w:b/>
          <w:sz w:val="32"/>
          <w:szCs w:val="32"/>
        </w:rPr>
      </w:pPr>
      <w:r>
        <w:rPr>
          <w:rFonts w:hint="eastAsia" w:ascii="宋体" w:hAnsi="宋体" w:eastAsia="宋体" w:cs="宋体"/>
          <w:b/>
          <w:sz w:val="32"/>
          <w:szCs w:val="32"/>
        </w:rPr>
        <w:t xml:space="preserve">项目名称：吴江四院扩建工程-智能化二标段</w:t>
      </w:r>
      <w:r/>
    </w:p>
    <w:p>
      <w:pPr>
        <w:ind w:firstLine="1285"/>
        <w:jc w:val="left"/>
        <w:rPr>
          <w:rFonts w:hint="eastAsia" w:ascii="宋体" w:hAnsi="宋体" w:eastAsia="宋体" w:cs="宋体"/>
          <w:b/>
          <w:sz w:val="32"/>
          <w:szCs w:val="32"/>
        </w:rPr>
      </w:pPr>
      <w:r>
        <w:rPr>
          <w:rFonts w:hint="eastAsia" w:ascii="宋体" w:hAnsi="宋体" w:eastAsia="宋体" w:cs="宋体"/>
          <w:b/>
          <w:sz w:val="32"/>
          <w:szCs w:val="32"/>
        </w:rPr>
        <w:t xml:space="preserve">采购类别：采购类</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sz w:val="28"/>
          <w:szCs w:val="28"/>
        </w:rPr>
      </w:pPr>
      <w:r>
        <w:rPr>
          <w:rFonts w:hint="eastAsia" w:ascii="宋体" w:hAnsi="宋体" w:eastAsia="宋体" w:cs="宋体"/>
          <w:sz w:val="28"/>
          <w:szCs w:val="28"/>
        </w:rPr>
      </w:r>
      <w:r/>
    </w:p>
    <w:p>
      <w:pPr>
        <w:ind w:firstLine="2554"/>
        <w:jc w:val="left"/>
        <w:rPr>
          <w:rFonts w:hint="eastAsia" w:ascii="宋体" w:hAnsi="宋体" w:eastAsia="宋体" w:cs="宋体"/>
          <w:b/>
          <w:sz w:val="32"/>
          <w:szCs w:val="28"/>
        </w:rPr>
      </w:pPr>
      <w:r>
        <w:rPr>
          <w:rFonts w:hint="eastAsia" w:ascii="宋体" w:hAnsi="宋体" w:eastAsia="宋体" w:cs="宋体"/>
          <w:b/>
          <w:sz w:val="32"/>
          <w:szCs w:val="28"/>
        </w:rPr>
      </w:r>
      <w:r/>
    </w:p>
    <w:p>
      <w:pPr>
        <w:ind w:firstLine="2554"/>
        <w:jc w:val="left"/>
        <w:rPr>
          <w:rFonts w:hint="eastAsia" w:ascii="宋体" w:hAnsi="宋体" w:eastAsia="宋体" w:cs="宋体"/>
          <w:b/>
          <w:sz w:val="32"/>
          <w:szCs w:val="28"/>
        </w:rPr>
      </w:pPr>
      <w:r>
        <w:rPr>
          <w:rFonts w:hint="eastAsia" w:ascii="宋体" w:hAnsi="宋体" w:eastAsia="宋体" w:cs="宋体"/>
          <w:b/>
          <w:sz w:val="32"/>
          <w:szCs w:val="28"/>
        </w:rPr>
      </w:r>
      <w:r/>
    </w:p>
    <w:p>
      <w:pPr>
        <w:pStyle w:val="955"/>
        <w:ind w:firstLine="31680"/>
        <w:rPr>
          <w:rFonts w:hint="eastAsia" w:ascii="宋体" w:hAnsi="宋体" w:eastAsia="宋体" w:cs="宋体"/>
        </w:rPr>
      </w:pPr>
      <w:r>
        <w:rPr>
          <w:rFonts w:hint="eastAsia" w:ascii="宋体" w:hAnsi="宋体" w:eastAsia="宋体" w:cs="宋体"/>
        </w:rPr>
      </w:r>
      <w:r/>
    </w:p>
    <w:p>
      <w:pPr>
        <w:ind w:firstLine="2554"/>
        <w:jc w:val="left"/>
        <w:rPr>
          <w:rFonts w:hint="eastAsia" w:ascii="宋体" w:hAnsi="宋体" w:eastAsia="宋体" w:cs="宋体"/>
          <w:b/>
          <w:sz w:val="32"/>
          <w:szCs w:val="28"/>
        </w:rPr>
      </w:pPr>
      <w:r>
        <w:rPr>
          <w:rFonts w:hint="eastAsia" w:ascii="宋体" w:hAnsi="宋体" w:eastAsia="宋体" w:cs="宋体"/>
          <w:b/>
          <w:sz w:val="32"/>
          <w:szCs w:val="28"/>
        </w:rPr>
      </w:r>
      <w:r/>
    </w:p>
    <w:p>
      <w:pPr>
        <w:jc w:val="center"/>
        <w:rPr>
          <w:rFonts w:hint="eastAsia" w:ascii="宋体" w:hAnsi="宋体" w:eastAsia="宋体" w:cs="宋体"/>
          <w:b/>
          <w:sz w:val="32"/>
          <w:szCs w:val="28"/>
        </w:rPr>
      </w:pPr>
      <w:r>
        <w:rPr>
          <w:rFonts w:hint="eastAsia" w:ascii="宋体" w:hAnsi="宋体" w:eastAsia="宋体" w:cs="宋体"/>
          <w:b/>
          <w:sz w:val="32"/>
          <w:szCs w:val="28"/>
        </w:rPr>
        <w:t xml:space="preserve">江苏祥和项目管理有限公司</w:t>
      </w:r>
      <w:r/>
    </w:p>
    <w:p>
      <w:pPr>
        <w:jc w:val="center"/>
        <w:rPr>
          <w:rFonts w:hint="eastAsia" w:ascii="宋体" w:hAnsi="宋体" w:eastAsia="宋体" w:cs="宋体"/>
          <w:b/>
          <w:bCs/>
          <w:sz w:val="32"/>
        </w:rPr>
      </w:pPr>
      <w:r>
        <w:rPr>
          <w:rFonts w:hint="eastAsia" w:ascii="宋体" w:hAnsi="宋体" w:eastAsia="宋体" w:cs="宋体"/>
          <w:b/>
          <w:bCs/>
          <w:sz w:val="32"/>
        </w:rPr>
        <w:t xml:space="preserve">二〇二六年</w:t>
      </w:r>
      <w:r>
        <w:rPr>
          <w:rFonts w:hint="eastAsia" w:ascii="宋体" w:hAnsi="宋体" w:cs="宋体"/>
          <w:b/>
          <w:bCs/>
          <w:sz w:val="32"/>
          <w:lang w:val="en-US" w:eastAsia="zh-CN"/>
        </w:rPr>
        <w:t xml:space="preserve">九</w:t>
      </w:r>
      <w:r>
        <w:rPr>
          <w:rFonts w:hint="eastAsia" w:ascii="宋体" w:hAnsi="宋体" w:eastAsia="宋体" w:cs="宋体"/>
          <w:b/>
          <w:bCs/>
          <w:sz w:val="32"/>
        </w:rPr>
        <w:t xml:space="preserve">月</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pStyle w:val="954"/>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前附表</w:t>
      </w:r>
      <w:r/>
    </w:p>
    <w:tbl>
      <w:tblPr>
        <w:tblStyle w:val="910"/>
        <w:tblW w:w="100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
        <w:gridCol w:w="1425"/>
        <w:gridCol w:w="8106"/>
      </w:tblGrid>
      <w:tr>
        <w:trPr>
          <w:jc w:val="center"/>
          <w:trHeight w:val="607"/>
        </w:trPr>
        <w:tc>
          <w:tcPr>
            <w:tcW w:w="0" w:type="auto"/>
            <w:vAlign w:val="center"/>
            <w:textDirection w:val="lrTb"/>
            <w:noWrap w:val="false"/>
          </w:tcPr>
          <w:p>
            <w:pPr>
              <w:jc w:val="center"/>
              <w:tabs>
                <w:tab w:val="left" w:pos="900" w:leader="none"/>
              </w:tabs>
              <w:rPr>
                <w:rFonts w:hint="eastAsia" w:ascii="宋体" w:hAnsi="宋体" w:eastAsia="宋体" w:cs="宋体"/>
                <w:b/>
                <w:color w:val="000000"/>
              </w:rPr>
            </w:pPr>
            <w:r>
              <w:rPr>
                <w:rFonts w:hint="eastAsia" w:ascii="宋体" w:hAnsi="宋体" w:eastAsia="宋体" w:cs="宋体"/>
                <w:color w:val="000000"/>
              </w:rPr>
              <w:t xml:space="preserve">序号</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项   目</w:t>
            </w:r>
            <w:r/>
          </w:p>
        </w:tc>
        <w:tc>
          <w:tcPr>
            <w:tcW w:w="8106"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内     容</w:t>
            </w:r>
            <w:r/>
          </w:p>
        </w:tc>
      </w:tr>
      <w:tr>
        <w:trPr>
          <w:jc w:val="center"/>
          <w:trHeight w:val="388"/>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1</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采购项目</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color w:val="000000"/>
              </w:rPr>
            </w:pPr>
            <w:r>
              <w:rPr>
                <w:rFonts w:hint="eastAsia" w:ascii="宋体" w:hAnsi="宋体" w:eastAsia="宋体" w:cs="宋体"/>
                <w:szCs w:val="21"/>
              </w:rPr>
              <w:t xml:space="preserve">吴江四院扩建工程-智能化二标段</w:t>
            </w:r>
            <w:r/>
          </w:p>
        </w:tc>
      </w:tr>
      <w:tr>
        <w:trPr>
          <w:jc w:val="center"/>
          <w:trHeight w:val="394"/>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2</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采购预算（元）</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color w:val="000000"/>
              </w:rPr>
            </w:pPr>
            <w:r>
              <w:rPr>
                <w:rFonts w:hint="eastAsia" w:ascii="宋体" w:hAnsi="宋体" w:eastAsia="宋体" w:cs="宋体"/>
                <w:color w:val="ff0000"/>
                <w:szCs w:val="21"/>
                <w:highlight w:val="yellow"/>
              </w:rPr>
              <w:t xml:space="preserve">人民币玖佰</w:t>
            </w:r>
            <w:r>
              <w:rPr>
                <w:rFonts w:hint="eastAsia" w:ascii="宋体" w:hAnsi="宋体" w:cs="宋体"/>
                <w:color w:val="ff0000"/>
                <w:szCs w:val="21"/>
                <w:highlight w:val="yellow"/>
                <w:lang w:val="en-US" w:eastAsia="zh-CN"/>
              </w:rPr>
              <w:t xml:space="preserve">肆</w:t>
            </w:r>
            <w:r>
              <w:rPr>
                <w:rFonts w:hint="eastAsia" w:ascii="宋体" w:hAnsi="宋体" w:eastAsia="宋体" w:cs="宋体"/>
                <w:color w:val="ff0000"/>
                <w:szCs w:val="21"/>
                <w:highlight w:val="yellow"/>
              </w:rPr>
              <w:t xml:space="preserve">拾</w:t>
            </w:r>
            <w:r>
              <w:rPr>
                <w:rFonts w:hint="eastAsia" w:ascii="宋体" w:hAnsi="宋体" w:cs="宋体"/>
                <w:color w:val="ff0000"/>
                <w:szCs w:val="21"/>
                <w:highlight w:val="yellow"/>
                <w:lang w:val="en-US" w:eastAsia="zh-CN"/>
              </w:rPr>
              <w:t xml:space="preserve">陆</w:t>
            </w:r>
            <w:r>
              <w:rPr>
                <w:rFonts w:hint="eastAsia" w:ascii="宋体" w:hAnsi="宋体" w:eastAsia="宋体" w:cs="宋体"/>
                <w:color w:val="ff0000"/>
                <w:szCs w:val="21"/>
                <w:highlight w:val="yellow"/>
              </w:rPr>
              <w:t xml:space="preserve">万</w:t>
            </w:r>
            <w:r>
              <w:rPr>
                <w:rFonts w:hint="eastAsia" w:ascii="宋体" w:hAnsi="宋体" w:cs="宋体"/>
                <w:color w:val="ff0000"/>
                <w:szCs w:val="21"/>
                <w:highlight w:val="yellow"/>
                <w:lang w:val="en-US" w:eastAsia="zh-CN"/>
              </w:rPr>
              <w:t xml:space="preserve">玖仟柒佰壹拾柒元叁角</w:t>
            </w:r>
            <w:r>
              <w:rPr>
                <w:rFonts w:hint="eastAsia" w:ascii="宋体" w:hAnsi="宋体" w:eastAsia="宋体" w:cs="宋体"/>
                <w:color w:val="ff0000"/>
                <w:szCs w:val="21"/>
                <w:highlight w:val="yellow"/>
              </w:rPr>
              <w:t xml:space="preserve">（小写：</w:t>
            </w:r>
            <w:r>
              <w:rPr>
                <w:rFonts w:hint="eastAsia" w:ascii="宋体" w:hAnsi="宋体" w:cs="宋体"/>
                <w:color w:val="ff0000"/>
                <w:szCs w:val="21"/>
                <w:highlight w:val="yellow"/>
                <w:lang w:val="en-US" w:eastAsia="zh-CN"/>
              </w:rPr>
              <w:t xml:space="preserve">9469717</w:t>
            </w:r>
            <w:r>
              <w:rPr>
                <w:rFonts w:hint="eastAsia" w:ascii="宋体" w:hAnsi="宋体" w:eastAsia="宋体" w:cs="宋体"/>
                <w:color w:val="ff0000"/>
                <w:szCs w:val="21"/>
                <w:highlight w:val="yellow"/>
              </w:rPr>
              <w:t xml:space="preserve">.3</w:t>
            </w:r>
            <w:r>
              <w:rPr>
                <w:rFonts w:hint="eastAsia" w:ascii="宋体" w:hAnsi="宋体" w:eastAsia="宋体" w:cs="宋体"/>
                <w:color w:val="ff0000"/>
                <w:szCs w:val="21"/>
                <w:highlight w:val="yellow"/>
                <w:lang w:val="en-US" w:eastAsia="zh-CN"/>
              </w:rPr>
              <w:t xml:space="preserve">0</w:t>
            </w:r>
            <w:r>
              <w:rPr>
                <w:rFonts w:hint="eastAsia" w:ascii="宋体" w:hAnsi="宋体" w:eastAsia="宋体" w:cs="宋体"/>
                <w:color w:val="ff0000"/>
                <w:szCs w:val="21"/>
                <w:highlight w:val="yellow"/>
              </w:rPr>
              <w:t xml:space="preserve">元）</w:t>
            </w:r>
            <w:r/>
          </w:p>
        </w:tc>
      </w:tr>
      <w:tr>
        <w:trPr>
          <w:jc w:val="center"/>
          <w:trHeight w:val="402"/>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3</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联合体投标</w:t>
            </w:r>
            <w:r/>
          </w:p>
        </w:tc>
        <w:tc>
          <w:tcPr>
            <w:tcW w:w="8106" w:type="dxa"/>
            <w:vAlign w:val="center"/>
            <w:textDirection w:val="lrTb"/>
            <w:noWrap w:val="false"/>
          </w:tcPr>
          <w:p>
            <w:pPr>
              <w:jc w:val="left"/>
              <w:widowControl/>
              <w:rPr>
                <w:rFonts w:hint="eastAsia" w:ascii="宋体" w:hAnsi="宋体" w:eastAsia="宋体" w:cs="宋体"/>
                <w:color w:val="000000"/>
              </w:rPr>
            </w:pPr>
            <w:r>
              <w:rPr>
                <w:rFonts w:hint="eastAsia" w:ascii="宋体" w:hAnsi="宋体" w:eastAsia="宋体" w:cs="宋体"/>
                <w:color w:val="000000"/>
                <w:sz w:val="20"/>
                <w:szCs w:val="20"/>
              </w:rPr>
              <w:t xml:space="preserve">本项目不接受联合体参加投标</w:t>
            </w:r>
            <w:r/>
          </w:p>
        </w:tc>
      </w:tr>
      <w:tr>
        <w:trPr>
          <w:jc w:val="center"/>
          <w:trHeight w:val="995"/>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4</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现场勘查</w:t>
            </w:r>
            <w:r/>
          </w:p>
        </w:tc>
        <w:tc>
          <w:tcPr>
            <w:tcW w:w="8106" w:type="dxa"/>
            <w:vAlign w:val="center"/>
            <w:textDirection w:val="lrTb"/>
            <w:noWrap w:val="false"/>
          </w:tcPr>
          <w:p>
            <w:pPr>
              <w:jc w:val="left"/>
              <w:spacing w:line="360" w:lineRule="auto"/>
              <w:tabs>
                <w:tab w:val="left" w:pos="915" w:leader="none"/>
              </w:tabs>
              <w:rPr>
                <w:rFonts w:hint="eastAsia" w:ascii="宋体" w:hAnsi="宋体" w:eastAsia="宋体" w:cs="宋体"/>
                <w:color w:val="000000"/>
              </w:rPr>
            </w:pPr>
            <w:r>
              <w:rPr>
                <w:rFonts w:hint="eastAsia" w:ascii="宋体" w:hAnsi="宋体" w:eastAsia="宋体" w:cs="宋体"/>
                <w:szCs w:val="21"/>
              </w:rPr>
              <w:t xml:space="preserve">采购人不组织，供应商如有需要可自行勘察，勘查现场所发生的费用由供应商自行承担。</w:t>
            </w:r>
            <w:r/>
          </w:p>
        </w:tc>
      </w:tr>
      <w:tr>
        <w:trPr>
          <w:jc w:val="center"/>
          <w:trHeight w:val="1416"/>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5</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保证金</w:t>
            </w:r>
            <w:r/>
          </w:p>
        </w:tc>
        <w:tc>
          <w:tcPr>
            <w:tcW w:w="8106" w:type="dxa"/>
            <w:vAlign w:val="center"/>
            <w:textDirection w:val="lrTb"/>
            <w:noWrap w:val="false"/>
          </w:tcPr>
          <w:p>
            <w:pPr>
              <w:jc w:val="left"/>
              <w:spacing w:line="360" w:lineRule="auto"/>
              <w:tabs>
                <w:tab w:val="left" w:pos="915" w:leader="none"/>
              </w:tabs>
              <w:rPr>
                <w:rFonts w:hint="eastAsia" w:ascii="宋体" w:hAnsi="宋体" w:eastAsia="宋体" w:cs="宋体"/>
                <w:color w:val="000000"/>
              </w:rPr>
            </w:pPr>
            <w:r>
              <w:rPr>
                <w:rFonts w:hint="eastAsia" w:ascii="宋体" w:hAnsi="宋体" w:eastAsia="宋体" w:cs="宋体"/>
                <w:color w:val="000000"/>
              </w:rPr>
              <w:t xml:space="preserve">本项目无须缴纳投标保证金，采购文件中所有与投标保证金相关条款均不适用；但须提供《投标（响应）保证承诺书》（格式见第六章 响应文件格式），未提供视为无效响应。</w:t>
            </w:r>
            <w:r/>
          </w:p>
        </w:tc>
      </w:tr>
      <w:tr>
        <w:trPr>
          <w:jc w:val="center"/>
          <w:trHeight w:val="505"/>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6</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响应货币</w:t>
            </w:r>
            <w:r/>
          </w:p>
        </w:tc>
        <w:tc>
          <w:tcPr>
            <w:tcW w:w="8106" w:type="dxa"/>
            <w:vAlign w:val="center"/>
            <w:textDirection w:val="lrTb"/>
            <w:noWrap w:val="false"/>
          </w:tcPr>
          <w:p>
            <w:pPr>
              <w:jc w:val="left"/>
              <w:spacing w:line="360" w:lineRule="auto"/>
              <w:tabs>
                <w:tab w:val="left" w:pos="915" w:leader="none"/>
              </w:tabs>
              <w:rPr>
                <w:rFonts w:hint="eastAsia" w:ascii="宋体" w:hAnsi="宋体" w:eastAsia="宋体" w:cs="宋体"/>
                <w:bCs/>
                <w:color w:val="000000"/>
              </w:rPr>
            </w:pPr>
            <w:r>
              <w:rPr>
                <w:rFonts w:hint="eastAsia" w:ascii="宋体" w:hAnsi="宋体" w:eastAsia="宋体" w:cs="宋体"/>
                <w:szCs w:val="21"/>
              </w:rPr>
              <w:t xml:space="preserve">人民币</w:t>
            </w:r>
            <w:r/>
          </w:p>
        </w:tc>
      </w:tr>
      <w:tr>
        <w:trPr>
          <w:jc w:val="center"/>
          <w:trHeight w:val="460"/>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7</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响应文件份数</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color w:val="000000"/>
              </w:rPr>
            </w:pPr>
            <w:r>
              <w:rPr>
                <w:rFonts w:hint="eastAsia" w:ascii="宋体" w:hAnsi="宋体" w:eastAsia="宋体" w:cs="宋体"/>
                <w:color w:val="000000"/>
                <w:szCs w:val="21"/>
              </w:rPr>
              <w:t xml:space="preserve">本项目采用电子响应文件，供应商按照采购文件要求制作上传电子响应文件，供应商无需提供纸质响应文件。</w:t>
            </w:r>
            <w:r/>
          </w:p>
        </w:tc>
      </w:tr>
      <w:tr>
        <w:trPr>
          <w:jc w:val="center"/>
          <w:trHeight w:val="525"/>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8</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响应文件有效期</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color w:val="000000"/>
              </w:rPr>
            </w:pPr>
            <w:r>
              <w:rPr>
                <w:rFonts w:hint="eastAsia" w:ascii="宋体" w:hAnsi="宋体" w:eastAsia="宋体" w:cs="宋体"/>
                <w:szCs w:val="21"/>
                <w:u w:val="single"/>
              </w:rPr>
              <w:t xml:space="preserve">90</w:t>
            </w:r>
            <w:r>
              <w:rPr>
                <w:rFonts w:hint="eastAsia" w:ascii="宋体" w:hAnsi="宋体" w:eastAsia="宋体" w:cs="宋体"/>
                <w:szCs w:val="21"/>
              </w:rPr>
              <w:t xml:space="preserve">日历天（从响应截止之日算起）</w:t>
            </w:r>
            <w:r/>
          </w:p>
        </w:tc>
      </w:tr>
      <w:tr>
        <w:trPr>
          <w:jc w:val="center"/>
          <w:trHeight w:val="570"/>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9</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响应文件递交开始时间</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bCs/>
                <w:color w:val="000000"/>
                <w:szCs w:val="21"/>
              </w:rPr>
            </w:pPr>
            <w:r>
              <w:rPr>
                <w:rFonts w:hint="eastAsia" w:ascii="宋体" w:hAnsi="宋体" w:eastAsia="宋体" w:cs="宋体"/>
                <w:bCs/>
                <w:color w:val="000000"/>
                <w:szCs w:val="21"/>
              </w:rPr>
              <w:t xml:space="preserve">时间：2026年10月08日17</w:t>
            </w:r>
            <w:r>
              <w:rPr>
                <w:rFonts w:hint="eastAsia" w:ascii="宋体" w:hAnsi="宋体" w:cs="宋体"/>
                <w:bCs/>
                <w:color w:val="000000"/>
                <w:szCs w:val="21"/>
                <w:lang w:eastAsia="zh-CN"/>
              </w:rPr>
              <w:t xml:space="preserve">：</w:t>
            </w:r>
            <w:r>
              <w:rPr>
                <w:rFonts w:hint="eastAsia" w:ascii="宋体" w:hAnsi="宋体" w:eastAsia="宋体" w:cs="宋体"/>
                <w:bCs/>
                <w:color w:val="000000"/>
                <w:szCs w:val="21"/>
              </w:rPr>
              <w:t xml:space="preserve">00（北京时间）</w:t>
            </w:r>
            <w:r/>
          </w:p>
        </w:tc>
      </w:tr>
      <w:tr>
        <w:trPr>
          <w:jc w:val="center"/>
          <w:trHeight w:val="1714"/>
        </w:trPr>
        <w:tc>
          <w:tcPr>
            <w:tcW w:w="0" w:type="auto"/>
            <w:vAlign w:val="center"/>
            <w:vMerge w:val="restart"/>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10</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响应文件递交截止时间和地点</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bCs/>
                <w:color w:val="000000"/>
                <w:szCs w:val="21"/>
              </w:rPr>
            </w:pPr>
            <w:r>
              <w:rPr>
                <w:rFonts w:hint="eastAsia" w:ascii="宋体" w:hAnsi="宋体" w:eastAsia="宋体" w:cs="宋体"/>
                <w:bCs/>
                <w:color w:val="000000"/>
                <w:szCs w:val="21"/>
              </w:rPr>
              <w:t xml:space="preserve">时间：2026年10月29日09</w:t>
            </w:r>
            <w:r>
              <w:rPr>
                <w:rFonts w:hint="eastAsia" w:ascii="宋体" w:hAnsi="宋体" w:cs="宋体"/>
                <w:bCs/>
                <w:color w:val="000000"/>
                <w:szCs w:val="21"/>
                <w:lang w:eastAsia="zh-CN"/>
              </w:rPr>
              <w:t xml:space="preserve">：</w:t>
            </w:r>
            <w:r>
              <w:rPr>
                <w:rFonts w:hint="eastAsia" w:ascii="宋体" w:hAnsi="宋体" w:eastAsia="宋体" w:cs="宋体"/>
                <w:bCs/>
                <w:color w:val="000000"/>
                <w:szCs w:val="21"/>
              </w:rPr>
              <w:t xml:space="preserve">30（北京时间）</w:t>
            </w:r>
            <w:r/>
          </w:p>
          <w:p>
            <w:pPr>
              <w:jc w:val="left"/>
              <w:spacing w:line="360" w:lineRule="auto"/>
              <w:tabs>
                <w:tab w:val="left" w:pos="900" w:leader="none"/>
              </w:tabs>
              <w:rPr>
                <w:rFonts w:hint="eastAsia" w:ascii="宋体" w:hAnsi="宋体" w:eastAsia="宋体" w:cs="宋体"/>
                <w:bCs/>
                <w:color w:val="000000"/>
                <w:szCs w:val="21"/>
              </w:rPr>
            </w:pPr>
            <w:r>
              <w:rPr>
                <w:rFonts w:hint="eastAsia" w:ascii="宋体" w:hAnsi="宋体" w:eastAsia="宋体" w:cs="宋体"/>
                <w:bCs/>
                <w:color w:val="000000"/>
                <w:szCs w:val="21"/>
              </w:rPr>
              <w:t xml:space="preserve">地点：苏州市公共资源交易中心吴江分中心开标室（吴江区开平路998号三楼）</w:t>
            </w:r>
            <w:r/>
          </w:p>
          <w:p>
            <w:pPr>
              <w:jc w:val="left"/>
              <w:spacing w:line="360" w:lineRule="auto"/>
              <w:tabs>
                <w:tab w:val="left" w:pos="900" w:leader="none"/>
              </w:tabs>
              <w:rPr>
                <w:rFonts w:hint="eastAsia" w:ascii="宋体" w:hAnsi="宋体" w:eastAsia="宋体" w:cs="宋体"/>
                <w:bCs/>
                <w:color w:val="000000"/>
                <w:szCs w:val="21"/>
              </w:rPr>
            </w:pPr>
            <w:r>
              <w:rPr>
                <w:rFonts w:hint="eastAsia" w:ascii="宋体" w:hAnsi="宋体" w:eastAsia="宋体" w:cs="宋体"/>
                <w:bCs/>
                <w:color w:val="000000"/>
                <w:szCs w:val="21"/>
              </w:rPr>
              <w:t xml:space="preserve">“苏采云”系统（网址：）</w:t>
            </w:r>
            <w:r/>
          </w:p>
          <w:p>
            <w:pPr>
              <w:jc w:val="left"/>
              <w:spacing w:line="360" w:lineRule="auto"/>
              <w:tabs>
                <w:tab w:val="left" w:pos="900" w:leader="none"/>
              </w:tabs>
              <w:rPr>
                <w:rFonts w:hint="eastAsia" w:ascii="宋体" w:hAnsi="宋体" w:eastAsia="宋体" w:cs="宋体"/>
                <w:bCs/>
                <w:color w:val="000000"/>
                <w:szCs w:val="21"/>
              </w:rPr>
            </w:pPr>
            <w:r>
              <w:rPr>
                <w:rFonts w:hint="eastAsia" w:ascii="宋体" w:hAnsi="宋体" w:eastAsia="宋体" w:cs="宋体"/>
                <w:bCs/>
                <w:color w:val="000000"/>
                <w:szCs w:val="21"/>
              </w:rPr>
              <w:t xml:space="preserve">本项目为不见面招标项目，开启阶段供应商在【供应商解密】环节必须使用 CA证书解密电子响应文件，如在系统规定的解密时间内未能完成解密的视为放弃参与本项目。</w:t>
            </w:r>
            <w:r/>
          </w:p>
        </w:tc>
      </w:tr>
      <w:tr>
        <w:trPr>
          <w:jc w:val="center"/>
          <w:trHeight w:val="90"/>
        </w:trPr>
        <w:tc>
          <w:tcPr>
            <w:tcW w:w="0" w:type="auto"/>
            <w:vAlign w:val="center"/>
            <w:vMerge w:val="continue"/>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开标时间和地点</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bCs/>
                <w:color w:val="000000"/>
                <w:szCs w:val="21"/>
              </w:rPr>
            </w:pPr>
            <w:r>
              <w:rPr>
                <w:rFonts w:hint="eastAsia" w:ascii="宋体" w:hAnsi="宋体" w:eastAsia="宋体" w:cs="宋体"/>
                <w:bCs/>
                <w:color w:val="000000"/>
                <w:szCs w:val="21"/>
              </w:rPr>
              <w:t xml:space="preserve">时间：2026年10月29日09</w:t>
            </w:r>
            <w:r>
              <w:rPr>
                <w:rFonts w:hint="eastAsia" w:ascii="宋体" w:hAnsi="宋体" w:cs="宋体"/>
                <w:bCs/>
                <w:color w:val="000000"/>
                <w:szCs w:val="21"/>
                <w:lang w:eastAsia="zh-CN"/>
              </w:rPr>
              <w:t xml:space="preserve">：</w:t>
            </w:r>
            <w:r>
              <w:rPr>
                <w:rFonts w:hint="eastAsia" w:ascii="宋体" w:hAnsi="宋体" w:eastAsia="宋体" w:cs="宋体"/>
                <w:bCs/>
                <w:color w:val="000000"/>
                <w:szCs w:val="21"/>
              </w:rPr>
              <w:t xml:space="preserve">30（北京时间）</w:t>
            </w:r>
            <w:r/>
          </w:p>
          <w:p>
            <w:pPr>
              <w:jc w:val="left"/>
              <w:spacing w:line="360" w:lineRule="auto"/>
              <w:tabs>
                <w:tab w:val="left" w:pos="900" w:leader="none"/>
              </w:tabs>
              <w:rPr>
                <w:rFonts w:hint="eastAsia" w:ascii="宋体" w:hAnsi="宋体" w:eastAsia="宋体" w:cs="宋体"/>
                <w:bCs/>
                <w:color w:val="000000"/>
                <w:szCs w:val="21"/>
              </w:rPr>
            </w:pPr>
            <w:r>
              <w:rPr>
                <w:rFonts w:hint="eastAsia" w:ascii="宋体" w:hAnsi="宋体" w:eastAsia="宋体" w:cs="宋体"/>
                <w:bCs/>
                <w:color w:val="000000"/>
                <w:szCs w:val="21"/>
              </w:rPr>
              <w:t xml:space="preserve">地点：苏州市公共资源交易中心吴江分中心开标室（吴江区开平路998号三楼）</w:t>
            </w:r>
            <w:r/>
          </w:p>
        </w:tc>
      </w:tr>
      <w:tr>
        <w:trPr>
          <w:jc w:val="center"/>
          <w:trHeight w:val="471"/>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11</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评审办法</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color w:val="000000"/>
              </w:rPr>
            </w:pPr>
            <w:r>
              <w:rPr>
                <w:rFonts w:hint="eastAsia" w:ascii="宋体" w:hAnsi="宋体" w:eastAsia="宋体" w:cs="宋体"/>
                <w:color w:val="000000"/>
              </w:rPr>
              <w:t xml:space="preserve">采用综合评标法</w:t>
            </w:r>
            <w:r/>
          </w:p>
        </w:tc>
      </w:tr>
      <w:tr>
        <w:trPr>
          <w:jc w:val="center"/>
          <w:trHeight w:val="471"/>
        </w:trPr>
        <w:tc>
          <w:tcPr>
            <w:tcW w:w="0" w:type="auto"/>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12</w:t>
            </w:r>
            <w:r/>
          </w:p>
        </w:tc>
        <w:tc>
          <w:tcPr>
            <w:tcW w:w="1425" w:type="dxa"/>
            <w:vAlign w:val="center"/>
            <w:textDirection w:val="lrTb"/>
            <w:noWrap w:val="false"/>
          </w:tcPr>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t xml:space="preserve">招标代理服务费</w:t>
            </w:r>
            <w:r/>
          </w:p>
          <w:p>
            <w:pPr>
              <w:jc w:val="center"/>
              <w:tabs>
                <w:tab w:val="left" w:pos="900" w:leader="none"/>
              </w:tabs>
              <w:rPr>
                <w:rFonts w:hint="eastAsia" w:ascii="宋体" w:hAnsi="宋体" w:eastAsia="宋体" w:cs="宋体"/>
                <w:color w:val="000000"/>
              </w:rPr>
            </w:pPr>
            <w:r>
              <w:rPr>
                <w:rFonts w:hint="eastAsia" w:ascii="宋体" w:hAnsi="宋体" w:eastAsia="宋体" w:cs="宋体"/>
                <w:color w:val="000000"/>
              </w:rPr>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按差额定率累进法计算收取，</w:t>
            </w:r>
            <w:r>
              <w:rPr>
                <w:rFonts w:hint="eastAsia" w:ascii="宋体" w:hAnsi="宋体" w:eastAsia="宋体" w:cs="宋体"/>
                <w:color w:val="000000"/>
                <w:szCs w:val="21"/>
              </w:rPr>
              <w:t xml:space="preserve">成交</w:t>
            </w:r>
            <w:r>
              <w:rPr>
                <w:rFonts w:hint="eastAsia" w:ascii="宋体" w:hAnsi="宋体" w:eastAsia="宋体" w:cs="宋体"/>
                <w:color w:val="000000"/>
                <w:szCs w:val="21"/>
                <w:lang w:val="zh-CN"/>
              </w:rPr>
              <w:t xml:space="preserve">单位在领取</w:t>
            </w:r>
            <w:r>
              <w:rPr>
                <w:rFonts w:hint="eastAsia" w:ascii="宋体" w:hAnsi="宋体" w:eastAsia="宋体" w:cs="宋体"/>
                <w:color w:val="000000"/>
                <w:szCs w:val="21"/>
              </w:rPr>
              <w:t xml:space="preserve">成交</w:t>
            </w:r>
            <w:r>
              <w:rPr>
                <w:rFonts w:hint="eastAsia" w:ascii="宋体" w:hAnsi="宋体" w:eastAsia="宋体" w:cs="宋体"/>
                <w:color w:val="000000"/>
                <w:szCs w:val="21"/>
                <w:lang w:val="zh-CN"/>
              </w:rPr>
              <w:t xml:space="preserve">通知书时向采购代理机构一次性付清。预算金额100万以下费率为预算金额的1.5%；预算金额100万（含）-500万费率为预算金额的1.1%；预算金额500万（含）-1000万费率为预算金额的0.8%。</w:t>
            </w:r>
            <w:r/>
          </w:p>
          <w:p>
            <w:pPr>
              <w:jc w:val="left"/>
              <w:spacing w:line="360" w:lineRule="auto"/>
              <w:tabs>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本项目招标代理服务费：人民币肆万陆仟柒佰元整（小写：46700.00元）</w:t>
            </w:r>
            <w:r/>
          </w:p>
          <w:p>
            <w:pPr>
              <w:jc w:val="left"/>
              <w:spacing w:line="360" w:lineRule="auto"/>
              <w:tabs>
                <w:tab w:val="left" w:pos="900" w:leader="none"/>
              </w:tabs>
              <w:rPr>
                <w:rFonts w:hint="eastAsia" w:ascii="宋体" w:hAnsi="宋体" w:eastAsia="宋体" w:cs="宋体"/>
                <w:szCs w:val="21"/>
              </w:rPr>
            </w:pPr>
            <w:r>
              <w:rPr>
                <w:rFonts w:hint="eastAsia" w:ascii="宋体" w:hAnsi="宋体" w:eastAsia="宋体" w:cs="宋体"/>
                <w:szCs w:val="21"/>
              </w:rPr>
              <w:t xml:space="preserve">缴纳账户：江苏祥和项目管理有限公司</w:t>
            </w:r>
            <w:r/>
          </w:p>
          <w:p>
            <w:pPr>
              <w:jc w:val="left"/>
              <w:spacing w:line="360" w:lineRule="auto"/>
              <w:tabs>
                <w:tab w:val="left" w:pos="900" w:leader="none"/>
              </w:tabs>
              <w:rPr>
                <w:rFonts w:hint="eastAsia" w:ascii="宋体" w:hAnsi="宋体" w:eastAsia="宋体" w:cs="宋体"/>
                <w:szCs w:val="21"/>
              </w:rPr>
            </w:pPr>
            <w:r>
              <w:rPr>
                <w:rFonts w:hint="eastAsia" w:ascii="宋体" w:hAnsi="宋体" w:eastAsia="宋体" w:cs="宋体"/>
                <w:szCs w:val="21"/>
              </w:rPr>
              <w:t xml:space="preserve">开户银行：中国银行南京六合支行</w:t>
            </w:r>
            <w:r/>
          </w:p>
          <w:p>
            <w:pPr>
              <w:pStyle w:val="954"/>
              <w:ind w:firstLine="0"/>
              <w:jc w:val="left"/>
              <w:rPr>
                <w:rFonts w:hint="eastAsia" w:ascii="宋体" w:hAnsi="宋体" w:eastAsia="宋体" w:cs="宋体"/>
                <w:color w:val="000000"/>
              </w:rPr>
            </w:pPr>
            <w:r>
              <w:rPr>
                <w:rFonts w:hint="eastAsia" w:ascii="宋体" w:hAnsi="宋体" w:eastAsia="宋体" w:cs="宋体"/>
                <w:szCs w:val="21"/>
              </w:rPr>
              <w:t xml:space="preserve">账    号：485875060089</w:t>
            </w:r>
            <w:r/>
          </w:p>
        </w:tc>
      </w:tr>
    </w:tbl>
    <w:p>
      <w:pPr>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rPr>
          <w:rFonts w:hint="eastAsia" w:ascii="宋体" w:hAnsi="宋体" w:eastAsia="宋体" w:cs="宋体"/>
          <w:b/>
          <w:bCs/>
          <w:sz w:val="36"/>
          <w:szCs w:val="36"/>
          <w:highlight w:val="none"/>
        </w:rPr>
      </w:r>
      <w:r/>
    </w:p>
    <w:p>
      <w:pPr>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rPr>
          <w:rFonts w:hint="eastAsia" w:ascii="宋体" w:hAnsi="宋体" w:eastAsia="宋体" w:cs="宋体"/>
          <w:b/>
          <w:bCs/>
          <w:sz w:val="36"/>
          <w:szCs w:val="36"/>
          <w:highlight w:val="none"/>
        </w:rPr>
      </w:r>
      <w:r/>
    </w:p>
    <w:p>
      <w:pPr>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rPr>
          <w:rFonts w:hint="eastAsia" w:ascii="宋体" w:hAnsi="宋体" w:eastAsia="宋体" w:cs="宋体"/>
          <w:b/>
          <w:bCs/>
          <w:sz w:val="36"/>
          <w:szCs w:val="36"/>
          <w:highlight w:val="none"/>
        </w:rPr>
      </w:r>
      <w:r/>
    </w:p>
    <w:p>
      <w:pPr>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rPr>
          <w:rFonts w:hint="eastAsia" w:ascii="宋体" w:hAnsi="宋体" w:eastAsia="宋体" w:cs="宋体"/>
          <w:b/>
          <w:bCs/>
          <w:sz w:val="36"/>
          <w:szCs w:val="36"/>
          <w:highlight w:val="none"/>
        </w:rPr>
      </w:r>
      <w:r/>
    </w:p>
    <w:p>
      <w:pPr>
        <w:jc w:val="center"/>
        <w:rPr>
          <w:rFonts w:hint="eastAsia" w:ascii="宋体" w:hAnsi="宋体" w:eastAsia="宋体" w:cs="宋体"/>
          <w:b/>
          <w:bCs/>
          <w:sz w:val="36"/>
          <w:szCs w:val="36"/>
          <w:highlight w:val="none"/>
        </w:rPr>
      </w:pPr>
      <w:r>
        <w:rPr>
          <w:rFonts w:hint="eastAsia" w:ascii="宋体" w:hAnsi="宋体" w:eastAsia="宋体" w:cs="宋体"/>
          <w:b/>
          <w:bCs/>
          <w:sz w:val="36"/>
          <w:szCs w:val="36"/>
        </w:rPr>
      </w:r>
      <w:r>
        <w:rPr>
          <w:rFonts w:hint="eastAsia" w:ascii="宋体" w:hAnsi="宋体" w:eastAsia="宋体" w:cs="宋体"/>
          <w:b/>
          <w:bCs/>
          <w:sz w:val="36"/>
          <w:szCs w:val="36"/>
        </w:rPr>
        <w:t xml:space="preserve">目录</w:t>
      </w:r>
      <w:r>
        <w:rPr>
          <w:rFonts w:hint="eastAsia" w:ascii="宋体" w:hAnsi="宋体" w:eastAsia="宋体" w:cs="宋体"/>
          <w:b/>
          <w:bCs/>
          <w:sz w:val="36"/>
          <w:szCs w:val="36"/>
          <w:highlight w:val="none"/>
        </w:rPr>
      </w:r>
      <w:r/>
    </w:p>
    <w:p>
      <w:pPr>
        <w:pStyle w:val="954"/>
        <w:rPr>
          <w:rFonts w:hint="eastAsia" w:ascii="宋体" w:hAnsi="宋体" w:eastAsia="宋体" w:cs="宋体"/>
          <w:sz w:val="32"/>
          <w:szCs w:val="32"/>
        </w:rPr>
      </w:pPr>
      <w:r>
        <w:rPr>
          <w:rFonts w:hint="eastAsia" w:ascii="宋体" w:hAnsi="宋体" w:eastAsia="宋体" w:cs="宋体"/>
          <w:sz w:val="32"/>
          <w:szCs w:val="32"/>
        </w:rPr>
      </w:r>
      <w:r/>
    </w:p>
    <w:p>
      <w:pPr>
        <w:pStyle w:val="924"/>
        <w:tabs>
          <w:tab w:val="right" w:pos="9629" w:leader="dot"/>
        </w:tabs>
        <w:rPr>
          <w:rFonts w:hint="eastAsia" w:ascii="宋体" w:hAnsi="宋体" w:eastAsia="宋体" w:cs="宋体"/>
          <w:sz w:val="30"/>
          <w:szCs w:val="30"/>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TOC \o "1-1" \h \u </w:instrText>
      </w:r>
      <w:r>
        <w:rPr>
          <w:rFonts w:hint="eastAsia" w:ascii="宋体" w:hAnsi="宋体" w:eastAsia="宋体" w:cs="宋体"/>
          <w:sz w:val="32"/>
          <w:szCs w:val="32"/>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"_Toc98255830" </w:instrText>
      </w:r>
      <w:r>
        <w:rPr>
          <w:rFonts w:hint="eastAsia" w:ascii="宋体" w:hAnsi="宋体" w:eastAsia="宋体" w:cs="宋体"/>
        </w:rPr>
        <w:fldChar w:fldCharType="separate"/>
      </w:r>
      <w:r>
        <w:rPr>
          <w:rStyle w:val="933"/>
          <w:rFonts w:hint="eastAsia" w:ascii="宋体" w:hAnsi="宋体" w:eastAsia="宋体" w:cs="宋体"/>
          <w:b/>
          <w:color w:val="auto"/>
          <w:sz w:val="30"/>
          <w:szCs w:val="30"/>
        </w:rPr>
        <w:t xml:space="preserve">第一章 招标公告</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_Toc98255830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3</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924"/>
        <w:tabs>
          <w:tab w:val="right" w:pos="9629" w:leader="dot"/>
        </w:tabs>
        <w:rPr>
          <w:rFonts w:hint="eastAsia" w:ascii="宋体" w:hAnsi="宋体" w:eastAsia="宋体" w:cs="宋体"/>
          <w:sz w:val="30"/>
          <w:szCs w:val="30"/>
        </w:rPr>
      </w:pPr>
      <w:r>
        <w:rPr>
          <w:rFonts w:hint="eastAsia" w:ascii="宋体" w:hAnsi="宋体" w:eastAsia="宋体" w:cs="宋体"/>
        </w:rPr>
        <w:fldChar w:fldCharType="begin"/>
      </w:r>
      <w:r>
        <w:rPr>
          <w:rFonts w:hint="eastAsia" w:ascii="宋体" w:hAnsi="宋体" w:eastAsia="宋体" w:cs="宋体"/>
        </w:rPr>
        <w:instrText xml:space="preserve"> HYPERLINK \l "_Toc98255831" </w:instrText>
      </w:r>
      <w:r>
        <w:rPr>
          <w:rFonts w:hint="eastAsia" w:ascii="宋体" w:hAnsi="宋体" w:eastAsia="宋体" w:cs="宋体"/>
        </w:rPr>
        <w:fldChar w:fldCharType="separate"/>
      </w:r>
      <w:r>
        <w:rPr>
          <w:rStyle w:val="933"/>
          <w:rFonts w:hint="eastAsia" w:ascii="宋体" w:hAnsi="宋体" w:eastAsia="宋体" w:cs="宋体"/>
          <w:b/>
          <w:color w:val="auto"/>
          <w:sz w:val="30"/>
          <w:szCs w:val="30"/>
        </w:rPr>
        <w:t xml:space="preserve">第二章 供应商须知</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_Toc98255831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6</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924"/>
        <w:tabs>
          <w:tab w:val="right" w:pos="9629" w:leader="dot"/>
        </w:tabs>
        <w:rPr>
          <w:rFonts w:hint="eastAsia" w:ascii="宋体" w:hAnsi="宋体" w:eastAsia="宋体" w:cs="宋体"/>
          <w:sz w:val="30"/>
          <w:szCs w:val="30"/>
        </w:rPr>
      </w:pPr>
      <w:r>
        <w:rPr>
          <w:rFonts w:hint="eastAsia" w:ascii="宋体" w:hAnsi="宋体" w:eastAsia="宋体" w:cs="宋体"/>
        </w:rPr>
        <w:fldChar w:fldCharType="begin"/>
      </w:r>
      <w:r>
        <w:rPr>
          <w:rFonts w:hint="eastAsia" w:ascii="宋体" w:hAnsi="宋体" w:eastAsia="宋体" w:cs="宋体"/>
        </w:rPr>
        <w:instrText xml:space="preserve"> HYPERLINK \l "_Toc98255832" </w:instrText>
      </w:r>
      <w:r>
        <w:rPr>
          <w:rFonts w:hint="eastAsia" w:ascii="宋体" w:hAnsi="宋体" w:eastAsia="宋体" w:cs="宋体"/>
        </w:rPr>
        <w:fldChar w:fldCharType="separate"/>
      </w:r>
      <w:r>
        <w:rPr>
          <w:rStyle w:val="933"/>
          <w:rFonts w:hint="eastAsia" w:ascii="宋体" w:hAnsi="宋体" w:eastAsia="宋体" w:cs="宋体"/>
          <w:b/>
          <w:color w:val="auto"/>
          <w:sz w:val="30"/>
          <w:szCs w:val="30"/>
        </w:rPr>
        <w:t xml:space="preserve">第三章 采购需求</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_Toc98255832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6</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924"/>
        <w:tabs>
          <w:tab w:val="right" w:pos="9629" w:leader="dot"/>
        </w:tabs>
        <w:rPr>
          <w:rFonts w:hint="eastAsia" w:ascii="宋体" w:hAnsi="宋体" w:eastAsia="宋体" w:cs="宋体"/>
          <w:sz w:val="30"/>
          <w:szCs w:val="30"/>
        </w:rPr>
      </w:pPr>
      <w:r>
        <w:rPr>
          <w:rFonts w:hint="eastAsia" w:ascii="宋体" w:hAnsi="宋体" w:eastAsia="宋体" w:cs="宋体"/>
        </w:rPr>
        <w:fldChar w:fldCharType="begin"/>
      </w:r>
      <w:r>
        <w:rPr>
          <w:rFonts w:hint="eastAsia" w:ascii="宋体" w:hAnsi="宋体" w:eastAsia="宋体" w:cs="宋体"/>
        </w:rPr>
        <w:instrText xml:space="preserve"> HYPERLINK \l "_Toc98255833" </w:instrText>
      </w:r>
      <w:r>
        <w:rPr>
          <w:rFonts w:hint="eastAsia" w:ascii="宋体" w:hAnsi="宋体" w:eastAsia="宋体" w:cs="宋体"/>
        </w:rPr>
        <w:fldChar w:fldCharType="separate"/>
      </w:r>
      <w:r>
        <w:rPr>
          <w:rStyle w:val="933"/>
          <w:rFonts w:hint="eastAsia" w:ascii="宋体" w:hAnsi="宋体" w:eastAsia="宋体" w:cs="宋体"/>
          <w:b/>
          <w:color w:val="auto"/>
          <w:sz w:val="30"/>
          <w:szCs w:val="30"/>
        </w:rPr>
        <w:t xml:space="preserve">第四章 评审办法及评分标准</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_Toc98255833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91</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924"/>
        <w:tabs>
          <w:tab w:val="right" w:pos="9629" w:leader="dot"/>
        </w:tabs>
        <w:rPr>
          <w:rFonts w:hint="eastAsia" w:ascii="宋体" w:hAnsi="宋体" w:eastAsia="宋体" w:cs="宋体"/>
          <w:sz w:val="30"/>
          <w:szCs w:val="30"/>
        </w:rPr>
      </w:pPr>
      <w:r>
        <w:rPr>
          <w:rFonts w:hint="eastAsia" w:ascii="宋体" w:hAnsi="宋体" w:eastAsia="宋体" w:cs="宋体"/>
        </w:rPr>
        <w:fldChar w:fldCharType="begin"/>
      </w:r>
      <w:r>
        <w:rPr>
          <w:rFonts w:hint="eastAsia" w:ascii="宋体" w:hAnsi="宋体" w:eastAsia="宋体" w:cs="宋体"/>
        </w:rPr>
        <w:instrText xml:space="preserve"> HYPERLINK \l "_Toc98255834" </w:instrText>
      </w:r>
      <w:r>
        <w:rPr>
          <w:rFonts w:hint="eastAsia" w:ascii="宋体" w:hAnsi="宋体" w:eastAsia="宋体" w:cs="宋体"/>
        </w:rPr>
        <w:fldChar w:fldCharType="separate"/>
      </w:r>
      <w:r>
        <w:rPr>
          <w:rStyle w:val="933"/>
          <w:rFonts w:hint="eastAsia" w:ascii="宋体" w:hAnsi="宋体" w:eastAsia="宋体" w:cs="宋体"/>
          <w:b/>
          <w:color w:val="auto"/>
          <w:sz w:val="30"/>
          <w:szCs w:val="30"/>
        </w:rPr>
        <w:t xml:space="preserve">第五章 合同主要条款</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_Toc98255834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91</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924"/>
        <w:tabs>
          <w:tab w:val="right" w:pos="9629" w:leader="dot"/>
        </w:tabs>
        <w:rPr>
          <w:rFonts w:hint="eastAsia" w:ascii="宋体" w:hAnsi="宋体" w:eastAsia="宋体" w:cs="宋体"/>
          <w:szCs w:val="22"/>
        </w:rPr>
      </w:pPr>
      <w:r>
        <w:rPr>
          <w:rFonts w:hint="eastAsia" w:ascii="宋体" w:hAnsi="宋体" w:eastAsia="宋体" w:cs="宋体"/>
        </w:rPr>
        <w:fldChar w:fldCharType="begin"/>
      </w:r>
      <w:r>
        <w:rPr>
          <w:rFonts w:hint="eastAsia" w:ascii="宋体" w:hAnsi="宋体" w:eastAsia="宋体" w:cs="宋体"/>
        </w:rPr>
        <w:instrText xml:space="preserve"> HYPERLINK \l "_Toc98255835" </w:instrText>
      </w:r>
      <w:r>
        <w:rPr>
          <w:rFonts w:hint="eastAsia" w:ascii="宋体" w:hAnsi="宋体" w:eastAsia="宋体" w:cs="宋体"/>
        </w:rPr>
        <w:fldChar w:fldCharType="separate"/>
      </w:r>
      <w:r>
        <w:rPr>
          <w:rStyle w:val="933"/>
          <w:rFonts w:hint="eastAsia" w:ascii="宋体" w:hAnsi="宋体" w:eastAsia="宋体" w:cs="宋体"/>
          <w:b/>
          <w:color w:val="auto"/>
          <w:sz w:val="30"/>
          <w:szCs w:val="30"/>
        </w:rPr>
        <w:t xml:space="preserve">第六章 响应文件部分格式</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_Toc98255835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103</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spacing w:line="360" w:lineRule="auto"/>
        <w:rPr>
          <w:rFonts w:hint="eastAsia" w:ascii="宋体" w:hAnsi="宋体" w:eastAsia="宋体" w:cs="宋体"/>
          <w:sz w:val="32"/>
          <w:szCs w:val="32"/>
        </w:rPr>
      </w:pPr>
      <w:r>
        <w:rPr>
          <w:rFonts w:hint="eastAsia" w:ascii="宋体" w:hAnsi="宋体" w:eastAsia="宋体" w:cs="宋体"/>
          <w:sz w:val="32"/>
          <w:szCs w:val="32"/>
        </w:rPr>
        <w:fldChar w:fldCharType="end"/>
      </w:r>
      <w:r/>
    </w:p>
    <w:p>
      <w:pPr>
        <w:pStyle w:val="954"/>
        <w:rPr>
          <w:rFonts w:hint="eastAsia" w:ascii="宋体" w:hAnsi="宋体" w:eastAsia="宋体" w:cs="宋体"/>
        </w:rPr>
      </w:pPr>
      <w:r>
        <w:rPr>
          <w:rFonts w:hint="eastAsia" w:ascii="宋体" w:hAnsi="宋体" w:eastAsia="宋体" w:cs="宋体"/>
        </w:rPr>
        <w:br w:type="page" w:clear="all"/>
      </w:r>
      <w:r/>
    </w:p>
    <w:p>
      <w:pPr>
        <w:ind w:left="1533" w:firstLine="1767"/>
        <w:jc w:val="left"/>
        <w:rPr>
          <w:rFonts w:hint="eastAsia" w:ascii="宋体" w:hAnsi="宋体" w:eastAsia="宋体" w:cs="宋体"/>
          <w:b/>
          <w:sz w:val="32"/>
        </w:rPr>
        <w:outlineLvl w:val="0"/>
      </w:pPr>
      <w:r/>
      <w:bookmarkStart w:id="0" w:name="_Toc98255830"/>
      <w:r>
        <w:rPr>
          <w:rFonts w:hint="eastAsia" w:ascii="宋体" w:hAnsi="宋体" w:eastAsia="宋体" w:cs="宋体"/>
          <w:b/>
          <w:sz w:val="32"/>
        </w:rPr>
        <w:t xml:space="preserve">第一章 招标公告</w:t>
      </w:r>
      <w:bookmarkEnd w:id="0"/>
      <w:r/>
      <w:r/>
    </w:p>
    <w:p>
      <w:pPr>
        <w:ind w:firstLine="420"/>
        <w:spacing w:line="440" w:lineRule="exact"/>
        <w:rPr>
          <w:rFonts w:hint="eastAsia" w:ascii="宋体" w:hAnsi="宋体" w:eastAsia="宋体" w:cs="宋体"/>
          <w:b/>
          <w:szCs w:val="21"/>
        </w:rPr>
      </w:pPr>
      <w:r/>
      <w:bookmarkStart w:id="1" w:name="OLE_LINK1"/>
      <w:r>
        <w:rPr>
          <w:rFonts w:hint="eastAsia" w:ascii="宋体" w:hAnsi="宋体" w:eastAsia="宋体" w:cs="宋体"/>
        </w:rPr>
        <w:t xml:space="preserve">受</w:t>
      </w:r>
      <w:r>
        <w:rPr>
          <w:rFonts w:hint="eastAsia" w:ascii="宋体" w:hAnsi="宋体" w:eastAsia="宋体" w:cs="宋体"/>
          <w:u w:val="single"/>
        </w:rPr>
        <w:t xml:space="preserve">苏州市吴江区第四人民医院</w:t>
      </w:r>
      <w:r>
        <w:rPr>
          <w:rFonts w:hint="eastAsia" w:ascii="宋体" w:hAnsi="宋体" w:eastAsia="宋体" w:cs="宋体"/>
        </w:rPr>
        <w:t xml:space="preserve">的委托，</w:t>
      </w:r>
      <w:r>
        <w:rPr>
          <w:rFonts w:hint="eastAsia" w:ascii="宋体" w:hAnsi="宋体" w:eastAsia="宋体" w:cs="宋体"/>
          <w:u w:val="single"/>
        </w:rPr>
        <w:t xml:space="preserve">江苏祥和项目管理有限公司</w:t>
      </w:r>
      <w:r>
        <w:rPr>
          <w:rFonts w:hint="eastAsia" w:ascii="宋体" w:hAnsi="宋体" w:eastAsia="宋体" w:cs="宋体"/>
        </w:rPr>
        <w:t xml:space="preserve">就其所需的</w:t>
      </w:r>
      <w:r>
        <w:rPr>
          <w:rFonts w:hint="eastAsia" w:ascii="宋体" w:hAnsi="宋体" w:eastAsia="宋体" w:cs="宋体"/>
          <w:u w:val="single"/>
        </w:rPr>
        <w:t xml:space="preserve">吴江四院扩建工程-智能化二标段</w:t>
      </w:r>
      <w:r>
        <w:rPr>
          <w:rFonts w:hint="eastAsia" w:ascii="宋体" w:hAnsi="宋体" w:eastAsia="宋体" w:cs="宋体"/>
        </w:rPr>
        <w:t xml:space="preserve">采用</w:t>
      </w:r>
      <w:r>
        <w:rPr>
          <w:rFonts w:hint="eastAsia" w:ascii="宋体" w:hAnsi="宋体" w:eastAsia="宋体" w:cs="宋体"/>
          <w:u w:val="single"/>
        </w:rPr>
        <w:t xml:space="preserve">公开招标</w:t>
      </w:r>
      <w:r>
        <w:rPr>
          <w:rFonts w:hint="eastAsia" w:ascii="宋体" w:hAnsi="宋体" w:eastAsia="宋体" w:cs="宋体"/>
        </w:rPr>
        <w:t xml:space="preserve">方式进行采购，欢迎符合资格条件的供应商前来参加。</w:t>
      </w:r>
      <w:r/>
    </w:p>
    <w:p>
      <w:pPr>
        <w:ind w:firstLine="422"/>
        <w:spacing w:line="440" w:lineRule="exact"/>
        <w:rPr>
          <w:rFonts w:hint="eastAsia" w:ascii="宋体" w:hAnsi="宋体" w:eastAsia="宋体" w:cs="宋体"/>
          <w:b/>
          <w:szCs w:val="21"/>
        </w:rPr>
      </w:pPr>
      <w:r>
        <w:rPr>
          <w:rFonts w:hint="eastAsia" w:ascii="宋体" w:hAnsi="宋体" w:eastAsia="宋体" w:cs="宋体"/>
          <w:b/>
          <w:szCs w:val="21"/>
        </w:rPr>
        <w:t xml:space="preserve">一、项目基本情况</w:t>
      </w:r>
      <w:r/>
    </w:p>
    <w:p>
      <w:pPr>
        <w:ind w:firstLine="420"/>
        <w:spacing w:line="440" w:lineRule="exact"/>
        <w:rPr>
          <w:rFonts w:hint="eastAsia" w:ascii="宋体" w:hAnsi="宋体" w:eastAsia="宋体" w:cs="宋体"/>
          <w:szCs w:val="21"/>
          <w:highlight w:val="yellow"/>
        </w:rPr>
      </w:pPr>
      <w:r>
        <w:rPr>
          <w:rFonts w:hint="eastAsia" w:ascii="宋体" w:hAnsi="宋体" w:eastAsia="宋体" w:cs="宋体"/>
          <w:szCs w:val="21"/>
        </w:rPr>
        <w:t xml:space="preserve">项目编号：</w:t>
      </w:r>
      <w:r>
        <w:rPr>
          <w:rFonts w:hint="eastAsia" w:ascii="宋体" w:hAnsi="宋体" w:eastAsia="宋体" w:cs="宋体"/>
          <w:szCs w:val="21"/>
          <w:highlight w:val="yellow"/>
        </w:rPr>
        <w:t xml:space="preserve">JSXH2026-ZZ-GKZB-027</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项目名称：吴江四院扩建工程-智能化二标段</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采购方式：公开招标</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预算金额：</w:t>
      </w:r>
      <w:r>
        <w:rPr>
          <w:rFonts w:hint="eastAsia" w:ascii="宋体" w:hAnsi="宋体" w:eastAsia="宋体" w:cs="宋体"/>
          <w:color w:val="ff0000"/>
          <w:szCs w:val="21"/>
          <w:highlight w:val="yellow"/>
        </w:rPr>
        <w:t xml:space="preserve">人民币玖佰</w:t>
      </w:r>
      <w:r>
        <w:rPr>
          <w:rFonts w:hint="eastAsia" w:ascii="宋体" w:hAnsi="宋体" w:cs="宋体"/>
          <w:color w:val="ff0000"/>
          <w:szCs w:val="21"/>
          <w:highlight w:val="yellow"/>
          <w:lang w:val="en-US" w:eastAsia="zh-CN"/>
        </w:rPr>
        <w:t xml:space="preserve">肆</w:t>
      </w:r>
      <w:r>
        <w:rPr>
          <w:rFonts w:hint="eastAsia" w:ascii="宋体" w:hAnsi="宋体" w:eastAsia="宋体" w:cs="宋体"/>
          <w:color w:val="ff0000"/>
          <w:szCs w:val="21"/>
          <w:highlight w:val="yellow"/>
        </w:rPr>
        <w:t xml:space="preserve">拾</w:t>
      </w:r>
      <w:r>
        <w:rPr>
          <w:rFonts w:hint="eastAsia" w:ascii="宋体" w:hAnsi="宋体" w:cs="宋体"/>
          <w:color w:val="ff0000"/>
          <w:szCs w:val="21"/>
          <w:highlight w:val="yellow"/>
          <w:lang w:val="en-US" w:eastAsia="zh-CN"/>
        </w:rPr>
        <w:t xml:space="preserve">陆</w:t>
      </w:r>
      <w:r>
        <w:rPr>
          <w:rFonts w:hint="eastAsia" w:ascii="宋体" w:hAnsi="宋体" w:eastAsia="宋体" w:cs="宋体"/>
          <w:color w:val="ff0000"/>
          <w:szCs w:val="21"/>
          <w:highlight w:val="yellow"/>
        </w:rPr>
        <w:t xml:space="preserve">万</w:t>
      </w:r>
      <w:r>
        <w:rPr>
          <w:rFonts w:hint="eastAsia" w:ascii="宋体" w:hAnsi="宋体" w:cs="宋体"/>
          <w:color w:val="ff0000"/>
          <w:szCs w:val="21"/>
          <w:highlight w:val="yellow"/>
          <w:lang w:val="en-US" w:eastAsia="zh-CN"/>
        </w:rPr>
        <w:t xml:space="preserve">玖仟柒佰壹拾柒元叁角</w:t>
      </w:r>
      <w:r>
        <w:rPr>
          <w:rFonts w:hint="eastAsia" w:ascii="宋体" w:hAnsi="宋体" w:eastAsia="宋体" w:cs="宋体"/>
          <w:color w:val="ff0000"/>
          <w:szCs w:val="21"/>
          <w:highlight w:val="yellow"/>
        </w:rPr>
        <w:t xml:space="preserve">（小写：</w:t>
      </w:r>
      <w:r>
        <w:rPr>
          <w:rFonts w:hint="eastAsia" w:ascii="宋体" w:hAnsi="宋体" w:cs="宋体"/>
          <w:color w:val="ff0000"/>
          <w:szCs w:val="21"/>
          <w:highlight w:val="yellow"/>
          <w:lang w:val="en-US" w:eastAsia="zh-CN"/>
        </w:rPr>
        <w:t xml:space="preserve">9469717</w:t>
      </w:r>
      <w:r>
        <w:rPr>
          <w:rFonts w:hint="eastAsia" w:ascii="宋体" w:hAnsi="宋体" w:eastAsia="宋体" w:cs="宋体"/>
          <w:color w:val="ff0000"/>
          <w:szCs w:val="21"/>
          <w:highlight w:val="yellow"/>
        </w:rPr>
        <w:t xml:space="preserve">.3</w:t>
      </w:r>
      <w:r>
        <w:rPr>
          <w:rFonts w:hint="eastAsia" w:ascii="宋体" w:hAnsi="宋体" w:eastAsia="宋体" w:cs="宋体"/>
          <w:color w:val="ff0000"/>
          <w:szCs w:val="21"/>
          <w:highlight w:val="yellow"/>
          <w:lang w:val="en-US" w:eastAsia="zh-CN"/>
        </w:rPr>
        <w:t xml:space="preserve">0</w:t>
      </w:r>
      <w:r>
        <w:rPr>
          <w:rFonts w:hint="eastAsia" w:ascii="宋体" w:hAnsi="宋体" w:eastAsia="宋体" w:cs="宋体"/>
          <w:color w:val="ff0000"/>
          <w:szCs w:val="21"/>
          <w:highlight w:val="yellow"/>
        </w:rPr>
        <w:t xml:space="preserve">元）</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采购需求：吴江四院扩建工程-智能化二标段</w:t>
      </w:r>
      <w:r>
        <w:rPr>
          <w:rFonts w:hint="eastAsia" w:ascii="宋体" w:hAnsi="宋体" w:eastAsia="宋体" w:cs="宋体"/>
          <w:color w:val="000000"/>
        </w:rPr>
        <w:t xml:space="preserve">。</w:t>
      </w:r>
      <w:r>
        <w:rPr>
          <w:rFonts w:hint="eastAsia" w:ascii="宋体" w:hAnsi="宋体" w:eastAsia="宋体" w:cs="宋体"/>
          <w:szCs w:val="21"/>
        </w:rPr>
        <w:t xml:space="preserve">（具体详见采购文件第三章）</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合同履行期限：从合同签订之日开始至甲方验收通过。（具体按合同约定）</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本项目不接受联合体投标，不允许转包、分包。</w:t>
      </w:r>
      <w:r/>
    </w:p>
    <w:p>
      <w:pPr>
        <w:ind w:firstLine="422"/>
        <w:spacing w:line="440" w:lineRule="exact"/>
        <w:rPr>
          <w:rFonts w:hint="eastAsia" w:ascii="宋体" w:hAnsi="宋体" w:eastAsia="宋体" w:cs="宋体"/>
          <w:b/>
          <w:szCs w:val="21"/>
        </w:rPr>
      </w:pPr>
      <w:r>
        <w:rPr>
          <w:rFonts w:hint="eastAsia" w:ascii="宋体" w:hAnsi="宋体" w:eastAsia="宋体" w:cs="宋体"/>
          <w:b/>
          <w:szCs w:val="21"/>
        </w:rPr>
        <w:t xml:space="preserve">二、申请人的资格要求</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1.满足《中华人民共和国政府采购法》第二十二条规定：</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1.1具有独立承担民事责任的能力；</w:t>
      </w:r>
      <w:r/>
    </w:p>
    <w:p>
      <w:pPr>
        <w:ind w:firstLine="420"/>
        <w:spacing w:line="440" w:lineRule="exact"/>
        <w:tabs>
          <w:tab w:val="left" w:pos="540" w:leader="none"/>
        </w:tabs>
        <w:rPr>
          <w:rFonts w:hint="eastAsia" w:ascii="宋体" w:hAnsi="宋体" w:eastAsia="宋体" w:cs="宋体"/>
          <w:szCs w:val="21"/>
        </w:rPr>
      </w:pPr>
      <w:r>
        <w:rPr>
          <w:rFonts w:hint="eastAsia" w:ascii="宋体" w:hAnsi="宋体" w:eastAsia="宋体" w:cs="宋体"/>
          <w:szCs w:val="21"/>
        </w:rPr>
        <w:t xml:space="preserve">1.2具有良好的商业信誉和健全的财务会计制度；</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1.3具有履行合同所必需的设备和专业技术能力；</w:t>
      </w:r>
      <w:r/>
    </w:p>
    <w:p>
      <w:pPr>
        <w:ind w:firstLine="420"/>
        <w:spacing w:line="440" w:lineRule="exact"/>
        <w:tabs>
          <w:tab w:val="left" w:pos="540" w:leader="none"/>
        </w:tabs>
        <w:rPr>
          <w:rFonts w:hint="eastAsia" w:ascii="宋体" w:hAnsi="宋体" w:eastAsia="宋体" w:cs="宋体"/>
          <w:szCs w:val="21"/>
        </w:rPr>
      </w:pPr>
      <w:r>
        <w:rPr>
          <w:rFonts w:hint="eastAsia" w:ascii="宋体" w:hAnsi="宋体" w:eastAsia="宋体" w:cs="宋体"/>
          <w:szCs w:val="21"/>
        </w:rPr>
        <w:t xml:space="preserve">1.4有依法缴纳税收和社会保障资金的良好记录；</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1.5参加政府采购活动前三年内，在经营活动中没有重大违法记录；</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1.6法律、行政法规规定的其他条件。</w:t>
      </w:r>
      <w:r/>
    </w:p>
    <w:p>
      <w:pPr>
        <w:ind w:firstLine="424"/>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2.落实政府采购政策需满足的资格要求：无</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3.本项目的特定资格要求：无</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4.其他要求：</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4.1单位负责人为同一人或者存在直接控股、管理关系的不同供应商（包含法定代表人为同一个人的两个及两个以上法人，母公司、全资子公司及其控股公司），不得参加同一合同项下的政府采购活动。存在以上情形的，供应商的响应文件视为无效响应。</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4.2未被“信用中国”网站（www.creditchina.gov.cn）列入失信被执行人、重大税收违法案件当事人名单、政府采购严重失信行为记录名单。</w:t>
      </w:r>
      <w:r/>
    </w:p>
    <w:p>
      <w:pPr>
        <w:ind w:firstLine="422"/>
        <w:spacing w:line="440" w:lineRule="exact"/>
        <w:rPr>
          <w:rFonts w:hint="eastAsia" w:ascii="宋体" w:hAnsi="宋体" w:eastAsia="宋体" w:cs="宋体"/>
          <w:b/>
          <w:szCs w:val="21"/>
          <w:lang w:val="zh-CN"/>
        </w:rPr>
      </w:pPr>
      <w:r>
        <w:rPr>
          <w:rFonts w:hint="eastAsia" w:ascii="宋体" w:hAnsi="宋体" w:eastAsia="宋体" w:cs="宋体"/>
          <w:b/>
          <w:szCs w:val="21"/>
        </w:rPr>
        <w:t xml:space="preserve">三、采购文件的获取</w:t>
      </w:r>
      <w:r/>
    </w:p>
    <w:p>
      <w:pPr>
        <w:ind w:firstLine="420"/>
        <w:jc w:val="left"/>
        <w:spacing w:line="400" w:lineRule="exact"/>
        <w:widowControl/>
        <w:rPr>
          <w:rFonts w:hint="eastAsia" w:ascii="宋体" w:hAnsi="宋体" w:eastAsia="宋体" w:cs="宋体"/>
          <w:color w:val="000000"/>
          <w:szCs w:val="21"/>
          <w:u w:val="single"/>
        </w:rPr>
      </w:pPr>
      <w:r>
        <w:rPr>
          <w:rFonts w:hint="eastAsia" w:ascii="宋体" w:hAnsi="宋体" w:eastAsia="宋体" w:cs="宋体"/>
          <w:color w:val="000000"/>
          <w:szCs w:val="21"/>
        </w:rPr>
        <w:t xml:space="preserve">1.本项目实行供应商网上报名，网上报名截止时间2026年10月28日17</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30（北京时间）</w:t>
      </w:r>
      <w:r/>
    </w:p>
    <w:p>
      <w:pPr>
        <w:ind w:firstLine="422"/>
        <w:jc w:val="left"/>
        <w:spacing w:line="400" w:lineRule="exac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2.报名流程：</w:t>
      </w:r>
      <w:r/>
    </w:p>
    <w:p>
      <w:pPr>
        <w:ind w:firstLine="422"/>
        <w:jc w:val="left"/>
        <w:spacing w:line="400" w:lineRule="exac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（1）CA证书办理 </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供应商参</w:t>
      </w:r>
      <w:r>
        <w:rPr>
          <w:rFonts w:hint="eastAsia" w:ascii="宋体" w:hAnsi="宋体" w:eastAsia="宋体" w:cs="宋体"/>
          <w:color w:val="000000"/>
          <w:szCs w:val="21"/>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p>
    <w:p>
      <w:pPr>
        <w:ind w:firstLine="422"/>
        <w:jc w:val="left"/>
        <w:spacing w:line="400" w:lineRule="exac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（2）参与采购活动 </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2"/>
        <w:jc w:val="left"/>
        <w:spacing w:line="400" w:lineRule="exac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（3）电子投标准备 </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//czju.suzhou.gov.cn/zfcg/html/content/20231220161910031.shtml）。 </w:t>
      </w:r>
      <w:r/>
    </w:p>
    <w:p>
      <w:pPr>
        <w:ind w:firstLine="422"/>
        <w:jc w:val="left"/>
        <w:spacing w:line="400" w:lineRule="exact"/>
        <w:widowControl/>
        <w:rPr>
          <w:rFonts w:hint="eastAsia" w:ascii="宋体" w:hAnsi="宋体" w:eastAsia="宋体" w:cs="宋体"/>
          <w:color w:val="000000"/>
          <w:szCs w:val="21"/>
        </w:rPr>
      </w:pPr>
      <w:r>
        <w:rPr>
          <w:rFonts w:hint="eastAsia" w:ascii="宋体" w:hAnsi="宋体" w:eastAsia="宋体" w:cs="宋体"/>
          <w:b/>
          <w:bCs/>
          <w:color w:val="000000"/>
          <w:szCs w:val="21"/>
        </w:rPr>
        <w:t xml:space="preserve">（4）补充通知</w:t>
      </w:r>
      <w:r>
        <w:rPr>
          <w:rFonts w:hint="eastAsia" w:ascii="宋体" w:hAnsi="宋体" w:eastAsia="宋体" w:cs="宋体"/>
          <w:color w:val="000000"/>
          <w:szCs w:val="21"/>
        </w:rPr>
        <w:t xml:space="preserve">（如有）。成功获取招标文件的供应商通过“苏州市政府采购网”或“苏采云”系统自行查看所报项目的补充通知。</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3.在网上报名和招标过程中如有疑问，请按以下方式联系：</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注册咨询：18261002950； </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CA技术咨询电话：400-608-6099； </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签章使用问题：025-83633811、025-83633812、15380932027、15371015030； </w:t>
      </w:r>
      <w:r/>
    </w:p>
    <w:p>
      <w:pPr>
        <w:ind w:firstLine="420"/>
        <w:jc w:val="left"/>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系统使用指导与咨询：联系电话：18261002950；QQ：3048755361、1315179389、895706745。</w:t>
      </w:r>
      <w:r/>
    </w:p>
    <w:p>
      <w:pPr>
        <w:ind w:firstLine="422"/>
        <w:spacing w:line="440" w:lineRule="exact"/>
        <w:rPr>
          <w:rFonts w:hint="eastAsia" w:ascii="宋体" w:hAnsi="宋体" w:eastAsia="宋体" w:cs="宋体"/>
          <w:b/>
          <w:szCs w:val="21"/>
        </w:rPr>
      </w:pPr>
      <w:r>
        <w:rPr>
          <w:rFonts w:hint="eastAsia" w:ascii="宋体" w:hAnsi="宋体" w:eastAsia="宋体" w:cs="宋体"/>
          <w:b/>
          <w:szCs w:val="21"/>
        </w:rPr>
        <w:t xml:space="preserve">四、提交响应文件截止时间和地点</w:t>
      </w:r>
      <w:r/>
    </w:p>
    <w:p>
      <w:pPr>
        <w:pStyle w:val="914"/>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1.递交响应文件截止时间：</w:t>
      </w:r>
      <w:r>
        <w:rPr>
          <w:rFonts w:hint="eastAsia" w:ascii="宋体" w:hAnsi="宋体" w:eastAsia="宋体" w:cs="宋体"/>
          <w:bCs/>
          <w:color w:val="000000"/>
          <w:sz w:val="21"/>
          <w:szCs w:val="21"/>
          <w:u w:val="single"/>
        </w:rPr>
        <w:t xml:space="preserve">2026年10月29日09</w:t>
      </w:r>
      <w:r>
        <w:rPr>
          <w:rFonts w:hint="eastAsia" w:ascii="宋体" w:hAnsi="宋体" w:eastAsia="宋体" w:cs="宋体"/>
          <w:bCs/>
          <w:color w:val="000000"/>
          <w:sz w:val="21"/>
          <w:szCs w:val="21"/>
          <w:u w:val="single"/>
          <w:lang w:eastAsia="zh-CN"/>
        </w:rPr>
        <w:t xml:space="preserve">：</w:t>
      </w:r>
      <w:r>
        <w:rPr>
          <w:rFonts w:hint="eastAsia" w:ascii="宋体" w:hAnsi="宋体" w:eastAsia="宋体" w:cs="宋体"/>
          <w:bCs/>
          <w:color w:val="000000"/>
          <w:sz w:val="21"/>
          <w:szCs w:val="21"/>
          <w:u w:val="single"/>
        </w:rPr>
        <w:t xml:space="preserve">30（北京时间）</w:t>
      </w:r>
      <w:r>
        <w:rPr>
          <w:rFonts w:hint="eastAsia" w:ascii="宋体" w:hAnsi="宋体" w:eastAsia="宋体" w:cs="宋体"/>
          <w:bCs/>
          <w:color w:val="000000"/>
          <w:sz w:val="21"/>
          <w:szCs w:val="21"/>
        </w:rPr>
        <w:t xml:space="preserve">；</w:t>
      </w:r>
      <w:r/>
    </w:p>
    <w:p>
      <w:pPr>
        <w:pStyle w:val="914"/>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2.地点：</w:t>
      </w:r>
      <w:r>
        <w:rPr>
          <w:rFonts w:hint="eastAsia" w:ascii="宋体" w:hAnsi="宋体" w:eastAsia="宋体" w:cs="宋体"/>
          <w:b/>
          <w:bCs/>
          <w:color w:val="000000"/>
          <w:sz w:val="21"/>
          <w:szCs w:val="21"/>
        </w:rPr>
        <w:t xml:space="preserve">“苏采云”系统（网址：http</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//jszfcg.jsczt.cn）</w:t>
      </w:r>
      <w:r>
        <w:rPr>
          <w:rFonts w:hint="eastAsia" w:ascii="宋体" w:hAnsi="宋体" w:eastAsia="宋体" w:cs="宋体"/>
          <w:bCs/>
          <w:color w:val="000000"/>
          <w:sz w:val="21"/>
          <w:szCs w:val="21"/>
        </w:rPr>
        <w:t xml:space="preserve">。响应文件网上递交，不需要现场参加采购活动，无需提供纸质响应文件。</w:t>
      </w:r>
      <w:r/>
    </w:p>
    <w:p>
      <w:pPr>
        <w:pStyle w:val="914"/>
        <w:spacing w:line="360" w:lineRule="auto"/>
        <w:rPr>
          <w:rFonts w:hint="eastAsia" w:ascii="宋体" w:hAnsi="宋体" w:eastAsia="宋体" w:cs="宋体"/>
          <w:b/>
          <w:bCs/>
          <w:color w:val="000000"/>
          <w:sz w:val="21"/>
          <w:szCs w:val="21"/>
        </w:rPr>
      </w:pPr>
      <w:r>
        <w:rPr>
          <w:rFonts w:hint="eastAsia" w:ascii="宋体" w:hAnsi="宋体" w:eastAsia="宋体" w:cs="宋体"/>
          <w:bCs/>
          <w:color w:val="000000"/>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000000"/>
          <w:sz w:val="21"/>
          <w:szCs w:val="21"/>
        </w:rPr>
        <w:t xml:space="preserve">供应商应充分考虑网络环境、网络带宽等风险因素，如因供应商自身原因造成的电子响应文件上传不成功由供应商自行承担全部责任。</w:t>
      </w:r>
      <w:r/>
    </w:p>
    <w:p>
      <w:pPr>
        <w:ind w:firstLine="422"/>
        <w:spacing w:line="440" w:lineRule="exact"/>
        <w:rPr>
          <w:rFonts w:hint="eastAsia" w:ascii="宋体" w:hAnsi="宋体" w:eastAsia="宋体" w:cs="宋体"/>
          <w:b/>
          <w:szCs w:val="21"/>
        </w:rPr>
      </w:pPr>
      <w:r>
        <w:rPr>
          <w:rFonts w:hint="eastAsia" w:ascii="宋体" w:hAnsi="宋体" w:eastAsia="宋体" w:cs="宋体"/>
          <w:b/>
          <w:szCs w:val="21"/>
        </w:rPr>
        <w:t xml:space="preserve">五、开启</w:t>
      </w:r>
      <w:r/>
    </w:p>
    <w:p>
      <w:pPr>
        <w:pStyle w:val="914"/>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1.时间：</w:t>
      </w:r>
      <w:r>
        <w:rPr>
          <w:rFonts w:hint="eastAsia" w:ascii="宋体" w:hAnsi="宋体" w:eastAsia="宋体" w:cs="宋体"/>
          <w:bCs/>
          <w:color w:val="000000"/>
          <w:sz w:val="21"/>
          <w:szCs w:val="21"/>
          <w:u w:val="single"/>
        </w:rPr>
        <w:t xml:space="preserve">2026年10月29日09</w:t>
      </w:r>
      <w:r>
        <w:rPr>
          <w:rFonts w:hint="eastAsia" w:ascii="宋体" w:hAnsi="宋体" w:eastAsia="宋体" w:cs="宋体"/>
          <w:bCs/>
          <w:color w:val="000000"/>
          <w:sz w:val="21"/>
          <w:szCs w:val="21"/>
          <w:u w:val="single"/>
          <w:lang w:eastAsia="zh-CN"/>
        </w:rPr>
        <w:t xml:space="preserve">：</w:t>
      </w:r>
      <w:r>
        <w:rPr>
          <w:rFonts w:hint="eastAsia" w:ascii="宋体" w:hAnsi="宋体" w:eastAsia="宋体" w:cs="宋体"/>
          <w:bCs/>
          <w:color w:val="000000"/>
          <w:sz w:val="21"/>
          <w:szCs w:val="21"/>
          <w:u w:val="single"/>
        </w:rPr>
        <w:t xml:space="preserve">30（北京时间）</w:t>
      </w:r>
      <w:r>
        <w:rPr>
          <w:rFonts w:hint="eastAsia" w:ascii="宋体" w:hAnsi="宋体" w:eastAsia="宋体" w:cs="宋体"/>
          <w:bCs/>
          <w:color w:val="000000"/>
          <w:sz w:val="21"/>
          <w:szCs w:val="21"/>
        </w:rPr>
        <w:t xml:space="preserve">；</w:t>
      </w:r>
      <w:r/>
    </w:p>
    <w:p>
      <w:pPr>
        <w:pStyle w:val="914"/>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2.地点：“苏采云”系统（网址：http</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//jszfcg.jsczt.cn/）</w:t>
      </w:r>
      <w:r/>
    </w:p>
    <w:p>
      <w:pPr>
        <w:pStyle w:val="914"/>
        <w:spacing w:line="360" w:lineRule="auto"/>
        <w:rPr>
          <w:rFonts w:hint="eastAsia" w:ascii="宋体" w:hAnsi="宋体" w:eastAsia="宋体" w:cs="宋体"/>
          <w:b/>
          <w:color w:val="000000"/>
          <w:sz w:val="21"/>
          <w:szCs w:val="21"/>
        </w:rPr>
      </w:pPr>
      <w:r>
        <w:rPr>
          <w:rFonts w:hint="eastAsia" w:ascii="宋体" w:hAnsi="宋体" w:eastAsia="宋体" w:cs="宋体"/>
          <w:bCs/>
          <w:color w:val="000000"/>
          <w:sz w:val="21"/>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1"/>
          <w:szCs w:val="21"/>
        </w:rPr>
        <w:t xml:space="preserve">本项目为不见面招标项目，</w:t>
      </w:r>
      <w:r>
        <w:rPr>
          <w:rFonts w:hint="eastAsia" w:ascii="宋体" w:hAnsi="宋体" w:eastAsia="宋体" w:cs="宋体"/>
          <w:b/>
          <w:color w:val="000000"/>
          <w:sz w:val="21"/>
          <w:szCs w:val="21"/>
        </w:rPr>
        <w:t xml:space="preserve">开</w:t>
      </w:r>
      <w:r>
        <w:rPr>
          <w:rFonts w:hint="eastAsia" w:ascii="宋体" w:hAnsi="宋体" w:eastAsia="宋体" w:cs="宋体"/>
          <w:b/>
          <w:color w:val="000000"/>
          <w:szCs w:val="21"/>
        </w:rPr>
        <w:t xml:space="preserve">启</w:t>
      </w:r>
      <w:r>
        <w:rPr>
          <w:rFonts w:hint="eastAsia" w:ascii="宋体" w:hAnsi="宋体" w:eastAsia="宋体" w:cs="宋体"/>
          <w:b/>
          <w:color w:val="000000"/>
          <w:sz w:val="21"/>
          <w:szCs w:val="21"/>
        </w:rPr>
        <w:t xml:space="preserve">阶段供应商在【供应商解密】环节必须使用 CA证书解密电子</w:t>
      </w:r>
      <w:r>
        <w:rPr>
          <w:rFonts w:hint="eastAsia" w:ascii="宋体" w:hAnsi="宋体" w:eastAsia="宋体" w:cs="宋体"/>
          <w:b/>
          <w:color w:val="000000"/>
          <w:szCs w:val="21"/>
        </w:rPr>
        <w:t xml:space="preserve">响应</w:t>
      </w:r>
      <w:r>
        <w:rPr>
          <w:rFonts w:hint="eastAsia" w:ascii="宋体" w:hAnsi="宋体" w:eastAsia="宋体" w:cs="宋体"/>
          <w:b/>
          <w:color w:val="000000"/>
          <w:sz w:val="21"/>
          <w:szCs w:val="21"/>
        </w:rPr>
        <w:t xml:space="preserve">文件，如在系统规定的解密时间内未能完成解密的视为放弃参与本项目。</w:t>
      </w:r>
      <w:r/>
    </w:p>
    <w:p>
      <w:pPr>
        <w:pStyle w:val="914"/>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请供应商确保电脑、系统及其他设备（视频输入输出设备等）无误，且开启直至项目结束始终保持系统在线状态。</w:t>
      </w:r>
      <w:r/>
    </w:p>
    <w:p>
      <w:pPr>
        <w:ind w:firstLine="422"/>
        <w:spacing w:line="440" w:lineRule="exact"/>
        <w:rPr>
          <w:rFonts w:hint="eastAsia" w:ascii="宋体" w:hAnsi="宋体" w:eastAsia="宋体" w:cs="宋体"/>
          <w:b/>
          <w:szCs w:val="21"/>
        </w:rPr>
      </w:pPr>
      <w:r>
        <w:rPr>
          <w:rFonts w:hint="eastAsia" w:ascii="宋体" w:hAnsi="宋体" w:eastAsia="宋体" w:cs="宋体"/>
          <w:b/>
          <w:szCs w:val="21"/>
        </w:rPr>
        <w:t xml:space="preserve">六、公告期限</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自本公告发布之日起5个工作日。</w:t>
      </w:r>
      <w:r/>
    </w:p>
    <w:p>
      <w:pPr>
        <w:ind w:firstLine="422"/>
        <w:spacing w:line="440" w:lineRule="exact"/>
        <w:rPr>
          <w:rFonts w:hint="eastAsia" w:ascii="宋体" w:hAnsi="宋体" w:eastAsia="宋体" w:cs="宋体"/>
          <w:b/>
          <w:szCs w:val="21"/>
          <w:lang w:val="zh-CN"/>
        </w:rPr>
      </w:pPr>
      <w:r>
        <w:rPr>
          <w:rFonts w:hint="eastAsia" w:ascii="宋体" w:hAnsi="宋体" w:eastAsia="宋体" w:cs="宋体"/>
          <w:b/>
          <w:szCs w:val="21"/>
        </w:rPr>
        <w:t xml:space="preserve">七、其他补充事宜</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1.本项目获取采购文件截止日期之后仍可以下载采购文件，但截止日期之后下载的采购文件，视为非有效方式且不作为供应商权益受到损害的证明材料和依据。</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2.本采购信息公告媒体江苏政府采购网、</w:t>
      </w:r>
      <w:r>
        <w:rPr>
          <w:rFonts w:hint="eastAsia" w:ascii="宋体" w:hAnsi="宋体" w:eastAsia="宋体" w:cs="宋体"/>
          <w:color w:val="000000"/>
          <w:szCs w:val="21"/>
        </w:rPr>
        <w:t xml:space="preserve">中国招标投标公共服务平台</w:t>
      </w:r>
      <w:r>
        <w:rPr>
          <w:rFonts w:hint="eastAsia" w:ascii="宋体" w:hAnsi="宋体" w:eastAsia="宋体" w:cs="宋体"/>
          <w:bCs/>
          <w:color w:val="000000"/>
          <w:szCs w:val="21"/>
        </w:rPr>
        <w:t xml:space="preserve">。</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3.本项目由</w:t>
      </w:r>
      <w:r>
        <w:rPr>
          <w:rFonts w:hint="eastAsia" w:ascii="宋体" w:hAnsi="宋体" w:eastAsia="宋体" w:cs="宋体"/>
          <w:szCs w:val="21"/>
        </w:rPr>
        <w:t xml:space="preserve">江苏祥和项目管理有限公司</w:t>
      </w:r>
      <w:r>
        <w:rPr>
          <w:rFonts w:hint="eastAsia" w:ascii="宋体" w:hAnsi="宋体" w:eastAsia="宋体" w:cs="宋体"/>
          <w:bCs/>
          <w:color w:val="000000"/>
          <w:szCs w:val="21"/>
        </w:rPr>
        <w:t xml:space="preserve">代理。</w:t>
      </w:r>
      <w:r/>
    </w:p>
    <w:p>
      <w:pPr>
        <w:ind w:firstLine="420"/>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4.质疑联系方式：</w:t>
      </w:r>
      <w:r/>
    </w:p>
    <w:p>
      <w:pPr>
        <w:ind w:left="372" w:firstLine="424"/>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质疑按《中华人民共和国财政部令第94号－－政府采购质疑和投诉办法》中相关规定提出，供应商应在法定质疑期内一次性提出针对同一采购程序环节的质疑，质疑函（必须附投标供应商确认函）现场提交或邮寄至本公司。供应商打印、保留“投标供应商确认函”质疑时与质疑函一并提交。</w:t>
      </w:r>
      <w:r/>
    </w:p>
    <w:p>
      <w:pPr>
        <w:ind w:left="372" w:firstLine="1"/>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地址：</w:t>
      </w:r>
      <w:r>
        <w:rPr>
          <w:rFonts w:hint="eastAsia" w:ascii="宋体" w:hAnsi="宋体" w:eastAsia="宋体" w:cs="宋体"/>
          <w:szCs w:val="21"/>
        </w:rPr>
        <w:t xml:space="preserve">苏州市吴江区领袖云谷21栋1户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项目联系人：董毅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电话：18762303034</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八、对本次招标提出询问，请按以下方式联系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1.采购人信息</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名称：苏州市吴江区第四人民医院</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地址：江苏省苏州市吴江区镇南一路1333号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联系方式：15862695311</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2.采购代理机构信息</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名称：江苏祥和项目管理有限公司</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地址：苏州市吴江区领袖云谷21栋1户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联系方式：董毅  18762303034</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3.项目联系方式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项目联系人：董毅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电话：18762303034</w:t>
      </w:r>
      <w:r/>
    </w:p>
    <w:p>
      <w:pPr>
        <w:ind w:firstLine="420"/>
        <w:jc w:val="left"/>
        <w:spacing w:line="440" w:lineRule="exact"/>
        <w:tabs>
          <w:tab w:val="left" w:pos="540" w:leader="none"/>
        </w:tabs>
        <w:rPr>
          <w:rFonts w:hint="eastAsia" w:ascii="宋体" w:hAnsi="宋体" w:eastAsia="宋体" w:cs="宋体"/>
          <w:szCs w:val="21"/>
        </w:rPr>
      </w:pPr>
      <w:r>
        <w:rPr>
          <w:rFonts w:hint="eastAsia" w:ascii="宋体" w:hAnsi="宋体" w:eastAsia="宋体" w:cs="宋体"/>
          <w:szCs w:val="21"/>
        </w:rPr>
        <w:t xml:space="preserve">本次采购的有关信息将在</w:t>
      </w:r>
      <w:r>
        <w:rPr>
          <w:rFonts w:hint="eastAsia" w:ascii="宋体" w:hAnsi="宋体" w:eastAsia="宋体" w:cs="宋体"/>
          <w:bCs/>
          <w:color w:val="000000"/>
          <w:szCs w:val="21"/>
        </w:rPr>
        <w:t xml:space="preserve">江苏政府采购网、</w:t>
      </w:r>
      <w:r>
        <w:rPr>
          <w:rFonts w:hint="eastAsia" w:ascii="宋体" w:hAnsi="宋体" w:eastAsia="宋体" w:cs="宋体"/>
          <w:color w:val="000000"/>
          <w:szCs w:val="21"/>
        </w:rPr>
        <w:t xml:space="preserve">中国招标投标公共服务平台</w:t>
      </w:r>
      <w:r>
        <w:rPr>
          <w:rFonts w:hint="eastAsia" w:ascii="宋体" w:hAnsi="宋体" w:eastAsia="宋体" w:cs="宋体"/>
          <w:szCs w:val="21"/>
        </w:rPr>
        <w:t xml:space="preserve">媒体上发布，敬请留意，请各单位获取本次采购文件后，认真阅读各项内容，进行必要准备工作，按文件的要求详细填写和编制响应文件，并按以上确定的时间、地点准时参加投标。</w:t>
      </w:r>
      <w:bookmarkEnd w:id="1"/>
      <w:r/>
      <w:r/>
    </w:p>
    <w:p>
      <w:pPr>
        <w:jc w:val="left"/>
        <w:widowControl/>
        <w:rPr>
          <w:rFonts w:hint="eastAsia" w:ascii="宋体" w:hAnsi="宋体" w:eastAsia="宋体" w:cs="宋体"/>
          <w:b/>
          <w:sz w:val="32"/>
        </w:rPr>
      </w:pPr>
      <w:r/>
      <w:bookmarkStart w:id="2" w:name="_Toc98255831"/>
      <w:r>
        <w:rPr>
          <w:rFonts w:hint="eastAsia" w:ascii="宋体" w:hAnsi="宋体" w:eastAsia="宋体" w:cs="宋体"/>
          <w:b/>
          <w:sz w:val="32"/>
        </w:rPr>
        <w:br w:type="page" w:clear="all"/>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t xml:space="preserve">第二章 供应商须知</w:t>
      </w:r>
      <w:bookmarkEnd w:id="2"/>
      <w:r/>
      <w:r/>
    </w:p>
    <w:p>
      <w:pPr>
        <w:ind w:firstLine="422"/>
        <w:spacing w:line="400" w:lineRule="exact"/>
        <w:rPr>
          <w:rFonts w:hint="eastAsia" w:ascii="宋体" w:hAnsi="宋体" w:eastAsia="宋体" w:cs="宋体"/>
          <w:bCs/>
          <w:color w:val="000000"/>
          <w:szCs w:val="21"/>
        </w:rPr>
      </w:pPr>
      <w:r/>
      <w:bookmarkStart w:id="3" w:name="_Toc98255832"/>
      <w:r>
        <w:rPr>
          <w:rFonts w:hint="eastAsia" w:ascii="宋体" w:hAnsi="宋体" w:eastAsia="宋体" w:cs="宋体"/>
          <w:b/>
          <w:bCs/>
          <w:color w:val="000000"/>
          <w:szCs w:val="21"/>
        </w:rPr>
        <w:t xml:space="preserve">1.转包与分包与</w:t>
      </w:r>
      <w:r>
        <w:rPr>
          <w:rFonts w:hint="eastAsia" w:ascii="宋体" w:hAnsi="宋体" w:eastAsia="宋体" w:cs="宋体"/>
          <w:b/>
          <w:color w:val="000000"/>
          <w:szCs w:val="21"/>
        </w:rPr>
        <w:t xml:space="preserve">招标费用</w:t>
      </w:r>
      <w:r/>
    </w:p>
    <w:p>
      <w:pPr>
        <w:pStyle w:val="991"/>
        <w:ind w:firstLine="31680"/>
        <w:spacing w:line="400" w:lineRule="exact"/>
        <w:rPr>
          <w:rFonts w:hint="eastAsia" w:ascii="宋体" w:hAnsi="宋体" w:eastAsia="宋体" w:cs="宋体"/>
          <w:color w:val="000000"/>
        </w:rPr>
      </w:pPr>
      <w:r>
        <w:rPr>
          <w:rFonts w:hint="eastAsia" w:ascii="宋体" w:hAnsi="宋体" w:eastAsia="宋体" w:cs="宋体"/>
          <w:color w:val="000000"/>
        </w:rPr>
        <w:t xml:space="preserve">1.1.本项目不允许转包或分包。</w:t>
      </w:r>
      <w:r/>
    </w:p>
    <w:p>
      <w:pPr>
        <w:pStyle w:val="914"/>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1.2.无论招标过程中的做法和结果如何，供应商自行承担所有与参加招标有关的全部费用。</w:t>
      </w:r>
      <w:r/>
    </w:p>
    <w:p>
      <w:pPr>
        <w:ind w:firstLine="422"/>
        <w:spacing w:line="400" w:lineRule="exact"/>
        <w:rPr>
          <w:rFonts w:hint="eastAsia" w:ascii="宋体" w:hAnsi="宋体" w:eastAsia="宋体" w:cs="宋体"/>
          <w:b/>
          <w:color w:val="000000"/>
          <w:szCs w:val="21"/>
        </w:rPr>
      </w:pPr>
      <w:r>
        <w:rPr>
          <w:rFonts w:hint="eastAsia" w:ascii="宋体" w:hAnsi="宋体" w:eastAsia="宋体" w:cs="宋体"/>
          <w:b/>
          <w:color w:val="000000"/>
          <w:szCs w:val="21"/>
        </w:rPr>
      </w:r>
      <w:r/>
    </w:p>
    <w:p>
      <w:pPr>
        <w:ind w:firstLine="422"/>
        <w:spacing w:line="40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2.</w:t>
      </w:r>
      <w:r>
        <w:rPr>
          <w:rFonts w:hint="eastAsia" w:ascii="宋体" w:hAnsi="宋体" w:eastAsia="宋体" w:cs="宋体"/>
          <w:b/>
          <w:bCs/>
          <w:color w:val="000000"/>
          <w:szCs w:val="21"/>
        </w:rPr>
        <w:t xml:space="preserve">★</w:t>
      </w:r>
      <w:r>
        <w:rPr>
          <w:rFonts w:hint="eastAsia" w:ascii="宋体" w:hAnsi="宋体" w:eastAsia="宋体" w:cs="宋体"/>
          <w:b/>
          <w:color w:val="000000"/>
          <w:szCs w:val="21"/>
        </w:rPr>
        <w:t xml:space="preserve">招标文件</w:t>
      </w:r>
      <w:r/>
    </w:p>
    <w:p>
      <w:pPr>
        <w:pStyle w:val="955"/>
        <w:ind w:firstLine="31680"/>
        <w:spacing w:line="400" w:lineRule="exact"/>
        <w:rPr>
          <w:rFonts w:hint="eastAsia" w:ascii="宋体" w:hAnsi="宋体" w:eastAsia="宋体" w:cs="宋体"/>
          <w:color w:val="000000"/>
          <w:szCs w:val="21"/>
          <w:lang w:val="en-US"/>
        </w:rPr>
      </w:pPr>
      <w:r>
        <w:rPr>
          <w:rFonts w:hint="eastAsia" w:ascii="宋体" w:hAnsi="宋体" w:eastAsia="宋体" w:cs="宋体"/>
          <w:color w:val="000000"/>
          <w:szCs w:val="21"/>
          <w:lang w:val="en-US"/>
        </w:rPr>
        <w:t xml:space="preserve">2.1.招标文件的内容如下：</w:t>
      </w:r>
      <w:r/>
    </w:p>
    <w:p>
      <w:pPr>
        <w:pStyle w:val="955"/>
        <w:ind w:firstLine="31680"/>
        <w:spacing w:line="400" w:lineRule="exact"/>
        <w:rPr>
          <w:rFonts w:hint="eastAsia" w:ascii="宋体" w:hAnsi="宋体" w:eastAsia="宋体" w:cs="宋体"/>
          <w:color w:val="000000"/>
          <w:szCs w:val="21"/>
          <w:lang w:val="en-US"/>
        </w:rPr>
      </w:pPr>
      <w:r>
        <w:rPr>
          <w:rFonts w:hint="eastAsia" w:ascii="宋体" w:hAnsi="宋体" w:eastAsia="宋体" w:cs="宋体"/>
          <w:color w:val="000000"/>
          <w:szCs w:val="21"/>
          <w:lang w:val="en-US"/>
        </w:rPr>
        <w:t xml:space="preserve">第一章 招标公告</w:t>
      </w:r>
      <w:r/>
    </w:p>
    <w:p>
      <w:pPr>
        <w:pStyle w:val="955"/>
        <w:ind w:firstLine="31680"/>
        <w:spacing w:line="400" w:lineRule="exact"/>
        <w:rPr>
          <w:rFonts w:hint="eastAsia" w:ascii="宋体" w:hAnsi="宋体" w:eastAsia="宋体" w:cs="宋体"/>
          <w:color w:val="000000"/>
          <w:szCs w:val="21"/>
          <w:lang w:val="en-US"/>
        </w:rPr>
      </w:pPr>
      <w:r>
        <w:rPr>
          <w:rFonts w:hint="eastAsia" w:ascii="宋体" w:hAnsi="宋体" w:eastAsia="宋体" w:cs="宋体"/>
          <w:color w:val="000000"/>
          <w:szCs w:val="21"/>
          <w:lang w:val="en-US"/>
        </w:rPr>
        <w:t xml:space="preserve">第二章 供应商须知</w:t>
      </w:r>
      <w:r/>
    </w:p>
    <w:p>
      <w:pPr>
        <w:pStyle w:val="955"/>
        <w:ind w:firstLine="31680"/>
        <w:spacing w:line="400" w:lineRule="exact"/>
        <w:rPr>
          <w:rFonts w:hint="eastAsia" w:ascii="宋体" w:hAnsi="宋体" w:eastAsia="宋体" w:cs="宋体"/>
          <w:color w:val="000000"/>
          <w:szCs w:val="21"/>
          <w:lang w:val="en-US"/>
        </w:rPr>
      </w:pPr>
      <w:r>
        <w:rPr>
          <w:rFonts w:hint="eastAsia" w:ascii="宋体" w:hAnsi="宋体" w:eastAsia="宋体" w:cs="宋体"/>
          <w:color w:val="000000"/>
          <w:szCs w:val="21"/>
          <w:lang w:val="en-US"/>
        </w:rPr>
        <w:t xml:space="preserve">第三章 采购需求</w:t>
      </w:r>
      <w:r/>
    </w:p>
    <w:p>
      <w:pPr>
        <w:pStyle w:val="955"/>
        <w:ind w:firstLine="31680"/>
        <w:spacing w:line="400" w:lineRule="exact"/>
        <w:rPr>
          <w:rFonts w:hint="eastAsia" w:ascii="宋体" w:hAnsi="宋体" w:eastAsia="宋体" w:cs="宋体"/>
          <w:color w:val="000000"/>
          <w:szCs w:val="21"/>
          <w:lang w:val="en-US"/>
        </w:rPr>
      </w:pPr>
      <w:r>
        <w:rPr>
          <w:rFonts w:hint="eastAsia" w:ascii="宋体" w:hAnsi="宋体" w:eastAsia="宋体" w:cs="宋体"/>
          <w:color w:val="000000"/>
          <w:szCs w:val="21"/>
          <w:lang w:val="en-US"/>
        </w:rPr>
        <w:t xml:space="preserve">第四章 评标办法及评分标准</w:t>
      </w:r>
      <w:r/>
    </w:p>
    <w:p>
      <w:pPr>
        <w:pStyle w:val="955"/>
        <w:ind w:firstLine="31680"/>
        <w:spacing w:line="400" w:lineRule="exact"/>
        <w:rPr>
          <w:rFonts w:hint="eastAsia" w:ascii="宋体" w:hAnsi="宋体" w:eastAsia="宋体" w:cs="宋体"/>
          <w:color w:val="000000"/>
          <w:szCs w:val="21"/>
          <w:lang w:val="en-US"/>
        </w:rPr>
      </w:pPr>
      <w:r>
        <w:rPr>
          <w:rFonts w:hint="eastAsia" w:ascii="宋体" w:hAnsi="宋体" w:eastAsia="宋体" w:cs="宋体"/>
          <w:color w:val="000000"/>
          <w:szCs w:val="21"/>
          <w:lang w:val="en-US"/>
        </w:rPr>
        <w:t xml:space="preserve">第五章 合同主要条款</w:t>
      </w:r>
      <w:r/>
    </w:p>
    <w:p>
      <w:pPr>
        <w:pStyle w:val="955"/>
        <w:ind w:firstLine="31680"/>
        <w:spacing w:line="400" w:lineRule="exact"/>
        <w:rPr>
          <w:rFonts w:hint="eastAsia" w:ascii="宋体" w:hAnsi="宋体" w:eastAsia="宋体" w:cs="宋体"/>
          <w:color w:val="000000"/>
          <w:szCs w:val="21"/>
          <w:lang w:val="en-US"/>
        </w:rPr>
      </w:pPr>
      <w:r>
        <w:rPr>
          <w:rFonts w:hint="eastAsia" w:ascii="宋体" w:hAnsi="宋体" w:eastAsia="宋体" w:cs="宋体"/>
          <w:color w:val="000000"/>
          <w:szCs w:val="21"/>
          <w:lang w:val="en-US"/>
        </w:rPr>
        <w:t xml:space="preserve">第六章 响应文件部分格式</w:t>
      </w:r>
      <w:r/>
    </w:p>
    <w:p>
      <w:pPr>
        <w:pStyle w:val="914"/>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供应商获取招标文件后，应仔细检查招标文件的所有内容，如有残缺等问题应向招标采购单位提出，否则，由此产生的影响由供应商自己承担。供应商同时应认真审阅文件中所有的事项、格式、条款和规范要求等，若供应商的响应文件没有按招标文件要求提交全部资料，或响应文件没有对招标文件做出实质性响应，其风险由供应商自行承担，并根据有关条款规定，该响应有可能被拒绝。</w:t>
      </w:r>
      <w:r/>
    </w:p>
    <w:p>
      <w:pPr>
        <w:ind w:firstLine="422"/>
        <w:spacing w:line="400" w:lineRule="exact"/>
        <w:rPr>
          <w:rFonts w:hint="eastAsia" w:ascii="宋体" w:hAnsi="宋体" w:eastAsia="宋体" w:cs="宋体"/>
          <w:b/>
          <w:color w:val="000000"/>
          <w:szCs w:val="21"/>
        </w:rPr>
      </w:pPr>
      <w:r>
        <w:rPr>
          <w:rFonts w:hint="eastAsia" w:ascii="宋体" w:hAnsi="宋体" w:eastAsia="宋体" w:cs="宋体"/>
          <w:b/>
          <w:color w:val="000000"/>
          <w:szCs w:val="21"/>
        </w:rPr>
      </w:r>
      <w:r/>
    </w:p>
    <w:p>
      <w:pPr>
        <w:ind w:firstLine="422"/>
        <w:spacing w:line="40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3.</w:t>
      </w:r>
      <w:r>
        <w:rPr>
          <w:rFonts w:hint="eastAsia" w:ascii="宋体" w:hAnsi="宋体" w:eastAsia="宋体" w:cs="宋体"/>
          <w:b/>
          <w:bCs/>
          <w:color w:val="000000"/>
          <w:szCs w:val="21"/>
        </w:rPr>
        <w:t xml:space="preserve">★</w:t>
      </w:r>
      <w:r>
        <w:rPr>
          <w:rFonts w:hint="eastAsia" w:ascii="宋体" w:hAnsi="宋体" w:eastAsia="宋体" w:cs="宋体"/>
          <w:b/>
          <w:color w:val="000000"/>
          <w:szCs w:val="21"/>
        </w:rPr>
        <w:t xml:space="preserve">招标文件的澄清和修改</w:t>
      </w:r>
      <w:r/>
    </w:p>
    <w:p>
      <w:pPr>
        <w:pStyle w:val="914"/>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提交首次响应文件截止之日前，采购人、采购代理机构或者招标小组可以对已发出的招标文件进行必要的澄清或者修改，澄清或者修改的内容作为招标文件的组成部分。澄清或者修改的内容可能影响响应文件编制的，采购人、采购代理机构应当在提交首次响应文件截止时间至少5日前，以书面形式通知所有获取招标文件的供应商；不足5日的，采购人、采购代理机构应当顺延提交首次响应文件截止时间。</w:t>
      </w:r>
      <w:r/>
    </w:p>
    <w:p>
      <w:pPr>
        <w:pStyle w:val="914"/>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3.2.招标文件的澄清、修改等内容与竞争性招标文件在同一内容的表述上不一致时，以发出日期最接近招标时间的公告为准。</w:t>
      </w:r>
      <w:r/>
    </w:p>
    <w:p>
      <w:pPr>
        <w:pStyle w:val="914"/>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3.3.招标文件的澄清、修改等内容均将在财政部门指定的政府采购信息发布媒体上发布，作为招标文件的组成部分，对供应商起约束作用。</w:t>
      </w:r>
      <w:r/>
    </w:p>
    <w:p>
      <w:pPr>
        <w:ind w:firstLine="422"/>
        <w:spacing w:line="400" w:lineRule="exact"/>
        <w:rPr>
          <w:rFonts w:hint="eastAsia" w:ascii="宋体" w:hAnsi="宋体" w:eastAsia="宋体" w:cs="宋体"/>
          <w:b/>
          <w:color w:val="000000"/>
          <w:szCs w:val="21"/>
        </w:rPr>
      </w:pPr>
      <w:r>
        <w:rPr>
          <w:rFonts w:hint="eastAsia" w:ascii="宋体" w:hAnsi="宋体" w:eastAsia="宋体" w:cs="宋体"/>
          <w:b/>
          <w:color w:val="000000"/>
          <w:szCs w:val="21"/>
        </w:rPr>
      </w:r>
      <w:r/>
    </w:p>
    <w:p>
      <w:pPr>
        <w:ind w:firstLine="422"/>
        <w:spacing w:line="40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4.★响应文件计量单位和使用文字</w:t>
      </w:r>
      <w:r/>
    </w:p>
    <w:p>
      <w:pPr>
        <w:pStyle w:val="914"/>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4.1.响应文件中所使用的计量单位，除竞争性招标文件中有特殊要求外，均应使用中华人民共和国法定计量单位。</w:t>
      </w:r>
      <w:r/>
    </w:p>
    <w:p>
      <w:pPr>
        <w:pStyle w:val="914"/>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4.2.响应文件应使用中文编制，响应文件中使用其他文字的，必须附有中文译本，且以中文译本为准。对于未附有中文译本和中文译本不准确的响应文件可能引起的对供应商不利的后果，招标采购单位概不负责。</w:t>
      </w:r>
      <w:r/>
    </w:p>
    <w:p>
      <w:pPr>
        <w:pStyle w:val="914"/>
        <w:ind w:firstLine="422"/>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14"/>
        <w:ind w:firstLine="422"/>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5.响应文件的组成及要求</w:t>
      </w:r>
      <w:r/>
    </w:p>
    <w:p>
      <w:pPr>
        <w:pStyle w:val="914"/>
        <w:ind w:firstLine="422"/>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5.1封面</w:t>
      </w:r>
      <w:r/>
    </w:p>
    <w:p>
      <w:pPr>
        <w:pStyle w:val="914"/>
        <w:ind w:firstLine="422"/>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5.2投标报价表</w:t>
      </w:r>
      <w:r/>
    </w:p>
    <w:p>
      <w:pPr>
        <w:pStyle w:val="914"/>
        <w:ind w:firstLine="422"/>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5.3资格审查响应文件</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5.3.1具有独立承担民事责任的能力证明。</w:t>
      </w:r>
      <w:r>
        <w:rPr>
          <w:rFonts w:hint="eastAsia" w:ascii="宋体" w:hAnsi="宋体" w:eastAsia="宋体" w:cs="宋体"/>
          <w:b/>
          <w:color w:val="000000"/>
          <w:sz w:val="21"/>
          <w:szCs w:val="21"/>
        </w:rPr>
        <w:t xml:space="preserve">提供营业执照或事业单位法人证等法人证明材料（复印件加盖公章）；</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5.3.2具有良好的商业信誉和健全的财务会计制度证明</w:t>
      </w:r>
      <w:r>
        <w:rPr>
          <w:rFonts w:hint="eastAsia" w:ascii="宋体" w:hAnsi="宋体" w:eastAsia="宋体" w:cs="宋体"/>
          <w:b/>
          <w:color w:val="000000"/>
          <w:sz w:val="21"/>
          <w:szCs w:val="21"/>
        </w:rPr>
        <w:t xml:space="preserve">（提供最近一期财务报告，其他组织、自然人及成立未满一年的法人应提供银行出具的资信证明）</w:t>
      </w:r>
      <w:r>
        <w:rPr>
          <w:rFonts w:hint="eastAsia" w:ascii="宋体" w:hAnsi="宋体" w:eastAsia="宋体" w:cs="宋体"/>
          <w:bCs/>
          <w:color w:val="000000"/>
          <w:sz w:val="21"/>
          <w:szCs w:val="21"/>
        </w:rPr>
        <w:t xml:space="preserve">；</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5.3.3有依法缴纳税收和社会保障资金的良好记录</w:t>
      </w:r>
      <w:r>
        <w:rPr>
          <w:rFonts w:hint="eastAsia" w:ascii="宋体" w:hAnsi="宋体" w:eastAsia="宋体" w:cs="宋体"/>
          <w:b/>
          <w:color w:val="000000"/>
          <w:sz w:val="21"/>
          <w:szCs w:val="21"/>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000000"/>
          <w:sz w:val="21"/>
          <w:szCs w:val="21"/>
        </w:rPr>
        <w:t xml:space="preserve">；</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5.3.4</w:t>
      </w:r>
      <w:r>
        <w:rPr>
          <w:rFonts w:hint="eastAsia" w:ascii="宋体" w:hAnsi="宋体" w:eastAsia="宋体" w:cs="宋体"/>
          <w:color w:val="000000"/>
          <w:sz w:val="21"/>
          <w:szCs w:val="21"/>
        </w:rPr>
        <w:t xml:space="preserve">具有</w:t>
      </w:r>
      <w:r>
        <w:rPr>
          <w:rFonts w:hint="eastAsia" w:ascii="宋体" w:hAnsi="宋体" w:eastAsia="宋体" w:cs="宋体"/>
          <w:bCs/>
          <w:color w:val="000000"/>
          <w:sz w:val="21"/>
          <w:szCs w:val="21"/>
        </w:rPr>
        <w:t xml:space="preserve">履行合同所必需的设备和专业技术能力的证明材料或承诺；</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5.3.5参加政府采购活动前三年内在经营活动中没有重大违法记录的书面声明函；</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5.3.6法律、行政法规规定的其他条件；</w:t>
      </w:r>
      <w:r/>
    </w:p>
    <w:p>
      <w:pPr>
        <w:pStyle w:val="914"/>
        <w:ind w:firstLine="422"/>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5.3.8本项目的特定资格要求：无</w:t>
      </w:r>
      <w:r/>
    </w:p>
    <w:p>
      <w:pPr>
        <w:pStyle w:val="914"/>
        <w:ind w:firstLine="422"/>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5.4符合性审查响应文件</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5.4.1</w:t>
      </w:r>
      <w:r>
        <w:rPr>
          <w:rFonts w:hint="eastAsia" w:ascii="宋体" w:hAnsi="宋体" w:eastAsia="宋体" w:cs="宋体"/>
          <w:color w:val="000000"/>
          <w:sz w:val="21"/>
          <w:szCs w:val="21"/>
        </w:rPr>
        <w:t xml:space="preserve">响应报价分析表（格式见第三章）</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5.4.2</w:t>
      </w:r>
      <w:r>
        <w:rPr>
          <w:rFonts w:hint="eastAsia" w:ascii="宋体" w:hAnsi="宋体" w:eastAsia="宋体" w:cs="宋体"/>
          <w:color w:val="000000"/>
          <w:sz w:val="21"/>
          <w:szCs w:val="21"/>
        </w:rPr>
        <w:t xml:space="preserve">招标响应承诺书（格式见第三章）；</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5.4.3响应单位法定代表人身份证复印件；</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5.4.4法定代表人授权委托书（如有授权，格式见第三章）；</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5.4.5响应单位授权代理人身份证复印件（如有授权）；</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w:t>
      </w:r>
      <w:r>
        <w:rPr>
          <w:rFonts w:hint="eastAsia" w:ascii="宋体" w:hAnsi="宋体" w:eastAsia="宋体" w:cs="宋体"/>
          <w:color w:val="000000"/>
          <w:sz w:val="21"/>
          <w:szCs w:val="21"/>
        </w:rPr>
        <w:t xml:space="preserve">4.6</w:t>
      </w:r>
      <w:r>
        <w:rPr>
          <w:rFonts w:hint="eastAsia" w:ascii="宋体" w:hAnsi="宋体" w:eastAsia="宋体" w:cs="宋体"/>
          <w:bCs/>
          <w:color w:val="000000"/>
          <w:sz w:val="21"/>
          <w:szCs w:val="21"/>
        </w:rPr>
        <w:t xml:space="preserve">关于资格文件的声明函（格式见第三章）；</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5.</w:t>
      </w:r>
      <w:r>
        <w:rPr>
          <w:rFonts w:hint="eastAsia" w:ascii="宋体" w:hAnsi="宋体" w:eastAsia="宋体" w:cs="宋体"/>
          <w:color w:val="000000"/>
          <w:sz w:val="21"/>
          <w:szCs w:val="21"/>
        </w:rPr>
        <w:t xml:space="preserve">4.7</w:t>
      </w:r>
      <w:r>
        <w:rPr>
          <w:rFonts w:hint="eastAsia" w:ascii="宋体" w:hAnsi="宋体" w:eastAsia="宋体" w:cs="宋体"/>
          <w:bCs/>
          <w:color w:val="000000"/>
          <w:sz w:val="21"/>
          <w:szCs w:val="21"/>
        </w:rPr>
        <w:t xml:space="preserve">响应单位基本情况表（格式见第三章）；</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5.</w:t>
      </w:r>
      <w:r>
        <w:rPr>
          <w:rFonts w:hint="eastAsia" w:ascii="宋体" w:hAnsi="宋体" w:eastAsia="宋体" w:cs="宋体"/>
          <w:color w:val="000000"/>
          <w:sz w:val="21"/>
          <w:szCs w:val="21"/>
        </w:rPr>
        <w:t xml:space="preserve">4.8偏离表（格式见第三章）；</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5.</w:t>
      </w:r>
      <w:r>
        <w:rPr>
          <w:rFonts w:hint="eastAsia" w:ascii="宋体" w:hAnsi="宋体" w:eastAsia="宋体" w:cs="宋体"/>
          <w:color w:val="000000"/>
          <w:sz w:val="21"/>
          <w:szCs w:val="21"/>
        </w:rPr>
        <w:t xml:space="preserve">4.9实质性条款（承诺函）；</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5.</w:t>
      </w:r>
      <w:r>
        <w:rPr>
          <w:rFonts w:hint="eastAsia" w:ascii="宋体" w:hAnsi="宋体" w:eastAsia="宋体" w:cs="宋体"/>
          <w:color w:val="000000"/>
          <w:sz w:val="21"/>
          <w:szCs w:val="21"/>
        </w:rPr>
        <w:t xml:space="preserve">4.10其他有关符合性证明的文件（投标（响应）保证承诺书等）；</w:t>
      </w:r>
      <w:r/>
    </w:p>
    <w:p>
      <w:pPr>
        <w:pStyle w:val="914"/>
        <w:ind w:firstLine="422"/>
        <w:spacing w:line="440" w:lineRule="exact"/>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注：</w:t>
      </w:r>
      <w:r>
        <w:rPr>
          <w:rFonts w:hint="eastAsia" w:ascii="宋体" w:hAnsi="宋体" w:eastAsia="宋体" w:cs="宋体"/>
          <w:b/>
          <w:bCs/>
          <w:color w:val="000000"/>
          <w:sz w:val="21"/>
          <w:szCs w:val="21"/>
        </w:rPr>
        <w:t xml:space="preserve">（1）以上5.3.1-5.3.8为资格审查要求提供的材料，是作为对供应商资格审查、质疑身份认定的依据，响应供应商必须提供并加盖电子公章。否则，招标响应文件将被认定为不符合资格审查要求。</w:t>
      </w:r>
      <w:r/>
    </w:p>
    <w:p>
      <w:pPr>
        <w:pStyle w:val="914"/>
        <w:numPr>
          <w:ilvl w:val="0"/>
          <w:numId w:val="3"/>
        </w:numPr>
        <w:ind w:firstLine="843"/>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以上5.4.1-5.4.10为符合性审查须提供的资料，响应供应商必须提供并加盖电子公章。否则，招标响应文件将被认定为未实质性响应。</w:t>
      </w:r>
      <w:r/>
    </w:p>
    <w:p>
      <w:pPr>
        <w:pStyle w:val="914"/>
        <w:numPr>
          <w:ilvl w:val="0"/>
          <w:numId w:val="3"/>
        </w:numPr>
        <w:ind w:firstLine="843"/>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制作电子响应文件时必须与投标文件制作软件目录一一对应，将相关资料上传至相应模块。</w:t>
      </w:r>
      <w:r/>
    </w:p>
    <w:p>
      <w:pPr>
        <w:pStyle w:val="914"/>
        <w:ind w:firstLine="843"/>
        <w:spacing w:line="440" w:lineRule="exact"/>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（4）招标响应文件编制要求：</w:t>
      </w:r>
      <w:r>
        <w:rPr>
          <w:rFonts w:hint="eastAsia" w:ascii="宋体" w:hAnsi="宋体" w:eastAsia="宋体" w:cs="宋体"/>
          <w:bCs/>
          <w:color w:val="000000"/>
          <w:sz w:val="21"/>
          <w:szCs w:val="21"/>
        </w:rPr>
        <w:t xml:space="preserve">本项目采用电子招投标形式，请供应商按照《苏采云系统供应商操作手册》进行制作、上传电子响应文件。</w:t>
      </w:r>
      <w:r>
        <w:rPr>
          <w:rFonts w:hint="eastAsia" w:ascii="宋体" w:hAnsi="宋体" w:eastAsia="宋体" w:cs="宋体"/>
          <w:b/>
          <w:bCs/>
          <w:color w:val="000000"/>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 w:val="21"/>
          <w:szCs w:val="21"/>
        </w:rPr>
        <w:t xml:space="preserve">供应商应充分考虑网络环境、网络带宽等风险因素，如因供应商自身原因造成的电子响应文件上传不成功由供应商自行承担全部责任。</w:t>
      </w:r>
      <w:r>
        <w:rPr>
          <w:rFonts w:hint="eastAsia" w:ascii="宋体" w:hAnsi="宋体" w:eastAsia="宋体" w:cs="宋体"/>
          <w:b/>
          <w:color w:val="000000"/>
          <w:sz w:val="21"/>
          <w:szCs w:val="21"/>
        </w:rPr>
        <w:t xml:space="preserve">注：具体投标文件编制教程查看苏采云系统中的客户端使用说明和供应商《操作手册》。</w:t>
      </w:r>
      <w:r/>
    </w:p>
    <w:p>
      <w:pPr>
        <w:pStyle w:val="914"/>
        <w:ind w:firstLine="843"/>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（5）招标过程中如有问题采购代理机构工作人员会及时通知《投标供应商确认函》留存的手机号与供应商联系。请供应商确保该手机号招标当日通信畅通，否则导致对供应商不利的后果由供应商自行承担。</w:t>
      </w:r>
      <w:r/>
    </w:p>
    <w:p>
      <w:pPr>
        <w:pStyle w:val="914"/>
        <w:ind w:firstLine="422"/>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14"/>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6.响应文件的解密与评审</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6.1采购代理机构按本须知规定的时间、地点主持招标采购活动。</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6.2供应商通过“苏采云”系统在线参与招标活动。供应商应当按照《苏采云系统供应商操作手册》规定在 “苏采云”系统规定的时间内对响应文件进行解密。</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6.3在招标响应文件网上递交截止时间止成功解密的招标供应商少于三家，则本次采购失败。</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6.4由招标小组审查供应商解密的响应文件。</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6.5招标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招标小组并非对每个供应商都做澄清要求。</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6.6招标小组要求供应商澄清、说明或者更正响应文件应当以书面形式做出。供应商的澄清、说明或者更正应当由其单位加盖电子公章。</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
          <w:color w:val="000000"/>
          <w:sz w:val="21"/>
          <w:szCs w:val="21"/>
        </w:rPr>
        <w:t xml:space="preserve">本项目供应商的澄清、说明或者补正采用线上澄清：招标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6.7对响应文件的审查</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6.7.1响应文件审查分为资格审查和符合性审查。</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6.7.1.1 资格审查：由招标小组依据法律法规和招标文件的规定，对响应文件中的资格证明文件进行审查，以确定供应商是否具备参加招标的资格。</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招标小组在进行资格审查的同时，将在“信用中国”网站（www.creditchina.gov.cn）查询供应商的信用记录，以确定供应商是否具备招标资格，查询结果留存并归档。</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6.7.1.2 符合性审查：依据招标文件的规定，由招标小组从响应文件的有效性、完整性和对招标文件的响应程度进行审查，以确定是否对招标文件的实质性要求作出响应。</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6.7.1.3 未通过资格审查或符合性审查的供应商，招标小组将在苏采云系统中告知未通过资格审查或符合性审查的原因，评审结束后，招标小组将不再告知未通过资格审查或符合性审查的原因。</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6.7.2在详细评审之前，招标小组将首先审查每份响应文件是否实质性响应了招标文件的要求。实质性响应的响应文件应该与招标文件要求的条款、条件和规格相符，没有重大偏离或保留。</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所谓重大偏离或保留是指与招标文件规定的实质性要求存在负偏离，或者在实质上与招标文件不一致，而且限制了合同中买方和代理公司的权利或供应商的义务，纠正这些偏离或保留将会对其他实质性响应要求的供应商的竞争地位产生不公正的影响。重大偏离由招标小组按照少数服从多数的原则认定。招标小组决定响应文件的响应性只根据响应文件本身的内容，而不寻求外部的证据。</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对于通过资格审查和符合性审查的供应商，招标小组所有成员集中与单一供应商分别进行招标，并给予所有参加招标的供应商平等的招标机会。</w:t>
      </w:r>
      <w:r>
        <w:rPr>
          <w:rFonts w:hint="eastAsia" w:ascii="宋体" w:hAnsi="宋体" w:eastAsia="宋体" w:cs="宋体"/>
          <w:b/>
          <w:color w:val="000000"/>
          <w:sz w:val="21"/>
          <w:szCs w:val="21"/>
        </w:rPr>
        <w:t xml:space="preserve">招标小组通过“苏采云”系统向供应商发布“招标函”，供应商应当按照要求在“苏采云”系统提交“招标响应函”并加盖CA电子公章。</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6.8在招标过程中，招标小组可以根据采购文件和招标情况实质性变动采购需求中的技术、服务要求以及合同草案条款。对采购文件做出的实质性变动是采购文件的有效组成部分，招标小组将在“苏采云”系统中同时通知所有参加招标的供应商，供应商应当按照招标文件的变动情况和招标小组的要求在“苏采云”系统中重新提交响应文件，并加盖CA电子公章。</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6.9经招标确定最终采购需求的供应商后，由招标小组采用最低评标价法对供应商的响应文件评分。</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6.10招标小组根据招标成交原则确定成交供应商，并将结果通知所有参加招标的供应商。</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6.11评审过程的保密与公正</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6.11.1招标小组、采购人和代理公司工作人员、相关监督人员等与评审工作有关的人员，对评审情况以及在评审过程中获悉的国家秘密、商业秘密负有保密责任。</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6.11.2在评审过程中，供应商不得以任何行为影响招标评审过程，否则其响应文件将被作为无效响应文件。</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6.11.3在项目评审期间，代理公司将设专门人员与供应商联系。</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6.11.4 代理公司和招标小组不向未成交的供应商解释未成交原因，也不公布评审过程中的相关细节。</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8.12如招标过程中出现本采购文件未尽事宜，由招标小组根据政府采购有关法律法规讨论决定。</w:t>
      </w:r>
      <w:r/>
    </w:p>
    <w:p>
      <w:pPr>
        <w:pStyle w:val="914"/>
        <w:spacing w:line="440" w:lineRule="exact"/>
        <w:rPr>
          <w:rFonts w:hint="eastAsia" w:ascii="宋体" w:hAnsi="宋体" w:eastAsia="宋体" w:cs="宋体"/>
          <w:b/>
          <w:color w:val="000000"/>
          <w:sz w:val="21"/>
          <w:szCs w:val="21"/>
        </w:rPr>
      </w:pPr>
      <w:r>
        <w:rPr>
          <w:rFonts w:hint="eastAsia" w:ascii="宋体" w:hAnsi="宋体" w:eastAsia="宋体" w:cs="宋体"/>
          <w:bCs/>
          <w:color w:val="000000"/>
          <w:sz w:val="21"/>
          <w:szCs w:val="21"/>
        </w:rPr>
        <w:t xml:space="preserve"> 7</w:t>
      </w:r>
      <w:r>
        <w:rPr>
          <w:rFonts w:hint="eastAsia" w:ascii="宋体" w:hAnsi="宋体" w:eastAsia="宋体" w:cs="宋体"/>
          <w:b/>
          <w:color w:val="000000"/>
          <w:sz w:val="21"/>
          <w:szCs w:val="21"/>
        </w:rPr>
        <w:t xml:space="preserve">.未实质性响应招标文件的情形</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7.1供应商在苏采云系统规定的时间内未成功解密电子响应文件的。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7.2供应商未按照招标文件要求上传电子响应文件的。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7.3同一供应商提交两个（含两个）以上不同的响应文件的。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7.4供应商不具备招标文件中规定资格要求的。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7.5供应商的报价超过了采购预算或最高限价。</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7.6不符合招标文件中规定的实质性要求和条件的。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7.8响应文件含有采购人不能接受的附加条件的。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7.9本项目采购产品被财政部、国家发展改革委、生态环境部等列入“节能产品品目清单”“环境标志产品品目清单”强制采购范围，而招标供应商所招标产品不在强制采购范围内的。（招标产品如属于政府强制采购节能产品品目清单范围内，招标响应文件中必须提供国家确定的认证机构出具的、处于有效期之内的该节能产品认证证书图片）</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7.10响应文件未按照招标文件要求加盖CA电子公章或签署的。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7.11法律法规和招标文件规定的其他无效情形。</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7.12未实质性响应招标文件的响应文件按无效响应处理。</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注：</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①如果响应文件实质上没有响应招标文件的要求，招标小组将予以拒绝，供应商不得通过修改或撤销不合要求的偏离或保留而使其成为实质性响应的文件。</w:t>
      </w:r>
      <w:r/>
    </w:p>
    <w:p>
      <w:pPr>
        <w:pStyle w:val="914"/>
        <w:ind w:firstLine="42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②供应商在项目评审全过程中应保持通信畅通，并安排专人与代理公司及招标小组联系。</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p>
    <w:p>
      <w:pPr>
        <w:pStyle w:val="914"/>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8.项目的终止</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8.1出现下列情形之一的，本次竞争性招标采购活动将被终止：</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8.1.1因情况变化，不再符合规定的竞争性招标采购方式适用情形的。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8.1.2出现影响采购公正的违法、违规行为的。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8.1.3除“符合《政府采购竞争性招标采购方式管理暂行办法》第三条第一款第四项及《财政部关于竞争性招标采购方式管理暂行办法有关问题的补充通知》（财库〔2015〕124号）规定情形的，提交最后报价的供应商可以为2家。”情形外，在采购过程中符合要求的供应商或者最后报价未超过采购预算的供应商不足3家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8.1.4在苏采云系统规定时间内成功解密电子响应文件的供应商不足3家的。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8.1.5供应商的报价均超过了采购预算，采购人不能支付的； </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8.1.6因重大变故，采购任务取消的。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8.2供应商应当遵循公平竞争的原则，不得恶意串通，不得妨碍其他供应商的竞争行为，不得损害采购人或者其他供应商的合法权益。</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8.3在评审过程中发现供应商有下述情形的，招标小组应当认定其响应无效，并书面报告本级财政部门。</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8.4有下列情形之一的，视为供应商串通投标，其响应无效：</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8.4.1不同供应商的响应文件由同一单位或者个人编制；</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8.4.2不同供应商委托同一单位或者个人办理投标事宜；</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8.4.3不同供应商的响应文件载明的项目管理成员或者联系人员为同一人；</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8.4.4不同供应商的响应文件异常一致或者报价呈规律性差异；</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8.4.5不同供应商的响应文件相互混装。</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p>
    <w:p>
      <w:pPr>
        <w:pStyle w:val="914"/>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9.成交</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9.1确定成交单位</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9.1.1招标小组根据招标成交原则确定成交供应商，并将结果通知所有参加招标的供应商。</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9.2若有充分证据证明，成交供应商出现下列情况之一的，一经查实，将被取消成交资格：</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9.2.1提供虚假材料谋取成交的。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9.2.2与评审专家、采购人、其他供应商或者代理公司工作人员恶意串通的。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9.2.3向评审专家、采购人或代理公司工作人员行贿或者提供其他不正当利益的。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9.2.4恶意竞争，最后报价明显低于其自身合理成本且又无法提供证明的。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9.2.5不满足本招标文件规定的实质性要求，但在评审过程中又未被招标小组发现的。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9.2.6成交后无正当理由拒不与采购人签订政府采购合同或者未按照招标文件确定的事项签订政府采购合同的。</w:t>
      </w:r>
      <w:r/>
    </w:p>
    <w:p>
      <w:pPr>
        <w:pStyle w:val="914"/>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9.2.7将政府采购合同转包的。</w:t>
      </w:r>
      <w:r/>
    </w:p>
    <w:p>
      <w:pPr>
        <w:pStyle w:val="914"/>
        <w:ind w:firstLine="422"/>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14"/>
        <w:ind w:firstLine="422"/>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10.质疑处理</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10.2本次采购文件要求供应商在法定质疑期内一次性提出针对同一采购程序环节的质疑，否则不予受理。</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10.3供应商提出质疑应当提交质疑函和必要的证明材料，质疑函应当包括下列内容：</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10.3.1供应商的姓名或者名称（以提供的营业执照副本复印件为准）、地址、邮编、联系人及联系电话；</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10.3.2质疑项目的名称、编号；</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10.3.3具体、明确的质疑事项和与质疑事项相关的请求；</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10.3.4事实依据；</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10.3.5必要的法律依据；</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10.3.6提出质疑的日期。</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sz w:val="21"/>
          <w:szCs w:val="21"/>
        </w:rPr>
        <w:t xml:space="preserve">授权委托书</w:t>
      </w:r>
      <w:r>
        <w:rPr>
          <w:rFonts w:hint="eastAsia" w:ascii="宋体" w:hAnsi="宋体" w:eastAsia="宋体" w:cs="宋体"/>
          <w:color w:val="000000"/>
          <w:sz w:val="21"/>
          <w:szCs w:val="21"/>
        </w:rPr>
        <w:t xml:space="preserve">上应当载明代理人的姓名或者名称、代理事项、具体权限、期限和相关事项。</w:t>
      </w:r>
      <w:r/>
    </w:p>
    <w:p>
      <w:pPr>
        <w:pStyle w:val="914"/>
        <w:ind w:firstLine="422"/>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供应商提交的质疑函必须按照《政府采购供应商质疑函范本》要求的格式和内容进行填写，质疑函范本下载网址详见链接：https</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rPr>
        <w:t xml:space="preserve">//czju.suzhou.gov.cn/zfcg/html/content/20180305093615738.shtml</w:t>
      </w:r>
      <w:r>
        <w:rPr>
          <w:rFonts w:hint="eastAsia" w:ascii="宋体" w:hAnsi="宋体" w:eastAsia="宋体" w:cs="宋体"/>
          <w:color w:val="000000"/>
          <w:sz w:val="21"/>
          <w:szCs w:val="21"/>
        </w:rPr>
        <w:t xml:space="preserve">。</w:t>
      </w:r>
      <w:r/>
    </w:p>
    <w:p>
      <w:pPr>
        <w:pStyle w:val="914"/>
        <w:spacing w:line="440" w:lineRule="exact"/>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10.4根据《政府采购质疑和投诉办法》（财政部第94号令）第十一条规定，提出质疑的供应商应当是参与所质疑项目采购活动的供应商。因此凡是对采购文件提出质疑的供应商，必须依法获取采购文件，请将合法获取采购文件的证明材料（即</w:t>
      </w:r>
      <w:r>
        <w:rPr>
          <w:rFonts w:hint="eastAsia" w:ascii="宋体" w:hAnsi="宋体" w:eastAsia="宋体" w:cs="宋体"/>
          <w:b/>
          <w:color w:val="000000"/>
          <w:sz w:val="21"/>
          <w:szCs w:val="21"/>
        </w:rPr>
        <w:t xml:space="preserve">《投标供应商确认函》</w:t>
      </w:r>
      <w:r>
        <w:rPr>
          <w:rFonts w:hint="eastAsia" w:ascii="宋体" w:hAnsi="宋体" w:eastAsia="宋体" w:cs="宋体"/>
          <w:color w:val="000000"/>
          <w:sz w:val="21"/>
          <w:szCs w:val="21"/>
        </w:rPr>
        <w:t xml:space="preserve">）与质疑函一起递交，否则不予受理。</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10.5接收质疑函的方式：书面形式（当场送达或邮寄方式）</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质疑联系人：董毅</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联系电话：18762303034</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现场递交地址：苏州市吴江区领袖云谷 21 栋 1 户</w:t>
      </w:r>
      <w:r/>
    </w:p>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邮寄收取地址：苏州市吴江区领袖云谷 21 栋 1 户</w:t>
      </w:r>
      <w:r/>
    </w:p>
    <w:p>
      <w:pPr>
        <w:pStyle w:val="914"/>
        <w:ind w:firstLine="422"/>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14"/>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11.响应无效和终止招标活动条款</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11.1响应人存在下列情况之一的，响应无效：</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11.1.1未按照竞争性招标文件规定要求签署、盖章的；</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11.1.2供应商不具备竞争性招标文件中规定资格条件的；</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11.1.3报价超过招标文件中规定的预算金额或者最高限价的；</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11.1.4响应文件含有采购人不能接受的附加条件；</w:t>
      </w:r>
      <w:r/>
    </w:p>
    <w:p>
      <w:pPr>
        <w:pStyle w:val="1006"/>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11.1.5因招标响应单位自身原因导致网上招标响应文件无法递交的其他情况；</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11.1.6不符合法律法规和竞争性招标文件中规定的其他实质性要求的；</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11.1.7法律法规及本竞争性招标文件规定的其他无效的情形。</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11.2响应人应当遵循公平竞争的原则，不得恶意串通，不得妨碍其他响应人的竞争行为，不得损害采购人或者其他响应人的合法权益。</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招标过程中发现响应人有上述情形的，招标小组应当认定其响应无效，并书面报告本级财政部门。</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11.3有下列情形之一的，视为响应人恶意串通，其响应无效：</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11.3.1不同响应人的响应文件由同一单位或者个人编制；</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11.3.2不同响应人委托同一单位或者个人办理招标事宜；</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11.3.3不同响应人的响应文件载明的项目管理成员或者联系人员为同一人；</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11.3.4不同响应人的响应文件异常一致或者报价呈规律性差异；</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11.3.5不同响应人的响应文件相互混装；</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11.4终止竞争性招标采购活动的条款</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出现下列情形之一的，采购代理机构将终止竞争性招标采购活动，发布项目终止公告并说明原因，重新开展采购活动：</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11.4.1因情况变化，不再符合规定的竞争性招标采购方式适用情形的；</w:t>
      </w:r>
      <w:r/>
    </w:p>
    <w:p>
      <w:pPr>
        <w:pStyle w:val="91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11.4.2出现影响采购公正的违法、违规行为的；</w:t>
      </w:r>
      <w:r/>
    </w:p>
    <w:p>
      <w:pPr>
        <w:pStyle w:val="914"/>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11.4.3在采购过程中符合要求的供应商或者报价未超过采购预算的供应商不足3家的。</w:t>
      </w:r>
      <w:r/>
    </w:p>
    <w:p>
      <w:pPr>
        <w:rPr>
          <w:rFonts w:hint="eastAsia" w:ascii="宋体" w:hAnsi="宋体" w:eastAsia="宋体" w:cs="宋体"/>
        </w:rPr>
      </w:pPr>
      <w:r>
        <w:rPr>
          <w:rFonts w:hint="eastAsia" w:ascii="宋体" w:hAnsi="宋体" w:eastAsia="宋体" w:cs="宋体"/>
        </w:rPr>
      </w:r>
      <w:r/>
    </w:p>
    <w:p>
      <w:pPr>
        <w:ind w:firstLine="422"/>
        <w:spacing w:line="440" w:lineRule="exact"/>
        <w:tabs>
          <w:tab w:val="left" w:pos="420"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12.关于对参与供应商信用记录的政府采购要求</w:t>
      </w:r>
      <w:r/>
    </w:p>
    <w:p>
      <w:pPr>
        <w:ind w:firstLine="420"/>
        <w:spacing w:line="440" w:lineRule="exact"/>
        <w:tabs>
          <w:tab w:val="left" w:pos="420" w:leader="none"/>
        </w:tabs>
        <w:rPr>
          <w:rFonts w:hint="eastAsia" w:ascii="宋体" w:hAnsi="宋体" w:eastAsia="宋体" w:cs="宋体"/>
          <w:color w:val="000000"/>
          <w:szCs w:val="21"/>
        </w:rPr>
      </w:pPr>
      <w:r>
        <w:rPr>
          <w:rFonts w:hint="eastAsia" w:ascii="宋体" w:hAnsi="宋体" w:eastAsia="宋体" w:cs="宋体"/>
          <w:color w:val="000000"/>
          <w:szCs w:val="21"/>
        </w:rPr>
        <w:t xml:space="preserve">12.1采购代理机构会在接收响应文件截止时间后，实时查询“信用中国”相关主体信用记录，并将查询结果递交评审小组并留档。</w:t>
      </w:r>
      <w:r/>
    </w:p>
    <w:p>
      <w:pPr>
        <w:ind w:firstLine="420"/>
        <w:spacing w:line="440" w:lineRule="exact"/>
        <w:tabs>
          <w:tab w:val="left" w:pos="567" w:leader="none"/>
        </w:tabs>
        <w:rPr>
          <w:rFonts w:hint="eastAsia" w:ascii="宋体" w:hAnsi="宋体" w:eastAsia="宋体" w:cs="宋体"/>
          <w:color w:val="000000"/>
          <w:szCs w:val="21"/>
        </w:rPr>
      </w:pPr>
      <w:r>
        <w:rPr>
          <w:rFonts w:hint="eastAsia" w:ascii="宋体" w:hAnsi="宋体" w:eastAsia="宋体" w:cs="宋体"/>
          <w:color w:val="000000"/>
          <w:szCs w:val="21"/>
        </w:rPr>
        <w:t xml:space="preserve">12.2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440" w:lineRule="exact"/>
        <w:tabs>
          <w:tab w:val="left" w:pos="567" w:leader="none"/>
        </w:tabs>
        <w:rPr>
          <w:rFonts w:hint="eastAsia" w:ascii="宋体" w:hAnsi="宋体" w:eastAsia="宋体" w:cs="宋体"/>
          <w:color w:val="000000"/>
          <w:szCs w:val="21"/>
        </w:rPr>
      </w:pPr>
      <w:r>
        <w:rPr>
          <w:rFonts w:hint="eastAsia" w:ascii="宋体" w:hAnsi="宋体" w:eastAsia="宋体" w:cs="宋体"/>
          <w:color w:val="000000"/>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440" w:lineRule="exact"/>
        <w:tabs>
          <w:tab w:val="left" w:pos="567" w:leader="none"/>
        </w:tabs>
        <w:rPr>
          <w:rFonts w:hint="eastAsia" w:ascii="宋体" w:hAnsi="宋体" w:eastAsia="宋体" w:cs="宋体"/>
          <w:color w:val="000000"/>
          <w:szCs w:val="21"/>
        </w:rPr>
      </w:pPr>
      <w:r>
        <w:rPr>
          <w:rFonts w:hint="eastAsia" w:ascii="宋体" w:hAnsi="宋体" w:eastAsia="宋体" w:cs="宋体"/>
          <w:color w:val="000000"/>
          <w:szCs w:val="21"/>
        </w:rPr>
        <w:t xml:space="preserve">12.3供应商若在经营活动中受到罚款的，请携带相关地方、部门对较大数额认定标准的证明材料，与响应文件一并提交。若无法提供，则可能承担响应无效等相应不利后果。</w:t>
      </w:r>
      <w:r/>
    </w:p>
    <w:p>
      <w:pPr>
        <w:ind w:firstLine="420"/>
        <w:spacing w:line="440" w:lineRule="exact"/>
        <w:tabs>
          <w:tab w:val="left" w:pos="420" w:leader="none"/>
        </w:tabs>
        <w:rPr>
          <w:rFonts w:hint="eastAsia" w:ascii="宋体" w:hAnsi="宋体" w:eastAsia="宋体" w:cs="宋体"/>
          <w:color w:val="000000"/>
          <w:szCs w:val="21"/>
        </w:rPr>
      </w:pPr>
      <w:r>
        <w:rPr>
          <w:rFonts w:hint="eastAsia" w:ascii="宋体" w:hAnsi="宋体" w:eastAsia="宋体" w:cs="宋体"/>
          <w:color w:val="000000"/>
          <w:szCs w:val="21"/>
        </w:rPr>
        <w:t xml:space="preserve">12.4对存在失信信息的供应商，由失信供应商进行确认。同时，采购代理机构工作人员应根据评审小组确认的失信信息，登录到相关来源网站页面进行复核并打印，作为证据留存。</w:t>
      </w:r>
      <w:r/>
    </w:p>
    <w:p>
      <w:pPr>
        <w:ind w:firstLine="422"/>
        <w:spacing w:line="440" w:lineRule="exact"/>
        <w:rPr>
          <w:rFonts w:hint="eastAsia" w:ascii="宋体" w:hAnsi="宋体" w:eastAsia="宋体" w:cs="宋体"/>
          <w:b/>
          <w:color w:val="000000"/>
          <w:szCs w:val="21"/>
        </w:rPr>
      </w:pPr>
      <w:r>
        <w:rPr>
          <w:rFonts w:hint="eastAsia" w:ascii="宋体" w:hAnsi="宋体" w:eastAsia="宋体" w:cs="宋体"/>
          <w:b/>
          <w:color w:val="000000"/>
          <w:szCs w:val="21"/>
        </w:rPr>
      </w:r>
      <w:r/>
    </w:p>
    <w:p>
      <w:pPr>
        <w:ind w:firstLine="422"/>
        <w:spacing w:line="4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13.合同的签订</w:t>
      </w:r>
      <w:r/>
    </w:p>
    <w:p>
      <w:pPr>
        <w:pStyle w:val="1007"/>
        <w:ind w:firstLine="420"/>
        <w:jc w:val="both"/>
        <w:spacing w:before="0" w:beforeAutospacing="0" w:after="0" w:afterAutospacing="0"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13.1.成交供应商应按成交通知书中规定的时间和地点，与采购人签订合同。</w:t>
      </w:r>
      <w:r/>
    </w:p>
    <w:p>
      <w:pPr>
        <w:pStyle w:val="1007"/>
        <w:ind w:firstLine="420"/>
        <w:jc w:val="both"/>
        <w:spacing w:before="0" w:beforeAutospacing="0" w:after="0" w:afterAutospacing="0"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13.2.签订合同及合同条款应以招标文件和成交供应商的招标响应文件及其澄清承诺文件为依据。</w:t>
      </w:r>
      <w:r/>
    </w:p>
    <w:p>
      <w:pPr>
        <w:ind w:firstLine="422"/>
        <w:spacing w:line="400" w:lineRule="exact"/>
        <w:rPr>
          <w:rFonts w:hint="eastAsia" w:ascii="宋体" w:hAnsi="宋体" w:eastAsia="宋体" w:cs="宋体"/>
          <w:bCs/>
          <w:color w:val="000000"/>
          <w:szCs w:val="21"/>
        </w:rPr>
      </w:pPr>
      <w:r>
        <w:rPr>
          <w:rFonts w:hint="eastAsia" w:ascii="宋体" w:hAnsi="宋体" w:eastAsia="宋体" w:cs="宋体"/>
          <w:b/>
          <w:color w:val="000000"/>
          <w:szCs w:val="21"/>
        </w:rPr>
        <w:t xml:space="preserve">13.3.《政府采购促进中小企业发展管理办法》规定享受扶持政策获得政府采购合同的，小微企业不得将合同分包给大中型企业，中型企业不得将合同分包给大型企业。</w:t>
      </w:r>
      <w:r/>
    </w:p>
    <w:p>
      <w:pPr>
        <w:pStyle w:val="1007"/>
        <w:ind w:firstLine="420"/>
        <w:jc w:val="both"/>
        <w:spacing w:before="0" w:beforeAutospacing="0" w:after="0" w:afterAutospacing="0" w:line="480" w:lineRule="atLeas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07"/>
        <w:ind w:firstLine="420"/>
        <w:jc w:val="both"/>
        <w:spacing w:before="0" w:beforeAutospacing="0" w:after="0" w:afterAutospacing="0" w:line="480" w:lineRule="atLeast"/>
        <w:rPr>
          <w:rFonts w:hint="eastAsia" w:ascii="宋体" w:hAnsi="宋体" w:eastAsia="宋体" w:cs="宋体"/>
          <w:bCs/>
          <w:color w:val="000000"/>
          <w:sz w:val="21"/>
          <w:szCs w:val="21"/>
        </w:rPr>
      </w:pPr>
      <w:r>
        <w:rPr>
          <w:rFonts w:hint="eastAsia" w:ascii="宋体" w:hAnsi="宋体" w:eastAsia="宋体" w:cs="宋体"/>
          <w:b/>
          <w:color w:val="000000"/>
          <w:sz w:val="21"/>
          <w:szCs w:val="21"/>
        </w:rPr>
        <w:t xml:space="preserve">14.招标保证金：</w:t>
      </w:r>
      <w:r>
        <w:rPr>
          <w:rFonts w:hint="eastAsia" w:ascii="宋体" w:hAnsi="宋体" w:eastAsia="宋体" w:cs="宋体"/>
          <w:bCs/>
          <w:color w:val="000000"/>
          <w:sz w:val="21"/>
          <w:szCs w:val="21"/>
        </w:rPr>
        <w:t xml:space="preserve">本项目不收取保证金，但需在响应文件中提供《</w:t>
      </w:r>
      <w:r>
        <w:rPr>
          <w:rFonts w:hint="eastAsia" w:ascii="宋体" w:hAnsi="宋体" w:eastAsia="宋体" w:cs="宋体"/>
          <w:bCs/>
          <w:color w:val="000000"/>
          <w:sz w:val="21"/>
          <w:szCs w:val="21"/>
          <w:lang w:val="zh-CN"/>
        </w:rPr>
        <w:t xml:space="preserve">投标（响应）保证承诺书》。</w:t>
      </w:r>
      <w:r/>
    </w:p>
    <w:p>
      <w:pPr>
        <w:spacing w:line="400" w:lineRule="exact"/>
        <w:rPr>
          <w:rFonts w:hint="eastAsia" w:ascii="宋体" w:hAnsi="宋体" w:eastAsia="宋体" w:cs="宋体"/>
          <w:b/>
          <w:color w:val="000000"/>
          <w:szCs w:val="21"/>
        </w:rPr>
      </w:pPr>
      <w:r>
        <w:rPr>
          <w:rFonts w:hint="eastAsia" w:ascii="宋体" w:hAnsi="宋体" w:eastAsia="宋体" w:cs="宋体"/>
          <w:b/>
          <w:color w:val="000000"/>
          <w:szCs w:val="21"/>
        </w:rPr>
      </w:r>
      <w:r/>
    </w:p>
    <w:p>
      <w:pPr>
        <w:ind w:firstLine="422"/>
        <w:spacing w:line="400" w:lineRule="exact"/>
        <w:rPr>
          <w:rFonts w:hint="eastAsia" w:ascii="宋体" w:hAnsi="宋体" w:eastAsia="宋体" w:cs="宋体"/>
          <w:color w:val="000000"/>
          <w:szCs w:val="21"/>
          <w:lang w:val="zh-CN"/>
        </w:rPr>
      </w:pPr>
      <w:r>
        <w:rPr>
          <w:rFonts w:hint="eastAsia" w:ascii="宋体" w:hAnsi="宋体" w:eastAsia="宋体" w:cs="宋体"/>
          <w:b/>
          <w:color w:val="000000"/>
          <w:szCs w:val="21"/>
        </w:rPr>
        <w:t xml:space="preserve">15.代理服务费：</w:t>
      </w:r>
      <w:r>
        <w:rPr>
          <w:rFonts w:hint="eastAsia" w:ascii="宋体" w:hAnsi="宋体" w:eastAsia="宋体" w:cs="宋体"/>
          <w:color w:val="000000"/>
          <w:szCs w:val="21"/>
          <w:lang w:val="zh-CN"/>
        </w:rPr>
        <w:t xml:space="preserve">按差额定率累进法计算收取，</w:t>
      </w:r>
      <w:r>
        <w:rPr>
          <w:rFonts w:hint="eastAsia" w:ascii="宋体" w:hAnsi="宋体" w:eastAsia="宋体" w:cs="宋体"/>
          <w:color w:val="000000"/>
          <w:szCs w:val="21"/>
        </w:rPr>
        <w:t xml:space="preserve">成交</w:t>
      </w:r>
      <w:r>
        <w:rPr>
          <w:rFonts w:hint="eastAsia" w:ascii="宋体" w:hAnsi="宋体" w:eastAsia="宋体" w:cs="宋体"/>
          <w:color w:val="000000"/>
          <w:szCs w:val="21"/>
          <w:lang w:val="zh-CN"/>
        </w:rPr>
        <w:t xml:space="preserve">单位在领取</w:t>
      </w:r>
      <w:r>
        <w:rPr>
          <w:rFonts w:hint="eastAsia" w:ascii="宋体" w:hAnsi="宋体" w:eastAsia="宋体" w:cs="宋体"/>
          <w:color w:val="000000"/>
          <w:szCs w:val="21"/>
        </w:rPr>
        <w:t xml:space="preserve">成交</w:t>
      </w:r>
      <w:r>
        <w:rPr>
          <w:rFonts w:hint="eastAsia" w:ascii="宋体" w:hAnsi="宋体" w:eastAsia="宋体" w:cs="宋体"/>
          <w:color w:val="000000"/>
          <w:szCs w:val="21"/>
          <w:lang w:val="zh-CN"/>
        </w:rPr>
        <w:t xml:space="preserve">通知书时向采购代理机构一次性付清。预算金额100万以下费率为预算金额的1.5%；预算金额100万（含）-500万费率为预算金额的1.1%；预算金额500万（含）-1000万费率为预算金额的0.8%。</w:t>
      </w:r>
      <w:r>
        <w:rPr>
          <w:rFonts w:hint="eastAsia" w:ascii="宋体" w:hAnsi="宋体" w:eastAsia="宋体" w:cs="宋体"/>
          <w:color w:val="000000"/>
          <w:szCs w:val="21"/>
        </w:rPr>
        <w:t xml:space="preserve">本项目招标代理服务费：人民币肆万陆仟柒佰元整（小写：46700.00元）</w:t>
      </w:r>
      <w:r/>
    </w:p>
    <w:p>
      <w:pPr>
        <w:ind w:firstLine="42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账户名：江苏祥和项目管理有限公司</w:t>
      </w:r>
      <w:r/>
    </w:p>
    <w:p>
      <w:pPr>
        <w:ind w:firstLine="42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开户行：中国银行南京六合支行</w:t>
      </w:r>
      <w:r/>
    </w:p>
    <w:p>
      <w:pPr>
        <w:ind w:firstLine="42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账　号：485875060089</w:t>
      </w:r>
      <w:r/>
    </w:p>
    <w:p>
      <w:pPr>
        <w:ind w:firstLine="42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注：汇款单上需注明磋商响应单位名称、标号、金额</w:t>
      </w:r>
      <w:r/>
    </w:p>
    <w:p>
      <w:pPr>
        <w:ind w:firstLine="422"/>
        <w:spacing w:line="40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ind w:firstLine="420"/>
        <w:spacing w:line="40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16.招标说明：</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16.1不符合供应商资格要求的响应文件将被拒绝；</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16.2参加招标的供应商必须</w:t>
      </w:r>
      <w:r>
        <w:rPr>
          <w:rFonts w:hint="eastAsia" w:ascii="宋体" w:hAnsi="宋体" w:eastAsia="宋体" w:cs="宋体"/>
          <w:color w:val="000000"/>
          <w:szCs w:val="21"/>
        </w:rPr>
        <w:t xml:space="preserve">法定代表人或授权委托人</w:t>
      </w:r>
      <w:r>
        <w:rPr>
          <w:rFonts w:hint="eastAsia" w:ascii="宋体" w:hAnsi="宋体" w:eastAsia="宋体" w:cs="宋体"/>
          <w:bCs/>
          <w:color w:val="000000"/>
          <w:szCs w:val="21"/>
        </w:rPr>
        <w:t xml:space="preserve">；</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16.3响应文件签署不符合要求的，响应文件将被拒绝；</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16.4最终报价超过采购预算的，不能成交；</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16.5不实质性响应招标文件的不能成交；</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16.6各标段实质性响应招标文件不满三家或进入二次报价的不满三家或二次报价在采购预算内不满三家的，招标采购失败。</w:t>
      </w:r>
      <w:r/>
    </w:p>
    <w:p>
      <w:pPr>
        <w:ind w:firstLine="422"/>
        <w:spacing w:line="400" w:lineRule="exact"/>
        <w:rPr>
          <w:rFonts w:hint="eastAsia" w:ascii="宋体" w:hAnsi="宋体" w:eastAsia="宋体" w:cs="宋体"/>
          <w:b/>
          <w:color w:val="000000"/>
          <w:szCs w:val="21"/>
        </w:rPr>
      </w:pPr>
      <w:r>
        <w:rPr>
          <w:rFonts w:hint="eastAsia" w:ascii="宋体" w:hAnsi="宋体" w:eastAsia="宋体" w:cs="宋体"/>
          <w:b/>
          <w:color w:val="000000"/>
          <w:szCs w:val="21"/>
        </w:rPr>
      </w:r>
      <w:r/>
    </w:p>
    <w:p>
      <w:pPr>
        <w:ind w:firstLine="422"/>
        <w:spacing w:line="400" w:lineRule="exact"/>
        <w:rPr>
          <w:rFonts w:hint="eastAsia" w:ascii="宋体" w:hAnsi="宋体" w:eastAsia="宋体" w:cs="宋体"/>
          <w:color w:val="000000"/>
          <w:szCs w:val="21"/>
        </w:rPr>
      </w:pPr>
      <w:r>
        <w:rPr>
          <w:rFonts w:hint="eastAsia" w:ascii="宋体" w:hAnsi="宋体" w:eastAsia="宋体" w:cs="宋体"/>
          <w:b/>
          <w:color w:val="000000"/>
          <w:szCs w:val="21"/>
        </w:rPr>
        <w:t xml:space="preserve">17.未尽事宜：</w:t>
      </w:r>
      <w:r>
        <w:rPr>
          <w:rFonts w:hint="eastAsia" w:ascii="宋体" w:hAnsi="宋体" w:eastAsia="宋体" w:cs="宋体"/>
          <w:color w:val="000000"/>
          <w:szCs w:val="21"/>
        </w:rPr>
        <w:t xml:space="preserve">按《中华人民共和国政府采购法》及其他有关的法律法规的规定执行。</w:t>
      </w:r>
      <w:r/>
    </w:p>
    <w:p>
      <w:pPr>
        <w:ind w:firstLine="422"/>
        <w:spacing w:line="440" w:lineRule="exact"/>
        <w:rPr>
          <w:rFonts w:hint="eastAsia" w:ascii="宋体" w:hAnsi="宋体" w:eastAsia="宋体" w:cs="宋体"/>
          <w:color w:val="000000"/>
          <w:szCs w:val="21"/>
        </w:rPr>
      </w:pPr>
      <w:r>
        <w:rPr>
          <w:rFonts w:hint="eastAsia" w:ascii="宋体" w:hAnsi="宋体" w:eastAsia="宋体" w:cs="宋体"/>
          <w:b/>
          <w:bCs/>
          <w:color w:val="000000"/>
        </w:rPr>
        <w:t xml:space="preserve">18.备注：本文件打“★”为实质性条款，不可负偏离，如负偏离响应文件无效。</w:t>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t xml:space="preserve">第三章 采购需求</w:t>
      </w:r>
      <w:bookmarkEnd w:id="3"/>
      <w:r/>
      <w:r/>
    </w:p>
    <w:p>
      <w:pPr>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受苏州市吴江区第四人民医院的委托，江苏祥和项目管理有限公司就其所需吴江四院扩建工程-智能化二标段采用招标方式进行采购，欢迎符合资格条件的供应商前来参加。</w:t>
      </w:r>
      <w:r/>
    </w:p>
    <w:p>
      <w:pPr>
        <w:ind w:firstLine="422"/>
        <w:jc w:val="left"/>
        <w:spacing w:line="440" w:lineRule="exact"/>
        <w:widowControl/>
        <w:rPr>
          <w:rFonts w:hint="eastAsia" w:ascii="宋体" w:hAnsi="宋体" w:eastAsia="宋体" w:cs="宋体"/>
          <w:bCs/>
          <w:szCs w:val="21"/>
        </w:rPr>
      </w:pPr>
      <w:r>
        <w:rPr>
          <w:rFonts w:hint="eastAsia" w:ascii="宋体" w:hAnsi="宋体" w:eastAsia="宋体" w:cs="宋体"/>
          <w:b/>
          <w:bCs/>
          <w:szCs w:val="21"/>
        </w:rPr>
        <w:t xml:space="preserve">一、项目编号：</w:t>
      </w:r>
      <w:r>
        <w:rPr>
          <w:rFonts w:hint="eastAsia" w:ascii="宋体" w:hAnsi="宋体" w:eastAsia="宋体" w:cs="宋体"/>
          <w:szCs w:val="21"/>
        </w:rPr>
        <w:t xml:space="preserve">JSXH2026-ZZ-GKZB-027</w:t>
      </w:r>
      <w:r/>
    </w:p>
    <w:p>
      <w:pPr>
        <w:ind w:firstLine="422"/>
        <w:jc w:val="left"/>
        <w:spacing w:line="440" w:lineRule="exact"/>
        <w:widowControl/>
        <w:rPr>
          <w:rFonts w:hint="eastAsia" w:ascii="宋体" w:hAnsi="宋体" w:eastAsia="宋体" w:cs="宋体"/>
          <w:szCs w:val="21"/>
        </w:rPr>
      </w:pPr>
      <w:r>
        <w:rPr>
          <w:rFonts w:hint="eastAsia" w:ascii="宋体" w:hAnsi="宋体" w:eastAsia="宋体" w:cs="宋体"/>
          <w:b/>
          <w:bCs/>
          <w:szCs w:val="21"/>
        </w:rPr>
        <w:t xml:space="preserve">二、项目名称：</w:t>
      </w:r>
      <w:r>
        <w:rPr>
          <w:rFonts w:hint="eastAsia" w:ascii="宋体" w:hAnsi="宋体" w:eastAsia="宋体" w:cs="宋体"/>
          <w:szCs w:val="21"/>
        </w:rPr>
        <w:t xml:space="preserve">吴江四院扩建工程-智能化二标段</w:t>
      </w:r>
      <w:r/>
    </w:p>
    <w:p>
      <w:pPr>
        <w:ind w:firstLine="422"/>
        <w:spacing w:line="440" w:lineRule="exact"/>
        <w:rPr>
          <w:rFonts w:hint="eastAsia" w:ascii="宋体" w:hAnsi="宋体" w:eastAsia="宋体" w:cs="宋体"/>
          <w:szCs w:val="21"/>
        </w:rPr>
      </w:pPr>
      <w:r>
        <w:rPr>
          <w:rFonts w:hint="eastAsia" w:ascii="宋体" w:hAnsi="宋体" w:eastAsia="宋体" w:cs="宋体"/>
          <w:b/>
          <w:szCs w:val="21"/>
        </w:rPr>
        <w:t xml:space="preserve">三、</w:t>
      </w:r>
      <w:r>
        <w:rPr>
          <w:rFonts w:hint="eastAsia" w:ascii="宋体" w:hAnsi="宋体" w:eastAsia="宋体" w:cs="宋体"/>
          <w:b/>
          <w:bCs/>
          <w:szCs w:val="21"/>
        </w:rPr>
        <w:t xml:space="preserve">采购预算：</w:t>
      </w:r>
      <w:r>
        <w:rPr>
          <w:rFonts w:hint="eastAsia" w:ascii="宋体" w:hAnsi="宋体" w:eastAsia="宋体" w:cs="宋体"/>
          <w:color w:val="ff0000"/>
          <w:szCs w:val="21"/>
          <w:highlight w:val="yellow"/>
        </w:rPr>
        <w:t xml:space="preserve">人民币玖佰</w:t>
      </w:r>
      <w:r>
        <w:rPr>
          <w:rFonts w:hint="eastAsia" w:ascii="宋体" w:hAnsi="宋体" w:cs="宋体"/>
          <w:color w:val="ff0000"/>
          <w:szCs w:val="21"/>
          <w:highlight w:val="yellow"/>
          <w:lang w:val="en-US" w:eastAsia="zh-CN"/>
        </w:rPr>
        <w:t xml:space="preserve">肆</w:t>
      </w:r>
      <w:r>
        <w:rPr>
          <w:rFonts w:hint="eastAsia" w:ascii="宋体" w:hAnsi="宋体" w:eastAsia="宋体" w:cs="宋体"/>
          <w:color w:val="ff0000"/>
          <w:szCs w:val="21"/>
          <w:highlight w:val="yellow"/>
        </w:rPr>
        <w:t xml:space="preserve">拾</w:t>
      </w:r>
      <w:r>
        <w:rPr>
          <w:rFonts w:hint="eastAsia" w:ascii="宋体" w:hAnsi="宋体" w:cs="宋体"/>
          <w:color w:val="ff0000"/>
          <w:szCs w:val="21"/>
          <w:highlight w:val="yellow"/>
          <w:lang w:val="en-US" w:eastAsia="zh-CN"/>
        </w:rPr>
        <w:t xml:space="preserve">陆</w:t>
      </w:r>
      <w:r>
        <w:rPr>
          <w:rFonts w:hint="eastAsia" w:ascii="宋体" w:hAnsi="宋体" w:eastAsia="宋体" w:cs="宋体"/>
          <w:color w:val="ff0000"/>
          <w:szCs w:val="21"/>
          <w:highlight w:val="yellow"/>
        </w:rPr>
        <w:t xml:space="preserve">万</w:t>
      </w:r>
      <w:r>
        <w:rPr>
          <w:rFonts w:hint="eastAsia" w:ascii="宋体" w:hAnsi="宋体" w:cs="宋体"/>
          <w:color w:val="ff0000"/>
          <w:szCs w:val="21"/>
          <w:highlight w:val="yellow"/>
          <w:lang w:val="en-US" w:eastAsia="zh-CN"/>
        </w:rPr>
        <w:t xml:space="preserve">玖仟柒佰壹拾柒元叁角</w:t>
      </w:r>
      <w:r>
        <w:rPr>
          <w:rFonts w:hint="eastAsia" w:ascii="宋体" w:hAnsi="宋体" w:eastAsia="宋体" w:cs="宋体"/>
          <w:color w:val="ff0000"/>
          <w:szCs w:val="21"/>
          <w:highlight w:val="yellow"/>
        </w:rPr>
        <w:t xml:space="preserve">（小写：</w:t>
      </w:r>
      <w:r>
        <w:rPr>
          <w:rFonts w:hint="eastAsia" w:ascii="宋体" w:hAnsi="宋体" w:cs="宋体"/>
          <w:color w:val="ff0000"/>
          <w:szCs w:val="21"/>
          <w:highlight w:val="yellow"/>
          <w:lang w:val="en-US" w:eastAsia="zh-CN"/>
        </w:rPr>
        <w:t xml:space="preserve">9469717</w:t>
      </w:r>
      <w:r>
        <w:rPr>
          <w:rFonts w:hint="eastAsia" w:ascii="宋体" w:hAnsi="宋体" w:eastAsia="宋体" w:cs="宋体"/>
          <w:color w:val="ff0000"/>
          <w:szCs w:val="21"/>
          <w:highlight w:val="yellow"/>
        </w:rPr>
        <w:t xml:space="preserve">.3</w:t>
      </w:r>
      <w:r>
        <w:rPr>
          <w:rFonts w:hint="eastAsia" w:ascii="宋体" w:hAnsi="宋体" w:eastAsia="宋体" w:cs="宋体"/>
          <w:color w:val="ff0000"/>
          <w:szCs w:val="21"/>
          <w:highlight w:val="yellow"/>
          <w:lang w:val="en-US" w:eastAsia="zh-CN"/>
        </w:rPr>
        <w:t xml:space="preserve">0</w:t>
      </w:r>
      <w:r>
        <w:rPr>
          <w:rFonts w:hint="eastAsia" w:ascii="宋体" w:hAnsi="宋体" w:eastAsia="宋体" w:cs="宋体"/>
          <w:color w:val="ff0000"/>
          <w:szCs w:val="21"/>
          <w:highlight w:val="yellow"/>
        </w:rPr>
        <w:t xml:space="preserve">元）</w:t>
      </w:r>
      <w:r/>
    </w:p>
    <w:p>
      <w:pPr>
        <w:ind w:firstLine="422"/>
        <w:jc w:val="left"/>
        <w:spacing w:line="440" w:lineRule="exact"/>
        <w:tabs>
          <w:tab w:val="left" w:pos="540" w:leader="none"/>
        </w:tabs>
        <w:rPr>
          <w:rFonts w:hint="eastAsia" w:ascii="宋体" w:hAnsi="宋体" w:eastAsia="宋体" w:cs="宋体"/>
          <w:szCs w:val="21"/>
        </w:rPr>
      </w:pPr>
      <w:r>
        <w:rPr>
          <w:rFonts w:hint="eastAsia" w:ascii="宋体" w:hAnsi="宋体" w:eastAsia="宋体" w:cs="宋体"/>
          <w:b/>
          <w:szCs w:val="21"/>
        </w:rPr>
        <w:t xml:space="preserve">四、合同履行期限：</w:t>
      </w:r>
      <w:r>
        <w:rPr>
          <w:rFonts w:hint="eastAsia" w:ascii="宋体" w:hAnsi="宋体" w:eastAsia="宋体" w:cs="宋体"/>
        </w:rPr>
        <w:t xml:space="preserve">从合同签订之日开始至甲方验收通过。</w:t>
      </w:r>
      <w:r>
        <w:rPr>
          <w:rFonts w:hint="eastAsia" w:ascii="宋体" w:hAnsi="宋体" w:eastAsia="宋体" w:cs="宋体"/>
          <w:szCs w:val="21"/>
        </w:rPr>
        <w:t xml:space="preserve">（具体按合同约定）</w:t>
      </w:r>
      <w:r/>
    </w:p>
    <w:p>
      <w:pPr>
        <w:ind w:firstLine="422"/>
        <w:jc w:val="left"/>
        <w:spacing w:line="440" w:lineRule="exact"/>
        <w:rPr>
          <w:rFonts w:hint="eastAsia" w:ascii="宋体" w:hAnsi="宋体" w:eastAsia="宋体" w:cs="宋体"/>
          <w:b/>
          <w:szCs w:val="21"/>
        </w:rPr>
      </w:pPr>
      <w:r>
        <w:rPr>
          <w:rFonts w:hint="eastAsia" w:ascii="宋体" w:hAnsi="宋体" w:eastAsia="宋体" w:cs="宋体"/>
          <w:b/>
          <w:bCs/>
          <w:szCs w:val="21"/>
        </w:rPr>
        <w:t xml:space="preserve">五、</w:t>
      </w:r>
      <w:r>
        <w:rPr>
          <w:rFonts w:hint="eastAsia" w:ascii="宋体" w:hAnsi="宋体" w:eastAsia="宋体" w:cs="宋体"/>
          <w:b/>
          <w:szCs w:val="21"/>
        </w:rPr>
        <w:t xml:space="preserve">采购内容及相关要求</w:t>
      </w:r>
      <w:r/>
    </w:p>
    <w:p>
      <w:pPr>
        <w:ind w:firstLine="422"/>
        <w:jc w:val="left"/>
        <w:spacing w:line="440" w:lineRule="exact"/>
        <w:rPr>
          <w:rFonts w:hint="eastAsia" w:ascii="宋体" w:hAnsi="宋体" w:eastAsia="宋体" w:cs="宋体"/>
          <w:b/>
          <w:bCs/>
          <w:szCs w:val="21"/>
        </w:rPr>
      </w:pPr>
      <w:r>
        <w:rPr>
          <w:rFonts w:hint="eastAsia" w:ascii="宋体" w:hAnsi="宋体" w:eastAsia="宋体" w:cs="宋体"/>
          <w:b/>
          <w:bCs/>
          <w:szCs w:val="21"/>
        </w:rPr>
        <w:t xml:space="preserve">（一）项目概况</w:t>
      </w:r>
      <w:r/>
    </w:p>
    <w:p>
      <w:pPr>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吴江四院扩建工程-智能化二标段</w:t>
      </w:r>
      <w:r/>
    </w:p>
    <w:p>
      <w:pPr>
        <w:ind w:firstLine="422"/>
        <w:jc w:val="left"/>
        <w:spacing w:line="440" w:lineRule="exact"/>
        <w:widowControl/>
        <w:rPr>
          <w:rFonts w:hint="eastAsia" w:ascii="宋体" w:hAnsi="宋体" w:eastAsia="宋体" w:cs="宋体"/>
          <w:b/>
          <w:bCs/>
          <w:szCs w:val="21"/>
        </w:rPr>
      </w:pPr>
      <w:r>
        <w:rPr>
          <w:rFonts w:hint="eastAsia" w:ascii="宋体" w:hAnsi="宋体" w:eastAsia="宋体" w:cs="宋体"/>
          <w:b/>
          <w:bCs/>
          <w:szCs w:val="21"/>
        </w:rPr>
        <w:t xml:space="preserve">（二）服务内容和要求</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1.成交供应商招标服务内容：</w:t>
      </w:r>
      <w:r/>
    </w:p>
    <w:p>
      <w:pPr>
        <w:ind w:left="105" w:firstLine="316"/>
        <w:spacing w:line="360" w:lineRule="auto"/>
        <w:rPr>
          <w:rFonts w:hint="eastAsia" w:ascii="宋体" w:hAnsi="宋体" w:eastAsia="宋体" w:cs="宋体"/>
          <w:b/>
          <w:u w:val="single"/>
        </w:rPr>
      </w:pPr>
      <w:r>
        <w:rPr>
          <w:rFonts w:hint="eastAsia" w:ascii="宋体" w:hAnsi="宋体" w:eastAsia="宋体" w:cs="宋体"/>
          <w:szCs w:val="21"/>
        </w:rPr>
        <w:t xml:space="preserve">2.</w:t>
      </w:r>
      <w:r>
        <w:rPr>
          <w:rFonts w:hint="eastAsia" w:ascii="宋体" w:hAnsi="宋体" w:eastAsia="宋体" w:cs="宋体"/>
          <w:b/>
        </w:rPr>
        <w:t xml:space="preserve">质量及甲方要求：</w:t>
      </w:r>
      <w:r>
        <w:rPr>
          <w:rFonts w:hint="eastAsia" w:ascii="宋体" w:hAnsi="宋体" w:eastAsia="宋体" w:cs="宋体"/>
          <w:b/>
          <w:u w:val="single"/>
        </w:rPr>
        <w:t xml:space="preserve">合格，以甲方具体要求（任务书、图纸等）为准，详细见合同主要条例。</w:t>
      </w:r>
      <w:r/>
    </w:p>
    <w:p>
      <w:pPr>
        <w:ind w:left="105" w:firstLine="316"/>
        <w:spacing w:line="360" w:lineRule="auto"/>
        <w:rPr>
          <w:rFonts w:hint="eastAsia" w:ascii="宋体" w:hAnsi="宋体" w:eastAsia="宋体" w:cs="宋体"/>
          <w:b/>
          <w:u w:val="single"/>
        </w:rPr>
      </w:pPr>
      <w:r>
        <w:rPr>
          <w:rFonts w:hint="eastAsia" w:ascii="宋体" w:hAnsi="宋体" w:eastAsia="宋体" w:cs="宋体"/>
          <w:b/>
          <w:u w:val="single"/>
        </w:rPr>
        <w:t xml:space="preserve">3.采购清单：</w:t>
      </w:r>
      <w:r/>
    </w:p>
    <w:tbl>
      <w:tblPr>
        <w:tblStyle w:val="910"/>
        <w:tblW w:w="10092" w:type="dxa"/>
        <w:jc w:val="center"/>
        <w:tblLayout w:type="autofit"/>
        <w:tblCellMar>
          <w:left w:w="108" w:type="dxa"/>
          <w:top w:w="0" w:type="dxa"/>
          <w:right w:w="108" w:type="dxa"/>
          <w:bottom w:w="0" w:type="dxa"/>
        </w:tblCellMar>
        <w:tblLook w:val="04A0" w:firstRow="1" w:lastRow="0" w:firstColumn="1" w:lastColumn="0" w:noHBand="0" w:noVBand="1"/>
      </w:tblPr>
      <w:tblGrid>
        <w:gridCol w:w="680"/>
        <w:gridCol w:w="1701"/>
        <w:gridCol w:w="6236"/>
        <w:gridCol w:w="680"/>
        <w:gridCol w:w="795"/>
      </w:tblGrid>
      <w:tr>
        <w:trPr>
          <w:jc w:val="center"/>
          <w:trHeight w:val="397"/>
          <w:tblHeader/>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名称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参数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数量</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单位</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内网核心交换机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1、交换容量≥1000Tbps，包转发率≥345600Mpps；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2、主控引擎≥2，整机业务板槽位≥6，独立交换网板槽位数≥4；</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3、配置主控引擎≥2个，交换网板≥2个，电源≥2个，配置1GE以太网光接口≥16个，1G以太网电接口≥24个，10G以太网光接口≥12个，40G以太网光接口≥16个，≥8个40G多模光模块；</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4、采用正交无中板CLOS架构；</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5、前后风道；</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6、支持融合AC功能：无需额外配置单独硬件，并能在交换机上对所有上线的AP进行管理与配置；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7、单个业务板卡支持≥74个端口；</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8、支持FW\IPS\负载均衡等安全业务板卡；</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b/>
                <w:bCs/>
                <w:color w:val="auto"/>
                <w:szCs w:val="21"/>
              </w:rPr>
              <w:t xml:space="preserve">▲</w:t>
            </w:r>
            <w:r>
              <w:rPr>
                <w:rFonts w:hint="eastAsia" w:ascii="宋体" w:hAnsi="宋体" w:eastAsia="宋体" w:cs="宋体"/>
                <w:color w:val="auto"/>
                <w:sz w:val="20"/>
                <w:szCs w:val="20"/>
              </w:rPr>
              <w:t xml:space="preserve">9、</w:t>
            </w:r>
            <w:r>
              <w:rPr>
                <w:rStyle w:val="1010"/>
                <w:rFonts w:hint="eastAsia" w:ascii="宋体" w:hAnsi="宋体" w:eastAsia="宋体" w:cs="宋体"/>
                <w:color w:val="auto"/>
              </w:rPr>
              <w:t xml:space="preserve">支持TAP功能，</w:t>
            </w:r>
            <w:r>
              <w:rPr>
                <w:rStyle w:val="1011"/>
                <w:rFonts w:hint="eastAsia" w:ascii="宋体" w:hAnsi="宋体" w:eastAsia="宋体" w:cs="宋体"/>
                <w:color w:val="auto"/>
              </w:rPr>
              <w:t xml:space="preserve">支持TAP基于同源同宿功能，支持TAP基于报文截断功能，支持TAP基于源端口标识功能；</w:t>
            </w:r>
            <w:r>
              <w:rPr>
                <w:rStyle w:val="1010"/>
                <w:rFonts w:hint="eastAsia" w:ascii="宋体" w:hAnsi="宋体" w:eastAsia="宋体" w:cs="宋体"/>
                <w:color w:val="auto"/>
              </w:rPr>
              <w:t xml:space="preserve">支持跨设备链路聚合，</w:t>
            </w:r>
            <w:r>
              <w:rPr>
                <w:rStyle w:val="1011"/>
                <w:rFonts w:hint="eastAsia" w:ascii="宋体" w:hAnsi="宋体" w:eastAsia="宋体" w:cs="宋体"/>
                <w:color w:val="auto"/>
              </w:rPr>
              <w:t xml:space="preserve">支持网络安全协防功能，支持将IP和端口扫描流量重定向给网络安全智能系统进行诱捕，与网络安全智能系统联动实施反制措施，以实现网络安全协防；</w:t>
            </w:r>
            <w:r>
              <w:rPr>
                <w:rStyle w:val="1010"/>
                <w:rFonts w:hint="eastAsia" w:ascii="宋体" w:hAnsi="宋体" w:eastAsia="宋体" w:cs="宋体"/>
                <w:color w:val="auto"/>
              </w:rPr>
              <w:t xml:space="preserve">支持丢包查询功能，</w:t>
            </w:r>
            <w:r>
              <w:rPr>
                <w:rStyle w:val="1011"/>
                <w:rFonts w:hint="eastAsia" w:ascii="宋体" w:hAnsi="宋体" w:eastAsia="宋体" w:cs="宋体"/>
                <w:color w:val="auto"/>
              </w:rPr>
              <w:t xml:space="preserve">支持软件安全可信计算，支持系统通过对代码的数字签名来标识软件来源，通过两层签名机制防止软件被篡改，提高系统软件的安全可信</w:t>
            </w:r>
            <w:r>
              <w:rPr>
                <w:rStyle w:val="1011"/>
                <w:rFonts w:hint="eastAsia" w:ascii="宋体" w:hAnsi="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内网OLT</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1、主控交换容量≥9.6Tbit/s，每业务槽位最大带宽≥480Gbit/s；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2、主控板槽位数≥2，业务板槽位数≥6， 电源槽位数≥2；</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3、10G PON端口数≥144，10GE/GE上联端口数≥288，25GE上联端口数≥4，100GE上联端口数≥6；</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4、支持内置DHCP服务器，可为终端动态分配IP地址，支持的地址池规格≥17000；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5、支持发起Portal认证，可为终端用户提供有线Portal认证安全接入用户数≥16000；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6、支持线速转发，PON口在满负载的情况下</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对帧进行无差错的转发；</w:t>
            </w:r>
            <w:r/>
          </w:p>
          <w:p>
            <w:pPr>
              <w:jc w:val="left"/>
              <w:keepNext/>
              <w:widowControl/>
              <w:rPr>
                <w:rStyle w:val="1011"/>
                <w:rFonts w:hint="eastAsia" w:ascii="宋体" w:hAnsi="宋体" w:eastAsia="宋体" w:cs="宋体"/>
                <w:color w:val="auto"/>
              </w:rPr>
            </w:pPr>
            <w:r>
              <w:rPr>
                <w:rFonts w:hint="eastAsia" w:ascii="宋体" w:hAnsi="宋体" w:eastAsia="宋体" w:cs="宋体"/>
                <w:color w:val="auto"/>
                <w:sz w:val="20"/>
                <w:szCs w:val="20"/>
              </w:rPr>
              <w:t xml:space="preserve">▲7、</w:t>
            </w:r>
            <w:r>
              <w:rPr>
                <w:rStyle w:val="1011"/>
                <w:rFonts w:hint="eastAsia" w:ascii="宋体" w:hAnsi="宋体" w:eastAsia="宋体" w:cs="宋体"/>
                <w:color w:val="auto"/>
              </w:rPr>
              <w:t xml:space="preserve">支持二层特性VLAN+MAC转发</w:t>
            </w:r>
            <w:r>
              <w:rPr>
                <w:rStyle w:val="1011"/>
                <w:rFonts w:hint="eastAsia" w:ascii="宋体" w:hAnsi="宋体" w:cs="宋体"/>
                <w:color w:val="auto"/>
                <w:lang w:eastAsia="zh-CN"/>
              </w:rPr>
              <w:t xml:space="preserve">，</w:t>
            </w:r>
            <w:r>
              <w:rPr>
                <w:rStyle w:val="1011"/>
                <w:rFonts w:hint="eastAsia" w:ascii="宋体" w:hAnsi="宋体" w:eastAsia="宋体" w:cs="宋体"/>
                <w:color w:val="auto"/>
              </w:rPr>
              <w:t xml:space="preserve">SVLAN+CVLAN转发；</w:t>
            </w:r>
            <w:r>
              <w:rPr>
                <w:rStyle w:val="1010"/>
                <w:rFonts w:hint="eastAsia" w:ascii="宋体" w:hAnsi="宋体" w:eastAsia="宋体" w:cs="宋体"/>
                <w:color w:val="auto"/>
              </w:rPr>
              <w:t xml:space="preserve">支持DHCPv6中继功能，支持DHCP Relay功能，</w:t>
            </w:r>
            <w:r>
              <w:rPr>
                <w:rStyle w:val="1011"/>
                <w:rFonts w:hint="eastAsia" w:ascii="宋体" w:hAnsi="宋体" w:eastAsia="宋体" w:cs="宋体"/>
                <w:color w:val="auto"/>
              </w:rPr>
              <w:t xml:space="preserve">DHCP Relay报文处理速度需要在每秒1000个以上；</w:t>
            </w:r>
            <w:r>
              <w:rPr>
                <w:rStyle w:val="1010"/>
                <w:rFonts w:hint="eastAsia" w:ascii="宋体" w:hAnsi="宋体" w:eastAsia="宋体" w:cs="宋体"/>
                <w:color w:val="auto"/>
              </w:rPr>
              <w:t xml:space="preserve">主控和业务板都需支持ISSU，</w:t>
            </w:r>
            <w:r>
              <w:rPr>
                <w:rStyle w:val="1011"/>
                <w:rFonts w:hint="eastAsia" w:ascii="宋体" w:hAnsi="宋体" w:eastAsia="宋体" w:cs="宋体"/>
                <w:color w:val="auto"/>
              </w:rPr>
              <w:t xml:space="preserve">设备支持ISSU升级过程中ONU不下线，升级不断业务功能，支持802.1X认证、MAC地址认证、Portal认证；</w:t>
            </w:r>
            <w:r/>
          </w:p>
          <w:p>
            <w:pPr>
              <w:jc w:val="left"/>
              <w:keepNext/>
              <w:widowControl/>
              <w:rPr>
                <w:rFonts w:hint="eastAsia" w:ascii="宋体" w:hAnsi="宋体" w:eastAsia="宋体" w:cs="宋体"/>
                <w:color w:val="auto"/>
                <w:sz w:val="20"/>
                <w:szCs w:val="20"/>
                <w:lang w:eastAsia="zh-CN"/>
              </w:rPr>
            </w:pPr>
            <w:r>
              <w:rPr>
                <w:rStyle w:val="1012"/>
                <w:rFonts w:hint="eastAsia" w:ascii="宋体" w:hAnsi="宋体" w:cs="宋体"/>
                <w:color w:val="auto"/>
                <w:lang w:val="en-US" w:eastAsia="zh-CN"/>
              </w:rPr>
              <w:t xml:space="preserve">8</w:t>
            </w:r>
            <w:r>
              <w:rPr>
                <w:rStyle w:val="1012"/>
                <w:rFonts w:hint="eastAsia" w:ascii="宋体" w:hAnsi="宋体" w:eastAsia="宋体" w:cs="宋体"/>
                <w:color w:val="auto"/>
              </w:rPr>
              <w:t xml:space="preserve">、配置主控引擎≥2个，电源≥2个，配置1GE以太网光接口≥20个，1G以太网电接口≥24个，10G以太网光接口≥4个，40G以太网光接口≥8个，100G以太网光接口≥8个，10G PON光接口≥48个（含光模块）</w:t>
            </w:r>
            <w:r>
              <w:rPr>
                <w:rStyle w:val="1012"/>
                <w:rFonts w:hint="eastAsia" w:ascii="宋体" w:hAnsi="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内网分光器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1、支持灵活放置于楼道信息箱，或通过扎带绑定在机柜上；</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2、支持2：8分光比；</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3、适配器类型：SC/UPC</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内网4口万兆ONU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1、≥1个10G PON对称接口，4*GE；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2、工作温度：-10°~55°；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3、最大功耗＜6W；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4、采用无风扇静音设计；</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5、金属外壳；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6、支持10G EPON/XGS-PON自适应；</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w:t>
            </w:r>
            <w:r>
              <w:rPr>
                <w:rStyle w:val="1010"/>
                <w:rFonts w:hint="eastAsia" w:ascii="宋体" w:hAnsi="宋体" w:eastAsia="宋体" w:cs="宋体"/>
                <w:color w:val="auto"/>
                <w:sz w:val="20"/>
                <w:szCs w:val="20"/>
              </w:rPr>
              <w:t xml:space="preserve">支持802.1x认证功能，</w:t>
            </w:r>
            <w:r>
              <w:rPr>
                <w:rStyle w:val="1011"/>
                <w:rFonts w:hint="eastAsia" w:ascii="宋体" w:hAnsi="宋体" w:eastAsia="宋体" w:cs="宋体"/>
                <w:color w:val="auto"/>
                <w:sz w:val="20"/>
                <w:szCs w:val="20"/>
              </w:rPr>
              <w:t xml:space="preserve">支持端口上下行限速功能，支持端口隔离功能</w:t>
            </w:r>
            <w:r>
              <w:rPr>
                <w:rStyle w:val="1011"/>
                <w:rFonts w:hint="eastAsia" w:ascii="宋体" w:hAnsi="宋体" w:eastAsia="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内网8口万兆ONU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1、≥1个10G PON对称接口，8*GE；</w:t>
            </w:r>
            <w:r/>
          </w:p>
          <w:p>
            <w:pPr>
              <w:jc w:val="left"/>
              <w:keepNext/>
              <w:widowControl/>
              <w:rPr>
                <w:rFonts w:hint="eastAsia"/>
              </w:rPr>
            </w:pPr>
            <w:r>
              <w:rPr>
                <w:rFonts w:hint="eastAsia" w:ascii="宋体" w:hAnsi="宋体" w:eastAsia="宋体" w:cs="宋体"/>
                <w:color w:val="auto"/>
                <w:sz w:val="20"/>
                <w:szCs w:val="20"/>
              </w:rPr>
              <w:t xml:space="preserve">2、工作温度：-10°~55°；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3、支持POE+供电，单端口最大30W，整机供电功率最大120W；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4、金属外壳；</w:t>
            </w:r>
            <w:r/>
          </w:p>
          <w:p>
            <w:pPr>
              <w:jc w:val="left"/>
              <w:keepNext/>
              <w:widowControl/>
              <w:rPr>
                <w:rFonts w:hint="eastAsia" w:ascii="宋体" w:hAnsi="宋体" w:cs="宋体"/>
                <w:color w:val="auto"/>
                <w:sz w:val="20"/>
                <w:szCs w:val="20"/>
                <w:lang w:eastAsia="zh-CN"/>
              </w:rPr>
            </w:pPr>
            <w:r>
              <w:rPr>
                <w:rFonts w:hint="eastAsia" w:ascii="宋体" w:hAnsi="宋体" w:eastAsia="宋体" w:cs="宋体"/>
                <w:color w:val="auto"/>
                <w:sz w:val="20"/>
                <w:szCs w:val="20"/>
              </w:rPr>
              <w:t xml:space="preserve">5、支持10G EPON/XGS-PON自适应</w:t>
            </w:r>
            <w:r>
              <w:rPr>
                <w:rFonts w:hint="eastAsia" w:ascii="宋体" w:hAnsi="宋体" w:cs="宋体"/>
                <w:color w:val="auto"/>
                <w:sz w:val="20"/>
                <w:szCs w:val="20"/>
                <w:lang w:eastAsia="zh-CN"/>
              </w:rPr>
              <w:t xml:space="preserve">。</w:t>
            </w:r>
            <w:r/>
          </w:p>
          <w:p>
            <w:pPr>
              <w:pStyle w:val="935"/>
              <w:ind w:left="0" w:firstLine="0"/>
              <w:rPr>
                <w:rFonts w:hint="default"/>
                <w:lang w:val="en-US" w:eastAsia="zh-CN"/>
              </w:rPr>
            </w:pPr>
            <w:r>
              <w:rPr>
                <w:rFonts w:hint="eastAsia" w:ascii="宋体" w:hAnsi="宋体" w:eastAsia="宋体" w:cs="宋体"/>
                <w:color w:val="auto"/>
                <w:sz w:val="20"/>
                <w:szCs w:val="20"/>
                <w:lang w:val="en-US" w:eastAsia="zh-CN"/>
              </w:rPr>
              <w:t xml:space="preserve">6、支持802.1x认证功能，支持端口上下行限速功能，支持端口隔离功能；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内网16口万兆ONU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1、≥1个10G PON对称接口，16*GE；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2、工作温度：-10°~55°；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3、金属外壳；</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4、支持10G EPON/XGS-PON自适应</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内网24口万兆ONU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1、≥1个10G PON对称接口，24*GE；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2、工作温度：-10°~55°；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3、金属外壳；</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4、支持10G EPON/XGS-PON/XG-PON/GPON接口</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内网24口万兆ONU带POE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1、≥1个10G PON对称接口，24*GE；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2、工作温度：-10°~55°；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3、支持POE+供电；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4、金属外壳；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5、支持10G EPON/XGS-PON自适应；</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w:t>
            </w:r>
            <w:r>
              <w:rPr>
                <w:rStyle w:val="1010"/>
                <w:rFonts w:hint="eastAsia" w:ascii="宋体" w:hAnsi="宋体" w:eastAsia="宋体" w:cs="宋体"/>
                <w:color w:val="auto"/>
              </w:rPr>
              <w:t xml:space="preserve">支持802.1x认证功能，</w:t>
            </w:r>
            <w:r>
              <w:rPr>
                <w:rStyle w:val="1011"/>
                <w:rFonts w:hint="eastAsia" w:ascii="宋体" w:hAnsi="宋体" w:eastAsia="宋体" w:cs="宋体"/>
                <w:color w:val="auto"/>
              </w:rPr>
              <w:t xml:space="preserve">支持端口上下行限速功能，支持端口隔离功能</w:t>
            </w:r>
            <w:r>
              <w:rPr>
                <w:rStyle w:val="1011"/>
                <w:rFonts w:hint="eastAsia" w:ascii="宋体" w:hAnsi="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内网无线控制器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1、小型场景控制器，融合网关/DPI功能；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2、技术标准（ax/ac/n）：11ax/ac/n；</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3、为了满足设备的稳定性，要求所投产品支持双电源冗余供电；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4、接口数量≥16个千兆电接口，≥8个千兆光接口，≥2个万兆光接口，配置4个千兆多模光模块；</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5、支持常规AP最大数量≥384，本次配置</w:t>
            </w:r>
            <w:r>
              <w:rPr>
                <w:rFonts w:hint="eastAsia" w:ascii="宋体" w:hAnsi="宋体" w:cs="宋体"/>
                <w:color w:val="auto"/>
                <w:sz w:val="20"/>
                <w:szCs w:val="20"/>
                <w:lang w:val="en-US" w:eastAsia="zh-CN"/>
              </w:rPr>
              <w:t xml:space="preserve">110 </w:t>
            </w:r>
            <w:r>
              <w:rPr>
                <w:rFonts w:hint="eastAsia" w:ascii="宋体" w:hAnsi="宋体" w:eastAsia="宋体" w:cs="宋体"/>
                <w:color w:val="auto"/>
                <w:sz w:val="20"/>
                <w:szCs w:val="20"/>
              </w:rPr>
              <w:t xml:space="preserve">AP管理授权；</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6、集中转发性能≥10Gbps；</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w:t>
            </w:r>
            <w:r>
              <w:rPr>
                <w:rStyle w:val="1010"/>
                <w:rFonts w:hint="eastAsia" w:ascii="宋体" w:hAnsi="宋体" w:eastAsia="宋体" w:cs="宋体"/>
                <w:color w:val="auto"/>
              </w:rPr>
              <w:t xml:space="preserve">支持访客接入Portal认证，</w:t>
            </w:r>
            <w:r>
              <w:rPr>
                <w:rStyle w:val="1011"/>
                <w:rFonts w:hint="eastAsia" w:ascii="宋体" w:hAnsi="宋体" w:eastAsia="宋体" w:cs="宋体"/>
                <w:color w:val="auto"/>
              </w:rPr>
              <w:t xml:space="preserve">支持无线用户下线原因追溯，支持信号覆盖黑洞检测；</w:t>
            </w:r>
            <w:r>
              <w:rPr>
                <w:rStyle w:val="1010"/>
                <w:rFonts w:hint="eastAsia" w:ascii="宋体" w:hAnsi="宋体" w:eastAsia="宋体" w:cs="宋体"/>
                <w:color w:val="auto"/>
              </w:rPr>
              <w:t xml:space="preserve">支持认证用户授权限速，</w:t>
            </w:r>
            <w:r>
              <w:rPr>
                <w:rStyle w:val="1011"/>
                <w:rFonts w:hint="eastAsia" w:ascii="宋体" w:hAnsi="宋体" w:eastAsia="宋体" w:cs="宋体"/>
                <w:color w:val="auto"/>
              </w:rPr>
              <w:t xml:space="preserve">支持终端画像的漫游调度、支持终端业务的漫游调度</w:t>
            </w:r>
            <w:r>
              <w:rPr>
                <w:rStyle w:val="1011"/>
                <w:rFonts w:hint="eastAsia" w:ascii="宋体" w:hAnsi="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内网零漫游AP</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1、采用整机双频4流设计，可同时工作在802.11a/b/g/n/ac/ac wave2/ax模式；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2、整机协商速率≥2.975Gbps；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3、≥4个10/100/1000Mbps 自协商以太网口（其中1个支持Poe out对外供电，可用于扩展物联网），≥1个2.5G光口；</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4、内置智能天线系统；</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5、内置 BLE5.1，支持链式物联网扩展能力，最大支持5个BLE、RFID、ZigBee等全制式物联网扩展；</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6、支持壁挂、吸顶和86盒等多种安装方式</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内网管理平台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1、支持麒麟等国产操作系统，及MS SQL、Oracle、达梦等数据库，支持B/S架构</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2、管理员可以首页中通过拖拽，自定义需要在首页展示页面，同时支持Widget扩展</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3、自动发现网络中的所有网络设备，并在拓扑中显示出来，支持拓扑图自定义修改，包括设备、链路等</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对全网设备告警的实时监控和统一浏览；支持多种提醒方式，如告警实时提醒（告警板）、告警音响提示；支持多种转发方式，比如转E-mail，转短信，转上级网管或其它网管等。支持告警分析，可以屏蔽重复告警、闪断告警，支持告警自动确认功能；</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支持基于任务的性能监控，可定制监控任务，长期监控网络性能，可以形成日报、周报、月报等报表。支持定制性能阈值，可以为监控的性能指标设置两级阈值，当性能指标超过阈值时根据不同的阈值发送不同级别的告警</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6、支持设备面板的显示、定时刷新、面板缩放功能，通过面板管理，网络管理人员可以直观地看到设备、板卡、端口的工作状态；并提供基于设备面板的设备、单板、端口配置功能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7、配置库包括配置文件和配置片断，配置内容可带有参数，在部署时根据设备的差异设置不同的值；配置文件可部署到设备的启动配置或者运行配置；配置片断只能部署到设备的运行配置；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8、可以为不同的管理员设置不同的用户名、密码，并限制管理员的管理权限和管理范围，实现用户分权管理。</w:t>
            </w:r>
            <w:r/>
          </w:p>
          <w:p>
            <w:pPr>
              <w:jc w:val="left"/>
              <w:keepNext/>
              <w:widowControl/>
              <w:rPr>
                <w:rStyle w:val="1011"/>
                <w:rFonts w:hint="eastAsia" w:ascii="宋体" w:hAnsi="宋体" w:eastAsia="宋体" w:cs="宋体"/>
                <w:color w:val="auto"/>
              </w:rPr>
            </w:pP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w:t>
            </w:r>
            <w:r>
              <w:rPr>
                <w:rStyle w:val="1010"/>
                <w:rFonts w:hint="eastAsia" w:ascii="宋体" w:hAnsi="宋体" w:eastAsia="宋体" w:cs="宋体"/>
                <w:color w:val="auto"/>
              </w:rPr>
              <w:t xml:space="preserve">支持名址绑定功能，</w:t>
            </w:r>
            <w:r>
              <w:rPr>
                <w:rStyle w:val="1011"/>
                <w:rFonts w:hint="eastAsia" w:ascii="宋体" w:hAnsi="宋体" w:eastAsia="宋体" w:cs="宋体"/>
                <w:color w:val="auto"/>
              </w:rPr>
              <w:t xml:space="preserve">支持根据导入系统的各类哑终端MAC地址列表，实现哑终端的自动化上线，专网隔离、即插即用效果；</w:t>
            </w:r>
            <w:r/>
          </w:p>
          <w:p>
            <w:pPr>
              <w:jc w:val="left"/>
              <w:keepNext/>
              <w:widowControl/>
              <w:rPr>
                <w:rFonts w:hint="eastAsia" w:ascii="宋体" w:hAnsi="宋体" w:eastAsia="宋体" w:cs="宋体"/>
                <w:color w:val="auto"/>
                <w:sz w:val="20"/>
                <w:szCs w:val="20"/>
                <w:lang w:eastAsia="zh-CN"/>
              </w:rPr>
            </w:pPr>
            <w:r>
              <w:rPr>
                <w:rStyle w:val="1012"/>
                <w:rFonts w:hint="eastAsia" w:ascii="宋体" w:hAnsi="宋体" w:eastAsia="宋体" w:cs="宋体"/>
                <w:color w:val="auto"/>
              </w:rPr>
              <w:t xml:space="preserve">10、</w:t>
            </w:r>
            <w:r>
              <w:rPr>
                <w:rFonts w:hint="eastAsia" w:ascii="宋体" w:hAnsi="宋体" w:eastAsia="宋体" w:cs="宋体"/>
                <w:color w:val="auto"/>
                <w:sz w:val="20"/>
                <w:szCs w:val="20"/>
              </w:rPr>
              <w:t xml:space="preserve">≥</w:t>
            </w:r>
            <w:r>
              <w:rPr>
                <w:rStyle w:val="1012"/>
                <w:rFonts w:hint="eastAsia" w:ascii="宋体" w:hAnsi="宋体" w:eastAsia="宋体" w:cs="宋体"/>
                <w:color w:val="auto"/>
              </w:rPr>
              <w:t xml:space="preserve">25个网络设备管理授权，</w:t>
            </w:r>
            <w:r>
              <w:rPr>
                <w:rFonts w:hint="eastAsia" w:ascii="宋体" w:hAnsi="宋体" w:eastAsia="宋体" w:cs="宋体"/>
                <w:color w:val="auto"/>
                <w:sz w:val="20"/>
                <w:szCs w:val="20"/>
              </w:rPr>
              <w:t xml:space="preserve">≥</w:t>
            </w:r>
            <w:r>
              <w:rPr>
                <w:rStyle w:val="1012"/>
                <w:rFonts w:hint="eastAsia" w:ascii="宋体" w:hAnsi="宋体" w:eastAsia="宋体" w:cs="宋体"/>
                <w:color w:val="auto"/>
              </w:rPr>
              <w:t xml:space="preserve">600个PON设备管理授权，</w:t>
            </w:r>
            <w:r>
              <w:rPr>
                <w:rFonts w:hint="eastAsia" w:ascii="宋体" w:hAnsi="宋体" w:eastAsia="宋体" w:cs="宋体"/>
                <w:color w:val="auto"/>
                <w:sz w:val="20"/>
                <w:szCs w:val="20"/>
              </w:rPr>
              <w:t xml:space="preserve">≥</w:t>
            </w:r>
            <w:r>
              <w:rPr>
                <w:rStyle w:val="1012"/>
                <w:rFonts w:hint="eastAsia" w:ascii="宋体" w:hAnsi="宋体" w:eastAsia="宋体" w:cs="宋体"/>
                <w:color w:val="auto"/>
              </w:rPr>
              <w:t xml:space="preserve">1</w:t>
            </w:r>
            <w:r>
              <w:rPr>
                <w:rStyle w:val="1012"/>
                <w:rFonts w:hint="eastAsia" w:ascii="宋体" w:hAnsi="宋体" w:cs="宋体"/>
                <w:color w:val="auto"/>
                <w:lang w:val="en-US" w:eastAsia="zh-CN"/>
              </w:rPr>
              <w:t xml:space="preserve">10</w:t>
            </w:r>
            <w:r>
              <w:rPr>
                <w:rStyle w:val="1012"/>
                <w:rFonts w:hint="eastAsia" w:ascii="宋体" w:hAnsi="宋体" w:eastAsia="宋体" w:cs="宋体"/>
                <w:color w:val="auto"/>
              </w:rPr>
              <w:t xml:space="preserve">个无线设备管理授权，</w:t>
            </w:r>
            <w:r>
              <w:rPr>
                <w:rFonts w:hint="eastAsia" w:ascii="宋体" w:hAnsi="宋体" w:eastAsia="宋体" w:cs="宋体"/>
                <w:color w:val="auto"/>
                <w:sz w:val="20"/>
                <w:szCs w:val="20"/>
              </w:rPr>
              <w:t xml:space="preserve">≥</w:t>
            </w:r>
            <w:r>
              <w:rPr>
                <w:rStyle w:val="1012"/>
                <w:rFonts w:hint="eastAsia" w:ascii="宋体" w:hAnsi="宋体" w:eastAsia="宋体" w:cs="宋体"/>
                <w:color w:val="auto"/>
              </w:rPr>
              <w:t xml:space="preserve">250个终端接入管理授权</w:t>
            </w:r>
            <w:r>
              <w:rPr>
                <w:rStyle w:val="1012"/>
                <w:rFonts w:hint="eastAsia" w:ascii="宋体" w:hAnsi="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外网OLT</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1、主控交换容量≥2.8Tbit/s，每业务槽位最大带宽≥480Gbit/s；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2、主控板槽位数≥2，业务板槽位数≥3， 电源槽位数≥2；</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3、10G PON端口数≥72，10GE/GE上联端口数≥144，40GE上联端口数≥8，100GE上联端口数≥8；</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4、支持内置DHCP服务器，可为终端动态分配IP地址，支持的地址池规格≥17000；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5、支持发起Portal认证，可为终端用户提供有线Portal认证安全接入用户数≥16000；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 支持线速转发，PON口在满负载的情况下</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对帧进行无差错的转发；</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7、支持二层特性VLAN+MAC转发</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SVLAN+CVLAN转发；</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8、支持DHCPv6中继功能，支持DHCP Relay功能，DHCP Relay报文处理速度需要在每秒1000个以上；</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9、主控和业务板都需支持ISSU，设备支持ISSU升级过程中ONU不下线，升级不断业务功能，支持802.1X认证、MAC地址认证、Portal认证；</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10、配置主控引擎≥2个，电源≥2个，配置1GE以太网光接口≥20个，1G以太网电接口≥24个，10G以太网光接口≥4个，10G PON光接口≥24个（含光模块）</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外网分光器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1、支持灵活放置于楼道信息箱，或通过扎带绑定在机柜上；</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2、支持2：8分光比；</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3、适配器类型：SC/UPC</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外网16口万兆ONU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1、≥1个10G PON对称接口，16*GE；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2、工作温度：-10°~55°；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3、金属外壳；</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4、支持10G EPON/XGS-PON自适应</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外网24口万兆ONU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1、≥1个10G PON对称接口，24*GE；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2、工作温度：-10°~55°；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3、金属外壳；</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4、支持10G EPON/XGS-PON/XG-PON/GPON接口</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外网24口万兆ONU带POE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1、≥1个10G PON对称接口，24*GE；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2、工作温度：-10°~55°；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3、支持POE+供电；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4、金属外壳；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5、支持10G EPON/XGS-PON自适应；</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6、支持802.1x认证功能，支持端口上下行限速功能，支持端口隔离功能</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外网无线控制器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1、小型场景控制器，融合网关/DPI功能；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2、技术标准（ax/ac/n）：11ax/ac/n；</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3、为了满足设备的稳定性，要求所投产品支持双电源冗余供电；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4、接口数量≥16个千兆电接口，≥8个千兆光接口，≥2个万兆光接口，配置</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4个千兆多模光模块；</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5、支持常规AP最大数量≥384，</w:t>
            </w:r>
            <w:r>
              <w:rPr>
                <w:rFonts w:hint="eastAsia" w:ascii="宋体" w:hAnsi="宋体" w:cs="宋体"/>
                <w:color w:val="auto"/>
                <w:sz w:val="20"/>
                <w:szCs w:val="20"/>
                <w:lang w:val="en-US" w:eastAsia="zh-CN"/>
              </w:rPr>
              <w:t xml:space="preserve">≥50</w:t>
            </w:r>
            <w:r>
              <w:rPr>
                <w:rFonts w:hint="eastAsia" w:ascii="宋体" w:hAnsi="宋体" w:eastAsia="宋体" w:cs="宋体"/>
                <w:color w:val="auto"/>
                <w:sz w:val="20"/>
                <w:szCs w:val="20"/>
              </w:rPr>
              <w:t xml:space="preserve">个AP管理授权；</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6、集中转发性能≥10Gbps；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7、支持访客接入Portal认证，支持无线用户下线原因追溯，支持信号覆盖黑洞检测；</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8、支持认证用户授权限速，支持终端画像的漫游调度、支持终端业务的漫游调度</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外网AP（面板）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1、采用整机双频4流设计，可同时工作在802.11a/b/g/n/ac/ac wave2/ax模式；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2、整机协商速率≥2.975Gbps；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3、≥5个10/100/1000Mbps 自协商以太网口（其中1个支持Poe out对外供电，可用于扩展物联网），</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1个1000Mbps光口；</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4、内置智能天线系统；</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5、内置 BLE5.1/RFID/Zigbee，支持链式物联网扩展能力，最大支持5个BLE、RFID、ZigBee等全制式物联网扩展；</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6、支持壁挂、吸顶和86盒等多种安装方式</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外网管理平台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1、支持Windows、Linux平台、麒麟等国产操作系统，及MS SQL、Oracle、达梦等数据库，支持B/S架构。</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2、管理员可以首页中通过拖拽，自定义需要在首页展示页面，同时支持Widget扩展。</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3、自动发现网络中的所有网络设备，并在拓扑中显示出来，支持拓扑图自定义修改，包括设备、链路等。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对全网设备告警的实时监控和统一浏览；支持多种提醒方式，如告警实时提醒（告警板）、告警音响提示；支持多种转发方式，比如转E-mail，转短信，转上级网管或其它网管等。支持告警分析，可以屏蔽重复告警、闪断告警，支持告警自动确认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基于任务的性能监控，可定制监控任务，长期监控网络性能，可以形成日报、周报、月报等报表。支持定制性能阈值，可以为监控的性能指标设置两级阈值，当性能指标超过阈值时根据不同的阈值发送不同级别的告警。</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6、支持设备面板的显示、定时刷新、面板缩放功能，通过面板管理，网络管理人员可以直观地看到设备、板卡、端口的工作状态；并提供基于设备面板的设备、单板、端口配置功能。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7、配置库包括配置文件和配置片断，配置内容可带有参数，在部署时根据设备的差异设置不同的值；配置文件可部署到设备的启动配置或者运行配置；配置片断只能部署到设备的运行配置；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8、可以为不同的管理员设置不同的用户名、密码，并限制管理员的管理权限和管理范围，实现用户分权管理。</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9、支持名址绑定功能，支持根据导入系统的各类哑终端MAC地址列表，实现哑终端的自动化上线，专网隔离、即插即用效果；</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10、本次配置≥25个网络设备管理授权，≥100个PON设备管理授权，≥</w:t>
            </w:r>
            <w:r>
              <w:rPr>
                <w:rFonts w:hint="eastAsia" w:ascii="宋体" w:hAnsi="宋体" w:cs="宋体"/>
                <w:color w:val="auto"/>
                <w:sz w:val="20"/>
                <w:szCs w:val="20"/>
                <w:lang w:val="en-US" w:eastAsia="zh-CN"/>
              </w:rPr>
              <w:t xml:space="preserve">50</w:t>
            </w:r>
            <w:r>
              <w:rPr>
                <w:rFonts w:hint="eastAsia" w:ascii="宋体" w:hAnsi="宋体" w:eastAsia="宋体" w:cs="宋体"/>
                <w:color w:val="auto"/>
                <w:sz w:val="20"/>
                <w:szCs w:val="20"/>
              </w:rPr>
              <w:t xml:space="preserve">个无线设备管理授权，≥550个终端接入管理授权</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30人培训室扩声系统（108.64㎡）</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全频音箱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numPr>
                <w:ilvl w:val="0"/>
                <w:numId w:val="0"/>
              </w:num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bidi="ar-SA"/>
              </w:rPr>
              <w:t xml:space="preserve">1、</w:t>
            </w:r>
            <w:r>
              <w:rPr>
                <w:rFonts w:hint="eastAsia" w:ascii="宋体" w:hAnsi="宋体" w:eastAsia="宋体" w:cs="宋体"/>
                <w:color w:val="auto"/>
                <w:sz w:val="20"/>
                <w:szCs w:val="20"/>
              </w:rPr>
              <w:t xml:space="preserve">配置</w:t>
            </w: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个44芯高音单元</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个10寸低音单元</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采用可旋转号角</w:t>
            </w:r>
            <w:r>
              <w:rPr>
                <w:rFonts w:hint="eastAsia" w:ascii="宋体" w:hAnsi="宋体" w:cs="宋体"/>
                <w:color w:val="auto"/>
                <w:sz w:val="20"/>
                <w:szCs w:val="20"/>
                <w:lang w:eastAsia="zh-CN"/>
              </w:rPr>
              <w:t xml:space="preserve">；</w:t>
            </w:r>
            <w:r/>
          </w:p>
          <w:p>
            <w:pPr>
              <w:numPr>
                <w:ilvl w:val="0"/>
                <w:numId w:val="0"/>
              </w:num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bidi="ar-SA"/>
              </w:rPr>
              <w:t xml:space="preserve">2、</w:t>
            </w:r>
            <w:r>
              <w:rPr>
                <w:rFonts w:hint="eastAsia" w:ascii="宋体" w:hAnsi="宋体" w:eastAsia="宋体" w:cs="宋体"/>
                <w:color w:val="auto"/>
                <w:sz w:val="20"/>
                <w:szCs w:val="20"/>
              </w:rPr>
              <w:t xml:space="preserve">箱体采用多层复合夹板</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频率响应：50Hz-20KHz；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灵敏度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1W@1m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：≥97dB；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标称抗阻：≤8Ω；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额定功率：≤350W AES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1400W peak；</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低音单元：</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250mm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/2.5＂voice coil LF；</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高音单元：</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/1.75＂voice coil HF；</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扩散角度：90°×50°；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最大声压级：122dB continuous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128dB peak；</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连接插座：</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2×Speakon NL4</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音箱支架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壁挂支架，多角度调节</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专业功放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额定功率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rms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立体声 8Ω：≥2*600W；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额定功率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rms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立体声 4Ω：≥2*900W；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桥接8Ω：≥1800W；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信噪比：</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112dB；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转换速率：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100V/US；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阻尼系数：</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1500：1；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频率响应：20Hz-20KHz ±0.2dB；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总谐波失真：</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0.025%；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互调失真：</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0.05%；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输入灵敏度：0.775V/1.4V（32dB</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输入阻抗：20KΩ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BLANCE/10KΩ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UNBLANCE；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输入共模抑制比：</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80dB；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串音干扰/分离度：</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80dB；</w:t>
            </w:r>
            <w:r>
              <w:rPr>
                <w:rFonts w:hint="eastAsia" w:ascii="宋体" w:hAnsi="宋体" w:eastAsia="宋体" w:cs="宋体"/>
                <w:color w:val="auto"/>
                <w:sz w:val="20"/>
                <w:szCs w:val="20"/>
              </w:rPr>
              <w:br/>
            </w: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电压增益/放大倍数：×92；</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保护电路：全功能保护电路，包括温度（过热）、短路、直流、压限、过载、过流、失真限幅、欠压/过压、开关机噪音、负载不匹配（低阻）开机软启动、开机防浪涌、无线电干扰、次生波、高频输出自动检测（超高频）等保护；</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16、</w:t>
            </w:r>
            <w:r>
              <w:rPr>
                <w:rFonts w:hint="eastAsia" w:ascii="宋体" w:hAnsi="宋体" w:eastAsia="宋体" w:cs="宋体"/>
                <w:color w:val="auto"/>
                <w:sz w:val="20"/>
                <w:szCs w:val="20"/>
              </w:rPr>
              <w:t xml:space="preserve">冷却系统：自动无级变速双风扇强制冷却；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17、</w:t>
            </w:r>
            <w:r>
              <w:rPr>
                <w:rFonts w:hint="eastAsia" w:ascii="宋体" w:hAnsi="宋体" w:eastAsia="宋体" w:cs="宋体"/>
                <w:color w:val="auto"/>
                <w:sz w:val="20"/>
                <w:szCs w:val="20"/>
              </w:rPr>
              <w:t xml:space="preserve">输出电路类型：H类；</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18、</w:t>
            </w:r>
            <w:r>
              <w:rPr>
                <w:rFonts w:hint="eastAsia" w:ascii="宋体" w:hAnsi="宋体" w:eastAsia="宋体" w:cs="宋体"/>
                <w:color w:val="auto"/>
                <w:sz w:val="20"/>
                <w:szCs w:val="20"/>
              </w:rPr>
              <w:t xml:space="preserve">最大功耗：≤1500VA/6.5A</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一拖二无线麦克风</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一拖二真分集，手持腰包任意配选；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采用数字导频和ID码身份认证技术；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3、采</w:t>
            </w:r>
            <w:r>
              <w:rPr>
                <w:rFonts w:hint="eastAsia" w:ascii="宋体" w:hAnsi="宋体" w:eastAsia="宋体" w:cs="宋体"/>
                <w:color w:val="auto"/>
                <w:sz w:val="20"/>
                <w:szCs w:val="20"/>
              </w:rPr>
              <w:t xml:space="preserve">用锁相环PLL频率合成稳定系统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提供200个通道；</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采用最新型高频滤波器</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最大限度地滤除带外干扰信号；</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采用二次变频的高频电路设计</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具有极高的灵敏度；</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多重静噪控制电路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拒绝外部干扰接收距离达250米；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专门设计的语音压缩扩展电路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极大地提高信噪比；</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独特的电路设计</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动态大</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频响宽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噪音小；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频率范围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UHF 520-930MHz；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调制方式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宽频FM；</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可调范围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50MHz；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通道数目</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2x100；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通道间隔</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250OKHz；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频率稳定度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±0.005%以内；</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动态范围</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100dB；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16、</w:t>
            </w:r>
            <w:r>
              <w:rPr>
                <w:rFonts w:hint="eastAsia" w:ascii="宋体" w:hAnsi="宋体" w:eastAsia="宋体" w:cs="宋体"/>
                <w:color w:val="auto"/>
                <w:sz w:val="20"/>
                <w:szCs w:val="20"/>
              </w:rPr>
              <w:t xml:space="preserve">最大频偏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±45KHz；</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17、</w:t>
            </w:r>
            <w:r>
              <w:rPr>
                <w:rFonts w:hint="eastAsia" w:ascii="宋体" w:hAnsi="宋体" w:eastAsia="宋体" w:cs="宋体"/>
                <w:color w:val="auto"/>
                <w:sz w:val="20"/>
                <w:szCs w:val="20"/>
              </w:rPr>
              <w:t xml:space="preserve">音频回应</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80Hz-18KHz</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±3dB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18、</w:t>
            </w:r>
            <w:r>
              <w:rPr>
                <w:rFonts w:hint="eastAsia" w:ascii="宋体" w:hAnsi="宋体" w:eastAsia="宋体" w:cs="宋体"/>
                <w:color w:val="auto"/>
                <w:sz w:val="20"/>
                <w:szCs w:val="20"/>
              </w:rPr>
              <w:t xml:space="preserve">综合信噪比</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105dB；</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19、</w:t>
            </w:r>
            <w:r>
              <w:rPr>
                <w:rFonts w:hint="eastAsia" w:ascii="宋体" w:hAnsi="宋体" w:eastAsia="宋体" w:cs="宋体"/>
                <w:color w:val="auto"/>
                <w:sz w:val="20"/>
                <w:szCs w:val="20"/>
              </w:rPr>
              <w:t xml:space="preserve">综合失真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≤0.5%</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调音台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12通道设计；</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4/8单声道</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4立体声；平衡XLR输出；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4辅助编组</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2推子前折返</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1衰减；后辅助，</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1组立体声输出；LR主要TRS输出；外接立体声效果输入与内部效果；</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9段立体声均衡；99DSP效果；MP3播放器；低通滤波XLR输出；+48V幻象电源开关；100MM推子；USB录音功能；可机架安装</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音频处理器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采用最新自动校正频点的算法，迅速抑制啸叫点且对原始信号高度保真不损伤</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2寸</w:t>
            </w:r>
            <w:r>
              <w:rPr>
                <w:rFonts w:hint="eastAsia" w:ascii="宋体" w:hAnsi="宋体" w:cs="宋体"/>
                <w:color w:val="auto"/>
                <w:sz w:val="20"/>
                <w:szCs w:val="20"/>
                <w:lang w:val="en-US" w:eastAsia="zh-CN"/>
              </w:rPr>
              <w:t xml:space="preserve">屏幕</w:t>
            </w:r>
            <w:r>
              <w:rPr>
                <w:rFonts w:hint="eastAsia" w:ascii="宋体" w:hAnsi="宋体" w:eastAsia="宋体" w:cs="宋体"/>
                <w:color w:val="auto"/>
                <w:sz w:val="20"/>
                <w:szCs w:val="20"/>
              </w:rPr>
              <w:t xml:space="preserve">，中英文可选</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输入最大电平：+20dBu；</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输出通道最大电平：+20dBu；</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总谐波失真+噪声：&lt;0.0025%；</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最小固定延时：&lt;2ms</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反馈抑制器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输入最大电平：+20dBu；输出通道最大电平：+20dBu；总谐波失真+噪声：&lt;0.0025%；最小固定延时：&lt;2ms；</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采用24-bit A/D及D/A转换芯片；采用自动校正频点算法；AB两路各24个自动陷波点，可设置最多达到12个静态陷波点，剩余为循环的动态陷波点；AB两路各24点PEQ设置，每个点可以分别设置频率、Q值、增益，频率分辨精度1Hz；AB两路各设有高低通滤波器；AB两路各设有四档移频功能，配合陷波器使用，啸叫抑制能力出类拔萃；输入压缩功能，消除反馈同时更可控制人声动态范围；AB两路各设输入通道电平补偿调节，且设置系统总增益，范围为-80dB-+10dB。</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电源时序器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单相三线电源输入，</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10路万能插座电源输出；面板有时序总开关</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8路手动控制按钮以及LED状态指示，可单独控制每路电源的通断；每路电源输出具有过流过压保护；提供</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8路多功能电源插座，另有</w:t>
            </w:r>
            <w:r>
              <w:rPr>
                <w:rFonts w:hint="eastAsia" w:ascii="宋体" w:hAnsi="宋体" w:cs="宋体"/>
                <w:color w:val="auto"/>
                <w:sz w:val="20"/>
                <w:szCs w:val="20"/>
                <w:lang w:val="en-US" w:eastAsia="zh-CN"/>
              </w:rPr>
              <w:t xml:space="preserve">不少于</w:t>
            </w:r>
            <w:r>
              <w:rPr>
                <w:rFonts w:hint="eastAsia" w:ascii="宋体" w:hAnsi="宋体" w:eastAsia="宋体" w:cs="宋体"/>
                <w:color w:val="auto"/>
                <w:sz w:val="20"/>
                <w:szCs w:val="20"/>
              </w:rPr>
              <w:t xml:space="preserve">两路备用电源插座；数码显示供电电压，直观了解供电情况；标准19寸机柜安装方式（1U）</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线缆及辅材</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金银线2*300支，PVC25管等</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22U；全柜采用优质冷轧钢板；置顶式散热单元，钣金后门上下散热孔设计</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多媒体地插</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配置接口：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1个多功能电源，网络，3.5音频，HDMI</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音频隔离器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6.5音响噪音滤波消除电流声变压信号降噪</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音频连接线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1.8米音频连接线：卡侬头（母）-卡侬头（公）</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54人会议室（79.4㎡）</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全频音箱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numPr>
                <w:ilvl w:val="0"/>
                <w:numId w:val="0"/>
              </w:num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bidi="ar-SA"/>
              </w:rPr>
              <w:t xml:space="preserve">1</w:t>
            </w:r>
            <w:r>
              <w:rPr>
                <w:rFonts w:hint="eastAsia" w:ascii="宋体" w:hAnsi="宋体" w:eastAsia="宋体" w:cs="宋体"/>
                <w:color w:val="auto"/>
                <w:sz w:val="20"/>
                <w:szCs w:val="20"/>
                <w:lang w:val="en-US" w:eastAsia="zh-CN" w:bidi="ar-SA"/>
              </w:rPr>
              <w:t xml:space="preserve">、</w:t>
            </w:r>
            <w:r>
              <w:rPr>
                <w:rFonts w:hint="eastAsia" w:ascii="宋体" w:hAnsi="宋体" w:eastAsia="宋体" w:cs="宋体"/>
                <w:color w:val="auto"/>
                <w:sz w:val="20"/>
                <w:szCs w:val="20"/>
              </w:rPr>
              <w:t xml:space="preserve">配置</w:t>
            </w: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个44芯高音单元</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个10寸低音单元</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采用可旋转号角</w:t>
            </w:r>
            <w:r>
              <w:rPr>
                <w:rFonts w:hint="eastAsia" w:ascii="宋体" w:hAnsi="宋体" w:cs="宋体"/>
                <w:color w:val="auto"/>
                <w:sz w:val="20"/>
                <w:szCs w:val="20"/>
                <w:lang w:eastAsia="zh-CN"/>
              </w:rPr>
              <w:t xml:space="preserve">；</w:t>
            </w:r>
            <w:r/>
          </w:p>
          <w:p>
            <w:pPr>
              <w:numPr>
                <w:ilvl w:val="0"/>
                <w:numId w:val="0"/>
              </w:num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bidi="ar-SA"/>
              </w:rPr>
              <w:t xml:space="preserve">2</w:t>
            </w:r>
            <w:r>
              <w:rPr>
                <w:rFonts w:hint="eastAsia" w:ascii="宋体" w:hAnsi="宋体" w:eastAsia="宋体" w:cs="宋体"/>
                <w:color w:val="auto"/>
                <w:sz w:val="20"/>
                <w:szCs w:val="20"/>
                <w:lang w:val="en-US" w:eastAsia="zh-CN" w:bidi="ar-SA"/>
              </w:rPr>
              <w:t xml:space="preserve">、</w:t>
            </w:r>
            <w:r>
              <w:rPr>
                <w:rFonts w:hint="eastAsia" w:ascii="宋体" w:hAnsi="宋体" w:eastAsia="宋体" w:cs="宋体"/>
                <w:color w:val="auto"/>
                <w:sz w:val="20"/>
                <w:szCs w:val="20"/>
              </w:rPr>
              <w:t xml:space="preserve">箱体采用多层复合夹板</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频率响应：50Hz-20KHz；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灵敏度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1W@1m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：≥97dB；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标称抗阻：≤8Ω；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额定功率：≤350W AES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1400W peak；</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低音单元：</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250mm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/2.5＂voice coil LF；</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高音单元：</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/1.75＂voice coil HF；</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扩散角度：90°×50°；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最大声压级：122dB continuous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128dB peak；</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连接插座：</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2×Speakon NL4</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音箱支架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壁挂支架，多角度调节</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专业功放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额定功率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rms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立体声 8Ω：≥2*600W；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额定功率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rms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立体声 4Ω：≥2*900W；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桥接8Ω：≥1800W；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信噪比：</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112dB；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转换速率：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100V/US；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阻尼系数：</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1500：1；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频率响应：20Hz-20KHz ±0.2dB；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总谐波失真：</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0.025%；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互调失真：</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0.05%；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输入灵敏度：0.775V/1.4V（32dB</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输入阻抗：20KΩ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BLANCE/10KΩ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UNBLANCE；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输入共模抑制比：</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80dB；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串音干扰/分离度：</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80dB；</w:t>
            </w:r>
            <w:r>
              <w:rPr>
                <w:rFonts w:hint="eastAsia" w:ascii="宋体" w:hAnsi="宋体" w:eastAsia="宋体" w:cs="宋体"/>
                <w:color w:val="auto"/>
                <w:sz w:val="20"/>
                <w:szCs w:val="20"/>
              </w:rPr>
              <w:br/>
            </w: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电压增益/放大倍数：×92；</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保护电路：全功能保护电路，包括温度（过热）、短路、直流、压限、过载、过流、失真限幅、欠压/过压、开关机噪音、负载不匹配（低阻）开机软启动、开机防浪涌、无线电干扰、次生波、高频输出自动检测（超高频）等保护；</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16、</w:t>
            </w:r>
            <w:r>
              <w:rPr>
                <w:rFonts w:hint="eastAsia" w:ascii="宋体" w:hAnsi="宋体" w:eastAsia="宋体" w:cs="宋体"/>
                <w:color w:val="auto"/>
                <w:sz w:val="20"/>
                <w:szCs w:val="20"/>
              </w:rPr>
              <w:t xml:space="preserve">冷却系统：自动无级变速双风扇强制冷却；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17、</w:t>
            </w:r>
            <w:r>
              <w:rPr>
                <w:rFonts w:hint="eastAsia" w:ascii="宋体" w:hAnsi="宋体" w:eastAsia="宋体" w:cs="宋体"/>
                <w:color w:val="auto"/>
                <w:sz w:val="20"/>
                <w:szCs w:val="20"/>
              </w:rPr>
              <w:t xml:space="preserve">输出电路类型：H类；</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18、</w:t>
            </w:r>
            <w:r>
              <w:rPr>
                <w:rFonts w:hint="eastAsia" w:ascii="宋体" w:hAnsi="宋体" w:eastAsia="宋体" w:cs="宋体"/>
                <w:color w:val="auto"/>
                <w:sz w:val="20"/>
                <w:szCs w:val="20"/>
              </w:rPr>
              <w:t xml:space="preserve">最大功耗：≤1500VA/6.5A</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一拖二无线麦克风</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一拖二真分集，手持腰包任意配选；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采用数字导频和ID码身份认证技术；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3、采</w:t>
            </w:r>
            <w:r>
              <w:rPr>
                <w:rFonts w:hint="eastAsia" w:ascii="宋体" w:hAnsi="宋体" w:eastAsia="宋体" w:cs="宋体"/>
                <w:color w:val="auto"/>
                <w:sz w:val="20"/>
                <w:szCs w:val="20"/>
              </w:rPr>
              <w:t xml:space="preserve">用锁相环PLL频率合成稳定系统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提供200个通道；</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采用最新型高频滤波器</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最大限度地滤除带外干扰信号；</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采用二次变频的高频电路设计</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具有极高的灵敏度；</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多重静噪控制电路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拒绝外部干扰接收距离达250米；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专门设计的语音压缩扩展电路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极大地提高信噪比；</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独特的电路设计</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动态大</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频响宽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噪音小；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频率范围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UHF 520-930MHz；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调制方式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宽频FM；</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可调范围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50MHz；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通道数目</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2x100；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通道间隔</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250OKHz；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频率稳定度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±0.005%以内；</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动态范围</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100dB；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16、</w:t>
            </w:r>
            <w:r>
              <w:rPr>
                <w:rFonts w:hint="eastAsia" w:ascii="宋体" w:hAnsi="宋体" w:eastAsia="宋体" w:cs="宋体"/>
                <w:color w:val="auto"/>
                <w:sz w:val="20"/>
                <w:szCs w:val="20"/>
              </w:rPr>
              <w:t xml:space="preserve">最大频偏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±45KHz；</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17、</w:t>
            </w:r>
            <w:r>
              <w:rPr>
                <w:rFonts w:hint="eastAsia" w:ascii="宋体" w:hAnsi="宋体" w:eastAsia="宋体" w:cs="宋体"/>
                <w:color w:val="auto"/>
                <w:sz w:val="20"/>
                <w:szCs w:val="20"/>
              </w:rPr>
              <w:t xml:space="preserve">音频回应</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80Hz-18KHz</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±3dB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18、</w:t>
            </w:r>
            <w:r>
              <w:rPr>
                <w:rFonts w:hint="eastAsia" w:ascii="宋体" w:hAnsi="宋体" w:eastAsia="宋体" w:cs="宋体"/>
                <w:color w:val="auto"/>
                <w:sz w:val="20"/>
                <w:szCs w:val="20"/>
              </w:rPr>
              <w:t xml:space="preserve">综合信噪比</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105dB；</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19、</w:t>
            </w:r>
            <w:r>
              <w:rPr>
                <w:rFonts w:hint="eastAsia" w:ascii="宋体" w:hAnsi="宋体" w:eastAsia="宋体" w:cs="宋体"/>
                <w:color w:val="auto"/>
                <w:sz w:val="20"/>
                <w:szCs w:val="20"/>
              </w:rPr>
              <w:t xml:space="preserve">综合失真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≤0.5%</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调音台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12通道设计；</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4/8单声道</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4立体声；平衡XLR输出；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4辅助编组</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2推子前折返</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1衰减；后辅助，</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1组立体声输出；LR主要TRS输出；外接立体声效果输入与内部效果；</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9段立体声均衡；99DSP效果；MP3播放器；低通滤波XLR输出；+48V幻象电源开关；100MM推子；USB录音功能；可机架安装</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反馈抑制器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输入最大电平：+20dBu；输出通道最大电平：+20dBu；总谐波失真+噪声：&lt;0.0025%；最小固定延时：&lt;2ms；</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采用24-bit A/D及D/A转换芯片；采用自动校正频点算法；AB两路各24个自动陷波点，可设置最多达到12个静态陷波点，剩余为循环的动态陷波点；AB两路各24点PEQ设置，每个点可以分别设置频率、Q值、增益，频率分辨精度1Hz；AB两路各设有高低通滤波器；AB两路各设有四档移频功能，配合陷波器使用，啸叫抑制能力出类拔萃；输入压缩功能，消除反馈同时更可控制人声动态范围；AB两路各设输入通道电平补偿调节，且设置系统总增益，范围为-80dB-+10dB</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电源时序器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单相三线电源输入，</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10路万能插座电源输出；面板有时序总开关</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8路手动控制按钮以及LED状态指示，可单独控制每路电源的通断；每路电源输出具有过流过压保护；提供</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8路多功能电源插座，另有</w:t>
            </w:r>
            <w:r>
              <w:rPr>
                <w:rFonts w:hint="eastAsia" w:ascii="宋体" w:hAnsi="宋体" w:cs="宋体"/>
                <w:color w:val="auto"/>
                <w:sz w:val="20"/>
                <w:szCs w:val="20"/>
                <w:lang w:val="en-US" w:eastAsia="zh-CN"/>
              </w:rPr>
              <w:t xml:space="preserve">不少于</w:t>
            </w:r>
            <w:r>
              <w:rPr>
                <w:rFonts w:hint="eastAsia" w:ascii="宋体" w:hAnsi="宋体" w:eastAsia="宋体" w:cs="宋体"/>
                <w:color w:val="auto"/>
                <w:sz w:val="20"/>
                <w:szCs w:val="20"/>
              </w:rPr>
              <w:t xml:space="preserve">两路备用电源插座；数码显示供电电压，直观了解供电情况；标准19寸机柜安装方式（1U）</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会议主机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具有多种会议模式，最大发言人数</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4人；系统操作简便、直观而易用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无线方式实现所有功能，摆脱繁琐的电缆铺设，信号覆盖范围内可任意移动，轻松便捷布置会场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全自动定频，系统预设20组不同的频段通道，可设置多套系统在同一会场使用，满足大型的会议需求，也可避免与其他无线产品的相互干扰</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采用ATGAT技术（自动时隙分配技术）的具有避免和解决通信冲突能力的时分多址接入通信协议（CSTDMA），自动选取最优频率进行通信，无需人工设定工作频率。多台接收机同时工作时，各接收机会自动避开其它接收机已经选用的频点进行工作，全过程全自动进行，无需人工干预，实现智能安装</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内置多种传感器，无线侦测、无线调控、无线匹配、无线加密、无线自动管理，无需任何辅助即可帮您工作顺利完成</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雷达选频自动同步工作，列席单元在同一地址码时，主控机更换通讯频道，所有列席单元自动跟随同步，免除需专业人员的调试安装</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主控机支持168个列席单元，同时发言人数</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4人，可按实际会议需求设定人数</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主控机发言模式设有先进先出、主席模式，具有轮替1-2-3-4-、限制1-2-3-4</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主控机支持中控控制，话筒单元具有开、关话筒发码功能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主控机可以发起编写单元ID地址，可按需增减单元数量，灵活方便，告别编址繁琐</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主控机具有一键关闭所有会议单元的功能，省去人工手动关闭单元电源的操作</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列席单元无缝接入，随时更换或增加列席单元，无需中断会议进程</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采用真分集芯片，增强无线距离及无线传输的稳定性，适应各种特殊会场环境</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14、</w:t>
            </w:r>
            <w:r>
              <w:rPr>
                <w:rFonts w:hint="eastAsia" w:ascii="宋体" w:hAnsi="宋体" w:eastAsia="宋体" w:cs="宋体"/>
                <w:color w:val="auto"/>
                <w:sz w:val="20"/>
                <w:szCs w:val="20"/>
              </w:rPr>
              <w:t xml:space="preserve">2.8寸，分级菜单设计，会议模式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使操作简明方便</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15、</w:t>
            </w:r>
            <w:r>
              <w:rPr>
                <w:rFonts w:hint="eastAsia" w:ascii="宋体" w:hAnsi="宋体" w:eastAsia="宋体" w:cs="宋体"/>
                <w:color w:val="auto"/>
                <w:sz w:val="20"/>
                <w:szCs w:val="20"/>
              </w:rPr>
              <w:t xml:space="preserve">主控机采用全金属结构设计，庄重大方，线路与外壳都加强了与地线的连接，保证具备可抗静电8000V的能力</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16、</w:t>
            </w:r>
            <w:r>
              <w:rPr>
                <w:rFonts w:hint="eastAsia" w:ascii="宋体" w:hAnsi="宋体" w:eastAsia="宋体" w:cs="宋体"/>
                <w:color w:val="auto"/>
                <w:sz w:val="20"/>
                <w:szCs w:val="20"/>
              </w:rPr>
              <w:t xml:space="preserve">主机关机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2秒钟，列席单元自动关机，避免浪费电池电量，造成不必要麻烦</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17、</w:t>
            </w:r>
            <w:r>
              <w:rPr>
                <w:rFonts w:hint="eastAsia" w:ascii="宋体" w:hAnsi="宋体" w:eastAsia="宋体" w:cs="宋体"/>
                <w:color w:val="auto"/>
                <w:sz w:val="20"/>
                <w:szCs w:val="20"/>
              </w:rPr>
              <w:t xml:space="preserve">主控机采用标准2U设计，稳重坚固，可安装在19英寸标准机柜。</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18、</w:t>
            </w:r>
            <w:r>
              <w:rPr>
                <w:rFonts w:hint="eastAsia" w:ascii="宋体" w:hAnsi="宋体" w:eastAsia="宋体" w:cs="宋体"/>
                <w:color w:val="auto"/>
                <w:sz w:val="20"/>
                <w:szCs w:val="20"/>
              </w:rPr>
              <w:t xml:space="preserve">配套外置吸盘天线，可吸附在机柜顶，信号强安装便利。 </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19、</w:t>
            </w:r>
            <w:r>
              <w:rPr>
                <w:rFonts w:hint="eastAsia" w:ascii="宋体" w:hAnsi="宋体" w:eastAsia="宋体" w:cs="宋体"/>
                <w:color w:val="auto"/>
                <w:sz w:val="20"/>
                <w:szCs w:val="20"/>
              </w:rPr>
              <w:t xml:space="preserve">载波频段：UHF640MHz-690MHz；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20、</w:t>
            </w:r>
            <w:r>
              <w:rPr>
                <w:rFonts w:hint="eastAsia" w:ascii="宋体" w:hAnsi="宋体" w:eastAsia="宋体" w:cs="宋体"/>
                <w:color w:val="auto"/>
                <w:sz w:val="20"/>
                <w:szCs w:val="20"/>
              </w:rPr>
              <w:t xml:space="preserve">调制方式：FM；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21、</w:t>
            </w:r>
            <w:r>
              <w:rPr>
                <w:rFonts w:hint="eastAsia" w:ascii="宋体" w:hAnsi="宋体" w:eastAsia="宋体" w:cs="宋体"/>
                <w:color w:val="auto"/>
                <w:sz w:val="20"/>
                <w:szCs w:val="20"/>
              </w:rPr>
              <w:t xml:space="preserve">工作有效距离：</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60米；</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22、</w:t>
            </w:r>
            <w:r>
              <w:rPr>
                <w:rFonts w:hint="eastAsia" w:ascii="宋体" w:hAnsi="宋体" w:eastAsia="宋体" w:cs="宋体"/>
                <w:color w:val="auto"/>
                <w:sz w:val="20"/>
                <w:szCs w:val="20"/>
              </w:rPr>
              <w:t xml:space="preserve">震荡方式：PLL相位锁定频率合成；</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23、</w:t>
            </w:r>
            <w:r>
              <w:rPr>
                <w:rFonts w:hint="eastAsia" w:ascii="宋体" w:hAnsi="宋体" w:eastAsia="宋体" w:cs="宋体"/>
                <w:color w:val="auto"/>
                <w:sz w:val="20"/>
                <w:szCs w:val="20"/>
              </w:rPr>
              <w:t xml:space="preserve">接收灵敏度：-95dBm；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24、</w:t>
            </w:r>
            <w:r>
              <w:rPr>
                <w:rFonts w:hint="eastAsia" w:ascii="宋体" w:hAnsi="宋体" w:eastAsia="宋体" w:cs="宋体"/>
                <w:color w:val="auto"/>
                <w:sz w:val="20"/>
                <w:szCs w:val="20"/>
              </w:rPr>
              <w:t xml:space="preserve">频带宽度：30MHz；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25、</w:t>
            </w:r>
            <w:r>
              <w:rPr>
                <w:rFonts w:hint="eastAsia" w:ascii="宋体" w:hAnsi="宋体" w:eastAsia="宋体" w:cs="宋体"/>
                <w:color w:val="auto"/>
                <w:sz w:val="20"/>
                <w:szCs w:val="20"/>
              </w:rPr>
              <w:t xml:space="preserve">最大偏移度：±45KHz；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26、</w:t>
            </w:r>
            <w:r>
              <w:rPr>
                <w:rFonts w:hint="eastAsia" w:ascii="宋体" w:hAnsi="宋体" w:eastAsia="宋体" w:cs="宋体"/>
                <w:color w:val="auto"/>
                <w:sz w:val="20"/>
                <w:szCs w:val="20"/>
              </w:rPr>
              <w:t xml:space="preserve">综合信噪比S/N：&gt;105dB；</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27、</w:t>
            </w:r>
            <w:r>
              <w:rPr>
                <w:rFonts w:hint="eastAsia" w:ascii="宋体" w:hAnsi="宋体" w:eastAsia="宋体" w:cs="宋体"/>
                <w:color w:val="auto"/>
                <w:sz w:val="20"/>
                <w:szCs w:val="20"/>
              </w:rPr>
              <w:t xml:space="preserve">综合T.H.D：&lt;0.7%@1KHz；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28、</w:t>
            </w:r>
            <w:r>
              <w:rPr>
                <w:rFonts w:hint="eastAsia" w:ascii="宋体" w:hAnsi="宋体" w:eastAsia="宋体" w:cs="宋体"/>
                <w:color w:val="auto"/>
                <w:sz w:val="20"/>
                <w:szCs w:val="20"/>
              </w:rPr>
              <w:t xml:space="preserve">综合频率响应：45Hz-18KHz±1dB；</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29、</w:t>
            </w:r>
            <w:r>
              <w:rPr>
                <w:rFonts w:hint="eastAsia" w:ascii="宋体" w:hAnsi="宋体" w:eastAsia="宋体" w:cs="宋体"/>
                <w:color w:val="auto"/>
                <w:sz w:val="20"/>
                <w:szCs w:val="20"/>
              </w:rPr>
              <w:t xml:space="preserve">供电：12V 1A；</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30、</w:t>
            </w:r>
            <w:r>
              <w:rPr>
                <w:rFonts w:hint="eastAsia" w:ascii="宋体" w:hAnsi="宋体" w:eastAsia="宋体" w:cs="宋体"/>
                <w:color w:val="auto"/>
                <w:sz w:val="20"/>
                <w:szCs w:val="20"/>
              </w:rPr>
              <w:t xml:space="preserve">输出插座：XLR平行式及6.3不平行式插座</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主席单元</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无线</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2.8寸，分级菜单设计。具有电量显示和欠压警告，频率信道、信号指示和工作状态等功能。列席单元通信状态下按键长亮蓝色灯。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人性化功能：高清人声还原、超指向性角度60°、声音探测、独有续航供电、拒绝干扰。</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载波频段：UHF640MHz-690MHz；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振荡方式：PLL相位锁定频率合成；</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谐波辐射：&lt;-65dBm；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频带宽度：50MHz；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最大偏移度：±45KHz；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传感器：电容式双振膜咪芯、 超心指向性；</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RF功率输出：15mW；</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使用电池：3节5号电池，可以连续工作</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8小时</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待机时长可达12个小时；</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电流消耗：</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200mA</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代表单元</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无线</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2.8寸，分级菜单设计。具有电量显示和欠压警告，频率信道、信号指示和工作状态等功能。列席单元通信状态下按键长亮蓝色灯。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人性化功能：高清人声还原、超指向性角度60°、声音探测、独有续航供电、拒绝干扰。</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载波频段：UHF640MHz-690MHz；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振荡方式：PLL相位锁定频率合成；</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谐波辐射：&lt;-65dBm；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频带宽度：50MHz；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最大偏移度：±45KHz；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传感器：电容式双振膜咪芯、 超心指向性；</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RF功率输出：15mW；</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使用电池：3节5号电池，可以连续工作</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8小时</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待机时长可达12个小时；</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电流消耗：</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200mA</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充电箱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总电流：</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25A；</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总功率：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5V25A/125W；</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USB单口输出：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2.5A</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发射器</w:t>
            </w:r>
            <w:r/>
          </w:p>
        </w:tc>
        <w:tc>
          <w:tcPr>
            <w:shd w:val="clear" w:color="auto" w:fill="ffffff"/>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1.8寸，显示天线信号状态，麦克风接收机在线状态，电源输出状态；</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带GAIN增益按钮，GAIN可调增益：+3dB</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+6dB</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+9dB可调，屏幕显示增益设置；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可配置定向天线及全向天线；</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共AB两组8个信号输出：麦克风主机天线接收；</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1个直流DC12V 5A输入：天线放大器主机电源座；</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2个级联输出接口：连接下一台天线放大器；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4个DC电源输出：直流输出DC12V-1A；</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2个有源天线放大模块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或无源天线</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输入接口AB：带DC8V 500mA输出；</w:t>
            </w:r>
            <w:r>
              <w:rPr>
                <w:rFonts w:hint="eastAsia" w:ascii="宋体" w:hAnsi="宋体" w:eastAsia="宋体" w:cs="宋体"/>
                <w:color w:val="auto"/>
                <w:sz w:val="20"/>
                <w:szCs w:val="20"/>
              </w:rPr>
              <w:br/>
            </w: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天线类型：对数周期偶极阵</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LPDA</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天线；</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连接端子：固定式直角 BNC母座；</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指向极性：垂直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于垂直安装</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指向性：椭圆形180°典型；</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工作频带：500MHz-900MHz；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导波器段数：11段；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16、</w:t>
            </w:r>
            <w:r>
              <w:rPr>
                <w:rFonts w:hint="eastAsia" w:ascii="宋体" w:hAnsi="宋体" w:eastAsia="宋体" w:cs="宋体"/>
                <w:color w:val="auto"/>
                <w:sz w:val="20"/>
                <w:szCs w:val="20"/>
              </w:rPr>
              <w:t xml:space="preserve">电压驻波比：至1.5；</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17、</w:t>
            </w:r>
            <w:r>
              <w:rPr>
                <w:rFonts w:hint="eastAsia" w:ascii="宋体" w:hAnsi="宋体" w:eastAsia="宋体" w:cs="宋体"/>
                <w:color w:val="auto"/>
                <w:sz w:val="20"/>
                <w:szCs w:val="20"/>
              </w:rPr>
              <w:t xml:space="preserve">工作电压：8V DC</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会议话筒处理器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功能特点：</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2寸</w:t>
            </w:r>
            <w:r>
              <w:rPr>
                <w:rFonts w:hint="eastAsia" w:ascii="宋体" w:hAnsi="宋体" w:cs="宋体"/>
                <w:color w:val="auto"/>
                <w:sz w:val="20"/>
                <w:szCs w:val="20"/>
                <w:lang w:val="en-US" w:eastAsia="zh-CN"/>
              </w:rPr>
              <w:t xml:space="preserve">屏幕</w:t>
            </w:r>
            <w:r>
              <w:rPr>
                <w:rFonts w:hint="eastAsia" w:ascii="宋体" w:hAnsi="宋体" w:eastAsia="宋体" w:cs="宋体"/>
                <w:color w:val="auto"/>
                <w:sz w:val="20"/>
                <w:szCs w:val="20"/>
              </w:rPr>
              <w:t xml:space="preserve">，实时显示当前音频电平，系统音量，麦克风音量；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2、实时自动扫描啸叫抑制点并自动抑制，有效提升麦克风拾音距离；</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3、100级电子音量调整；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4、24bit高性能A/D及D/A转换芯片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语音清晰，还原度高；</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5、4通道48V幻象电源独立开关控制；</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一键对啸叫点进行校正；一键检测啸叫点，Ai自适应算法清除啸叫</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高保真音质，不改变原声</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高低音频频谱显示</w:t>
            </w:r>
            <w:r>
              <w:rPr>
                <w:rFonts w:hint="eastAsia" w:ascii="宋体" w:hAnsi="宋体" w:eastAsia="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lang w:val="en-US" w:eastAsia="zh-CN"/>
              </w:rPr>
              <w:t xml:space="preserve">、</w:t>
            </w:r>
            <w:r>
              <w:rPr>
                <w:rFonts w:hint="eastAsia" w:ascii="宋体" w:hAnsi="宋体" w:eastAsia="宋体" w:cs="宋体"/>
                <w:color w:val="auto"/>
                <w:sz w:val="20"/>
                <w:szCs w:val="20"/>
              </w:rPr>
              <w:t xml:space="preserve">信噪比&gt;105dB，超低噪声</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自动增益算法，讲话更轻松</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适配各种动圈或电容式话筒</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移频，陷波双算法。</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参数规格</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1、麦克风输入通道：4路平衡输入XLR和4路非平衡输入TRS；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2、音乐输入通道：1路RCA接口；</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3、输出通道：2路平衡输出XLR，1路RCA；</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4、频率响应：20-20KHz（BYPASS） 100-16KHz（ACTIVE）；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5、信噪比：≥90dB；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6、输入阻抗：10KΩ；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7、输出阻抗：1KΩ；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8、AD采样：48K</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24bit；</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9、额定电压：220V/AC 50Hz；</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10、额定功率：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20W</w:t>
            </w:r>
            <w:r>
              <w:rPr>
                <w:rFonts w:hint="eastAsia" w:ascii="宋体" w:hAnsi="宋体" w:cs="宋体"/>
                <w:color w:val="auto"/>
                <w:sz w:val="20"/>
                <w:szCs w:val="20"/>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会议灯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电源电压：AC100~240V，50/60Hz；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电源功率：200W24V；</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额定功率：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180W；</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灯珠：≥0.5W*600颗；</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显色指数：Ra≥92；</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色   温：3200K-5600K可调；</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调   光：0~100%线性调光；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控制面板：LCD+四按键；</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通道模式：2CH/4CH/6CH；</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出光角度：≥120度；</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散热方式：无风扇自然散热；</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控制模式：DMX512控制/手动模式；</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防护等级：IP20</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灯光控台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电压：220V-240V</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50-60Hz；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总功率：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10W；</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功能特点：DMX512国际标准；</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≥240路总通道数；</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≥12场程序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场</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数.23步程序最大步数</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场景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≥276步程序总步数</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场景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.0.1-25.5秒/步场景停顿时间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0.1-25.5秒场景渐变速度；</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≥24通道调光通道；16*2字符；DMX512输出接口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128K大容量记忆卡</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大灯勾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规格：≥28mm厚；重量：228g；承重：≥50kg；卡管：40-58mm。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安全绳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规格：≥4mm；长度：≥800mm；承重：≥150kg。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灯杆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≥φ50*2.5mm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≥22U；全柜采用优质冷轧钢板；置顶式散热单元，钣金后门上下散热孔设计；</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多媒体地插</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配置接口：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1个多功能电源，网络，3.5音频，HDMI</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音频隔离器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6.5音响噪音滤波消除电流声变压信号降噪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音频连接线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1.8米音频连接线：卡侬头（母）-卡侬头（公）</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70人党员活动室（101.92㎡）</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全频音箱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numPr>
                <w:ilvl w:val="0"/>
                <w:numId w:val="4"/>
              </w:num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配置</w:t>
            </w: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个44芯高音单元</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个10寸低音单元</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采用可旋转号角</w:t>
            </w:r>
            <w:r>
              <w:rPr>
                <w:rFonts w:hint="eastAsia" w:ascii="宋体" w:hAnsi="宋体" w:cs="宋体"/>
                <w:color w:val="auto"/>
                <w:sz w:val="20"/>
                <w:szCs w:val="20"/>
                <w:lang w:eastAsia="zh-CN"/>
              </w:rPr>
              <w:t xml:space="preserve">；</w:t>
            </w:r>
            <w:r/>
          </w:p>
          <w:p>
            <w:pPr>
              <w:numPr>
                <w:ilvl w:val="0"/>
                <w:numId w:val="4"/>
              </w:num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箱体采用多层复合夹板</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频率响应：50Hz-20KHz；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灵敏度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1W@1m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：≥97dB；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标称抗阻：≤8Ω；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额定功率：≤350W AES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1400W peak；</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低音单元：</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250mm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/2.5＂voice coil LF；</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高音单元：</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/1.75＂voice coil HF；</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扩散角度：90°×50°；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最大声压级：122dB continuous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128dB peak；</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连接插座：</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2×Speakon NL4</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音箱支架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壁挂支架，多角度调节</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专业功放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额定功率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rms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立体声 8Ω：≥2*600W；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额定功率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rms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立体声 4Ω：≥2*900W；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桥接8Ω：≥1800W；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信噪比：</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112dB；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转换速率：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100V/US；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阻尼系数：</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1500：1；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频率响应：20Hz-20KHz ±0.2dB；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总谐波失真：</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0.025%；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互调失真：</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0.05%；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输入灵敏度：0.775V/1.4V（32dB</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输入阻抗：20KΩ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BLANCE/10KΩ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UNBLANCE；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输入共模抑制比：</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80dB；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串音干扰/分离度：</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80dB；</w:t>
            </w:r>
            <w:r>
              <w:rPr>
                <w:rFonts w:hint="eastAsia" w:ascii="宋体" w:hAnsi="宋体" w:eastAsia="宋体" w:cs="宋体"/>
                <w:color w:val="auto"/>
                <w:sz w:val="20"/>
                <w:szCs w:val="20"/>
              </w:rPr>
              <w:br/>
            </w: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电压增益/放大倍数：×92；</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保护电路：全功能保护电路，包括温度（过热）、短路、直流、压限、过载、过流、失真限幅、欠压/过压、开关机噪音、负载不匹配（低阻）开机软启动、开机防浪涌、无线电干扰、次生波、高频输出自动检测（超高频）等保护；</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16、</w:t>
            </w:r>
            <w:r>
              <w:rPr>
                <w:rFonts w:hint="eastAsia" w:ascii="宋体" w:hAnsi="宋体" w:eastAsia="宋体" w:cs="宋体"/>
                <w:color w:val="auto"/>
                <w:sz w:val="20"/>
                <w:szCs w:val="20"/>
              </w:rPr>
              <w:t xml:space="preserve">冷却系统：自动无级变速双风扇强制冷却；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17、</w:t>
            </w:r>
            <w:r>
              <w:rPr>
                <w:rFonts w:hint="eastAsia" w:ascii="宋体" w:hAnsi="宋体" w:eastAsia="宋体" w:cs="宋体"/>
                <w:color w:val="auto"/>
                <w:sz w:val="20"/>
                <w:szCs w:val="20"/>
              </w:rPr>
              <w:t xml:space="preserve">输出电路类型：H类；</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18、</w:t>
            </w:r>
            <w:r>
              <w:rPr>
                <w:rFonts w:hint="eastAsia" w:ascii="宋体" w:hAnsi="宋体" w:eastAsia="宋体" w:cs="宋体"/>
                <w:color w:val="auto"/>
                <w:sz w:val="20"/>
                <w:szCs w:val="20"/>
              </w:rPr>
              <w:t xml:space="preserve">最大功耗：≤1500VA/6.5A</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一拖二无线麦克风</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一拖二真分集，手持腰包任意配选；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采用数字导频和ID码身份认证技术；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3、采</w:t>
            </w:r>
            <w:r>
              <w:rPr>
                <w:rFonts w:hint="eastAsia" w:ascii="宋体" w:hAnsi="宋体" w:eastAsia="宋体" w:cs="宋体"/>
                <w:color w:val="auto"/>
                <w:sz w:val="20"/>
                <w:szCs w:val="20"/>
              </w:rPr>
              <w:t xml:space="preserve">用锁相环PLL频率合成稳定系统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提供200个通道；</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采用最新型高频滤波器</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最大限度地滤除带外干扰信号；</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采用二次变频的高频电路设计</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具有极高的灵敏度；</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多重静噪控制电路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拒绝外部干扰接收距离达250米；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专门设计的语音压缩扩展电路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极大地提高信噪比；</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独特的电路设计</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动态大</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频响宽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噪音小；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频率范围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UHF 520-930MHz；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调制方式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宽频FM；</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可调范围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50MHz；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通道数目</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2x100；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通道间隔</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250OKHz；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频率稳定度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±0.005%以内；</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动态范围</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100dB；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16、</w:t>
            </w:r>
            <w:r>
              <w:rPr>
                <w:rFonts w:hint="eastAsia" w:ascii="宋体" w:hAnsi="宋体" w:eastAsia="宋体" w:cs="宋体"/>
                <w:color w:val="auto"/>
                <w:sz w:val="20"/>
                <w:szCs w:val="20"/>
              </w:rPr>
              <w:t xml:space="preserve">最大频偏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±45KHz；</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17、</w:t>
            </w:r>
            <w:r>
              <w:rPr>
                <w:rFonts w:hint="eastAsia" w:ascii="宋体" w:hAnsi="宋体" w:eastAsia="宋体" w:cs="宋体"/>
                <w:color w:val="auto"/>
                <w:sz w:val="20"/>
                <w:szCs w:val="20"/>
              </w:rPr>
              <w:t xml:space="preserve">音频回应</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80Hz-18KHz</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±3dB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18、</w:t>
            </w:r>
            <w:r>
              <w:rPr>
                <w:rFonts w:hint="eastAsia" w:ascii="宋体" w:hAnsi="宋体" w:eastAsia="宋体" w:cs="宋体"/>
                <w:color w:val="auto"/>
                <w:sz w:val="20"/>
                <w:szCs w:val="20"/>
              </w:rPr>
              <w:t xml:space="preserve">综合信噪比</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105dB；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19、</w:t>
            </w:r>
            <w:r>
              <w:rPr>
                <w:rFonts w:hint="eastAsia" w:ascii="宋体" w:hAnsi="宋体" w:eastAsia="宋体" w:cs="宋体"/>
                <w:color w:val="auto"/>
                <w:sz w:val="20"/>
                <w:szCs w:val="20"/>
              </w:rPr>
              <w:t xml:space="preserve">综合失真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≤0.5%</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调音台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12通道设计；</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4/8单声道</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4立体声；平衡XLR输出；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4辅助编组</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2推子前折返</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1衰减；后辅助，</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1组立体声输出；LR主要TRS输出；外接立体声效果输入与内部效果；</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9段立体声均衡；99DSP效果；MP3播放器；低通滤波XLR输出；+48V幻象电源开关；100MM推子；USB录音功能；可机架安装</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音频处理器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采用最新自动校正频点的算法，迅速抑制啸叫点且对原始信号高度保真不损伤</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2寸</w:t>
            </w:r>
            <w:r>
              <w:rPr>
                <w:rFonts w:hint="eastAsia" w:ascii="宋体" w:hAnsi="宋体" w:cs="宋体"/>
                <w:color w:val="auto"/>
                <w:sz w:val="20"/>
                <w:szCs w:val="20"/>
                <w:lang w:val="en-US" w:eastAsia="zh-CN"/>
              </w:rPr>
              <w:t xml:space="preserve">屏幕</w:t>
            </w:r>
            <w:r>
              <w:rPr>
                <w:rFonts w:hint="eastAsia" w:ascii="宋体" w:hAnsi="宋体" w:eastAsia="宋体" w:cs="宋体"/>
                <w:color w:val="auto"/>
                <w:sz w:val="20"/>
                <w:szCs w:val="20"/>
              </w:rPr>
              <w:t xml:space="preserve">，中英文可选</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输入最大电平：+20dBu；</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输出通道最大电平：+20dBu；</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总谐波失真+噪声：&lt;0.0025%；</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最小固定延时：&lt;2ms</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反馈抑制器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输入最大电平：+20dBu；输出通道最大电平：+20dBu；总谐波失真+噪声：&lt;0.0025%；最小固定延时：&lt;2ms；</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采用24-bit A/D及D/A转换芯片；采用自动校正频点算法；AB两路各24个自动陷波点，可设置最多达到12个静态陷波点，剩余为循环的动态陷波点；AB两路各24点PEQ设置，每个点可以分别设置频率、Q值、增益，频率分辨精度1Hz；AB两路各设有高低通滤波器；AB两路各设有四档移频功能，配合陷波器使用，啸叫抑制能力出类拔萃；输入压缩功能，消除反馈同时更可控制人声动态范围；AB两路各设输入通道电平补偿调节，且设置系统总增益，范围为-80dB-+10dB。</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电源时序器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单相三线电源输入，</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10路万能插座电源输出；面板有时序总开关</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8路手动控制按钮以及LED状态指示，可单独控制每路电源的通断；每路电源输出具有过流过压保护；提供</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8路多功能电源插座，另有</w:t>
            </w:r>
            <w:r>
              <w:rPr>
                <w:rFonts w:hint="eastAsia" w:ascii="宋体" w:hAnsi="宋体" w:cs="宋体"/>
                <w:color w:val="auto"/>
                <w:sz w:val="20"/>
                <w:szCs w:val="20"/>
                <w:lang w:val="en-US" w:eastAsia="zh-CN"/>
              </w:rPr>
              <w:t xml:space="preserve">不少于</w:t>
            </w:r>
            <w:r>
              <w:rPr>
                <w:rFonts w:hint="eastAsia" w:ascii="宋体" w:hAnsi="宋体" w:eastAsia="宋体" w:cs="宋体"/>
                <w:color w:val="auto"/>
                <w:sz w:val="20"/>
                <w:szCs w:val="20"/>
              </w:rPr>
              <w:t xml:space="preserve">两路备用电源插座；数码显示供电电压，直观了解供电情况；标准19寸机柜安装方式（1U）</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线缆及辅材</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金银线2*300支，PVC25管等</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会议灯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电源电压：AC100~240V，50/60Hz；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电源功率：200W24V；</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额定功率：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180W；</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灯珠：≥0.5W*600颗；</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显色指数：Ra≥92；</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色   温：3200K-5600K可调；</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调   光：0~100%线性调光；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控制面板：LCD+四按键；</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通道模式：2CH/4CH/6CH；</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出光角度：≥120度；</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散热方式：无风扇自然散热；</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控制模式：DMX512控制/手动模式；</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防护等级：IP20</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灯光控台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电压：220V-240V</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50-60Hz；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总功率：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10W；</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功能特点：DMX512国际标准；</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≥240路总通道数；</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≥12场程序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场</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数.23步程序最大步数</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场景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≥276步程序总步数</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场景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.0.1-25.5秒/步场景停顿时间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0.1-25.5秒场景渐变速度；</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≥24通道调光通道；16*2字符；DMX512输出接口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128K大容量记忆卡</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大灯勾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规格：≥28mm厚；重量：228g；承重：≥50kg；卡管：40-58mm。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安全绳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规格：≥4mm；长度：≥800mm；承重：≥150kg。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灯杆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≥φ50*2.5mm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≥22U；全柜采用优质冷轧钢板；置顶式散热单元，钣金后门上下散热孔设计；</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多媒体地插</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配置接口：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1个多功能电源，网络，3.5音频，HDMI</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音频隔离器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6.5音响噪音滤波消除电流声变压信号降噪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无线传屏器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1、配合会议平板使用，无需驱动，即插即用。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2、无线传输频段：2.4G/5.8G；</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3、射频功率：-2dbm-4dbm；</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4、传输速率：≥10MBps；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5、支持视频分辨率：FHD 60Hz及以上；</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6、无线传输距离：&gt;10m；</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7、最大连接数：≥8个；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HDMI延长器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HDMI延长器135米 hdmi转RJ45单网线</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音频连接线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1.8米GQ音频连接线：卡侬头（母）-卡侬头（公）</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HDMI线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HDMI 5米</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208人大会议室（275㎡）</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主扩音箱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配置≥一个75芯高音单元和≥一个75芯大动态的15寸低音单元。</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采用可旋转号角。箱体采用多层复合夹板。</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频率响应：40Hz-20KHz；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灵敏度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1W@1m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：≥100dB；</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标称抗阻：≤8Ω；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额定功率：≤500W AES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2000W peak；</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低音单元：1×15＂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385mm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/3＂voice coil LF；</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高音单元：1×1.5＂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38mm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/3＂voice coil HF；</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扩散角度：80°×50°；</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最大声压级：126dB continuous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132dB peak；</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连接插座：2×Speakon NL4</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音箱支架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壁挂支架，多角度调节</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主扩功放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额定功率：立体声8Ω：不少于2*400W；立体声4Ω：不少于2*600W；</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信噪比：≥100dB；</w:t>
            </w:r>
            <w:r/>
          </w:p>
          <w:p>
            <w:pPr>
              <w:jc w:val="left"/>
              <w:keepNext/>
              <w:widowControl/>
              <w:rPr>
                <w:rStyle w:val="1014"/>
                <w:rFonts w:hint="eastAsia" w:ascii="宋体" w:hAnsi="宋体" w:eastAsia="宋体" w:cs="宋体"/>
                <w:color w:val="auto"/>
              </w:rPr>
            </w:pP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3、</w:t>
            </w:r>
            <w:r>
              <w:rPr>
                <w:rStyle w:val="1013"/>
                <w:rFonts w:hint="eastAsia" w:ascii="宋体" w:hAnsi="宋体" w:eastAsia="宋体" w:cs="宋体"/>
                <w:color w:val="auto"/>
              </w:rPr>
              <w:t xml:space="preserve">自带5路电源时序功能；自带数字静噪功能，通过对启动/关闭响应时间及灵敏度的设置，可适应更多应用场景底噪消除；</w:t>
            </w:r>
            <w:r>
              <w:rPr>
                <w:rStyle w:val="1014"/>
                <w:rFonts w:hint="eastAsia" w:ascii="宋体" w:hAnsi="宋体" w:eastAsia="宋体" w:cs="宋体"/>
                <w:color w:val="auto"/>
              </w:rPr>
              <w:t xml:space="preserve">自动无极变速双风扇强制冷却。</w:t>
            </w:r>
            <w:r/>
          </w:p>
          <w:p>
            <w:pPr>
              <w:jc w:val="left"/>
              <w:keepNext/>
              <w:widowControl/>
              <w:rPr>
                <w:rFonts w:hint="eastAsia" w:ascii="宋体" w:hAnsi="宋体" w:eastAsia="宋体" w:cs="宋体"/>
                <w:color w:val="auto"/>
                <w:sz w:val="20"/>
                <w:szCs w:val="20"/>
              </w:rPr>
            </w:pPr>
            <w:r>
              <w:rPr>
                <w:rStyle w:val="1012"/>
                <w:rFonts w:hint="eastAsia" w:ascii="宋体" w:hAnsi="宋体" w:cs="宋体"/>
                <w:color w:val="auto"/>
                <w:lang w:val="en-US" w:eastAsia="zh-CN"/>
              </w:rPr>
              <w:t xml:space="preserve">4、</w:t>
            </w:r>
            <w:r>
              <w:rPr>
                <w:rStyle w:val="1012"/>
                <w:rFonts w:hint="eastAsia" w:ascii="宋体" w:hAnsi="宋体" w:eastAsia="宋体" w:cs="宋体"/>
                <w:color w:val="auto"/>
              </w:rPr>
              <w:t xml:space="preserve">全功能保护电路，包括温度</w:t>
            </w:r>
            <w:r>
              <w:rPr>
                <w:rStyle w:val="1012"/>
                <w:rFonts w:hint="eastAsia" w:ascii="宋体" w:hAnsi="宋体" w:cs="宋体"/>
                <w:color w:val="auto"/>
                <w:lang w:eastAsia="zh-CN"/>
              </w:rPr>
              <w:t xml:space="preserve">（</w:t>
            </w:r>
            <w:r>
              <w:rPr>
                <w:rStyle w:val="1012"/>
                <w:rFonts w:hint="eastAsia" w:ascii="宋体" w:hAnsi="宋体" w:eastAsia="宋体" w:cs="宋体"/>
                <w:color w:val="auto"/>
              </w:rPr>
              <w:t xml:space="preserve">过热</w:t>
            </w:r>
            <w:r>
              <w:rPr>
                <w:rStyle w:val="1012"/>
                <w:rFonts w:hint="eastAsia" w:ascii="宋体" w:hAnsi="宋体" w:cs="宋体"/>
                <w:color w:val="auto"/>
                <w:lang w:eastAsia="zh-CN"/>
              </w:rPr>
              <w:t xml:space="preserve">）</w:t>
            </w:r>
            <w:r>
              <w:rPr>
                <w:rStyle w:val="1012"/>
                <w:rFonts w:hint="eastAsia" w:ascii="宋体" w:hAnsi="宋体" w:eastAsia="宋体" w:cs="宋体"/>
                <w:color w:val="auto"/>
              </w:rPr>
              <w:t xml:space="preserve">、短路、直流、压限、过载、过流、失真限幅、欠压/过压、开关机噪音、负载不匹配</w:t>
            </w:r>
            <w:r>
              <w:rPr>
                <w:rStyle w:val="1012"/>
                <w:rFonts w:hint="eastAsia" w:ascii="宋体" w:hAnsi="宋体" w:cs="宋体"/>
                <w:color w:val="auto"/>
                <w:lang w:eastAsia="zh-CN"/>
              </w:rPr>
              <w:t xml:space="preserve">（</w:t>
            </w:r>
            <w:r>
              <w:rPr>
                <w:rStyle w:val="1012"/>
                <w:rFonts w:hint="eastAsia" w:ascii="宋体" w:hAnsi="宋体" w:eastAsia="宋体" w:cs="宋体"/>
                <w:color w:val="auto"/>
              </w:rPr>
              <w:t xml:space="preserve">低阻</w:t>
            </w:r>
            <w:r>
              <w:rPr>
                <w:rStyle w:val="1012"/>
                <w:rFonts w:hint="eastAsia" w:ascii="宋体" w:hAnsi="宋体" w:cs="宋体"/>
                <w:color w:val="auto"/>
                <w:lang w:eastAsia="zh-CN"/>
              </w:rPr>
              <w:t xml:space="preserve">）</w:t>
            </w:r>
            <w:r>
              <w:rPr>
                <w:rStyle w:val="1012"/>
                <w:rFonts w:hint="eastAsia" w:ascii="宋体" w:hAnsi="宋体" w:eastAsia="宋体" w:cs="宋体"/>
                <w:color w:val="auto"/>
              </w:rPr>
              <w:t xml:space="preserve">开机软启动、开机防浪涌、无线电干扰、次生波、高频输出自动检测</w:t>
            </w:r>
            <w:r>
              <w:rPr>
                <w:rStyle w:val="1012"/>
                <w:rFonts w:hint="eastAsia" w:ascii="宋体" w:hAnsi="宋体" w:cs="宋体"/>
                <w:color w:val="auto"/>
                <w:lang w:eastAsia="zh-CN"/>
              </w:rPr>
              <w:t xml:space="preserve">（</w:t>
            </w:r>
            <w:r>
              <w:rPr>
                <w:rStyle w:val="1012"/>
                <w:rFonts w:hint="eastAsia" w:ascii="宋体" w:hAnsi="宋体" w:eastAsia="宋体" w:cs="宋体"/>
                <w:color w:val="auto"/>
              </w:rPr>
              <w:t xml:space="preserve">超高频</w:t>
            </w:r>
            <w:r>
              <w:rPr>
                <w:rStyle w:val="1012"/>
                <w:rFonts w:hint="eastAsia" w:ascii="宋体" w:hAnsi="宋体" w:cs="宋体"/>
                <w:color w:val="auto"/>
                <w:lang w:eastAsia="zh-CN"/>
              </w:rPr>
              <w:t xml:space="preserve">）</w:t>
            </w:r>
            <w:r>
              <w:rPr>
                <w:rStyle w:val="1012"/>
                <w:rFonts w:hint="eastAsia" w:ascii="宋体" w:hAnsi="宋体" w:eastAsia="宋体" w:cs="宋体"/>
                <w:color w:val="auto"/>
              </w:rPr>
              <w:t xml:space="preserve">等保护。</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辅助音箱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频率响应：45Hz-19KHz；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灵敏度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1W@1m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：≥99dB；</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标称抗阻：≤8Ω；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额定功率：≤450W AES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1800W peak；</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低音单元：1×12＂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300mm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/3＂voice coil LF；</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高音单元：1×1＂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/1.75＂voice coil HF；</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扩散角度：80°×50°；</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最大声压级：126dB continuous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138dB peak；</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连接插座：2×Speakon NL4</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音箱支架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壁挂支架，多角度调节</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辅助功放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额定功率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rms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立体声 8Ω：≥2*600W；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额定功率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rms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立体声 4Ω：≥2*900W；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桥接8Ω：≥1800W；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信噪比：</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112dB；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转换速率：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100V/US；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阻尼系数：</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1500：1；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频率响应：20Hz-20KHz ±0.2dB；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总谐波失真：</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0.025%；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互调失真：</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0.05%；</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输入灵敏度：0.775V/1.4V（32dB</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输入阻抗：20KΩ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BLANCE/10KΩ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UNBLANCE；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输入共模抑制比：</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80dB；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串音干扰/分离度：</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80dB；</w:t>
            </w:r>
            <w:r>
              <w:rPr>
                <w:rFonts w:hint="eastAsia" w:ascii="宋体" w:hAnsi="宋体" w:eastAsia="宋体" w:cs="宋体"/>
                <w:color w:val="auto"/>
                <w:sz w:val="20"/>
                <w:szCs w:val="20"/>
              </w:rPr>
              <w:br/>
            </w: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电压增益/放大倍数：×92；</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保护电路：全功能保护电路，包括温度（过热）、短路、直流、压限、过载、过流、失真限幅、欠压/过压、开关机噪音、负载不匹配（低阻）开机软启动、开机防浪涌、无线电干扰、次生波、高频输出自动检测（超高频）等保护；</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16、</w:t>
            </w:r>
            <w:r>
              <w:rPr>
                <w:rFonts w:hint="eastAsia" w:ascii="宋体" w:hAnsi="宋体" w:eastAsia="宋体" w:cs="宋体"/>
                <w:color w:val="auto"/>
                <w:sz w:val="20"/>
                <w:szCs w:val="20"/>
              </w:rPr>
              <w:t xml:space="preserve">冷却系统：自动无级变速双风扇强制冷却；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17、</w:t>
            </w:r>
            <w:r>
              <w:rPr>
                <w:rFonts w:hint="eastAsia" w:ascii="宋体" w:hAnsi="宋体" w:eastAsia="宋体" w:cs="宋体"/>
                <w:color w:val="auto"/>
                <w:sz w:val="20"/>
                <w:szCs w:val="20"/>
              </w:rPr>
              <w:t xml:space="preserve">输出电路类型：H类；</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18、</w:t>
            </w:r>
            <w:r>
              <w:rPr>
                <w:rFonts w:hint="eastAsia" w:ascii="宋体" w:hAnsi="宋体" w:eastAsia="宋体" w:cs="宋体"/>
                <w:color w:val="auto"/>
                <w:sz w:val="20"/>
                <w:szCs w:val="20"/>
              </w:rPr>
              <w:t xml:space="preserve">最大功耗：≤1500VA/6.5A</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数字音频处理器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4进8出数字音频处理器，96Khz采样频率，AD/DA动态范围达118dB；输入输出可调延时达1000ms，精度0.02ms；</w:t>
            </w:r>
            <w:r/>
          </w:p>
          <w:p>
            <w:pPr>
              <w:jc w:val="left"/>
              <w:keepNext/>
              <w:widowControl/>
              <w:rPr>
                <w:rStyle w:val="1015"/>
                <w:rFonts w:hint="eastAsia" w:ascii="宋体" w:hAnsi="宋体" w:eastAsia="宋体" w:cs="宋体"/>
                <w:color w:val="auto"/>
              </w:rPr>
            </w:pPr>
            <w:r>
              <w:rPr>
                <w:rStyle w:val="1013"/>
                <w:rFonts w:hint="eastAsia" w:ascii="宋体" w:hAnsi="宋体" w:cs="宋体"/>
                <w:color w:val="auto"/>
                <w:lang w:val="en-US" w:eastAsia="zh-CN"/>
              </w:rPr>
              <w:t xml:space="preserve">2、</w:t>
            </w:r>
            <w:r>
              <w:rPr>
                <w:rStyle w:val="1013"/>
                <w:rFonts w:hint="eastAsia" w:ascii="宋体" w:hAnsi="宋体" w:eastAsia="宋体" w:cs="宋体"/>
                <w:color w:val="auto"/>
              </w:rPr>
              <w:t xml:space="preserve">内置粉红/白噪声/正弦发生器；输入通道：噪声门、反馈抑制器、10段参量均衡、3段动态均衡器、高低通、压缩器、延时；</w:t>
            </w:r>
            <w:r>
              <w:rPr>
                <w:rStyle w:val="1015"/>
                <w:rFonts w:hint="eastAsia" w:ascii="宋体" w:hAnsi="宋体" w:eastAsia="宋体" w:cs="宋体"/>
                <w:color w:val="auto"/>
              </w:rPr>
              <w:t xml:space="preserve">以太网+USB+RS232/485控制接口，开放TCP/IP及串口协议实现第三方控制；</w:t>
            </w:r>
            <w:r/>
          </w:p>
          <w:p>
            <w:pPr>
              <w:jc w:val="left"/>
              <w:keepNext/>
              <w:widowControl/>
              <w:rPr>
                <w:rFonts w:hint="eastAsia" w:ascii="宋体" w:hAnsi="宋体" w:eastAsia="宋体" w:cs="宋体"/>
                <w:color w:val="auto"/>
                <w:sz w:val="20"/>
                <w:szCs w:val="20"/>
                <w:lang w:val="en-US" w:eastAsia="zh-CN"/>
              </w:rPr>
            </w:pPr>
            <w:r>
              <w:rPr>
                <w:rStyle w:val="1012"/>
                <w:rFonts w:hint="eastAsia" w:ascii="宋体" w:hAnsi="宋体" w:cs="宋体"/>
                <w:color w:val="auto"/>
                <w:lang w:val="en-US" w:eastAsia="zh-CN"/>
              </w:rPr>
              <w:t xml:space="preserve">3、</w:t>
            </w:r>
            <w:r>
              <w:rPr>
                <w:rStyle w:val="1012"/>
                <w:rFonts w:hint="eastAsia" w:ascii="宋体" w:hAnsi="宋体" w:eastAsia="宋体" w:cs="宋体"/>
                <w:color w:val="auto"/>
              </w:rPr>
              <w:t xml:space="preserve">输出通道功能：矩阵混音，10段参量均衡、高低通、压缩器、限幅器、延时器；灵活的GPIO端口（输入输出各2个）便于系统集成联控[可选GPIO扩展盒]；PC 软件搜索发现处理器，支持23组场景预设，可灵活调用</w:t>
            </w:r>
            <w:r>
              <w:rPr>
                <w:rStyle w:val="1012"/>
                <w:rFonts w:hint="eastAsia" w:ascii="宋体" w:hAnsi="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语言增强处理器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采用人工智能宽度学习算法，能明显降低语言扩声过程中非人声类噪音。每路包含ANS智能降噪及增益控制、反馈抑制、10段参量均衡、高低通、AGC自动增益；输入和输出都有4个接口，2个6.35话筒接口和2个卡依母接口；</w:t>
            </w:r>
            <w:r/>
          </w:p>
          <w:p>
            <w:pPr>
              <w:jc w:val="left"/>
              <w:keepNext/>
              <w:widowControl/>
              <w:rPr>
                <w:rStyle w:val="1013"/>
                <w:rFonts w:hint="eastAsia" w:ascii="宋体" w:hAnsi="宋体" w:eastAsia="宋体" w:cs="宋体"/>
                <w:color w:val="auto"/>
              </w:rPr>
            </w:pP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Style w:val="1013"/>
                <w:rFonts w:hint="eastAsia" w:ascii="宋体" w:hAnsi="宋体" w:eastAsia="宋体" w:cs="宋体"/>
                <w:color w:val="auto"/>
              </w:rPr>
              <w:t xml:space="preserve">LCD显示屏指示通道Link状态、ANS降噪等级、AFS移频和AGC自动增益阈值、面板锁状态；输入接口支持＋48V幻像电源以及线路和麦克风信号类型切换；具有10级ANS降噪功能；具有AFS移频啸叫抑制；具有AGC自动增益阈值调节功能；</w:t>
            </w:r>
            <w:r/>
          </w:p>
          <w:p>
            <w:pPr>
              <w:jc w:val="left"/>
              <w:keepNext/>
              <w:widowControl/>
              <w:rPr>
                <w:rFonts w:hint="eastAsia" w:ascii="宋体" w:hAnsi="宋体" w:eastAsia="宋体" w:cs="宋体"/>
                <w:color w:val="auto"/>
                <w:sz w:val="20"/>
                <w:szCs w:val="20"/>
                <w:lang w:eastAsia="zh-CN"/>
              </w:rPr>
            </w:pPr>
            <w:r>
              <w:rPr>
                <w:rStyle w:val="1012"/>
                <w:rFonts w:hint="eastAsia" w:ascii="宋体" w:hAnsi="宋体" w:cs="宋体"/>
                <w:color w:val="auto"/>
                <w:lang w:val="en-US" w:eastAsia="zh-CN"/>
              </w:rPr>
              <w:t xml:space="preserve">3、</w:t>
            </w:r>
            <w:r>
              <w:rPr>
                <w:rStyle w:val="1012"/>
                <w:rFonts w:hint="eastAsia" w:ascii="宋体" w:hAnsi="宋体" w:eastAsia="宋体" w:cs="宋体"/>
                <w:color w:val="auto"/>
              </w:rPr>
              <w:t xml:space="preserve">信号处理功能：人工智能降噪、反馈抑制、10段参量均衡、高低通滤波器、AGC自动增益、压缩、噪声门、相位、动态均衡；23组预设，每个预设独立工作；支持通道拷贝、Link和分组功能</w:t>
            </w:r>
            <w:r>
              <w:rPr>
                <w:rStyle w:val="1012"/>
                <w:rFonts w:hint="eastAsia" w:ascii="宋体" w:hAnsi="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调音台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12通道设计；</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4/8单声道</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4立体声；平衡XLR输出；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4辅助编组</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2推子前折返</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1衰减；后辅助，</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1组立体声输出；LR主要TRS输出；外接立体声效果输入与内部效果；</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9段立体声均衡；99DSP效果；MP3播放器；低通滤波XLR输出；+48V幻象电源开关；100MM推子；USB录音功能；可机架安装</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一拖二无线麦克风</w:t>
            </w:r>
            <w:r/>
          </w:p>
        </w:tc>
        <w:tc>
          <w:tcPr>
            <w:tcBorders>
              <w:top w:val="single" w:color="000000" w:sz="4" w:space="0"/>
              <w:left w:val="single" w:color="000000" w:sz="4" w:space="0"/>
              <w:bottom w:val="single" w:color="000000" w:sz="4" w:space="0"/>
              <w:right w:val="single" w:color="000000" w:sz="4" w:space="0"/>
            </w:tcBorders>
            <w:tcW w:w="6236" w:type="dxa"/>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红外线对频功能，能方便、快捷的使发射机与接收机频率同步。发射器可以互换，手持、头戴和领夹话筒可任意搭配使用，操作简单、功能先进；</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主机具有300-400米的有效工作距离</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可视距离</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提供200个可调频率，真正分集式接收，有效避免断频现象和延长接收距离；</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采用PLL锁相环多信道频率合成技术设计，UHF600-699MHz频段载波，超高频段双真分集超外差二次变频接收，具备超强抗RF/GSM信号干扰能力；</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具有SCAN自动扫频功能，使用前按SET功能键自动找一个环境最干净的频点处停下来，此频率作为接收机的使用频率；</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中、英文切换，可设置全中文显示和开机LOGO显示方式，同时显示信道号、工作频率、电池电量和开关状态，带8级射频电平显示，8级音频电平显示，频道菜单显示，静音显示；</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可</w:t>
            </w:r>
            <w:r>
              <w:rPr>
                <w:rFonts w:hint="eastAsia" w:ascii="宋体" w:hAnsi="宋体" w:eastAsia="宋体" w:cs="宋体"/>
                <w:color w:val="auto"/>
                <w:sz w:val="20"/>
                <w:szCs w:val="20"/>
              </w:rPr>
              <w:t xml:space="preserve">清晰明确地显示工作频率或频道、电池电量、开关状态等；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主机面板具有一键自动静音功能，具有锁键功能，使用电子音量控制，防止人为误操作，具有解/锁ID功能，更专业；</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平衡和非平衡两种选择输出端口，适应不同的设备连接需求；</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中频丰富，声音具有磁性感和混厚感，属人声麦克风音质的精华；</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超强的抗干扰能力，能有效抑制由外部带来的噪音干扰及同频干扰；</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金属外壳1U的标准机柜设计，轻触式按钮控制简捷，安装和使用更方便。</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一拖二无线麦克风</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一拖二真分集，手持腰包任意配选；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采用数字导频和ID码身份认证技术；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3、采</w:t>
            </w:r>
            <w:r>
              <w:rPr>
                <w:rFonts w:hint="eastAsia" w:ascii="宋体" w:hAnsi="宋体" w:eastAsia="宋体" w:cs="宋体"/>
                <w:color w:val="auto"/>
                <w:sz w:val="20"/>
                <w:szCs w:val="20"/>
              </w:rPr>
              <w:t xml:space="preserve">用锁相环PLL频率合成稳定系统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提供200个通道；</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采用最新型高频滤波器</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最大限度地滤除带外干扰信号；</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采用二次变频的高频电路设计</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具有极高的灵敏度；</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多重静噪控制电路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拒绝外部干扰接收距离达250米；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专门设计的语音压缩扩展电路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极大地提高信噪比；</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独特的电路设计</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动态大</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频响宽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噪音小；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频率范围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UHF 520-930MHz；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调制方式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宽频FM；</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可调范围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50MHz；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通道数目</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2x100；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通道间隔</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250OKHz；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频率稳定度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±0.005%以内；</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动态范围</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100dB；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16、</w:t>
            </w:r>
            <w:r>
              <w:rPr>
                <w:rFonts w:hint="eastAsia" w:ascii="宋体" w:hAnsi="宋体" w:eastAsia="宋体" w:cs="宋体"/>
                <w:color w:val="auto"/>
                <w:sz w:val="20"/>
                <w:szCs w:val="20"/>
              </w:rPr>
              <w:t xml:space="preserve">最大频偏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±45KHz；</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17、</w:t>
            </w:r>
            <w:r>
              <w:rPr>
                <w:rFonts w:hint="eastAsia" w:ascii="宋体" w:hAnsi="宋体" w:eastAsia="宋体" w:cs="宋体"/>
                <w:color w:val="auto"/>
                <w:sz w:val="20"/>
                <w:szCs w:val="20"/>
              </w:rPr>
              <w:t xml:space="preserve">音频回应</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80Hz-18KHz</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±3dB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18、</w:t>
            </w:r>
            <w:r>
              <w:rPr>
                <w:rFonts w:hint="eastAsia" w:ascii="宋体" w:hAnsi="宋体" w:eastAsia="宋体" w:cs="宋体"/>
                <w:color w:val="auto"/>
                <w:sz w:val="20"/>
                <w:szCs w:val="20"/>
              </w:rPr>
              <w:t xml:space="preserve">综合信噪比</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105dB；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19、</w:t>
            </w:r>
            <w:r>
              <w:rPr>
                <w:rFonts w:hint="eastAsia" w:ascii="宋体" w:hAnsi="宋体" w:eastAsia="宋体" w:cs="宋体"/>
                <w:color w:val="auto"/>
                <w:sz w:val="20"/>
                <w:szCs w:val="20"/>
              </w:rPr>
              <w:t xml:space="preserve">综合失真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≤0.5%</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天线分配器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1.8寸，显示天线信号状态，麦克风接收机在线状态，电源输出状态；</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带GAIN增益按钮，GAIN可调增益：+3dB</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+6dB</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+9dB可调，屏幕显示增益设置；</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可配置定向天线及全向天线；</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共AB两组</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8个信号输出：麦克风主机天线接收；</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1个直流DC12V 5A输入：天线放大器主机电源座；</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2个级联输出接口：连接下一台天线放大器；</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4个DC电源输出：直流输出DC12V-1A；</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2个有源天线放大模块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或无源天线</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输入接口AB：带DC8V 500mA输出；</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天线类型：对数周期偶极阵</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LPDA</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天线；</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连接端子：固定式直角 BNC母座；</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指向极性：垂直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于垂直安装</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指向性：椭圆形180°典型；</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14、</w:t>
            </w:r>
            <w:r>
              <w:rPr>
                <w:rFonts w:hint="eastAsia" w:ascii="宋体" w:hAnsi="宋体" w:eastAsia="宋体" w:cs="宋体"/>
                <w:color w:val="auto"/>
                <w:sz w:val="20"/>
                <w:szCs w:val="20"/>
              </w:rPr>
              <w:t xml:space="preserve">工作频带：500MHz-900MHz；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15、</w:t>
            </w:r>
            <w:r>
              <w:rPr>
                <w:rFonts w:hint="eastAsia" w:ascii="宋体" w:hAnsi="宋体" w:eastAsia="宋体" w:cs="宋体"/>
                <w:color w:val="auto"/>
                <w:sz w:val="20"/>
                <w:szCs w:val="20"/>
              </w:rPr>
              <w:t xml:space="preserve">导波器段数：</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11段；</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16、</w:t>
            </w:r>
            <w:r>
              <w:rPr>
                <w:rFonts w:hint="eastAsia" w:ascii="宋体" w:hAnsi="宋体" w:eastAsia="宋体" w:cs="宋体"/>
                <w:color w:val="auto"/>
                <w:sz w:val="20"/>
                <w:szCs w:val="20"/>
              </w:rPr>
              <w:t xml:space="preserve">电压驻波比：至1.5</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有源对数周期天线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射频频率范围等同或优于470～950MHz；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驻波比：≤2.0；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输入阻抗：≤50Ω；</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指向性：≥180度指向</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会议系统主机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具有多种会议模式，最大发言人数</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4人；系统操作简便、直观而易用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无线方式实现所有功能，摆脱繁琐的电缆铺设，信号覆盖范围内可任意移动，轻松便捷布置会场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全自动定频，系统预设20组不同的频段通道，可设置多套系统在同一会场使用，满足大型的会议需求，也可避免与其他无线产品的相互干扰</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采用ATGAT技术（自动时隙分配技术）的具有避免和解决通信冲突能力的时分多址接入通信协议（CSTDMA），自动选取最优频率进行通信，无需人工设定工作频率。多台接收机同时工作时，各接收机会自动避开其它接收机已经选用的频点进行工作，全过程全自动进行，无需人工干预，实现智能安装</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内置多种传感器，无线侦测、无线调控、无线匹配、无线加密、无线自动管理，无需任何辅助即可帮您工作顺利完成</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雷达选频自动同步工作，列席单元在同一地址码时，主控机更换通讯频道，所有列席单元自动跟随同步，免除需专业人员的调试安装</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主控机支持168个列席单元，同时发言人数</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4人，可按实际会议需求设定人数</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主控机发言模式设有先进先出、主席模式，具有轮替1-2-3-4-、限制1-2-3-4</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主控机支持中控控制，话筒单元具有开、关话筒发码功能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主控机可以发起编写单元ID地址，可按需增减单元数量，灵活方便，告别编址繁琐</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主控机具有一键关闭所有会议单元的功能，省去人工手动关闭单元电源的操作</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列席单元无缝接入，随时更换或增加列席单元，无需中断会议进程</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采用真分集芯片，增强无线距离及无线传输的稳定性，适应各种特殊会场环境</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14、</w:t>
            </w:r>
            <w:r>
              <w:rPr>
                <w:rFonts w:hint="eastAsia" w:ascii="宋体" w:hAnsi="宋体" w:eastAsia="宋体" w:cs="宋体"/>
                <w:color w:val="auto"/>
                <w:sz w:val="20"/>
                <w:szCs w:val="20"/>
              </w:rPr>
              <w:t xml:space="preserve">2.8寸，分级菜单设计，会议模式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使操作简明方便</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15、</w:t>
            </w:r>
            <w:r>
              <w:rPr>
                <w:rFonts w:hint="eastAsia" w:ascii="宋体" w:hAnsi="宋体" w:eastAsia="宋体" w:cs="宋体"/>
                <w:color w:val="auto"/>
                <w:sz w:val="20"/>
                <w:szCs w:val="20"/>
              </w:rPr>
              <w:t xml:space="preserve">主控机采用全金属结构设计，庄重大方，线路与外壳都加强了与地线的连接，保证具备可抗静电8000V的能力</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16、</w:t>
            </w:r>
            <w:r>
              <w:rPr>
                <w:rFonts w:hint="eastAsia" w:ascii="宋体" w:hAnsi="宋体" w:eastAsia="宋体" w:cs="宋体"/>
                <w:color w:val="auto"/>
                <w:sz w:val="20"/>
                <w:szCs w:val="20"/>
              </w:rPr>
              <w:t xml:space="preserve">主机关机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2秒钟，列席单元自动关机，避免浪费电池电量，造成不必要麻烦</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17、</w:t>
            </w:r>
            <w:r>
              <w:rPr>
                <w:rFonts w:hint="eastAsia" w:ascii="宋体" w:hAnsi="宋体" w:eastAsia="宋体" w:cs="宋体"/>
                <w:color w:val="auto"/>
                <w:sz w:val="20"/>
                <w:szCs w:val="20"/>
              </w:rPr>
              <w:t xml:space="preserve">主控机采用标准2U设计，稳重坚固，可安装在19英寸标准机柜。</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18、</w:t>
            </w:r>
            <w:r>
              <w:rPr>
                <w:rFonts w:hint="eastAsia" w:ascii="宋体" w:hAnsi="宋体" w:eastAsia="宋体" w:cs="宋体"/>
                <w:color w:val="auto"/>
                <w:sz w:val="20"/>
                <w:szCs w:val="20"/>
              </w:rPr>
              <w:t xml:space="preserve">配套外置吸盘天线，可吸附在机柜顶，信号强安装便利。 </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19、</w:t>
            </w:r>
            <w:r>
              <w:rPr>
                <w:rFonts w:hint="eastAsia" w:ascii="宋体" w:hAnsi="宋体" w:eastAsia="宋体" w:cs="宋体"/>
                <w:color w:val="auto"/>
                <w:sz w:val="20"/>
                <w:szCs w:val="20"/>
              </w:rPr>
              <w:t xml:space="preserve">载波频段：UHF640MHz-690MHz；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20、</w:t>
            </w:r>
            <w:r>
              <w:rPr>
                <w:rFonts w:hint="eastAsia" w:ascii="宋体" w:hAnsi="宋体" w:eastAsia="宋体" w:cs="宋体"/>
                <w:color w:val="auto"/>
                <w:sz w:val="20"/>
                <w:szCs w:val="20"/>
              </w:rPr>
              <w:t xml:space="preserve">调制方式：FM；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21、</w:t>
            </w:r>
            <w:r>
              <w:rPr>
                <w:rFonts w:hint="eastAsia" w:ascii="宋体" w:hAnsi="宋体" w:eastAsia="宋体" w:cs="宋体"/>
                <w:color w:val="auto"/>
                <w:sz w:val="20"/>
                <w:szCs w:val="20"/>
              </w:rPr>
              <w:t xml:space="preserve">工作有效距离：</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60米；</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22、</w:t>
            </w:r>
            <w:r>
              <w:rPr>
                <w:rFonts w:hint="eastAsia" w:ascii="宋体" w:hAnsi="宋体" w:eastAsia="宋体" w:cs="宋体"/>
                <w:color w:val="auto"/>
                <w:sz w:val="20"/>
                <w:szCs w:val="20"/>
              </w:rPr>
              <w:t xml:space="preserve">震荡方式：PLL相位锁定频率合成；</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23、</w:t>
            </w:r>
            <w:r>
              <w:rPr>
                <w:rFonts w:hint="eastAsia" w:ascii="宋体" w:hAnsi="宋体" w:eastAsia="宋体" w:cs="宋体"/>
                <w:color w:val="auto"/>
                <w:sz w:val="20"/>
                <w:szCs w:val="20"/>
              </w:rPr>
              <w:t xml:space="preserve">接收灵敏度：-95dBm；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24、</w:t>
            </w:r>
            <w:r>
              <w:rPr>
                <w:rFonts w:hint="eastAsia" w:ascii="宋体" w:hAnsi="宋体" w:eastAsia="宋体" w:cs="宋体"/>
                <w:color w:val="auto"/>
                <w:sz w:val="20"/>
                <w:szCs w:val="20"/>
              </w:rPr>
              <w:t xml:space="preserve">频带宽度：30MHz；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25、</w:t>
            </w:r>
            <w:r>
              <w:rPr>
                <w:rFonts w:hint="eastAsia" w:ascii="宋体" w:hAnsi="宋体" w:eastAsia="宋体" w:cs="宋体"/>
                <w:color w:val="auto"/>
                <w:sz w:val="20"/>
                <w:szCs w:val="20"/>
              </w:rPr>
              <w:t xml:space="preserve">最大偏移度：±45KHz；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26、</w:t>
            </w:r>
            <w:r>
              <w:rPr>
                <w:rFonts w:hint="eastAsia" w:ascii="宋体" w:hAnsi="宋体" w:eastAsia="宋体" w:cs="宋体"/>
                <w:color w:val="auto"/>
                <w:sz w:val="20"/>
                <w:szCs w:val="20"/>
              </w:rPr>
              <w:t xml:space="preserve">综合信噪比S/N：&gt;105dB；</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27、</w:t>
            </w:r>
            <w:r>
              <w:rPr>
                <w:rFonts w:hint="eastAsia" w:ascii="宋体" w:hAnsi="宋体" w:eastAsia="宋体" w:cs="宋体"/>
                <w:color w:val="auto"/>
                <w:sz w:val="20"/>
                <w:szCs w:val="20"/>
              </w:rPr>
              <w:t xml:space="preserve">综合T.H.D：&lt;0.7%@1KHz；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28、</w:t>
            </w:r>
            <w:r>
              <w:rPr>
                <w:rFonts w:hint="eastAsia" w:ascii="宋体" w:hAnsi="宋体" w:eastAsia="宋体" w:cs="宋体"/>
                <w:color w:val="auto"/>
                <w:sz w:val="20"/>
                <w:szCs w:val="20"/>
              </w:rPr>
              <w:t xml:space="preserve">综合频率响应：45Hz-18KHz±1dB；</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29、</w:t>
            </w:r>
            <w:r>
              <w:rPr>
                <w:rFonts w:hint="eastAsia" w:ascii="宋体" w:hAnsi="宋体" w:eastAsia="宋体" w:cs="宋体"/>
                <w:color w:val="auto"/>
                <w:sz w:val="20"/>
                <w:szCs w:val="20"/>
              </w:rPr>
              <w:t xml:space="preserve">供电：12V 1A；</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30、</w:t>
            </w:r>
            <w:r>
              <w:rPr>
                <w:rFonts w:hint="eastAsia" w:ascii="宋体" w:hAnsi="宋体" w:eastAsia="宋体" w:cs="宋体"/>
                <w:color w:val="auto"/>
                <w:sz w:val="20"/>
                <w:szCs w:val="20"/>
              </w:rPr>
              <w:t xml:space="preserve">输出插座：XLR平行式及6.3不平行式插座</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会议主席单元</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2.8寸，分级菜单设计。具有电量显示和欠压警告，频率信道、信号指示和工作状态等功能。列席单元通信状态下按键长亮蓝色灯。</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人性化功能：高清人声还原、超指向性角度60°、声音探测、独有续航供电、拒绝干扰。</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载波频段：UHF640MHz-690MHz；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振荡方式：PLL相位锁定频率合成；</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谐波辐射：&lt;-65dBm；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频带宽度：50MHz；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最大偏移度：±45KHz；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传感器：电容式双振膜咪芯、 超心指向性；</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RF功率输出：15mW；</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使用电池：3节5号电池，可以连续工作8小时</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待机时长可达12个小时；</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电流消耗：&lt;200mA</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会议客席单元</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2.8寸，分级菜单设计。具有电量显示和欠压警告，频率信道、信号指示和工作状态等功能。列席单元通信状态下按键长亮蓝色灯。</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人性化功能：高清人声还原、超指向性角度60°、声音探测、独有续航供电、拒绝干扰。</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载波频段：UHF640MHz-690MHz；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振荡方式：PLL相位锁定频率合成；</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谐波辐射：&lt;-65dBm；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频带宽度：50MHz；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最大偏移度：±45KHz；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传感器：电容式双振膜咪芯、 超心指向性；</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RF功率输出：15mW；</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使用电池：3节5号电池，可以连续工作8小时</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待机时长可达12个小时；</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电流消耗：&lt;200mA</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手拉手延长线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≥20米延长线（一公一母）</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会议话筒处理器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功能特点：</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2寸</w:t>
            </w:r>
            <w:r>
              <w:rPr>
                <w:rFonts w:hint="eastAsia" w:ascii="宋体" w:hAnsi="宋体" w:cs="宋体"/>
                <w:color w:val="auto"/>
                <w:sz w:val="20"/>
                <w:szCs w:val="20"/>
                <w:lang w:val="en-US" w:eastAsia="zh-CN"/>
              </w:rPr>
              <w:t xml:space="preserve">屏幕</w:t>
            </w:r>
            <w:r>
              <w:rPr>
                <w:rFonts w:hint="eastAsia" w:ascii="宋体" w:hAnsi="宋体" w:eastAsia="宋体" w:cs="宋体"/>
                <w:color w:val="auto"/>
                <w:sz w:val="20"/>
                <w:szCs w:val="20"/>
              </w:rPr>
              <w:t xml:space="preserve">，实时显示当前音频电平，系统音量，麦克风音量；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2、实时自动扫描啸叫抑制点并自动抑制，有效提升麦克风拾音距离；</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3、100级电子音量调整；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4、24bit高性能A/D及D/A转换芯片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语音清晰，还原度高；</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5、4通道48V幻象电源独立开关控制；</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一键对啸叫点进行校正；一键检测啸叫点，Ai自适应算法清除啸叫</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高保真音质，不改变原声</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高低音频频谱显示</w:t>
            </w:r>
            <w:r>
              <w:rPr>
                <w:rFonts w:hint="eastAsia" w:ascii="宋体" w:hAnsi="宋体" w:eastAsia="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lang w:val="en-US" w:eastAsia="zh-CN"/>
              </w:rPr>
              <w:t xml:space="preserve">、</w:t>
            </w:r>
            <w:r>
              <w:rPr>
                <w:rFonts w:hint="eastAsia" w:ascii="宋体" w:hAnsi="宋体" w:eastAsia="宋体" w:cs="宋体"/>
                <w:color w:val="auto"/>
                <w:sz w:val="20"/>
                <w:szCs w:val="20"/>
              </w:rPr>
              <w:t xml:space="preserve">信噪比&gt;105dB，超低噪声</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自动增益算法，讲话更轻松</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适配各种动圈或电容式话筒</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移频，陷波双算法。</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参数规格</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1、麦克风输入通道：4路平衡输入XLR和4路非平衡输入TRS；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2、音乐输入通道：1路RCA接口；</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3、输出通道：2路平衡输出XLR，1路RCA；</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4、频率响应：20-20KHz（BYPASS） 100-16KHz（ACTIVE）；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5、信噪比：≥90dB；</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6、输入阻抗：10KΩ；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7、输出阻抗：1KΩ；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8、AD采样：48K</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24bit；</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9、额定电压：220V/AC 50Hz；</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10、额定功率：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20W</w:t>
            </w:r>
            <w:r>
              <w:rPr>
                <w:rFonts w:hint="eastAsia" w:ascii="宋体" w:hAnsi="宋体" w:cs="宋体"/>
                <w:color w:val="auto"/>
                <w:sz w:val="20"/>
                <w:szCs w:val="20"/>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有源监听音箱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采用一只4寸全频单元。箱体采用ABS塑胶材质。</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频率响应：75Hz-18KHz；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灵敏度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1W@1m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：89dB；</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标称抗阻：6Ω；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额定功率：45 W RMS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180Wpeak；</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全频单元：1×4＂；</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最大声压级：91dB continuous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97dB peak；</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连接插座：RCA/6.3mm</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电源时序器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单相三线电源输入，</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10路万能插座电源输出；面板有时序总开关</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8路手动控制按钮以及LED状态指示，可单独控制每路电源的通断；每路电源输出具有过流过压保护；提供</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8路多功能电源插座，另有</w:t>
            </w:r>
            <w:r>
              <w:rPr>
                <w:rFonts w:hint="eastAsia" w:ascii="宋体" w:hAnsi="宋体" w:cs="宋体"/>
                <w:color w:val="auto"/>
                <w:sz w:val="20"/>
                <w:szCs w:val="20"/>
                <w:lang w:val="en-US" w:eastAsia="zh-CN"/>
              </w:rPr>
              <w:t xml:space="preserve">不少于</w:t>
            </w:r>
            <w:r>
              <w:rPr>
                <w:rFonts w:hint="eastAsia" w:ascii="宋体" w:hAnsi="宋体" w:eastAsia="宋体" w:cs="宋体"/>
                <w:color w:val="auto"/>
                <w:sz w:val="20"/>
                <w:szCs w:val="20"/>
              </w:rPr>
              <w:t xml:space="preserve">两路备用电源插座；数码显示供电电压，直观了解供电情况；标准19寸机柜安装方式（1U）</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线缆及辅材</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金银线2*300支，PVC25管等</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高清无缝混插矩阵主机箱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输入输出：最大支持16路信号输入，16路信号输出。 </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插卡式结构设计，采用每张卡4个通道的设计，可灵活配置输入输出信号类型及信号通道数，扩展方便，维护便捷，主机可以同时兼容不同的信号，可以配置AV、VGA、YPbPr、 DVI、HDMI、HD-SDI、光纤、网络等不同的输入输出板卡，互不干扰，同时传输。</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无缝瞬间切换，不黑屏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不存在缓慢的过度过程</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快如电影换镜头。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输出分辨率可调。</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支持图像局部细节放大、局部显示。</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每路输入视频都可独立可叠加字幕，支持中文及英文两种语言。字幕可静止或滚动，可更改背景颜色，也可设置为透明背景，字体可调节颜色、大小，字幕内容可通过串口软件随时更改。</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可拼接，兼容了拼接处理器功能，支持普通电视、液晶显示器及DLP等实现大屏幕拼接功能。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自带音量控制器功能，每路输出音频可独立调节音量，提供串口协议，支持电脑、中控等第三方设备对它进行音量控制</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音量大小可在电视、投影等显示设备上进行数字提示。</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每个输出通道</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可独立调节亮度、对比度、饱和度、锐利度；可对色温进行增益 调节 及补偿调节。</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VGA、AV、HDMI输入板卡都带音频输入，并且音频可溶合到HDMI 输出的视频里，即输出端的HDMI线可同时传输输入的视频和音频，连接电视等HDMI 显示设备，无需另接音频线。</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VGA、AV、HDMI输出板卡都支持独立的音频输出，音频信号可同时在HDMＩ数字接口和3.5Y音频模拟接口输出。HDMI 及 DVI 输入端带数字均衡调整电路，输出带信号预加重增强电路，使信号能进行更长距离传输，输入输出都可超过20米距离。</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所有板卡和主板，采用专业高速连接器。</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支持RS-232、红外、网口 </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选配</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、APP 控制信号切换功能，支持WEB网页控制（选配）。</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支持一键快速查询功能，方便察看矩阵的切换状态。</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14、</w:t>
            </w:r>
            <w:r>
              <w:rPr>
                <w:rFonts w:hint="eastAsia" w:ascii="宋体" w:hAnsi="宋体" w:eastAsia="宋体" w:cs="宋体"/>
                <w:color w:val="auto"/>
                <w:sz w:val="20"/>
                <w:szCs w:val="20"/>
              </w:rPr>
              <w:t xml:space="preserve">具有掉电记忆功能带有断电现场保护，上电自动恢复关机前状态。</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15、</w:t>
            </w:r>
            <w:r>
              <w:rPr>
                <w:rFonts w:hint="eastAsia" w:ascii="宋体" w:hAnsi="宋体" w:eastAsia="宋体" w:cs="宋体"/>
                <w:color w:val="auto"/>
                <w:sz w:val="20"/>
                <w:szCs w:val="20"/>
              </w:rPr>
              <w:t xml:space="preserve">带宽：10.5Gbps，增益： 0dB。</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16、</w:t>
            </w:r>
            <w:r>
              <w:rPr>
                <w:rFonts w:hint="eastAsia" w:ascii="宋体" w:hAnsi="宋体" w:eastAsia="宋体" w:cs="宋体"/>
                <w:color w:val="auto"/>
                <w:sz w:val="20"/>
                <w:szCs w:val="20"/>
              </w:rPr>
              <w:t xml:space="preserve">最大传输延时： 5ns。</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17、</w:t>
            </w:r>
            <w:r>
              <w:rPr>
                <w:rFonts w:hint="eastAsia" w:ascii="宋体" w:hAnsi="宋体" w:eastAsia="宋体" w:cs="宋体"/>
                <w:color w:val="auto"/>
                <w:sz w:val="20"/>
                <w:szCs w:val="20"/>
              </w:rPr>
              <w:t xml:space="preserve">切换速度： 200ns </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最长时间</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18、</w:t>
            </w:r>
            <w:r>
              <w:rPr>
                <w:rFonts w:hint="eastAsia" w:ascii="宋体" w:hAnsi="宋体" w:eastAsia="宋体" w:cs="宋体"/>
                <w:color w:val="auto"/>
                <w:sz w:val="20"/>
                <w:szCs w:val="20"/>
              </w:rPr>
              <w:t xml:space="preserve">以太网控制接口 </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选配</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RJ-45母接口，TCP/IP Server 或 UDP 模式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自适应10M或100M，全双工。</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19、</w:t>
            </w:r>
            <w:r>
              <w:rPr>
                <w:rFonts w:hint="eastAsia" w:ascii="宋体" w:hAnsi="宋体" w:eastAsia="宋体" w:cs="宋体"/>
                <w:color w:val="auto"/>
                <w:sz w:val="20"/>
                <w:szCs w:val="20"/>
              </w:rPr>
              <w:t xml:space="preserve">平均故障间隔时间： </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MTBF</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30000 小时。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数字高清音视频输入卡</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4路HDMI-A母接口输入，HDMI输入连接器为母端口；</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4路立体声音频输入信号，输入接口为凤凰端子；</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支持模拟音频加嵌；</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输入最长距离达20M；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支持EDID编辑功能；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EDID和DDC：管理支持延伸显示能力识别（EDID）和显示数据频道（DDC）使用DVI和HDMI的标准；</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兼容HDMI1.4的标准，HDCP1.3协议，DVI1.0协议；</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大支持分辨率：HDPC：1920x1200P@60_24bit；HDTV：1920x1080P@60_36bit</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张</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数字高清音视频输出卡</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4路HDMI-A母接口输出，HDMI输入连接器为母端口；</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4路立体声音频输出信号，输入接口为凤凰端子；</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支持模拟音频解嵌；</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输入最长距离达15M；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支持EDID编辑功能；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EDID和DDC：管理支持延伸显示能力识别（EDID）和显示数据频道（DDC）使用DVI和HDMI的标准；</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兼容HDMI1.4的标准，HDCP1.3协议，DVI1.0协议；</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最大支持分辨率：HDPC：1920*1200P@60_24bit；HDTV：1920*1080P@60_36bit</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张</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HDMI延长器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1、1080P、3D，传输距离可达100米；4K*2K，传输距离可达70米（非屏蔽6类网线）；</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2、支持全高清，1080P，3D及4K*2K；</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3、标准HDBaseT技术，支持HDMI1.4，兼容HDCP 1.2 协议，支持CEC；</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4、支持双向红外传输，支持串口透传；</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5、支持POE单端供电；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6、传输速率带宽</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10.2Gbps；</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7、内置ESD保护电路，能有效防止静电损坏</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中心控制管理</w:t>
            </w:r>
            <w:r>
              <w:rPr>
                <w:rFonts w:hint="eastAsia" w:ascii="宋体" w:hAnsi="宋体" w:cs="宋体"/>
                <w:color w:val="auto"/>
                <w:sz w:val="20"/>
                <w:szCs w:val="20"/>
                <w:lang w:val="en-US" w:eastAsia="zh-CN"/>
              </w:rPr>
              <w:t xml:space="preserve">设备</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1、开放式的可编程控制平台，人性化的中英文操作界面，交互式的控制结构；</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2、类C语言编程方式，结合自定义模块，既可以快速编写常规的控制功能，也可以通过自定义脚本实现复杂逻辑设计，例如数据提取分析、自定义逻辑动作处理；</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3、≥Contex-A9 CPU，512MDDR内存，1GFlash闪存，8G扩展存储；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≥2个Arm®Cortex®-A9内核，运行频率高达1GH；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5、前面板</w:t>
            </w:r>
            <w:r>
              <w:rPr>
                <w:rFonts w:hint="eastAsia" w:ascii="宋体" w:hAnsi="宋体" w:cs="宋体"/>
                <w:color w:val="auto"/>
                <w:sz w:val="20"/>
                <w:szCs w:val="20"/>
                <w:lang w:val="en-US" w:eastAsia="zh-CN"/>
              </w:rPr>
              <w:t xml:space="preserve">屏</w:t>
            </w:r>
            <w:r>
              <w:rPr>
                <w:rFonts w:hint="eastAsia" w:ascii="宋体" w:hAnsi="宋体" w:eastAsia="宋体" w:cs="宋体"/>
                <w:color w:val="auto"/>
                <w:sz w:val="20"/>
                <w:szCs w:val="20"/>
              </w:rPr>
              <w:t xml:space="preserve">≥4.3寸，支持自定义触摸按键，可显示中控主机网络信息等；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6、≥3路NET总线接口，支持SD-NET协议，支持自定义NET协议，最大可支持4096个总线协议设备。</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7、支持≥8个独立可编程串行接口，每一路独立可编程串行接口支持双向RS232、双向RS485及DMX512协议，最大支持8个DMX512接口，持同一串行接口实时变更配置，实现同一接口多种波特率、配置模式同时运行。</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可支持≥8路红外/IO服用接口，支持红外/IO复用，支持IO高、低电平触发，支持IO高、低电平输出，红外载波全频段兼容、支持独立，验证红外学习及红外仿真，配置双红外学习系统：USB移动红外学习棒及内置主机的学习模块，支持红外硬件学习；</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9、可支持≥8路干接触点接口；</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、支持通过Http协议控制视频会议终端，满足Https认证加密；</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、支持SSH、SFTP、FTP、SCP、TELNET等网络传输协议等文件；</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、内置高精度时钟系统，实时同步网络时钟，支持自定义某一时刻动作触发、定时触发及时间轴触发；</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、内置大容量存储空间，支持数据掉电存储，记录实时历史数据；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、支持多IP地址设定，支持跨网段控制；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、系统支持WIFI、有线网络等多种通讯方式，系统支持远程维护、调试、诊断，系统内置web服务器，支持网页控制，系统支持IOS、安卓、window终端控制；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、控制端软件支持视频、网页、图片、输入框、文本框等控件，支持实时更新内容；</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17</w:t>
            </w:r>
            <w:r>
              <w:rPr>
                <w:rFonts w:hint="eastAsia" w:ascii="宋体" w:hAnsi="宋体" w:eastAsia="宋体" w:cs="宋体"/>
                <w:color w:val="auto"/>
                <w:sz w:val="20"/>
                <w:szCs w:val="20"/>
              </w:rPr>
              <w:t xml:space="preserve">、支持视频回显，搭配专用视频编码器，可以实现内容实时回显，可视化控制；</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18</w:t>
            </w:r>
            <w:r>
              <w:rPr>
                <w:rFonts w:hint="eastAsia" w:ascii="宋体" w:hAnsi="宋体" w:eastAsia="宋体" w:cs="宋体"/>
                <w:color w:val="auto"/>
                <w:sz w:val="20"/>
                <w:szCs w:val="20"/>
              </w:rPr>
              <w:t xml:space="preserve">、支持音频电平实时动态显示，支持视频播控进度条实时显示；</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19</w:t>
            </w:r>
            <w:r>
              <w:rPr>
                <w:rFonts w:hint="eastAsia" w:ascii="宋体" w:hAnsi="宋体" w:eastAsia="宋体" w:cs="宋体"/>
                <w:color w:val="auto"/>
                <w:sz w:val="20"/>
                <w:szCs w:val="20"/>
              </w:rPr>
              <w:t xml:space="preserve">、控制端支持多主页、多子页，子页支持飞入飞出等动态效果；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val="en-US" w:eastAsia="zh-CN"/>
              </w:rPr>
              <w:t xml:space="preserve">0</w:t>
            </w:r>
            <w:r>
              <w:rPr>
                <w:rFonts w:hint="eastAsia" w:ascii="宋体" w:hAnsi="宋体" w:eastAsia="宋体" w:cs="宋体"/>
                <w:color w:val="auto"/>
                <w:sz w:val="20"/>
                <w:szCs w:val="20"/>
              </w:rPr>
              <w:t xml:space="preserve">、控制端支持交互性控制方式，支持权限设置，支持登录密码设置；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、支持按钮控件拖拽和图片控件拖拽控制，配合视频矩阵，可实现更为人性化的拖拽操作；</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、搭配控制软件，可实现平台的视频点播、图片自动播放、PPT播放、指定网页打开，支持飞屏上传内容到指定大屏支持视频进度、音量拖动控制；</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、支持通过云平台远程编程，实现远程上传、下载程序，支持设备远程诊断，可以远程查看设备工作状态、在线状态、运行时间等</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分布式网络继电器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1、内置8个大电流继电器，最大电流值20A，最大负载能力2200W/路，总负载能力16KW；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2、手动控制：在机器的正前方，有8个拨码开关，紧急情况下可以手动控制继电器的开关，在中控出现故障时可以使用这一功能，很好的保护其他的设备；</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3、IO控制：在机器的内部有8个IO接口，在没有中控的情况下也能使用，用途更广；</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4、ID选择 ：内置ID选码开关，最多可选址255个；</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5、支持8路继电控制，每路继电器都有三连接点的接线柱</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具有常开与常闭的功能；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6、前面面板带LED显示，可指示每个通道工作状态；</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7、支持SD-NET网络接口、RS232/RS485接口、CAN接口，可方便与第三方控制器兼容</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控制端软件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设备控制码对接，实现设备开关独立控制，例如投影开关、会议一体机开关、会议终端开关、机柜设备电源开关、拼接屏开关、LED屏开关等；视频切换控制，例如矩阵视频切换、拼接模式切换等；搭配音频处理器或者音量控制器，实现音量大小和静音的分区控制、音量总体控制；灯光开关控制；自定义场景设定，实现设备一键开关、场景一键联动，无需人员过多操作。</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平板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≥10.8英寸</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≥6GB+128GB</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WIFI</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≥22U；全柜采用优质冷轧钢板；置顶式散热单元，钣金后门上下散热孔设计；</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≥42U；全柜采用优质冷轧钢板；置顶式散热单元，钣金后门上下散热孔设计；</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多媒体地插</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配置接口：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1个多功能电源，网络，3.5音频，HDMI</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音频隔离器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6.5音响噪音滤波消除电流声变压信号降噪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无线传屏器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1、配合会议平板使用，无需驱动，即插即用。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2、无线传输频段：2.4G/5.8G；</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3、射频功率：-2dbm-4dbm</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4、传输速率：≥10MBps；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5、支持视频分辨率：FHD 60Hz及以上；</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6、无线传输距离：&gt;10m；</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7、最大连接数：≥8个</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音频连接线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1.8米音频连接线：卡侬头（母）-卡侬头（公）</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HDMI线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HDMI 5米</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能耗监测系统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控制终端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配套</w:t>
            </w:r>
            <w:r>
              <w:rPr>
                <w:rFonts w:hint="eastAsia" w:ascii="宋体" w:hAnsi="宋体" w:eastAsia="宋体" w:cs="宋体"/>
                <w:color w:val="auto"/>
                <w:sz w:val="20"/>
                <w:szCs w:val="20"/>
              </w:rPr>
              <w:t xml:space="preserve">智慧建筑能源管理平台</w:t>
            </w:r>
            <w:r>
              <w:rPr>
                <w:rFonts w:hint="eastAsia" w:ascii="宋体" w:hAnsi="宋体" w:cs="宋体"/>
                <w:color w:val="auto"/>
                <w:sz w:val="20"/>
                <w:szCs w:val="20"/>
                <w:lang w:val="en-US" w:eastAsia="zh-CN"/>
              </w:rPr>
              <w:t xml:space="preserve">使用。</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智慧建筑能源管理平台</w:t>
            </w:r>
            <w:r/>
          </w:p>
        </w:tc>
        <w:tc>
          <w:tcPr>
            <w:tcBorders>
              <w:top w:val="single" w:color="000000" w:sz="4" w:space="0"/>
              <w:left w:val="single" w:color="000000" w:sz="4" w:space="0"/>
              <w:bottom w:val="single" w:color="000000" w:sz="4" w:space="0"/>
              <w:right w:val="single" w:color="000000" w:sz="4" w:space="0"/>
            </w:tcBorders>
            <w:tcW w:w="6236" w:type="dxa"/>
            <w:vAlign w:val="center"/>
            <w:vMerge w:val="restart"/>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控制平台为B/S架构</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对自动化各个子系统进行进行监视、控制、测量与记录</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平面导航图或设备列表对所需区域设备进行实时监控</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查询各个报警信号的实时记录及历史纪录，可选弹出式报警</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授权中心：管理员及密码管理，可按人员的类别设置不同的登陆用户名进行登陆，查询及操作不同的区域集中控制，分散管理</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预付费管理</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余额实时更新，欠费自动断电/断水（可配置阈值）</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费率灵活设置：分时计价（峰谷平电价）、阶梯计价、固定除税主材单价</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远程通断：通过平台或APP远程控制开关</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批量操作：对多用户或区域统一通断。</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能耗报表模块</w:t>
            </w:r>
            <w:r/>
          </w:p>
        </w:tc>
        <w:tc>
          <w:tcPr>
            <w:tcBorders>
              <w:top w:val="single" w:color="000000" w:sz="4" w:space="0"/>
              <w:left w:val="single" w:color="000000" w:sz="4" w:space="0"/>
              <w:bottom w:val="single" w:color="000000" w:sz="4" w:space="0"/>
              <w:right w:val="single" w:color="000000" w:sz="4" w:space="0"/>
            </w:tcBorders>
            <w:tcW w:w="6236" w:type="dxa"/>
            <w:vAlign w:val="center"/>
            <w:vMerge w:val="continue"/>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能耗数据采集、分析模块</w:t>
            </w:r>
            <w:r/>
          </w:p>
        </w:tc>
        <w:tc>
          <w:tcPr>
            <w:tcBorders>
              <w:top w:val="single" w:color="000000" w:sz="4" w:space="0"/>
              <w:left w:val="single" w:color="000000" w:sz="4" w:space="0"/>
              <w:bottom w:val="single" w:color="000000" w:sz="4" w:space="0"/>
              <w:right w:val="single" w:color="000000" w:sz="4" w:space="0"/>
            </w:tcBorders>
            <w:tcW w:w="6236" w:type="dxa"/>
            <w:vAlign w:val="center"/>
            <w:vMerge w:val="continue"/>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能耗数据上传模块</w:t>
            </w:r>
            <w:r/>
          </w:p>
        </w:tc>
        <w:tc>
          <w:tcPr>
            <w:tcBorders>
              <w:top w:val="single" w:color="000000" w:sz="4" w:space="0"/>
              <w:left w:val="single" w:color="000000" w:sz="4" w:space="0"/>
              <w:bottom w:val="single" w:color="000000" w:sz="4" w:space="0"/>
              <w:right w:val="single" w:color="000000" w:sz="4" w:space="0"/>
            </w:tcBorders>
            <w:tcW w:w="6236" w:type="dxa"/>
            <w:vAlign w:val="center"/>
            <w:vMerge w:val="continue"/>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水电表测试集成费</w:t>
            </w:r>
            <w:r/>
          </w:p>
        </w:tc>
        <w:tc>
          <w:tcPr>
            <w:tcBorders>
              <w:top w:val="single" w:color="000000" w:sz="4" w:space="0"/>
              <w:left w:val="single" w:color="000000" w:sz="4" w:space="0"/>
              <w:bottom w:val="single" w:color="000000" w:sz="4" w:space="0"/>
              <w:right w:val="single" w:color="000000" w:sz="4" w:space="0"/>
            </w:tcBorders>
            <w:tcW w:w="6236" w:type="dxa"/>
            <w:vAlign w:val="center"/>
            <w:vMerge w:val="continue"/>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能耗数据采集器</w:t>
            </w:r>
            <w:r/>
          </w:p>
        </w:tc>
        <w:tc>
          <w:tcPr>
            <w:shd w:val="clear" w:color="auto" w:fill="ffffff"/>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电源输入：DC24V；</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通讯端口：RJ45；</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采集端口：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RS485*4；</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支持远程升级及参数配置；支持自动监测；每条总线最大支持99个计量设备</w:t>
            </w:r>
            <w:r>
              <w:rPr>
                <w:rFonts w:hint="eastAsia" w:ascii="宋体" w:hAnsi="宋体" w:cs="宋体"/>
                <w:color w:val="auto"/>
                <w:sz w:val="20"/>
                <w:szCs w:val="20"/>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能耗数据采集器控制箱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电源输入：AC220V；</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电源模块：AC24V/DC12V选配；</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网关：2个（MAX）；</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内置空气开关、线槽、接触器、导轨支架、盘线图等配件。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建筑设备监控系统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建筑设备监控系统软件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1、实时数据采集：支持MODBUS、BACNET、OPC、MQTT、IEC104、DLT645、HJ212、主流PLC等等近百种设备协议接入</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2、实时数据转发：支持OPC UA、OPC DA、MQTT、IEC104、MODBUS RTU 、MODBUS TCP、HTTP等多种实时数据转发服务</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实时组态监控：内置组态编辑器，实现监控图形的自定义绘制和实时数据绑定，包括：数值、变色、隐藏、闪烁、填充、移动、旋转、缩放等动态显示，以及开关反转、开关置位、模拟量设定、模拟量增减等交互操作</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4、实时历史报警：支持限值/偏差/变化/开关/自定义等多种报警配置策略，支持邮件、短信、电话、企微、钉钉等多种渠道推送，同时支持根据报警的范围、级别、时长进行分层分级推送</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5、实时历史趋势：配置时序数据库，进行历史数据存储并历史趋势查询</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6、运行统计报表：支持差值、均值、开关和条件四种统计策略，并生成运行统计报表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7、数据任务处理：支持多种任务触发方式，近百种数据任务处理方法，实现异构数据的自由流动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8、人员组织结构：人员-岗位-角色，形成人员权限的配置管理</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9、OPENAPI：内置OPENAPI接口，与第三方系统进行数据对接</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10、系统控制台：网络配置及拓扑监测、主机资源监测、应用管理、访问安全策略、备份管理、校时管理等配套的系统运维管理</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通用控制模块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电源输入：AC/DC24V；</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CPU：</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ARM 32位M4F@240MHZ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存储器：</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1M FLASH；224K SRAM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通讯端口：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RJ45*2；CAN*1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RS485*1；</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全功能口：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16个（DI/AI/DO/AO）；</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多功能口：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20个（DI/AI/DO）；</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I/O模块数量：MAX 7个；</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支持双网口，支持级联模式；支持LCD参数显示及调整；支持远程升级及参数配置；支持自动监测及上报点位数量；</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安装方式：标准DIN35导轨式安装</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防护等级：IP20</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DDC智能模块嵌入式软件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数字直接控制器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电源输入：AC/DC24V；</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CPU：</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ARM 32位M4F@240MHZ；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存储器：</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1M FLASH；224K SRAM；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通讯端口：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RJ45*2；CAN*1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RS485*1；</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全功能口：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12个（DI/AI/DO/AO）；</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多功能口：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16个（DI/AI/DO）；</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I/O模块数量：MAX 7个；</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支持双网口，支持级联模式；支持LCD参数显示及调整；支持远程升级及参数配置；支持自动监测及上报点位数量；</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安装方式：标准DIN35导轨式安装</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防护等级：IP20</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DDC智能模块嵌入式软件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通用控制模块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电源输入：AC/DC24V；</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CPU：</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ARM 32位M4F@240MHZ；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存储器：</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1M FLASH；224K SRAM；</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通讯端口：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RJ45*2；CAN*1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RS485*1；</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全功能口：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12个（DI/AI/DO/AO）；</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多功能口：</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16个（DI/AI/DO）；</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I/O模块数量：MAX 7个；</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支持双网口，支持级联模式；支持LCD参数显示及调整；支持远程升级及参数配置；支持自动监测及上报点位数量；</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安装方式：标准DIN35导轨式安装</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防护等级：IP20</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DDC智能模块嵌入式软件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网关模块（室内机接口）</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输入电压：DC24V/2A；</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输出电压：DC12V/1.5A；</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通讯方式：</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RS485*4；RJ45；CAN*1；</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处理器主频：</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240MHz；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SRM：</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224K；</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FLASH：</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1M+64M；</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支持多路RS485通讯及单路网络通讯，适用于协议对接等多种定制化场景</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安装方式：标准DIN35导轨式安装</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防护等级：IP20</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DDC智能模块嵌入式软件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网关模块（室外机接口）</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输入电压：DC24V/2A；</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输出电压：DC12V/1.5A；</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通讯方式：</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RS485*4；RJ45；CAN*1；</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处理器主频：</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240MHz；</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SRM：</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224K；</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FLASH：</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1M+64M；</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支持多路RS485通讯及单路网络通讯，适用于协议对接等多种定制化场景</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安装方式：标准DIN35导轨式安装</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防护等级：IP20</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DDC智能模块嵌入式软件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通用控制箱1</w:t>
            </w:r>
            <w:r/>
          </w:p>
        </w:tc>
        <w:tc>
          <w:tcPr>
            <w:shd w:val="clear" w:color="auto" w:fill="ffffff"/>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安装方式：壁挂</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电源输入：AC220V；</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电源模块：AC24V/DC12V选配；</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最大点位：28个（MAX）；</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内置空气开关、线槽、接触器、导轨支架、盘线图等配件。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通用控制箱2</w:t>
            </w:r>
            <w:r/>
          </w:p>
        </w:tc>
        <w:tc>
          <w:tcPr>
            <w:shd w:val="clear" w:color="auto" w:fill="ffffff"/>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安装方式：壁挂</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电源输入：AC220V；</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电源模块：AC24V/DC12V选配；</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网关：2个（MAX）；</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内置空气开关、线槽、接触器、导轨支架、盘线图等配件。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液位开关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开关特性：SPDT，10A/250VAC</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电气寿命：≥10 万次</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电缆长度：3M</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电缆类型：PVC（聚录乙烯）</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68</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一氧化碳传感器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工作电压：AC24V/DC24V</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精度：±5%</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变送器输出：4-20mA&amp;0-10VDC</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量程：0-100PPM/0-50℃</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寿命：7-10年</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24口接入交换机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1、交换容量≥336Gbps，包转发率≥51Mpps；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2、10/100/1000Base-T自适应以太网端口≥24个，千兆SFP口≥4个；</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3、支持基于端口的VLAN，支持基于协议的VLAN；</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4、支持ERPS功能，收敛时间小于50ms；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5、支持IPv4/IPV6双栈管理和转发，支持静态路由协议和RIP、OSPF等路由协议，支持丰富的管理和安全特性；</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6、支持内置智能图形化管理功能</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光模块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光模块-SFP-GE-单模模块-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1310nm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10km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LC</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数据机房工程</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1.封闭通道系统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封闭通道系统（20柜位）</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1）活动天窗、固定天窗</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2）无边框全玻璃自动平移门2扇</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3）柜顶钣金桥架</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4）消防联动模块</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5）21寸</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6）每个柜位配置照明灯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7）人脸+指纹+密码+刷卡门禁</w:t>
            </w:r>
            <w:r/>
          </w:p>
          <w:p>
            <w:pPr>
              <w:jc w:val="left"/>
              <w:keepNext/>
              <w:widowControl/>
              <w:rPr>
                <w:rStyle w:val="1016"/>
                <w:rFonts w:hint="eastAsia" w:ascii="宋体" w:hAnsi="宋体" w:eastAsia="宋体" w:cs="宋体"/>
                <w:b w:val="0"/>
                <w:color w:val="auto"/>
              </w:rPr>
            </w:pPr>
            <w:r>
              <w:rPr>
                <w:rStyle w:val="1016"/>
                <w:rFonts w:hint="eastAsia" w:ascii="宋体" w:hAnsi="宋体" w:eastAsia="宋体" w:cs="宋体"/>
                <w:b w:val="0"/>
                <w:color w:val="auto"/>
              </w:rPr>
              <w:t xml:space="preserve">封闭冷通道技术要求：</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1、封闭通道顶板采用模块化设计，每个单元均能独立安装，并能与相邻的单元连接；可根据机柜宽度不同，提供多种通道顶板规格；</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2、通道天窗应采用平顶结构，天窗开启后总高度不超过机柜顶部550mm，同时确保通道内高度不小于2米，不影响日常维护工作和维护人员安全；</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3、通道天窗为全玻璃，无金属框，应采用透光性好，机械强度高的钢化玻璃材料，钢化玻璃厚度≥5mm，透光率不低于90%；</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4、活动天窗采用电磁锁控制，应与消防信号联动。消防状态下电磁锁自动打开，天窗在重力作用下可自动打开，打开角度90°，并有限位装置，避免天窗开启后频繁大幅度晃动，最大限度地让消防气体进入通道内，动作可靠迅速；</w:t>
            </w:r>
            <w:r/>
          </w:p>
          <w:p>
            <w:pPr>
              <w:jc w:val="left"/>
              <w:keepNext/>
              <w:widowControl/>
              <w:rPr>
                <w:rStyle w:val="1013"/>
                <w:rFonts w:hint="eastAsia" w:ascii="宋体" w:hAnsi="宋体" w:eastAsia="宋体" w:cs="宋体"/>
                <w:color w:val="auto"/>
              </w:rPr>
            </w:pPr>
            <w:r>
              <w:rPr>
                <w:rStyle w:val="1012"/>
                <w:rFonts w:hint="eastAsia" w:ascii="宋体" w:hAnsi="宋体" w:eastAsia="宋体" w:cs="宋体"/>
                <w:color w:val="auto"/>
              </w:rPr>
              <w:t xml:space="preserve">5、</w:t>
            </w:r>
            <w:r>
              <w:rPr>
                <w:rStyle w:val="1013"/>
                <w:rFonts w:hint="eastAsia" w:ascii="宋体" w:hAnsi="宋体" w:eastAsia="宋体" w:cs="宋体"/>
                <w:color w:val="auto"/>
              </w:rPr>
              <w:t xml:space="preserve">微模块内不应采用0类灯具，当采用I类灯具时，灯具的供电线路应有保护线，保护线应与金属灯具外壳做电气连接，微模块内照明照度值应不低于 450 1x；照明控制需智能化，满足人来灯亮，人走延时灭灯；</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6、通道门为红外自动感应电动平移门，采用全钢化玻璃，无金属边框；同时具备防夹设计，确保人员进出安全。平移门开启时两侧需有多功能组合柜（在微模块长度方向上的深度≤250mm），玻璃平移门中部腰线可定制展示我单位名称；多功能组合柜具有以下功能：①平移门开启时具有藏门功能，平移门不外漏；②满足安装动环设备及显示</w:t>
            </w:r>
            <w:r>
              <w:rPr>
                <w:rStyle w:val="1012"/>
                <w:rFonts w:hint="eastAsia" w:ascii="宋体" w:hAnsi="宋体" w:cs="宋体"/>
                <w:color w:val="auto"/>
                <w:lang w:val="en-US" w:eastAsia="zh-CN"/>
              </w:rPr>
              <w:t xml:space="preserve">设备</w:t>
            </w:r>
            <w:r>
              <w:rPr>
                <w:rStyle w:val="1012"/>
                <w:rFonts w:hint="eastAsia" w:ascii="宋体" w:hAnsi="宋体" w:eastAsia="宋体" w:cs="宋体"/>
                <w:color w:val="auto"/>
              </w:rPr>
              <w:t xml:space="preserve">；</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7、电动平移门顶部能安装可编辑显示内容的屏。（1）支持定制包含本单位logo的开机动画</w:t>
            </w:r>
            <w:r>
              <w:rPr>
                <w:rStyle w:val="1012"/>
                <w:rFonts w:hint="eastAsia" w:ascii="宋体" w:hAnsi="宋体" w:cs="宋体"/>
                <w:color w:val="auto"/>
                <w:lang w:eastAsia="zh-CN"/>
              </w:rPr>
              <w:t xml:space="preserve">，</w:t>
            </w:r>
            <w:r>
              <w:rPr>
                <w:rStyle w:val="1012"/>
                <w:rFonts w:hint="eastAsia" w:ascii="宋体" w:hAnsi="宋体" w:eastAsia="宋体" w:cs="宋体"/>
                <w:color w:val="auto"/>
              </w:rPr>
              <w:t xml:space="preserve">（2）支持常用数据展示（平均温度、平均湿度、PUE、负载率、电压、电流、告警等数据）。（3）门楣显示</w:t>
            </w:r>
            <w:r>
              <w:rPr>
                <w:rStyle w:val="1012"/>
                <w:rFonts w:hint="eastAsia" w:ascii="宋体" w:hAnsi="宋体" w:cs="宋体"/>
                <w:color w:val="auto"/>
                <w:lang w:val="en-US" w:eastAsia="zh-CN"/>
              </w:rPr>
              <w:t xml:space="preserve">设备</w:t>
            </w:r>
            <w:r>
              <w:rPr>
                <w:rStyle w:val="1012"/>
                <w:rFonts w:hint="eastAsia" w:ascii="宋体" w:hAnsi="宋体" w:eastAsia="宋体" w:cs="宋体"/>
                <w:color w:val="auto"/>
              </w:rPr>
              <w:t xml:space="preserve">支持滚屏功能，可以定制编辑欢迎词，与机房主要数据页面可设置自动轮流展示。</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8、通道一侧应配置40寸高亮度且高对比度的开放式电容触摸显示器，屏幕可展示微模块全部监控数据；</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9、通道门底部应配置毛刷，左右门之间配置密封贴，减少冷热气流混合；</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10、微模块应设置通道疏散照明及疏散指示标志灯，主机房通道疏散照明的照度值不应低于 81 1x；</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11、微模块通道门应设置告警LED氛围灯，要求竖直安装在通道门正门两侧，如果遇到普通告警和严重告警，通道门口的告警灯可以通过闪烁和定制颜色进行告警；</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12、天窗具备自动复位功能。可在气体灭火后确认无异常后自行复位，无需人为手动逐个进行复位。</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13、微模块在满载和半载工况（依据北京地区全年温度分布计算出微模块的全年PUE），PUE值均小于1.2；</w:t>
            </w:r>
            <w:r/>
          </w:p>
          <w:p>
            <w:pPr>
              <w:jc w:val="left"/>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14、通道内需至少配备一个交流 220V/50Hz检修用市电插座位，空开容量应不低于 10A；</w:t>
            </w:r>
            <w:r/>
          </w:p>
          <w:p>
            <w:pPr>
              <w:jc w:val="left"/>
              <w:keepNext/>
              <w:widowControl/>
              <w:rPr>
                <w:rFonts w:hint="eastAsia" w:ascii="宋体" w:hAnsi="宋体" w:eastAsia="宋体" w:cs="宋体"/>
                <w:color w:val="auto"/>
                <w:sz w:val="20"/>
                <w:szCs w:val="20"/>
              </w:rPr>
            </w:pPr>
            <w:r>
              <w:rPr>
                <w:rStyle w:val="1012"/>
                <w:rFonts w:hint="eastAsia" w:ascii="宋体" w:hAnsi="宋体" w:eastAsia="宋体" w:cs="宋体"/>
                <w:color w:val="auto"/>
              </w:rPr>
              <w:t xml:space="preserve">15、微模块的强电电缆、铜缆、光纤</w:t>
            </w:r>
            <w:r>
              <w:rPr>
                <w:rStyle w:val="1012"/>
                <w:rFonts w:hint="eastAsia" w:ascii="宋体" w:hAnsi="宋体" w:eastAsia="宋体" w:cs="宋体"/>
                <w:color w:val="auto"/>
              </w:rPr>
              <w:t xml:space="preserve">及弱电信号线缆应在机柜顶部或底部布置；微模块的顶部或底部应设计独立的强电走线架、光纤槽、弱电（含信号、铜缆）走线架，走线架之间预留足够的维护及散热空间。微模块内部所有线缆均应通过微模块顶部或底部自带走线架进行布放；微模块应在强电配电柜顶部或底部预留强电电缆的进线口，同时预留各机柜的分配电缆及弱电线缆出线口。微模块应在弱电管控柜顶部或底部预留弱电、光纤、铜缆等线缆的出线口；进线口及出线口应具有足够的空间，避免电缆过度集中，过线孔边缘钣金应做保护处理，避免割伤电缆，且应有毛刷封堵，过线孔附近应设计线缆固定装置；</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2.机柜系统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通道机柜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服务器机柜尺寸（宽*深*高，mm）：≥600*1200*2000；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符合标准：GB/T 19520，YD</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T2319-20</w:t>
            </w:r>
            <w:r>
              <w:rPr>
                <w:rFonts w:hint="eastAsia" w:ascii="宋体" w:hAnsi="宋体" w:cs="宋体"/>
                <w:color w:val="auto"/>
                <w:sz w:val="20"/>
                <w:szCs w:val="20"/>
                <w:lang w:val="en-US" w:eastAsia="zh-CN"/>
              </w:rPr>
              <w:t xml:space="preserve">20</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机柜主框架采用G型材焊接结构，横截面小，稳定性高；</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机柜框架组焊，拼合组焊式框架结构。材质为优质冷轧钢板，厚度为2.0mm冷轧钢板，前后门板材料为≥1.2mm冷轧钢板，侧板材料为≥1.2mm冷轧钢板。机柜U立柱≥4根，材质为2.0mm冷轧钢板。机柜内部应配置4根安装立柱，用于安装设备和固定层板，安装立柱能够前后移动调节；</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机柜静态承载能力不小于2800kg；动态承重能力不小于1600kg；机柜抗震要求：在配重800kg工况下，该设备通过8烈度结构抗地震考核；在配重600kg工况下，该设备连续通过8烈度和9烈度结构抗地震考核；</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机柜门：采用前后网孔门设计，前门单开，后门双开；前门开启角度不小于150°后门开启角度不小于160°，前门开孔率应不少于85%，后门开孔率应不少于88%，提供带有CMA标识的第三方测试报告证明；</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侧门：左右侧门采用上下两段式设计，带有弹扣锁，可免工具将侧板快速安装固定于框架上；</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安装支持：机柜可支持带PDU运输；机柜底部要求密封，底板为可拆卸结构；安装设备的U立柱可以调整，U立柱表面丝印有防腐蚀的RMU刻度，方便用户并快速安装设备；侧面留有方形安装孔配合安装固定承板及支架；机柜自带并柜组件，并柜时不需拆卸门板，方便工程实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布线部件：采用上进上出的走线方式时，机柜顶部应设计2个长方形进/出线口，其边缘应作钝化处理，并装有毛刷，以免划伤线缆。进线孔位置应具有线缆固定装置和专用封闭装置，不允许漏风。机柜顶部须有专用走线桥架，强电与弱电隔离设计；</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机柜接地：机架内应设置不小于15*3mm2接地铜排，机柜及内部金属部件通过接地排多点接地和等电位连接；机柜可采用单独为PDU或者配电单元设置接地点，提高接地的安全及可靠性；</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机柜表面喷涂喷粉厚度应不小于88µm，采用黑色砂纹工艺，满足防腐、防锈表面光洁、色泽均匀、无流挂、不露底、无起泡、无裂纹、金属件无毛刺锈蚀。机柜前后门板、侧门板平整，无扭曲无变形，无明显抖动。门板开孔均匀，机柜标志应齐全，清晰，色泽均匀，耐久可靠。</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柜体水平偏差尺寸</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小于2mm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柜体垂直偏差尺寸</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小于2mm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机柜表面平整度在1㎡面积内不超过2mm；门与门框四周缝隙均保持一致</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机柜侧门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机柜侧门，卡扣式拆装，适用于600*1200*2000mm机柜</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L型支架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适用于600/800×1200×2000/2200机柜，长度：700mm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机柜承板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适用于600/800×1200×2000/2200机柜，仅适用19英寸机柜，承重：80kg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1U盲板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盲板，1U塑料盲板，44.45mm*480mm*14mm，黑色，适用19英寸机柜</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铜排</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铜排</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服务器机柜接地铜排</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长142*宽20*高25*厚4mm；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水平理线槽</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水平理线槽 496*55*44mm SPCC</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16口国标PDU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输入32A</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含接线盒</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1P总断路器与指示灯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12位10A国标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4位16A国标三扁插座</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左侧垂直安装。PDU 进线处带一个总电源指示灯，三相交流 PDU 每相须带一个指示灯，颜色为绿色，通电状态下指示灯常亮。指示灯要求支持热插拔维护</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PDU输入电源线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RVV3*6平方输入电源线</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卷</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设备底座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机柜承重底座，定制槽钢/钣金底座</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3.供电保障系统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功率模块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25KVA功率模块，PF=1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蓄电池</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1、容量：≥12V/100AH</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2、蓄电池的正、负极端子应有明显标志，且便于连接。</w:t>
            </w:r>
            <w:r/>
          </w:p>
          <w:p>
            <w:pPr>
              <w:jc w:val="left"/>
              <w:keepNext/>
              <w:widowControl/>
              <w:rPr>
                <w:rStyle w:val="1017"/>
                <w:rFonts w:hint="eastAsia" w:ascii="宋体" w:hAnsi="宋体" w:eastAsia="宋体" w:cs="宋体"/>
                <w:color w:val="auto"/>
              </w:rPr>
            </w:pP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w:t>
            </w:r>
            <w:r>
              <w:rPr>
                <w:rStyle w:val="1011"/>
                <w:rFonts w:hint="eastAsia" w:ascii="宋体" w:hAnsi="宋体" w:eastAsia="宋体" w:cs="宋体"/>
                <w:color w:val="auto"/>
              </w:rPr>
              <w:t xml:space="preserve">密封反应效率不低于98.5%。</w:t>
            </w:r>
            <w:r>
              <w:rPr>
                <w:rStyle w:val="1010"/>
                <w:rFonts w:hint="eastAsia" w:ascii="宋体" w:hAnsi="宋体" w:eastAsia="宋体" w:cs="宋体"/>
                <w:color w:val="auto"/>
              </w:rPr>
              <w:t xml:space="preserve">充电过程中外部遇明火时其内部应不引燃、不引爆。</w:t>
            </w:r>
            <w:r/>
          </w:p>
          <w:p>
            <w:pPr>
              <w:jc w:val="left"/>
              <w:keepNext/>
              <w:widowControl/>
              <w:rPr>
                <w:rFonts w:hint="eastAsia" w:ascii="宋体" w:hAnsi="宋体" w:eastAsia="宋体" w:cs="宋体"/>
                <w:color w:val="auto"/>
                <w:sz w:val="20"/>
                <w:szCs w:val="20"/>
              </w:rPr>
            </w:pPr>
            <w:r>
              <w:rPr>
                <w:rStyle w:val="1017"/>
                <w:rFonts w:hint="eastAsia" w:ascii="宋体" w:hAnsi="宋体" w:eastAsia="宋体" w:cs="宋体"/>
                <w:color w:val="auto"/>
              </w:rPr>
              <w:t xml:space="preserve">4</w:t>
            </w:r>
            <w:r>
              <w:rPr>
                <w:rStyle w:val="1017"/>
                <w:rFonts w:hint="eastAsia" w:ascii="宋体" w:hAnsi="宋体" w:cs="宋体"/>
                <w:color w:val="auto"/>
                <w:lang w:eastAsia="zh-CN"/>
              </w:rPr>
              <w:t xml:space="preserve">、</w:t>
            </w:r>
            <w:r>
              <w:rPr>
                <w:rStyle w:val="1017"/>
                <w:rFonts w:hint="eastAsia" w:ascii="宋体" w:hAnsi="宋体" w:eastAsia="宋体" w:cs="宋体"/>
                <w:color w:val="auto"/>
              </w:rPr>
              <w:t xml:space="preserve">蓄电池壳体应能承受50kPa的正压或负压而不破裂、不开胶，压力释放后壳体无残余变形。</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节</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电池架/柜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32节12V100AH电池架，4层2列；尺寸：≤780x880x1200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LxWxH</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电池开关盒</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尺寸：≤400×200×500（宽*深*高）mm；其中两极串联；工作电流250A；3P 250A空开</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含配套开关箱体</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电池连接铜排/电缆线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BVR-35mm2电池间连接线/跨层线缆</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主机</w:t>
            </w:r>
            <w:r>
              <w:rPr>
                <w:rFonts w:hint="eastAsia" w:ascii="宋体" w:hAnsi="宋体" w:eastAsia="宋体" w:cs="宋体"/>
                <w:color w:val="auto"/>
                <w:sz w:val="20"/>
                <w:szCs w:val="20"/>
              </w:rPr>
              <w:t xml:space="preserve">与电池间连接线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主机</w:t>
            </w:r>
            <w:r>
              <w:rPr>
                <w:rFonts w:hint="eastAsia" w:ascii="宋体" w:hAnsi="宋体" w:eastAsia="宋体" w:cs="宋体"/>
                <w:color w:val="auto"/>
                <w:sz w:val="20"/>
                <w:szCs w:val="20"/>
              </w:rPr>
              <w:t xml:space="preserve">与电池间连接线缆BVR-95mm2，含配件</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组</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输入电缆线</w:t>
            </w:r>
            <w:r/>
          </w:p>
        </w:tc>
        <w:tc>
          <w:tcPr>
            <w:tcBorders>
              <w:top w:val="single" w:color="000000" w:sz="4" w:space="0"/>
              <w:left w:val="non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规格：YJV4*70+1*35mm2</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输入电缆线</w:t>
            </w:r>
            <w:r/>
          </w:p>
        </w:tc>
        <w:tc>
          <w:tcPr>
            <w:tcBorders>
              <w:top w:val="single" w:color="000000" w:sz="4" w:space="0"/>
              <w:left w:val="non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规格：YJV5*10mm2，含配件</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设备底座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主机与电池架承重底座</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val="en-US" w:eastAsia="zh-CN"/>
              </w:rPr>
              <w:t xml:space="preserve">空气调节</w:t>
            </w:r>
            <w:r>
              <w:rPr>
                <w:rFonts w:hint="eastAsia" w:ascii="宋体" w:hAnsi="宋体" w:eastAsia="宋体" w:cs="宋体"/>
                <w:color w:val="auto"/>
                <w:sz w:val="20"/>
                <w:szCs w:val="20"/>
              </w:rPr>
              <w:t xml:space="preserve">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风冷列间</w:t>
            </w:r>
            <w:r>
              <w:rPr>
                <w:rFonts w:hint="eastAsia" w:ascii="宋体" w:hAnsi="宋体" w:cs="宋体"/>
                <w:color w:val="auto"/>
                <w:sz w:val="20"/>
                <w:szCs w:val="20"/>
                <w:lang w:val="en-US" w:eastAsia="zh-CN"/>
              </w:rPr>
              <w:t xml:space="preserve">调节</w:t>
            </w:r>
            <w:r>
              <w:rPr>
                <w:rFonts w:hint="eastAsia" w:ascii="宋体" w:hAnsi="宋体" w:eastAsia="宋体" w:cs="宋体"/>
                <w:color w:val="auto"/>
                <w:sz w:val="20"/>
                <w:szCs w:val="20"/>
              </w:rPr>
              <w:t xml:space="preserve">设备</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机械性能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1)室内机表面应采用耐高温、耐腐蚀材料喷层，并且喷涂均匀、无破损；信号灯、开关、测量显示装置布局合理。</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2)室内机风机应均匀分布在机组送风面，保证送风均匀。</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电气性能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1)电气性能应符合IEC标准，输入电压允许波动范围：380V，+15%～-15%，频率：50HZ2HZ。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工作环境和温、湿度控制性能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1)工作环境温度：室内+18℃～+40℃，室外-15℃～35℃（常温型），湿度≤80%RH。</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2)温度调节范围：+18℃～+40℃，温度调节精度：1℃。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3)湿度调节范围：20%80%RH，湿度调节精度：5%RH。</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4)温、湿度波动超限应能发出报警信号。</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机组性能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1)制冷量≥40kW，风量≥8600m3/h，电加热量≥6kW，加湿量≥3kg/h。</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2)为了保障换热效率，应采用传热效率高的内螺纹式铜管和冲缝型亲水膜翅片。</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3)应采用高效工业用直流变频压缩机，具有可靠性高、噪音低、寿命长、易安装等特点。</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4)室内风机必须采用可无极调速的EC离心风机，数量≥6个。</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5)膨胀阀应采用电子膨胀阀，有利于精准控制，更加高效节能。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6)应满足防尘要求，应配备G4过滤网。</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7)蒸发器形式：为保证机内气流组织最优，避免由于多片蒸发器造成的紊流，应采用“/”板型蒸发器，不接受‘V’型蒸发器。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8)应考虑整体制冷系统稳定性，压缩机进气、出气管接口处应采用严格的焊接工艺处理，以防制冷剂泄漏，不接受抗震动性能差的螺纹式接管。</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9)应采用正温度系数的PTC陶瓷套铝翅片电加热器和更加节能的湿膜加湿器，考虑整体设备的节能性和水质的特殊要求，不接受不易分拆更换的红外加湿器和电极式加湿。</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10)应具有先进的微处理控制器，能储存并显示不少于1000条历史告警信息，不接受代码显示告警信息的显示器。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11)机电控箱采用抽拉式设计，方便维护。</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监控性能和控制系统</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1)应具有高效的现场监控及远程监控能力，标配RS485通讯接口。</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监控系统应具有三遥性能：遥测项目范围：送风温度、回风温度、送风湿度、回风湿度、显示机组工作状态等。遥信项目范围：开/关机，回风温度过高/低，回风湿度过高/低，高压/低压，过滤器正常/堵塞，风机正常/故障等。遥控项目范围：开/关机等应答。</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3)在系统监控状态下应具备过压、欠压等报警及故、障诊断，告警记录功能，自动保护，自动恢复，自动重启，电力缺相保护等功能。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4)应采用全中文</w:t>
            </w: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寸触摸屏，人性化设计并实现智能化触摸式控制，可显示机组内各主要组件的运行状态和各项指标数据。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5)应具有智能判断功能，对于超常规的参数设置，系统能自动拒绝，并且具备各项参数设置的帮助系统。机组的设置参数、运行参数及系统日志存储在内部存储器内，不会因断电而丢失，具有来电自动重启功能。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6)控制系统应具有多级密码保护功能，机组控制器具有多台机组备份联动或多台机组的控制功能，要求可控机组数量不少于32台。</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冷却设备</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1)为了适应多种工作环境条件，室外机应具有良好的刚性和防腐性能。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2)冷凝器风机应采用无极调速方式，可根据冷凝压力自动调节，风机叶片应为全金属材质，采用猫头鹰翅式（锯齿式）设计，有效降低能耗及噪音。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3)机房专用机组的冷凝器出厂时应进行保压，管路端口应采取防止异物进入的措施。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安装配件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含定制支架、连接、故障诊断、调试、氮气、冷媒、支架构件及制作、铜管，保温管配件</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5.综合管理系统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机房监控软件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该软件内置于主机中</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一体化采集主机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一体化环境监控主机要求能独立自成系统（含应用软件），具有数据采集、数据处理、协议转换、联动控制、报警管理、存储等功能，内嵌WEB服务，支持远程IE访问；友好的人机界面，满足用户个性化需求。内置WEB服务为系统管理人员提供远程设置、远程监控、远程维护及远程报警等专业管理功能；网络中断时动环采集单元仍可独立运行、存储数据及联动控制。数据采集终端将采集的数据和处理后的结果、报警信息等上传至集中监控层；</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具备本地化管理功能，无需借助上端动环监控软件平台，采集器自带组态图形化、列表等多种形式进行数据监测呈现，所有的显示模块（含导航栏）、数据监测组态页面及内容均可由用户自定义，支持机房能耗数据（PUE）展示；满足不同应用场景不同需求。</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支持3D组态、支持本地TTS语音播报，支持联动及权限管理。</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ARM架构嵌入式采集设备。</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采用软硬件一体化设计，底端设备预处理，平台后处理及转发，大幅提升系统整体响应速度；具备底端协议解析、处理、存储功能，确保数据、告警不漏报，采用软件方式，不需要单独配置硬件协议解析器，具备数据缓存、断点续传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管理手段多样化：支持本地化屏幕（如平板电脑）监控、远程B/S监控、手机APP监控（可选配）、离线短信、邮件报警通知功能等。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不少于12000个测点，支持不少于7天的本地存储，内置至少32GEMMC（非通过SD卡扩展）</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支持底端告警处理方式。离线情况下通过短信进行报警通知责任人；</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支持离线底端告警事件联动DO输出功能，具备自定义不同的告警事件联动不同DO输出支持Web远程配置和WEB展示、SSH远程配置，支持SNMP、网管功能；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具有自诊断功能、故障检测、CPU利用率检测功能；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平均无故障时间：不少于120万小时；</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具备不少于12个DI接口，4个DO接口，以及不少于10个RS485接口。可以接入现场门禁控制器、现场报警模块、DI输入模块、IO输入输出模块。</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单个串口支持不同种协议，不同波特率的智能设备混接，响应时间无明显影响</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电话语音模块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支持接口：TYPE B/USB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支持三大运营商：移动/联通/电信，满足4G/3G/2G 网络环境中使用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支持电话语音、短信远程报警通知，支持电话语音报警通知、中英文短信通知等</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DC继电器及插座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DC继电器</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24V</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2Z</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250VAC</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10A</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声光报警器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额定工作电压：12VDC</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工作电压范围：9-15V</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额定工作电流范围：60-85mA</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声压范围：102±3Db</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温湿度传感器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1、86底盒壁挂式安装</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2、大屏、不带背光、无露点温度</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烟雾感应器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光电式感烟探测器</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工作电压：12VDC；待机电流：小于12mA，报警电流：小于18mA；工作温度：-10℃～50℃；报警输出：常开/常闭可选，接点容量DC28V 100mA。</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不定位式水浸控制器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提供1路不定位漏水检测接口，1路继电器告警输出接口，1路RS485接口，支持Modbus RTU协议通讯，支持4档漏水灵敏度可设置</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10米不定位漏水感应线套装</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10米感应线一体型+固定胶贴夹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双盘位8路POE，含4TB硬盘</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网络半球摄像机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400万，POE，3.6mm</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4、其他</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配电箱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≥700*800*250含内部元器件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医护对讲系统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医护</w:t>
            </w:r>
            <w:r>
              <w:rPr>
                <w:rFonts w:hint="eastAsia" w:ascii="宋体" w:hAnsi="宋体" w:cs="宋体"/>
                <w:color w:val="auto"/>
                <w:sz w:val="20"/>
                <w:szCs w:val="20"/>
                <w:lang w:val="en-US" w:eastAsia="zh-CN"/>
              </w:rPr>
              <w:t xml:space="preserve">主控</w:t>
            </w:r>
            <w:r>
              <w:rPr>
                <w:rFonts w:hint="eastAsia" w:ascii="宋体" w:hAnsi="宋体" w:eastAsia="宋体" w:cs="宋体"/>
                <w:color w:val="auto"/>
                <w:sz w:val="20"/>
                <w:szCs w:val="20"/>
              </w:rPr>
              <w:t xml:space="preserve">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硬件参数</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安卓操作系统，版本号不低于Android 11.0；CPU不低于6核，CPU主频不低于1.8GHz；运行内存不低于4G；机身存储不低于32G；</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显示尺寸不低于15英寸，支持手套操作，支持10点触控；显示分辨率不低于1920×1080；前置摄像头像素不低于1300W；双声道；</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读卡模块：支持IC卡；蓝牙</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5.0；以太网：支持10/100/1000Mbps自适应</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支持USB2.0*1、RJ45*1等接口；</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物理按键；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硬件看门狗：支持，可实现设备异常时自动重启功能；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支持电源适配器供电、POE供电、电源箱集中供电三种方式；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面板不低于6H硬度钢化玻璃。</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软件功能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呼叫患者：支持向病区患者发起呼叫，接通后可进行音频或视频通话，支持自动接通；</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呼叫医护：支持向本病区值班室、护士站以及其他病区护士站发起呼叫，接通后可进行音频或视频通话；</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多路通话：支持一病区多主机模式，当一个主机正在通话中时，不影响其他主机等终端处理患者呼叫。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接收呼叫：支持接听、挂断、忽略三种形式的处理呼叫方式，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患者监护：支持主动调起患者的床头/床旁分机摄像头，查看患者的实时情况。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忙音反馈：当主机在通话中时，系统可自动将呼叫信息收到的状态反馈给床头、床旁分机等终端，减轻患者焦虑。</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语音播报：支持对接收的呼叫信息进行汉字语音播报，如“X 床呼叫”、“X 房间卫生间呼叫”等，可设置报号次数。</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未处理提醒：支持设置持续提醒或间隔提醒，以满足不同环境、不同病区需要。</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一键清除：支持一键清除所有未处理呼叫，节省逐条清除时间。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呼叫记录：展示病区历史呼叫记录，包括发起方、被叫方、呼叫发起时间、呼叫处理时间、处理方式、通话时长等。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床位信息卡：展示床位一览，每个床位模块显示对应患者的床位信息、患者基本信息、护理标识信息等。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病区统计：支持统计并展示病区床位总数、患者总数、危重预警人数、各护理级别人数等。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显示模式：床位信息卡支持常规模式和极简模式两种显示模式，用户可根据使用习惯自行切换。</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患者详情：展示患者详情，包括床号、姓名、性别、年龄、出生日期、入院时间、入院诊断等。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护士进入：配合门口操作，支持查看病区护士所在房间位置。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屏保动画：终端持续未操作时，支持自动显示屏保动画。</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话筒广播：支持向整个病区、任意床位、任意房间发起实时话筒广播，广播时所有播放终端声音进度保持一致。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音频广播：支持通过播出单向整个病区、任意床位、任意房间发起定时或实时音频广播，支持单曲循环、列表循环、顺序播放三种播放模式，广播时所有播放终端声音进度保持一致。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护士定位：配合门口分机的护士进入功能，可查看哪些房间有护士进入。</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屏幕亮度调整：支持后台配置多时间段屏幕亮度或亮、息屏，可根据医院作息灵活控制。</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终端音量调整：支持后台配置多时间段终端音量，可根据医院作息灵活控制。</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噪音抑制：通过噪音抑制算法，降低通话中的环境噪音，提高通话质量。硬件看门狗功能：硬件看门狗设计，支持设备异常时自动重启功能。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网络抖动抑制：可在弱网环境下提供高效网络传输、通话功能，提升用户通讯体验。</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硬件重启：支持通过实体按键完成硬件重启功能。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床头终端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硬件参数</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1、安卓操作系统，版本号不低于Android 10.0，显示尺寸不低于7英寸，显示分辨率不低于1024×600 ；防指纹，支持多点触控；</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2、CPU不低于4核1.6GHz；运行内存不低于1G，机身存储不低于8G；</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3、POE供电：POE与独立供电自动识别</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4、以太网：支持10/100Mbps自适应；</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5、支持DC12-48V宽电压供电；最大功率≤10W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6、接口：支持网络转接口、电源接口、USB2.0接口等；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软件功能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患者信息床头卡：展示患者姓名、年龄、性别等患者人口学基本信息，展示入院时间、诊断、护理级别、饮食等此次就诊信息，展示过敏史等既往史信息，展示压疮、迭代等高危护理标识，并支持图片形式展示护理标识；</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2、播放广播联动：能够播放主机发起的话筒广播与音频广播内容，多个床头分机间播放进度一致；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3、护士定位</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支持通过“护理”屏幕虚拟按键进入功能，联动其他设备显示护士进入该房间，再次点击按键恢复常规状态；</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4、呼叫转移：当护士触发护士定位后，可接收、处理其他床位的呼叫信息；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5、定时息屏：可通过功能配置定时息屏；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6、分时音量控制：可根据不同时间段配置不同的音量大小；</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7、闹钟计时器：可进入计时器，点击后开始计时，可点击结束完成计时</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卫生间求助按钮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IP68防护等级；呼叫按键占比大于25%；静电等级±15KV；具有专用取消按键，便于及时清除误操作，也支持在医护主机上取消报警</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组网方式：两线制组网；防冲突撞码：保证由主机下发的每一个分机码都能被对应的卫生间分机收到，形成贯通的通讯机制</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支持：呼叫拉绳、蜂鸣器、灯光指示、呼叫取消按键</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呼叫时有明显的声光报警提示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病房门口终端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硬件参数</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安卓操作系统，版本号不低于Android 10.0；显示尺寸不低于10英寸，显示分辨率不低于1024*600；电容屏触摸屏，防指纹，支持多点触控；</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CPU不低于4核1.6GHz；运行内存不低于1G，机身存储不低于8G；</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具备一体式门灯，门灯颜色不小于7色；麦克风：支持，降噪防啸叫高清通话</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POE供电：支持，POE与独立供电自动识别；</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刷卡模块：支持IC卡；卫生间接口：支持；</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以太网：10/100Mbps，自适应；</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其他接口：支持网络转接口、电源接口、8路安防接口、USB2.0接口等</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软件功能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房间信息卡：支持展示该房间的房间号和包含床号以及病房内的各床位患者的基本信息、责任医护信息、科主任、护士长；</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宣教文章展示：支持展示一页科室风采内容以宣教文章方式展示，支持展示图片、文字、音频、视频格式的宣教内容；</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呼叫功能：支持向医护主机和床位发起普通呼叫、向医护主机发起增援呼叫，可与床头（旁）分机、护士站医护主机、值班室分机等通话；</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呼叫提醒：显示病区内所有床头分机、卫生分机呼叫信息，呼叫时护理灯以护理级别颜色闪烁，显示呼叫的床位号，可清除床位呼叫。</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接听处理呼叫：作为广播机，能够接收本科室患者发来的呼叫请求，支持接听、挂断、忽略等操作；</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分时音量控制：可根据不同时间段配置不同的音量大小</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走廊显示终端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显示类型：双面Φ3.75mm，可显示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2行*8个汉字；静电等级：±15KV；群脉冲等级：1.2KV@5KHz；</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护士位置显示：可显示护士进入的房间位置；</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时间显示：支持5种显示时间信息模式</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呼叫信息显示：呼叫时循环显示护理级别、房间号和床位号信息，可显示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2行*8个汉字，支持多条呼叫信息显示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待机信息显示：待机时滚动显示日期、时间、护士位置、温馨提示等内容</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护士站显示终端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CPU：≥4核 1.5GHZ ；操作系统：≥Android9.0；显示尺寸：≥55英寸，支持分辨率：≥1920*1080，亮度≥250cd/m²（Typ），运行内存：≥2G，机身存储：≥16G，背光寿命：≥30000hrs</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可对科室状态进行数据统计并展示，如住院人数、病重人数、各护理级别人数、空床数。</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可对需要特别关注的床位进行展示，如今日入院床位、今日出院床位、今日手术床位、明日手术床位、今日换床床位等。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可对部分交班信息进行展示，如当日的值班医生信息、值班护士信息、责任制护理信息、要事留言等。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可与病房呼叫系统联动，将呼叫信息实时醒目的显示到液晶电视中。</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可显示电子床头一览表信息，将床位信息情况更加直观，实时的展示。</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医护管理平台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账号信息：维护用户账号信息，支持为单个账号开通多个角色、多个岗位的功能权限与多个科室的数据权限；</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账号登录：支持验证“账号+密码”与“账号+密码+动态验证码”两种规则切换；登录成功后可在账号数据权限范围内的不同科室间切换；自动记住登录过的账户名，支持手动删除；</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身份识别：维护用户账号的IC卡号等身份认证信息；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角色管理：支持控制用户所属角色登录系统WEB后台、床旁医护工作站的菜单权限与按钮权限（需搭配床旁分机使用）；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岗位管理：维护岗位类型及新增多种派生岗位，支持控制用户所属岗位的特定权限；</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通讯录管理：维护用户所登录通讯终端的通讯范围，支持向全院范围的医护人员、患者、护士站、值班室等发起呼叫对讲（需搭配移动通讯终端使用）；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门禁管理：维护用户通行的门禁权限范围，可以批量分配权限，支持刷卡开门方式，可支持扩展刷脸、手环等多种方式（需搭配病区门禁分机使用）；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部门管理：维护医疗机构各个部门的组织架构关系，支持添加3级部门并可折叠显示；</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区域管理：维护医疗机构区域结构树，用于对应终端位置关系，支持设置区域、栋、单元、楼层、室等区域类型；</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终端管理：维护各个已注册终端的所属科室、设备型号、注册号码、IP地址、在线状态、软件版本等信息；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终端升级：维护各个终端的安装包文件，具备对单个与批量终端进行OTA软件升级功能，包括即时与定时两种方式，支持查看升级/失败状态、软件版本；</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终端配置：支持对单个与批量终端进行功能配置，包括显示样式、屏幕亮度、喇叭音量、息屏时间、语音播报次数等；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终端日志：获取终端使用过程中产生的运行日志与错误日志，支持按日期导出下载；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运维主页：图形化显示系统授权许可、服务器资源、组件运行状态、微服务版本等信息，支持按科室查看终端离线数量，可对异常状态的组件进行重启操作；</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机构设置：维护医疗机构编号与显示logo、浏览器标签页标题与logo、备案号信息、HPTV与NTP服务器IP地址等；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电子床头卡模版配置：系统提供多套初始电子床头卡模版可供选择，支持对电子床头卡界面进行配置，选择所需的模版；</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文件管理：维护本地视频、电子书、音乐等文件与相关分类，支持对文件与分类进行排序、搜索操作；</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数据字典：维护护理级别等所包含选项的数据结构、显示规则与执行规则等；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数据采集：支持数据库视图、WEBService、Http API、MQ、HL7 Message、XML中任一或组合方式的数据采集方式，通过异步、多线程任务等保障数据采集的高效性；</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数据映射：支持将结构化或半结构化的数据进行映射转化，对应到业务应用系统所需的数据库字段中；支持平台已有数据与计划采集数据的有效性校验，过滤非增量数据，降低数据采集过程中产生的服务器资源占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床位一览：展示病区床位一览界面，支持床位模式、房间模式、极简模式切换及统计信息显示，每个床位模块显示对应患者的床位信息、患者基本信息、护理标识信息等；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患者详情：展示患者详情界面，业务字段可通过显示标签自定义完成；</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显示标签：通过自定义显示标签属性，可自动生成床位一览页与患者详情页的业务字段；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费用管理：展示患者的费用信息，包括预交金、费用明细、费用汇总、结算信息；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手术安排：展示患者的手术安排信息，包括项目名称、手术时间、麻醉方式、主刀医师、手术状态等信息；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临床报告：展示检查报告信息，包括项目名称、申请医生、报告状态、报告内容等信息；展示检验结果信息，可查看报告状态及报告中各项内容，系统对检验项目自动生成趋势图；</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医嘱信息：支持对接HIS系统医嘱数据，查看患者长期、临时医嘱，展示包括医嘱名称、剂量、频次、用法等信息；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体况记录：展示从患者端（需硬件支持）录入的体征项数据，患者自行录入的数据经护士确认后可支持同步到HIS系统；</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宣教记录：用以记录患者入院、住院、出院各个阶段进行宣教的全过程，包括宣教对象、方式、时间、内容、评价等；通过患者端（需硬件支持）可以查看宣教内容，支持患者已读签字确认，支持护士宣教完成打卡；</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宣教内容：支持按病区与全院两种不同维度对宣教分类、宣教内容进行维护；宣教内容包括封面、音频、视频、PDF文档、诊断标签、推送规则等，支持累计阅读量查看；</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宣教推荐：维护宣教标签，用于给宣教内容进行标记，系统根据宣教内容与患者信息的匹配，自动推荐宣教内容；</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班次管理：支持按病区与全院两种不同维度对班次进行维护；</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排班流水：护士长进行病区排班的核心模块，可以按周对护士排班信息进行调整；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医生班次管理：支持按科室与全院两种不同维度对班次进行维护；</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患者消息：定时或实时向病区不同情况的患者推送不同的消息，如服药提醒、缴费提醒、检查预约、手术事项等，消息内容支持图文、音频、视频；</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消息模板：维护病区消息模板，以便快捷完成推送消息操作，支持文字、音频、文字转语音多种消息类型；</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医护公告：定时或实时向全院医护人员推送不同的文本公告，接收终端包括移动端、WEB端、护理看板等；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病区公告：维护走廊显示</w:t>
            </w:r>
            <w:r>
              <w:rPr>
                <w:rFonts w:hint="eastAsia" w:ascii="宋体" w:hAnsi="宋体" w:cs="宋体"/>
                <w:color w:val="auto"/>
                <w:sz w:val="20"/>
                <w:szCs w:val="20"/>
                <w:lang w:val="en-US" w:eastAsia="zh-CN"/>
              </w:rPr>
              <w:t xml:space="preserve">终端</w:t>
            </w:r>
            <w:r>
              <w:rPr>
                <w:rFonts w:hint="eastAsia" w:ascii="宋体" w:hAnsi="宋体" w:eastAsia="宋体" w:cs="宋体"/>
                <w:color w:val="auto"/>
                <w:sz w:val="20"/>
                <w:szCs w:val="20"/>
              </w:rPr>
              <w:t xml:space="preserve">展示内容，多条可以轮播显示，支持对显示样式进行配置；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音频广播：维护播出单和音频文件，对全部或指定床位、房间进行音频广播，可按时间段和次数设置播放规则；</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闹钟设置：维护患者端闹钟类型（需硬件支持），为不同类型闹钟设定不同的铃声和播放时长；</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呼叫记录：可将系统关键业务进行及时记录，包括通话记录、报警记录、呼叫满意度记录、巡视记录等；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42、</w:t>
            </w:r>
            <w:r>
              <w:rPr>
                <w:rFonts w:hint="eastAsia" w:ascii="宋体" w:hAnsi="宋体" w:eastAsia="宋体" w:cs="宋体"/>
                <w:color w:val="auto"/>
                <w:sz w:val="20"/>
                <w:szCs w:val="20"/>
              </w:rPr>
              <w:t xml:space="preserve">呼叫统计：展示呼叫业务统计分析数据，包括科室、房间、床位对比图，日、时趋势图，响应对比图等。</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24口POE接入交换机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1、交换容量≥336Gbps，包转发率≥126Mpps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2、10/100/1000Base-T电口≥24个，千兆SFP口≥4个（其中GE combo口≥4个）；</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3、支持802.3at/POE+供电标准，单端口最大支持30W</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整机POE功率≥370W；</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4、支持基于端口的VLAN，支持基于协议的VLAN；</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5、堆叠链路冗余保护能够快速收敛，收敛时间≤50ms；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6、支持IPv4/IPV6双栈管理和转发，支持静态路由协议和RIP、OSPF等路由协议，支持丰富的管理和安全特性；</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7、支持内置智能图形化管理功能</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汇聚交换机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1、交换容量≥2.4Tbps，包转发率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462Mpps；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2、≥320K MAC、≥80K路由表；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3、≥28个100/1000Base-X SFP端口（4个千兆电combo口），4个10G/1G SFP+口；1个端口扩展插槽，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4、支持防火墙插卡、10G、25G、40G、100G和电口扩展插卡；</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5、双可插拔电源设计、2模块化风扇设计；</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6、支持VxLAN；支持M-LAG；支持MACsec</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7、支持抗大流量攻击能力、畸形包处理能力、Ping Flood攻击处理能力、SYN Flood攻击处理能力</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千兆光模块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光模块-SFP-GE-单模模块-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1310nm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10km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LC</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信号线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WDZ-RVV4*0.5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2550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病房区标准时钟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手术时钟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1、外框材质：铝合金专用边框（银色）</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2、面板材质：有机玻璃面板+UV打印</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3、显示材质：</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1.5寸红光数码管（44mm高*31mm宽）</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4、电源供电：220V供电</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5、工作环境：温度-10℃～65℃相对湿度＜85%</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6、产品功耗：整屏＜单面7W</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7、产品寿命：平均使用寿命≥10W小时</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8、遥控距离：红外遥控≤10M</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9、断电保存：断电保存时长7天</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10、尺寸：≥600*400*35mm单面</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模拟指针钟（单）</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Style w:val="1012"/>
                <w:rFonts w:hint="eastAsia" w:ascii="宋体" w:hAnsi="宋体" w:eastAsia="宋体" w:cs="宋体"/>
                <w:color w:val="auto"/>
                <w:lang w:eastAsia="zh-CN"/>
              </w:rPr>
            </w:pPr>
            <w:r>
              <w:rPr>
                <w:rStyle w:val="1012"/>
                <w:rFonts w:hint="eastAsia" w:ascii="宋体" w:hAnsi="宋体" w:eastAsia="宋体" w:cs="宋体"/>
                <w:color w:val="auto"/>
              </w:rPr>
              <w:t xml:space="preserve">1、接收母钟信号</w:t>
            </w:r>
            <w:r>
              <w:rPr>
                <w:rStyle w:val="1012"/>
                <w:rFonts w:hint="eastAsia" w:ascii="宋体" w:hAnsi="宋体" w:cs="宋体"/>
                <w:color w:val="auto"/>
                <w:lang w:eastAsia="zh-CN"/>
              </w:rPr>
              <w:t xml:space="preserve">；</w:t>
            </w:r>
            <w:r/>
          </w:p>
          <w:p>
            <w:pPr>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2、显示时间；</w:t>
            </w:r>
            <w:r/>
          </w:p>
          <w:p>
            <w:pPr>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3、外径≥370mm；</w:t>
            </w:r>
            <w:r/>
          </w:p>
          <w:p>
            <w:pPr>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4、电源：220 AC 50Hz，功率&lt;4W；</w:t>
            </w:r>
            <w:r/>
          </w:p>
          <w:p>
            <w:pPr>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5、环境要求：－20℃～+65℃；          </w:t>
            </w:r>
            <w:r/>
          </w:p>
          <w:p>
            <w:pPr>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6、MTBF：≥10万小时；</w:t>
            </w:r>
            <w:r/>
          </w:p>
          <w:p>
            <w:pPr>
              <w:keepNext/>
              <w:widowControl/>
              <w:rPr>
                <w:rStyle w:val="1012"/>
                <w:rFonts w:hint="eastAsia" w:ascii="宋体" w:hAnsi="宋体" w:eastAsia="宋体" w:cs="宋体"/>
                <w:color w:val="auto"/>
              </w:rPr>
            </w:pPr>
            <w:r>
              <w:rPr>
                <w:rStyle w:val="1012"/>
                <w:rFonts w:hint="eastAsia" w:ascii="宋体" w:hAnsi="宋体" w:eastAsia="宋体" w:cs="宋体"/>
                <w:color w:val="auto"/>
              </w:rPr>
              <w:t xml:space="preserve">7、自动同步北京时间，每次上电自动校时一次，每天晚上自动校时一次；</w:t>
            </w:r>
            <w:r/>
          </w:p>
          <w:p>
            <w:pPr>
              <w:keepNext/>
              <w:widowControl/>
              <w:rPr>
                <w:rFonts w:hint="eastAsia" w:ascii="宋体" w:hAnsi="宋体" w:eastAsia="宋体" w:cs="宋体"/>
                <w:color w:val="auto"/>
                <w:sz w:val="20"/>
                <w:szCs w:val="20"/>
                <w:lang w:eastAsia="zh-CN"/>
              </w:rPr>
            </w:pPr>
            <w:r>
              <w:rPr>
                <w:rStyle w:val="1012"/>
                <w:rFonts w:hint="eastAsia" w:ascii="宋体" w:hAnsi="宋体" w:eastAsia="宋体" w:cs="宋体"/>
                <w:color w:val="auto"/>
              </w:rPr>
              <w:t xml:space="preserve">8、计时无累计误差</w:t>
            </w:r>
            <w:r>
              <w:rPr>
                <w:rStyle w:val="1012"/>
                <w:rFonts w:hint="eastAsia" w:ascii="宋体" w:hAnsi="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一级母钟（NTP时钟服务设备）</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1、GPS、北斗混合时钟参考模式，一级网络时间服务器，同步精度1µs</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2、输出1路NTP/SNTP网络时间接口（RJ45）供数字子钟和计算机网络时间同步，19英寸标准1U机架式</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3、用户终端同步授时精度：2 ms（局域网典型值）</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4、用户容量：可支持数万台客户端NTP请求量：8000次/秒</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5、支持所有NTP协议的服务器、PC、嵌入式设备等，包括但不限于：</w:t>
            </w:r>
            <w:r/>
          </w:p>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Microsoft Windows全系列、Linux 全系列（Redhat，Fedora，Bsd，Centos等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Mac os 系列、Aix、HP-UX、Android等等。</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6、72通道授时型GPS/BeiDou/GLONASS 混合接收机</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7、UTC同步精度30ns（RMS），支持单星授时窗口模式GPS接收L1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C/A码信号-1575.42MHz北斗beiDou B1，模式可选择纯GPS、纯北斗或混合三种模式跟踪及锁定灵敏度可达-167dBm，显示年月日时分秒、锁定卫星数量、时间锁定状态、设备工作状态、天线状态GPS天线入：TNC，1路，L1，1575.42MHz</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8、网口：RJ-45，1路，10/100M自适应以太网接口</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9、2 个 RS485 串口</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GPS/BD信号接收装置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天线：具备防尘、防水、防腐</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同步误差：≤100ns</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信号传输距离：≤1200米</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接 口 方 式：BNC接口</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平均无故障时间：</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8万小时</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工作频率 1575.42MHz</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频宽 20MHz 最小</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驻波比</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VSWR</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1.5：1</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信号方向 半球型向上</w:t>
            </w:r>
            <w:r>
              <w:rPr>
                <w:rFonts w:hint="eastAsia" w:ascii="宋体" w:hAnsi="宋体" w:cs="宋体"/>
                <w:color w:val="auto"/>
                <w:sz w:val="20"/>
                <w:szCs w:val="20"/>
                <w:lang w:eastAsia="zh-CN"/>
              </w:rPr>
              <w:t xml:space="preserve">；</w:t>
            </w:r>
            <w:r/>
          </w:p>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10、线长默认50米。</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管理平台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配套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控制终端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配套</w:t>
            </w:r>
            <w:r>
              <w:rPr>
                <w:rFonts w:hint="eastAsia" w:ascii="宋体" w:hAnsi="宋体" w:eastAsia="宋体" w:cs="宋体"/>
                <w:color w:val="auto"/>
                <w:sz w:val="20"/>
                <w:szCs w:val="20"/>
              </w:rPr>
              <w:t xml:space="preserve">管理平台</w:t>
            </w:r>
            <w:r>
              <w:rPr>
                <w:rFonts w:hint="eastAsia" w:ascii="宋体" w:hAnsi="宋体" w:cs="宋体"/>
                <w:color w:val="auto"/>
                <w:sz w:val="20"/>
                <w:szCs w:val="20"/>
                <w:lang w:val="en-US" w:eastAsia="zh-CN"/>
              </w:rPr>
              <w:t xml:space="preserve">使用。</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24口接入交换机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1、交换容量≥336Gbps，包转发率≥51Mpps；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2、10/100/1000Base-T自适应以太网端口≥24个，千兆SFP口≥4个；</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3、支持基于端口的VLAN，支持基于协议的VLAN；</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4、支持ERPS功能，收敛时间小于50ms；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5、支持IPv4/IPV6双栈管理和转发，支持静态路由协议和RIP、OSPF等路由协议，支持丰富的管理和安全特性；</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6、支持内置智能图形化管理功能</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千兆光模块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光模块-SFP-GE-单模模块-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1310nm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10km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LC</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智慧门诊系统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护士分诊台管理软件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护士站支持多项功能，如设置分诊叫号可分为智能、人工、混合三种叫号模式</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同时也可以作为签到机使用，护士站刷卡、刷医保卡（及其它相关身份验证凭证）完成签到过程</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具备调科、优先、插后、转移、指定医生、指定诊室等常规功能。还有绿色通道等相关功能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可以实现老人、军人等相关优先自动处理功能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支持部门特殊科室多天复诊功能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例：针推科多次冶疗免挂号</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护士可以通过此软件了解本诊区的叫号情况、等候情况、医生看诊情况、诊室内空与忙的情况</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系统支持全院医生调配诊区处理，对于专家门诊可以灵活完整的自动调节诊区处理，无需人工处理就完成专家门诊全院调配诊区处理</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普通门诊可以在同一诊区内灵活换诊室等功能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可以选配急诊分级诊疗过程，实现护士手工急诊分级，达到急诊分级诊疗</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支持初复诊比率叫号功能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支持护士站与医生端的交流功能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支持各科室显示方式自定义、各科室叫号声音方式自定义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支持道闸或门禁呼叫连动功能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支持二次分诊、预诊等相关功能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支持护士代呼功能。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医生工作站叫号软件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支持危重病人复诊优先，支持选呼、复呼、暂停等功能。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独立工号登陆界面，医生工作站一套虚拟呼叫终端，实施提示候诊等候人数。</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查询已诊人员信息列表、等候就诊人员信息列表。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支持热键设置功能。实现一键顺呼等相关功能。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实现护士站与医生端互动功能。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支持预诊功能呼叫、二次呼叫等相关功能。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诊室显示终端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规格：≥21.5"；</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操作系统：Android；</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CPU：≥四核；</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内存：≥1G DDR3；</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存储器：≥8GB EMMC</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可扩展</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显示比例：16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解码分辨率：最高支持 1080P；</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网络：支持以太网、WiFi；</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分辨率：≥1920*1080；</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亮度：≥250 cd/m2；</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屏幕寿命：≥15000小时；</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外观：钢制外壳，金属烤漆，前置钢化玻璃；</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语音播报：内置TTS语音合成终端，自带喇叭；</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14、</w:t>
            </w:r>
            <w:r>
              <w:rPr>
                <w:rFonts w:hint="eastAsia" w:ascii="宋体" w:hAnsi="宋体" w:eastAsia="宋体" w:cs="宋体"/>
                <w:color w:val="auto"/>
                <w:sz w:val="20"/>
                <w:szCs w:val="20"/>
              </w:rPr>
              <w:t xml:space="preserve">支持横、竖、吊等方式安装；</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15、</w:t>
            </w:r>
            <w:r>
              <w:rPr>
                <w:rFonts w:hint="eastAsia" w:ascii="宋体" w:hAnsi="宋体" w:eastAsia="宋体" w:cs="宋体"/>
                <w:color w:val="auto"/>
                <w:sz w:val="20"/>
                <w:szCs w:val="20"/>
              </w:rPr>
              <w:t xml:space="preserve">自定义个性化界面，根据业务量需求可自行更换显示内容或分屏显示。</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护士站显示终端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CPU：≥4核 1.5GHZ ；操作系统：≥Android9.0；显示尺寸：≥55英寸，支持分辨率：≥1920*1080，亮度≥250cd/m²（Typ），运行内存：≥2G，机身存储：≥16G，背光寿命：≥30000hrs</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可对科室状态进行数据统计并展示，如住院人数、病重人数、各护理级别人数、空床数。</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可对需要特别关注的床位进行展示，如今日入院床位、今日出院床位、今日手术床位、明日手术床位、今日换床床位等。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可对部分交班信息进行展示，如当日的值班医生信息、值班护士信息、责任制护理信息、要事留言等。</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可与病房呼叫系统联动，将呼叫信息实时醒目的显示到液晶电视中。</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可显示电子床头一览表信息，将床位信息情况更加直观，实时的展示。</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自助报到终端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规格：≥21.5英寸；</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屏幕比例：16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分辩率：≥1920*1080；</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亮度：≥250cd/㎡；</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内存：≥2G；</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存储器：≥32GB；</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网络接口：有线网络；</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触摸类型：电容多点触摸</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打印</w:t>
            </w:r>
            <w:r>
              <w:rPr>
                <w:rFonts w:hint="eastAsia" w:ascii="宋体" w:hAnsi="宋体" w:cs="宋体"/>
                <w:color w:val="auto"/>
                <w:sz w:val="20"/>
                <w:szCs w:val="20"/>
                <w:lang w:val="en-US" w:eastAsia="zh-CN"/>
              </w:rPr>
              <w:t xml:space="preserve">设备</w:t>
            </w:r>
            <w:r>
              <w:rPr>
                <w:rFonts w:hint="eastAsia" w:ascii="宋体" w:hAnsi="宋体" w:eastAsia="宋体" w:cs="宋体"/>
                <w:color w:val="auto"/>
                <w:sz w:val="20"/>
                <w:szCs w:val="20"/>
              </w:rPr>
              <w:t xml:space="preserve">：带切刀热敏打印</w:t>
            </w:r>
            <w:r>
              <w:rPr>
                <w:rFonts w:hint="eastAsia" w:ascii="宋体" w:hAnsi="宋体" w:cs="宋体"/>
                <w:color w:val="auto"/>
                <w:sz w:val="20"/>
                <w:szCs w:val="20"/>
                <w:lang w:val="en-US" w:eastAsia="zh-CN"/>
              </w:rPr>
              <w:t xml:space="preserve">设备</w:t>
            </w:r>
            <w:r>
              <w:rPr>
                <w:rFonts w:hint="eastAsia" w:ascii="宋体" w:hAnsi="宋体" w:eastAsia="宋体" w:cs="宋体"/>
                <w:color w:val="auto"/>
                <w:sz w:val="20"/>
                <w:szCs w:val="20"/>
              </w:rPr>
              <w:t xml:space="preserve">，纸规格≥58㎜；</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预留模块：IC非接、IC接触、身份证、二维码模块等</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120W 机架式功放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1、额定输出功率≥120W 支持接入≥12个以内定压6W喇叭</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2、定压输出：70V/100V、输出功率120W</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3、定阻输出：4-16Ω</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4、不均匀度小于1.5db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、≥3路线路输入、≥2路话筒输入，每个通道可独立调校音量</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、频率响应 60Hz-18KHz</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、失真度 ＜0.1% at 1Khz</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1/3额定功率输出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、信噪比 线路：70dB，话筒：60dB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、音调调整范围 BASS：±10dB（100Hz</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TREBLE：±10dB（10khz</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0</w:t>
            </w:r>
            <w:r>
              <w:rPr>
                <w:rFonts w:hint="eastAsia" w:ascii="宋体" w:hAnsi="宋体" w:eastAsia="宋体" w:cs="宋体"/>
                <w:color w:val="auto"/>
                <w:sz w:val="20"/>
                <w:szCs w:val="20"/>
              </w:rPr>
              <w:t xml:space="preserve">、保护设计：过载、过流、超温、短路</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、电源 AC220-240/50-60Hz</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6W定压式喇叭</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1、喇叭单元：6〞全频单元</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2、额定功率3/6W可选</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3、输入电压： 100V/70V</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4、频响110-16KHz</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5、灵敏度： 93±3dB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6、材质：ABS外壳，金属网罩</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网络多媒体控制器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操作系统：Android；</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CPU：≥八核 ；</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内存：≥2G DDR3；</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存储器：≥16GB EMMC</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可扩展</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显示比例：16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分辨率：≥1920*1080；</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解码分辨率最高支持：≥1080P；</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网络：支持 以太网、WiFi</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窗口显示终端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规格：≥32"；</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操作系统：Android；</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CPU：≥四核；</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内存：≥1G DDR3；</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存储器：≥8GB EMMC</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可扩展</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显示比例：16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9；</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解码分辨率：≥1080P；</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网络：支持以太网、WiFi；</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分辨率：≥1920*1080；</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亮度：≥250 cd/m2；</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屏幕寿命：≥于15000小时；</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外观：钢制外壳，金属烤漆，前置钢化玻璃；</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语音播报：内置TTS语音合成终端，自带喇叭；</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14、</w:t>
            </w:r>
            <w:r>
              <w:rPr>
                <w:rFonts w:hint="eastAsia" w:ascii="宋体" w:hAnsi="宋体" w:eastAsia="宋体" w:cs="宋体"/>
                <w:color w:val="auto"/>
                <w:sz w:val="20"/>
                <w:szCs w:val="20"/>
              </w:rPr>
              <w:t xml:space="preserve">支持横、竖、吊等方式安装；</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15、</w:t>
            </w:r>
            <w:r>
              <w:rPr>
                <w:rFonts w:hint="eastAsia" w:ascii="宋体" w:hAnsi="宋体" w:eastAsia="宋体" w:cs="宋体"/>
                <w:color w:val="auto"/>
                <w:sz w:val="20"/>
                <w:szCs w:val="20"/>
              </w:rPr>
              <w:t xml:space="preserve">自定义个性化界面，根据业务量需求可自行更换显示内容或分屏显示。</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控制卡</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控制范围：≥260K点像素，≥4096，≥512</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带载：单双色，七彩：4096*64；2048*128；1024*256；512*512</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存储容量：≥8MByte</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适配范围：各种规格的单色、双色和全彩</w:t>
            </w:r>
            <w:r>
              <w:rPr>
                <w:rFonts w:hint="eastAsia" w:ascii="宋体" w:hAnsi="宋体" w:cs="宋体"/>
                <w:color w:val="auto"/>
                <w:sz w:val="20"/>
                <w:szCs w:val="20"/>
                <w:lang w:val="en-US" w:eastAsia="zh-CN"/>
              </w:rPr>
              <w:t xml:space="preserve">显示终端；</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软件功能：集群管理/多区域显示/多语言版本</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节目数量：支持≥128个节目，每个节目划分为16个区域</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区域类型：图文/字幕/动画/数字时钟/表盘/正负计时/温度/温湿度</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边框显示：节目流水边框/区域流水边框</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时钟显示：数字时钟/模拟时钟/正计时/倒计时</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通讯接口：100M网络，USB，RS232，RS485</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显示接口：≥2个50PIN</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传感器：温湿度传感器，亮度传感器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亮度调节：16级亮度，支持定时调节/手动调节</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远程开关：支持定时开关屏/软件开关屏</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工作电压：+5V</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1W</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控制卡</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存储容量：≥2MByte</w:t>
            </w:r>
            <w:r>
              <w:rPr>
                <w:rFonts w:hint="eastAsia" w:ascii="宋体" w:hAnsi="宋体" w:cs="宋体"/>
                <w:color w:val="auto"/>
                <w:sz w:val="20"/>
                <w:szCs w:val="20"/>
                <w:lang w:eastAsia="zh-CN"/>
              </w:rPr>
              <w:t xml:space="preserve">；</w:t>
            </w:r>
            <w:r/>
          </w:p>
          <w:p>
            <w:pPr>
              <w:jc w:val="left"/>
              <w:keepNext/>
              <w:widowControl/>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适配范围：各种规格的单色，双色</w:t>
            </w:r>
            <w:r>
              <w:rPr>
                <w:rFonts w:hint="eastAsia" w:ascii="宋体" w:hAnsi="宋体" w:cs="宋体"/>
                <w:color w:val="auto"/>
                <w:sz w:val="20"/>
                <w:szCs w:val="20"/>
                <w:lang w:val="en-US" w:eastAsia="zh-CN"/>
              </w:rPr>
              <w:t xml:space="preserve">显示终端；</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像素点：单色128K点</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双色64K点</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带载：单：2048*641360*961024*128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双：1024*64512*128</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软件功能：集群管理/多区域显示/多语言版本</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节目数量：支持128个节目，每个节目划分为16个区域</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区域类型：图文/字幕/动画/时间/模拟时钟/正负计时/温度</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边框显示：节目流水边框/区域流水边框</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时钟显示：数字时钟/模拟时钟/正计时/倒计时</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通讯接口：USB接口和百兆网口</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显示接口：≥2个HUB08接口，≥4个HUB12接口</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工作电压：3.5V~6V</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val="en-US" w:eastAsia="zh-CN"/>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最大功率：</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1W</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窗口对讲机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采用物理式按压按键，一体式高性能会议话筒；窗口机采用全铝合金外壳，内置红外感应探头。</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双向对讲：支持窗口内外双向对讲。</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自动静音：支持红外探测功能，可自动进入静音模式。</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录音输出：支持耳机插口，可输出窗口内外双路声音信号。</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音量调节：支持单独开关窗口内外声音，音量大小可调节。</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供电方式：电源适配器供电。</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无线护理通讯系统软件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账户管理：管理机构的账户信息；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设备管理：对终端设备呼叫器、网关、门灯、通讯主机、点阵屏进行管理，设备的新增、删除、状态查看、数据导出；</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状态信息：集中查看所有异常设备，可以第一时间掌握所有设备信息，包括：呼叫中设备、故障设备、离线设备、低电量设备、触发防拆报警设备；</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呼叫记录：记录呼叫时间及处理时间，对呼叫信息进行有效管理；</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数据统计：按照年、月的时间维度，统计机构内所有的呼叫终端的呼叫次数，为管理层的管理方案提供数据支持；</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系统设置：对消息处理方式，门灯颜色进行设置；</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系统日志：记录设备安装、设备删除、设备修改等系统操作信息</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121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无线通讯主机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系统不低于Android 11.0；CPU不低于6核，CPU主频不低于1.8GHz；运行内存不低于4G；机身存储不低于32G；</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显示尺寸不低于15英寸，支持手套操作，支持10点触控；显示分辨率不低于1920×1080；前置摄像头像素不低于1300W；双声道；</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读卡模块：支持IC卡；WIFI：支持WIFI6；蓝牙</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5.0；以太网：支持10/100/1000Mbps自适应；</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支持HDMI 2.0*1、USB2.0*1、RJ45*1、3.5mm耳机插孔*1等接口；</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物理按键：息屏键*1，便于使用人员快速开关屏幕；复位键*1，便于设备异常时快速重启，物理按键为隐藏式设计，可有效避免误按情况发生；</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硬件看门狗：支持，可实现设备异常时自动重启功能；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支持电源适配器供电、POE供电、电源箱集中供电三种方式；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面板不低于6H硬度钢化玻璃。</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软件功能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呼叫长者：支持向护理区长者发起呼叫，接通后可进行音频或视频通话，支持自动接通；</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护理呼叫：支持向本护理区值班室、护士站以及其他护理区护士站发起呼叫，接通后可进行音频或视频通话；</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多路通话：支持一护理区多主机模式，当一个主机正在通话中时，不影响其他主机等终端处理长者呼叫。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接收呼叫：支持接听、挂断、忽略三种形式的处理呼叫方式，选择“忽略”后只会挂断在当前终端的呼叫请求，而不影响其他终端接收；</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宕机呼叫：服务器重启、宕机、停电等特殊情况均不影响分机向主机的呼叫功能。呼叫托管：可设置托管主机，床头、门口等分机的呼叫统一转移到被托管主机上处理。支持立即托管与定时段托管模式。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忙音反馈：当主机在通话中时，系统可自动将呼叫信息收到的状态反馈给床头、床旁分机等终端，减轻长者焦虑。</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录音录像</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 支持对通话过程录音录像，并可在服务端查询播放录制的文件。</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语音播报：支持对接收的呼叫信息进行汉字语音播报，如“X 床呼叫”、“X 房间卫生间呼叫”等，可设置报号次数。</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未处理提醒：支持设置持续提醒或间隔提醒，以满足不同环境、不同护理区需要。</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一键清除：支持一键清除所有未处理呼叫，节省逐条清除时间。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呼叫记录：展示护理区历史呼叫记录，包括发起方、被叫方、呼叫发起时间、呼叫处理时间、处理方式、通话时长等。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床位信息卡：展示床位一览，每个床位模块显示对应长者的床位信息、基本信息、护理标识信息等。</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显示模式：床位信息卡支持常规模式和极简模式两种显示模式，用户可根据使用习惯自行切换。</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长者详情：展示长者详情，包括床号、姓名、性别、年龄等信息及呼叫记录。</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远程开门：配合护理区门禁分机，支持接收护理区开门请求并远程控制开门。</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可视门禁：配合病区门禁分机，支持查看护理区出入口的视频画面，支持视频通话。</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话筒广播：支持向整个护理区、任意床位、任意房间发起实时话筒广播，广播时所有播放终端声音进度保持一致。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音频广播：支持通过播出单向整个护理区、任意床位、任意房间发起定时或实时音频广播，支持单次播放、连续播放、循环播放三种播放模式，广播时所有播放终端声音进度保持一致。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19</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闹钟提醒：配合床头端闹钟功能，皮试、测血糖等闹钟到时后支持一同联动提醒，播放闹钟铃声。</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20</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屏幕亮度调整：支持后台配置多时间段屏幕亮度，可灵活控制。支持配置无操作息屏时间。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终端音量调整：支持配置多时间段终端音量，可根据作息灵活控制。</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回音消除：具备回音消除算法，优化通话噪音，提高通话质量。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噪音抑制：通过噪音抑制算法，降低通话中的环境噪音，提高通话质量。硬件看门狗功能：硬件看门狗设计，支持设备异常时自动重启功能。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网络抖动抑制：可在弱网环境下提供高效网络传输、通话功能，提升用户通讯体验。</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硬件重启：支持通过实体按键完成硬件重启功能。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延时上电：为防止多设备同时启动时瞬时电流过大，设备支持延时上电功能。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走廊显示终端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显示类型：双面Φ3.75mm，可显示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2行*8个汉字；静电等级：±15KV；群脉冲等级：1.2KV@5KHz；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护士位置显示：可显示护士进入的房间位置；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时间显示：支持5种显示时间信息模式</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呼叫信息显示：呼叫时循环显示护理级别、房间号和床位号信息，可显示</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2行*8个汉字，支持多条呼叫信息显示。</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待机信息显示：待机时滚动显示日期、时间、护士位置、温馨提示等内容</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2</w:t>
            </w:r>
            <w:r>
              <w:rPr>
                <w:rFonts w:hint="eastAsia" w:ascii="宋体" w:hAnsi="宋体" w:eastAsia="宋体" w:cs="宋体"/>
                <w:color w:val="auto"/>
                <w:sz w:val="20"/>
                <w:szCs w:val="20"/>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无线呼叫分机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设备支持Lora通讯协议；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设备正常使用情况下续航时间不低于三年；</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设备按键不少于2个：呼叫按键×1、取消按键×1；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呼叫拉绳：选配支持，搭配防水吊坠；</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设备具有独立防水电池仓设计，使用5号锂铁电池</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具备指示灯，指示灯≥3色。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软件要求 </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支持通过呼叫按键发出呼叫，显示端收到呼叫并广播；</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支持通过取消呼叫按键取消已发出的呼叫；</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状态指示灯可以指示呼叫分机的实时状态； </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支持自动检测电池电量，电量过低时提醒</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支持loRaWAN协议解析</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支持状态自检，异常状态自恢复</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支持LoRaWAN网络，以太网通讯</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支持异频全双工，CN470-510通讯频段</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支持使用专用配置工具进行网关配置、网关升级</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接收使用8路上行信道，发射使用1路下行通道。</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病区管理</w:t>
            </w:r>
            <w:r>
              <w:rPr>
                <w:rFonts w:hint="eastAsia" w:ascii="宋体" w:hAnsi="宋体" w:cs="宋体"/>
                <w:color w:val="auto"/>
                <w:sz w:val="20"/>
                <w:szCs w:val="20"/>
                <w:lang w:val="en-US" w:eastAsia="zh-CN"/>
              </w:rPr>
              <w:t xml:space="preserve">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CPU≥4核2.0G；</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内存：≥16G；</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存储：≥128GB（MSATA固态硬盘）；</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网络：≥2个千兆网卡，支持网络唤醒/PXE；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接口：≥2*网口/1*HDMI/1*VGA/1*音频接口2*串口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可选支持2个RS485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/4*USB3.0/2*USB2.0；</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散热方式：无风扇被动散热；</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看门狗：支持硬件复位功能（256级，0~255秒）；</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开机方式：开关开启，支持来电自启</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汇聚交换机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1、交换容量≥2.4Tbps，包转发率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462Mpps；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2、≥320K MAC、≥80K路由表；</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3、≥28个100/1000Base-X SFP端口（4个千兆电combo口），4个10G/1G SFP+口；1个端口扩展插槽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4、支持防火墙插卡、10G、25G、40G、100G和电口扩展插卡；</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5、双可插拔电源设计、2模块化风扇设计；</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6、支持VxLAN；支持M-LAG；支持MACsec</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7、支持抗大流量攻击能力、畸形包处理能力、Ping Flood攻击处理能力、SYN Flood攻击处理能力</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24口接入交换机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1、交换容量≥336Gbps，包转发率≥51Mpps；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2、10/100/1000Base-T自适应以太网端口≥24个，千兆SFP口≥4个；</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3、支持基于端口的VLAN，支持基于协议的VLAN；</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4、支持ERPS功能，收敛时间小于50ms；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5、支持IPv4/IPV6双栈管理和转发，支持静态路由协议和RIP、OSPF等路由协议，支持丰富的管理和安全特性；</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6、支持内置智能图形化管理功能</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光模块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光模块-SFP-GE-单模模块-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1310nm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10km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LC</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净化区安防</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二层检验科</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3U机架式16盘位嵌入式网络硬盘录像机，ATX电源</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支持满配</w:t>
            </w:r>
            <w:r>
              <w:rPr>
                <w:rFonts w:hint="eastAsia" w:ascii="宋体" w:hAnsi="宋体" w:cs="宋体"/>
                <w:color w:val="auto"/>
                <w:sz w:val="20"/>
                <w:szCs w:val="20"/>
                <w:lang w:val="en-US" w:eastAsia="zh-CN"/>
              </w:rPr>
              <w:t xml:space="preserve">20</w:t>
            </w:r>
            <w:r>
              <w:rPr>
                <w:rFonts w:hint="eastAsia" w:ascii="宋体" w:hAnsi="宋体" w:eastAsia="宋体" w:cs="宋体"/>
                <w:color w:val="auto"/>
                <w:sz w:val="20"/>
                <w:szCs w:val="20"/>
              </w:rPr>
              <w:t xml:space="preserve">TB硬盘（总容量可达32</w:t>
            </w:r>
            <w:r>
              <w:rPr>
                <w:rFonts w:hint="eastAsia" w:ascii="宋体" w:hAnsi="宋体" w:cs="宋体"/>
                <w:color w:val="auto"/>
                <w:sz w:val="20"/>
                <w:szCs w:val="20"/>
                <w:lang w:val="en-US" w:eastAsia="zh-CN"/>
              </w:rPr>
              <w:t xml:space="preserve">0</w:t>
            </w:r>
            <w:r>
              <w:rPr>
                <w:rFonts w:hint="eastAsia" w:ascii="宋体" w:hAnsi="宋体" w:eastAsia="宋体" w:cs="宋体"/>
                <w:color w:val="auto"/>
                <w:sz w:val="20"/>
                <w:szCs w:val="20"/>
              </w:rPr>
              <w:t xml:space="preserve">TB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3、2</w:t>
            </w:r>
            <w:r>
              <w:rPr>
                <w:rFonts w:hint="eastAsia" w:ascii="宋体" w:hAnsi="宋体" w:eastAsia="宋体" w:cs="宋体"/>
                <w:color w:val="auto"/>
                <w:sz w:val="20"/>
                <w:szCs w:val="20"/>
              </w:rPr>
              <w:t xml:space="preserve">个HDMI接口、</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个VGA接口，同源输出，可支持4K输出</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个RJ45 10/100/1000Mbps自适应以太网口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个USB2.0接口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2个USB3.0接口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报警IO接口：16路报警输入，4路报警输出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cs="宋体"/>
                <w:color w:val="auto"/>
                <w:sz w:val="20"/>
                <w:szCs w:val="20"/>
                <w:lang w:eastAsia="zh-CN"/>
              </w:rPr>
              <w:t xml:space="preserve">输入带宽：≥</w:t>
            </w:r>
            <w:r>
              <w:rPr>
                <w:rFonts w:hint="eastAsia" w:ascii="宋体" w:hAnsi="宋体" w:cs="宋体"/>
                <w:color w:val="auto"/>
                <w:sz w:val="20"/>
                <w:szCs w:val="20"/>
                <w:lang w:val="en-US" w:eastAsia="zh-CN"/>
              </w:rPr>
              <w:t xml:space="preserve">320</w:t>
            </w:r>
            <w:r>
              <w:rPr>
                <w:rFonts w:hint="eastAsia" w:ascii="宋体" w:hAnsi="宋体" w:cs="宋体"/>
                <w:color w:val="auto"/>
                <w:sz w:val="20"/>
                <w:szCs w:val="20"/>
                <w:lang w:eastAsia="zh-CN"/>
              </w:rPr>
              <w:t xml:space="preserve">Mbps；输出带宽：≥</w:t>
            </w:r>
            <w:r>
              <w:rPr>
                <w:rFonts w:hint="eastAsia" w:ascii="宋体" w:hAnsi="宋体" w:cs="宋体"/>
                <w:color w:val="auto"/>
                <w:sz w:val="20"/>
                <w:szCs w:val="20"/>
                <w:lang w:val="en-US" w:eastAsia="zh-CN"/>
              </w:rPr>
              <w:t xml:space="preserve">256</w:t>
            </w:r>
            <w:r>
              <w:rPr>
                <w:rFonts w:hint="eastAsia" w:ascii="宋体" w:hAnsi="宋体" w:cs="宋体"/>
                <w:color w:val="auto"/>
                <w:sz w:val="20"/>
                <w:szCs w:val="20"/>
                <w:lang w:eastAsia="zh-CN"/>
              </w:rPr>
              <w:t xml:space="preserve">Mbps；</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接入能力：32路H.264、H.265格式高清码流接入</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解码能力：最大支持8K+1080P、2×4K异源输出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机械式，≥</w:t>
            </w:r>
            <w:r>
              <w:rPr>
                <w:rFonts w:hint="eastAsia" w:ascii="宋体" w:hAnsi="宋体" w:cs="宋体"/>
                <w:color w:val="auto"/>
                <w:sz w:val="20"/>
                <w:szCs w:val="20"/>
                <w:lang w:val="en-US" w:eastAsia="zh-CN"/>
              </w:rPr>
              <w:t xml:space="preserve">10</w:t>
            </w:r>
            <w:r>
              <w:rPr>
                <w:rFonts w:hint="eastAsia" w:ascii="宋体" w:hAnsi="宋体" w:cs="宋体"/>
                <w:color w:val="auto"/>
                <w:sz w:val="20"/>
                <w:szCs w:val="20"/>
                <w:lang w:eastAsia="zh-CN"/>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监视设备（含键鼠）</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、最高分辨率可达2560×1440@25fps；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、支持用户登录锁定机制，及密码复杂度提示；</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、支持SmartIR，防止夜间红外过曝；</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、支持背光补偿，强光抑制，3D数字降噪，数字宽动态；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、支持ROI感兴趣区域增强编码；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、支持开放型网络视频接口，ISAPI，SDK，GB28181协议；</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、1个内置麦克风；</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、采用高效阵列红外灯，使用寿命长，红外照射最远可达30m；</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、符合IP66防尘防水设计，可靠性高；</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、传感器类型：1/2.7"Progressive Scan CMOS；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、最低照度：彩色：0.005 Lux@（F1.2，AGC ON），0 Lux with IR；</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、最大图像尺寸：2560×1440；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、宽动态：数字宽动态；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、调节角度：水平：0°~360°，垂直：0°~75°，旋转：0°~360°；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、焦距&amp;视场角：2.8mm：水平视场角：94°，垂直视场角：49°，对角视场角：114°；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4mm，水平视场角：70°，垂直视场角：35°，对角视场角：85°；</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6mm，水平视场角：46°，垂直视场角：24°，对角视场角：54°；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8mm，水平视场角：43°，垂直视场角：24°，对角视场角：50°；</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12mm，水平视场角：27°，垂直视场角：15°，对角视场角：31°。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包转发率≥39Mpps，交换容量≥336Gbps，≥24个千兆电口，≥2个千兆光口，VLAN：≥4K，MAC：≥8K，1U标准机架款。</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可视门禁主机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视频监控：支持预览权限范围内公共摄像头及门口机实时画面，可4路720P画面同时监视，可点击门口机画面进行对讲</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对讲功能：支持与门口机、室内机及其他管理机之间的可视对讲，支持遇忙呼叫等待、呼叫转移功能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多方对讲：支持拉取多台室内机、管理机设备进行多方对讲，最大支持16台设备</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副机管理：支持1主64副管理机，多管理机场景支持群呼和按优先级呼叫</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录音录像：支持视频监视时抓拍、录像监视画面，对讲通话时录音</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远程开门：支持在被门口机呼叫或远程监视门口机时远程开锁</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广播功能：支持实时广播、定时广播功能（面向门口机或室内机）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报警接收：实时接收、显示业主家庭室内机发送的报警信息</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设备管理：设备支持对室内机校时，支持查看门口机、室内机在线状态可对门口机、室内机升级</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Web管理：设备支持web进行参数配置、账号管理、系统维护等操作</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【技术参数】</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≥10.1英寸；</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显示分辨率：≥1280*800；</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摄像头：CMOS ≥200W像素，可开关；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4、操作方式：触摸屏幕+触摸按键；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5、网络协议：TCP/IP 、RTSP、SIP2.0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6、硬件接口：RJ45*1，RS485*1，USB*3（其中一个是下载口），IO输入*2，IO输出*2，TF拓展接口*1，HDMI*1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7、供电方式：DC12V</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自带电源适配器</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或标准POE；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8、设备功耗：≤12W</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可视门禁分机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外观特色：采用星空灰色塑料直角边框+玻璃面板设计</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操作系统：Android操作系统</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屏幕规格：</w:t>
            </w:r>
            <w:r>
              <w:rPr>
                <w:rFonts w:hint="eastAsia" w:ascii="宋体" w:hAnsi="宋体" w:cs="宋体"/>
                <w:color w:val="auto"/>
                <w:sz w:val="20"/>
                <w:szCs w:val="20"/>
                <w:lang w:eastAsia="zh-CN"/>
              </w:rPr>
              <w:t xml:space="preserve">≥7英寸，≥1024*600分辨率；</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摄像头：</w:t>
            </w:r>
            <w:r>
              <w:rPr>
                <w:rFonts w:hint="eastAsia" w:ascii="宋体" w:hAnsi="宋体" w:cs="宋体"/>
                <w:color w:val="auto"/>
                <w:sz w:val="20"/>
                <w:szCs w:val="20"/>
                <w:lang w:eastAsia="zh-CN"/>
              </w:rPr>
              <w:t xml:space="preserve">≥400W高清双目摄像头</w:t>
            </w:r>
            <w:r>
              <w:rPr>
                <w:rFonts w:hint="eastAsia" w:ascii="宋体" w:hAnsi="宋体" w:eastAsia="宋体" w:cs="宋体"/>
                <w:color w:val="auto"/>
                <w:sz w:val="20"/>
                <w:szCs w:val="20"/>
              </w:rPr>
              <w:t xml:space="preserve">、108°广角</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操作方式：触摸按键</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认证方式：支持人脸、刷卡（IC卡、手机NFC卡、CPU卡序列号、身份证序列号）、密码、二维码（摄像头识别）等多种认证，可外接1个RS485读卡器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人脸认证：设备采用深度学习算法和星光级图像传感器，无需白光补光，仍可在暗光或无光环境下稳定识别；识别距离：0.3~2.5m。人脸比对时间≤0.2s/人，人脸验证准确率≥99%，支持手机照片、视频防假，识别速度快，准确率高；</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存储容量：本地支持20000个用户、20000人脸库、100000张卡</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通信方式：有线网络（10M/100M/1000M自适应以太网）</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硬件接口：RJ45*2（1个网口、1个预留）、RS485*2、电锁接口*2（其中1路预留）、开门按钮*1、门磁输入*2（其中1路预留）、消防报警输入*1</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供电方式：DC 12V/2A（电源需另配）</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设备功耗：≤15W</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防护等级：IP65，室内外使用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【功能特性】</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对讲功能：支持与室内机或中心管理机之间双向语音对讲，不支持接入半数字对讲系统；</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主副门口机：支持1台主门口机带8台副门口机，满足一个单元多门口机场景；</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门禁功能：可直接控制电锁，实现门禁管理，可定制扩展成双门控制；</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视频预览：支持管理中心远程视频预览，支持接入NVR设备，实现视频录像，编码格式H.264；可作为安防点 7×24 全天候预览、录像；</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报警功能：设备具有消防报警输入联动门锁常开功能，设备具有防拆报警、门磁检测报警功能；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电梯联动：可与梯控设备对接，实现呼梯联动功能；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事件上传：在线状态下将设备认证结果信息及联动抓拍照片实时上传给平台，支持断网续传功能；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单机使用：可本地录入人员信息，实现免平台、免中心管理；</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Web管理：支持Web端管理，可进行人员管理、参数配置、事件查询、系统维护等操作；</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远程维护：支持中心远程升级，批量刷机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磁力锁</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≥250kg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按钮开关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86型</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电源装置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12V DC</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电话插座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电话信息插座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RJ45+RJ45接口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无线AC控制器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带机量≥200台，出口带宽≥1G，≥1*GE（WAN口），≥4*GE（LAN口），Mac地址表：≥2K，</w:t>
            </w:r>
            <w:r>
              <w:rPr>
                <w:rFonts w:hint="eastAsia" w:ascii="宋体" w:hAnsi="宋体" w:eastAsia="宋体" w:cs="宋体"/>
                <w:color w:val="auto"/>
                <w:sz w:val="20"/>
                <w:szCs w:val="20"/>
              </w:rPr>
              <w:t xml:space="preserve">自然散热</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桌面款</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支持AC功能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最大可管理32个AP</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支持EasyWeb功能</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无线AP</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吸顶AP</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上行1个千兆电口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支持802.11ax</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2+2双频</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整机速率2.975Gbps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最大发射功率23dBm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最大功耗9.4W</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智能天线</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推荐用户数100个，推荐并发用户数28个</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8M每终端</w:t>
            </w:r>
            <w:r>
              <w:rPr>
                <w:rFonts w:hint="eastAsia" w:ascii="宋体" w:hAnsi="宋体" w:cs="宋体"/>
                <w:color w:val="auto"/>
                <w:sz w:val="20"/>
                <w:szCs w:val="20"/>
                <w:lang w:eastAsia="zh-CN"/>
              </w:rPr>
              <w:t xml:space="preserve">），覆盖半径≥20m。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POE交换机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≥24个10/100/1000BASE-T以太网端口（400W PoE+），≥4个2.5G SFP，包转发率≥88Mpps，交换容量≥432Gbps。</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三层血透中心</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3U机架式16盘位嵌入式网络硬盘录像机，ATX电源</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支持满配</w:t>
            </w:r>
            <w:r>
              <w:rPr>
                <w:rFonts w:hint="eastAsia" w:ascii="宋体" w:hAnsi="宋体" w:cs="宋体"/>
                <w:color w:val="auto"/>
                <w:sz w:val="20"/>
                <w:szCs w:val="20"/>
                <w:lang w:val="en-US" w:eastAsia="zh-CN"/>
              </w:rPr>
              <w:t xml:space="preserve">20</w:t>
            </w:r>
            <w:r>
              <w:rPr>
                <w:rFonts w:hint="eastAsia" w:ascii="宋体" w:hAnsi="宋体" w:eastAsia="宋体" w:cs="宋体"/>
                <w:color w:val="auto"/>
                <w:sz w:val="20"/>
                <w:szCs w:val="20"/>
              </w:rPr>
              <w:t xml:space="preserve">TB硬盘（总容量可达32</w:t>
            </w:r>
            <w:r>
              <w:rPr>
                <w:rFonts w:hint="eastAsia" w:ascii="宋体" w:hAnsi="宋体" w:cs="宋体"/>
                <w:color w:val="auto"/>
                <w:sz w:val="20"/>
                <w:szCs w:val="20"/>
                <w:lang w:val="en-US" w:eastAsia="zh-CN"/>
              </w:rPr>
              <w:t xml:space="preserve">0</w:t>
            </w:r>
            <w:r>
              <w:rPr>
                <w:rFonts w:hint="eastAsia" w:ascii="宋体" w:hAnsi="宋体" w:eastAsia="宋体" w:cs="宋体"/>
                <w:color w:val="auto"/>
                <w:sz w:val="20"/>
                <w:szCs w:val="20"/>
              </w:rPr>
              <w:t xml:space="preserve">TB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3、2</w:t>
            </w:r>
            <w:r>
              <w:rPr>
                <w:rFonts w:hint="eastAsia" w:ascii="宋体" w:hAnsi="宋体" w:eastAsia="宋体" w:cs="宋体"/>
                <w:color w:val="auto"/>
                <w:sz w:val="20"/>
                <w:szCs w:val="20"/>
              </w:rPr>
              <w:t xml:space="preserve">个HDMI接口、</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个VGA接口，同源输出，可支持4K输出</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个RJ45 10/100/1000Mbps自适应以太网口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个USB2.0接口</w:t>
            </w:r>
            <w:r>
              <w:rPr>
                <w:rFonts w:hint="eastAsia" w:ascii="宋体" w:hAnsi="宋体" w:cs="宋体"/>
                <w:color w:val="auto"/>
                <w:sz w:val="20"/>
                <w:szCs w:val="20"/>
                <w:lang w:val="en-US" w:eastAsia="zh-CN"/>
              </w:rPr>
              <w:t xml:space="preserve">,2个USB3.0接口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报警IO接口：16路报警输入，4路报警输出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cs="宋体"/>
                <w:color w:val="auto"/>
                <w:sz w:val="20"/>
                <w:szCs w:val="20"/>
                <w:lang w:eastAsia="zh-CN"/>
              </w:rPr>
              <w:t xml:space="preserve">输入带宽：≥</w:t>
            </w:r>
            <w:r>
              <w:rPr>
                <w:rFonts w:hint="eastAsia" w:ascii="宋体" w:hAnsi="宋体" w:cs="宋体"/>
                <w:color w:val="auto"/>
                <w:sz w:val="20"/>
                <w:szCs w:val="20"/>
                <w:lang w:val="en-US" w:eastAsia="zh-CN"/>
              </w:rPr>
              <w:t xml:space="preserve">320</w:t>
            </w:r>
            <w:r>
              <w:rPr>
                <w:rFonts w:hint="eastAsia" w:ascii="宋体" w:hAnsi="宋体" w:cs="宋体"/>
                <w:color w:val="auto"/>
                <w:sz w:val="20"/>
                <w:szCs w:val="20"/>
                <w:lang w:eastAsia="zh-CN"/>
              </w:rPr>
              <w:t xml:space="preserve">Mbps；输出带宽：≥</w:t>
            </w:r>
            <w:r>
              <w:rPr>
                <w:rFonts w:hint="eastAsia" w:ascii="宋体" w:hAnsi="宋体" w:cs="宋体"/>
                <w:color w:val="auto"/>
                <w:sz w:val="20"/>
                <w:szCs w:val="20"/>
                <w:lang w:val="en-US" w:eastAsia="zh-CN"/>
              </w:rPr>
              <w:t xml:space="preserve">256</w:t>
            </w:r>
            <w:r>
              <w:rPr>
                <w:rFonts w:hint="eastAsia" w:ascii="宋体" w:hAnsi="宋体" w:cs="宋体"/>
                <w:color w:val="auto"/>
                <w:sz w:val="20"/>
                <w:szCs w:val="20"/>
                <w:lang w:eastAsia="zh-CN"/>
              </w:rPr>
              <w:t xml:space="preserve">Mbps；</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接入能力：32路H.264、H.265格式高清码流接入</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解码能力：最大支持8×1080P、2×4K异源输出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机械式，≥</w:t>
            </w:r>
            <w:r>
              <w:rPr>
                <w:rFonts w:hint="eastAsia" w:ascii="宋体" w:hAnsi="宋体" w:cs="宋体"/>
                <w:color w:val="auto"/>
                <w:sz w:val="20"/>
                <w:szCs w:val="20"/>
                <w:lang w:val="en-US" w:eastAsia="zh-CN"/>
              </w:rPr>
              <w:t xml:space="preserve">10</w:t>
            </w:r>
            <w:r>
              <w:rPr>
                <w:rFonts w:hint="eastAsia" w:ascii="宋体" w:hAnsi="宋体" w:cs="宋体"/>
                <w:color w:val="auto"/>
                <w:sz w:val="20"/>
                <w:szCs w:val="20"/>
                <w:lang w:eastAsia="zh-CN"/>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监视设备（含键鼠）</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、最高分辨率可达2560×1440@25fps；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、支持用户登录锁定机制，及密码复杂度提示；</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、支持SmartIR，防止夜间红外过曝；</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、支持背光补偿，强光抑制，3D数字降噪，数字宽动态；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、支持ROI感兴趣区域增强编码；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、支持开放型网络视频接口，ISAPI，SDK，GB28181协议；</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、1个内置麦克风；</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、采用高效阵列红外灯，使用寿命长，红外照射最远可达30m；</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、符合IP66防尘防水设计，可靠性高；</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、传感器类型：1/2.7"Progressive Scan CMOS；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、最低照度：彩色：0.005 Lux@（F1.2，AGC ON），0 Lux with IR；</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、最大图像尺寸：2560×1440；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、宽动态：数字宽动态；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、调节角度：水平：0°~360°，垂直：0°~75°，旋转：0°~360°；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、焦距&amp;视场角：2.8mm：水平视场角：94°，垂直视场角：49°，对角视场角：114°；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4mm，水平视场角：70°，垂直视场角：35°，对角视场角：85°；</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6mm，水平视场角：46°，垂直视场角：24°，对角视场角：54°；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8mm，水平视场角：43°，垂直视场角：24°，对角视场角：50°；</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12mm，水平视场角：27°，垂直视场角：15°，对角视场角：31°。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包转发率≥39Mpps，交换容量≥336Gbps，≥24个千兆电口，≥2个千兆光口，VLAN：≥4K，MAC：≥8K，1U标准机架款。</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可视门禁主机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视频监控：支持预览权限范围内公共摄像头及门口机实时画面，可4路720P画面同时监视，可点击门口机画面进行对讲</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对讲功能：支持与门口机、室内机及其他管理机之间的可视对讲，支持遇忙呼叫等待、呼叫转移功能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多方对讲：支持拉取多台室内机、管理机设备进行多方对讲，最大支持16台设备</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副机管理：支持1主64副管理机，多管理机场景支持群呼和按优先级呼叫</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录音录像：支持视频监视时抓拍、录像监视画面，对讲通话时录音</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远程开门：支持在被门口机呼叫或远程监视门口机时远程开锁</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广播功能：支持实时广播、定时广播功能（面向门口机或室内机）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报警接收：实时接收、显示业主家庭室内机发送的报警信息</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设备管理：设备支持对室内机校时，支持查看门口机、室内机在线状态可对门口机、室内机升级</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Web管理：设备支持web进行参数配置、账号管理、系统维护等操作</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【技术参数】</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≥10.1英寸；</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显示分辨率：≥1280*800；</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摄像头：CMOS ≥200W像素，可开关；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4、操作方式：触摸屏幕+触摸按键；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5、网络协议：TCP/IP 、RTSP、SIP2.0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6、硬件接口：RJ45*1，RS485*1，USB*3（其中一个是下载口），IO输入*2，IO输出*2，TF拓展接口*1，HDMI*1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7、供电方式：DC12V</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自带电源适配器</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或标准POE；</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8、设备功耗：≤12W</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可视门禁分机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外观特色：采用星空灰色塑料直角边框+玻璃面板设计</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操作系统：Android操作系统</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屏幕规格：</w:t>
            </w:r>
            <w:r>
              <w:rPr>
                <w:rFonts w:hint="eastAsia" w:ascii="宋体" w:hAnsi="宋体" w:cs="宋体"/>
                <w:color w:val="auto"/>
                <w:sz w:val="20"/>
                <w:szCs w:val="20"/>
                <w:lang w:eastAsia="zh-CN"/>
              </w:rPr>
              <w:t xml:space="preserve">≥7英寸，≥1024*600分辨率；</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摄像头：</w:t>
            </w:r>
            <w:r>
              <w:rPr>
                <w:rFonts w:hint="eastAsia" w:ascii="宋体" w:hAnsi="宋体" w:cs="宋体"/>
                <w:color w:val="auto"/>
                <w:sz w:val="20"/>
                <w:szCs w:val="20"/>
                <w:lang w:eastAsia="zh-CN"/>
              </w:rPr>
              <w:t xml:space="preserve">≥400W高清双目摄像头</w:t>
            </w:r>
            <w:r>
              <w:rPr>
                <w:rFonts w:hint="eastAsia" w:ascii="宋体" w:hAnsi="宋体" w:eastAsia="宋体" w:cs="宋体"/>
                <w:color w:val="auto"/>
                <w:sz w:val="20"/>
                <w:szCs w:val="20"/>
              </w:rPr>
              <w:t xml:space="preserve">、108°广角</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操作方式：触摸按键</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认证方式：支持人脸、刷卡（IC卡、手机NFC卡、CPU卡序列号、身份证序列号）、密码、二维码（摄像头识别）等多种认证，可外接1个RS485读卡器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人脸认证：设备采用深度学习算法和星光级图像传感器，无需白光补光，仍可在暗光或无光环境下稳定识别；识别距离：0.3~2.5m。人脸比对时间≤0.2s/人，人脸验证准确率≥99%，支持手机照片、视频防假，识别速度快，准确率高；</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存储容量：本地支持20000个用户、20000人脸库、100000张卡</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通信方式：有线网络（10M/100M/1000M自适应以太网）</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硬件接口：RJ45*2（1个网口、1个预留）、RS485*2、电锁接口*2（其中1路预留）、开门按钮*1、门磁输入*2（其中1路预留）、消防报警输入*1</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供电方式：DC 12V/2A（电源需另配）</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设备功耗：≤15W</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防护等级：IP65，室内外使用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【功能特性】</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对讲功能：支持与室内机或中心管理机之间双向语音对讲，不支持接入半数字对讲系统；</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主副门口机：支持1台主门口机带8台副门口机，满足一个单元多门口机场景；</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门禁功能：可直接控制电锁，实现门禁管理，可定制扩展成双门控制；</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视频预览：支持管理中心远程视频预览，支持接入NVR设备，实现视频录像，编码格式H.264；可作为安防点 7×24 全天候预览、录像；</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报警功能：设备具有消防报警输入联动门锁常开功能，设备具有防拆报警、门磁检测报警功能；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电梯联动：可与梯控设备对接，实现呼梯联动功能；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事件上传：在线状态下将设备认证结果信息及联动抓拍照片实时上传给平台，支持断网续传功能；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单机使用：可本地录入人员信息，实现免平台、免中心管理；</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Web管理：支持Web端管理，可进行人员管理、参数配置、事件查询、系统维护等操作；</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远程维护：支持中心远程升级，批量刷机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磁力锁</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≥250kg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按钮开关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86型</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电源装置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12V DC</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电话插座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电话信息插座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RJ45+RJ45接口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无线AC控制器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带机量≥200台，出口带宽≥1G，≥1*GE（WAN口），≥4*GE（LAN口），Mac地址表：≥2K，</w:t>
            </w:r>
            <w:r>
              <w:rPr>
                <w:rFonts w:hint="eastAsia" w:ascii="宋体" w:hAnsi="宋体" w:eastAsia="宋体" w:cs="宋体"/>
                <w:color w:val="auto"/>
                <w:sz w:val="20"/>
                <w:szCs w:val="20"/>
              </w:rPr>
              <w:t xml:space="preserve">自然散热</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桌面款</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支持AC功能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最大可管理32个AP</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支持EasyWeb功能</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无线AP</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吸顶AP</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上行1个千兆电口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支持802.11ax</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2+2双频</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整机速率2.975Gbps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最大发射功率23dBm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最大功耗9.4W</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智能天线</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推荐用户数100个，推荐并发用户数28个</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8M每终端</w:t>
            </w:r>
            <w:r>
              <w:rPr>
                <w:rFonts w:hint="eastAsia" w:ascii="宋体" w:hAnsi="宋体" w:cs="宋体"/>
                <w:color w:val="auto"/>
                <w:sz w:val="20"/>
                <w:szCs w:val="20"/>
                <w:lang w:eastAsia="zh-CN"/>
              </w:rPr>
              <w:t xml:space="preserve">），覆盖半径≥20m。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POE交换机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≥24个10/100/1000BASE-T以太网端口（400W PoE+），≥4个2.5G SFP，包转发率≥88Mpps，交换容量≥432Gbps。</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四层手术区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4U机架式24盘位嵌入式网络硬盘录像机，ATX电源</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支持满配</w:t>
            </w: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TB硬盘（总容量可达</w:t>
            </w:r>
            <w:r>
              <w:rPr>
                <w:rFonts w:hint="eastAsia" w:ascii="宋体" w:hAnsi="宋体" w:cs="宋体"/>
                <w:color w:val="auto"/>
                <w:sz w:val="20"/>
                <w:szCs w:val="20"/>
                <w:lang w:val="en-US" w:eastAsia="zh-CN"/>
              </w:rPr>
              <w:t xml:space="preserve">288</w:t>
            </w:r>
            <w:r>
              <w:rPr>
                <w:rFonts w:hint="eastAsia" w:ascii="宋体" w:hAnsi="宋体" w:eastAsia="宋体" w:cs="宋体"/>
                <w:color w:val="auto"/>
                <w:sz w:val="20"/>
                <w:szCs w:val="20"/>
              </w:rPr>
              <w:t xml:space="preserve">TB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3、2</w:t>
            </w:r>
            <w:r>
              <w:rPr>
                <w:rFonts w:hint="eastAsia" w:ascii="宋体" w:hAnsi="宋体" w:eastAsia="宋体" w:cs="宋体"/>
                <w:color w:val="auto"/>
                <w:sz w:val="20"/>
                <w:szCs w:val="20"/>
              </w:rPr>
              <w:t xml:space="preserve">个HDMI接口、</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个VGA接口，同源输出，可支持4K输出</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个RJ45 10/100/1000Mbps自适应以太网口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个USB2.0接口</w:t>
            </w:r>
            <w:r>
              <w:rPr>
                <w:rFonts w:hint="eastAsia" w:ascii="宋体" w:hAnsi="宋体" w:cs="宋体"/>
                <w:color w:val="auto"/>
                <w:sz w:val="20"/>
                <w:szCs w:val="20"/>
                <w:lang w:val="en-US" w:eastAsia="zh-CN"/>
              </w:rPr>
              <w:t xml:space="preserve">,1个USB3.0接口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报警IO接口：16路报警输入，</w:t>
            </w: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路报警输出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cs="宋体"/>
                <w:color w:val="auto"/>
                <w:sz w:val="20"/>
                <w:szCs w:val="20"/>
                <w:lang w:eastAsia="zh-CN"/>
              </w:rPr>
              <w:t xml:space="preserve">输入带宽：≥</w:t>
            </w:r>
            <w:r>
              <w:rPr>
                <w:rFonts w:hint="eastAsia" w:ascii="宋体" w:hAnsi="宋体" w:cs="宋体"/>
                <w:color w:val="auto"/>
                <w:sz w:val="20"/>
                <w:szCs w:val="20"/>
                <w:lang w:val="en-US" w:eastAsia="zh-CN"/>
              </w:rPr>
              <w:t xml:space="preserve">320</w:t>
            </w:r>
            <w:r>
              <w:rPr>
                <w:rFonts w:hint="eastAsia" w:ascii="宋体" w:hAnsi="宋体" w:cs="宋体"/>
                <w:color w:val="auto"/>
                <w:sz w:val="20"/>
                <w:szCs w:val="20"/>
                <w:lang w:eastAsia="zh-CN"/>
              </w:rPr>
              <w:t xml:space="preserve">Mbps；输出带宽：≥</w:t>
            </w:r>
            <w:r>
              <w:rPr>
                <w:rFonts w:hint="eastAsia" w:ascii="宋体" w:hAnsi="宋体" w:cs="宋体"/>
                <w:color w:val="auto"/>
                <w:sz w:val="20"/>
                <w:szCs w:val="20"/>
                <w:lang w:val="en-US" w:eastAsia="zh-CN"/>
              </w:rPr>
              <w:t xml:space="preserve">160</w:t>
            </w:r>
            <w:r>
              <w:rPr>
                <w:rFonts w:hint="eastAsia" w:ascii="宋体" w:hAnsi="宋体" w:cs="宋体"/>
                <w:color w:val="auto"/>
                <w:sz w:val="20"/>
                <w:szCs w:val="20"/>
                <w:lang w:eastAsia="zh-CN"/>
              </w:rPr>
              <w:t xml:space="preserve">Mbps；</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接入能力：</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64路H.264、H.265格式高清码流接入</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解码能力：最大支持16×1080P</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机械式，</w:t>
            </w: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监视设备（含键鼠）</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、最高分辨率可达2560×1440@25fps；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、支持用户登录锁定机制，及密码复杂度提示；</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、支持SmartIR，防止夜间红外过曝；</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、支持背光补偿，强光抑制，3D数字降噪，数字宽动态；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、支持ROI感兴趣区域增强编码；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、支持开放型网络视频接口，ISAPI，SDK，GB28181协议；</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、1个内置麦克风；</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、采用高效阵列红外灯，使用寿命长，红外照射最远可达30m；</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、符合IP66防尘防水设计，可靠性高；</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、传感器类型：1/2.7"Progressive Scan CMOS；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、最低照度：彩色：0.005 Lux@（F1.2，AGC ON），0 Lux with IR；</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、最大图像尺寸：2560×1440；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、宽动态：数字宽动态；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、调节角度：水平：0°~360°，垂直：0°~75°，旋转：0°~360°；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、焦距&amp;视场角：2.8mm：水平视场角：94°，垂直视场角：49°，对角视场角：114°；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4mm，水平视场角：70°，垂直视场角：35°，对角视场角：85°；</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6mm，水平视场角：46°，垂直视场角：24°，对角视场角：54°；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8mm，水平视场角：43°，垂直视场角：24°，对角视场角：50°；</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12mm，水平视场角：27°，垂直视场角：15°，对角视场角：31°。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包转发率≥126Mpps，交换容量≥432Gbps，≥48个千兆电口，≥4个千兆光口，VLAN：≥4K，MAC：≥16K，19英寸1U标准机架，金属外壳。</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可视门禁主机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视频监控：支持预览权限范围内公共摄像头及门口机实时画面，可4路720P画面同时监视，可点击门口机画面进行对讲</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对讲功能：支持与门口机、室内机及其他管理机之间的可视对讲，支持遇忙呼叫等待、呼叫转移功能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多方对讲：支持拉取多台室内机、管理机设备进行多方对讲，最大支持16台设备</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副机管理：支持1主64副管理机，多管理机场景支持群呼和按优先级呼叫</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录音录像：支持视频监视时抓拍、录像监视画面，对讲通话时录音</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远程开门：支持在被门口机呼叫或远程监视门口机时远程开锁</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广播功能：支持实时广播、定时广播功能（面向门口机或室内机）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报警接收：实时接收、显示业主家庭室内机发送的报警信息</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设备管理：设备支持对室内机校时，支持查看门口机、室内机在线状态可对门口机、室内机升级</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Web管理：设备支持web进行参数配置、账号管理、系统维护等操作</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【技术参数】</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≥10.1英寸；</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显示分辨率：≥1280*800；</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摄像头：CMOS ≥200W像素，可开关；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4、操作方式：触摸屏幕+触摸按键；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5、网络协议：TCP/IP 、RTSP、SIP2.0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6、硬件接口：RJ45*1，RS485*1，USB*3（其中一个是下载口），IO输入*2，IO输出*2，TF拓展接口*1，HDMI*1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7、供电方式：DC12V</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自带电源适配器</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或标准POE；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8、设备功耗：≤12W；</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可视门禁分机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外观特色：采用星空灰色塑料直角边框+玻璃面板设计</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操作系统：Android操作系统</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屏幕规格：</w:t>
            </w:r>
            <w:r>
              <w:rPr>
                <w:rFonts w:hint="eastAsia" w:ascii="宋体" w:hAnsi="宋体" w:cs="宋体"/>
                <w:color w:val="auto"/>
                <w:sz w:val="20"/>
                <w:szCs w:val="20"/>
                <w:lang w:eastAsia="zh-CN"/>
              </w:rPr>
              <w:t xml:space="preserve">≥7英寸，≥1024*600分辨率；</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摄像头：</w:t>
            </w:r>
            <w:r>
              <w:rPr>
                <w:rFonts w:hint="eastAsia" w:ascii="宋体" w:hAnsi="宋体" w:cs="宋体"/>
                <w:color w:val="auto"/>
                <w:sz w:val="20"/>
                <w:szCs w:val="20"/>
                <w:lang w:eastAsia="zh-CN"/>
              </w:rPr>
              <w:t xml:space="preserve">≥400W高清双目摄像头</w:t>
            </w:r>
            <w:r>
              <w:rPr>
                <w:rFonts w:hint="eastAsia" w:ascii="宋体" w:hAnsi="宋体" w:eastAsia="宋体" w:cs="宋体"/>
                <w:color w:val="auto"/>
                <w:sz w:val="20"/>
                <w:szCs w:val="20"/>
              </w:rPr>
              <w:t xml:space="preserve">、108°广角</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操作方式：触摸按键</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认证方式：支持人脸、刷卡（IC卡、手机NFC卡、CPU卡序列号、身份证序列号）、密码、二维码（摄像头识别）等多种认证，可外接1个RS485读卡器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人脸认证：设备采用深度学习算法和星光级图像传感器，无需白光补光，仍可在暗光或无光环境下稳定识别；识别距离：0.3~2.5m。人脸比对时间≤0.2s/人，人脸验证准确率≥99%，支持手机照片、视频防假，识别速度快，准确率高；</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存储容量：本地支持20000个用户、20000人脸库、100000张卡</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通信方式：有线网络（10M/100M/1000M自适应以太网）</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硬件接口：RJ45*2（1个网口、1个预留）、RS485*2、电锁接口*2（其中1路预留）、开门按钮*1、门磁输入*2（其中1路预留）、消防报警输入*1</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供电方式：DC 12V/2A（电源需另配）</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设备功耗：≤15W</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防护等级：IP65，室内外使用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【功能特性】</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对讲功能：支持与室内机或中心管理机之间双向语音对讲，不支持接入半数字对讲系统；</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主副门口机：支持1台主门口机带8台副门口机，满足一个单元多门口机场景；</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门禁功能：可直接控制电锁，实现门禁管理，可定制扩展成双门控制；</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视频预览：支持管理中心远程视频预览，支持接入NVR设备，实现视频录像，编码格式H.264；可作为安防点 7×24 全天候预览、录像；</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报警功能：设备具有消防报警输入联动门锁常开功能，设备具有防拆报警、门磁检测报警功能；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电梯联动：可与梯控设备对接，实现呼梯联动功能；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事件上传：在线状态下将设备认证结果信息及联动抓拍照片实时上传给平台，支持断网续传功能；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单机使用：可本地录入人员信息，实现免平台、免中心管理；</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Web管理：支持Web端管理，可进行人员管理、参数配置、事件查询、系统维护等操作；</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远程维护：支持中心远程升级，批量刷机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磁力锁</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≥250kg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按钮开关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86型</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电源装置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12V DC</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电话插座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电话信息插座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RJ45+RJ45接口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无线AC控制器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带机量≥200台，出口带宽≥1G，≥1*GE（WAN口），≥4*GE（LAN口），Mac地址表：≥2K，</w:t>
            </w:r>
            <w:r>
              <w:rPr>
                <w:rFonts w:hint="eastAsia" w:ascii="宋体" w:hAnsi="宋体" w:eastAsia="宋体" w:cs="宋体"/>
                <w:color w:val="auto"/>
                <w:sz w:val="20"/>
                <w:szCs w:val="20"/>
              </w:rPr>
              <w:t xml:space="preserve">自然散热</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桌面款</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支持AC功能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最大可管理32个AP</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支持EasyWeb功能</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无线AP</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吸顶AP</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上行1个千兆电口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支持802.11ax</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2+2双频</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整机速率2.975Gbps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最大发射功率23dBm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最大功耗9.4W</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智能天线</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推荐用户数100个，推荐并发用户数28个</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8M每终端</w:t>
            </w:r>
            <w:r>
              <w:rPr>
                <w:rFonts w:hint="eastAsia" w:ascii="宋体" w:hAnsi="宋体" w:cs="宋体"/>
                <w:color w:val="auto"/>
                <w:sz w:val="20"/>
                <w:szCs w:val="20"/>
                <w:lang w:eastAsia="zh-CN"/>
              </w:rPr>
              <w:t xml:space="preserve">），覆盖半径≥20m。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POE交换机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≥24个10/100/1000BASE-T以太网端口（400W PoE+），≥4个2.5G SFP，包转发率≥88Mpps，交换容量≥432Gbps。</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四层ICU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4U机架式24盘位嵌入式网络硬盘录像机，ATX电源</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支持满配</w:t>
            </w: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TB硬盘（总容量可达</w:t>
            </w:r>
            <w:r>
              <w:rPr>
                <w:rFonts w:hint="eastAsia" w:ascii="宋体" w:hAnsi="宋体" w:cs="宋体"/>
                <w:color w:val="auto"/>
                <w:sz w:val="20"/>
                <w:szCs w:val="20"/>
                <w:lang w:val="en-US" w:eastAsia="zh-CN"/>
              </w:rPr>
              <w:t xml:space="preserve">288</w:t>
            </w:r>
            <w:r>
              <w:rPr>
                <w:rFonts w:hint="eastAsia" w:ascii="宋体" w:hAnsi="宋体" w:eastAsia="宋体" w:cs="宋体"/>
                <w:color w:val="auto"/>
                <w:sz w:val="20"/>
                <w:szCs w:val="20"/>
              </w:rPr>
              <w:t xml:space="preserve">TB</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3、2</w:t>
            </w:r>
            <w:r>
              <w:rPr>
                <w:rFonts w:hint="eastAsia" w:ascii="宋体" w:hAnsi="宋体" w:eastAsia="宋体" w:cs="宋体"/>
                <w:color w:val="auto"/>
                <w:sz w:val="20"/>
                <w:szCs w:val="20"/>
              </w:rPr>
              <w:t xml:space="preserve">个HDMI接口、</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个VGA接口，同源输出，可支持4K输出</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个RJ45 10/100/1000Mbps自适应以太网口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个USB2.0接口</w:t>
            </w:r>
            <w:r>
              <w:rPr>
                <w:rFonts w:hint="eastAsia" w:ascii="宋体" w:hAnsi="宋体" w:cs="宋体"/>
                <w:color w:val="auto"/>
                <w:sz w:val="20"/>
                <w:szCs w:val="20"/>
                <w:lang w:val="en-US" w:eastAsia="zh-CN"/>
              </w:rPr>
              <w:t xml:space="preserve">,1个USB3.0接口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报警IO接口：16路报警输入，</w:t>
            </w: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路报警输出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cs="宋体"/>
                <w:color w:val="auto"/>
                <w:sz w:val="20"/>
                <w:szCs w:val="20"/>
                <w:lang w:eastAsia="zh-CN"/>
              </w:rPr>
              <w:t xml:space="preserve">输入带宽：≥</w:t>
            </w:r>
            <w:r>
              <w:rPr>
                <w:rFonts w:hint="eastAsia" w:ascii="宋体" w:hAnsi="宋体" w:cs="宋体"/>
                <w:color w:val="auto"/>
                <w:sz w:val="20"/>
                <w:szCs w:val="20"/>
                <w:lang w:val="en-US" w:eastAsia="zh-CN"/>
              </w:rPr>
              <w:t xml:space="preserve">320</w:t>
            </w:r>
            <w:r>
              <w:rPr>
                <w:rFonts w:hint="eastAsia" w:ascii="宋体" w:hAnsi="宋体" w:cs="宋体"/>
                <w:color w:val="auto"/>
                <w:sz w:val="20"/>
                <w:szCs w:val="20"/>
                <w:lang w:eastAsia="zh-CN"/>
              </w:rPr>
              <w:t xml:space="preserve">Mbps；输出带宽：≥</w:t>
            </w:r>
            <w:r>
              <w:rPr>
                <w:rFonts w:hint="eastAsia" w:ascii="宋体" w:hAnsi="宋体" w:cs="宋体"/>
                <w:color w:val="auto"/>
                <w:sz w:val="20"/>
                <w:szCs w:val="20"/>
                <w:lang w:val="en-US" w:eastAsia="zh-CN"/>
              </w:rPr>
              <w:t xml:space="preserve">160</w:t>
            </w:r>
            <w:r>
              <w:rPr>
                <w:rFonts w:hint="eastAsia" w:ascii="宋体" w:hAnsi="宋体" w:cs="宋体"/>
                <w:color w:val="auto"/>
                <w:sz w:val="20"/>
                <w:szCs w:val="20"/>
                <w:lang w:eastAsia="zh-CN"/>
              </w:rPr>
              <w:t xml:space="preserve">Mbps；</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接入能力：</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64路H.264、H.265格式高清码流接入</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解码能力：最大支持16×1080P</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机械式，</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监视设备（含键鼠）</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、最高分辨率可达2560×1440@25fps；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、支持用户登录锁定机制，及密码复杂度提示；</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、支持SmartIR，防止夜间红外过曝；</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、支持背光补偿，强光抑制，3D数字降噪，数字宽动态；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、支持ROI感兴趣区域增强编码；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、支持开放型网络视频接口，ISAPI，SDK，GB28181协议；</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、1个内置麦克风；</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、采用高效阵列红外灯，使用寿命长，红外照射最远可达30m；</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、符合IP66防尘防水设计，可靠性高；</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、传感器类型：1/2.7"Progressive Scan CMOS；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、最低照度：彩色：0.005 Lux@（F1.2，AGC ON），0 Lux with IR；</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、最大图像尺寸：2560×1440；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、宽动态：数字宽动态；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、调节角度：水平：0°~360°，垂直：0°~75°，旋转：0°~360°；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、焦距&amp;视场角：2.8mm：水平视场角：94°，垂直视场角：49°，对角视场角：114°；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4mm，水平视场角：70°，垂直视场角：35°，对角视场角：85°；</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6mm，水平视场角：46°，垂直视场角：24°，对角视场角：54°；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8mm，水平视场角：43°，垂直视场角：24°，对角视场角：50°；</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12mm，水平视场角：27°，垂直视场角：15°，对角视场角：31°。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包转发率≥126Mpps，交换容量≥432Gbps，≥48个千兆电口，≥4个千兆光口，VLAN：≥4K，MAC：≥16K，19英寸1U标准机架，金属外壳。</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可视门禁主机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视频监控：支持预览权限范围内公共摄像头及门口机实时画面，可4路720P画面同时监视，可点击门口机画面进行对讲</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对讲功能：支持与门口机、室内机及其他管理机之间的可视对讲，支持遇忙呼叫等待、呼叫转移功能</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多方对讲：支持拉取多台室内机、管理机设备进行多方对讲，最大支持16台设备</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副机管理：支持1主64副管理机，多管理机场景支持群呼和按优先级呼叫</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录音录像：支持视频监视时抓拍、录像监视画面，对讲通话时录音</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远程开门：支持在被门口机呼叫或远程监视门口机时远程开锁</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广播功能：支持实时广播、定时广播功能（面向门口机或室内机）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报警接收：实时接收、显示业主家庭室内机发送的报警信息</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设备管理：设备支持对室内机校时，支持查看门口机、室内机在线状态可对门口机、室内机升级</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Web管理：设备支持web进行参数配置、账号管理、系统维护等操作</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【技术参数】</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≥10.1英寸；</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显示分辨率：≥1280*800；</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摄像头：CMOS ≥200W像素，可开关；</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4、操作方式：触摸屏幕+触摸按键；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5、网络协议：TCP/IP 、RTSP、SIP2.0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6、硬件接口：RJ45*1，RS485*1，USB*3（其中一个是下载口），IO输入*2，IO输出*2，TF拓展接口*1，HDMI*1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7、供电方式：DC12V</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自带电源适配器</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或标准POE；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8、设备功耗：≤12W；</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可视门禁分机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外观特色：采用星空灰色塑料直角边框+玻璃面板设计</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操作系统：Android操作系统</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屏幕规格：</w:t>
            </w:r>
            <w:r>
              <w:rPr>
                <w:rFonts w:hint="eastAsia" w:ascii="宋体" w:hAnsi="宋体" w:cs="宋体"/>
                <w:color w:val="auto"/>
                <w:sz w:val="20"/>
                <w:szCs w:val="20"/>
                <w:lang w:eastAsia="zh-CN"/>
              </w:rPr>
              <w:t xml:space="preserve">≥7英寸，≥1024*600分辨率；</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摄像头：</w:t>
            </w:r>
            <w:r>
              <w:rPr>
                <w:rFonts w:hint="eastAsia" w:ascii="宋体" w:hAnsi="宋体" w:cs="宋体"/>
                <w:color w:val="auto"/>
                <w:sz w:val="20"/>
                <w:szCs w:val="20"/>
                <w:lang w:eastAsia="zh-CN"/>
              </w:rPr>
              <w:t xml:space="preserve">≥400W高清双目摄像头</w:t>
            </w:r>
            <w:r>
              <w:rPr>
                <w:rFonts w:hint="eastAsia" w:ascii="宋体" w:hAnsi="宋体" w:eastAsia="宋体" w:cs="宋体"/>
                <w:color w:val="auto"/>
                <w:sz w:val="20"/>
                <w:szCs w:val="20"/>
              </w:rPr>
              <w:t xml:space="preserve">、108°广角</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操作方式：触摸按键</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认证方式：支持人脸、刷卡（IC卡、手机NFC卡、CPU卡序列号、身份证序列号）、密码、二维码（摄像头识别）等多种认证，可外接1个RS485读卡器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人脸认证：设备采用深度学习算法和星光级图像传感器，无需白光补光，仍可在暗光或无光环境下稳定识别；识别距离：0.3~2.5m。人脸比对时间≤0.2s/人，人脸验证准确率≥99%，支持手机照片、视频防假，识别速度快，准确率高；</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存储容量：本地支持20000个用户、20000人脸库、100000张卡</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通信方式：有线网络（10M/100M/1000M自适应以太网）</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硬件接口：RJ45*2（1个网口、1个预留）、RS485*2、电锁接口*2（其中1路预留）、开门按钮*1、门磁输入*2（其中1路预留）、消防报警输入*1</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11、</w:t>
            </w:r>
            <w:r>
              <w:rPr>
                <w:rFonts w:hint="eastAsia" w:ascii="宋体" w:hAnsi="宋体" w:eastAsia="宋体" w:cs="宋体"/>
                <w:color w:val="auto"/>
                <w:sz w:val="20"/>
                <w:szCs w:val="20"/>
              </w:rPr>
              <w:t xml:space="preserve">供电方式：DC 12V/2A（电源需另配）</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设备功耗：≤15W</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13、</w:t>
            </w:r>
            <w:r>
              <w:rPr>
                <w:rFonts w:hint="eastAsia" w:ascii="宋体" w:hAnsi="宋体" w:eastAsia="宋体" w:cs="宋体"/>
                <w:color w:val="auto"/>
                <w:sz w:val="20"/>
                <w:szCs w:val="20"/>
              </w:rPr>
              <w:t xml:space="preserve">防护等级：IP65，室内外使用</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【功能特性】</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对讲功能：支持与室内机或中心管理机之间双向语音对讲，不支持接入半数字对讲系统；</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主副门口机：支持1台主门口机带8台副门口机，满足一个单元多门口机场景；</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门禁功能：可直接控制电锁，实现门禁管理，可定制扩展成双门控制；</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视频预览：支持管理中心远程视频预览，支持接入NVR设备，实现视频录像，编码格式H.264；可作为安防点 7×24 全天候预览、录像；</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报警功能：设备具有消防报警输入联动门锁常开功能，设备具有防拆报警、门磁检测报警功能；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电梯联动：可与梯控设备对接，实现呼梯联动功能；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7、</w:t>
            </w:r>
            <w:r>
              <w:rPr>
                <w:rFonts w:hint="eastAsia" w:ascii="宋体" w:hAnsi="宋体" w:eastAsia="宋体" w:cs="宋体"/>
                <w:color w:val="auto"/>
                <w:sz w:val="20"/>
                <w:szCs w:val="20"/>
              </w:rPr>
              <w:t xml:space="preserve">事件上传：在线状态下将设备认证结果信息及联动抓拍照片实时上传给平台，支持断网续传功能；</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单机使用：可本地录入人员信息，实现免平台、免中心管理；</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Web管理：支持Web端管理，可进行人员管理、参数配置、事件查询、系统维护等操作；</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远程维护：支持中心远程升级，批量刷机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磁力锁</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≥250kg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按钮开关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86型</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电源装置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12V DC</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电话插座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电话信息插座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RJ45+RJ45接口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无线AC控制器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eastAsia="zh-CN"/>
              </w:rPr>
              <w:t xml:space="preserve">带机量≥200台，出口带宽≥1G，≥1*GE（WAN口），≥4*GE（LAN口），Mac地址表：≥2K，</w:t>
            </w:r>
            <w:r>
              <w:rPr>
                <w:rFonts w:hint="eastAsia" w:ascii="宋体" w:hAnsi="宋体" w:eastAsia="宋体" w:cs="宋体"/>
                <w:color w:val="auto"/>
                <w:sz w:val="20"/>
                <w:szCs w:val="20"/>
              </w:rPr>
              <w:t xml:space="preserve">自然散热</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桌面款</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支持AC功能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最大可管理32个AP</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支持EasyWeb功能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无线AP</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吸顶AP</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上行1个千兆电口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支持802.11ax</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2+2双频</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整机速率2.975Gbps</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最大发射功率23dBm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最大功耗9.4W</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智能天线</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推荐用户数100个，推荐并发用户数28个</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8M每终端</w:t>
            </w:r>
            <w:r>
              <w:rPr>
                <w:rFonts w:hint="eastAsia" w:ascii="宋体" w:hAnsi="宋体" w:cs="宋体"/>
                <w:color w:val="auto"/>
                <w:sz w:val="20"/>
                <w:szCs w:val="20"/>
                <w:lang w:eastAsia="zh-CN"/>
              </w:rPr>
              <w:t xml:space="preserve">），覆盖半径≥20m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POE交换机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≥24个10/100/1000BASE-T以太网端口（400W PoE+），≥4个2.5G SFP，包转发率≥88Mpps，交换容量≥432Gbps。</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一层放射科</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存储接口：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个SATA接口，可满配</w:t>
            </w: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TB硬盘</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视频接口：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×HDMI，</w:t>
            </w: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×VGA</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网络接口：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×RJ45 10/100/1000Mbps自适应以太网口</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报警接口：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16路报警输入，9路报警输出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USB接口：2×USB 2.0，1×USB 3.0</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输入带宽：</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160</w:t>
            </w:r>
            <w:r>
              <w:rPr>
                <w:rFonts w:hint="eastAsia" w:ascii="宋体" w:hAnsi="宋体" w:eastAsia="宋体" w:cs="宋体"/>
                <w:color w:val="auto"/>
                <w:sz w:val="20"/>
                <w:szCs w:val="20"/>
              </w:rPr>
              <w:t xml:space="preserve">Mbps</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cs="宋体"/>
                <w:color w:val="auto"/>
                <w:sz w:val="20"/>
                <w:szCs w:val="20"/>
                <w:lang w:eastAsia="zh-CN"/>
              </w:rPr>
              <w:t xml:space="preserve">输出带宽：≥</w:t>
            </w:r>
            <w:r>
              <w:rPr>
                <w:rFonts w:hint="eastAsia" w:ascii="宋体" w:hAnsi="宋体" w:cs="宋体"/>
                <w:color w:val="auto"/>
                <w:sz w:val="20"/>
                <w:szCs w:val="20"/>
                <w:lang w:val="en-US" w:eastAsia="zh-CN"/>
              </w:rPr>
              <w:t xml:space="preserve">160</w:t>
            </w:r>
            <w:r>
              <w:rPr>
                <w:rFonts w:hint="eastAsia" w:ascii="宋体" w:hAnsi="宋体" w:cs="宋体"/>
                <w:color w:val="auto"/>
                <w:sz w:val="20"/>
                <w:szCs w:val="20"/>
                <w:lang w:eastAsia="zh-CN"/>
              </w:rPr>
              <w:t xml:space="preserve">Mbps；</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接入能力：</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16路H.264、H.265格式高清码流接入</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解码能力：最大支持24×1080P</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显示能力：最大支持4K+1080P异源输出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机械式，</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监视</w:t>
            </w:r>
            <w:r>
              <w:rPr>
                <w:rFonts w:hint="eastAsia" w:ascii="宋体" w:hAnsi="宋体" w:cs="宋体"/>
                <w:color w:val="auto"/>
                <w:sz w:val="20"/>
                <w:szCs w:val="20"/>
                <w:lang w:val="en-US" w:eastAsia="zh-CN"/>
              </w:rPr>
              <w:t xml:space="preserve">设备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含键鼠</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、最高分辨率可达2560×1440@25fps；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、支持用户登录锁定机制，及密码复杂度提示；</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、支持SmartIR，防止夜间红外过曝；</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、支持背光补偿，强光抑制，3D数字降噪，数字宽动态；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、支持ROI感兴趣区域增强编码；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、支持开放型网络视频接口，ISAPI，SDK，GB28181协议；</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、1个内置麦克风；</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、采用高效阵列红外灯，使用寿命长，红外照射最远可达30m；</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、符合IP66防尘防水设计，可靠性高；</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、传感器类型：1/2.7"Progressive Scan CMOS；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、最低照度：彩色：0.005 Lux@（F1.2，AGC ON），0 Lux with IR；</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、最大图像尺寸：2560×1440；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、宽动态：数字宽动态；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、调节角度：水平：0°~360°，垂直：0°~75°，旋转：0°~360°；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、焦距&amp;视场角：2.8mm：水平视场角：94°，垂直视场角：49°，对角视场角：114°；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4mm，水平视场角：70°，垂直视场角：35°，对角视场角：85°；</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6mm，水平视场角：46°，垂直视场角：24°，对角视场角：54°；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8mm，水平视场角：43°，垂直视场角：24°，对角视场角：50°；</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12mm，水平视场角：27°，垂直视场角：15°，对角视场角：31°。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包转发率≥15Mpps，交换容量≥336Gbps，≥9个千兆电口，≥1个千兆光口，VLAN：≥4K，MAC：≥8K，桌面式。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一层抢救室</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存储接口：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个SATA接口，可满配</w:t>
            </w: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TB硬盘</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视频接口：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×HDMI，1×VGA</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网络接口：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2×RJ45 10/100/1000Mbps自适应以太网口</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报警接口：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16路报警输入，4路报警输出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USB接口：2×USB 2.0，1×USB 3.0</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输入带宽：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80Mbps</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cs="宋体"/>
                <w:color w:val="auto"/>
                <w:sz w:val="20"/>
                <w:szCs w:val="20"/>
                <w:lang w:eastAsia="zh-CN"/>
              </w:rPr>
              <w:t xml:space="preserve">输出带宽：≥</w:t>
            </w:r>
            <w:r>
              <w:rPr>
                <w:rFonts w:hint="eastAsia" w:ascii="宋体" w:hAnsi="宋体" w:cs="宋体"/>
                <w:color w:val="auto"/>
                <w:sz w:val="20"/>
                <w:szCs w:val="20"/>
                <w:lang w:val="en-US" w:eastAsia="zh-CN"/>
              </w:rPr>
              <w:t xml:space="preserve">160</w:t>
            </w:r>
            <w:r>
              <w:rPr>
                <w:rFonts w:hint="eastAsia" w:ascii="宋体" w:hAnsi="宋体" w:cs="宋体"/>
                <w:color w:val="auto"/>
                <w:sz w:val="20"/>
                <w:szCs w:val="20"/>
                <w:lang w:eastAsia="zh-CN"/>
              </w:rPr>
              <w:t xml:space="preserve">Mbps；</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接入能力：</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8路H.264、H.265格式高清码流接入</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解码能力：最大支持24×1080P</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显示能力：最大支持4K+1080P异源输出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机械式，</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监视</w:t>
            </w:r>
            <w:r>
              <w:rPr>
                <w:rFonts w:hint="eastAsia" w:ascii="宋体" w:hAnsi="宋体" w:cs="宋体"/>
                <w:color w:val="auto"/>
                <w:sz w:val="20"/>
                <w:szCs w:val="20"/>
                <w:lang w:val="en-US" w:eastAsia="zh-CN"/>
              </w:rPr>
              <w:t xml:space="preserve">设备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含键鼠</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、最高分辨率可达2560×1440@25fps；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、支持用户登录锁定机制，及密码复杂度提示；</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、支持SmartIR，防止夜间红外过曝；</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、支持背光补偿，强光抑制，3D数字降噪，数字宽动态；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、支持ROI感兴趣区域增强编码；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、支持开放型网络视频接口，ISAPI，SDK，GB28181协议；</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、1个内置麦克风；</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、采用高效阵列红外灯，使用寿命长，红外照射最远可达30m；</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、符合IP66防尘防水设计，可靠性高；</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、传感器类型：1/2.7"Progressive Scan CMOS；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、最低照度：彩色：0.005 Lux@（F1.2，AGC ON），0 Lux with IR；</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、最大图像尺寸：2560×1440；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、宽动态：数字宽动态；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、调节角度：水平：0°~360°，垂直：0°~75°，旋转：0°~360°；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、焦距&amp;视场角：2.8mm：水平视场角：94°，垂直视场角：49°，对角视场角：114°；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4mm，水平视场角：70°，垂直视场角：35°，对角视场角：85°；</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6mm，水平视场角：46°，垂直视场角：24°，对角视场角：54°；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8mm，水平视场角：43°，垂直视场角：24°，对角视场角：50°；</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12mm，水平视场角：27°，垂直视场角：15°，对角视场角：31°。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包转发率≥15Mpps，交换容量≥336Gbps，≥9个千兆电口，≥1个千兆光口，VLAN：≥4K，MAC：≥8K，桌面式。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三层口腔</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存储接口：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个SATA接口，可满配</w:t>
            </w: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TB硬盘</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视频接口：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×HDMI，1×VGA</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网络接口：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2×RJ45 10/100/1000Mbps自适应以太网口</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报警接口：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16路报警输入，4路报警输出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USB接口：2×USB 2.0，1×USB 3.0</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输入带宽：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80Mbps</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cs="宋体"/>
                <w:color w:val="auto"/>
                <w:sz w:val="20"/>
                <w:szCs w:val="20"/>
                <w:lang w:eastAsia="zh-CN"/>
              </w:rPr>
              <w:t xml:space="preserve">输出带宽：≥</w:t>
            </w:r>
            <w:r>
              <w:rPr>
                <w:rFonts w:hint="eastAsia" w:ascii="宋体" w:hAnsi="宋体" w:cs="宋体"/>
                <w:color w:val="auto"/>
                <w:sz w:val="20"/>
                <w:szCs w:val="20"/>
                <w:lang w:val="en-US" w:eastAsia="zh-CN"/>
              </w:rPr>
              <w:t xml:space="preserve">160</w:t>
            </w:r>
            <w:r>
              <w:rPr>
                <w:rFonts w:hint="eastAsia" w:ascii="宋体" w:hAnsi="宋体" w:cs="宋体"/>
                <w:color w:val="auto"/>
                <w:sz w:val="20"/>
                <w:szCs w:val="20"/>
                <w:lang w:eastAsia="zh-CN"/>
              </w:rPr>
              <w:t xml:space="preserve">Mbps；</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接入能力：</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8路H.264、H.265格式高清码流接入</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解码能力：最大支持24×1080P</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显示能力：最大支持4K+1080P异源输出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机械式，</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监视</w:t>
            </w:r>
            <w:r>
              <w:rPr>
                <w:rFonts w:hint="eastAsia" w:ascii="宋体" w:hAnsi="宋体" w:cs="宋体"/>
                <w:color w:val="auto"/>
                <w:sz w:val="20"/>
                <w:szCs w:val="20"/>
                <w:lang w:val="en-US" w:eastAsia="zh-CN"/>
              </w:rPr>
              <w:t xml:space="preserve">设备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含键鼠</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、最高分辨率可达2560×1440@25fps；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、支持用户登录锁定机制，及密码复杂度提示；</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、支持SmartIR，防止夜间红外过曝；</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、支持背光补偿，强光抑制，3D数字降噪，数字宽动态；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、支持ROI感兴趣区域增强编码；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、支持开放型网络视频接口，ISAPI，SDK，GB28181协议；</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、1个内置麦克风；</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、采用高效阵列红外灯，使用寿命长，红外照射最远可达30m；</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、符合IP66防尘防水设计，可靠性高；</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、传感器类型：1/2.7"Progressive Scan CMOS；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、最低照度：彩色：0.005 Lux@（F1.2，AGC ON），0 Lux with IR；</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、最大图像尺寸：2560×1440；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、宽动态：数字宽动态；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、调节角度：水平：0°~360°，垂直：0°~75°，旋转：0°~360°；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、焦距&amp;视场角：2.8mm：水平视场角：94°，垂直视场角：49°，对角视场角：114°；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4mm，水平视场角：70°，垂直视场角：35°，对角视场角：85°；</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6mm，水平视场角：46°，垂直视场角：24°，对角视场角：54°；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8mm，水平视场角：43°，垂直视场角：24°，对角视场角：50°；</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12mm，水平视场角：27°，垂直视场角：15°，对角视场角：31°。</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包转发率≥15Mpps，交换容量≥336Gbps，≥9个千兆电口，≥1个千兆光口，VLAN：≥4K，MAC：≥8K，桌面式。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三层抢救室</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8路硬盘录像机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rPr>
              <w:t xml:space="preserve">存储接口：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个SATA接口，可满配</w:t>
            </w:r>
            <w:r>
              <w:rPr>
                <w:rFonts w:hint="eastAsia" w:ascii="宋体" w:hAnsi="宋体" w:cs="宋体"/>
                <w:color w:val="auto"/>
                <w:sz w:val="20"/>
                <w:szCs w:val="20"/>
                <w:lang w:val="en-US" w:eastAsia="zh-CN"/>
              </w:rPr>
              <w:t xml:space="preserve">12</w:t>
            </w:r>
            <w:r>
              <w:rPr>
                <w:rFonts w:hint="eastAsia" w:ascii="宋体" w:hAnsi="宋体" w:eastAsia="宋体" w:cs="宋体"/>
                <w:color w:val="auto"/>
                <w:sz w:val="20"/>
                <w:szCs w:val="20"/>
              </w:rPr>
              <w:t xml:space="preserve">TB硬盘</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视频接口：</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2</w:t>
            </w:r>
            <w:r>
              <w:rPr>
                <w:rFonts w:hint="eastAsia" w:ascii="宋体" w:hAnsi="宋体" w:eastAsia="宋体" w:cs="宋体"/>
                <w:color w:val="auto"/>
                <w:sz w:val="20"/>
                <w:szCs w:val="20"/>
              </w:rPr>
              <w:t xml:space="preserve">×HDMI，1×VGA</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3、</w:t>
            </w:r>
            <w:r>
              <w:rPr>
                <w:rFonts w:hint="eastAsia" w:ascii="宋体" w:hAnsi="宋体" w:eastAsia="宋体" w:cs="宋体"/>
                <w:color w:val="auto"/>
                <w:sz w:val="20"/>
                <w:szCs w:val="20"/>
              </w:rPr>
              <w:t xml:space="preserve">网络接口：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2×RJ45 10/100/1000Mbps自适应以太网口</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4、</w:t>
            </w:r>
            <w:r>
              <w:rPr>
                <w:rFonts w:hint="eastAsia" w:ascii="宋体" w:hAnsi="宋体" w:eastAsia="宋体" w:cs="宋体"/>
                <w:color w:val="auto"/>
                <w:sz w:val="20"/>
                <w:szCs w:val="20"/>
              </w:rPr>
              <w:t xml:space="preserve">报警接口：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16路报警输入，4路报警输出</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5、</w:t>
            </w:r>
            <w:r>
              <w:rPr>
                <w:rFonts w:hint="eastAsia" w:ascii="宋体" w:hAnsi="宋体" w:eastAsia="宋体" w:cs="宋体"/>
                <w:color w:val="auto"/>
                <w:sz w:val="20"/>
                <w:szCs w:val="20"/>
              </w:rPr>
              <w:t xml:space="preserve">USB接口：2×USB 2.0，1×USB 3.0</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6、</w:t>
            </w:r>
            <w:r>
              <w:rPr>
                <w:rFonts w:hint="eastAsia" w:ascii="宋体" w:hAnsi="宋体" w:eastAsia="宋体" w:cs="宋体"/>
                <w:color w:val="auto"/>
                <w:sz w:val="20"/>
                <w:szCs w:val="20"/>
              </w:rPr>
              <w:t xml:space="preserve">输入带宽：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80Mbps</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7、</w:t>
            </w:r>
            <w:r>
              <w:rPr>
                <w:rFonts w:hint="eastAsia" w:ascii="宋体" w:hAnsi="宋体" w:cs="宋体"/>
                <w:color w:val="auto"/>
                <w:sz w:val="20"/>
                <w:szCs w:val="20"/>
                <w:lang w:eastAsia="zh-CN"/>
              </w:rPr>
              <w:t xml:space="preserve">输出带宽：≥</w:t>
            </w:r>
            <w:r>
              <w:rPr>
                <w:rFonts w:hint="eastAsia" w:ascii="宋体" w:hAnsi="宋体" w:cs="宋体"/>
                <w:color w:val="auto"/>
                <w:sz w:val="20"/>
                <w:szCs w:val="20"/>
                <w:lang w:val="en-US" w:eastAsia="zh-CN"/>
              </w:rPr>
              <w:t xml:space="preserve">160</w:t>
            </w:r>
            <w:r>
              <w:rPr>
                <w:rFonts w:hint="eastAsia" w:ascii="宋体" w:hAnsi="宋体" w:cs="宋体"/>
                <w:color w:val="auto"/>
                <w:sz w:val="20"/>
                <w:szCs w:val="20"/>
                <w:lang w:eastAsia="zh-CN"/>
              </w:rPr>
              <w:t xml:space="preserve">Mbps；</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8、</w:t>
            </w:r>
            <w:r>
              <w:rPr>
                <w:rFonts w:hint="eastAsia" w:ascii="宋体" w:hAnsi="宋体" w:eastAsia="宋体" w:cs="宋体"/>
                <w:color w:val="auto"/>
                <w:sz w:val="20"/>
                <w:szCs w:val="20"/>
              </w:rPr>
              <w:t xml:space="preserve">接入能力：</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8路H.264、H.265格式高清码流接入</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val="en-US" w:eastAsia="zh-CN"/>
              </w:rPr>
              <w:t xml:space="preserve">9、</w:t>
            </w:r>
            <w:r>
              <w:rPr>
                <w:rFonts w:hint="eastAsia" w:ascii="宋体" w:hAnsi="宋体" w:eastAsia="宋体" w:cs="宋体"/>
                <w:color w:val="auto"/>
                <w:sz w:val="20"/>
                <w:szCs w:val="20"/>
              </w:rPr>
              <w:t xml:space="preserve">解码能力：最大支持24×1080P</w:t>
            </w:r>
            <w:r>
              <w:rPr>
                <w:rFonts w:hint="eastAsia" w:ascii="宋体" w:hAnsi="宋体" w:cs="宋体"/>
                <w:color w:val="auto"/>
                <w:sz w:val="20"/>
                <w:szCs w:val="20"/>
                <w:lang w:eastAsia="zh-CN"/>
              </w:rPr>
              <w:t xml:space="preserve">；</w:t>
            </w:r>
            <w:r/>
          </w:p>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val="en-US" w:eastAsia="zh-CN"/>
              </w:rPr>
              <w:t xml:space="preserve">10、</w:t>
            </w:r>
            <w:r>
              <w:rPr>
                <w:rFonts w:hint="eastAsia" w:ascii="宋体" w:hAnsi="宋体" w:eastAsia="宋体" w:cs="宋体"/>
                <w:color w:val="auto"/>
                <w:sz w:val="20"/>
                <w:szCs w:val="20"/>
              </w:rPr>
              <w:t xml:space="preserve">显示能力：最大支持4K+1080P异源输出</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机械式，≥</w:t>
            </w:r>
            <w:r>
              <w:rPr>
                <w:rFonts w:hint="eastAsia" w:ascii="宋体" w:hAnsi="宋体" w:cs="宋体"/>
                <w:color w:val="auto"/>
                <w:sz w:val="20"/>
                <w:szCs w:val="20"/>
                <w:lang w:val="en-US" w:eastAsia="zh-CN"/>
              </w:rPr>
              <w:t xml:space="preserve">10</w:t>
            </w:r>
            <w:r>
              <w:rPr>
                <w:rFonts w:hint="eastAsia" w:ascii="宋体" w:hAnsi="宋体" w:cs="宋体"/>
                <w:color w:val="auto"/>
                <w:sz w:val="20"/>
                <w:szCs w:val="20"/>
                <w:lang w:eastAsia="zh-CN"/>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监视</w:t>
            </w:r>
            <w:r>
              <w:rPr>
                <w:rFonts w:hint="eastAsia" w:ascii="宋体" w:hAnsi="宋体" w:cs="宋体"/>
                <w:color w:val="auto"/>
                <w:sz w:val="20"/>
                <w:szCs w:val="20"/>
                <w:lang w:val="en-US" w:eastAsia="zh-CN"/>
              </w:rPr>
              <w:t xml:space="preserve">设备</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含键鼠</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、最高分辨率可达2560×1440@25fps；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、支持用户登录锁定机制，及密码复杂度提示；</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3</w:t>
            </w:r>
            <w:r>
              <w:rPr>
                <w:rFonts w:hint="eastAsia" w:ascii="宋体" w:hAnsi="宋体" w:eastAsia="宋体" w:cs="宋体"/>
                <w:color w:val="auto"/>
                <w:sz w:val="20"/>
                <w:szCs w:val="20"/>
              </w:rPr>
              <w:t xml:space="preserve">、支持SmartIR，防止夜间红外过曝；</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、支持背光补偿，强光抑制，3D数字降噪，数字宽动态；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5</w:t>
            </w:r>
            <w:r>
              <w:rPr>
                <w:rFonts w:hint="eastAsia" w:ascii="宋体" w:hAnsi="宋体" w:eastAsia="宋体" w:cs="宋体"/>
                <w:color w:val="auto"/>
                <w:sz w:val="20"/>
                <w:szCs w:val="20"/>
              </w:rPr>
              <w:t xml:space="preserve">、支持ROI感兴趣区域增强编码；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6</w:t>
            </w:r>
            <w:r>
              <w:rPr>
                <w:rFonts w:hint="eastAsia" w:ascii="宋体" w:hAnsi="宋体" w:eastAsia="宋体" w:cs="宋体"/>
                <w:color w:val="auto"/>
                <w:sz w:val="20"/>
                <w:szCs w:val="20"/>
              </w:rPr>
              <w:t xml:space="preserve">、支持开放型网络视频接口，ISAPI，SDK，GB28181协议；</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w:t>
            </w:r>
            <w:r>
              <w:rPr>
                <w:rFonts w:hint="eastAsia" w:ascii="宋体" w:hAnsi="宋体" w:eastAsia="宋体" w:cs="宋体"/>
                <w:color w:val="auto"/>
                <w:sz w:val="20"/>
                <w:szCs w:val="20"/>
              </w:rPr>
              <w:t xml:space="preserve">、1个内置麦克风；</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、采用高效阵列红外灯，使用寿命长，红外照射最远可达30m；</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、符合IP66防尘防水设计，可靠性高；</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、传感器类型：1/2.7"Progressive Scan CMOS；</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11</w:t>
            </w:r>
            <w:r>
              <w:rPr>
                <w:rFonts w:hint="eastAsia" w:ascii="宋体" w:hAnsi="宋体" w:eastAsia="宋体" w:cs="宋体"/>
                <w:color w:val="auto"/>
                <w:sz w:val="20"/>
                <w:szCs w:val="20"/>
              </w:rPr>
              <w:t xml:space="preserve">、最低照度：彩色：0.005 Lux@（F1.2，AGC ON），0 Lux with IR；</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12</w:t>
            </w:r>
            <w:r>
              <w:rPr>
                <w:rFonts w:hint="eastAsia" w:ascii="宋体" w:hAnsi="宋体" w:eastAsia="宋体" w:cs="宋体"/>
                <w:color w:val="auto"/>
                <w:sz w:val="20"/>
                <w:szCs w:val="20"/>
              </w:rPr>
              <w:t xml:space="preserve">、最大图像尺寸：2560×1440；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13</w:t>
            </w:r>
            <w:r>
              <w:rPr>
                <w:rFonts w:hint="eastAsia" w:ascii="宋体" w:hAnsi="宋体" w:eastAsia="宋体" w:cs="宋体"/>
                <w:color w:val="auto"/>
                <w:sz w:val="20"/>
                <w:szCs w:val="20"/>
              </w:rPr>
              <w:t xml:space="preserve">、宽动态：数字宽动态；</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14</w:t>
            </w:r>
            <w:r>
              <w:rPr>
                <w:rFonts w:hint="eastAsia" w:ascii="宋体" w:hAnsi="宋体" w:eastAsia="宋体" w:cs="宋体"/>
                <w:color w:val="auto"/>
                <w:sz w:val="20"/>
                <w:szCs w:val="20"/>
              </w:rPr>
              <w:t xml:space="preserve">、调节角度：水平：0°~360°，垂直：0°~75°，旋转：0°~360°；</w:t>
            </w:r>
            <w:r/>
          </w:p>
          <w:p>
            <w:pP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15</w:t>
            </w:r>
            <w:r>
              <w:rPr>
                <w:rFonts w:hint="eastAsia" w:ascii="宋体" w:hAnsi="宋体" w:eastAsia="宋体" w:cs="宋体"/>
                <w:color w:val="auto"/>
                <w:sz w:val="20"/>
                <w:szCs w:val="20"/>
              </w:rPr>
              <w:t xml:space="preserve">、焦距&amp;视场角：2.8mm：水平视场角：94°，垂直视场角：49°，对角视场角：114°；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4mm，水平视场角：70°，垂直视场角：35°，对角视场角：85°；</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6mm，水平视场角：46°，垂直视场角：24°，对角视场角：54°；</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8mm，水平视场角：43°，垂直视场角：24°，对角视场角：50°；</w:t>
            </w:r>
            <w:r/>
          </w:p>
          <w:p>
            <w:pPr>
              <w:rPr>
                <w:rFonts w:hint="eastAsia" w:ascii="宋体" w:hAnsi="宋体" w:eastAsia="宋体" w:cs="宋体"/>
                <w:color w:val="auto"/>
                <w:sz w:val="20"/>
                <w:szCs w:val="20"/>
              </w:rPr>
            </w:pPr>
            <w:r>
              <w:rPr>
                <w:rFonts w:hint="eastAsia" w:ascii="宋体" w:hAnsi="宋体" w:eastAsia="宋体" w:cs="宋体"/>
                <w:color w:val="auto"/>
                <w:sz w:val="20"/>
                <w:szCs w:val="20"/>
              </w:rPr>
              <w:t xml:space="preserve">12mm，水平视场角：27°，垂直视场角：15°，对角视场角：31°。</w:t>
            </w:r>
            <w:r/>
          </w:p>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包转发率≥15Mpps，交换容量≥336Gbps，≥9个千兆电口，≥1个千兆光口，VLAN：≥4K，MAC：≥8K，桌面式。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光模块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光模块-eSFP-GE-单模模块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1310nm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10km</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LC</w:t>
            </w:r>
            <w:r>
              <w:rPr>
                <w:rFonts w:hint="eastAsia" w:ascii="宋体" w:hAnsi="宋体" w:cs="宋体"/>
                <w:color w:val="auto"/>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公区智慧照明</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综合楼及地库</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系统电源</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输入电压范围：85-264VAC/120-370VDC</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输出电压及功率：24VDC/60W，电压调整范围：21.6~29V</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输出短路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过流</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过压保护功能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工作温度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-40~+70℃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外壳材料：阻燃PC+ABS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8路开关模块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8通道20A继电器；总线扩展模块，通信链路供电；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功耗：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25mA@24V；能在DC24V±2V的条件下正常工作；</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具有8路磁保持继电器输出功能，带手动应急开关，具有手动/自动指示功能，具有开关量输入功能，可接入开关</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报警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人体红外感应器等信号；</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低温-10°C或高温50°C通电2小时应能正常工作；</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12路开关模块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12通道20A继电器；总线扩展模块，通信链路供电；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功耗：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25mA@24V；能在DC24V±2V的条件下正常工作；</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具有12路磁保持继电器输出功能，带手动应急开关，具有手动/自动指示功能，具有开关量输入功能，可接入开关</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报警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人体红外感应器等信号；</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低温-10°C或高温50°C通电2小时应能正常工作；</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传感器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支持总线链路供电及通迅。功耗：20mA@24V；</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具有红外信号监测功能，红外感应灵敏度调节功能；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安装方式：吸顶式/嵌入式；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智能面板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支持总线链路供电及通讯。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.静态功耗：≤</w:t>
            </w:r>
            <w:r>
              <w:rPr>
                <w:rFonts w:hint="eastAsia" w:ascii="宋体" w:hAnsi="宋体" w:eastAsia="宋体" w:cs="宋体"/>
                <w:color w:val="auto"/>
                <w:sz w:val="20"/>
                <w:szCs w:val="20"/>
              </w:rPr>
              <w:t xml:space="preserve">15mA@24V</w:t>
            </w:r>
            <w:r>
              <w:rPr>
                <w:rFonts w:hint="eastAsia" w:ascii="宋体" w:hAnsi="宋体" w:cs="宋体"/>
                <w:color w:val="auto"/>
                <w:sz w:val="20"/>
                <w:szCs w:val="20"/>
                <w:lang w:eastAsia="zh-CN"/>
              </w:rPr>
              <w:t xml:space="preserve">，动态功耗：≤</w:t>
            </w:r>
            <w:r>
              <w:rPr>
                <w:rFonts w:hint="eastAsia" w:ascii="宋体" w:hAnsi="宋体" w:eastAsia="宋体" w:cs="宋体"/>
                <w:color w:val="auto"/>
                <w:sz w:val="20"/>
                <w:szCs w:val="20"/>
              </w:rPr>
              <w:t xml:space="preserve">20mA max@24V。</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玻璃面板，电容触摸按键。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每个按键支持长按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短按功能，均可实现开光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调光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场景控制。</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可选类型为6键，支持面板按键刻字。</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86底盒安装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照明网关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1路通信总线接口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1024I/O资源；</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具有RS485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RS232通信接口及10/100M网络接口；</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串口支持标准Modbus-RTU协议，速率1200~115200bps可配置；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通过控制模块可实现第三方串口设备协议集成功能，具有多路开关量输入功能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RTC实时时钟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控制逻辑可编程；</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照明网关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2路通信总线接口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1024I/O资源；</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具有RS485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RS232通信接口及10/100M网络接口；</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串口支持标准Modbus-RTU协议，速率1200~115200bps可配置：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通过控制模块可实现第三方串口设备协议集成功能，具有多路开关量输入功能</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RTC实时时钟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控制逻辑可编程；</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智能照明系统软件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WEB组态可视化系统</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2000点位号数据管理。四核CPU，LINUX操作系统，1T存储空间；内嵌WEB组态软件、可视化软件，自带图形库、基础组件、可扩展高级组件。支持WEB浏览访问、图形化组态、界面友好，简单易学。支持扩展云端服务及专家数据AI算法。支持开关模块、调光模块、人体感应、光照度、智能面板等产品的控制和联动；支持实时数据展示、历史数据存储，报警管理，报表管理，用户管理等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控制线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RVS2*1.5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后勤楼</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tcPr>
          <w:p>
            <w:pPr>
              <w:jc w:val="left"/>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rPr>
            </w:pPr>
            <w:r>
              <w:rPr>
                <w:rFonts w:hint="eastAsia" w:ascii="宋体" w:hAnsi="宋体" w:eastAsia="宋体" w:cs="宋体"/>
                <w:color w:val="auto"/>
                <w:sz w:val="20"/>
                <w:szCs w:val="20"/>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系统电源</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输入电压范围：85-264VAC/120-370VDC</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输出电压及功率：24VDC/60W，电压调整范围：21.6~29V</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输出短路</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过流</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过压保护功能</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工作温度</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-40~+70℃</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外壳材料：阻燃PC+ABS</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8路开关模块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8通道20A继电器；总线扩展模块，通信链路供电；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功耗：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25mA@24V；能在DC24V±2V的条件下正常工作；</w:t>
            </w:r>
            <w:r/>
          </w:p>
          <w:p>
            <w:pPr>
              <w:jc w:val="left"/>
              <w:keepNext/>
              <w:widowControl/>
              <w:rPr>
                <w:rStyle w:val="1018"/>
                <w:rFonts w:hint="eastAsia" w:ascii="宋体" w:hAnsi="宋体" w:eastAsia="宋体" w:cs="宋体"/>
                <w:color w:val="auto"/>
              </w:rPr>
            </w:pPr>
            <w:r>
              <w:rPr>
                <w:rStyle w:val="1018"/>
                <w:rFonts w:hint="eastAsia" w:ascii="宋体" w:hAnsi="宋体" w:eastAsia="宋体" w:cs="宋体"/>
                <w:color w:val="auto"/>
              </w:rPr>
              <w:t xml:space="preserve">3</w:t>
            </w:r>
            <w:r>
              <w:rPr>
                <w:rStyle w:val="1018"/>
                <w:rFonts w:hint="eastAsia" w:ascii="宋体" w:hAnsi="宋体" w:cs="宋体"/>
                <w:color w:val="auto"/>
                <w:lang w:eastAsia="zh-CN"/>
              </w:rPr>
              <w:t xml:space="preserve">.</w:t>
            </w:r>
            <w:r>
              <w:rPr>
                <w:rStyle w:val="1018"/>
                <w:rFonts w:hint="eastAsia" w:ascii="宋体" w:hAnsi="宋体" w:eastAsia="宋体" w:cs="宋体"/>
                <w:color w:val="auto"/>
              </w:rPr>
              <w:t xml:space="preserve">具有8路磁保持继电器输出功能，带手动应急开关，具有手动/自动指示功能，具有开关量输入功能，可接入开关</w:t>
            </w:r>
            <w:r>
              <w:rPr>
                <w:rStyle w:val="1018"/>
                <w:rFonts w:hint="eastAsia" w:ascii="宋体" w:hAnsi="宋体" w:cs="宋体"/>
                <w:color w:val="auto"/>
                <w:lang w:eastAsia="zh-CN"/>
              </w:rPr>
              <w:t xml:space="preserve">.</w:t>
            </w:r>
            <w:r>
              <w:rPr>
                <w:rStyle w:val="1018"/>
                <w:rFonts w:hint="eastAsia" w:ascii="宋体" w:hAnsi="宋体" w:eastAsia="宋体" w:cs="宋体"/>
                <w:color w:val="auto"/>
              </w:rPr>
              <w:t xml:space="preserve">报警</w:t>
            </w:r>
            <w:r>
              <w:rPr>
                <w:rStyle w:val="1018"/>
                <w:rFonts w:hint="eastAsia" w:ascii="宋体" w:hAnsi="宋体" w:cs="宋体"/>
                <w:color w:val="auto"/>
                <w:lang w:eastAsia="zh-CN"/>
              </w:rPr>
              <w:t xml:space="preserve">.</w:t>
            </w:r>
            <w:r>
              <w:rPr>
                <w:rStyle w:val="1018"/>
                <w:rFonts w:hint="eastAsia" w:ascii="宋体" w:hAnsi="宋体" w:eastAsia="宋体" w:cs="宋体"/>
                <w:color w:val="auto"/>
              </w:rPr>
              <w:t xml:space="preserve">人体红外感应器等信号；</w:t>
            </w:r>
            <w:r/>
          </w:p>
          <w:p>
            <w:pPr>
              <w:jc w:val="left"/>
              <w:keepNext/>
              <w:widowControl/>
              <w:rPr>
                <w:rStyle w:val="1019"/>
                <w:rFonts w:hint="eastAsia" w:ascii="宋体" w:hAnsi="宋体" w:eastAsia="宋体" w:cs="宋体"/>
                <w:color w:val="auto"/>
              </w:rPr>
            </w:pPr>
            <w:r>
              <w:rPr>
                <w:rStyle w:val="1019"/>
                <w:rFonts w:hint="eastAsia" w:ascii="宋体" w:hAnsi="宋体" w:eastAsia="宋体" w:cs="宋体"/>
                <w:color w:val="auto"/>
              </w:rPr>
              <w:t xml:space="preserve">4</w:t>
            </w:r>
            <w:r>
              <w:rPr>
                <w:rStyle w:val="1019"/>
                <w:rFonts w:hint="eastAsia" w:ascii="宋体" w:hAnsi="宋体" w:cs="宋体"/>
                <w:color w:val="auto"/>
                <w:lang w:eastAsia="zh-CN"/>
              </w:rPr>
              <w:t xml:space="preserve">.</w:t>
            </w:r>
            <w:r>
              <w:rPr>
                <w:rStyle w:val="1019"/>
                <w:rFonts w:hint="eastAsia" w:ascii="宋体" w:hAnsi="宋体" w:eastAsia="宋体" w:cs="宋体"/>
                <w:color w:val="auto"/>
              </w:rPr>
              <w:t xml:space="preserve">低温-10°C或高温50°C通电2小时应能正常工作；</w:t>
            </w:r>
            <w:r/>
          </w:p>
          <w:p>
            <w:pPr>
              <w:jc w:val="left"/>
              <w:keepNext/>
              <w:widowControl/>
              <w:rPr>
                <w:rFonts w:hint="eastAsia" w:ascii="宋体" w:hAnsi="宋体" w:eastAsia="宋体" w:cs="宋体"/>
                <w:color w:val="auto"/>
                <w:sz w:val="20"/>
                <w:szCs w:val="20"/>
              </w:rPr>
            </w:pPr>
            <w:r>
              <w:rPr>
                <w:rStyle w:val="1019"/>
                <w:rFonts w:hint="eastAsia" w:ascii="宋体" w:hAnsi="宋体" w:eastAsia="宋体" w:cs="宋体"/>
                <w:color w:val="auto"/>
              </w:rPr>
              <w:t xml:space="preserve">5</w:t>
            </w:r>
            <w:r>
              <w:rPr>
                <w:rStyle w:val="1019"/>
                <w:rFonts w:hint="eastAsia" w:ascii="宋体" w:hAnsi="宋体" w:cs="宋体"/>
                <w:color w:val="auto"/>
                <w:lang w:eastAsia="zh-CN"/>
              </w:rPr>
              <w:t xml:space="preserve">.</w:t>
            </w:r>
            <w:r>
              <w:rPr>
                <w:rStyle w:val="1019"/>
                <w:rFonts w:hint="eastAsia" w:ascii="宋体" w:hAnsi="宋体" w:eastAsia="宋体" w:cs="宋体"/>
                <w:color w:val="auto"/>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12路开关模块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12通道20A继电器；总线扩展模块，通信链路供电；</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功耗：</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25mA@24V；能在DC24V±2V的条件下正常工作；</w:t>
            </w:r>
            <w:r/>
          </w:p>
          <w:p>
            <w:pPr>
              <w:jc w:val="left"/>
              <w:keepNext/>
              <w:widowControl/>
              <w:rPr>
                <w:rStyle w:val="1018"/>
                <w:rFonts w:hint="eastAsia" w:ascii="宋体" w:hAnsi="宋体" w:eastAsia="宋体" w:cs="宋体"/>
                <w:color w:val="auto"/>
              </w:rPr>
            </w:pPr>
            <w:r>
              <w:rPr>
                <w:rStyle w:val="1018"/>
                <w:rFonts w:hint="eastAsia" w:ascii="宋体" w:hAnsi="宋体" w:eastAsia="宋体" w:cs="宋体"/>
                <w:color w:val="auto"/>
              </w:rPr>
              <w:t xml:space="preserve">3</w:t>
            </w:r>
            <w:r>
              <w:rPr>
                <w:rStyle w:val="1018"/>
                <w:rFonts w:hint="eastAsia" w:ascii="宋体" w:hAnsi="宋体" w:cs="宋体"/>
                <w:color w:val="auto"/>
                <w:lang w:eastAsia="zh-CN"/>
              </w:rPr>
              <w:t xml:space="preserve">.</w:t>
            </w:r>
            <w:r>
              <w:rPr>
                <w:rStyle w:val="1018"/>
                <w:rFonts w:hint="eastAsia" w:ascii="宋体" w:hAnsi="宋体" w:eastAsia="宋体" w:cs="宋体"/>
                <w:color w:val="auto"/>
              </w:rPr>
              <w:t xml:space="preserve">具有12路磁保持继电器输出功能，带手动应急开关，具有手动/自动指示功能，具有开关量输入功能，可接入开关</w:t>
            </w:r>
            <w:r>
              <w:rPr>
                <w:rStyle w:val="1018"/>
                <w:rFonts w:hint="eastAsia" w:ascii="宋体" w:hAnsi="宋体" w:cs="宋体"/>
                <w:color w:val="auto"/>
                <w:lang w:eastAsia="zh-CN"/>
              </w:rPr>
              <w:t xml:space="preserve">.</w:t>
            </w:r>
            <w:r>
              <w:rPr>
                <w:rStyle w:val="1018"/>
                <w:rFonts w:hint="eastAsia" w:ascii="宋体" w:hAnsi="宋体" w:eastAsia="宋体" w:cs="宋体"/>
                <w:color w:val="auto"/>
              </w:rPr>
              <w:t xml:space="preserve">报警</w:t>
            </w:r>
            <w:r>
              <w:rPr>
                <w:rStyle w:val="1018"/>
                <w:rFonts w:hint="eastAsia" w:ascii="宋体" w:hAnsi="宋体" w:cs="宋体"/>
                <w:color w:val="auto"/>
                <w:lang w:eastAsia="zh-CN"/>
              </w:rPr>
              <w:t xml:space="preserve">.</w:t>
            </w:r>
            <w:r>
              <w:rPr>
                <w:rStyle w:val="1018"/>
                <w:rFonts w:hint="eastAsia" w:ascii="宋体" w:hAnsi="宋体" w:eastAsia="宋体" w:cs="宋体"/>
                <w:color w:val="auto"/>
              </w:rPr>
              <w:t xml:space="preserve">人体红外感应器等信号；</w:t>
            </w:r>
            <w:r/>
          </w:p>
          <w:p>
            <w:pPr>
              <w:jc w:val="left"/>
              <w:keepNext/>
              <w:widowControl/>
              <w:rPr>
                <w:rStyle w:val="1019"/>
                <w:rFonts w:hint="eastAsia" w:ascii="宋体" w:hAnsi="宋体" w:eastAsia="宋体" w:cs="宋体"/>
                <w:color w:val="auto"/>
              </w:rPr>
            </w:pPr>
            <w:r>
              <w:rPr>
                <w:rStyle w:val="1019"/>
                <w:rFonts w:hint="eastAsia" w:ascii="宋体" w:hAnsi="宋体" w:eastAsia="宋体" w:cs="宋体"/>
                <w:color w:val="auto"/>
              </w:rPr>
              <w:t xml:space="preserve">4</w:t>
            </w:r>
            <w:r>
              <w:rPr>
                <w:rStyle w:val="1019"/>
                <w:rFonts w:hint="eastAsia" w:ascii="宋体" w:hAnsi="宋体" w:cs="宋体"/>
                <w:color w:val="auto"/>
                <w:lang w:eastAsia="zh-CN"/>
              </w:rPr>
              <w:t xml:space="preserve">.</w:t>
            </w:r>
            <w:r>
              <w:rPr>
                <w:rStyle w:val="1019"/>
                <w:rFonts w:hint="eastAsia" w:ascii="宋体" w:hAnsi="宋体" w:eastAsia="宋体" w:cs="宋体"/>
                <w:color w:val="auto"/>
              </w:rPr>
              <w:t xml:space="preserve">低温-10°C或高温50°C通电2小时应能正常工作；</w:t>
            </w:r>
            <w:r/>
          </w:p>
          <w:p>
            <w:pPr>
              <w:jc w:val="left"/>
              <w:keepNext/>
              <w:widowControl/>
              <w:rPr>
                <w:rFonts w:hint="eastAsia" w:ascii="宋体" w:hAnsi="宋体" w:eastAsia="宋体" w:cs="宋体"/>
                <w:color w:val="auto"/>
                <w:sz w:val="20"/>
                <w:szCs w:val="20"/>
              </w:rPr>
            </w:pPr>
            <w:r>
              <w:rPr>
                <w:rStyle w:val="1019"/>
                <w:rFonts w:hint="eastAsia" w:ascii="宋体" w:hAnsi="宋体" w:eastAsia="宋体" w:cs="宋体"/>
                <w:color w:val="auto"/>
              </w:rPr>
              <w:t xml:space="preserve">5</w:t>
            </w:r>
            <w:r>
              <w:rPr>
                <w:rStyle w:val="1019"/>
                <w:rFonts w:hint="eastAsia" w:ascii="宋体" w:hAnsi="宋体" w:cs="宋体"/>
                <w:color w:val="auto"/>
                <w:lang w:eastAsia="zh-CN"/>
              </w:rPr>
              <w:t xml:space="preserve">.</w:t>
            </w:r>
            <w:r>
              <w:rPr>
                <w:rStyle w:val="1019"/>
                <w:rFonts w:hint="eastAsia" w:ascii="宋体" w:hAnsi="宋体" w:eastAsia="宋体" w:cs="宋体"/>
                <w:color w:val="auto"/>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智能面板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支持总线链路供电及通讯。</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.静态功耗：≤</w:t>
            </w:r>
            <w:r>
              <w:rPr>
                <w:rFonts w:hint="eastAsia" w:ascii="宋体" w:hAnsi="宋体" w:eastAsia="宋体" w:cs="宋体"/>
                <w:color w:val="auto"/>
                <w:sz w:val="20"/>
                <w:szCs w:val="20"/>
              </w:rPr>
              <w:t xml:space="preserve">15mA@24V</w:t>
            </w:r>
            <w:r>
              <w:rPr>
                <w:rFonts w:hint="eastAsia" w:ascii="宋体" w:hAnsi="宋体" w:cs="宋体"/>
                <w:color w:val="auto"/>
                <w:sz w:val="20"/>
                <w:szCs w:val="20"/>
                <w:lang w:eastAsia="zh-CN"/>
              </w:rPr>
              <w:t xml:space="preserve">，动态功耗：≤</w:t>
            </w:r>
            <w:r>
              <w:rPr>
                <w:rFonts w:hint="eastAsia" w:ascii="宋体" w:hAnsi="宋体" w:eastAsia="宋体" w:cs="宋体"/>
                <w:color w:val="auto"/>
                <w:sz w:val="20"/>
                <w:szCs w:val="20"/>
              </w:rPr>
              <w:t xml:space="preserve">20mA max@24V。</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玻璃面板，电容触摸按键。</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每个按键支持长按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短按功能，均可实现开光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调光</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场景控制。</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可选类型为6键，支持面板按键刻字。</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86底盒安装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照明网关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rPr>
              <w:t xml:space="preserve">2路通信总线接口</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1024I/O资源；</w:t>
            </w:r>
            <w:r/>
          </w:p>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具有RS485</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RS232通信接口及10/100M网络接口；</w:t>
            </w:r>
            <w:r/>
          </w:p>
          <w:p>
            <w:pPr>
              <w:jc w:val="left"/>
              <w:keepNext/>
              <w:widowControl/>
              <w:rPr>
                <w:rStyle w:val="1018"/>
                <w:rFonts w:hint="eastAsia" w:ascii="宋体" w:hAnsi="宋体" w:eastAsia="宋体" w:cs="宋体"/>
                <w:color w:val="auto"/>
              </w:rPr>
            </w:pPr>
            <w:r>
              <w:rPr>
                <w:rFonts w:hint="eastAsia" w:ascii="宋体" w:hAnsi="宋体" w:eastAsia="宋体" w:cs="宋体"/>
                <w:color w:val="auto"/>
                <w:sz w:val="20"/>
                <w:szCs w:val="20"/>
              </w:rPr>
              <w:t xml:space="preserve">3</w:t>
            </w:r>
            <w:r>
              <w:rPr>
                <w:rFonts w:hint="eastAsia" w:ascii="宋体" w:hAnsi="宋体" w:cs="宋体"/>
                <w:color w:val="auto"/>
                <w:sz w:val="20"/>
                <w:szCs w:val="20"/>
                <w:lang w:eastAsia="zh-CN"/>
              </w:rPr>
              <w:t xml:space="preserve">.</w:t>
            </w:r>
            <w:r>
              <w:rPr>
                <w:rFonts w:hint="eastAsia" w:ascii="宋体" w:hAnsi="宋体" w:eastAsia="宋体" w:cs="宋体"/>
                <w:color w:val="auto"/>
                <w:sz w:val="20"/>
                <w:szCs w:val="20"/>
              </w:rPr>
              <w:t xml:space="preserve">串口支持标准Modbus-RTU协议，速率</w:t>
            </w:r>
            <w:r>
              <w:rPr>
                <w:rStyle w:val="1018"/>
                <w:rFonts w:hint="eastAsia" w:ascii="宋体" w:hAnsi="宋体" w:eastAsia="宋体" w:cs="宋体"/>
                <w:color w:val="auto"/>
              </w:rPr>
              <w:t xml:space="preserve">1200~115200bps可配置：</w:t>
            </w:r>
            <w:r/>
          </w:p>
          <w:p>
            <w:pPr>
              <w:jc w:val="left"/>
              <w:keepNext/>
              <w:widowControl/>
              <w:rPr>
                <w:rStyle w:val="1018"/>
                <w:rFonts w:hint="eastAsia" w:ascii="宋体" w:hAnsi="宋体" w:eastAsia="宋体" w:cs="宋体"/>
                <w:color w:val="auto"/>
              </w:rPr>
            </w:pPr>
            <w:r>
              <w:rPr>
                <w:rStyle w:val="1018"/>
                <w:rFonts w:hint="eastAsia" w:ascii="宋体" w:hAnsi="宋体" w:eastAsia="宋体" w:cs="宋体"/>
                <w:color w:val="auto"/>
              </w:rPr>
              <w:t xml:space="preserve">4</w:t>
            </w:r>
            <w:r>
              <w:rPr>
                <w:rStyle w:val="1018"/>
                <w:rFonts w:hint="eastAsia" w:ascii="宋体" w:hAnsi="宋体" w:cs="宋体"/>
                <w:color w:val="auto"/>
                <w:lang w:eastAsia="zh-CN"/>
              </w:rPr>
              <w:t xml:space="preserve">.</w:t>
            </w:r>
            <w:r>
              <w:rPr>
                <w:rStyle w:val="1018"/>
                <w:rFonts w:hint="eastAsia" w:ascii="宋体" w:hAnsi="宋体" w:eastAsia="宋体" w:cs="宋体"/>
                <w:color w:val="auto"/>
              </w:rPr>
              <w:t xml:space="preserve">通过控制模块可实现第三方串口设备协议集成功能，具有多路开关量输入功能</w:t>
            </w:r>
            <w:r>
              <w:rPr>
                <w:rStyle w:val="1018"/>
                <w:rFonts w:hint="eastAsia" w:ascii="宋体" w:hAnsi="宋体" w:cs="宋体"/>
                <w:color w:val="auto"/>
                <w:lang w:eastAsia="zh-CN"/>
              </w:rPr>
              <w:t xml:space="preserve">.</w:t>
            </w:r>
            <w:r>
              <w:rPr>
                <w:rStyle w:val="1018"/>
                <w:rFonts w:hint="eastAsia" w:ascii="宋体" w:hAnsi="宋体" w:eastAsia="宋体" w:cs="宋体"/>
                <w:color w:val="auto"/>
              </w:rPr>
              <w:t xml:space="preserve">RTC实时时钟</w:t>
            </w:r>
            <w:r>
              <w:rPr>
                <w:rStyle w:val="1018"/>
                <w:rFonts w:hint="eastAsia" w:ascii="宋体" w:hAnsi="宋体" w:cs="宋体"/>
                <w:color w:val="auto"/>
                <w:lang w:eastAsia="zh-CN"/>
              </w:rPr>
              <w:t xml:space="preserve">.</w:t>
            </w:r>
            <w:r>
              <w:rPr>
                <w:rStyle w:val="1018"/>
                <w:rFonts w:hint="eastAsia" w:ascii="宋体" w:hAnsi="宋体" w:eastAsia="宋体" w:cs="宋体"/>
                <w:color w:val="auto"/>
              </w:rPr>
              <w:t xml:space="preserve">控制逻辑可编程；</w:t>
            </w:r>
            <w:r/>
          </w:p>
          <w:p>
            <w:pPr>
              <w:jc w:val="left"/>
              <w:keepNext/>
              <w:widowControl/>
              <w:rPr>
                <w:rFonts w:hint="eastAsia" w:ascii="宋体" w:hAnsi="宋体" w:eastAsia="宋体" w:cs="宋体"/>
                <w:color w:val="auto"/>
                <w:sz w:val="20"/>
                <w:szCs w:val="20"/>
              </w:rPr>
            </w:pPr>
            <w:r>
              <w:rPr>
                <w:rStyle w:val="1019"/>
                <w:rFonts w:hint="eastAsia" w:ascii="宋体" w:hAnsi="宋体" w:eastAsia="宋体" w:cs="宋体"/>
                <w:color w:val="auto"/>
              </w:rPr>
              <w:t xml:space="preserve">5</w:t>
            </w:r>
            <w:r>
              <w:rPr>
                <w:rStyle w:val="1019"/>
                <w:rFonts w:hint="eastAsia" w:ascii="宋体" w:hAnsi="宋体" w:cs="宋体"/>
                <w:color w:val="auto"/>
                <w:lang w:eastAsia="zh-CN"/>
              </w:rPr>
              <w:t xml:space="preserve">.</w:t>
            </w:r>
            <w:r>
              <w:rPr>
                <w:rStyle w:val="1019"/>
                <w:rFonts w:hint="eastAsia" w:ascii="宋体" w:hAnsi="宋体" w:eastAsia="宋体" w:cs="宋体"/>
                <w:color w:val="auto"/>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控制线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RVS2*1.5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米</w:t>
            </w:r>
            <w:r/>
          </w:p>
        </w:tc>
      </w:tr>
    </w:tbl>
    <w:p>
      <w:pPr>
        <w:ind w:left="105" w:firstLine="316"/>
        <w:spacing w:line="360" w:lineRule="auto"/>
        <w:rPr>
          <w:rFonts w:hint="eastAsia" w:ascii="宋体" w:hAnsi="宋体" w:eastAsia="宋体" w:cs="宋体"/>
          <w:b/>
          <w:u w:val="single"/>
        </w:rPr>
      </w:pPr>
      <w:r>
        <w:rPr>
          <w:rFonts w:hint="eastAsia" w:ascii="宋体" w:hAnsi="宋体" w:eastAsia="宋体" w:cs="宋体"/>
          <w:b/>
          <w:u w:val="single"/>
        </w:rPr>
      </w:r>
      <w:r/>
    </w:p>
    <w:p>
      <w:pPr>
        <w:ind w:firstLine="422"/>
        <w:spacing w:line="400" w:lineRule="exact"/>
        <w:tabs>
          <w:tab w:val="left" w:pos="540" w:leader="none"/>
        </w:tabs>
        <w:rPr>
          <w:rFonts w:hint="eastAsia" w:ascii="宋体" w:hAnsi="宋体" w:eastAsia="宋体" w:cs="宋体"/>
          <w:b/>
          <w:szCs w:val="21"/>
        </w:rPr>
      </w:pPr>
      <w:r>
        <w:rPr>
          <w:rFonts w:hint="eastAsia" w:ascii="宋体" w:hAnsi="宋体" w:eastAsia="宋体" w:cs="宋体"/>
          <w:b/>
          <w:szCs w:val="21"/>
        </w:rPr>
        <w:t xml:space="preserve">（三）其他要求：</w:t>
      </w:r>
      <w:r/>
    </w:p>
    <w:p>
      <w:pPr>
        <w:ind w:firstLine="420"/>
        <w:spacing w:line="440" w:lineRule="exact"/>
        <w:rPr>
          <w:rFonts w:hint="eastAsia" w:ascii="宋体" w:hAnsi="宋体" w:eastAsia="宋体" w:cs="宋体"/>
        </w:rPr>
      </w:pPr>
      <w:r>
        <w:rPr>
          <w:rFonts w:hint="eastAsia" w:ascii="宋体" w:hAnsi="宋体" w:cs="宋体"/>
          <w:lang w:val="en-US" w:eastAsia="zh-CN"/>
        </w:rPr>
        <w:t xml:space="preserve">1、</w:t>
      </w:r>
      <w:r>
        <w:rPr>
          <w:rFonts w:hint="eastAsia" w:ascii="宋体" w:hAnsi="宋体" w:eastAsia="宋体" w:cs="宋体"/>
        </w:rPr>
        <w:t xml:space="preserve">若成交单位在管理服务期间，违反下列规定将被解除服务合同：</w:t>
      </w:r>
      <w:r/>
    </w:p>
    <w:p>
      <w:pPr>
        <w:ind w:firstLine="420"/>
        <w:spacing w:line="440" w:lineRule="exact"/>
        <w:rPr>
          <w:rFonts w:hint="eastAsia" w:ascii="宋体" w:hAnsi="宋体" w:eastAsia="宋体" w:cs="宋体"/>
        </w:rPr>
      </w:pPr>
      <w:r>
        <w:rPr>
          <w:rFonts w:hint="eastAsia" w:ascii="宋体" w:hAnsi="宋体" w:eastAsia="宋体" w:cs="宋体"/>
        </w:rPr>
        <w:t xml:space="preserve">（1）严禁将承包的服务项目转包他人。</w:t>
      </w:r>
      <w:r/>
    </w:p>
    <w:p>
      <w:pPr>
        <w:ind w:firstLine="420"/>
        <w:spacing w:line="440" w:lineRule="exact"/>
        <w:rPr>
          <w:rFonts w:hint="eastAsia" w:ascii="宋体" w:hAnsi="宋体" w:eastAsia="宋体" w:cs="宋体"/>
        </w:rPr>
      </w:pPr>
      <w:r>
        <w:rPr>
          <w:rFonts w:hint="eastAsia" w:ascii="宋体" w:hAnsi="宋体" w:eastAsia="宋体" w:cs="宋体"/>
        </w:rPr>
        <w:t xml:space="preserve">（2）未按照国家劳动法规定聘用服务人员。</w:t>
      </w:r>
      <w:r/>
    </w:p>
    <w:p>
      <w:pPr>
        <w:ind w:firstLine="420"/>
        <w:spacing w:line="440" w:lineRule="exact"/>
        <w:rPr>
          <w:rFonts w:hint="eastAsia" w:ascii="宋体" w:hAnsi="宋体" w:eastAsia="宋体" w:cs="宋体"/>
        </w:rPr>
      </w:pPr>
      <w:r>
        <w:rPr>
          <w:rFonts w:hint="eastAsia" w:ascii="宋体" w:hAnsi="宋体" w:eastAsia="宋体" w:cs="宋体"/>
        </w:rPr>
        <w:t xml:space="preserve">（3）成交单位必须依法用工，拖欠工资引起讨薪事件或对项目正常运行造成严重影响的。</w:t>
      </w:r>
      <w:r/>
    </w:p>
    <w:p>
      <w:pPr>
        <w:ind w:firstLine="420"/>
        <w:spacing w:line="440" w:lineRule="exact"/>
        <w:rPr>
          <w:rFonts w:hint="eastAsia" w:ascii="宋体" w:hAnsi="宋体" w:eastAsia="宋体" w:cs="宋体"/>
        </w:rPr>
      </w:pPr>
      <w:r>
        <w:rPr>
          <w:rFonts w:hint="eastAsia" w:ascii="宋体" w:hAnsi="宋体" w:eastAsia="宋体" w:cs="宋体"/>
        </w:rPr>
        <w:t xml:space="preserve">（4）在服务期间出现重大安全生产事故。</w:t>
      </w:r>
      <w:r/>
    </w:p>
    <w:p>
      <w:pPr>
        <w:ind w:firstLine="420"/>
        <w:spacing w:line="440" w:lineRule="exact"/>
        <w:rPr>
          <w:rFonts w:hint="default" w:ascii="宋体" w:hAnsi="宋体" w:eastAsia="宋体" w:cs="宋体"/>
          <w:lang w:val="en-US" w:eastAsia="zh-CN"/>
        </w:rPr>
      </w:pPr>
      <w:r>
        <w:rPr>
          <w:rFonts w:hint="eastAsia" w:ascii="宋体" w:hAnsi="宋体" w:eastAsia="宋体" w:cs="宋体"/>
          <w:lang w:val="en-US" w:eastAsia="zh-CN"/>
        </w:rPr>
        <w:t xml:space="preserve">2、其他技术要求：</w:t>
      </w:r>
      <w:r/>
    </w:p>
    <w:p>
      <w:pPr>
        <w:ind w:firstLine="420"/>
        <w:spacing w:line="440" w:lineRule="exact"/>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1</w:t>
      </w:r>
      <w:r>
        <w:rPr>
          <w:rFonts w:hint="eastAsia" w:ascii="宋体" w:hAnsi="宋体" w:eastAsia="宋体" w:cs="宋体"/>
          <w:lang w:eastAsia="zh-CN"/>
        </w:rPr>
        <w:t xml:space="preserve">）</w:t>
      </w:r>
      <w:r>
        <w:rPr>
          <w:rFonts w:hint="eastAsia" w:ascii="宋体" w:hAnsi="宋体" w:eastAsia="宋体" w:cs="宋体"/>
        </w:rPr>
        <w:t xml:space="preserve">运维巡检服务：定期开展软硬件系统远程运维巡检，包含系统运行状态，有无故障报警，使用状况，主动汇报并协调解决软件故障。</w:t>
      </w:r>
      <w:r/>
    </w:p>
    <w:p>
      <w:pPr>
        <w:ind w:firstLine="420"/>
        <w:spacing w:line="440" w:lineRule="exact"/>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2</w:t>
      </w:r>
      <w:r>
        <w:rPr>
          <w:rFonts w:hint="eastAsia" w:ascii="宋体" w:hAnsi="宋体" w:eastAsia="宋体" w:cs="宋体"/>
          <w:lang w:eastAsia="zh-CN"/>
        </w:rPr>
        <w:t xml:space="preserve">）</w:t>
      </w:r>
      <w:r>
        <w:rPr>
          <w:rFonts w:hint="eastAsia" w:ascii="宋体" w:hAnsi="宋体" w:eastAsia="宋体" w:cs="宋体"/>
        </w:rPr>
        <w:t xml:space="preserve">数据服务：投标单位应具备数据安全管理及分析能力，结合系统运维过程采集数据对该系统运行状态进行深度分析，如有需要可按采购单位要求提供分析报告。</w:t>
      </w:r>
      <w:r/>
    </w:p>
    <w:p>
      <w:pPr>
        <w:ind w:firstLine="420"/>
        <w:spacing w:line="440" w:lineRule="exact"/>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3</w:t>
      </w:r>
      <w:r>
        <w:rPr>
          <w:rFonts w:hint="eastAsia" w:ascii="宋体" w:hAnsi="宋体" w:eastAsia="宋体" w:cs="宋体"/>
          <w:lang w:eastAsia="zh-CN"/>
        </w:rPr>
        <w:t xml:space="preserve">）</w:t>
      </w:r>
      <w:r>
        <w:rPr>
          <w:rFonts w:hint="eastAsia" w:ascii="宋体" w:hAnsi="宋体" w:eastAsia="宋体" w:cs="宋体"/>
        </w:rPr>
        <w:t xml:space="preserve">网络安全服务：投标单位应对项目实施过程中复杂的网络故障问题进行调查处理，处置和处理问题和难题，提供良好的用户支持和服务。</w:t>
      </w:r>
      <w:r/>
    </w:p>
    <w:p>
      <w:pPr>
        <w:ind w:firstLine="420"/>
        <w:spacing w:line="440" w:lineRule="exact"/>
        <w:rPr>
          <w:rFonts w:hint="eastAsia" w:ascii="宋体" w:hAnsi="宋体" w:eastAsia="宋体" w:cs="宋体"/>
          <w:lang w:eastAsia="zh-CN"/>
        </w:rPr>
      </w:pPr>
      <w:r>
        <w:rPr>
          <w:rFonts w:hint="eastAsia" w:ascii="宋体" w:hAnsi="宋体" w:eastAsia="宋体" w:cs="宋体"/>
          <w:lang w:eastAsia="zh-CN"/>
        </w:rPr>
        <w:t xml:space="preserve">（</w:t>
      </w:r>
      <w:r>
        <w:rPr>
          <w:rFonts w:hint="eastAsia" w:ascii="宋体" w:hAnsi="宋体" w:eastAsia="宋体" w:cs="宋体"/>
          <w:lang w:val="en-US" w:eastAsia="zh-CN"/>
        </w:rPr>
        <w:t xml:space="preserve">4</w:t>
      </w:r>
      <w:r>
        <w:rPr>
          <w:rFonts w:hint="eastAsia" w:ascii="宋体" w:hAnsi="宋体" w:eastAsia="宋体" w:cs="宋体"/>
          <w:lang w:eastAsia="zh-CN"/>
        </w:rPr>
        <w:t xml:space="preserve">）安全保障服务：投标单位应具备系统平台数据安全管理及保障能力，对本项目所涉及系统平台数据安全提供系统性解决方案和保障服务。</w:t>
      </w:r>
      <w:r/>
    </w:p>
    <w:p>
      <w:pPr>
        <w:ind w:firstLine="420"/>
        <w:spacing w:line="440" w:lineRule="exact"/>
        <w:rPr>
          <w:rFonts w:hint="eastAsia" w:ascii="宋体" w:hAnsi="宋体" w:eastAsia="宋体" w:cs="宋体"/>
          <w:lang w:eastAsia="zh-CN"/>
        </w:rPr>
      </w:pPr>
      <w:r>
        <w:rPr>
          <w:rFonts w:hint="eastAsia" w:ascii="宋体" w:hAnsi="宋体" w:eastAsia="宋体" w:cs="宋体"/>
          <w:lang w:eastAsia="zh-CN"/>
        </w:rPr>
        <w:t xml:space="preserve">（</w:t>
      </w:r>
      <w:r>
        <w:rPr>
          <w:rFonts w:hint="eastAsia" w:ascii="宋体" w:hAnsi="宋体" w:eastAsia="宋体" w:cs="宋体"/>
          <w:lang w:val="en-US" w:eastAsia="zh-CN"/>
        </w:rPr>
        <w:t xml:space="preserve">5</w:t>
      </w:r>
      <w:r>
        <w:rPr>
          <w:rFonts w:hint="eastAsia" w:ascii="宋体" w:hAnsi="宋体" w:eastAsia="宋体" w:cs="宋体"/>
          <w:lang w:eastAsia="zh-CN"/>
        </w:rPr>
        <w:t xml:space="preserve">）系统分析服务</w:t>
      </w:r>
      <w:r>
        <w:rPr>
          <w:rFonts w:hint="eastAsia" w:ascii="宋体" w:hAnsi="宋体" w:cs="宋体"/>
          <w:lang w:eastAsia="zh-CN"/>
        </w:rPr>
        <w:t xml:space="preserve">：</w:t>
      </w:r>
      <w:r>
        <w:rPr>
          <w:rFonts w:hint="eastAsia" w:ascii="宋体" w:hAnsi="宋体" w:eastAsia="宋体" w:cs="宋体"/>
          <w:lang w:eastAsia="zh-CN"/>
        </w:rPr>
        <w:t xml:space="preserve">投标单位应具备系统分析能力，结本项目中视频监控系统、防盗报警系统、巡更系统、门禁一卡通系统、停车场管理系统、电梯五方通话系统、综合管路系统等多系统，需要确保系统的质量和稳定性。</w:t>
      </w:r>
      <w:r/>
    </w:p>
    <w:p>
      <w:pPr>
        <w:ind w:firstLine="420"/>
        <w:spacing w:line="440" w:lineRule="exact"/>
        <w:rPr>
          <w:rFonts w:hint="eastAsia" w:ascii="宋体" w:hAnsi="宋体" w:eastAsia="宋体" w:cs="宋体"/>
          <w:lang w:val="en-US" w:eastAsia="zh-CN"/>
        </w:rPr>
      </w:pPr>
      <w:r>
        <w:rPr>
          <w:rFonts w:hint="eastAsia" w:ascii="宋体" w:hAnsi="宋体" w:eastAsia="宋体" w:cs="宋体"/>
          <w:lang w:val="en-US" w:eastAsia="zh-CN"/>
        </w:rPr>
        <w:t xml:space="preserve">（6）人工智能训练服务</w:t>
      </w:r>
      <w:r>
        <w:rPr>
          <w:rFonts w:hint="eastAsia" w:ascii="宋体" w:hAnsi="宋体" w:cs="宋体"/>
          <w:lang w:val="en-US" w:eastAsia="zh-CN"/>
        </w:rPr>
        <w:t xml:space="preserve">：</w:t>
      </w:r>
      <w:r>
        <w:rPr>
          <w:rFonts w:hint="eastAsia" w:ascii="宋体" w:hAnsi="宋体" w:eastAsia="宋体" w:cs="宋体"/>
          <w:lang w:eastAsia="zh-CN"/>
        </w:rPr>
        <w:t xml:space="preserve">投标单位应</w:t>
      </w:r>
      <w:r>
        <w:rPr>
          <w:rFonts w:hint="eastAsia" w:ascii="宋体" w:hAnsi="宋体" w:eastAsia="宋体" w:cs="宋体"/>
          <w:lang w:val="en-US" w:eastAsia="zh-CN"/>
        </w:rPr>
        <w:t xml:space="preserve">具备人工智能训练服务能力，结合本项目的产品内容配合采购人开展人工智能训练方面的相关系统调试，包括数据库管理、算法参数设置、性能测试跟踪等。</w:t>
      </w:r>
      <w:r/>
    </w:p>
    <w:p>
      <w:pPr>
        <w:ind w:firstLine="420"/>
        <w:spacing w:line="440" w:lineRule="exact"/>
        <w:rPr>
          <w:rFonts w:hint="eastAsia" w:ascii="宋体" w:hAnsi="宋体" w:eastAsia="宋体" w:cs="宋体"/>
          <w:lang w:val="en-US" w:eastAsia="zh-CN"/>
        </w:rPr>
      </w:pPr>
      <w:r>
        <w:rPr>
          <w:rFonts w:hint="eastAsia" w:ascii="宋体" w:hAnsi="宋体" w:eastAsia="宋体" w:cs="宋体"/>
          <w:lang w:val="en-US" w:eastAsia="zh-CN"/>
        </w:rPr>
        <w:t xml:space="preserve">（</w:t>
      </w:r>
      <w:r>
        <w:rPr>
          <w:rFonts w:hint="eastAsia" w:ascii="宋体" w:hAnsi="宋体" w:cs="宋体"/>
          <w:lang w:val="en-US" w:eastAsia="zh-CN"/>
        </w:rPr>
        <w:t xml:space="preserve">7</w:t>
      </w:r>
      <w:r>
        <w:rPr>
          <w:rFonts w:hint="eastAsia" w:ascii="宋体" w:hAnsi="宋体" w:eastAsia="宋体" w:cs="宋体"/>
          <w:lang w:val="en-US" w:eastAsia="zh-CN"/>
        </w:rPr>
        <w:t xml:space="preserve">）能耗监测管理服务</w:t>
      </w:r>
      <w:r>
        <w:rPr>
          <w:rFonts w:hint="eastAsia" w:ascii="宋体" w:hAnsi="宋体" w:cs="宋体"/>
          <w:lang w:val="en-US" w:eastAsia="zh-CN"/>
        </w:rPr>
        <w:t xml:space="preserve">：</w:t>
      </w:r>
      <w:r>
        <w:rPr>
          <w:rFonts w:hint="eastAsia" w:ascii="宋体" w:hAnsi="宋体" w:eastAsia="宋体" w:cs="宋体"/>
          <w:lang w:eastAsia="zh-CN"/>
        </w:rPr>
        <w:t xml:space="preserve">投标单位应</w:t>
      </w:r>
      <w:r>
        <w:rPr>
          <w:rFonts w:hint="eastAsia" w:ascii="宋体" w:hAnsi="宋体" w:eastAsia="宋体" w:cs="宋体"/>
          <w:lang w:val="en-US" w:eastAsia="zh-CN"/>
        </w:rPr>
        <w:t xml:space="preserve">具备能耗监测管理服务，结合本项目中的产品内容配合采购人开展分项计量、采集通讯与平台对接专业知识，包括统筹现场施工、多方协调、安全质量管控，解决软硬件联调难题，保障系统稳定采集数据并完成监管平台接入与验收交付。</w:t>
      </w:r>
      <w:r/>
    </w:p>
    <w:p>
      <w:pPr>
        <w:ind w:firstLine="420"/>
        <w:spacing w:line="440" w:lineRule="exact"/>
        <w:rPr>
          <w:rFonts w:hint="eastAsia" w:ascii="宋体" w:hAnsi="宋体" w:eastAsia="宋体" w:cs="宋体"/>
          <w:lang w:val="en-US" w:eastAsia="zh-CN"/>
        </w:rPr>
      </w:pPr>
      <w:r>
        <w:rPr>
          <w:rFonts w:hint="eastAsia" w:ascii="宋体" w:hAnsi="宋体" w:eastAsia="宋体" w:cs="宋体"/>
          <w:lang w:eastAsia="zh-CN"/>
        </w:rPr>
        <w:t xml:space="preserve">（</w:t>
      </w:r>
      <w:r>
        <w:rPr>
          <w:rFonts w:hint="eastAsia" w:ascii="宋体" w:hAnsi="宋体" w:eastAsia="宋体" w:cs="宋体"/>
          <w:lang w:val="en-US" w:eastAsia="zh-CN"/>
        </w:rPr>
        <w:t xml:space="preserve">8</w:t>
      </w:r>
      <w:r>
        <w:rPr>
          <w:rFonts w:hint="eastAsia" w:ascii="宋体" w:hAnsi="宋体" w:eastAsia="宋体" w:cs="宋体"/>
          <w:lang w:eastAsia="zh-CN"/>
        </w:rPr>
        <w:t xml:space="preserve">）</w:t>
      </w:r>
      <w:r>
        <w:rPr>
          <w:rFonts w:hint="eastAsia" w:ascii="宋体" w:hAnsi="宋体" w:eastAsia="宋体" w:cs="宋体"/>
        </w:rPr>
        <w:t xml:space="preserve">本项目具备一定的技术要求，为能保证在规定时间内完成项目建设及质保期内所有设备的正常运行，投标人应针对本项目配备实施团队，具体要求如下：配备项目经理1名，负责统筹项目整体实施；配备</w:t>
      </w:r>
      <w:r>
        <w:rPr>
          <w:rFonts w:hint="eastAsia" w:ascii="宋体" w:hAnsi="宋体" w:cs="宋体"/>
          <w:lang w:val="en-US" w:eastAsia="zh-CN"/>
        </w:rPr>
        <w:t xml:space="preserve">实施负责人</w:t>
      </w:r>
      <w:r>
        <w:rPr>
          <w:rFonts w:hint="eastAsia" w:ascii="宋体" w:hAnsi="宋体" w:eastAsia="宋体" w:cs="宋体"/>
        </w:rPr>
        <w:t xml:space="preserve">1名，负责统筹项目</w:t>
      </w:r>
      <w:r>
        <w:rPr>
          <w:rFonts w:hint="eastAsia" w:ascii="宋体" w:hAnsi="宋体" w:cs="宋体"/>
          <w:lang w:val="en-US" w:eastAsia="zh-CN"/>
        </w:rPr>
        <w:t xml:space="preserve">实施管理</w:t>
      </w:r>
      <w:r>
        <w:rPr>
          <w:rFonts w:hint="eastAsia" w:ascii="宋体" w:hAnsi="宋体" w:eastAsia="宋体" w:cs="宋体"/>
        </w:rPr>
        <w:t xml:space="preserve">方面的相关工作</w:t>
      </w:r>
      <w:r>
        <w:rPr>
          <w:rFonts w:hint="eastAsia" w:ascii="宋体" w:hAnsi="宋体" w:eastAsia="宋体" w:cs="宋体"/>
          <w:lang w:eastAsia="zh-CN"/>
        </w:rPr>
        <w:t xml:space="preserve">；</w:t>
      </w:r>
      <w:r>
        <w:rPr>
          <w:rFonts w:hint="eastAsia" w:ascii="宋体" w:hAnsi="宋体" w:eastAsia="宋体" w:cs="宋体"/>
        </w:rPr>
        <w:t xml:space="preserve">配备技术负责人1名，负责统筹把关软硬件及项目实施的技术方向，统筹处理技术问题。</w:t>
      </w:r>
      <w:r/>
    </w:p>
    <w:p>
      <w:pPr>
        <w:ind w:firstLine="420"/>
        <w:jc w:val="left"/>
        <w:spacing w:line="400" w:lineRule="exact"/>
        <w:shd w:val="clear" w:color="auto" w:fill="ffffff"/>
        <w:widowControl/>
        <w:rPr>
          <w:rFonts w:hint="eastAsia" w:ascii="宋体" w:hAnsi="宋体" w:eastAsia="宋体" w:cs="宋体"/>
          <w:b/>
        </w:rPr>
      </w:pPr>
      <w:r>
        <w:rPr>
          <w:rFonts w:hint="eastAsia" w:ascii="宋体" w:hAnsi="宋体" w:eastAsia="宋体" w:cs="宋体"/>
          <w:b/>
        </w:rPr>
        <w:t xml:space="preserve">六</w:t>
      </w:r>
      <w:r>
        <w:rPr>
          <w:rFonts w:hint="eastAsia" w:ascii="宋体" w:hAnsi="宋体" w:eastAsia="宋体" w:cs="宋体"/>
          <w:b/>
          <w:lang w:val="zh-CN"/>
        </w:rPr>
        <w:t xml:space="preserve">、</w:t>
      </w:r>
      <w:r>
        <w:rPr>
          <w:rFonts w:hint="eastAsia" w:ascii="宋体" w:hAnsi="宋体" w:eastAsia="宋体" w:cs="宋体"/>
          <w:b/>
        </w:rPr>
        <w:t xml:space="preserve">涉及投标采购文件的补充说明和修改，均以江苏政府采购网、中国招标投标公共服务平台媒体上发布的通知为准。</w:t>
      </w:r>
      <w:r/>
    </w:p>
    <w:p>
      <w:pPr>
        <w:ind w:left="1533" w:firstLine="1260"/>
        <w:jc w:val="left"/>
        <w:spacing w:line="360" w:lineRule="auto"/>
        <w:rPr>
          <w:rFonts w:hint="eastAsia" w:ascii="宋体" w:hAnsi="宋体" w:eastAsia="宋体" w:cs="宋体"/>
          <w:b/>
          <w:sz w:val="32"/>
        </w:rPr>
        <w:outlineLvl w:val="0"/>
      </w:pPr>
      <w:r>
        <w:rPr>
          <w:rFonts w:hint="eastAsia" w:ascii="宋体" w:hAnsi="宋体" w:eastAsia="宋体" w:cs="宋体"/>
          <w:szCs w:val="21"/>
        </w:rPr>
        <w:br w:type="page" w:clear="all"/>
      </w:r>
      <w:bookmarkStart w:id="4" w:name="_Toc98255833"/>
      <w:r>
        <w:rPr>
          <w:rFonts w:hint="eastAsia" w:ascii="宋体" w:hAnsi="宋体" w:eastAsia="宋体" w:cs="宋体"/>
          <w:b/>
          <w:sz w:val="32"/>
        </w:rPr>
        <w:t xml:space="preserve">第四章 评审办法及评分标准</w:t>
      </w:r>
      <w:bookmarkEnd w:id="4"/>
      <w:r/>
      <w:r/>
    </w:p>
    <w:p>
      <w:pPr>
        <w:pStyle w:val="918"/>
        <w:ind w:firstLine="422"/>
        <w:spacing w:line="360" w:lineRule="auto"/>
        <w:rPr>
          <w:rFonts w:hint="eastAsia" w:ascii="宋体" w:hAnsi="宋体" w:eastAsia="宋体" w:cs="宋体"/>
          <w:b/>
          <w:sz w:val="21"/>
          <w:szCs w:val="21"/>
        </w:rPr>
        <w:outlineLvl w:val="0"/>
      </w:pPr>
      <w:r/>
      <w:bookmarkStart w:id="5" w:name="_Toc9123"/>
      <w:r/>
      <w:bookmarkStart w:id="6" w:name="_Toc521"/>
      <w:r/>
      <w:bookmarkStart w:id="7" w:name="_Toc98255834"/>
      <w:r>
        <w:rPr>
          <w:rFonts w:hint="eastAsia" w:ascii="宋体" w:hAnsi="宋体" w:eastAsia="宋体" w:cs="宋体"/>
          <w:b/>
          <w:sz w:val="21"/>
          <w:szCs w:val="21"/>
        </w:rPr>
        <w:t xml:space="preserve">一、评标方法：</w:t>
      </w:r>
      <w:bookmarkEnd w:id="5"/>
      <w:r/>
      <w:bookmarkEnd w:id="6"/>
      <w:r/>
      <w:r/>
    </w:p>
    <w:p>
      <w:pPr>
        <w:pStyle w:val="91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91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2、综合评分的主要因素为：价格、产品质量、售后服务、履约能力等对招标文件的响应程度，以及相应的商务标和技术标比重或者分值等。</w:t>
      </w:r>
      <w:r/>
    </w:p>
    <w:p>
      <w:pPr>
        <w:pStyle w:val="91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p>
    <w:p>
      <w:pPr>
        <w:pStyle w:val="91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4、评标时，评标委员会对每个有效投标人的投标书进行评分，对评委的评分进行统计汇总，按算术平均方法计算出每个投标人的评审得分。（保留小数点后2位）</w:t>
      </w:r>
      <w:r/>
    </w:p>
    <w:p>
      <w:pPr>
        <w:pStyle w:val="91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评标结果按评审后得分由高到低顺序排列。得分相同的，按投标报价由低到高顺序排列。得分且投标报价相同的抽签确定排序。投标文件满足招标文件全部实质性要求，按照评审因素的量化指标评审得分推荐中标候选人顺序。</w:t>
      </w:r>
      <w:r/>
    </w:p>
    <w:p>
      <w:pPr>
        <w:ind w:firstLine="422"/>
        <w:spacing w:line="360" w:lineRule="auto"/>
        <w:tabs>
          <w:tab w:val="left" w:pos="0" w:leader="none"/>
        </w:tabs>
        <w:rPr>
          <w:rFonts w:hint="eastAsia" w:ascii="宋体" w:hAnsi="宋体" w:eastAsia="宋体" w:cs="宋体"/>
          <w:b/>
          <w:szCs w:val="21"/>
        </w:rPr>
      </w:pPr>
      <w:r>
        <w:rPr>
          <w:rFonts w:hint="eastAsia" w:ascii="宋体" w:hAnsi="宋体" w:eastAsia="宋体" w:cs="宋体"/>
          <w:b/>
          <w:szCs w:val="21"/>
        </w:rPr>
        <w:t xml:space="preserve">二、综合评分标准：</w:t>
      </w:r>
      <w:r/>
    </w:p>
    <w:p>
      <w:pPr>
        <w:ind w:firstLine="422"/>
        <w:spacing w:line="360" w:lineRule="auto"/>
        <w:tabs>
          <w:tab w:val="left" w:pos="0" w:leader="none"/>
        </w:tabs>
        <w:rPr>
          <w:rFonts w:hint="eastAsia" w:ascii="宋体" w:hAnsi="宋体" w:eastAsia="宋体" w:cs="宋体"/>
          <w:b/>
          <w:szCs w:val="21"/>
        </w:rPr>
      </w:pPr>
      <w:r>
        <w:rPr>
          <w:rFonts w:hint="eastAsia" w:ascii="宋体" w:hAnsi="宋体" w:eastAsia="宋体" w:cs="宋体"/>
          <w:b/>
          <w:szCs w:val="21"/>
        </w:rPr>
        <w:t xml:space="preserve">（一）报价评分（30分）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第一步：投标总报价低于或等于采购预算价格的，为有效投标报价。超采购预算价格规定的投标报价文件为未实质性响应文件，不参与评审。</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第二步：以满足招标文件要求且投标价格最低的投标有效报价为评标基准价，其价格分为满分，即30分。其他报价得分统一按照下列公式计算（计算结果四舍五入，保留两位小数）：</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投标报价得分=（评标基准价/有效投标报价）×价格权值×100（价格权值为30%）。</w:t>
      </w:r>
      <w:r/>
    </w:p>
    <w:p>
      <w:pPr>
        <w:pStyle w:val="914"/>
        <w:jc w:val="both"/>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注：根据《关于推动解决政府采购异常低价问题相关工作的通知》（苏财购〔2025〕62号）文件规定，评标委员会认为供应商的报价明显低于其他通过符合性审查供应商的报价，有可能影响产品质量或者不能诚信履约的，应当要求其在系统要求的时间内提供项目具体成本测算等与报价合理性相关的书面说明及相关证明材料，对投标（响应）价格作出解释；供应商不提供书面说明、证明材料，或者提供的书面说明、证明材料不能证明其报价合理性的，评标委员会应当将其作为无效投标（响应）处理。</w:t>
      </w:r>
      <w:r/>
    </w:p>
    <w:p>
      <w:pPr>
        <w:pStyle w:val="914"/>
        <w:jc w:val="both"/>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评审过程中出现下列情形之一的，评标委员会应当启动异常低价投标（响应）审查程序：</w:t>
      </w:r>
      <w:r/>
    </w:p>
    <w:p>
      <w:pPr>
        <w:pStyle w:val="914"/>
        <w:jc w:val="both"/>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1.投标（响应）报价低于采购项目预算50%的，即投标（响应）报价＜采购项目预算 ×50%；</w:t>
      </w:r>
      <w:r/>
    </w:p>
    <w:p>
      <w:pPr>
        <w:pStyle w:val="914"/>
        <w:jc w:val="both"/>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2.投标（响应）报价低于采购项目最高限价50%的，即投标（响应）报价＜采购项目最高限价×50%；</w:t>
      </w:r>
      <w:r/>
    </w:p>
    <w:p>
      <w:pPr>
        <w:ind w:firstLine="422"/>
        <w:spacing w:line="360" w:lineRule="auto"/>
        <w:rPr>
          <w:rFonts w:hint="eastAsia" w:ascii="宋体" w:hAnsi="宋体" w:eastAsia="宋体" w:cs="宋体"/>
          <w:bCs/>
          <w:szCs w:val="21"/>
        </w:rPr>
      </w:pPr>
      <w:r>
        <w:rPr>
          <w:rFonts w:hint="eastAsia" w:ascii="宋体" w:hAnsi="宋体" w:eastAsia="宋体" w:cs="宋体"/>
          <w:b/>
          <w:szCs w:val="21"/>
        </w:rPr>
        <w:t xml:space="preserve">3.磋商小组认定的供应商报价过低、有可能影响产品质量或者不能诚信履约的其他情形。</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（二）投标产品技术质量（包括产品技术参数、产品性能等）情况（</w:t>
      </w:r>
      <w:r>
        <w:rPr>
          <w:rFonts w:hint="eastAsia" w:ascii="宋体" w:hAnsi="宋体" w:cs="宋体"/>
          <w:b/>
          <w:bCs/>
          <w:color w:val="auto"/>
          <w:szCs w:val="21"/>
          <w:lang w:val="en-US" w:eastAsia="zh-CN"/>
        </w:rPr>
        <w:t xml:space="preserve">6</w:t>
      </w:r>
      <w:r>
        <w:rPr>
          <w:rFonts w:hint="eastAsia" w:ascii="宋体" w:hAnsi="宋体" w:eastAsia="宋体" w:cs="宋体"/>
          <w:b/>
          <w:bCs/>
          <w:color w:val="auto"/>
          <w:szCs w:val="21"/>
        </w:rPr>
        <w:t xml:space="preserve">分）</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1、评委根据投标人投标产品技术参数、产品性能及对招标文件要求的满足程度评比进行评定打分，符合或高于招标文件的要求的得</w:t>
      </w:r>
      <w:r>
        <w:rPr>
          <w:rFonts w:hint="eastAsia" w:ascii="宋体" w:hAnsi="宋体" w:cs="宋体"/>
          <w:bCs/>
          <w:szCs w:val="21"/>
          <w:lang w:val="en-US" w:eastAsia="zh-CN"/>
        </w:rPr>
        <w:t xml:space="preserve">6</w:t>
      </w:r>
      <w:r>
        <w:rPr>
          <w:rFonts w:hint="eastAsia" w:ascii="宋体" w:hAnsi="宋体" w:eastAsia="宋体" w:cs="宋体"/>
          <w:bCs/>
          <w:szCs w:val="21"/>
        </w:rPr>
        <w:t xml:space="preserve">分，带“</w:t>
      </w:r>
      <w:r>
        <w:rPr>
          <w:rFonts w:hint="eastAsia" w:ascii="宋体" w:hAnsi="宋体" w:eastAsia="宋体" w:cs="宋体"/>
          <w:szCs w:val="21"/>
        </w:rPr>
        <w:t xml:space="preserve">■</w:t>
      </w:r>
      <w:r>
        <w:rPr>
          <w:rFonts w:hint="eastAsia" w:ascii="宋体" w:hAnsi="宋体" w:eastAsia="宋体" w:cs="宋体"/>
          <w:bCs/>
          <w:szCs w:val="21"/>
        </w:rPr>
        <w:t xml:space="preserve">”号的技术指标有负偏离的每项扣</w:t>
      </w:r>
      <w:r>
        <w:rPr>
          <w:rFonts w:hint="eastAsia" w:ascii="宋体" w:hAnsi="宋体" w:cs="宋体"/>
          <w:bCs/>
          <w:szCs w:val="21"/>
          <w:lang w:val="en-US" w:eastAsia="zh-CN"/>
        </w:rPr>
        <w:t xml:space="preserve">1</w:t>
      </w:r>
      <w:r>
        <w:rPr>
          <w:rFonts w:hint="eastAsia" w:ascii="宋体" w:hAnsi="宋体" w:eastAsia="宋体" w:cs="宋体"/>
          <w:bCs/>
          <w:szCs w:val="21"/>
        </w:rPr>
        <w:t xml:space="preserve">分</w:t>
      </w:r>
      <w:bookmarkStart w:id="14" w:name="_GoBack"/>
      <w:r/>
      <w:bookmarkEnd w:id="14"/>
      <w:r>
        <w:rPr>
          <w:rFonts w:hint="eastAsia" w:ascii="宋体" w:hAnsi="宋体" w:eastAsia="宋体" w:cs="宋体"/>
          <w:bCs/>
          <w:szCs w:val="21"/>
        </w:rPr>
        <w:t xml:space="preserve">，其余技术指标</w:t>
      </w:r>
      <w:r>
        <w:rPr>
          <w:rFonts w:hint="eastAsia" w:ascii="宋体" w:hAnsi="宋体" w:cs="宋体"/>
          <w:bCs/>
          <w:szCs w:val="21"/>
          <w:lang w:eastAsia="zh-CN"/>
        </w:rPr>
        <w:t xml:space="preserve">（</w:t>
      </w:r>
      <w:r>
        <w:rPr>
          <w:rFonts w:hint="eastAsia" w:ascii="宋体" w:hAnsi="宋体" w:cs="宋体"/>
          <w:b w:val="0"/>
          <w:bCs/>
          <w:szCs w:val="21"/>
          <w:lang w:val="en-US" w:eastAsia="zh-CN"/>
        </w:rPr>
        <w:t xml:space="preserve">除</w:t>
      </w:r>
      <w:r>
        <w:rPr>
          <w:rFonts w:hint="eastAsia" w:ascii="宋体" w:hAnsi="宋体" w:eastAsia="宋体" w:cs="宋体"/>
          <w:b w:val="0"/>
          <w:bCs/>
          <w:color w:val="auto"/>
          <w:szCs w:val="21"/>
        </w:rPr>
        <w:t xml:space="preserve">带“▲”</w:t>
      </w:r>
      <w:r>
        <w:rPr>
          <w:rFonts w:hint="eastAsia" w:ascii="宋体" w:hAnsi="宋体" w:eastAsia="宋体" w:cs="宋体"/>
          <w:b w:val="0"/>
          <w:bCs/>
          <w:szCs w:val="21"/>
        </w:rPr>
        <w:t xml:space="preserve">号</w:t>
      </w:r>
      <w:r>
        <w:rPr>
          <w:rFonts w:hint="eastAsia" w:ascii="宋体" w:hAnsi="宋体" w:cs="宋体"/>
          <w:b w:val="0"/>
          <w:bCs/>
          <w:szCs w:val="21"/>
          <w:lang w:val="en-US" w:eastAsia="zh-CN"/>
        </w:rPr>
        <w:t xml:space="preserve">的</w:t>
      </w:r>
      <w:r>
        <w:rPr>
          <w:rFonts w:hint="eastAsia" w:ascii="宋体" w:hAnsi="宋体" w:eastAsia="宋体" w:cs="宋体"/>
          <w:b w:val="0"/>
          <w:bCs/>
          <w:szCs w:val="21"/>
        </w:rPr>
        <w:t xml:space="preserve">技术指标</w:t>
      </w:r>
      <w:r>
        <w:rPr>
          <w:rFonts w:hint="eastAsia" w:ascii="宋体" w:hAnsi="宋体" w:cs="宋体"/>
          <w:b w:val="0"/>
          <w:bCs/>
          <w:szCs w:val="21"/>
          <w:lang w:val="en-US" w:eastAsia="zh-CN"/>
        </w:rPr>
        <w:t xml:space="preserve">外</w:t>
      </w:r>
      <w:r>
        <w:rPr>
          <w:rFonts w:hint="eastAsia" w:ascii="宋体" w:hAnsi="宋体" w:cs="宋体"/>
          <w:bCs/>
          <w:szCs w:val="21"/>
          <w:lang w:eastAsia="zh-CN"/>
        </w:rPr>
        <w:t xml:space="preserve">）</w:t>
      </w:r>
      <w:r>
        <w:rPr>
          <w:rFonts w:hint="eastAsia" w:ascii="宋体" w:hAnsi="宋体" w:eastAsia="宋体" w:cs="宋体"/>
          <w:bCs/>
          <w:szCs w:val="21"/>
        </w:rPr>
        <w:t xml:space="preserve">有负</w:t>
      </w:r>
      <w:r>
        <w:rPr>
          <w:rFonts w:hint="eastAsia" w:ascii="宋体" w:hAnsi="宋体" w:eastAsia="宋体" w:cs="宋体"/>
          <w:b w:val="0"/>
          <w:bCs/>
          <w:color w:val="auto"/>
          <w:szCs w:val="21"/>
        </w:rPr>
        <w:t xml:space="preserve">偏离的每项扣</w:t>
      </w:r>
      <w:r>
        <w:rPr>
          <w:rFonts w:hint="eastAsia" w:ascii="宋体" w:hAnsi="宋体" w:cs="宋体"/>
          <w:b w:val="0"/>
          <w:bCs/>
          <w:color w:val="auto"/>
          <w:szCs w:val="21"/>
          <w:lang w:val="en-US" w:eastAsia="zh-CN"/>
        </w:rPr>
        <w:t xml:space="preserve">1</w:t>
      </w:r>
      <w:r>
        <w:rPr>
          <w:rFonts w:hint="eastAsia" w:ascii="宋体" w:hAnsi="宋体" w:eastAsia="宋体" w:cs="宋体"/>
          <w:b w:val="0"/>
          <w:bCs/>
          <w:color w:val="auto"/>
          <w:szCs w:val="21"/>
        </w:rPr>
        <w:t xml:space="preserve">分，扣完为止。（其中标注“</w:t>
      </w:r>
      <w:r>
        <w:rPr>
          <w:rFonts w:hint="eastAsia" w:ascii="宋体" w:hAnsi="宋体" w:eastAsia="宋体" w:cs="宋体"/>
          <w:color w:val="auto"/>
          <w:sz w:val="20"/>
          <w:szCs w:val="20"/>
        </w:rPr>
        <w:t xml:space="preserve">■</w:t>
      </w:r>
      <w:r>
        <w:rPr>
          <w:rFonts w:hint="eastAsia" w:ascii="宋体" w:hAnsi="宋体" w:eastAsia="宋体" w:cs="宋体"/>
          <w:b w:val="0"/>
          <w:bCs/>
          <w:color w:val="auto"/>
          <w:szCs w:val="21"/>
        </w:rPr>
        <w:t xml:space="preserve">”的参数需提供CNAS或CMA认证的权威第三方机构检</w:t>
      </w:r>
      <w:r>
        <w:rPr>
          <w:rFonts w:hint="eastAsia" w:ascii="宋体" w:hAnsi="宋体" w:cs="宋体"/>
          <w:b w:val="0"/>
          <w:bCs/>
          <w:color w:val="auto"/>
          <w:szCs w:val="21"/>
          <w:lang w:val="en-US" w:eastAsia="zh-CN"/>
        </w:rPr>
        <w:t xml:space="preserve">出具的完整</w:t>
      </w:r>
      <w:r>
        <w:rPr>
          <w:rFonts w:hint="eastAsia" w:ascii="宋体" w:hAnsi="宋体" w:eastAsia="宋体" w:cs="宋体"/>
          <w:b w:val="0"/>
          <w:bCs w:val="0"/>
          <w:color w:val="auto"/>
          <w:szCs w:val="21"/>
        </w:rPr>
        <w:t xml:space="preserve">检</w:t>
      </w:r>
      <w:r>
        <w:rPr>
          <w:rFonts w:hint="eastAsia" w:ascii="宋体" w:hAnsi="宋体" w:eastAsia="宋体" w:cs="宋体"/>
          <w:b w:val="0"/>
          <w:bCs/>
          <w:color w:val="auto"/>
          <w:szCs w:val="21"/>
        </w:rPr>
        <w:t xml:space="preserve">测报告扫描件并加盖</w:t>
      </w:r>
      <w:r>
        <w:rPr>
          <w:rFonts w:hint="eastAsia" w:ascii="宋体" w:hAnsi="宋体" w:cs="宋体"/>
          <w:b w:val="0"/>
          <w:bCs/>
          <w:color w:val="auto"/>
          <w:szCs w:val="21"/>
          <w:lang w:val="en-US" w:eastAsia="zh-CN"/>
        </w:rPr>
        <w:t xml:space="preserve">投标单位</w:t>
      </w:r>
      <w:r>
        <w:rPr>
          <w:rFonts w:hint="eastAsia" w:ascii="宋体" w:hAnsi="宋体" w:eastAsia="宋体" w:cs="宋体"/>
          <w:b w:val="0"/>
          <w:bCs/>
          <w:color w:val="auto"/>
          <w:szCs w:val="21"/>
        </w:rPr>
        <w:t xml:space="preserve">公章，</w:t>
      </w:r>
      <w:r>
        <w:rPr>
          <w:rFonts w:hint="eastAsia" w:ascii="宋体" w:hAnsi="宋体" w:eastAsia="宋体" w:cs="宋体"/>
          <w:szCs w:val="21"/>
        </w:rPr>
        <w:t xml:space="preserve">未提供上述检测报告，视为负偏离。）</w:t>
      </w:r>
      <w:r/>
    </w:p>
    <w:p>
      <w:pPr>
        <w:pStyle w:val="935"/>
        <w:rPr>
          <w:rFonts w:hint="eastAsia"/>
        </w:rPr>
      </w:pPr>
      <w:r>
        <w:rPr>
          <w:rFonts w:hint="eastAsia"/>
        </w:rPr>
      </w:r>
      <w:r/>
    </w:p>
    <w:p>
      <w:pPr>
        <w:pStyle w:val="935"/>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（三）带“▲”标注投标产品质量、先进性、可靠性等比较（</w:t>
      </w:r>
      <w:r>
        <w:rPr>
          <w:rFonts w:hint="eastAsia" w:ascii="宋体" w:hAnsi="宋体" w:eastAsia="宋体" w:cs="宋体"/>
          <w:b/>
          <w:bCs/>
          <w:color w:val="auto"/>
          <w:szCs w:val="21"/>
          <w:lang w:val="en-US" w:eastAsia="zh-CN"/>
        </w:rPr>
        <w:t xml:space="preserve">6</w:t>
      </w:r>
      <w:r>
        <w:rPr>
          <w:rFonts w:hint="eastAsia" w:ascii="宋体" w:hAnsi="宋体" w:eastAsia="宋体" w:cs="宋体"/>
          <w:b/>
          <w:bCs/>
          <w:color w:val="auto"/>
          <w:szCs w:val="21"/>
        </w:rPr>
        <w:t xml:space="preserve">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（1）所投 内网核心交换机（</w:t>
      </w:r>
      <w:r>
        <w:rPr>
          <w:rFonts w:hint="eastAsia" w:ascii="宋体" w:hAnsi="宋体" w:cs="宋体"/>
          <w:szCs w:val="21"/>
          <w:lang w:val="en-US" w:eastAsia="zh-CN"/>
        </w:rPr>
        <w:t xml:space="preserve">3</w:t>
      </w:r>
      <w:r>
        <w:rPr>
          <w:rFonts w:hint="eastAsia" w:ascii="宋体" w:hAnsi="宋体" w:eastAsia="宋体" w:cs="宋体"/>
          <w:szCs w:val="21"/>
        </w:rPr>
        <w:t xml:space="preserve">分）</w:t>
      </w:r>
      <w:r/>
    </w:p>
    <w:p>
      <w:pPr>
        <w:ind w:firstLine="420"/>
        <w:spacing w:line="360" w:lineRule="auto"/>
        <w:rPr>
          <w:rFonts w:hint="eastAsia" w:ascii="宋体" w:hAnsi="宋体" w:eastAsia="宋体" w:cs="宋体"/>
          <w:b w:val="0"/>
          <w:bCs w:val="0"/>
          <w:color w:val="auto"/>
          <w:szCs w:val="21"/>
        </w:rPr>
      </w:pPr>
      <w:r>
        <w:rPr>
          <w:rFonts w:hint="eastAsia" w:ascii="宋体" w:hAnsi="宋体" w:cs="宋体"/>
          <w:szCs w:val="21"/>
          <w:lang w:val="en-US" w:eastAsia="zh-CN"/>
        </w:rPr>
        <w:t xml:space="preserve">1.</w:t>
      </w:r>
      <w:r>
        <w:rPr>
          <w:rFonts w:hint="eastAsia" w:ascii="宋体" w:hAnsi="宋体" w:eastAsia="宋体" w:cs="宋体"/>
          <w:szCs w:val="21"/>
        </w:rPr>
        <w:t xml:space="preserve">支持TAP功能，支持TAP基于同源同宿功能，支持TAP基于报文截断功能，支持TAP基于源端口标识功能；</w:t>
      </w:r>
      <w:r>
        <w:rPr>
          <w:rFonts w:hint="eastAsia" w:ascii="宋体" w:hAnsi="宋体" w:cs="宋体"/>
          <w:szCs w:val="21"/>
          <w:lang w:val="en-US" w:eastAsia="zh-CN"/>
        </w:rPr>
        <w:t xml:space="preserve">2.</w:t>
      </w:r>
      <w:r>
        <w:rPr>
          <w:rFonts w:hint="eastAsia" w:ascii="宋体" w:hAnsi="宋体" w:eastAsia="宋体" w:cs="宋体"/>
          <w:szCs w:val="21"/>
        </w:rPr>
        <w:t xml:space="preserve">支持跨设备链路聚合，支持网络安全协防功能，支持将IP和端口扫描流量重定向给网络安全智能系统进行诱捕，与网络安全智能系统联动实施反制措施，以实现网络安全协防；</w:t>
      </w:r>
      <w:r>
        <w:rPr>
          <w:rFonts w:hint="eastAsia" w:ascii="宋体" w:hAnsi="宋体" w:cs="宋体"/>
          <w:szCs w:val="21"/>
          <w:lang w:val="en-US" w:eastAsia="zh-CN"/>
        </w:rPr>
        <w:t xml:space="preserve">3.</w:t>
      </w:r>
      <w:r>
        <w:rPr>
          <w:rFonts w:hint="eastAsia" w:ascii="宋体" w:hAnsi="宋体" w:eastAsia="宋体" w:cs="宋体"/>
          <w:szCs w:val="21"/>
        </w:rPr>
        <w:t xml:space="preserve">支持丢包查询功能，支持软件安全可信计算，支持系统通过对代码的数字签名来标识软件来源，通过两层签名机制防止软件被篡改，提高系统软件的安全可信</w:t>
      </w:r>
      <w:r>
        <w:rPr>
          <w:rFonts w:hint="eastAsia" w:ascii="宋体" w:hAnsi="宋体" w:cs="宋体"/>
          <w:szCs w:val="21"/>
          <w:lang w:eastAsia="zh-CN"/>
        </w:rPr>
        <w:t xml:space="preserve">；</w:t>
      </w:r>
      <w:r>
        <w:rPr>
          <w:rFonts w:hint="eastAsia" w:ascii="宋体" w:hAnsi="宋体" w:cs="宋体"/>
          <w:szCs w:val="21"/>
          <w:lang w:val="en-US" w:eastAsia="zh-CN"/>
        </w:rPr>
        <w:t xml:space="preserve">上述3条参数</w:t>
      </w:r>
      <w:r>
        <w:rPr>
          <w:rFonts w:hint="eastAsia" w:ascii="宋体" w:hAnsi="宋体" w:eastAsia="宋体" w:cs="宋体"/>
          <w:bCs/>
          <w:szCs w:val="21"/>
        </w:rPr>
        <w:t xml:space="preserve">有负</w:t>
      </w:r>
      <w:r>
        <w:rPr>
          <w:rFonts w:hint="eastAsia" w:ascii="宋体" w:hAnsi="宋体" w:eastAsia="宋体" w:cs="宋体"/>
          <w:b w:val="0"/>
          <w:bCs/>
          <w:color w:val="auto"/>
          <w:szCs w:val="21"/>
        </w:rPr>
        <w:t xml:space="preserve">偏离的每项扣</w:t>
      </w:r>
      <w:r>
        <w:rPr>
          <w:rFonts w:hint="eastAsia" w:ascii="宋体" w:hAnsi="宋体" w:cs="宋体"/>
          <w:b w:val="0"/>
          <w:bCs/>
          <w:color w:val="auto"/>
          <w:szCs w:val="21"/>
          <w:lang w:val="en-US" w:eastAsia="zh-CN"/>
        </w:rPr>
        <w:t xml:space="preserve">1</w:t>
      </w:r>
      <w:r>
        <w:rPr>
          <w:rFonts w:hint="eastAsia" w:ascii="宋体" w:hAnsi="宋体" w:eastAsia="宋体" w:cs="宋体"/>
          <w:b w:val="0"/>
          <w:bCs/>
          <w:color w:val="auto"/>
          <w:szCs w:val="21"/>
        </w:rPr>
        <w:t xml:space="preserve">分</w:t>
      </w:r>
      <w:r>
        <w:rPr>
          <w:rFonts w:hint="eastAsia" w:ascii="宋体" w:hAnsi="宋体" w:cs="宋体"/>
          <w:b w:val="0"/>
          <w:bCs/>
          <w:color w:val="auto"/>
          <w:szCs w:val="21"/>
          <w:lang w:eastAsia="zh-CN"/>
        </w:rPr>
        <w:t xml:space="preserve">，</w:t>
      </w:r>
      <w:r>
        <w:rPr>
          <w:rFonts w:hint="eastAsia" w:ascii="宋体" w:hAnsi="宋体" w:eastAsia="宋体" w:cs="宋体"/>
          <w:szCs w:val="21"/>
        </w:rPr>
        <w:t xml:space="preserve">本项最高</w:t>
      </w:r>
      <w:r>
        <w:rPr>
          <w:rFonts w:hint="eastAsia" w:ascii="宋体" w:hAnsi="宋体" w:cs="宋体"/>
          <w:szCs w:val="21"/>
          <w:lang w:val="en-US" w:eastAsia="zh-CN"/>
        </w:rPr>
        <w:t xml:space="preserve">3</w:t>
      </w:r>
      <w:r>
        <w:rPr>
          <w:rFonts w:hint="eastAsia" w:ascii="宋体" w:hAnsi="宋体" w:eastAsia="宋体" w:cs="宋体"/>
          <w:szCs w:val="21"/>
        </w:rPr>
        <w:t xml:space="preserve">分。</w:t>
      </w:r>
      <w:r>
        <w:rPr>
          <w:rFonts w:hint="eastAsia" w:ascii="宋体" w:hAnsi="宋体" w:eastAsia="宋体" w:cs="宋体"/>
          <w:b w:val="0"/>
          <w:bCs w:val="0"/>
          <w:color w:val="auto"/>
          <w:szCs w:val="21"/>
        </w:rPr>
        <w:t xml:space="preserve">（需提供CNAS或CMA认证的权威第三方机构</w:t>
      </w:r>
      <w:r>
        <w:rPr>
          <w:rFonts w:hint="eastAsia" w:ascii="宋体" w:hAnsi="宋体" w:cs="宋体"/>
          <w:b w:val="0"/>
          <w:bCs w:val="0"/>
          <w:color w:val="auto"/>
          <w:szCs w:val="21"/>
          <w:lang w:val="en-US" w:eastAsia="zh-CN"/>
        </w:rPr>
        <w:t xml:space="preserve">出具的完整的</w:t>
      </w:r>
      <w:r>
        <w:rPr>
          <w:rFonts w:hint="eastAsia" w:ascii="宋体" w:hAnsi="宋体" w:eastAsia="宋体" w:cs="宋体"/>
          <w:b w:val="0"/>
          <w:bCs w:val="0"/>
          <w:color w:val="auto"/>
          <w:szCs w:val="21"/>
        </w:rPr>
        <w:t xml:space="preserve">检测报告扫描件并加盖</w:t>
      </w:r>
      <w:r>
        <w:rPr>
          <w:rFonts w:hint="eastAsia" w:ascii="宋体" w:hAnsi="宋体" w:cs="宋体"/>
          <w:b w:val="0"/>
          <w:bCs/>
          <w:color w:val="auto"/>
          <w:szCs w:val="21"/>
          <w:lang w:val="en-US" w:eastAsia="zh-CN"/>
        </w:rPr>
        <w:t xml:space="preserve">投标单位</w:t>
      </w:r>
      <w:r>
        <w:rPr>
          <w:rFonts w:hint="eastAsia" w:ascii="宋体" w:hAnsi="宋体" w:eastAsia="宋体" w:cs="宋体"/>
          <w:b w:val="0"/>
          <w:bCs w:val="0"/>
          <w:color w:val="auto"/>
          <w:szCs w:val="21"/>
        </w:rPr>
        <w:t xml:space="preserve">公章）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（2）所投 内网OLT（</w:t>
      </w:r>
      <w:r>
        <w:rPr>
          <w:rFonts w:hint="eastAsia" w:ascii="宋体" w:hAnsi="宋体" w:cs="宋体"/>
          <w:szCs w:val="21"/>
          <w:lang w:val="en-US" w:eastAsia="zh-CN"/>
        </w:rPr>
        <w:t xml:space="preserve">2</w:t>
      </w:r>
      <w:r>
        <w:rPr>
          <w:rFonts w:hint="eastAsia" w:ascii="宋体" w:hAnsi="宋体" w:eastAsia="宋体" w:cs="宋体"/>
          <w:szCs w:val="21"/>
        </w:rPr>
        <w:t xml:space="preserve">分）</w:t>
      </w:r>
      <w:r/>
    </w:p>
    <w:p>
      <w:pPr>
        <w:ind w:firstLine="420"/>
        <w:spacing w:line="360" w:lineRule="auto"/>
        <w:rPr>
          <w:rFonts w:hint="eastAsia" w:ascii="宋体" w:hAnsi="宋体" w:eastAsia="宋体" w:cs="宋体"/>
          <w:color w:val="0000ff"/>
          <w:szCs w:val="21"/>
        </w:rPr>
      </w:pPr>
      <w:r>
        <w:rPr>
          <w:rFonts w:hint="eastAsia" w:ascii="宋体" w:hAnsi="宋体" w:cs="宋体"/>
          <w:szCs w:val="21"/>
          <w:lang w:val="en-US" w:eastAsia="zh-CN"/>
        </w:rPr>
        <w:t xml:space="preserve">1.</w:t>
      </w:r>
      <w:r>
        <w:rPr>
          <w:rFonts w:hint="eastAsia" w:ascii="宋体" w:hAnsi="宋体" w:eastAsia="宋体" w:cs="宋体"/>
          <w:szCs w:val="21"/>
        </w:rPr>
        <w:t xml:space="preserve">支持二层特性VLAN+MAC转发</w:t>
      </w:r>
      <w:r>
        <w:rPr>
          <w:rFonts w:hint="eastAsia" w:ascii="宋体" w:hAnsi="宋体" w:cs="宋体"/>
          <w:szCs w:val="21"/>
          <w:lang w:eastAsia="zh-CN"/>
        </w:rPr>
        <w:t xml:space="preserve">，</w:t>
      </w:r>
      <w:r>
        <w:rPr>
          <w:rFonts w:hint="eastAsia" w:ascii="宋体" w:hAnsi="宋体" w:eastAsia="宋体" w:cs="宋体"/>
          <w:szCs w:val="21"/>
        </w:rPr>
        <w:t xml:space="preserve">SVLAN+CVLAN转发；支持DHCPv6中继功能，支持DHCP Relay功能，DHCP Relay报文处理速度需要在每秒1000个以上；</w:t>
      </w:r>
      <w:r>
        <w:rPr>
          <w:rFonts w:hint="eastAsia" w:ascii="宋体" w:hAnsi="宋体" w:cs="宋体"/>
          <w:szCs w:val="21"/>
          <w:lang w:val="en-US" w:eastAsia="zh-CN"/>
        </w:rPr>
        <w:t xml:space="preserve">2.</w:t>
      </w:r>
      <w:r>
        <w:rPr>
          <w:rFonts w:hint="eastAsia" w:ascii="宋体" w:hAnsi="宋体" w:eastAsia="宋体" w:cs="宋体"/>
          <w:szCs w:val="21"/>
        </w:rPr>
        <w:t xml:space="preserve">主控和业务板都需支持ISSU，设备支持ISSU升级过程中ONU不下线，升级不断业务功能，支持802.1X认证、MAC地址认证、Portal认证；</w:t>
      </w:r>
      <w:r>
        <w:rPr>
          <w:rFonts w:hint="eastAsia" w:ascii="宋体" w:hAnsi="宋体" w:cs="宋体"/>
          <w:szCs w:val="21"/>
          <w:lang w:val="en-US" w:eastAsia="zh-CN"/>
        </w:rPr>
        <w:t xml:space="preserve">上述2条参数</w:t>
      </w:r>
      <w:r>
        <w:rPr>
          <w:rFonts w:hint="eastAsia" w:ascii="宋体" w:hAnsi="宋体" w:eastAsia="宋体" w:cs="宋体"/>
          <w:bCs/>
          <w:szCs w:val="21"/>
        </w:rPr>
        <w:t xml:space="preserve">有负</w:t>
      </w:r>
      <w:r>
        <w:rPr>
          <w:rFonts w:hint="eastAsia" w:ascii="宋体" w:hAnsi="宋体" w:eastAsia="宋体" w:cs="宋体"/>
          <w:b w:val="0"/>
          <w:bCs/>
          <w:color w:val="auto"/>
          <w:szCs w:val="21"/>
        </w:rPr>
        <w:t xml:space="preserve">偏离的每项扣</w:t>
      </w:r>
      <w:r>
        <w:rPr>
          <w:rFonts w:hint="eastAsia" w:ascii="宋体" w:hAnsi="宋体" w:cs="宋体"/>
          <w:b w:val="0"/>
          <w:bCs/>
          <w:color w:val="auto"/>
          <w:szCs w:val="21"/>
          <w:lang w:val="en-US" w:eastAsia="zh-CN"/>
        </w:rPr>
        <w:t xml:space="preserve">1</w:t>
      </w:r>
      <w:r>
        <w:rPr>
          <w:rFonts w:hint="eastAsia" w:ascii="宋体" w:hAnsi="宋体" w:eastAsia="宋体" w:cs="宋体"/>
          <w:b w:val="0"/>
          <w:bCs/>
          <w:color w:val="auto"/>
          <w:szCs w:val="21"/>
        </w:rPr>
        <w:t xml:space="preserve">分</w:t>
      </w:r>
      <w:r>
        <w:rPr>
          <w:rFonts w:hint="eastAsia" w:ascii="宋体" w:hAnsi="宋体" w:cs="宋体"/>
          <w:b w:val="0"/>
          <w:bCs/>
          <w:color w:val="auto"/>
          <w:szCs w:val="21"/>
          <w:lang w:eastAsia="zh-CN"/>
        </w:rPr>
        <w:t xml:space="preserve">，</w:t>
      </w:r>
      <w:r>
        <w:rPr>
          <w:rFonts w:hint="eastAsia" w:ascii="宋体" w:hAnsi="宋体" w:eastAsia="宋体" w:cs="宋体"/>
          <w:szCs w:val="21"/>
        </w:rPr>
        <w:t xml:space="preserve">本项最高</w:t>
      </w:r>
      <w:r>
        <w:rPr>
          <w:rFonts w:hint="eastAsia" w:ascii="宋体" w:hAnsi="宋体" w:cs="宋体"/>
          <w:szCs w:val="21"/>
          <w:lang w:val="en-US" w:eastAsia="zh-CN"/>
        </w:rPr>
        <w:t xml:space="preserve">2</w:t>
      </w:r>
      <w:r>
        <w:rPr>
          <w:rFonts w:hint="eastAsia" w:ascii="宋体" w:hAnsi="宋体" w:eastAsia="宋体" w:cs="宋体"/>
          <w:szCs w:val="21"/>
        </w:rPr>
        <w:t xml:space="preserve">分。</w:t>
      </w:r>
      <w:r>
        <w:rPr>
          <w:rFonts w:hint="eastAsia" w:ascii="宋体" w:hAnsi="宋体" w:eastAsia="宋体" w:cs="宋体"/>
          <w:b w:val="0"/>
          <w:bCs w:val="0"/>
          <w:color w:val="auto"/>
          <w:szCs w:val="21"/>
        </w:rPr>
        <w:t xml:space="preserve">（需提供CNAS或CMA认证的权威第三方机构</w:t>
      </w:r>
      <w:r>
        <w:rPr>
          <w:rFonts w:hint="eastAsia" w:ascii="宋体" w:hAnsi="宋体" w:cs="宋体"/>
          <w:b w:val="0"/>
          <w:bCs w:val="0"/>
          <w:color w:val="auto"/>
          <w:szCs w:val="21"/>
          <w:lang w:val="en-US" w:eastAsia="zh-CN"/>
        </w:rPr>
        <w:t xml:space="preserve">出具的完整的</w:t>
      </w:r>
      <w:r>
        <w:rPr>
          <w:rFonts w:hint="eastAsia" w:ascii="宋体" w:hAnsi="宋体" w:eastAsia="宋体" w:cs="宋体"/>
          <w:b w:val="0"/>
          <w:bCs w:val="0"/>
          <w:color w:val="auto"/>
          <w:szCs w:val="21"/>
        </w:rPr>
        <w:t xml:space="preserve">检测报告扫描件并加盖</w:t>
      </w:r>
      <w:r>
        <w:rPr>
          <w:rFonts w:hint="eastAsia" w:ascii="宋体" w:hAnsi="宋体" w:cs="宋体"/>
          <w:b w:val="0"/>
          <w:bCs/>
          <w:color w:val="auto"/>
          <w:szCs w:val="21"/>
          <w:lang w:val="en-US" w:eastAsia="zh-CN"/>
        </w:rPr>
        <w:t xml:space="preserve">投标单位</w:t>
      </w:r>
      <w:r>
        <w:rPr>
          <w:rFonts w:hint="eastAsia" w:ascii="宋体" w:hAnsi="宋体" w:eastAsia="宋体" w:cs="宋体"/>
          <w:b w:val="0"/>
          <w:bCs w:val="0"/>
          <w:color w:val="auto"/>
          <w:szCs w:val="21"/>
        </w:rPr>
        <w:t xml:space="preserve">公章）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（3）所投 内网无线控制器（</w:t>
      </w:r>
      <w:r>
        <w:rPr>
          <w:rFonts w:hint="eastAsia" w:ascii="宋体" w:hAnsi="宋体" w:cs="宋体"/>
          <w:szCs w:val="21"/>
          <w:lang w:val="en-US" w:eastAsia="zh-CN"/>
        </w:rPr>
        <w:t xml:space="preserve">1</w:t>
      </w:r>
      <w:r>
        <w:rPr>
          <w:rFonts w:hint="eastAsia" w:ascii="宋体" w:hAnsi="宋体" w:eastAsia="宋体" w:cs="宋体"/>
          <w:szCs w:val="21"/>
        </w:rPr>
        <w:t xml:space="preserve">分）</w:t>
      </w:r>
      <w:r/>
    </w:p>
    <w:p>
      <w:pPr>
        <w:ind w:firstLine="420"/>
        <w:spacing w:line="360" w:lineRule="auto"/>
        <w:rPr>
          <w:rFonts w:hint="eastAsia" w:ascii="宋体" w:hAnsi="宋体" w:eastAsia="宋体" w:cs="宋体"/>
          <w:b w:val="0"/>
          <w:bCs w:val="0"/>
          <w:color w:val="auto"/>
          <w:szCs w:val="21"/>
        </w:rPr>
      </w:pPr>
      <w:r>
        <w:rPr>
          <w:rFonts w:hint="eastAsia" w:ascii="宋体" w:hAnsi="宋体" w:cs="宋体"/>
          <w:szCs w:val="21"/>
          <w:lang w:val="en-US" w:eastAsia="zh-CN"/>
        </w:rPr>
        <w:t xml:space="preserve">1.</w:t>
      </w:r>
      <w:r>
        <w:rPr>
          <w:rFonts w:hint="eastAsia" w:ascii="宋体" w:hAnsi="宋体" w:eastAsia="宋体" w:cs="宋体"/>
          <w:szCs w:val="21"/>
        </w:rPr>
        <w:t xml:space="preserve">支持访客接入Portal认证，支持无线用户下线原因追溯，支持信号覆盖黑洞检测；支持认证用户授权限速，支持终端画像的漫游调度、支持终端业务的漫游调度；</w:t>
      </w:r>
      <w:r>
        <w:rPr>
          <w:rFonts w:hint="eastAsia" w:ascii="宋体" w:hAnsi="宋体" w:cs="宋体"/>
          <w:szCs w:val="21"/>
          <w:lang w:val="en-US" w:eastAsia="zh-CN"/>
        </w:rPr>
        <w:t xml:space="preserve">上述参数</w:t>
      </w:r>
      <w:r>
        <w:rPr>
          <w:rFonts w:hint="eastAsia" w:ascii="宋体" w:hAnsi="宋体" w:eastAsia="宋体" w:cs="宋体"/>
          <w:bCs/>
          <w:szCs w:val="21"/>
        </w:rPr>
        <w:t xml:space="preserve">有负</w:t>
      </w:r>
      <w:r>
        <w:rPr>
          <w:rFonts w:hint="eastAsia" w:ascii="宋体" w:hAnsi="宋体" w:eastAsia="宋体" w:cs="宋体"/>
          <w:b w:val="0"/>
          <w:bCs/>
          <w:color w:val="auto"/>
          <w:szCs w:val="21"/>
        </w:rPr>
        <w:t xml:space="preserve">偏离的每项扣</w:t>
      </w:r>
      <w:r>
        <w:rPr>
          <w:rFonts w:hint="eastAsia" w:ascii="宋体" w:hAnsi="宋体" w:cs="宋体"/>
          <w:b w:val="0"/>
          <w:bCs/>
          <w:color w:val="auto"/>
          <w:szCs w:val="21"/>
          <w:lang w:val="en-US" w:eastAsia="zh-CN"/>
        </w:rPr>
        <w:t xml:space="preserve">1</w:t>
      </w:r>
      <w:r>
        <w:rPr>
          <w:rFonts w:hint="eastAsia" w:ascii="宋体" w:hAnsi="宋体" w:eastAsia="宋体" w:cs="宋体"/>
          <w:b w:val="0"/>
          <w:bCs/>
          <w:color w:val="auto"/>
          <w:szCs w:val="21"/>
        </w:rPr>
        <w:t xml:space="preserve">分</w:t>
      </w:r>
      <w:r>
        <w:rPr>
          <w:rFonts w:hint="eastAsia" w:ascii="宋体" w:hAnsi="宋体" w:cs="宋体"/>
          <w:b w:val="0"/>
          <w:bCs/>
          <w:color w:val="auto"/>
          <w:szCs w:val="21"/>
          <w:lang w:eastAsia="zh-CN"/>
        </w:rPr>
        <w:t xml:space="preserve">，</w:t>
      </w:r>
      <w:r>
        <w:rPr>
          <w:rFonts w:hint="eastAsia" w:ascii="宋体" w:hAnsi="宋体" w:eastAsia="宋体" w:cs="宋体"/>
          <w:szCs w:val="21"/>
        </w:rPr>
        <w:t xml:space="preserve">本项最高</w:t>
      </w:r>
      <w:r>
        <w:rPr>
          <w:rFonts w:hint="eastAsia" w:ascii="宋体" w:hAnsi="宋体" w:cs="宋体"/>
          <w:szCs w:val="21"/>
          <w:lang w:val="en-US" w:eastAsia="zh-CN"/>
        </w:rPr>
        <w:t xml:space="preserve">1</w:t>
      </w:r>
      <w:r>
        <w:rPr>
          <w:rFonts w:hint="eastAsia" w:ascii="宋体" w:hAnsi="宋体" w:eastAsia="宋体" w:cs="宋体"/>
          <w:szCs w:val="21"/>
        </w:rPr>
        <w:t xml:space="preserve">分。</w:t>
      </w:r>
      <w:r>
        <w:rPr>
          <w:rFonts w:hint="eastAsia" w:ascii="宋体" w:hAnsi="宋体" w:eastAsia="宋体" w:cs="宋体"/>
          <w:b w:val="0"/>
          <w:bCs w:val="0"/>
          <w:color w:val="auto"/>
          <w:szCs w:val="21"/>
        </w:rPr>
        <w:t xml:space="preserve">（需提供CNAS或CMA认证的权威第三方机构</w:t>
      </w:r>
      <w:r>
        <w:rPr>
          <w:rFonts w:hint="eastAsia" w:ascii="宋体" w:hAnsi="宋体" w:cs="宋体"/>
          <w:b w:val="0"/>
          <w:bCs w:val="0"/>
          <w:color w:val="auto"/>
          <w:szCs w:val="21"/>
          <w:lang w:val="en-US" w:eastAsia="zh-CN"/>
        </w:rPr>
        <w:t xml:space="preserve">出具的完整的</w:t>
      </w:r>
      <w:r>
        <w:rPr>
          <w:rFonts w:hint="eastAsia" w:ascii="宋体" w:hAnsi="宋体" w:eastAsia="宋体" w:cs="宋体"/>
          <w:b w:val="0"/>
          <w:bCs w:val="0"/>
          <w:color w:val="auto"/>
          <w:szCs w:val="21"/>
        </w:rPr>
        <w:t xml:space="preserve">检测报告扫描件并加盖</w:t>
      </w:r>
      <w:r>
        <w:rPr>
          <w:rFonts w:hint="eastAsia" w:ascii="宋体" w:hAnsi="宋体" w:cs="宋体"/>
          <w:b w:val="0"/>
          <w:bCs/>
          <w:color w:val="auto"/>
          <w:szCs w:val="21"/>
          <w:lang w:val="en-US" w:eastAsia="zh-CN"/>
        </w:rPr>
        <w:t xml:space="preserve">投标单位</w:t>
      </w:r>
      <w:r>
        <w:rPr>
          <w:rFonts w:hint="eastAsia" w:ascii="宋体" w:hAnsi="宋体" w:eastAsia="宋体" w:cs="宋体"/>
          <w:b w:val="0"/>
          <w:bCs w:val="0"/>
          <w:color w:val="auto"/>
          <w:szCs w:val="21"/>
        </w:rPr>
        <w:t xml:space="preserve">公章）</w:t>
      </w:r>
      <w:r/>
    </w:p>
    <w:p>
      <w:pPr>
        <w:pStyle w:val="935"/>
        <w:rPr>
          <w:rFonts w:hint="eastAsia"/>
        </w:rPr>
      </w:pPr>
      <w:r>
        <w:rPr>
          <w:rFonts w:hint="eastAsia"/>
        </w:rPr>
      </w:r>
      <w:r/>
    </w:p>
    <w:p>
      <w:pPr>
        <w:ind w:firstLine="422"/>
        <w:spacing w:line="360" w:lineRule="auto"/>
        <w:rPr>
          <w:rFonts w:hint="eastAsia" w:ascii="宋体" w:hAnsi="宋体" w:eastAsia="宋体" w:cs="宋体"/>
          <w:b/>
          <w:bCs/>
          <w:szCs w:val="21"/>
        </w:rPr>
      </w:pPr>
      <w:r/>
      <w:bookmarkStart w:id="8" w:name="_Toc45883335"/>
      <w:r/>
      <w:bookmarkStart w:id="9" w:name="_Toc45368395"/>
      <w:r/>
      <w:bookmarkStart w:id="10" w:name="_Toc45895197"/>
      <w:r>
        <w:rPr>
          <w:rFonts w:hint="eastAsia" w:ascii="宋体" w:hAnsi="宋体" w:eastAsia="宋体" w:cs="宋体"/>
          <w:b/>
          <w:bCs/>
          <w:szCs w:val="21"/>
        </w:rPr>
        <w:t xml:space="preserve">（四）项目方案比较（最高</w:t>
      </w:r>
      <w:r>
        <w:rPr>
          <w:rFonts w:hint="eastAsia" w:ascii="宋体" w:hAnsi="宋体" w:cs="宋体"/>
          <w:b/>
          <w:bCs/>
          <w:szCs w:val="21"/>
          <w:lang w:val="en-US" w:eastAsia="zh-CN"/>
        </w:rPr>
        <w:t xml:space="preserve">45</w:t>
      </w:r>
      <w:r>
        <w:rPr>
          <w:rFonts w:hint="eastAsia" w:ascii="宋体" w:hAnsi="宋体" w:eastAsia="宋体" w:cs="宋体"/>
          <w:b/>
          <w:bCs/>
          <w:szCs w:val="21"/>
        </w:rPr>
        <w:t xml:space="preserve">分）</w:t>
      </w:r>
      <w:bookmarkEnd w:id="8"/>
      <w:r/>
      <w:bookmarkEnd w:id="9"/>
      <w:r/>
      <w:bookmarkEnd w:id="10"/>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1、技术方案综合比较（</w:t>
      </w:r>
      <w:r>
        <w:rPr>
          <w:rFonts w:hint="eastAsia" w:ascii="宋体" w:hAnsi="宋体" w:cs="宋体"/>
          <w:b/>
          <w:szCs w:val="21"/>
          <w:lang w:val="en-US" w:eastAsia="zh-CN"/>
        </w:rPr>
        <w:t xml:space="preserve">8</w:t>
      </w:r>
      <w:r>
        <w:rPr>
          <w:rFonts w:hint="eastAsia" w:ascii="宋体" w:hAnsi="宋体" w:eastAsia="宋体" w:cs="宋体"/>
          <w:b/>
          <w:szCs w:val="21"/>
        </w:rPr>
        <w:t xml:space="preserve">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投标单位的整体技术方案比较：根据方案的需求分析、完整性、合理性综合评价。对本项目充分了解且方案内容全面完整详细、具有明确针对性、操作流程清晰明了的得</w:t>
      </w:r>
      <w:r>
        <w:rPr>
          <w:rFonts w:hint="eastAsia" w:ascii="宋体" w:hAnsi="宋体" w:cs="宋体"/>
          <w:bCs/>
          <w:szCs w:val="21"/>
          <w:lang w:val="en-US" w:eastAsia="zh-CN"/>
        </w:rPr>
        <w:t xml:space="preserve">8</w:t>
      </w:r>
      <w:r>
        <w:rPr>
          <w:rFonts w:hint="eastAsia" w:ascii="宋体" w:hAnsi="宋体" w:eastAsia="宋体" w:cs="宋体"/>
          <w:bCs/>
          <w:szCs w:val="21"/>
        </w:rPr>
        <w:t xml:space="preserve">分；方案内容完整、针对性不突出、操作流程存在不明确的得5分；方案无实质性内容、针对性缺失、操作流程不具备可实施性的得2分；未提供不得分。</w:t>
      </w:r>
      <w:r/>
    </w:p>
    <w:p>
      <w:pPr>
        <w:ind w:firstLine="422"/>
        <w:spacing w:line="360" w:lineRule="auto"/>
        <w:rPr>
          <w:rFonts w:hint="eastAsia" w:ascii="宋体" w:hAnsi="宋体" w:eastAsia="宋体" w:cs="宋体"/>
          <w:b/>
          <w:szCs w:val="21"/>
        </w:rPr>
      </w:pPr>
      <w:r/>
      <w:bookmarkStart w:id="11" w:name="_Toc30850"/>
      <w:r>
        <w:rPr>
          <w:rFonts w:hint="eastAsia" w:ascii="宋体" w:hAnsi="宋体" w:cs="宋体"/>
          <w:b/>
          <w:szCs w:val="21"/>
          <w:lang w:val="en-US" w:eastAsia="zh-CN"/>
        </w:rPr>
        <w:t xml:space="preserve">2</w:t>
      </w:r>
      <w:r>
        <w:rPr>
          <w:rFonts w:hint="eastAsia" w:ascii="宋体" w:hAnsi="宋体" w:eastAsia="宋体" w:cs="宋体"/>
          <w:b/>
          <w:szCs w:val="21"/>
        </w:rPr>
        <w:t xml:space="preserve">、供货、安装、调试、验收方案</w:t>
      </w:r>
      <w:bookmarkEnd w:id="11"/>
      <w:r>
        <w:rPr>
          <w:rFonts w:hint="eastAsia" w:ascii="宋体" w:hAnsi="宋体" w:eastAsia="宋体" w:cs="宋体"/>
          <w:b/>
          <w:szCs w:val="21"/>
        </w:rPr>
        <w:t xml:space="preserve">（8分）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单位的供货、安装、验收方案比较：方案、流程的科学性、合理性、规范性和可操作性比较：方案详细完善，合理性可行性强，供货、安装方案最完整、验收方案最科学、最完善的得8分；方案较详细，合理性可行性较强，供货、安装方案较为完整、验收方案可行，能满足项目实施需要的得</w:t>
      </w:r>
      <w:r>
        <w:rPr>
          <w:rFonts w:hint="eastAsia" w:ascii="宋体" w:hAnsi="宋体" w:cs="宋体"/>
          <w:bCs/>
          <w:szCs w:val="21"/>
          <w:lang w:val="en-US" w:eastAsia="zh-CN"/>
        </w:rPr>
        <w:t xml:space="preserve">5</w:t>
      </w:r>
      <w:r>
        <w:rPr>
          <w:rFonts w:hint="eastAsia" w:ascii="宋体" w:hAnsi="宋体" w:eastAsia="宋体" w:cs="宋体"/>
          <w:bCs/>
          <w:szCs w:val="21"/>
        </w:rPr>
        <w:t xml:space="preserve">分；方案不太详细，合理性可行性一般，基本能满足项目实施需要的得2分；未提供不得分。</w:t>
      </w:r>
      <w:r/>
    </w:p>
    <w:p>
      <w:pPr>
        <w:ind w:firstLine="422"/>
        <w:spacing w:line="360" w:lineRule="auto"/>
        <w:rPr>
          <w:rFonts w:hint="eastAsia" w:ascii="宋体" w:hAnsi="宋体" w:eastAsia="宋体" w:cs="宋体"/>
          <w:b/>
          <w:szCs w:val="21"/>
        </w:rPr>
      </w:pPr>
      <w:r>
        <w:rPr>
          <w:rFonts w:hint="eastAsia" w:ascii="宋体" w:hAnsi="宋体" w:cs="宋体"/>
          <w:b/>
          <w:szCs w:val="21"/>
          <w:lang w:val="en-US" w:eastAsia="zh-CN"/>
        </w:rPr>
        <w:t xml:space="preserve">3</w:t>
      </w:r>
      <w:r>
        <w:rPr>
          <w:rFonts w:hint="eastAsia" w:ascii="宋体" w:hAnsi="宋体" w:eastAsia="宋体" w:cs="宋体"/>
          <w:b/>
          <w:szCs w:val="21"/>
        </w:rPr>
        <w:t xml:space="preserve">、项目质量保证及安全保密措施（8分）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单位的项目质量保证及安全保密措施方案比较：针对本项目质量保障措施中的项目质量承诺、产品质量保障方案和安全保密措施等进行评审，相应措施完整、内容详实、优于采购需求且便于执行的得8分；措施比较完整、内容比较详实、比较能够满足采购需求的得</w:t>
      </w:r>
      <w:r>
        <w:rPr>
          <w:rFonts w:hint="eastAsia" w:ascii="宋体" w:hAnsi="宋体" w:cs="宋体"/>
          <w:bCs/>
          <w:szCs w:val="21"/>
          <w:lang w:val="en-US" w:eastAsia="zh-CN"/>
        </w:rPr>
        <w:t xml:space="preserve">5</w:t>
      </w:r>
      <w:r>
        <w:rPr>
          <w:rFonts w:hint="eastAsia" w:ascii="宋体" w:hAnsi="宋体" w:eastAsia="宋体" w:cs="宋体"/>
          <w:bCs/>
          <w:szCs w:val="21"/>
        </w:rPr>
        <w:t xml:space="preserve">分；措施完整性差、内容不详实、基本满足采购需求的得2分；未提供不得分。</w:t>
      </w:r>
      <w:r/>
    </w:p>
    <w:p>
      <w:pPr>
        <w:ind w:firstLine="480"/>
        <w:spacing w:line="360" w:lineRule="auto"/>
        <w:rPr>
          <w:rFonts w:hint="eastAsia" w:ascii="宋体" w:hAnsi="宋体" w:eastAsia="宋体" w:cs="宋体"/>
          <w:b/>
          <w:bCs/>
          <w:szCs w:val="21"/>
        </w:rPr>
      </w:pPr>
      <w:r>
        <w:rPr>
          <w:rFonts w:hint="eastAsia" w:ascii="宋体" w:hAnsi="宋体" w:cs="宋体"/>
          <w:b/>
          <w:bCs/>
          <w:szCs w:val="21"/>
          <w:lang w:val="en-US" w:eastAsia="zh-CN"/>
        </w:rPr>
        <w:t xml:space="preserve">4</w:t>
      </w:r>
      <w:r>
        <w:rPr>
          <w:rFonts w:hint="eastAsia" w:ascii="宋体" w:hAnsi="宋体" w:eastAsia="宋体" w:cs="宋体"/>
          <w:b/>
          <w:bCs/>
          <w:szCs w:val="21"/>
        </w:rPr>
        <w:t xml:space="preserve">、售后服务方案（</w:t>
      </w:r>
      <w:r>
        <w:rPr>
          <w:rFonts w:hint="eastAsia" w:ascii="宋体" w:hAnsi="宋体" w:cs="宋体"/>
          <w:b/>
          <w:bCs/>
          <w:szCs w:val="21"/>
          <w:lang w:val="en-US" w:eastAsia="zh-CN"/>
        </w:rPr>
        <w:t xml:space="preserve">7</w:t>
      </w:r>
      <w:r>
        <w:rPr>
          <w:rFonts w:hint="eastAsia" w:ascii="宋体" w:hAnsi="宋体" w:eastAsia="宋体" w:cs="宋体"/>
          <w:b/>
          <w:bCs/>
          <w:szCs w:val="21"/>
        </w:rPr>
        <w:t xml:space="preserve">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投标单位的售后服务方案比较：根据售后服务体系、服务措施、机构设置、响应时间等综合评价。方案完整详细、服务安排合理高效、服务体系措施完善、机构设置健全的得</w:t>
      </w:r>
      <w:r>
        <w:rPr>
          <w:rFonts w:hint="eastAsia" w:ascii="宋体" w:hAnsi="宋体" w:cs="宋体"/>
          <w:bCs/>
          <w:szCs w:val="21"/>
          <w:lang w:val="en-US" w:eastAsia="zh-CN"/>
        </w:rPr>
        <w:t xml:space="preserve">7</w:t>
      </w:r>
      <w:r>
        <w:rPr>
          <w:rFonts w:hint="eastAsia" w:ascii="宋体" w:hAnsi="宋体" w:eastAsia="宋体" w:cs="宋体"/>
          <w:bCs/>
          <w:szCs w:val="21"/>
        </w:rPr>
        <w:t xml:space="preserve">分；方案较详细、服务安排较合理、服务体系措施较完善、机构设置较健全的得</w:t>
      </w: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分；方案一般、服务安排一般、服务体系措施一般、机构设置一般的得</w:t>
      </w:r>
      <w:r>
        <w:rPr>
          <w:rFonts w:hint="eastAsia" w:ascii="宋体" w:hAnsi="宋体" w:cs="宋体"/>
          <w:bCs/>
          <w:szCs w:val="21"/>
          <w:lang w:val="en-US" w:eastAsia="zh-CN"/>
        </w:rPr>
        <w:t xml:space="preserve">1</w:t>
      </w:r>
      <w:r>
        <w:rPr>
          <w:rFonts w:hint="eastAsia" w:ascii="宋体" w:hAnsi="宋体" w:eastAsia="宋体" w:cs="宋体"/>
          <w:bCs/>
          <w:szCs w:val="21"/>
        </w:rPr>
        <w:t xml:space="preserve">分；未提供不得分。</w:t>
      </w:r>
      <w:r/>
    </w:p>
    <w:p>
      <w:pPr>
        <w:ind w:firstLine="422"/>
        <w:spacing w:line="360" w:lineRule="auto"/>
        <w:rPr>
          <w:rFonts w:hint="eastAsia" w:ascii="宋体" w:hAnsi="宋体" w:eastAsia="宋体" w:cs="宋体"/>
          <w:b/>
          <w:szCs w:val="21"/>
        </w:rPr>
      </w:pPr>
      <w:r>
        <w:rPr>
          <w:rFonts w:hint="eastAsia" w:ascii="宋体" w:hAnsi="宋体" w:cs="宋体"/>
          <w:b/>
          <w:szCs w:val="21"/>
          <w:lang w:val="en-US" w:eastAsia="zh-CN"/>
        </w:rPr>
        <w:t xml:space="preserve">5</w:t>
      </w:r>
      <w:r>
        <w:rPr>
          <w:rFonts w:hint="eastAsia" w:ascii="宋体" w:hAnsi="宋体" w:eastAsia="宋体" w:cs="宋体"/>
          <w:b/>
          <w:szCs w:val="21"/>
        </w:rPr>
        <w:t xml:space="preserve">、风险管理及应急保障方案（</w:t>
      </w:r>
      <w:r>
        <w:rPr>
          <w:rFonts w:hint="eastAsia" w:ascii="宋体" w:hAnsi="宋体" w:cs="宋体"/>
          <w:b/>
          <w:szCs w:val="21"/>
          <w:lang w:val="en-US" w:eastAsia="zh-CN"/>
        </w:rPr>
        <w:t xml:space="preserve">7</w:t>
      </w:r>
      <w:r>
        <w:rPr>
          <w:rFonts w:hint="eastAsia" w:ascii="宋体" w:hAnsi="宋体" w:eastAsia="宋体" w:cs="宋体"/>
          <w:b/>
          <w:szCs w:val="21"/>
        </w:rPr>
        <w:t xml:space="preserve">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投标单位的风险管理及应急保障方案比较：包括但不限于风险应对策略、风险分析工具、风险清单及措施、应急措施、应急演练等。方案完整度高、科学合理性强、专业性强、可行性强的得</w:t>
      </w:r>
      <w:r>
        <w:rPr>
          <w:rFonts w:hint="eastAsia" w:ascii="宋体" w:hAnsi="宋体" w:cs="宋体"/>
          <w:bCs/>
          <w:szCs w:val="21"/>
          <w:lang w:val="en-US" w:eastAsia="zh-CN"/>
        </w:rPr>
        <w:t xml:space="preserve">7</w:t>
      </w:r>
      <w:r>
        <w:rPr>
          <w:rFonts w:hint="eastAsia" w:ascii="宋体" w:hAnsi="宋体" w:eastAsia="宋体" w:cs="宋体"/>
          <w:bCs/>
          <w:szCs w:val="21"/>
        </w:rPr>
        <w:t xml:space="preserve">分；方案完整度一般、科学合理性一般、专业性一般、可行性一般的得4分；方案完整度较差、科学合理性较差、专业性较差、可行性较差的得</w:t>
      </w:r>
      <w:r>
        <w:rPr>
          <w:rFonts w:hint="eastAsia" w:ascii="宋体" w:hAnsi="宋体" w:cs="宋体"/>
          <w:bCs/>
          <w:szCs w:val="21"/>
          <w:lang w:val="en-US" w:eastAsia="zh-CN"/>
        </w:rPr>
        <w:t xml:space="preserve">1</w:t>
      </w:r>
      <w:r>
        <w:rPr>
          <w:rFonts w:hint="eastAsia" w:ascii="宋体" w:hAnsi="宋体" w:eastAsia="宋体" w:cs="宋体"/>
          <w:bCs/>
          <w:szCs w:val="21"/>
        </w:rPr>
        <w:t xml:space="preserve">分；未提供不得分。</w:t>
      </w:r>
      <w:r/>
    </w:p>
    <w:p>
      <w:pPr>
        <w:ind w:firstLine="422"/>
        <w:spacing w:line="360" w:lineRule="auto"/>
        <w:rPr>
          <w:rFonts w:hint="eastAsia" w:ascii="宋体" w:hAnsi="宋体" w:eastAsia="宋体" w:cs="宋体"/>
          <w:b/>
          <w:szCs w:val="21"/>
          <w:highlight w:val="yellow"/>
        </w:rPr>
      </w:pPr>
      <w:r>
        <w:rPr>
          <w:rFonts w:hint="eastAsia" w:ascii="宋体" w:hAnsi="宋体" w:cs="宋体"/>
          <w:b/>
          <w:szCs w:val="21"/>
          <w:highlight w:val="yellow"/>
          <w:lang w:val="en-US" w:eastAsia="zh-CN"/>
        </w:rPr>
        <w:t xml:space="preserve">6</w:t>
      </w:r>
      <w:r>
        <w:rPr>
          <w:rFonts w:hint="eastAsia" w:ascii="宋体" w:hAnsi="宋体" w:eastAsia="宋体" w:cs="宋体"/>
          <w:b/>
          <w:szCs w:val="21"/>
          <w:highlight w:val="yellow"/>
        </w:rPr>
        <w:t xml:space="preserve">、安全生产方案（</w:t>
      </w:r>
      <w:r>
        <w:rPr>
          <w:rFonts w:hint="eastAsia" w:ascii="宋体" w:hAnsi="宋体" w:cs="宋体"/>
          <w:b/>
          <w:szCs w:val="21"/>
          <w:highlight w:val="yellow"/>
          <w:lang w:val="en-US" w:eastAsia="zh-CN"/>
        </w:rPr>
        <w:t xml:space="preserve">7</w:t>
      </w:r>
      <w:r>
        <w:rPr>
          <w:rFonts w:hint="eastAsia" w:ascii="宋体" w:hAnsi="宋体" w:eastAsia="宋体" w:cs="宋体"/>
          <w:b/>
          <w:szCs w:val="21"/>
          <w:highlight w:val="yellow"/>
        </w:rPr>
        <w:t xml:space="preserve">分）</w:t>
      </w:r>
      <w:r/>
    </w:p>
    <w:p>
      <w:pPr>
        <w:ind w:firstLine="420"/>
        <w:spacing w:line="360" w:lineRule="auto"/>
        <w:rPr>
          <w:rFonts w:hint="eastAsia" w:ascii="宋体" w:hAnsi="宋体" w:eastAsia="宋体" w:cs="宋体"/>
          <w:bCs/>
          <w:szCs w:val="21"/>
          <w:highlight w:val="yellow"/>
          <w:lang w:val="en-US" w:eastAsia="zh-CN"/>
        </w:rPr>
      </w:pPr>
      <w:r>
        <w:rPr>
          <w:rFonts w:hint="eastAsia" w:ascii="宋体" w:hAnsi="宋体" w:eastAsia="宋体" w:cs="宋体"/>
          <w:bCs/>
          <w:szCs w:val="21"/>
          <w:highlight w:val="yellow"/>
        </w:rPr>
        <w:t xml:space="preserve">投标单位的</w:t>
      </w:r>
      <w:r>
        <w:rPr>
          <w:rFonts w:hint="eastAsia" w:ascii="宋体" w:hAnsi="宋体" w:eastAsia="宋体" w:cs="宋体"/>
          <w:bCs/>
          <w:szCs w:val="21"/>
          <w:highlight w:val="yellow"/>
          <w:lang w:val="en-US" w:eastAsia="zh-CN"/>
        </w:rPr>
        <w:t xml:space="preserve">安全生产方案比较：包括但不限于安全防护措施、文明施工措施、内部管理措施等。方案完整度高、科学合理性强、专业性强、可行性强的得</w:t>
      </w:r>
      <w:r>
        <w:rPr>
          <w:rFonts w:hint="eastAsia" w:ascii="宋体" w:hAnsi="宋体" w:cs="宋体"/>
          <w:bCs/>
          <w:szCs w:val="21"/>
          <w:highlight w:val="yellow"/>
          <w:lang w:val="en-US" w:eastAsia="zh-CN"/>
        </w:rPr>
        <w:t xml:space="preserve">7</w:t>
      </w:r>
      <w:r>
        <w:rPr>
          <w:rFonts w:hint="eastAsia" w:ascii="宋体" w:hAnsi="宋体" w:eastAsia="宋体" w:cs="宋体"/>
          <w:bCs/>
          <w:szCs w:val="21"/>
          <w:highlight w:val="yellow"/>
          <w:lang w:val="en-US" w:eastAsia="zh-CN"/>
        </w:rPr>
        <w:t xml:space="preserve">分；方案完整度一般、科学合理性一般、专业性一般、可行性一般的得</w:t>
      </w:r>
      <w:r>
        <w:rPr>
          <w:rFonts w:hint="eastAsia" w:ascii="宋体" w:hAnsi="宋体" w:cs="宋体"/>
          <w:bCs/>
          <w:szCs w:val="21"/>
          <w:highlight w:val="yellow"/>
          <w:lang w:val="en-US" w:eastAsia="zh-CN"/>
        </w:rPr>
        <w:t xml:space="preserve">4</w:t>
      </w:r>
      <w:r>
        <w:rPr>
          <w:rFonts w:hint="eastAsia" w:ascii="宋体" w:hAnsi="宋体" w:eastAsia="宋体" w:cs="宋体"/>
          <w:bCs/>
          <w:szCs w:val="21"/>
          <w:highlight w:val="yellow"/>
          <w:lang w:val="en-US" w:eastAsia="zh-CN"/>
        </w:rPr>
        <w:t xml:space="preserve">分；方案完整度较差、科学合理性较差、专业性较差、可行性较差的得</w:t>
      </w:r>
      <w:r>
        <w:rPr>
          <w:rFonts w:hint="eastAsia" w:ascii="宋体" w:hAnsi="宋体" w:cs="宋体"/>
          <w:bCs/>
          <w:szCs w:val="21"/>
          <w:highlight w:val="yellow"/>
          <w:lang w:val="en-US" w:eastAsia="zh-CN"/>
        </w:rPr>
        <w:t xml:space="preserve">1</w:t>
      </w:r>
      <w:r>
        <w:rPr>
          <w:rFonts w:hint="eastAsia" w:ascii="宋体" w:hAnsi="宋体" w:eastAsia="宋体" w:cs="宋体"/>
          <w:bCs/>
          <w:szCs w:val="21"/>
          <w:highlight w:val="yellow"/>
          <w:lang w:val="en-US" w:eastAsia="zh-CN"/>
        </w:rPr>
        <w:t xml:space="preserve">分；未提供不得分。</w:t>
      </w:r>
      <w:r/>
    </w:p>
    <w:p>
      <w:pPr>
        <w:pStyle w:val="935"/>
        <w:rPr>
          <w:rFonts w:hint="eastAsia"/>
        </w:rPr>
      </w:pPr>
      <w:r>
        <w:rPr>
          <w:rFonts w:hint="eastAsia"/>
        </w:rPr>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（五）针对本项目人员配置（1</w:t>
      </w:r>
      <w:r>
        <w:rPr>
          <w:rFonts w:hint="eastAsia" w:ascii="宋体" w:hAnsi="宋体" w:eastAsia="宋体" w:cs="宋体"/>
          <w:b/>
          <w:bCs/>
          <w:szCs w:val="21"/>
          <w:lang w:val="en-US" w:eastAsia="zh-CN"/>
        </w:rPr>
        <w:t xml:space="preserve">0</w:t>
      </w:r>
      <w:r>
        <w:rPr>
          <w:rFonts w:hint="eastAsia" w:ascii="宋体" w:hAnsi="宋体" w:eastAsia="宋体" w:cs="宋体"/>
          <w:b/>
          <w:bCs/>
          <w:szCs w:val="21"/>
        </w:rPr>
        <w:t xml:space="preserve">分）</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1、项目负责人（4分）：</w:t>
      </w:r>
      <w:r/>
    </w:p>
    <w:p>
      <w:pPr>
        <w:numPr>
          <w:ilvl w:val="0"/>
          <w:numId w:val="0"/>
        </w:num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投标单位针对本项目拟派的项目负责人具备有效期内的信息系统项目管理师证书</w:t>
      </w:r>
      <w:r>
        <w:rPr>
          <w:rFonts w:hint="eastAsia" w:ascii="宋体" w:hAnsi="宋体" w:cs="宋体"/>
          <w:bCs/>
          <w:color w:val="auto"/>
          <w:szCs w:val="21"/>
          <w:lang w:eastAsia="zh-CN"/>
        </w:rPr>
        <w:t xml:space="preserve">、</w:t>
      </w:r>
      <w:r>
        <w:rPr>
          <w:rFonts w:hint="eastAsia" w:ascii="宋体" w:hAnsi="宋体" w:eastAsia="宋体" w:cs="宋体"/>
          <w:bCs/>
          <w:color w:val="auto"/>
          <w:szCs w:val="21"/>
        </w:rPr>
        <w:t xml:space="preserve">系统架构设计师证书</w:t>
      </w:r>
      <w:r>
        <w:rPr>
          <w:rFonts w:hint="eastAsia" w:ascii="宋体" w:hAnsi="宋体" w:cs="宋体"/>
          <w:bCs/>
          <w:color w:val="auto"/>
          <w:szCs w:val="21"/>
          <w:lang w:eastAsia="zh-CN"/>
        </w:rPr>
        <w:t xml:space="preserve">、</w:t>
      </w:r>
      <w:r>
        <w:rPr>
          <w:rFonts w:hint="eastAsia" w:ascii="宋体" w:hAnsi="宋体" w:eastAsia="宋体" w:cs="宋体"/>
          <w:bCs/>
          <w:color w:val="auto"/>
          <w:szCs w:val="21"/>
        </w:rPr>
        <w:t xml:space="preserve">系统分析师证书</w:t>
      </w:r>
      <w:r>
        <w:rPr>
          <w:rFonts w:hint="eastAsia" w:ascii="宋体" w:hAnsi="宋体" w:cs="宋体"/>
          <w:bCs/>
          <w:color w:val="auto"/>
          <w:szCs w:val="21"/>
          <w:lang w:eastAsia="zh-CN"/>
        </w:rPr>
        <w:t xml:space="preserve">、</w:t>
      </w:r>
      <w:r>
        <w:rPr>
          <w:rFonts w:hint="eastAsia" w:ascii="宋体" w:hAnsi="宋体" w:eastAsia="宋体" w:cs="宋体"/>
          <w:bCs/>
          <w:color w:val="auto"/>
          <w:szCs w:val="21"/>
        </w:rPr>
        <w:t xml:space="preserve">IT服务工程师证书的，</w:t>
      </w:r>
      <w:r>
        <w:rPr>
          <w:rFonts w:hint="eastAsia" w:ascii="宋体" w:hAnsi="宋体" w:cs="宋体"/>
          <w:bCs/>
          <w:color w:val="auto"/>
          <w:szCs w:val="21"/>
          <w:highlight w:val="yellow"/>
          <w:lang w:val="en-US" w:eastAsia="zh-CN"/>
        </w:rPr>
        <w:t xml:space="preserve">每少一份证书扣1分，满分4</w:t>
      </w:r>
      <w:r>
        <w:rPr>
          <w:rFonts w:hint="eastAsia" w:ascii="宋体" w:hAnsi="宋体" w:eastAsia="宋体" w:cs="宋体"/>
          <w:bCs/>
          <w:color w:val="auto"/>
          <w:szCs w:val="21"/>
          <w:highlight w:val="yellow"/>
        </w:rPr>
        <w:t xml:space="preserve">分。</w:t>
      </w:r>
      <w:r>
        <w:rPr>
          <w:rFonts w:hint="eastAsia" w:ascii="宋体" w:hAnsi="宋体" w:eastAsia="宋体" w:cs="宋体"/>
          <w:bCs/>
          <w:color w:val="auto"/>
          <w:szCs w:val="21"/>
        </w:rPr>
        <w:t xml:space="preserve">（此项限评一人，与本项目团队其他人员不可重复，投标文件中需同时提供相关证书扫描件、投标单位为其缴纳的最近三个月社保证明并加盖投标单位公章，缺失、不符或不提供者，对应项不得分。）</w:t>
      </w:r>
      <w:r/>
    </w:p>
    <w:p>
      <w:pPr>
        <w:numPr>
          <w:ilvl w:val="0"/>
          <w:numId w:val="0"/>
        </w:numPr>
        <w:ind w:firstLine="420"/>
        <w:spacing w:line="360" w:lineRule="auto"/>
        <w:rPr>
          <w:rFonts w:hint="eastAsia" w:ascii="宋体" w:hAnsi="宋体" w:eastAsia="宋体" w:cs="宋体"/>
          <w:bCs/>
          <w:color w:val="auto"/>
          <w:szCs w:val="21"/>
        </w:rPr>
      </w:pPr>
      <w:r>
        <w:rPr>
          <w:rFonts w:hint="eastAsia" w:ascii="宋体" w:hAnsi="宋体" w:cs="宋体"/>
          <w:bCs/>
          <w:color w:val="auto"/>
          <w:szCs w:val="21"/>
          <w:lang w:val="en-US" w:eastAsia="zh-CN"/>
        </w:rPr>
        <w:t xml:space="preserve">2、技术负责人</w:t>
      </w:r>
      <w:r>
        <w:rPr>
          <w:rFonts w:hint="eastAsia" w:ascii="宋体" w:hAnsi="宋体" w:eastAsia="宋体" w:cs="宋体"/>
          <w:bCs/>
          <w:color w:val="auto"/>
          <w:szCs w:val="21"/>
        </w:rPr>
        <w:t xml:space="preserve">（</w:t>
      </w:r>
      <w:r>
        <w:rPr>
          <w:rFonts w:hint="eastAsia" w:ascii="宋体" w:hAnsi="宋体" w:cs="宋体"/>
          <w:bCs/>
          <w:color w:val="auto"/>
          <w:szCs w:val="21"/>
          <w:lang w:val="en-US" w:eastAsia="zh-CN"/>
        </w:rPr>
        <w:t xml:space="preserve">3</w:t>
      </w:r>
      <w:r>
        <w:rPr>
          <w:rFonts w:hint="eastAsia" w:ascii="宋体" w:hAnsi="宋体" w:eastAsia="宋体" w:cs="宋体"/>
          <w:bCs/>
          <w:color w:val="auto"/>
          <w:szCs w:val="21"/>
        </w:rPr>
        <w:t xml:space="preserve">分）：</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投标单位针对本项目拟派的</w:t>
      </w:r>
      <w:r>
        <w:rPr>
          <w:rFonts w:hint="eastAsia" w:ascii="宋体" w:hAnsi="宋体" w:cs="宋体"/>
          <w:bCs/>
          <w:color w:val="auto"/>
          <w:szCs w:val="21"/>
          <w:lang w:val="en-US" w:eastAsia="zh-CN"/>
        </w:rPr>
        <w:t xml:space="preserve">技术负责人</w:t>
      </w:r>
      <w:r>
        <w:rPr>
          <w:rFonts w:hint="eastAsia" w:ascii="宋体" w:hAnsi="宋体" w:eastAsia="宋体" w:cs="宋体"/>
          <w:bCs/>
          <w:color w:val="auto"/>
          <w:szCs w:val="21"/>
        </w:rPr>
        <w:t xml:space="preserve">具备有效期内的信息系统项目管理师证书</w:t>
      </w:r>
      <w:r>
        <w:rPr>
          <w:rFonts w:hint="eastAsia" w:ascii="宋体" w:hAnsi="宋体" w:cs="宋体"/>
          <w:bCs/>
          <w:color w:val="auto"/>
          <w:szCs w:val="21"/>
          <w:lang w:eastAsia="zh-CN"/>
        </w:rPr>
        <w:t xml:space="preserve">、</w:t>
      </w:r>
      <w:r>
        <w:rPr>
          <w:rFonts w:hint="eastAsia" w:ascii="宋体" w:hAnsi="宋体" w:eastAsia="宋体" w:cs="宋体"/>
          <w:bCs/>
          <w:color w:val="auto"/>
          <w:szCs w:val="21"/>
        </w:rPr>
        <w:t xml:space="preserve">系统规划与管理师证书</w:t>
      </w:r>
      <w:r>
        <w:rPr>
          <w:rFonts w:hint="eastAsia" w:ascii="宋体" w:hAnsi="宋体" w:cs="宋体"/>
          <w:bCs/>
          <w:color w:val="auto"/>
          <w:szCs w:val="21"/>
          <w:lang w:eastAsia="zh-CN"/>
        </w:rPr>
        <w:t xml:space="preserve">、</w:t>
      </w:r>
      <w:r>
        <w:rPr>
          <w:rFonts w:hint="eastAsia" w:ascii="宋体" w:hAnsi="宋体" w:eastAsia="宋体" w:cs="宋体"/>
          <w:bCs/>
          <w:color w:val="auto"/>
          <w:szCs w:val="21"/>
        </w:rPr>
        <w:t xml:space="preserve">注册信息安全专业人员（CISP）大类下注册信息安全工程师（CISE）方向证书</w:t>
      </w:r>
      <w:r>
        <w:rPr>
          <w:rFonts w:hint="eastAsia" w:ascii="宋体" w:hAnsi="宋体" w:cs="宋体"/>
          <w:bCs/>
          <w:color w:val="auto"/>
          <w:szCs w:val="21"/>
          <w:lang w:eastAsia="zh-CN"/>
        </w:rPr>
        <w:t xml:space="preserve">、</w:t>
      </w:r>
      <w:r>
        <w:rPr>
          <w:rFonts w:hint="eastAsia" w:ascii="宋体" w:hAnsi="宋体" w:eastAsia="宋体" w:cs="宋体"/>
          <w:bCs/>
          <w:color w:val="auto"/>
          <w:szCs w:val="21"/>
        </w:rPr>
        <w:t xml:space="preserve">IT服务项目经理证书的，</w:t>
      </w:r>
      <w:r>
        <w:rPr>
          <w:rFonts w:hint="eastAsia" w:ascii="宋体" w:hAnsi="宋体" w:cs="宋体"/>
          <w:bCs/>
          <w:color w:val="auto"/>
          <w:szCs w:val="21"/>
          <w:highlight w:val="yellow"/>
          <w:lang w:val="en-US" w:eastAsia="zh-CN"/>
        </w:rPr>
        <w:t xml:space="preserve">每少一份证书扣1分，满分3</w:t>
      </w:r>
      <w:r>
        <w:rPr>
          <w:rFonts w:hint="eastAsia" w:ascii="宋体" w:hAnsi="宋体" w:eastAsia="宋体" w:cs="宋体"/>
          <w:bCs/>
          <w:color w:val="auto"/>
          <w:szCs w:val="21"/>
          <w:highlight w:val="yellow"/>
        </w:rPr>
        <w:t xml:space="preserve">分。</w:t>
      </w:r>
      <w:r>
        <w:rPr>
          <w:rFonts w:hint="eastAsia" w:ascii="宋体" w:hAnsi="宋体" w:eastAsia="宋体" w:cs="宋体"/>
          <w:bCs/>
          <w:color w:val="auto"/>
          <w:szCs w:val="21"/>
        </w:rPr>
        <w:t xml:space="preserve">（此项限评一人，与本项目团队其他人员不可重复，投标文件中需同时提供相关证书扫描件、投标单位为其缴纳的最近三个月社保证明并加盖投标单位公章，缺失、不符或不提供者，对应项不得分。）</w:t>
      </w:r>
      <w:r/>
    </w:p>
    <w:p>
      <w:pPr>
        <w:numPr>
          <w:ilvl w:val="0"/>
          <w:numId w:val="0"/>
        </w:numPr>
        <w:ind w:firstLine="420"/>
        <w:spacing w:line="360" w:lineRule="auto"/>
        <w:rPr>
          <w:rFonts w:hint="eastAsia" w:ascii="宋体" w:hAnsi="宋体" w:eastAsia="宋体" w:cs="宋体"/>
          <w:bCs/>
          <w:color w:val="auto"/>
          <w:szCs w:val="21"/>
        </w:rPr>
      </w:pPr>
      <w:r>
        <w:rPr>
          <w:rFonts w:hint="eastAsia" w:ascii="宋体" w:hAnsi="宋体" w:cs="宋体"/>
          <w:bCs/>
          <w:color w:val="auto"/>
          <w:szCs w:val="21"/>
          <w:lang w:val="en-US" w:eastAsia="zh-CN"/>
        </w:rPr>
        <w:t xml:space="preserve">3、</w:t>
      </w:r>
      <w:r>
        <w:rPr>
          <w:rFonts w:hint="eastAsia" w:ascii="宋体" w:hAnsi="宋体" w:eastAsia="宋体" w:cs="宋体"/>
          <w:bCs/>
          <w:color w:val="auto"/>
          <w:szCs w:val="21"/>
        </w:rPr>
        <w:t xml:space="preserve">信息安全负责人（</w:t>
      </w:r>
      <w:r>
        <w:rPr>
          <w:rFonts w:hint="eastAsia" w:ascii="宋体" w:hAnsi="宋体" w:eastAsia="宋体" w:cs="宋体"/>
          <w:bCs/>
          <w:color w:val="auto"/>
          <w:szCs w:val="21"/>
          <w:lang w:val="en-US" w:eastAsia="zh-CN"/>
        </w:rPr>
        <w:t xml:space="preserve">3</w:t>
      </w:r>
      <w:r>
        <w:rPr>
          <w:rFonts w:hint="eastAsia" w:ascii="宋体" w:hAnsi="宋体" w:eastAsia="宋体" w:cs="宋体"/>
          <w:bCs/>
          <w:color w:val="auto"/>
          <w:szCs w:val="21"/>
        </w:rPr>
        <w:t xml:space="preserve">分）：</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投标单位针对本项目拟派的信息安全负责人具备有效期内的信息系统管理工程师证书</w:t>
      </w:r>
      <w:r>
        <w:rPr>
          <w:rFonts w:hint="eastAsia" w:ascii="宋体" w:hAnsi="宋体" w:cs="宋体"/>
          <w:bCs/>
          <w:color w:val="auto"/>
          <w:szCs w:val="21"/>
          <w:lang w:eastAsia="zh-CN"/>
        </w:rPr>
        <w:t xml:space="preserve">、</w:t>
      </w:r>
      <w:r>
        <w:rPr>
          <w:rFonts w:hint="eastAsia" w:ascii="宋体" w:hAnsi="宋体" w:eastAsia="宋体" w:cs="宋体"/>
          <w:bCs/>
          <w:color w:val="auto"/>
          <w:szCs w:val="21"/>
        </w:rPr>
        <w:t xml:space="preserve">数据安全评估师认证证书（CCRC-DSA）证书</w:t>
      </w:r>
      <w:r>
        <w:rPr>
          <w:rFonts w:hint="eastAsia" w:ascii="宋体" w:hAnsi="宋体" w:cs="宋体"/>
          <w:bCs/>
          <w:color w:val="auto"/>
          <w:szCs w:val="21"/>
          <w:lang w:eastAsia="zh-CN"/>
        </w:rPr>
        <w:t xml:space="preserve">、</w:t>
      </w:r>
      <w:r>
        <w:rPr>
          <w:rFonts w:hint="eastAsia" w:ascii="宋体" w:hAnsi="宋体" w:eastAsia="宋体" w:cs="宋体"/>
          <w:bCs/>
          <w:color w:val="auto"/>
          <w:szCs w:val="21"/>
        </w:rPr>
        <w:t xml:space="preserve">网络通信安全管理员（高级）证书</w:t>
      </w:r>
      <w:r>
        <w:rPr>
          <w:rFonts w:hint="eastAsia" w:ascii="宋体" w:hAnsi="宋体" w:cs="宋体"/>
          <w:bCs/>
          <w:color w:val="auto"/>
          <w:szCs w:val="21"/>
          <w:lang w:eastAsia="zh-CN"/>
        </w:rPr>
        <w:t xml:space="preserve">、</w:t>
      </w:r>
      <w:r>
        <w:rPr>
          <w:rFonts w:hint="eastAsia" w:ascii="宋体" w:hAnsi="宋体" w:eastAsia="宋体" w:cs="宋体"/>
          <w:bCs/>
          <w:color w:val="auto"/>
          <w:szCs w:val="21"/>
          <w:highlight w:val="yellow"/>
        </w:rPr>
        <w:t xml:space="preserve">IT运维工程师（高级）证书</w:t>
      </w:r>
      <w:r>
        <w:rPr>
          <w:rFonts w:hint="eastAsia" w:ascii="宋体" w:hAnsi="宋体" w:eastAsia="宋体" w:cs="宋体"/>
          <w:bCs/>
          <w:color w:val="auto"/>
          <w:szCs w:val="21"/>
        </w:rPr>
        <w:t xml:space="preserve">的，</w:t>
      </w:r>
      <w:r>
        <w:rPr>
          <w:rFonts w:hint="eastAsia" w:ascii="宋体" w:hAnsi="宋体" w:cs="宋体"/>
          <w:bCs/>
          <w:color w:val="auto"/>
          <w:szCs w:val="21"/>
          <w:highlight w:val="yellow"/>
          <w:lang w:val="en-US" w:eastAsia="zh-CN"/>
        </w:rPr>
        <w:t xml:space="preserve">每少一份证书扣1分，满分3</w:t>
      </w:r>
      <w:r>
        <w:rPr>
          <w:rFonts w:hint="eastAsia" w:ascii="宋体" w:hAnsi="宋体" w:eastAsia="宋体" w:cs="宋体"/>
          <w:bCs/>
          <w:color w:val="auto"/>
          <w:szCs w:val="21"/>
          <w:highlight w:val="yellow"/>
        </w:rPr>
        <w:t xml:space="preserve">分</w:t>
      </w:r>
      <w:r>
        <w:rPr>
          <w:rFonts w:hint="eastAsia" w:ascii="宋体" w:hAnsi="宋体" w:eastAsia="宋体" w:cs="宋体"/>
          <w:bCs/>
          <w:color w:val="auto"/>
          <w:szCs w:val="21"/>
        </w:rPr>
        <w:t xml:space="preserve">。（此项限评一人，与本项目团队其他人员不可重复，投标文件中需同时提供相关证书扫描件、投标单位为其缴纳的最近三个月社保证明并加盖投标单位公章，缺失、不符或不提供者，对应项不得分。）</w:t>
      </w:r>
      <w:r/>
    </w:p>
    <w:p>
      <w:pPr>
        <w:spacing w:line="360" w:lineRule="auto"/>
        <w:rPr>
          <w:rFonts w:hint="eastAsia" w:ascii="宋体" w:hAnsi="宋体" w:eastAsia="宋体" w:cs="宋体"/>
          <w:b/>
          <w:bCs/>
          <w:color w:val="auto"/>
          <w:szCs w:val="21"/>
        </w:rPr>
      </w:pPr>
      <w:r>
        <w:rPr>
          <w:rFonts w:hint="default" w:ascii="宋体" w:hAnsi="宋体" w:cs="宋体"/>
          <w:b/>
          <w:bCs/>
          <w:color w:val="auto"/>
          <w:szCs w:val="21"/>
        </w:rPr>
        <w:t xml:space="preserve">    </w:t>
      </w:r>
      <w:r>
        <w:rPr>
          <w:rFonts w:hint="eastAsia" w:ascii="宋体" w:hAnsi="宋体" w:eastAsia="宋体" w:cs="宋体"/>
          <w:b/>
          <w:bCs/>
          <w:color w:val="auto"/>
          <w:szCs w:val="21"/>
        </w:rPr>
        <w:t xml:space="preserve">（</w:t>
      </w:r>
      <w:r>
        <w:rPr>
          <w:rFonts w:hint="default" w:ascii="宋体" w:hAnsi="宋体" w:cs="宋体"/>
          <w:b/>
          <w:bCs/>
          <w:color w:val="auto"/>
          <w:szCs w:val="21"/>
        </w:rPr>
        <w:t xml:space="preserve">六</w:t>
      </w:r>
      <w:r>
        <w:rPr>
          <w:rFonts w:hint="eastAsia" w:ascii="宋体" w:hAnsi="宋体" w:eastAsia="宋体" w:cs="宋体"/>
          <w:b/>
          <w:bCs/>
          <w:color w:val="auto"/>
          <w:szCs w:val="21"/>
        </w:rPr>
        <w:t xml:space="preserve">）投标单位综合实力比较（</w:t>
      </w:r>
      <w:r>
        <w:rPr>
          <w:rFonts w:hint="eastAsia" w:ascii="宋体" w:hAnsi="宋体" w:cs="宋体"/>
          <w:b/>
          <w:bCs/>
          <w:color w:val="auto"/>
          <w:szCs w:val="21"/>
          <w:lang w:val="en-US" w:eastAsia="zh-CN"/>
        </w:rPr>
        <w:t xml:space="preserve">1</w:t>
      </w:r>
      <w:r>
        <w:rPr>
          <w:rFonts w:hint="eastAsia" w:ascii="宋体" w:hAnsi="宋体" w:eastAsia="宋体" w:cs="宋体"/>
          <w:b/>
          <w:bCs/>
          <w:color w:val="auto"/>
          <w:szCs w:val="21"/>
        </w:rPr>
        <w:t xml:space="preserve">分）</w:t>
      </w:r>
      <w:r/>
    </w:p>
    <w:p>
      <w:pPr>
        <w:ind w:firstLine="48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投标单位具有有效期内ISO42001人工智能管理体系认证证书、音视频集成工程企业能力等级壹级证书，</w:t>
      </w:r>
      <w:r>
        <w:rPr>
          <w:rFonts w:hint="eastAsia" w:ascii="宋体" w:hAnsi="宋体" w:eastAsia="宋体" w:cs="宋体"/>
          <w:color w:val="auto"/>
          <w:szCs w:val="21"/>
          <w:highlight w:val="yellow"/>
        </w:rPr>
        <w:t xml:space="preserve">有一份得</w:t>
      </w:r>
      <w:r>
        <w:rPr>
          <w:rFonts w:hint="eastAsia" w:ascii="宋体" w:hAnsi="宋体" w:cs="宋体"/>
          <w:color w:val="auto"/>
          <w:szCs w:val="21"/>
          <w:highlight w:val="yellow"/>
          <w:lang w:val="en-US" w:eastAsia="zh-CN"/>
        </w:rPr>
        <w:t xml:space="preserve">0.5</w:t>
      </w:r>
      <w:r>
        <w:rPr>
          <w:rFonts w:hint="eastAsia" w:ascii="宋体" w:hAnsi="宋体" w:eastAsia="宋体" w:cs="宋体"/>
          <w:color w:val="auto"/>
          <w:szCs w:val="21"/>
          <w:highlight w:val="yellow"/>
        </w:rPr>
        <w:t xml:space="preserve">分，最高</w:t>
      </w:r>
      <w:r>
        <w:rPr>
          <w:rFonts w:hint="eastAsia" w:ascii="宋体" w:hAnsi="宋体" w:cs="宋体"/>
          <w:color w:val="auto"/>
          <w:szCs w:val="21"/>
          <w:highlight w:val="yellow"/>
          <w:lang w:val="en-US" w:eastAsia="zh-CN"/>
        </w:rPr>
        <w:t xml:space="preserve">1</w:t>
      </w:r>
      <w:r>
        <w:rPr>
          <w:rFonts w:hint="eastAsia" w:ascii="宋体" w:hAnsi="宋体" w:eastAsia="宋体" w:cs="宋体"/>
          <w:color w:val="auto"/>
          <w:szCs w:val="21"/>
          <w:highlight w:val="yellow"/>
        </w:rPr>
        <w:t xml:space="preserve">分</w:t>
      </w:r>
      <w:r>
        <w:rPr>
          <w:rFonts w:hint="eastAsia" w:ascii="宋体" w:hAnsi="宋体" w:eastAsia="宋体" w:cs="宋体"/>
          <w:color w:val="auto"/>
          <w:szCs w:val="21"/>
        </w:rPr>
        <w:t xml:space="preserve">。（响应文件提供认证证书复印件并加盖投标单位公章，未提供、提供材料不符合上述要求或提供不全，该项不得分）</w:t>
      </w:r>
      <w:r/>
    </w:p>
    <w:p>
      <w:pPr>
        <w:pStyle w:val="935"/>
        <w:rPr>
          <w:rFonts w:hint="eastAsia"/>
        </w:rPr>
      </w:pPr>
      <w:r>
        <w:rPr>
          <w:rFonts w:hint="eastAsia"/>
        </w:rPr>
      </w:r>
      <w:r/>
    </w:p>
    <w:p>
      <w:pPr>
        <w:spacing w:line="360" w:lineRule="auto"/>
        <w:rPr>
          <w:rFonts w:hint="eastAsia" w:ascii="宋体" w:hAnsi="宋体" w:eastAsia="宋体" w:cs="宋体"/>
          <w:b/>
          <w:bCs/>
          <w:szCs w:val="21"/>
        </w:rPr>
      </w:pPr>
      <w:r>
        <w:rPr>
          <w:rFonts w:hint="default" w:ascii="宋体" w:hAnsi="宋体" w:cs="宋体"/>
          <w:b/>
          <w:bCs/>
          <w:szCs w:val="21"/>
        </w:rPr>
        <w:t xml:space="preserve">    </w:t>
      </w:r>
      <w:r>
        <w:rPr>
          <w:rFonts w:hint="eastAsia" w:ascii="宋体" w:hAnsi="宋体" w:eastAsia="宋体" w:cs="宋体"/>
          <w:b/>
          <w:bCs/>
          <w:szCs w:val="21"/>
        </w:rPr>
        <w:t xml:space="preserve">（</w:t>
      </w:r>
      <w:r>
        <w:rPr>
          <w:rFonts w:hint="default" w:ascii="宋体" w:hAnsi="宋体" w:cs="宋体"/>
          <w:b/>
          <w:bCs/>
          <w:szCs w:val="21"/>
        </w:rPr>
        <w:t xml:space="preserve">七</w:t>
      </w:r>
      <w:r>
        <w:rPr>
          <w:rFonts w:hint="eastAsia" w:ascii="宋体" w:hAnsi="宋体" w:eastAsia="宋体" w:cs="宋体"/>
          <w:b/>
          <w:bCs/>
          <w:szCs w:val="21"/>
        </w:rPr>
        <w:t xml:space="preserve">）类</w:t>
      </w:r>
      <w:r>
        <w:rPr>
          <w:rFonts w:hint="eastAsia" w:ascii="宋体" w:hAnsi="宋体" w:eastAsia="宋体" w:cs="宋体"/>
          <w:b/>
          <w:bCs/>
          <w:color w:val="auto"/>
          <w:szCs w:val="21"/>
        </w:rPr>
        <w:t xml:space="preserve">似业绩比较（</w:t>
      </w:r>
      <w:r>
        <w:rPr>
          <w:rFonts w:hint="eastAsia" w:ascii="宋体" w:hAnsi="宋体" w:cs="宋体"/>
          <w:b/>
          <w:bCs/>
          <w:color w:val="auto"/>
          <w:szCs w:val="21"/>
          <w:lang w:val="en-US" w:eastAsia="zh-CN"/>
        </w:rPr>
        <w:t xml:space="preserve">2</w:t>
      </w:r>
      <w:r>
        <w:rPr>
          <w:rFonts w:hint="eastAsia" w:ascii="宋体" w:hAnsi="宋体" w:eastAsia="宋体" w:cs="宋体"/>
          <w:b/>
          <w:bCs/>
          <w:color w:val="auto"/>
          <w:szCs w:val="21"/>
        </w:rPr>
        <w:t xml:space="preserve">分）</w:t>
      </w:r>
      <w:r/>
    </w:p>
    <w:p>
      <w:pPr>
        <w:pStyle w:val="935"/>
        <w:ind w:firstLine="420"/>
        <w:spacing w:line="360" w:lineRule="auto"/>
        <w:rPr>
          <w:rFonts w:hint="eastAsia" w:ascii="宋体" w:hAnsi="宋体" w:eastAsia="宋体" w:cs="宋体"/>
          <w:szCs w:val="21"/>
        </w:rPr>
      </w:pPr>
      <w:r>
        <w:rPr>
          <w:rFonts w:hint="eastAsia" w:ascii="宋体" w:hAnsi="宋体" w:eastAsia="宋体" w:cs="宋体"/>
          <w:szCs w:val="21"/>
        </w:rPr>
        <w:t xml:space="preserve">投标单位自2023年10月1日</w:t>
      </w:r>
      <w:r>
        <w:rPr>
          <w:rFonts w:hint="eastAsia" w:ascii="宋体" w:hAnsi="宋体" w:eastAsia="宋体" w:cs="宋体"/>
          <w:szCs w:val="21"/>
          <w:lang w:eastAsia="zh-CN"/>
        </w:rPr>
        <w:t xml:space="preserve">（</w:t>
      </w:r>
      <w:r>
        <w:rPr>
          <w:rFonts w:hint="eastAsia" w:ascii="宋体" w:hAnsi="宋体" w:eastAsia="宋体" w:cs="宋体"/>
          <w:szCs w:val="21"/>
        </w:rPr>
        <w:t xml:space="preserve">具体以合同签订时间为准</w:t>
      </w:r>
      <w:r>
        <w:rPr>
          <w:rFonts w:hint="eastAsia" w:ascii="宋体" w:hAnsi="宋体" w:eastAsia="宋体" w:cs="宋体"/>
          <w:szCs w:val="21"/>
          <w:lang w:eastAsia="zh-CN"/>
        </w:rPr>
        <w:t xml:space="preserve">）</w:t>
      </w:r>
      <w:r>
        <w:rPr>
          <w:rFonts w:hint="eastAsia" w:ascii="宋体" w:hAnsi="宋体" w:eastAsia="宋体" w:cs="宋体"/>
          <w:szCs w:val="21"/>
        </w:rPr>
        <w:t xml:space="preserve">具有相关项目类似业绩的，</w:t>
      </w:r>
      <w:r>
        <w:rPr>
          <w:rFonts w:hint="eastAsia" w:ascii="宋体" w:hAnsi="宋体" w:eastAsia="宋体" w:cs="宋体"/>
          <w:szCs w:val="21"/>
          <w:highlight w:val="yellow"/>
        </w:rPr>
        <w:t xml:space="preserve">每提供一份得</w:t>
      </w:r>
      <w:r>
        <w:rPr>
          <w:rFonts w:hint="eastAsia" w:ascii="宋体" w:hAnsi="宋体" w:eastAsia="宋体" w:cs="宋体"/>
          <w:szCs w:val="21"/>
          <w:highlight w:val="yellow"/>
          <w:lang w:val="en-US" w:eastAsia="zh-CN"/>
        </w:rPr>
        <w:t xml:space="preserve">1</w:t>
      </w:r>
      <w:r>
        <w:rPr>
          <w:rFonts w:hint="eastAsia" w:ascii="宋体" w:hAnsi="宋体" w:eastAsia="宋体" w:cs="宋体"/>
          <w:szCs w:val="21"/>
          <w:highlight w:val="yellow"/>
        </w:rPr>
        <w:t xml:space="preserve">分，最高</w:t>
      </w:r>
      <w:r>
        <w:rPr>
          <w:rFonts w:hint="eastAsia" w:ascii="宋体" w:hAnsi="宋体" w:eastAsia="宋体" w:cs="宋体"/>
          <w:szCs w:val="21"/>
          <w:highlight w:val="yellow"/>
          <w:lang w:val="en-US" w:eastAsia="zh-CN"/>
        </w:rPr>
        <w:t xml:space="preserve">2</w:t>
      </w:r>
      <w:r>
        <w:rPr>
          <w:rFonts w:hint="eastAsia" w:ascii="宋体" w:hAnsi="宋体" w:eastAsia="宋体" w:cs="宋体"/>
          <w:szCs w:val="21"/>
          <w:highlight w:val="yellow"/>
        </w:rPr>
        <w:t xml:space="preserve">分</w:t>
      </w:r>
      <w:r>
        <w:rPr>
          <w:rFonts w:hint="eastAsia" w:ascii="宋体" w:hAnsi="宋体" w:eastAsia="宋体" w:cs="宋体"/>
          <w:szCs w:val="21"/>
          <w:lang w:eastAsia="zh-CN"/>
        </w:rPr>
        <w:t xml:space="preserve">（</w:t>
      </w:r>
      <w:r>
        <w:rPr>
          <w:rFonts w:hint="eastAsia" w:ascii="宋体" w:hAnsi="宋体" w:eastAsia="宋体" w:cs="宋体"/>
          <w:szCs w:val="21"/>
        </w:rPr>
        <w:t xml:space="preserve">投标文件中须提供</w:t>
      </w:r>
      <w:r>
        <w:rPr>
          <w:rFonts w:hint="eastAsia" w:ascii="宋体" w:hAnsi="宋体" w:eastAsia="宋体" w:cs="宋体"/>
          <w:szCs w:val="21"/>
          <w:lang w:val="en-US" w:eastAsia="zh-CN"/>
        </w:rPr>
        <w:t xml:space="preserve">合同和中标通知书</w:t>
      </w:r>
      <w:r>
        <w:rPr>
          <w:rFonts w:hint="eastAsia" w:ascii="宋体" w:hAnsi="宋体" w:eastAsia="宋体" w:cs="宋体"/>
          <w:szCs w:val="21"/>
        </w:rPr>
        <w:t xml:space="preserve">的原件扫描件，否则不得分</w:t>
      </w:r>
      <w:r>
        <w:rPr>
          <w:rFonts w:hint="eastAsia" w:ascii="宋体" w:hAnsi="宋体" w:eastAsia="宋体" w:cs="宋体"/>
          <w:szCs w:val="21"/>
          <w:lang w:eastAsia="zh-CN"/>
        </w:rPr>
        <w:t xml:space="preserve">）</w:t>
      </w:r>
      <w:r>
        <w:rPr>
          <w:rFonts w:hint="eastAsia" w:ascii="宋体" w:hAnsi="宋体" w:eastAsia="宋体" w:cs="宋体"/>
          <w:szCs w:val="21"/>
        </w:rPr>
        <w:t xml:space="preserve">。</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tabs>
          <w:tab w:val="left" w:pos="0" w:leader="none"/>
        </w:tabs>
        <w:rPr>
          <w:rFonts w:hint="eastAsia" w:ascii="宋体" w:hAnsi="宋体" w:eastAsia="宋体" w:cs="宋体"/>
          <w:bCs/>
          <w:szCs w:val="21"/>
        </w:rPr>
      </w:pPr>
      <w:r>
        <w:rPr>
          <w:rFonts w:hint="eastAsia" w:ascii="宋体" w:hAnsi="宋体" w:eastAsia="宋体" w:cs="宋体"/>
          <w:bCs/>
          <w:szCs w:val="21"/>
        </w:rPr>
        <w:t xml:space="preserve">注：</w:t>
      </w:r>
      <w:r/>
    </w:p>
    <w:p>
      <w:pPr>
        <w:ind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1、投标报价超过采购预算或最高限价的将不进入综合评审程序，也不得中标。</w:t>
      </w:r>
      <w:r/>
    </w:p>
    <w:p>
      <w:pPr>
        <w:ind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2、付款步骤、交货期限、质保期如有负偏离的为无效投标。</w:t>
      </w:r>
      <w:r/>
    </w:p>
    <w:p>
      <w:pPr>
        <w:ind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3、针对评分标准中评分的每一条，投标单位均应提供相关资料并作出相应说明供评委评判，不提供相关资料或提供的相关资料不清晰的视为不具备该项得分的条件。</w:t>
      </w:r>
      <w:r/>
    </w:p>
    <w:p>
      <w:pPr>
        <w:ind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4、招标文件中要求加盖投标单位公章的，可用电子签章代替。</w:t>
      </w:r>
      <w:r/>
    </w:p>
    <w:p>
      <w:pPr>
        <w:ind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5、投标单位必须保证全部投标资料的真实性，采购单位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p>
    <w:p>
      <w:pPr>
        <w:pStyle w:val="956"/>
        <w:jc w:val="center"/>
        <w:rPr>
          <w:rFonts w:hint="eastAsia" w:ascii="宋体" w:hAnsi="宋体" w:eastAsia="宋体" w:cs="宋体"/>
          <w:b/>
          <w:sz w:val="32"/>
        </w:rPr>
      </w:pPr>
      <w:r>
        <w:rPr>
          <w:rFonts w:hint="eastAsia" w:ascii="宋体" w:hAnsi="宋体" w:eastAsia="宋体" w:cs="宋体"/>
          <w:b/>
          <w:bCs/>
          <w:spacing w:val="20"/>
          <w:sz w:val="52"/>
          <w:szCs w:val="52"/>
        </w:rPr>
        <w:br w:type="page" w:clear="all"/>
      </w:r>
      <w:r>
        <w:rPr>
          <w:rFonts w:hint="eastAsia" w:ascii="宋体" w:hAnsi="宋体" w:eastAsia="宋体" w:cs="宋体"/>
          <w:b/>
          <w:sz w:val="32"/>
        </w:rPr>
        <w:t xml:space="preserve">第五章 合同主要条款</w:t>
      </w:r>
      <w:bookmarkEnd w:id="7"/>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采购单位（甲方）：</w:t>
      </w:r>
      <w:r>
        <w:rPr>
          <w:rFonts w:hint="eastAsia" w:ascii="宋体" w:hAnsi="宋体" w:eastAsia="宋体" w:cs="宋体"/>
          <w:szCs w:val="21"/>
          <w:u w:val="single"/>
        </w:rPr>
        <w:t xml:space="preserve">苏州市吴江区第四人民医院</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供货单位（乙方）：</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采购单位委托供货单位承担</w:t>
      </w:r>
      <w:r>
        <w:rPr>
          <w:rFonts w:hint="eastAsia" w:ascii="宋体" w:hAnsi="宋体" w:eastAsia="宋体" w:cs="宋体"/>
          <w:bCs/>
          <w:szCs w:val="21"/>
          <w:u w:val="single"/>
        </w:rPr>
        <w:t xml:space="preserve">吴江四院扩建工程-智能化二标段等</w:t>
      </w:r>
      <w:r>
        <w:rPr>
          <w:rFonts w:hint="eastAsia" w:ascii="宋体" w:hAnsi="宋体" w:eastAsia="宋体" w:cs="宋体"/>
          <w:szCs w:val="21"/>
        </w:rPr>
        <w:t xml:space="preserve">工作内容。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根据《中华人民共和国民法典》及国家有关法规规定，结合本项目的具体情况，为明确责任，协作配合，确保项目软件质量，经采购单位、供货单位协商一致，签订本合同，共同遵守。</w:t>
      </w:r>
      <w:r/>
    </w:p>
    <w:p>
      <w:pPr>
        <w:ind w:firstLine="361"/>
        <w:spacing w:line="360" w:lineRule="auto"/>
        <w:rPr>
          <w:rFonts w:hint="eastAsia" w:ascii="宋体" w:hAnsi="宋体" w:eastAsia="宋体" w:cs="宋体"/>
          <w:b/>
          <w:bCs/>
          <w:szCs w:val="21"/>
        </w:rPr>
      </w:pPr>
      <w:r>
        <w:rPr>
          <w:rFonts w:hint="eastAsia" w:ascii="宋体" w:hAnsi="宋体" w:eastAsia="宋体" w:cs="宋体"/>
          <w:b/>
          <w:bCs/>
          <w:szCs w:val="21"/>
        </w:rPr>
        <w:t xml:space="preserve">一、定义：以下术语有特定的含义：</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“货物”本合同所称货物是指乙方应向甲方提供符合甲方需求规格及功能</w:t>
      </w:r>
      <w:r>
        <w:rPr>
          <w:rFonts w:hint="eastAsia" w:ascii="宋体" w:hAnsi="宋体" w:eastAsia="宋体" w:cs="宋体"/>
          <w:szCs w:val="21"/>
          <w:highlight w:val="none"/>
        </w:rPr>
        <w:t xml:space="preserve">的</w:t>
      </w:r>
      <w:r>
        <w:rPr>
          <w:rFonts w:hint="eastAsia" w:ascii="宋体" w:hAnsi="宋体" w:eastAsia="宋体" w:cs="宋体"/>
          <w:szCs w:val="21"/>
          <w:highlight w:val="none"/>
          <w:u w:val="single"/>
        </w:rPr>
        <w:t xml:space="preserve">采购新进</w:t>
      </w:r>
      <w:r>
        <w:rPr>
          <w:rFonts w:hint="eastAsia" w:ascii="宋体" w:hAnsi="宋体" w:eastAsia="宋体" w:cs="宋体"/>
          <w:szCs w:val="21"/>
          <w:highlight w:val="none"/>
          <w:u w:val="single"/>
          <w:lang w:val="en-US" w:eastAsia="zh-CN"/>
        </w:rPr>
        <w:t xml:space="preserve">智能化系统</w:t>
      </w:r>
      <w:r>
        <w:rPr>
          <w:rFonts w:hint="eastAsia" w:ascii="宋体" w:hAnsi="宋体" w:eastAsia="宋体" w:cs="宋体"/>
          <w:szCs w:val="21"/>
          <w:highlight w:val="none"/>
        </w:rPr>
        <w:t xml:space="preserve">及其</w:t>
      </w:r>
      <w:r>
        <w:rPr>
          <w:rFonts w:hint="eastAsia" w:ascii="宋体" w:hAnsi="宋体" w:eastAsia="宋体" w:cs="宋体"/>
          <w:szCs w:val="21"/>
        </w:rPr>
        <w:t xml:space="preserve">全部备品备件，它还应包括由乙方送交给甲方的所有的必需文件和与使用及测试有关的应进行的任何规定的服务。</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服务”系指根据合同规定乙方应承担的与供货有关的辅助义务，比如运输、保险以及其他伴随服务，比如安装、调试以及送货上门提供技术援助、培训、配合措施、维修响应和合同中规定乙方应承担的其它义务。</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“合同价”系指根据合同规定，乙方在正确地履行合同义务后甲方应支付乙方的价款。</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“甲方”系指合同中明确规定的实际购买货物和接受服务单位。</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“乙方”系指合同中规定的提供货物和提供服务的单位。</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firstLine="361"/>
        <w:spacing w:line="360" w:lineRule="auto"/>
        <w:rPr>
          <w:rFonts w:hint="eastAsia" w:ascii="宋体" w:hAnsi="宋体" w:eastAsia="宋体" w:cs="宋体"/>
          <w:b/>
          <w:bCs/>
          <w:szCs w:val="21"/>
        </w:rPr>
      </w:pPr>
      <w:r>
        <w:rPr>
          <w:rFonts w:hint="eastAsia" w:ascii="宋体" w:hAnsi="宋体" w:eastAsia="宋体" w:cs="宋体"/>
          <w:b/>
          <w:bCs/>
          <w:szCs w:val="21"/>
        </w:rPr>
        <w:t xml:space="preserve">二、货物或服务名称、数量及价格：</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上述费用包括但不限于设备及配件、附件的价格为到厂价，包含货物到达甲方指定地点的一切乙方履行本合同项下所有义务的一切费用，包括但不限于设备原价、运输费、装卸费、包装费、设备供销部门手续费、安装费、调试费、采购与保管费、税金等，甲方不再另行支付。结算时供货数量根据甲方需求按实结算，单价固定不变。</w:t>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三、合同价：大写：人民币（小写：</w:t>
      </w:r>
      <w:r>
        <w:rPr>
          <w:rFonts w:hint="eastAsia" w:ascii="宋体" w:hAnsi="宋体" w:eastAsia="宋体" w:cs="宋体"/>
          <w:b/>
          <w:bCs/>
          <w:szCs w:val="21"/>
          <w:u w:val="single"/>
        </w:rPr>
        <w:t xml:space="preserve">￥          </w:t>
      </w:r>
      <w:r>
        <w:rPr>
          <w:rFonts w:hint="eastAsia" w:ascii="宋体" w:hAnsi="宋体" w:eastAsia="宋体" w:cs="宋体"/>
          <w:b/>
          <w:bCs/>
          <w:szCs w:val="21"/>
        </w:rPr>
        <w:t xml:space="preserve">）；</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四、合同范围：</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（一）</w:t>
      </w:r>
      <w:r>
        <w:rPr>
          <w:rFonts w:hint="eastAsia" w:ascii="宋体" w:hAnsi="宋体" w:eastAsia="宋体" w:cs="宋体"/>
          <w:szCs w:val="21"/>
        </w:rPr>
        <w:t xml:space="preserve">负责运输（包括上、下力、运输）及含运输保险。</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（二）</w:t>
      </w:r>
      <w:r>
        <w:rPr>
          <w:rFonts w:hint="eastAsia" w:ascii="宋体" w:hAnsi="宋体" w:eastAsia="宋体" w:cs="宋体"/>
          <w:szCs w:val="21"/>
        </w:rPr>
        <w:t xml:space="preserve">包括货物及配件、附件的价格等。</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（三）</w:t>
      </w:r>
      <w:r>
        <w:rPr>
          <w:rFonts w:hint="eastAsia" w:ascii="宋体" w:hAnsi="宋体" w:eastAsia="宋体" w:cs="宋体"/>
          <w:szCs w:val="21"/>
        </w:rPr>
        <w:t xml:space="preserve">包括中国政府根据现行税法征收的与本合同有关的一切税费。 </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五、供货内容：</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（一）</w:t>
      </w:r>
      <w:r>
        <w:rPr>
          <w:rFonts w:hint="eastAsia" w:ascii="宋体" w:hAnsi="宋体" w:eastAsia="宋体" w:cs="宋体"/>
          <w:szCs w:val="21"/>
        </w:rPr>
        <w:t xml:space="preserve">符合本合同规定的货物或服务。</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（二）</w:t>
      </w:r>
      <w:r>
        <w:rPr>
          <w:rFonts w:hint="eastAsia" w:ascii="宋体" w:hAnsi="宋体" w:eastAsia="宋体" w:cs="宋体"/>
          <w:szCs w:val="21"/>
        </w:rPr>
        <w:t xml:space="preserve">须提供的一般文件：装箱单。</w:t>
      </w:r>
      <w:r/>
    </w:p>
    <w:p>
      <w:pPr>
        <w:ind w:firstLine="422"/>
        <w:spacing w:line="360" w:lineRule="auto"/>
        <w:rPr>
          <w:rFonts w:hint="eastAsia" w:ascii="宋体" w:hAnsi="宋体" w:eastAsia="宋体" w:cs="宋体"/>
          <w:szCs w:val="21"/>
          <w:u w:val="single"/>
        </w:rPr>
      </w:pPr>
      <w:r>
        <w:rPr>
          <w:rFonts w:hint="eastAsia" w:ascii="宋体" w:hAnsi="宋体" w:eastAsia="宋体" w:cs="宋体"/>
          <w:b/>
          <w:bCs/>
          <w:szCs w:val="21"/>
        </w:rPr>
        <w:t xml:space="preserve">六、供货地点：</w:t>
      </w:r>
      <w:r>
        <w:rPr>
          <w:rFonts w:hint="eastAsia" w:ascii="宋体" w:hAnsi="宋体" w:eastAsia="宋体" w:cs="宋体"/>
          <w:szCs w:val="21"/>
          <w:u w:val="single"/>
        </w:rPr>
        <w:t xml:space="preserve">乙方交货至甲方指定地点，所发生的运输等费用及货物的损坏造成的损失由乙方承担。</w:t>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七、产品质量</w:t>
      </w:r>
      <w:r/>
    </w:p>
    <w:p>
      <w:pPr>
        <w:ind w:firstLine="422"/>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eastAsia="宋体" w:cs="宋体"/>
          <w:highlight w:val="none"/>
        </w:rPr>
        <w:t xml:space="preserve">一</w:t>
      </w:r>
      <w:r>
        <w:rPr>
          <w:rFonts w:hint="eastAsia" w:ascii="宋体" w:hAnsi="宋体" w:cs="宋体"/>
          <w:highlight w:val="none"/>
          <w:lang w:eastAsia="zh-CN"/>
        </w:rPr>
        <w:t xml:space="preserve">）</w:t>
      </w:r>
      <w:r>
        <w:rPr>
          <w:rFonts w:hint="eastAsia" w:ascii="宋体" w:hAnsi="宋体" w:eastAsia="宋体" w:cs="宋体"/>
          <w:highlight w:val="none"/>
        </w:rPr>
        <w:t xml:space="preserve">乙方提供的产品必须符合我国最新颁布的与之相关的技术规范与标准，同时须满足招标总文件中所列全部规格、技术条件及功能要求和其承诺的其它指标，</w:t>
      </w:r>
      <w:r/>
    </w:p>
    <w:p>
      <w:pPr>
        <w:ind w:firstLine="422"/>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eastAsia="宋体" w:cs="宋体"/>
          <w:highlight w:val="none"/>
        </w:rPr>
        <w:t xml:space="preserve">二</w:t>
      </w:r>
      <w:r>
        <w:rPr>
          <w:rFonts w:hint="eastAsia" w:ascii="宋体" w:hAnsi="宋体" w:cs="宋体"/>
          <w:highlight w:val="none"/>
          <w:lang w:eastAsia="zh-CN"/>
        </w:rPr>
        <w:t xml:space="preserve">）</w:t>
      </w:r>
      <w:r>
        <w:rPr>
          <w:rFonts w:hint="eastAsia" w:ascii="宋体" w:hAnsi="宋体" w:eastAsia="宋体" w:cs="宋体"/>
          <w:highlight w:val="none"/>
        </w:rPr>
        <w:t xml:space="preserve">验收包括</w:t>
      </w:r>
      <w:r>
        <w:rPr>
          <w:rFonts w:hint="eastAsia" w:ascii="宋体" w:hAnsi="宋体" w:cs="宋体"/>
          <w:highlight w:val="none"/>
          <w:lang w:eastAsia="zh-CN"/>
        </w:rPr>
        <w:t xml:space="preserve">：</w:t>
      </w:r>
      <w:r>
        <w:rPr>
          <w:rFonts w:hint="eastAsia" w:ascii="宋体" w:hAnsi="宋体" w:eastAsia="宋体" w:cs="宋体"/>
          <w:highlight w:val="none"/>
        </w:rPr>
        <w:t xml:space="preserve">数量、外观、质量、性能、随机备品备件、产品合格证、装箱单、随机资料及包装，所有产品和附配件应符合其规定的性能，无瑕疵和缺陷，质量为合格品，同时有明确的制造厂商。交货时乙方需提供加盖制造厂商公章的检测报告或产品说明书等证明材料。如产品出现质量问题或产品配置参数不符合采购清单、投标承诺等原因，乙方负责包退、包换，因此发生的费用由乙方负责。</w:t>
      </w:r>
      <w:r/>
    </w:p>
    <w:p>
      <w:pPr>
        <w:ind w:firstLine="422"/>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eastAsia="宋体" w:cs="宋体"/>
          <w:highlight w:val="none"/>
        </w:rPr>
        <w:t xml:space="preserve">三</w:t>
      </w:r>
      <w:r>
        <w:rPr>
          <w:rFonts w:hint="eastAsia" w:ascii="宋体" w:hAnsi="宋体" w:cs="宋体"/>
          <w:highlight w:val="none"/>
          <w:lang w:eastAsia="zh-CN"/>
        </w:rPr>
        <w:t xml:space="preserve">）</w:t>
      </w:r>
      <w:r>
        <w:rPr>
          <w:rFonts w:hint="eastAsia" w:ascii="宋体" w:hAnsi="宋体" w:eastAsia="宋体" w:cs="宋体"/>
          <w:highlight w:val="none"/>
        </w:rPr>
        <w:t xml:space="preserve">乙方提供货物必须是全新的、未使用过的、原包装未拆封的商品，完全符合采购产品规定的质量、规格和性能的要求，产品配置必须原厂出厂时全部自带，所有产品外包装箱不得自行拆封，包装箱上所有标签等不得涂改或撕毁，除有特殊要求外，其余均为标准配置，否则甲方有权拒绝验收。</w:t>
      </w:r>
      <w:r/>
    </w:p>
    <w:p>
      <w:pPr>
        <w:ind w:firstLine="422"/>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eastAsia="宋体" w:cs="宋体"/>
          <w:highlight w:val="none"/>
        </w:rPr>
        <w:t xml:space="preserve">四</w:t>
      </w:r>
      <w:r>
        <w:rPr>
          <w:rFonts w:hint="eastAsia" w:ascii="宋体" w:hAnsi="宋体" w:cs="宋体"/>
          <w:highlight w:val="none"/>
          <w:lang w:eastAsia="zh-CN"/>
        </w:rPr>
        <w:t xml:space="preserve">）</w:t>
      </w:r>
      <w:r>
        <w:rPr>
          <w:rFonts w:hint="eastAsia" w:ascii="宋体" w:hAnsi="宋体" w:eastAsia="宋体" w:cs="宋体"/>
          <w:highlight w:val="none"/>
        </w:rPr>
        <w:t xml:space="preserve">乙方应保证所提供货物涉及到的知识产权是合法取得，并享有完整的知识产权，不会因为甲方的使用而被责令停止使用、追偿或要求赔偿损失，如出现此情况，一切经济和法律责任均由乙方承担。乙方应按招标文件的有关规定提供合格货物及服务，质量符合国际或国家通用标准。</w:t>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八、付款方式：</w:t>
      </w:r>
      <w:r/>
    </w:p>
    <w:p>
      <w:pPr>
        <w:ind w:firstLine="420"/>
        <w:spacing w:line="360" w:lineRule="auto"/>
        <w:rPr>
          <w:rFonts w:hint="default" w:ascii="宋体" w:hAnsi="宋体" w:eastAsia="宋体" w:cs="宋体"/>
          <w:color w:val="ff0000"/>
          <w:szCs w:val="21"/>
          <w:highlight w:val="yellow"/>
          <w:lang w:val="en-US" w:eastAsia="zh-CN"/>
        </w:rPr>
      </w:pPr>
      <w:r>
        <w:rPr>
          <w:rFonts w:hint="eastAsia" w:ascii="宋体" w:hAnsi="宋体" w:eastAsia="宋体" w:cs="宋体"/>
          <w:color w:val="ff0000"/>
          <w:szCs w:val="21"/>
          <w:highlight w:val="yellow"/>
        </w:rPr>
        <w:t xml:space="preserve">合同签订备案后甲方支付合同价款的30%的货款</w:t>
      </w:r>
      <w:r>
        <w:rPr>
          <w:rFonts w:hint="eastAsia" w:ascii="宋体" w:hAnsi="宋体" w:cs="宋体"/>
          <w:color w:val="ff0000"/>
          <w:szCs w:val="21"/>
          <w:highlight w:val="yellow"/>
          <w:lang w:eastAsia="zh-CN"/>
        </w:rPr>
        <w:t xml:space="preserve">（</w:t>
      </w:r>
      <w:r>
        <w:rPr>
          <w:rFonts w:hint="eastAsia" w:ascii="宋体" w:hAnsi="宋体" w:cs="宋体"/>
          <w:color w:val="ff0000"/>
          <w:szCs w:val="21"/>
          <w:highlight w:val="yellow"/>
          <w:lang w:val="en-US" w:eastAsia="zh-CN"/>
        </w:rPr>
        <w:t xml:space="preserve">付款前由乙方提供同等金额的预付款保函</w:t>
      </w:r>
      <w:r>
        <w:rPr>
          <w:rFonts w:hint="eastAsia" w:ascii="宋体" w:hAnsi="宋体" w:cs="宋体"/>
          <w:color w:val="ff0000"/>
          <w:szCs w:val="21"/>
          <w:highlight w:val="yellow"/>
          <w:lang w:eastAsia="zh-CN"/>
        </w:rPr>
        <w:t xml:space="preserve">）</w:t>
      </w:r>
      <w:r>
        <w:rPr>
          <w:rFonts w:hint="eastAsia" w:ascii="宋体" w:hAnsi="宋体" w:eastAsia="宋体" w:cs="宋体"/>
          <w:color w:val="ff0000"/>
          <w:szCs w:val="21"/>
          <w:highlight w:val="yellow"/>
        </w:rPr>
        <w:t xml:space="preserve">；全部货物到达现场，经代建、监理、招标代理和采购人验收合格后甲方付至合同价款的50%；安装完毕验收合格后付至合同价款的80%；经审计后付至结算审定价的90%；余款10%待质保期满</w:t>
      </w:r>
      <w:r>
        <w:rPr>
          <w:rFonts w:hint="eastAsia" w:ascii="宋体" w:hAnsi="宋体" w:cs="宋体"/>
          <w:color w:val="ff0000"/>
          <w:szCs w:val="21"/>
          <w:highlight w:val="yellow"/>
          <w:lang w:val="en-US" w:eastAsia="zh-CN"/>
        </w:rPr>
        <w:t xml:space="preserve">乙方完全完成质保义务</w:t>
      </w:r>
      <w:r>
        <w:rPr>
          <w:rFonts w:hint="eastAsia" w:ascii="宋体" w:hAnsi="宋体" w:eastAsia="宋体" w:cs="宋体"/>
          <w:color w:val="ff0000"/>
          <w:szCs w:val="21"/>
          <w:highlight w:val="yellow"/>
        </w:rPr>
        <w:t xml:space="preserve">后付清</w:t>
      </w:r>
      <w:r>
        <w:rPr>
          <w:rFonts w:hint="eastAsia" w:ascii="宋体" w:hAnsi="宋体" w:cs="宋体"/>
          <w:color w:val="ff0000"/>
          <w:szCs w:val="21"/>
          <w:highlight w:val="yellow"/>
          <w:lang w:eastAsia="zh-CN"/>
        </w:rPr>
        <w:t xml:space="preserve">（</w:t>
      </w:r>
      <w:r>
        <w:rPr>
          <w:rFonts w:hint="eastAsia" w:ascii="宋体" w:hAnsi="宋体" w:cs="宋体"/>
          <w:color w:val="ff0000"/>
          <w:szCs w:val="21"/>
          <w:highlight w:val="yellow"/>
          <w:lang w:val="en-US" w:eastAsia="zh-CN"/>
        </w:rPr>
        <w:t xml:space="preserve">审计结束在质保期满后的，审计结束付余款10%</w:t>
      </w:r>
      <w:r>
        <w:rPr>
          <w:rFonts w:hint="eastAsia" w:ascii="宋体" w:hAnsi="宋体" w:cs="宋体"/>
          <w:color w:val="ff0000"/>
          <w:szCs w:val="21"/>
          <w:highlight w:val="yellow"/>
          <w:lang w:eastAsia="zh-CN"/>
        </w:rPr>
        <w:t xml:space="preserve">）；</w:t>
      </w:r>
      <w:r>
        <w:rPr>
          <w:rFonts w:hint="eastAsia" w:ascii="宋体" w:hAnsi="宋体" w:cs="宋体"/>
          <w:color w:val="ff0000"/>
          <w:szCs w:val="21"/>
          <w:highlight w:val="yellow"/>
          <w:lang w:val="en-US" w:eastAsia="zh-CN"/>
        </w:rPr>
        <w:t xml:space="preserve">甲方每次付款前，乙方均需开具相应合格发票，否则甲方有权拒绝付款。</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九、储放和保护</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（一）</w:t>
      </w:r>
      <w:r>
        <w:rPr>
          <w:rFonts w:hint="eastAsia" w:ascii="宋体" w:hAnsi="宋体" w:eastAsia="宋体" w:cs="宋体"/>
          <w:szCs w:val="21"/>
        </w:rPr>
        <w:t xml:space="preserve">货物由乙方运至甲方指定地点，验收交货前存放及保管概由乙方负责。</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（二）</w:t>
      </w:r>
      <w:r>
        <w:rPr>
          <w:rFonts w:hint="eastAsia" w:ascii="宋体" w:hAnsi="宋体" w:eastAsia="宋体" w:cs="宋体"/>
          <w:szCs w:val="21"/>
        </w:rPr>
        <w:t xml:space="preserve">相关毁损、灭失的风险在货物完成安装并验收通过交付给甲方前由乙方承担。</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十、交货期限：</w:t>
      </w:r>
      <w:r/>
    </w:p>
    <w:p>
      <w:pPr>
        <w:ind w:firstLine="420"/>
        <w:spacing w:line="360" w:lineRule="auto"/>
        <w:rPr>
          <w:rFonts w:hint="default" w:ascii="宋体" w:hAnsi="宋体" w:eastAsia="宋体" w:cs="宋体"/>
          <w:szCs w:val="21"/>
          <w:lang w:val="en-US" w:eastAsia="zh-CN"/>
        </w:rPr>
      </w:pPr>
      <w:r>
        <w:rPr>
          <w:rFonts w:hint="eastAsia" w:ascii="宋体" w:hAnsi="宋体" w:eastAsia="宋体" w:cs="宋体"/>
          <w:bCs/>
          <w:color w:val="ff0000"/>
          <w:szCs w:val="21"/>
          <w:highlight w:val="yellow"/>
        </w:rPr>
        <w:t xml:space="preserve">以上清单所有货物于2026年12月</w:t>
      </w:r>
      <w:r>
        <w:rPr>
          <w:rFonts w:hint="eastAsia" w:ascii="宋体" w:hAnsi="宋体" w:cs="宋体"/>
          <w:bCs/>
          <w:color w:val="ff0000"/>
          <w:szCs w:val="21"/>
          <w:highlight w:val="yellow"/>
          <w:lang w:val="en-US" w:eastAsia="zh-CN"/>
        </w:rPr>
        <w:t xml:space="preserve">20</w:t>
      </w:r>
      <w:r>
        <w:rPr>
          <w:rFonts w:hint="eastAsia" w:ascii="宋体" w:hAnsi="宋体" w:eastAsia="宋体" w:cs="宋体"/>
          <w:bCs/>
          <w:color w:val="ff0000"/>
          <w:szCs w:val="21"/>
          <w:highlight w:val="yellow"/>
        </w:rPr>
        <w:t xml:space="preserve">号前完成安装交付建设方。</w:t>
      </w:r>
      <w:r>
        <w:rPr>
          <w:rFonts w:hint="eastAsia" w:ascii="宋体" w:hAnsi="宋体" w:eastAsia="宋体" w:cs="宋体"/>
          <w:bCs/>
          <w:szCs w:val="21"/>
        </w:rPr>
        <w:t xml:space="preserve">每逾期一天，按合同价格的万分之四罚款。</w:t>
      </w:r>
      <w:r>
        <w:rPr>
          <w:rFonts w:hint="eastAsia" w:ascii="宋体" w:hAnsi="宋体" w:eastAsia="宋体" w:cs="宋体"/>
          <w:szCs w:val="21"/>
        </w:rPr>
        <w:t xml:space="preserve">乙方应安全施工，不得在其安装区域内随便搭建施工建筑。在改造施工完成前，乙方应从施工现场清除乙方的全部工程设备、多余材料、垃圾，并保持施工现场清洁整齐。</w:t>
      </w:r>
      <w:r>
        <w:rPr>
          <w:rFonts w:hint="eastAsia" w:ascii="宋体" w:hAnsi="宋体" w:cs="宋体"/>
          <w:szCs w:val="21"/>
          <w:lang w:val="en-US" w:eastAsia="zh-CN"/>
        </w:rPr>
        <w:t xml:space="preserve">乙方在履行合同过程中如给甲方或第三方造成损失，乙方应承担全部责任。</w:t>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十一、技术条款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乙方所供货物须符合设计图纸和国家标准及规范要求，乙方列明的设备及元器件品牌、生产地、制造厂商、质量保证等必须符合相关的国家标准和规范。</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十二、质量保证</w:t>
      </w:r>
      <w:r/>
    </w:p>
    <w:p>
      <w:pPr>
        <w:pStyle w:val="916"/>
        <w:ind w:firstLine="420"/>
        <w:rPr>
          <w:rFonts w:hint="eastAsia" w:ascii="宋体" w:hAnsi="宋体" w:eastAsia="宋体" w:cs="宋体"/>
        </w:rPr>
      </w:pPr>
      <w:r>
        <w:rPr>
          <w:rFonts w:hint="eastAsia" w:ascii="宋体" w:hAnsi="宋体" w:eastAsia="宋体" w:cs="宋体"/>
          <w:sz w:val="21"/>
          <w:szCs w:val="21"/>
        </w:rPr>
        <w:t xml:space="preserve">本合同质保期为3年。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同时甲方将对成品及原辅材料作全面抽查进行检测，对于检测不合格的，该批次货物无条件退场。为确保供货期内合格产品供货，如不能提供按合同条款规定的产品，将进行处罚。同时甲方有权取消乙方的中标资格且终止采购合同。</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十三、验收标准、方法及提出异议期限：</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产品验收为到货开箱验收。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甲方在到货时有权进行清点和初步验收，但甲方的清点和初步验收并不免除乙方的任何责任或代表甲方对产品数量和质量的任何确认，最终以安装完成后的最终验收为准。如果甲方在验收中，发现货物短缺、质次、损坏、产地和规格不符及单据缺少等问题，甲方有权拒付后续货款，并向乙方提出，乙方应立即无条件为甲方调换或补齐，超过合同规定交货期限调换或补交的，即作为乙方逾期交货处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即使甲方已验收收取货物，如甲方在产品保修期内有证据证明发现质量或规格不符合合同约定或为假冒伪劣产品或有其他缺陷，仍有权向乙方提出索赔，根据具体情况要求乙方全部或部分退换货物、降价补偿、修理及要求乙方承担违约责任。乙方在接到甲方书面异议后，应在10天内负责处理，否则，即视为默认甲方提出的异议和处理意见。</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十四、本合同应为完整货物及功能的提供</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对于甲方所要求的及乙方所承诺提供的功能，乙方应无条件提供，由于设计及其他原因所造成的额外费用由乙方自行承担。</w:t>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十五、售后服务</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（一）</w:t>
      </w:r>
      <w:r>
        <w:rPr>
          <w:rFonts w:hint="eastAsia" w:ascii="宋体" w:hAnsi="宋体" w:eastAsia="宋体" w:cs="宋体"/>
          <w:szCs w:val="21"/>
        </w:rPr>
        <w:t xml:space="preserve">接到甲方问题通知后，乙方以优良的服务态度</w:t>
      </w:r>
      <w:r>
        <w:rPr>
          <w:rFonts w:hint="eastAsia" w:ascii="宋体" w:hAnsi="宋体" w:eastAsia="宋体" w:cs="宋体"/>
          <w:szCs w:val="21"/>
          <w:u w:val="single"/>
        </w:rPr>
        <w:t xml:space="preserve">2</w:t>
      </w:r>
      <w:r>
        <w:rPr>
          <w:rFonts w:hint="eastAsia" w:ascii="宋体" w:hAnsi="宋体" w:eastAsia="宋体" w:cs="宋体"/>
          <w:szCs w:val="21"/>
        </w:rPr>
        <w:t xml:space="preserve">小时内响应，</w:t>
      </w:r>
      <w:r>
        <w:rPr>
          <w:rFonts w:hint="eastAsia" w:ascii="宋体" w:hAnsi="宋体" w:eastAsia="宋体" w:cs="宋体"/>
          <w:szCs w:val="21"/>
          <w:u w:val="single"/>
        </w:rPr>
        <w:t xml:space="preserve">24</w:t>
      </w:r>
      <w:r>
        <w:rPr>
          <w:rFonts w:hint="eastAsia" w:ascii="宋体" w:hAnsi="宋体" w:eastAsia="宋体" w:cs="宋体"/>
          <w:szCs w:val="21"/>
        </w:rPr>
        <w:t xml:space="preserve">小时内到达现场解决问题。乙方未在约定的期限内及时解决问题的，甲方有权另行委托第三方进行维修，由此产生的费用由乙方承担。</w:t>
      </w:r>
      <w:r/>
    </w:p>
    <w:p>
      <w:pPr>
        <w:spacing w:line="360" w:lineRule="auto"/>
        <w:rPr>
          <w:rFonts w:hint="eastAsia" w:ascii="宋体" w:hAnsi="宋体" w:eastAsia="宋体" w:cs="宋体"/>
          <w:szCs w:val="21"/>
        </w:rPr>
      </w:pPr>
      <w:r>
        <w:rPr>
          <w:rFonts w:hint="eastAsia" w:ascii="宋体" w:hAnsi="宋体" w:eastAsia="宋体" w:cs="宋体"/>
        </w:rPr>
        <w:t xml:space="preserve">（二）其他</w:t>
      </w:r>
      <w:r>
        <w:rPr>
          <w:rFonts w:hint="eastAsia" w:ascii="宋体" w:hAnsi="宋体" w:eastAsia="宋体" w:cs="宋体"/>
          <w:szCs w:val="21"/>
        </w:rPr>
        <w:t xml:space="preserve">按照乙方承诺的服务执行。</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十六、不可抗力事故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由于不可抗力的原因造成延期或不能交货，乙方将不承担责任，但乙方应立即通知甲方，在不可抗力事故发生后15天内乙方将由当地有关部门出具的事故证明书以书面形式通知甲方。在上述情况下，乙方仍应采取必要措施尽快交货。不可抗力事故发生持续15天以上，甲方有权取消此合同，并保留要求乙方赔偿的权利。</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十七、违约责任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（一）</w:t>
      </w:r>
      <w:r>
        <w:rPr>
          <w:rFonts w:hint="eastAsia" w:ascii="宋体" w:hAnsi="宋体" w:eastAsia="宋体" w:cs="宋体"/>
          <w:szCs w:val="21"/>
        </w:rPr>
        <w:t xml:space="preserve">除不可抗力因素外，乙方不能按期交货，或因运输及安装中货物缺损需要更换而影响实际交付使用时，乙方必须向甲方支付延期交货或延期交付使用的违约金，具体标准按合同总价每日千分之一计算，该金额不足以赔偿甲方所受损失的，乙方还应负责补足。</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（二）</w:t>
      </w:r>
      <w:r>
        <w:rPr>
          <w:rFonts w:hint="eastAsia" w:ascii="宋体" w:hAnsi="宋体" w:eastAsia="宋体" w:cs="宋体"/>
          <w:szCs w:val="21"/>
        </w:rPr>
        <w:t xml:space="preserve">延期完成供货、安装或其他原因导致不能交付使用时间超过15天或交货不合格从而影响甲方按期正常使用的视为乙方严重违约，甲方有权立即终止合同，并要求乙方支付合同总价20%的违约金。</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（三）</w:t>
      </w:r>
      <w:r>
        <w:rPr>
          <w:rFonts w:hint="eastAsia" w:ascii="宋体" w:hAnsi="宋体" w:eastAsia="宋体" w:cs="宋体"/>
          <w:szCs w:val="21"/>
        </w:rPr>
        <w:t xml:space="preserve">乙方因违反合同及其他应尽义务的，甲方有权根据乙方违约程度要求乙方支付相当于合同总价款 </w:t>
      </w:r>
      <w:r>
        <w:rPr>
          <w:rFonts w:hint="eastAsia" w:ascii="宋体" w:hAnsi="宋体" w:eastAsia="宋体" w:cs="宋体"/>
          <w:szCs w:val="21"/>
          <w:u w:val="single"/>
        </w:rPr>
        <w:t xml:space="preserve"> 5 %</w:t>
      </w:r>
      <w:r>
        <w:rPr>
          <w:rFonts w:hint="eastAsia" w:ascii="宋体" w:hAnsi="宋体" w:eastAsia="宋体" w:cs="宋体"/>
          <w:szCs w:val="21"/>
        </w:rPr>
        <w:t xml:space="preserve">的违约金。如违约金不足弥补甲方损失的，由乙方另行支付，由此引起的后果，甲方保留进一步追索的权利。</w:t>
      </w:r>
      <w:r/>
    </w:p>
    <w:p>
      <w:pPr>
        <w:ind w:firstLine="420"/>
        <w:spacing w:line="360" w:lineRule="auto"/>
        <w:rPr>
          <w:rFonts w:hint="eastAsia" w:ascii="宋体" w:hAnsi="宋体" w:eastAsia="宋体" w:cs="宋体"/>
          <w:szCs w:val="21"/>
        </w:rPr>
      </w:pPr>
      <w:r>
        <w:rPr>
          <w:rFonts w:hint="eastAsia" w:ascii="宋体" w:hAnsi="宋体" w:eastAsia="宋体" w:cs="宋体"/>
        </w:rPr>
        <w:t xml:space="preserve">（四）</w:t>
      </w:r>
      <w:r>
        <w:rPr>
          <w:rFonts w:hint="eastAsia" w:ascii="宋体" w:hAnsi="宋体" w:eastAsia="宋体" w:cs="宋体"/>
          <w:szCs w:val="21"/>
        </w:rPr>
        <w:t xml:space="preserve">乙方全部履行合同，甲方在收到乙方的付款通知并审定无误后30个工作日内按期付款。</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（五）</w:t>
      </w:r>
      <w:r>
        <w:rPr>
          <w:rFonts w:hint="eastAsia" w:ascii="宋体" w:hAnsi="宋体" w:eastAsia="宋体" w:cs="宋体"/>
          <w:szCs w:val="21"/>
        </w:rPr>
        <w:t xml:space="preserve">乙方提前交货的，甲方接货后，按合同规定的付款方式付款</w:t>
      </w:r>
      <w:r/>
    </w:p>
    <w:p>
      <w:pPr>
        <w:ind w:firstLine="420"/>
        <w:spacing w:line="360" w:lineRule="auto"/>
        <w:rPr>
          <w:rFonts w:hint="eastAsia" w:ascii="宋体" w:hAnsi="宋体" w:eastAsia="宋体" w:cs="宋体"/>
          <w:szCs w:val="21"/>
        </w:rPr>
      </w:pPr>
      <w:r>
        <w:rPr>
          <w:rFonts w:hint="eastAsia" w:ascii="宋体" w:hAnsi="宋体" w:eastAsia="宋体" w:cs="宋体"/>
        </w:rPr>
        <w:t xml:space="preserve">（六）</w:t>
      </w:r>
      <w:r>
        <w:rPr>
          <w:rFonts w:hint="eastAsia" w:ascii="宋体" w:hAnsi="宋体" w:eastAsia="宋体" w:cs="宋体"/>
          <w:szCs w:val="21"/>
        </w:rPr>
        <w:t xml:space="preserve">乙方供货前未尽通知义务的，甲方有权拒收或者代为保管。在代保管期内实际支付的保管、保养等费用以及非因甲方保管不善而发生的损失，由乙方承担；这些产品毁损、灭失的风险也由乙方承担。</w:t>
      </w:r>
      <w:r/>
    </w:p>
    <w:p>
      <w:pPr>
        <w:ind w:firstLine="420"/>
        <w:spacing w:line="360" w:lineRule="auto"/>
        <w:rPr>
          <w:rFonts w:hint="eastAsia" w:ascii="宋体" w:hAnsi="宋体" w:eastAsia="宋体" w:cs="宋体"/>
        </w:rPr>
      </w:pPr>
      <w:r>
        <w:rPr>
          <w:rFonts w:hint="eastAsia" w:ascii="宋体" w:hAnsi="宋体" w:eastAsia="宋体" w:cs="宋体"/>
        </w:rPr>
        <w:t xml:space="preserve">（七）</w:t>
      </w:r>
      <w:r>
        <w:rPr>
          <w:rFonts w:hint="eastAsia" w:ascii="宋体" w:hAnsi="宋体" w:eastAsia="宋体" w:cs="宋体"/>
          <w:szCs w:val="21"/>
        </w:rPr>
        <w:t xml:space="preserve">未经甲方书面同意，乙方不得转让其在本合同下的全部或部分权利或义务。否则甲方有权解除合同，并要求乙方支付合同总价20%的违约金。</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十八、索赔：</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（一）</w:t>
      </w:r>
      <w:r>
        <w:rPr>
          <w:rFonts w:hint="eastAsia" w:ascii="宋体" w:hAnsi="宋体" w:eastAsia="宋体" w:cs="宋体"/>
          <w:szCs w:val="21"/>
        </w:rPr>
        <w:t xml:space="preserve">甲方有权根据甲方所在地产品质量检验机构或其它有权部门出具的检验证书向乙方提出索赔。</w:t>
      </w:r>
      <w:r/>
    </w:p>
    <w:p>
      <w:pPr>
        <w:ind w:firstLine="420"/>
        <w:spacing w:line="360" w:lineRule="auto"/>
        <w:rPr>
          <w:rFonts w:hint="eastAsia" w:ascii="宋体" w:hAnsi="宋体" w:eastAsia="宋体" w:cs="宋体"/>
          <w:szCs w:val="21"/>
        </w:rPr>
      </w:pPr>
      <w:r>
        <w:rPr>
          <w:rFonts w:hint="eastAsia" w:ascii="宋体" w:hAnsi="宋体" w:eastAsia="宋体" w:cs="宋体"/>
        </w:rPr>
        <w:t xml:space="preserve">（二）</w:t>
      </w:r>
      <w:r>
        <w:rPr>
          <w:rFonts w:hint="eastAsia" w:ascii="宋体" w:hAnsi="宋体" w:eastAsia="宋体" w:cs="宋体"/>
          <w:szCs w:val="21"/>
        </w:rPr>
        <w:t xml:space="preserve">在本合同规定的检验期和质量保证期内，如果乙方对甲方提出的索赔或差异有责任，则乙方应按甲方同意的下列一种或多种方式解决索赔事宜：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1.乙方同意退货，并按合同规定的货币将货款退还给甲方，并承担由此发生的一切损失和费用，包括利息、银行手续费、运费、保险费、检验费、仓储费、装卸费以及为保护退回货物所需的其他必要费用。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2.根据货物的低劣程度、损坏程度以及甲方遭受损失的数额，经双方协商确定降低货物的价格。</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用符合规格、质量和性能要求的新的货物或零件、部件来更换缺陷部分或修补缺陷部分，乙方应承担一切费用和风险并负担甲方所发生的一切直接费用。同时，乙方应按合同规定，相应延长修补或更换部件或货物的质量保证期。</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4.甲方提出的其他合理方式。</w:t>
      </w:r>
      <w:r/>
    </w:p>
    <w:p>
      <w:pPr>
        <w:ind w:firstLine="359"/>
        <w:spacing w:line="360" w:lineRule="auto"/>
        <w:rPr>
          <w:rFonts w:hint="eastAsia" w:ascii="宋体" w:hAnsi="宋体" w:eastAsia="宋体" w:cs="宋体"/>
          <w:szCs w:val="21"/>
        </w:rPr>
      </w:pPr>
      <w:r>
        <w:rPr>
          <w:rFonts w:hint="eastAsia" w:ascii="宋体" w:hAnsi="宋体" w:eastAsia="宋体" w:cs="宋体"/>
        </w:rPr>
        <w:t xml:space="preserve">（三）</w:t>
      </w:r>
      <w:r>
        <w:rPr>
          <w:rFonts w:hint="eastAsia" w:ascii="宋体" w:hAnsi="宋体" w:eastAsia="宋体" w:cs="宋体"/>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359"/>
        <w:spacing w:line="360" w:lineRule="auto"/>
        <w:rPr>
          <w:rFonts w:hint="eastAsia" w:ascii="宋体" w:hAnsi="宋体" w:eastAsia="宋体" w:cs="宋体"/>
          <w:szCs w:val="21"/>
        </w:rPr>
      </w:pPr>
      <w:r>
        <w:rPr>
          <w:rFonts w:hint="eastAsia" w:ascii="宋体" w:hAnsi="宋体" w:eastAsia="宋体" w:cs="宋体"/>
        </w:rPr>
        <w:t xml:space="preserve">（四）</w:t>
      </w:r>
      <w:r>
        <w:rPr>
          <w:rFonts w:hint="eastAsia" w:ascii="宋体" w:hAnsi="宋体" w:eastAsia="宋体" w:cs="宋体"/>
          <w:szCs w:val="21"/>
        </w:rPr>
        <w:t xml:space="preserve">乙方应保护甲方在使用该货物或其任何一部分不受第三方提出的侵犯其知识产权或其他权利的起诉。如因此使甲方受到损害的，乙方应承担赔偿责任。</w:t>
      </w:r>
      <w:r/>
    </w:p>
    <w:p>
      <w:pPr>
        <w:ind w:firstLine="361"/>
        <w:spacing w:line="360" w:lineRule="auto"/>
        <w:rPr>
          <w:rFonts w:hint="eastAsia" w:ascii="宋体" w:hAnsi="宋体" w:eastAsia="宋体" w:cs="宋体"/>
          <w:szCs w:val="21"/>
        </w:rPr>
      </w:pPr>
      <w:r>
        <w:rPr>
          <w:rFonts w:hint="eastAsia" w:ascii="宋体" w:hAnsi="宋体" w:eastAsia="宋体" w:cs="宋体"/>
          <w:b/>
          <w:bCs/>
          <w:szCs w:val="21"/>
        </w:rPr>
        <w:t xml:space="preserve">十九、资料提供：</w:t>
      </w:r>
      <w:r>
        <w:rPr>
          <w:rFonts w:hint="eastAsia" w:ascii="宋体" w:hAnsi="宋体" w:eastAsia="宋体" w:cs="宋体"/>
          <w:szCs w:val="21"/>
        </w:rPr>
        <w:t xml:space="preserve">货物产品合格书证等。</w:t>
      </w:r>
      <w:r/>
    </w:p>
    <w:p>
      <w:pPr>
        <w:ind w:firstLine="361"/>
        <w:spacing w:line="360" w:lineRule="auto"/>
        <w:rPr>
          <w:rFonts w:hint="eastAsia" w:ascii="宋体" w:hAnsi="宋体" w:eastAsia="宋体" w:cs="宋体"/>
          <w:b/>
          <w:bCs/>
          <w:szCs w:val="21"/>
        </w:rPr>
      </w:pPr>
      <w:r>
        <w:rPr>
          <w:rFonts w:hint="eastAsia" w:ascii="宋体" w:hAnsi="宋体" w:eastAsia="宋体" w:cs="宋体"/>
          <w:b/>
          <w:bCs/>
          <w:szCs w:val="21"/>
        </w:rPr>
        <w:t xml:space="preserve">二十</w:t>
      </w:r>
      <w:r>
        <w:rPr>
          <w:rFonts w:hint="eastAsia" w:ascii="宋体" w:hAnsi="宋体" w:eastAsia="宋体" w:cs="宋体"/>
          <w:szCs w:val="21"/>
        </w:rPr>
        <w:t xml:space="preserve">、</w:t>
      </w:r>
      <w:r>
        <w:rPr>
          <w:rFonts w:hint="eastAsia" w:ascii="宋体" w:hAnsi="宋体" w:eastAsia="宋体" w:cs="宋体"/>
          <w:b/>
          <w:bCs/>
          <w:szCs w:val="21"/>
        </w:rPr>
        <w:t xml:space="preserve">争议解决</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因合同及合同有关事项发生的争议，任何一方均可向甲方所在地人民法院提起诉讼。</w:t>
      </w:r>
      <w:r/>
    </w:p>
    <w:p>
      <w:pPr>
        <w:ind w:firstLine="361"/>
        <w:spacing w:line="360" w:lineRule="auto"/>
        <w:rPr>
          <w:rFonts w:hint="eastAsia" w:ascii="宋体" w:hAnsi="宋体" w:eastAsia="宋体" w:cs="宋体"/>
          <w:b/>
          <w:bCs/>
          <w:szCs w:val="21"/>
        </w:rPr>
      </w:pPr>
      <w:r>
        <w:rPr>
          <w:rFonts w:hint="eastAsia" w:ascii="宋体" w:hAnsi="宋体" w:eastAsia="宋体" w:cs="宋体"/>
          <w:b/>
          <w:bCs/>
          <w:szCs w:val="21"/>
        </w:rPr>
        <w:t xml:space="preserve">二十</w:t>
      </w:r>
      <w:r>
        <w:rPr>
          <w:rFonts w:hint="eastAsia" w:ascii="宋体" w:hAnsi="宋体" w:eastAsia="宋体" w:cs="宋体"/>
          <w:b/>
          <w:bCs/>
          <w:szCs w:val="21"/>
          <w:lang w:val="en-US" w:eastAsia="zh-CN"/>
        </w:rPr>
        <w:t xml:space="preserve">一</w:t>
      </w:r>
      <w:r>
        <w:rPr>
          <w:rFonts w:hint="eastAsia" w:ascii="宋体" w:hAnsi="宋体" w:eastAsia="宋体" w:cs="宋体"/>
          <w:b/>
          <w:bCs/>
          <w:szCs w:val="21"/>
        </w:rPr>
        <w:t xml:space="preserve">、其他条款</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1.双方签约人为各自法定代表人或被授权代表。</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2.本合同系指本文件及其附件中的所有部分；如有招标文件、中标的投标文件、中标单位在招标过程中的澄清、承诺等均为本合同不可缺少的必要组成部分，具有同等法律效力</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3.本合同一式</w:t>
      </w:r>
      <w:r>
        <w:rPr>
          <w:rFonts w:hint="eastAsia" w:ascii="宋体" w:hAnsi="宋体" w:eastAsia="宋体" w:cs="宋体"/>
          <w:szCs w:val="21"/>
          <w:u w:val="single"/>
        </w:rPr>
        <w:t xml:space="preserve"> 七  </w:t>
      </w:r>
      <w:r>
        <w:rPr>
          <w:rFonts w:hint="eastAsia" w:ascii="宋体" w:hAnsi="宋体" w:eastAsia="宋体" w:cs="宋体"/>
          <w:szCs w:val="21"/>
        </w:rPr>
        <w:t xml:space="preserve">份，甲方执</w:t>
      </w:r>
      <w:r>
        <w:rPr>
          <w:rFonts w:hint="eastAsia" w:ascii="宋体" w:hAnsi="宋体" w:eastAsia="宋体" w:cs="宋体"/>
          <w:szCs w:val="21"/>
          <w:u w:val="single"/>
        </w:rPr>
        <w:t xml:space="preserve">四</w:t>
      </w:r>
      <w:r>
        <w:rPr>
          <w:rFonts w:hint="eastAsia" w:ascii="宋体" w:hAnsi="宋体" w:eastAsia="宋体" w:cs="宋体"/>
          <w:szCs w:val="21"/>
        </w:rPr>
        <w:t xml:space="preserve">份，乙方执</w:t>
      </w:r>
      <w:r>
        <w:rPr>
          <w:rFonts w:hint="eastAsia" w:ascii="宋体" w:hAnsi="宋体" w:eastAsia="宋体" w:cs="宋体"/>
          <w:szCs w:val="21"/>
          <w:u w:val="single"/>
        </w:rPr>
        <w:t xml:space="preserve">二</w:t>
      </w:r>
      <w:r>
        <w:rPr>
          <w:rFonts w:hint="eastAsia" w:ascii="宋体" w:hAnsi="宋体" w:eastAsia="宋体" w:cs="宋体"/>
          <w:szCs w:val="21"/>
        </w:rPr>
        <w:t xml:space="preserve">份，代理公司</w:t>
      </w:r>
      <w:r>
        <w:rPr>
          <w:rFonts w:hint="eastAsia" w:ascii="宋体" w:hAnsi="宋体" w:eastAsia="宋体" w:cs="宋体"/>
          <w:szCs w:val="21"/>
          <w:u w:val="single"/>
        </w:rPr>
        <w:t xml:space="preserve"> 一 </w:t>
      </w:r>
      <w:r>
        <w:rPr>
          <w:rFonts w:hint="eastAsia" w:ascii="宋体" w:hAnsi="宋体" w:eastAsia="宋体" w:cs="宋体"/>
          <w:szCs w:val="21"/>
        </w:rPr>
        <w:t xml:space="preserve">份，各份具有同等法律效力。</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4.甲方有权对货物数量和服务内容提出增加或减少，金额随之增减（在投标总价10%幅度内）。</w:t>
      </w:r>
      <w:r/>
    </w:p>
    <w:p>
      <w:pPr>
        <w:ind w:firstLine="359"/>
        <w:spacing w:line="360" w:lineRule="auto"/>
        <w:rPr>
          <w:rFonts w:hint="eastAsia" w:ascii="宋体" w:hAnsi="宋体" w:eastAsia="宋体" w:cs="宋体"/>
          <w:szCs w:val="21"/>
        </w:rPr>
      </w:pPr>
      <w:r>
        <w:rPr>
          <w:rFonts w:hint="eastAsia" w:ascii="宋体" w:hAnsi="宋体" w:eastAsia="宋体" w:cs="宋体"/>
          <w:szCs w:val="21"/>
        </w:rPr>
        <w:t xml:space="preserve">5.合同生效：甲乙双方法定代表人或被授权代表人签字、双方盖上公章或合同专用章后此合同生效。</w:t>
      </w:r>
      <w:r/>
    </w:p>
    <w:p>
      <w:pPr>
        <w:ind w:firstLine="420"/>
        <w:spacing w:line="360" w:lineRule="auto"/>
        <w:rPr>
          <w:rFonts w:hint="eastAsia" w:ascii="宋体" w:hAnsi="宋体" w:eastAsia="宋体" w:cs="宋体"/>
          <w:b/>
          <w:bCs/>
          <w:spacing w:val="-10"/>
          <w:sz w:val="24"/>
          <w:u w:val="single"/>
        </w:rPr>
      </w:pPr>
      <w:r>
        <w:rPr>
          <w:rFonts w:hint="eastAsia" w:ascii="宋体" w:hAnsi="宋体" w:eastAsia="宋体" w:cs="宋体"/>
          <w:b/>
          <w:bCs/>
          <w:spacing w:val="-10"/>
          <w:sz w:val="24"/>
          <w:u w:val="single"/>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65"/>
        <w:spacing w:line="360" w:lineRule="auto"/>
        <w:rPr>
          <w:rFonts w:hint="eastAsia" w:ascii="宋体" w:hAnsi="宋体" w:eastAsia="宋体" w:cs="宋体"/>
          <w:b/>
          <w:bCs/>
          <w:color w:val="0000ff"/>
          <w:spacing w:val="20"/>
          <w:szCs w:val="21"/>
        </w:rPr>
      </w:pPr>
      <w:r/>
      <w:bookmarkStart w:id="12" w:name="_Toc13543221"/>
      <w:r/>
      <w:bookmarkEnd w:id="12"/>
      <w:r/>
      <w:r/>
    </w:p>
    <w:p>
      <w:pPr>
        <w:ind w:firstLine="465"/>
        <w:spacing w:line="360" w:lineRule="auto"/>
        <w:rPr>
          <w:rFonts w:hint="eastAsia" w:ascii="宋体" w:hAnsi="宋体" w:eastAsia="宋体" w:cs="宋体"/>
          <w:szCs w:val="21"/>
        </w:rPr>
      </w:pPr>
      <w:r>
        <w:rPr>
          <w:rFonts w:hint="eastAsia" w:ascii="宋体" w:hAnsi="宋体" w:eastAsia="宋体" w:cs="宋体"/>
          <w:szCs w:val="21"/>
        </w:rPr>
        <w:t xml:space="preserve">甲方名称：（盖章）                      乙方名称：（盖章）</w:t>
      </w:r>
      <w:r/>
    </w:p>
    <w:p>
      <w:pPr>
        <w:ind w:firstLine="465"/>
        <w:spacing w:line="360" w:lineRule="auto"/>
        <w:rPr>
          <w:rFonts w:hint="eastAsia" w:ascii="宋体" w:hAnsi="宋体" w:eastAsia="宋体" w:cs="宋体"/>
          <w:szCs w:val="21"/>
        </w:rPr>
      </w:pPr>
      <w:r>
        <w:rPr>
          <w:rFonts w:hint="eastAsia" w:ascii="宋体" w:hAnsi="宋体" w:eastAsia="宋体" w:cs="宋体"/>
          <w:szCs w:val="21"/>
        </w:rPr>
        <w:t xml:space="preserve">法定代表人：（签字）                    法定代表人：（签字）</w:t>
      </w:r>
      <w:r/>
    </w:p>
    <w:p>
      <w:pPr>
        <w:ind w:firstLine="465"/>
        <w:spacing w:line="360" w:lineRule="auto"/>
        <w:rPr>
          <w:rFonts w:hint="eastAsia" w:ascii="宋体" w:hAnsi="宋体" w:eastAsia="宋体" w:cs="宋体"/>
          <w:szCs w:val="21"/>
        </w:rPr>
      </w:pPr>
      <w:r>
        <w:rPr>
          <w:rFonts w:hint="eastAsia" w:ascii="宋体" w:hAnsi="宋体" w:eastAsia="宋体" w:cs="宋体"/>
          <w:szCs w:val="21"/>
        </w:rPr>
        <w:t xml:space="preserve">委托代理人：（签字）                    委托代理人：（签字）</w:t>
      </w:r>
      <w:r/>
    </w:p>
    <w:p>
      <w:pPr>
        <w:ind w:firstLine="465"/>
        <w:spacing w:line="360" w:lineRule="auto"/>
        <w:rPr>
          <w:rFonts w:hint="eastAsia" w:ascii="宋体" w:hAnsi="宋体" w:eastAsia="宋体" w:cs="宋体"/>
          <w:szCs w:val="21"/>
        </w:rPr>
      </w:pPr>
      <w:r>
        <w:rPr>
          <w:rFonts w:hint="eastAsia" w:ascii="宋体" w:hAnsi="宋体" w:eastAsia="宋体" w:cs="宋体"/>
          <w:szCs w:val="21"/>
        </w:rPr>
        <w:t xml:space="preserve">住    所：                              住    所：</w:t>
      </w:r>
      <w:r/>
    </w:p>
    <w:p>
      <w:pPr>
        <w:ind w:firstLine="465"/>
        <w:spacing w:line="360" w:lineRule="auto"/>
        <w:rPr>
          <w:rFonts w:hint="eastAsia" w:ascii="宋体" w:hAnsi="宋体" w:eastAsia="宋体" w:cs="宋体"/>
          <w:szCs w:val="21"/>
        </w:rPr>
      </w:pPr>
      <w:r>
        <w:rPr>
          <w:rFonts w:hint="eastAsia" w:ascii="宋体" w:hAnsi="宋体" w:eastAsia="宋体" w:cs="宋体"/>
          <w:szCs w:val="21"/>
        </w:rPr>
        <w:t xml:space="preserve">邮政编码：                              邮政编码：</w:t>
      </w:r>
      <w:r/>
    </w:p>
    <w:p>
      <w:pPr>
        <w:ind w:firstLine="465"/>
        <w:spacing w:line="360" w:lineRule="auto"/>
        <w:rPr>
          <w:rFonts w:hint="eastAsia" w:ascii="宋体" w:hAnsi="宋体" w:eastAsia="宋体" w:cs="宋体"/>
          <w:szCs w:val="21"/>
        </w:rPr>
      </w:pPr>
      <w:r>
        <w:rPr>
          <w:rFonts w:hint="eastAsia" w:ascii="宋体" w:hAnsi="宋体" w:eastAsia="宋体" w:cs="宋体"/>
          <w:szCs w:val="21"/>
        </w:rPr>
        <w:t xml:space="preserve">电    话：                              电    话：</w:t>
      </w:r>
      <w:r/>
    </w:p>
    <w:p>
      <w:pPr>
        <w:ind w:firstLine="465"/>
        <w:spacing w:line="360" w:lineRule="auto"/>
        <w:rPr>
          <w:rFonts w:hint="eastAsia" w:ascii="宋体" w:hAnsi="宋体" w:eastAsia="宋体" w:cs="宋体"/>
          <w:szCs w:val="21"/>
        </w:rPr>
      </w:pPr>
      <w:r>
        <w:rPr>
          <w:rFonts w:hint="eastAsia" w:ascii="宋体" w:hAnsi="宋体" w:eastAsia="宋体" w:cs="宋体"/>
          <w:szCs w:val="21"/>
        </w:rPr>
        <w:t xml:space="preserve">传    真：                              传    真：</w:t>
      </w:r>
      <w:r/>
    </w:p>
    <w:p>
      <w:pPr>
        <w:ind w:firstLine="465"/>
        <w:spacing w:line="360" w:lineRule="auto"/>
        <w:rPr>
          <w:rFonts w:hint="eastAsia" w:ascii="宋体" w:hAnsi="宋体" w:eastAsia="宋体" w:cs="宋体"/>
          <w:szCs w:val="21"/>
        </w:rPr>
      </w:pPr>
      <w:r>
        <w:rPr>
          <w:rFonts w:hint="eastAsia" w:ascii="宋体" w:hAnsi="宋体" w:eastAsia="宋体" w:cs="宋体"/>
          <w:szCs w:val="21"/>
        </w:rPr>
        <w:t xml:space="preserve">开户银行：                              开户银行：</w:t>
      </w:r>
      <w:r/>
    </w:p>
    <w:p>
      <w:pPr>
        <w:ind w:firstLine="465"/>
        <w:spacing w:line="360" w:lineRule="auto"/>
        <w:rPr>
          <w:rFonts w:hint="eastAsia" w:ascii="宋体" w:hAnsi="宋体" w:eastAsia="宋体" w:cs="宋体"/>
          <w:b/>
          <w:sz w:val="30"/>
          <w:szCs w:val="30"/>
        </w:rPr>
      </w:pPr>
      <w:r>
        <w:rPr>
          <w:rFonts w:hint="eastAsia" w:ascii="宋体" w:hAnsi="宋体" w:eastAsia="宋体" w:cs="宋体"/>
          <w:szCs w:val="21"/>
        </w:rPr>
        <w:t xml:space="preserve">银行账号：                              银行账号：</w:t>
      </w:r>
      <w:r/>
    </w:p>
    <w:p>
      <w:pPr>
        <w:pStyle w:val="1002"/>
        <w:jc w:val="left"/>
        <w:rPr>
          <w:rFonts w:hint="eastAsia" w:ascii="宋体" w:hAnsi="宋体" w:eastAsia="宋体" w:cs="宋体"/>
          <w:sz w:val="21"/>
          <w:szCs w:val="21"/>
        </w:rPr>
      </w:pPr>
      <w:r>
        <w:rPr>
          <w:rFonts w:hint="eastAsia" w:ascii="宋体" w:hAnsi="宋体" w:eastAsia="宋体" w:cs="宋体"/>
          <w:sz w:val="21"/>
          <w:szCs w:val="21"/>
        </w:rPr>
      </w:r>
      <w:r/>
    </w:p>
    <w:p>
      <w:pPr>
        <w:pStyle w:val="1002"/>
        <w:rPr>
          <w:rFonts w:hint="eastAsia" w:ascii="宋体" w:hAnsi="宋体" w:eastAsia="宋体" w:cs="宋体"/>
          <w:b/>
          <w:bCs/>
          <w:sz w:val="44"/>
          <w:szCs w:val="44"/>
        </w:rPr>
      </w:pPr>
      <w:r>
        <w:rPr>
          <w:rFonts w:hint="eastAsia" w:ascii="宋体" w:hAnsi="宋体" w:eastAsia="宋体" w:cs="宋体"/>
          <w:b/>
          <w:bCs/>
          <w:sz w:val="44"/>
          <w:szCs w:val="44"/>
        </w:rPr>
      </w:r>
      <w:r/>
    </w:p>
    <w:p>
      <w:pPr>
        <w:pStyle w:val="1002"/>
        <w:rPr>
          <w:rFonts w:hint="eastAsia" w:ascii="宋体" w:hAnsi="宋体" w:eastAsia="宋体" w:cs="宋体"/>
          <w:b/>
          <w:bCs/>
          <w:sz w:val="44"/>
          <w:szCs w:val="44"/>
        </w:rPr>
      </w:pPr>
      <w:r>
        <w:rPr>
          <w:rFonts w:hint="eastAsia" w:ascii="宋体" w:hAnsi="宋体" w:eastAsia="宋体" w:cs="宋体"/>
          <w:b/>
          <w:bCs/>
          <w:sz w:val="44"/>
          <w:szCs w:val="44"/>
        </w:rPr>
      </w:r>
      <w:r/>
    </w:p>
    <w:p>
      <w:pPr>
        <w:pStyle w:val="1002"/>
        <w:rPr>
          <w:rFonts w:hint="eastAsia" w:ascii="宋体" w:hAnsi="宋体" w:eastAsia="宋体" w:cs="宋体"/>
          <w:b/>
          <w:bCs/>
          <w:sz w:val="44"/>
          <w:szCs w:val="44"/>
        </w:rPr>
      </w:pPr>
      <w:r>
        <w:rPr>
          <w:rFonts w:hint="eastAsia" w:ascii="宋体" w:hAnsi="宋体" w:eastAsia="宋体" w:cs="宋体"/>
          <w:b/>
          <w:bCs/>
          <w:sz w:val="44"/>
          <w:szCs w:val="44"/>
        </w:rPr>
      </w:r>
      <w:r/>
    </w:p>
    <w:p>
      <w:pPr>
        <w:pStyle w:val="1002"/>
        <w:rPr>
          <w:rFonts w:hint="eastAsia" w:ascii="宋体" w:hAnsi="宋体" w:eastAsia="宋体" w:cs="宋体"/>
          <w:b/>
          <w:bCs/>
          <w:sz w:val="44"/>
          <w:szCs w:val="44"/>
        </w:rPr>
      </w:pPr>
      <w:r>
        <w:rPr>
          <w:rFonts w:hint="eastAsia" w:ascii="宋体" w:hAnsi="宋体" w:eastAsia="宋体" w:cs="宋体"/>
          <w:b/>
          <w:bCs/>
          <w:sz w:val="44"/>
          <w:szCs w:val="44"/>
        </w:rPr>
      </w:r>
      <w:r/>
    </w:p>
    <w:p>
      <w:pPr>
        <w:pStyle w:val="1002"/>
        <w:rPr>
          <w:rFonts w:hint="eastAsia" w:ascii="宋体" w:hAnsi="宋体" w:eastAsia="宋体" w:cs="宋体"/>
          <w:b/>
          <w:bCs/>
          <w:sz w:val="44"/>
          <w:szCs w:val="44"/>
        </w:rPr>
      </w:pPr>
      <w:r>
        <w:rPr>
          <w:rFonts w:hint="eastAsia" w:ascii="宋体" w:hAnsi="宋体" w:eastAsia="宋体" w:cs="宋体"/>
          <w:b/>
          <w:bCs/>
          <w:sz w:val="44"/>
          <w:szCs w:val="44"/>
        </w:rPr>
      </w:r>
      <w:r/>
    </w:p>
    <w:p>
      <w:pPr>
        <w:pStyle w:val="1002"/>
        <w:rPr>
          <w:rFonts w:hint="eastAsia" w:ascii="宋体" w:hAnsi="宋体" w:eastAsia="宋体" w:cs="宋体"/>
          <w:b/>
          <w:bCs/>
          <w:sz w:val="44"/>
          <w:szCs w:val="44"/>
        </w:rPr>
      </w:pPr>
      <w:r>
        <w:rPr>
          <w:rFonts w:hint="eastAsia" w:ascii="宋体" w:hAnsi="宋体" w:eastAsia="宋体" w:cs="宋体"/>
          <w:b/>
          <w:bCs/>
          <w:sz w:val="44"/>
          <w:szCs w:val="44"/>
        </w:rPr>
      </w:r>
      <w:r/>
    </w:p>
    <w:p>
      <w:pPr>
        <w:pStyle w:val="1002"/>
        <w:rPr>
          <w:rFonts w:hint="eastAsia" w:ascii="宋体" w:hAnsi="宋体" w:eastAsia="宋体" w:cs="宋体"/>
          <w:b/>
          <w:bCs/>
          <w:sz w:val="44"/>
          <w:szCs w:val="44"/>
        </w:rPr>
      </w:pPr>
      <w:r>
        <w:rPr>
          <w:rFonts w:hint="eastAsia" w:ascii="宋体" w:hAnsi="宋体" w:eastAsia="宋体" w:cs="宋体"/>
          <w:b/>
          <w:bCs/>
          <w:sz w:val="44"/>
          <w:szCs w:val="44"/>
        </w:rPr>
      </w:r>
      <w:r/>
    </w:p>
    <w:p>
      <w:pPr>
        <w:pStyle w:val="1002"/>
        <w:rPr>
          <w:rFonts w:hint="eastAsia" w:ascii="宋体" w:hAnsi="宋体" w:eastAsia="宋体" w:cs="宋体"/>
          <w:b/>
          <w:bCs/>
          <w:sz w:val="44"/>
          <w:szCs w:val="44"/>
        </w:rPr>
      </w:pPr>
      <w:r>
        <w:rPr>
          <w:rFonts w:hint="eastAsia" w:ascii="宋体" w:hAnsi="宋体" w:eastAsia="宋体" w:cs="宋体"/>
          <w:b/>
          <w:bCs/>
          <w:sz w:val="44"/>
          <w:szCs w:val="44"/>
        </w:rPr>
        <w:t xml:space="preserve">廉政合同</w:t>
      </w:r>
      <w:r/>
    </w:p>
    <w:p>
      <w:pPr>
        <w:pStyle w:val="1003"/>
        <w:jc w:val="center"/>
        <w:rPr>
          <w:rFonts w:hint="eastAsia" w:ascii="宋体" w:hAnsi="宋体" w:eastAsia="宋体" w:cs="宋体"/>
          <w:b/>
          <w:bCs/>
          <w:sz w:val="44"/>
          <w:szCs w:val="44"/>
        </w:rPr>
      </w:pPr>
      <w:r>
        <w:rPr>
          <w:rFonts w:hint="eastAsia" w:ascii="宋体" w:hAnsi="宋体" w:eastAsia="宋体" w:cs="宋体"/>
          <w:b/>
          <w:bCs/>
          <w:sz w:val="44"/>
          <w:szCs w:val="44"/>
        </w:rPr>
        <w:t xml:space="preserve">（发包人与承包人）</w:t>
      </w:r>
      <w:r/>
    </w:p>
    <w:p>
      <w:pPr>
        <w:pStyle w:val="1003"/>
        <w:ind w:firstLine="560"/>
        <w:spacing w:line="500" w:lineRule="exact"/>
        <w:rPr>
          <w:rFonts w:hint="eastAsia" w:ascii="宋体" w:hAnsi="宋体" w:eastAsia="宋体" w:cs="宋体"/>
          <w:b/>
          <w:szCs w:val="21"/>
        </w:rPr>
      </w:pPr>
      <w:r>
        <w:rPr>
          <w:rFonts w:hint="eastAsia" w:ascii="宋体" w:hAnsi="宋体" w:eastAsia="宋体" w:cs="宋体"/>
          <w:b/>
          <w:szCs w:val="21"/>
        </w:rPr>
        <w:t xml:space="preserve">发包人：</w:t>
      </w:r>
      <w:r/>
    </w:p>
    <w:p>
      <w:pPr>
        <w:pStyle w:val="1003"/>
        <w:ind w:firstLine="560"/>
        <w:spacing w:line="500" w:lineRule="exact"/>
        <w:rPr>
          <w:rFonts w:hint="eastAsia" w:ascii="宋体" w:hAnsi="宋体" w:eastAsia="宋体" w:cs="宋体"/>
          <w:b/>
          <w:szCs w:val="21"/>
          <w:u w:val="single"/>
        </w:rPr>
      </w:pPr>
      <w:r>
        <w:rPr>
          <w:rFonts w:hint="eastAsia" w:ascii="宋体" w:hAnsi="宋体" w:eastAsia="宋体" w:cs="宋体"/>
          <w:b/>
          <w:szCs w:val="21"/>
        </w:rPr>
        <w:t xml:space="preserve">承包人：</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为贯彻落实党中央、国务院《关于实行党风廉政建设责任制的规定》，进一步加强工程建设中的党风廉政建设，保证建设优质、高效、有序地进行，经双方协商一致，自愿签订以下廉政合同。</w:t>
      </w:r>
      <w:r/>
    </w:p>
    <w:p>
      <w:pPr>
        <w:pStyle w:val="1003"/>
        <w:ind w:firstLine="562"/>
        <w:spacing w:line="500" w:lineRule="exact"/>
        <w:rPr>
          <w:rFonts w:hint="eastAsia" w:ascii="宋体" w:hAnsi="宋体" w:eastAsia="宋体" w:cs="宋体"/>
          <w:szCs w:val="21"/>
        </w:rPr>
      </w:pPr>
      <w:r>
        <w:rPr>
          <w:rFonts w:hint="eastAsia" w:ascii="宋体" w:hAnsi="宋体" w:eastAsia="宋体" w:cs="宋体"/>
          <w:b/>
          <w:szCs w:val="21"/>
        </w:rPr>
        <w:t xml:space="preserve">第一条</w:t>
      </w:r>
      <w:r>
        <w:rPr>
          <w:rFonts w:hint="eastAsia" w:ascii="宋体" w:hAnsi="宋体" w:eastAsia="宋体" w:cs="宋体"/>
          <w:szCs w:val="21"/>
        </w:rPr>
        <w:t xml:space="preserve">  承、发包人双方的权利和义务</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（一）严格遵守党和国家有关法规及党风廉政建设各项规定。</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（二）严格执行各项规定，自觉按合同办事。</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（三）双方的业务活动坚持公开、公正、公平、诚信的原则（法律认定的商业秘密和合同文件另有规定除外），严禁损害国家和集体利益、违反工程建设管理规章制度。</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（四）建立健全党风廉政建设各项制度，开展反腐倡廉宣传教育，加强对本方工作人员的监督检查。</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pStyle w:val="1003"/>
        <w:ind w:firstLine="562"/>
        <w:spacing w:line="500" w:lineRule="exact"/>
        <w:rPr>
          <w:rFonts w:hint="eastAsia" w:ascii="宋体" w:hAnsi="宋体" w:eastAsia="宋体" w:cs="宋体"/>
          <w:b/>
          <w:szCs w:val="21"/>
        </w:rPr>
      </w:pPr>
      <w:r>
        <w:rPr>
          <w:rFonts w:hint="eastAsia" w:ascii="宋体" w:hAnsi="宋体" w:eastAsia="宋体" w:cs="宋体"/>
          <w:b/>
          <w:szCs w:val="21"/>
        </w:rPr>
        <w:t xml:space="preserve">第二条  </w:t>
      </w:r>
      <w:r>
        <w:rPr>
          <w:rFonts w:hint="eastAsia" w:ascii="宋体" w:hAnsi="宋体" w:eastAsia="宋体" w:cs="宋体"/>
          <w:szCs w:val="21"/>
        </w:rPr>
        <w:t xml:space="preserve">发包人在廉政建设方面的义务</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（一）发包人及其工作人员不准在施工单位安插亲友及介绍销售工程材料，不得指定需购物资设备的销售单位或部门；不得挤占、截留、挪用工程款或超进度拨付工程款；严禁私设“小金库”。 </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（二）发包人及其工作人员不准利用职务之便索要或接受承包人的现金、有价证券、支付凭证及收受干股，或以赌博等交易形式非法收受承包人财物。</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（三）发包人及其工作人员不准让承包人报销应由发包人或个人支付的费用；不准利用职务便利为承包人谋取不当利益。</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（四）发包人工作人员不准要求或者接受承包人可能影响公正执行公务的宴请；不准要求承包人提供交通工具、通讯工具、高档办公用品等。</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（五）发包人及其工作人员不准要求或者接受承包人为其住房装修、婚丧嫁娶、特定关系人（近亲属及其它共同利益关系的人）出国（境）旅游提供方便。</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（六）发包人及其工作人员不准利用职务之便为承包人谋取利益之前或之后，约定在其离职后收受承包人财物，并在离职后收受。</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（七）发包人及其工作人员不准要求或者收受承包人住房、汽车等物品，不准收受承包人为其以明显低于市场价购置住房或以劣换优、以借为名占用承包人住房。</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（九）发包人及其工作人员不准在与承包人有直接利害关系的企事业单位兼职、兼职取酬、投资入股、经商办企业以及从事有偿中介活动。</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（十）发包人或工作人员不得利用职务便利为承包人谋取利益，由承包人出资 “合作”开办公司或进行其他合作投资，或委托承包人投资证券、期货或以其他委托理财名义，未实际出资并获取“收益”，或虽然出资，但获取“利益”明显高于出资应得收益；或授意承包人以本规定所列形式，将有关财物给特定关系人。</w:t>
      </w:r>
      <w:r/>
    </w:p>
    <w:p>
      <w:pPr>
        <w:pStyle w:val="1003"/>
        <w:ind w:firstLine="562"/>
        <w:spacing w:line="500" w:lineRule="exact"/>
        <w:rPr>
          <w:rFonts w:hint="eastAsia" w:ascii="宋体" w:hAnsi="宋体" w:eastAsia="宋体" w:cs="宋体"/>
          <w:b/>
          <w:szCs w:val="21"/>
        </w:rPr>
      </w:pPr>
      <w:r>
        <w:rPr>
          <w:rFonts w:hint="eastAsia" w:ascii="宋体" w:hAnsi="宋体" w:eastAsia="宋体" w:cs="宋体"/>
          <w:b/>
          <w:szCs w:val="21"/>
        </w:rPr>
        <w:t xml:space="preserve">第三条  </w:t>
      </w:r>
      <w:r>
        <w:rPr>
          <w:rFonts w:hint="eastAsia" w:ascii="宋体" w:hAnsi="宋体" w:eastAsia="宋体" w:cs="宋体"/>
          <w:szCs w:val="21"/>
        </w:rPr>
        <w:t xml:space="preserve">承包人在廉政建设方面义务</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（一）承包人不准以任何形式向发包人及其工作人员馈赠现金、有价证券、支付凭证及赠送干股，或以赌博等交易形式非法赠送发包人财物。</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（二）承包人不准以任何名义为发包人及其工作人员报销应由发包人或个人支付的费用。</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（三）承包人不准以任何理由邀请发包人工作人员参加对承建的工程项目有影响的宴请及娱乐活动；不准为其提供通讯工具、交通工具、高档办公用品等。</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（四）承包人不准为发包人工作人员住房装修、婚丧嫁娶、特定关系人出国（境）旅游提供方便；不准为发包人工作人员的特定关系人以安排工作为名，使其不实际工作却获取薪酬。</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（五）承包人不准赠送发包人工作人员住房、汽车等物品，不准为其以明显低于市场价购置住房或以劣换优、以借为名赠送住房。</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（六）承包人不准违反规定将承建的施工项目分包或非法转包。</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（七）承包人及其工作人员不准与该工程的监理单位串通，违反工程计量、资金支付、质量验评、竣工验收等有关规定和程序，损害发包人利益，影响工程质量、进度和安全。</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（八）按照发包人和监督部门的要求，对农民工工资实行银行卡支付，不得克扣、截留、拖欠农民工工资。</w:t>
      </w:r>
      <w:r/>
    </w:p>
    <w:p>
      <w:pPr>
        <w:pStyle w:val="1003"/>
        <w:ind w:firstLine="562"/>
        <w:spacing w:line="500" w:lineRule="exact"/>
        <w:rPr>
          <w:rFonts w:hint="eastAsia" w:ascii="宋体" w:hAnsi="宋体" w:eastAsia="宋体" w:cs="宋体"/>
          <w:szCs w:val="21"/>
        </w:rPr>
      </w:pPr>
      <w:r>
        <w:rPr>
          <w:rFonts w:hint="eastAsia" w:ascii="宋体" w:hAnsi="宋体" w:eastAsia="宋体" w:cs="宋体"/>
          <w:b/>
          <w:szCs w:val="21"/>
        </w:rPr>
        <w:t xml:space="preserve">第四条</w:t>
      </w:r>
      <w:r>
        <w:rPr>
          <w:rFonts w:hint="eastAsia" w:ascii="宋体" w:hAnsi="宋体" w:eastAsia="宋体" w:cs="宋体"/>
          <w:szCs w:val="21"/>
        </w:rPr>
        <w:t xml:space="preserve">  违约责任</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（一）发包人若违反本《廉政合同》有关规定的，对违纪违规人员，由发包人主管部门依据有关规定查处，构成犯罪的移交司法机关处理，给承包人造成的损失，按有关规定予以赔偿。</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二）承包人若违反本《廉政合同》有关规定的，对违纪违规人员，由承包人主管部门或行业管理部门依据有关规定查处，构成犯罪的移交司法机关处理，给发包人造成的损失，按有关规定予以赔偿，并按江苏省工程建设项目招投标诚信管理相关办法予以处罚。</w:t>
      </w:r>
      <w:r/>
    </w:p>
    <w:p>
      <w:pPr>
        <w:pStyle w:val="1003"/>
        <w:ind w:firstLine="562"/>
        <w:spacing w:line="500" w:lineRule="exact"/>
        <w:rPr>
          <w:rFonts w:hint="eastAsia" w:ascii="宋体" w:hAnsi="宋体" w:eastAsia="宋体" w:cs="宋体"/>
          <w:szCs w:val="21"/>
        </w:rPr>
      </w:pPr>
      <w:r>
        <w:rPr>
          <w:rFonts w:hint="eastAsia" w:ascii="宋体" w:hAnsi="宋体" w:eastAsia="宋体" w:cs="宋体"/>
          <w:b/>
          <w:szCs w:val="21"/>
        </w:rPr>
        <w:t xml:space="preserve">第五条</w:t>
      </w:r>
      <w:r>
        <w:rPr>
          <w:rFonts w:hint="eastAsia" w:ascii="宋体" w:hAnsi="宋体" w:eastAsia="宋体" w:cs="宋体"/>
          <w:szCs w:val="21"/>
        </w:rPr>
        <w:t xml:space="preserve">  督查单位</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双方约定：自愿接受</w:t>
      </w:r>
      <w:r>
        <w:rPr>
          <w:rFonts w:hint="eastAsia" w:ascii="宋体" w:hAnsi="宋体" w:eastAsia="宋体" w:cs="宋体"/>
          <w:szCs w:val="21"/>
          <w:u w:val="single"/>
        </w:rPr>
        <w:t xml:space="preserve">纪委</w:t>
      </w:r>
      <w:r>
        <w:rPr>
          <w:rFonts w:hint="eastAsia" w:ascii="宋体" w:hAnsi="宋体" w:eastAsia="宋体" w:cs="宋体"/>
          <w:szCs w:val="21"/>
        </w:rPr>
        <w:t xml:space="preserve">对合同执行情况的监督检查，双方应积极配合督查单位的检查，包括提供有关资料和财务账册凭证，接受本合同规定范围内的裁定意见。</w:t>
      </w:r>
      <w:r/>
    </w:p>
    <w:p>
      <w:pPr>
        <w:pStyle w:val="1003"/>
        <w:ind w:firstLine="562"/>
        <w:spacing w:line="500" w:lineRule="exact"/>
        <w:rPr>
          <w:rFonts w:hint="eastAsia" w:ascii="宋体" w:hAnsi="宋体" w:eastAsia="宋体" w:cs="宋体"/>
          <w:szCs w:val="21"/>
        </w:rPr>
      </w:pPr>
      <w:r>
        <w:rPr>
          <w:rFonts w:hint="eastAsia" w:ascii="宋体" w:hAnsi="宋体" w:eastAsia="宋体" w:cs="宋体"/>
          <w:b/>
          <w:szCs w:val="21"/>
        </w:rPr>
        <w:t xml:space="preserve">第六条</w:t>
      </w:r>
      <w:r>
        <w:rPr>
          <w:rFonts w:hint="eastAsia" w:ascii="宋体" w:hAnsi="宋体" w:eastAsia="宋体" w:cs="宋体"/>
          <w:szCs w:val="21"/>
        </w:rPr>
        <w:t xml:space="preserve">  检查方式</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t xml:space="preserve">本合同的履约情况由督查单位主持，双方共同派员参加，检查方式为座谈、问卷调查、查看资料及财务账册或由各方约定的其他方式等。检查时间、次数、方式、检查结论和执行违约责任等由双方协商确定，如无法达成一致的，由督查单位依据事实裁定。</w:t>
      </w:r>
      <w:r/>
    </w:p>
    <w:p>
      <w:pPr>
        <w:pStyle w:val="1003"/>
        <w:ind w:firstLine="562"/>
        <w:spacing w:line="500" w:lineRule="exact"/>
        <w:rPr>
          <w:rFonts w:hint="eastAsia" w:ascii="宋体" w:hAnsi="宋体" w:eastAsia="宋体" w:cs="宋体"/>
          <w:b/>
          <w:szCs w:val="21"/>
        </w:rPr>
      </w:pPr>
      <w:r>
        <w:rPr>
          <w:rFonts w:hint="eastAsia" w:ascii="宋体" w:hAnsi="宋体" w:eastAsia="宋体" w:cs="宋体"/>
          <w:b/>
          <w:szCs w:val="21"/>
        </w:rPr>
        <w:t xml:space="preserve">第七条  </w:t>
      </w:r>
      <w:r>
        <w:rPr>
          <w:rFonts w:hint="eastAsia" w:ascii="宋体" w:hAnsi="宋体" w:eastAsia="宋体" w:cs="宋体"/>
          <w:szCs w:val="21"/>
        </w:rPr>
        <w:t xml:space="preserve">本合同有效期为造价咨询开工之日起至该合同采购单位验收后止</w:t>
      </w:r>
      <w:r>
        <w:rPr>
          <w:rFonts w:hint="eastAsia" w:ascii="宋体" w:hAnsi="宋体" w:eastAsia="宋体" w:cs="宋体"/>
          <w:b/>
          <w:szCs w:val="21"/>
        </w:rPr>
        <w:t xml:space="preserve">。</w:t>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r>
      <w:r/>
    </w:p>
    <w:p>
      <w:pPr>
        <w:pStyle w:val="1003"/>
        <w:ind w:firstLine="560"/>
        <w:spacing w:line="500" w:lineRule="exact"/>
        <w:rPr>
          <w:rFonts w:hint="eastAsia" w:ascii="宋体" w:hAnsi="宋体" w:eastAsia="宋体" w:cs="宋体"/>
          <w:szCs w:val="21"/>
        </w:rPr>
      </w:pPr>
      <w:r>
        <w:rPr>
          <w:rFonts w:hint="eastAsia" w:ascii="宋体" w:hAnsi="宋体" w:eastAsia="宋体" w:cs="宋体"/>
          <w:szCs w:val="21"/>
        </w:rPr>
      </w:r>
      <w:r/>
    </w:p>
    <w:p>
      <w:pPr>
        <w:pStyle w:val="1003"/>
        <w:ind w:firstLine="424"/>
        <w:spacing w:line="500" w:lineRule="exact"/>
        <w:rPr>
          <w:rFonts w:hint="eastAsia" w:ascii="宋体" w:hAnsi="宋体" w:eastAsia="宋体" w:cs="宋体"/>
          <w:szCs w:val="21"/>
        </w:rPr>
      </w:pPr>
      <w:r>
        <w:rPr>
          <w:rFonts w:hint="eastAsia" w:ascii="宋体" w:hAnsi="宋体" w:eastAsia="宋体" w:cs="宋体"/>
          <w:szCs w:val="21"/>
        </w:rPr>
      </w:r>
      <w:r/>
    </w:p>
    <w:p>
      <w:pPr>
        <w:pStyle w:val="1003"/>
        <w:ind w:firstLine="420"/>
        <w:spacing w:line="500" w:lineRule="exact"/>
        <w:rPr>
          <w:rFonts w:hint="eastAsia" w:ascii="宋体" w:hAnsi="宋体" w:eastAsia="宋体" w:cs="宋体"/>
          <w:szCs w:val="21"/>
        </w:rPr>
      </w:pPr>
      <w:r>
        <w:rPr>
          <w:rFonts w:hint="eastAsia" w:ascii="宋体" w:hAnsi="宋体" w:eastAsia="宋体" w:cs="宋体"/>
          <w:szCs w:val="21"/>
        </w:rPr>
        <w:t xml:space="preserve">发  包  人：（盖章）                       承包人：（盖章）                </w:t>
      </w:r>
      <w:r/>
    </w:p>
    <w:p>
      <w:pPr>
        <w:pStyle w:val="1003"/>
        <w:spacing w:line="500" w:lineRule="exact"/>
        <w:rPr>
          <w:rFonts w:hint="eastAsia" w:ascii="宋体" w:hAnsi="宋体" w:eastAsia="宋体" w:cs="宋体"/>
          <w:szCs w:val="21"/>
        </w:rPr>
      </w:pPr>
      <w:r>
        <w:rPr>
          <w:rFonts w:hint="eastAsia" w:ascii="宋体" w:hAnsi="宋体" w:eastAsia="宋体" w:cs="宋体"/>
          <w:szCs w:val="21"/>
        </w:rPr>
      </w:r>
      <w:r/>
    </w:p>
    <w:p>
      <w:pPr>
        <w:pStyle w:val="1003"/>
        <w:ind w:firstLine="420"/>
        <w:spacing w:line="500" w:lineRule="exact"/>
        <w:rPr>
          <w:rFonts w:hint="eastAsia" w:ascii="宋体" w:hAnsi="宋体" w:eastAsia="宋体" w:cs="宋体"/>
          <w:szCs w:val="21"/>
        </w:rPr>
      </w:pPr>
      <w:r>
        <w:rPr>
          <w:rFonts w:hint="eastAsia" w:ascii="宋体" w:hAnsi="宋体" w:eastAsia="宋体" w:cs="宋体"/>
          <w:szCs w:val="21"/>
        </w:rPr>
        <w:t xml:space="preserve">法定代表人：（签名）                       法定代表人：（签名）</w:t>
      </w:r>
      <w:r/>
    </w:p>
    <w:p>
      <w:pPr>
        <w:pStyle w:val="1003"/>
        <w:spacing w:line="500" w:lineRule="exact"/>
        <w:rPr>
          <w:rFonts w:hint="eastAsia" w:ascii="宋体" w:hAnsi="宋体" w:eastAsia="宋体" w:cs="宋体"/>
          <w:szCs w:val="21"/>
        </w:rPr>
      </w:pPr>
      <w:r>
        <w:rPr>
          <w:rFonts w:hint="eastAsia" w:ascii="宋体" w:hAnsi="宋体" w:eastAsia="宋体" w:cs="宋体"/>
          <w:szCs w:val="21"/>
        </w:rPr>
      </w:r>
      <w:r/>
    </w:p>
    <w:p>
      <w:pPr>
        <w:pStyle w:val="1003"/>
        <w:ind w:firstLine="420"/>
        <w:spacing w:line="500" w:lineRule="exact"/>
        <w:rPr>
          <w:rFonts w:hint="eastAsia" w:ascii="宋体" w:hAnsi="宋体" w:eastAsia="宋体" w:cs="宋体"/>
          <w:szCs w:val="21"/>
        </w:rPr>
      </w:pPr>
      <w:r>
        <w:rPr>
          <w:rFonts w:hint="eastAsia" w:ascii="宋体" w:hAnsi="宋体" w:eastAsia="宋体" w:cs="宋体"/>
          <w:szCs w:val="21"/>
        </w:rPr>
        <w:t xml:space="preserve">或授权代理人：（签名）                     或授权代理人：（签名）</w:t>
      </w:r>
      <w:r/>
    </w:p>
    <w:p>
      <w:pPr>
        <w:pStyle w:val="1003"/>
        <w:spacing w:line="500" w:lineRule="exact"/>
        <w:rPr>
          <w:rFonts w:hint="eastAsia" w:ascii="宋体" w:hAnsi="宋体" w:eastAsia="宋体" w:cs="宋体"/>
          <w:szCs w:val="21"/>
        </w:rPr>
      </w:pPr>
      <w:r>
        <w:rPr>
          <w:rFonts w:hint="eastAsia" w:ascii="宋体" w:hAnsi="宋体" w:eastAsia="宋体" w:cs="宋体"/>
          <w:szCs w:val="21"/>
        </w:rPr>
      </w:r>
      <w:r/>
    </w:p>
    <w:p>
      <w:pPr>
        <w:ind w:firstLine="420"/>
        <w:rPr>
          <w:rStyle w:val="936"/>
          <w:rFonts w:hint="eastAsia" w:ascii="宋体" w:hAnsi="宋体" w:eastAsia="宋体" w:cs="宋体"/>
          <w:bCs/>
          <w:szCs w:val="44"/>
        </w:rPr>
      </w:pPr>
      <w:r>
        <w:rPr>
          <w:rFonts w:hint="eastAsia" w:ascii="宋体" w:hAnsi="宋体" w:eastAsia="宋体" w:cs="宋体"/>
          <w:szCs w:val="21"/>
        </w:rPr>
        <w:t xml:space="preserve">签 约 日 期：                           签 约 日 期：</w:t>
      </w:r>
      <w:r/>
    </w:p>
    <w:p>
      <w:pPr>
        <w:pStyle w:val="914"/>
        <w:ind w:firstLine="475"/>
        <w:jc w:val="both"/>
        <w:spacing w:line="360" w:lineRule="auto"/>
        <w:rPr>
          <w:rFonts w:hint="eastAsia" w:ascii="宋体" w:hAnsi="宋体" w:eastAsia="宋体" w:cs="宋体"/>
          <w:spacing w:val="-10"/>
          <w:sz w:val="21"/>
          <w:szCs w:val="21"/>
        </w:rPr>
      </w:pPr>
      <w:r>
        <w:rPr>
          <w:rFonts w:hint="eastAsia" w:ascii="宋体" w:hAnsi="宋体" w:eastAsia="宋体" w:cs="宋体"/>
          <w:spacing w:val="-10"/>
          <w:sz w:val="21"/>
          <w:szCs w:val="21"/>
        </w:rPr>
      </w:r>
      <w:r/>
    </w:p>
    <w:p>
      <w:pPr>
        <w:pStyle w:val="954"/>
        <w:ind w:firstLine="0"/>
        <w:rPr>
          <w:rFonts w:hint="eastAsia" w:ascii="宋体" w:hAnsi="宋体" w:eastAsia="宋体" w:cs="宋体"/>
        </w:rPr>
      </w:pPr>
      <w:r>
        <w:rPr>
          <w:rFonts w:hint="eastAsia" w:ascii="宋体" w:hAnsi="宋体" w:eastAsia="宋体" w:cs="宋体"/>
        </w:rPr>
        <w:br w:type="page" w:clear="all"/>
      </w:r>
      <w:bookmarkStart w:id="13" w:name="_Toc98255835"/>
      <w:r/>
      <w:r/>
    </w:p>
    <w:p>
      <w:pPr>
        <w:ind w:left="1533" w:firstLine="1767"/>
        <w:jc w:val="left"/>
        <w:rPr>
          <w:rFonts w:hint="eastAsia" w:ascii="宋体" w:hAnsi="宋体" w:eastAsia="宋体" w:cs="宋体"/>
          <w:b/>
          <w:sz w:val="32"/>
        </w:rPr>
        <w:outlineLvl w:val="0"/>
      </w:pPr>
      <w:r>
        <w:rPr>
          <w:rFonts w:hint="eastAsia" w:ascii="宋体" w:hAnsi="宋体" w:eastAsia="宋体" w:cs="宋体"/>
          <w:b/>
          <w:sz w:val="32"/>
        </w:rPr>
        <w:t xml:space="preserve">第六章 响应文件部分格式</w:t>
      </w:r>
      <w:bookmarkEnd w:id="13"/>
      <w:r/>
      <w:r/>
    </w:p>
    <w:p>
      <w:pPr>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r>
      <w:r/>
    </w:p>
    <w:p>
      <w:pPr>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 xml:space="preserve">说明：</w:t>
      </w:r>
      <w:r/>
    </w:p>
    <w:p>
      <w:pPr>
        <w:ind w:firstLine="422"/>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 xml:space="preserve">对本章所有的响应文件格式 ，供应商可根据自身情况进行补充和修改，但补充和修改不得造成与本格式内容有实质性的违背。</w:t>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r>
      <w:r/>
    </w:p>
    <w:p>
      <w:pPr>
        <w:pStyle w:val="954"/>
        <w:ind w:firstLine="0"/>
        <w:rPr>
          <w:rFonts w:hint="eastAsia" w:ascii="宋体" w:hAnsi="宋体" w:eastAsia="宋体" w:cs="宋体"/>
          <w:b/>
          <w:szCs w:val="21"/>
        </w:rPr>
      </w:pPr>
      <w:r>
        <w:rPr>
          <w:rFonts w:hint="eastAsia" w:ascii="宋体" w:hAnsi="宋体" w:eastAsia="宋体" w:cs="宋体"/>
          <w:b/>
          <w:szCs w:val="21"/>
        </w:rPr>
        <w:t xml:space="preserve">格式1、投标响应承诺书</w:t>
      </w:r>
      <w:r/>
    </w:p>
    <w:p>
      <w:pPr>
        <w:pStyle w:val="954"/>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eastAsia="宋体" w:cs="宋体"/>
          <w:b/>
          <w:bCs/>
          <w:szCs w:val="21"/>
        </w:rPr>
      </w:pPr>
      <w:r>
        <w:rPr>
          <w:rFonts w:hint="eastAsia" w:ascii="宋体" w:hAnsi="宋体" w:eastAsia="宋体" w:cs="宋体"/>
          <w:b/>
          <w:bCs/>
          <w:szCs w:val="21"/>
        </w:rPr>
        <w:t xml:space="preserve">投标响应承诺书</w:t>
      </w:r>
      <w:r/>
    </w:p>
    <w:p>
      <w:pPr>
        <w:jc w:val="left"/>
        <w:spacing w:line="440" w:lineRule="exact"/>
        <w:rPr>
          <w:rFonts w:hint="eastAsia" w:ascii="宋体" w:hAnsi="宋体" w:eastAsia="宋体" w:cs="宋体"/>
          <w:b/>
          <w:bCs/>
          <w:spacing w:val="20"/>
          <w:szCs w:val="21"/>
        </w:rPr>
      </w:pPr>
      <w:r>
        <w:rPr>
          <w:rFonts w:hint="eastAsia" w:ascii="宋体" w:hAnsi="宋体" w:eastAsia="宋体" w:cs="宋体"/>
          <w:b/>
          <w:bCs/>
          <w:spacing w:val="20"/>
          <w:szCs w:val="21"/>
        </w:rPr>
      </w:r>
      <w:r/>
    </w:p>
    <w:p>
      <w:pPr>
        <w:pStyle w:val="918"/>
        <w:jc w:val="left"/>
        <w:spacing w:line="460" w:lineRule="exact"/>
        <w:rPr>
          <w:rFonts w:hint="eastAsia" w:ascii="宋体" w:hAnsi="宋体" w:eastAsia="宋体" w:cs="宋体"/>
          <w:sz w:val="21"/>
          <w:szCs w:val="21"/>
        </w:rPr>
      </w:pPr>
      <w:r>
        <w:rPr>
          <w:rFonts w:hint="eastAsia" w:ascii="宋体" w:hAnsi="宋体" w:eastAsia="宋体" w:cs="宋体"/>
          <w:sz w:val="21"/>
          <w:szCs w:val="21"/>
          <w:u w:val="single"/>
        </w:rPr>
        <w:t xml:space="preserve">江苏祥和项目管理有限公司</w:t>
      </w:r>
      <w:r>
        <w:rPr>
          <w:rFonts w:hint="eastAsia" w:ascii="宋体" w:hAnsi="宋体" w:eastAsia="宋体" w:cs="宋体"/>
          <w:sz w:val="21"/>
          <w:szCs w:val="21"/>
        </w:rPr>
        <w:t xml:space="preserve">： </w:t>
      </w:r>
      <w:r/>
    </w:p>
    <w:p>
      <w:pPr>
        <w:pStyle w:val="918"/>
        <w:jc w:val="left"/>
        <w:spacing w:line="460" w:lineRule="exact"/>
        <w:rPr>
          <w:rFonts w:hint="eastAsia" w:ascii="宋体" w:hAnsi="宋体" w:eastAsia="宋体" w:cs="宋体"/>
          <w:sz w:val="21"/>
          <w:szCs w:val="21"/>
        </w:rPr>
      </w:pPr>
      <w:r>
        <w:rPr>
          <w:rFonts w:hint="eastAsia" w:ascii="宋体" w:hAnsi="宋体" w:eastAsia="宋体" w:cs="宋体"/>
          <w:sz w:val="21"/>
          <w:szCs w:val="21"/>
        </w:rPr>
      </w:r>
      <w:r/>
    </w:p>
    <w:p>
      <w:pPr>
        <w:pStyle w:val="944"/>
        <w:ind w:firstLine="420"/>
        <w:jc w:val="left"/>
        <w:spacing w:line="460" w:lineRule="exact"/>
        <w:tabs>
          <w:tab w:val="left" w:pos="3780" w:leader="none"/>
        </w:tabs>
        <w:rPr>
          <w:rFonts w:hint="eastAsia" w:ascii="宋体" w:hAnsi="宋体" w:eastAsia="宋体" w:cs="宋体"/>
          <w:sz w:val="21"/>
          <w:szCs w:val="21"/>
        </w:rPr>
      </w:pPr>
      <w:r>
        <w:rPr>
          <w:rFonts w:hint="eastAsia" w:ascii="宋体" w:hAnsi="宋体" w:eastAsia="宋体" w:cs="宋体"/>
          <w:sz w:val="21"/>
          <w:szCs w:val="21"/>
        </w:rPr>
        <w:t xml:space="preserve">我方收到贵方</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号投标文件，经仔细阅读和研究，我方决定参加投标活动。</w:t>
      </w:r>
      <w:r/>
    </w:p>
    <w:p>
      <w:pPr>
        <w:ind w:firstLine="420"/>
        <w:spacing w:line="440" w:lineRule="exact"/>
        <w:rPr>
          <w:rFonts w:hint="eastAsia" w:ascii="宋体" w:hAnsi="宋体" w:eastAsia="宋体" w:cs="宋体"/>
          <w:szCs w:val="21"/>
          <w:lang w:val="zh-CN"/>
        </w:rPr>
      </w:pPr>
      <w:r>
        <w:rPr>
          <w:rFonts w:hint="eastAsia" w:ascii="宋体" w:hAnsi="宋体" w:eastAsia="宋体" w:cs="宋体"/>
          <w:szCs w:val="21"/>
        </w:rPr>
        <w:t xml:space="preserve">1.我方已详细阅读全部投标文件，包括更正公告（如有），对投标文件及更正公告（如有）无任何异议。</w:t>
      </w:r>
      <w:r>
        <w:rPr>
          <w:rFonts w:hint="eastAsia" w:ascii="宋体" w:hAnsi="宋体" w:eastAsia="宋体" w:cs="宋体"/>
          <w:szCs w:val="21"/>
          <w:lang w:val="zh-CN"/>
        </w:rPr>
        <w:t xml:space="preserve">我方完全理解并同意放弃对这方面有不明及误解的权利。</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2.我方愿意按照投标文件的一切要求，提供本项目的所有内容，我方投标的报价包括完成本项工作所需的一切应有费用。</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3.如果我方的投标响应文件被接受，我们将严格履行投标文件中规定的每一项要求，按期、按质、按量履行合同的义务。</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4.我方同意采购人关于违约责任的认定方式和对违约责任的处罚；在服务过程中，如我单位违约，我单位愿意承担相应违约责任。</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5.我方同意按投标文件中的规定，本响应文件的有效期限自提交响应文件截止时间之日起</w:t>
      </w:r>
      <w:r>
        <w:rPr>
          <w:rFonts w:hint="eastAsia" w:ascii="宋体" w:hAnsi="宋体" w:eastAsia="宋体" w:cs="宋体"/>
          <w:sz w:val="21"/>
          <w:szCs w:val="21"/>
          <w:u w:val="single"/>
        </w:rPr>
        <w:t xml:space="preserve"> 90</w:t>
      </w:r>
      <w:r>
        <w:rPr>
          <w:rFonts w:hint="eastAsia" w:ascii="宋体" w:hAnsi="宋体" w:eastAsia="宋体" w:cs="宋体"/>
          <w:sz w:val="21"/>
          <w:szCs w:val="21"/>
        </w:rPr>
        <w:t xml:space="preserve">日历天。</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6.我方愿意提供采购人在投标文件中要求的所有资料。</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7.我方愿意遵守投标文件中所列的收费标准。</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8.我方承诺该响应文件在投标开始后的全过程中保持有效，不作任何更改和变动。</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9.我方承诺所提交的响应文件中所有资料均是真实的、准确的。若与真实情况不符，我方愿意承担由此而产生的一切后果。</w:t>
      </w:r>
      <w:r/>
    </w:p>
    <w:p>
      <w:pPr>
        <w:ind w:firstLine="420"/>
        <w:spacing w:line="440" w:lineRule="exact"/>
        <w:rPr>
          <w:rFonts w:hint="eastAsia" w:ascii="宋体" w:hAnsi="宋体" w:eastAsia="宋体" w:cs="宋体"/>
          <w:szCs w:val="21"/>
          <w:lang w:val="zh-CN"/>
        </w:rPr>
      </w:pPr>
      <w:r>
        <w:rPr>
          <w:rFonts w:hint="eastAsia" w:ascii="宋体" w:hAnsi="宋体" w:eastAsia="宋体" w:cs="宋体"/>
          <w:szCs w:val="21"/>
        </w:rPr>
        <w:t xml:space="preserve">10.</w:t>
      </w:r>
      <w:r>
        <w:rPr>
          <w:rFonts w:hint="eastAsia" w:ascii="宋体" w:hAnsi="宋体" w:eastAsia="宋体" w:cs="宋体"/>
          <w:szCs w:val="21"/>
          <w:lang w:val="zh-CN"/>
        </w:rPr>
        <w:t xml:space="preserve">我方承诺满足《中华人民共和国政府采购法》第二十二条规定的所有条件。</w:t>
      </w:r>
      <w:r/>
    </w:p>
    <w:p>
      <w:pPr>
        <w:ind w:firstLine="420"/>
        <w:spacing w:line="440" w:lineRule="exact"/>
        <w:rPr>
          <w:rFonts w:hint="eastAsia" w:ascii="宋体" w:hAnsi="宋体" w:eastAsia="宋体" w:cs="宋体"/>
          <w:szCs w:val="21"/>
          <w:lang w:val="zh-CN"/>
        </w:rPr>
      </w:pPr>
      <w:r>
        <w:rPr>
          <w:rFonts w:hint="eastAsia" w:ascii="宋体" w:hAnsi="宋体" w:eastAsia="宋体" w:cs="宋体"/>
          <w:szCs w:val="21"/>
          <w:lang w:val="zh-CN"/>
        </w:rPr>
        <w:t xml:space="preserve">11.我方愿意按照《中华人民共和国民法典》履行自己应该承担的全部责任。</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所有与本投标相关的函电，请按下列地址联系：</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单位：                             联系人：</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地址：                             邮政编码：</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联系电话：                         传真：</w:t>
      </w:r>
      <w:r/>
    </w:p>
    <w:p>
      <w:pPr>
        <w:pStyle w:val="944"/>
        <w:ind w:firstLine="420"/>
        <w:jc w:val="left"/>
        <w:spacing w:line="460" w:lineRule="exact"/>
        <w:rPr>
          <w:rFonts w:hint="eastAsia" w:ascii="宋体" w:hAnsi="宋体" w:eastAsia="宋体" w:cs="宋体"/>
          <w:sz w:val="21"/>
          <w:szCs w:val="21"/>
        </w:rPr>
      </w:pPr>
      <w:r>
        <w:rPr>
          <w:rFonts w:hint="eastAsia" w:ascii="宋体" w:hAnsi="宋体" w:eastAsia="宋体" w:cs="宋体"/>
          <w:sz w:val="21"/>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响应人（公章）：</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日期：   年   月   日</w:t>
      </w:r>
      <w:r/>
    </w:p>
    <w:p>
      <w:pPr>
        <w:pStyle w:val="954"/>
        <w:rPr>
          <w:rFonts w:hint="eastAsia" w:ascii="宋体" w:hAnsi="宋体" w:eastAsia="宋体" w:cs="宋体"/>
        </w:rPr>
      </w:pPr>
      <w:r>
        <w:rPr>
          <w:rFonts w:hint="eastAsia" w:ascii="宋体" w:hAnsi="宋体" w:eastAsia="宋体" w:cs="宋体"/>
        </w:rPr>
      </w:r>
      <w:r/>
    </w:p>
    <w:p>
      <w:pPr>
        <w:jc w:val="left"/>
        <w:widowControl/>
        <w:rPr>
          <w:rFonts w:hint="eastAsia" w:ascii="宋体" w:hAnsi="宋体" w:eastAsia="宋体" w:cs="宋体"/>
          <w:b/>
        </w:rPr>
      </w:pPr>
      <w:r>
        <w:rPr>
          <w:rFonts w:hint="eastAsia" w:ascii="宋体" w:hAnsi="宋体" w:eastAsia="宋体" w:cs="宋体"/>
          <w:b/>
        </w:rPr>
        <w:br w:type="page" w:clear="all"/>
      </w:r>
      <w:r/>
    </w:p>
    <w:p>
      <w:pPr>
        <w:jc w:val="left"/>
        <w:spacing w:line="440" w:lineRule="exact"/>
        <w:rPr>
          <w:rFonts w:hint="eastAsia" w:ascii="宋体" w:hAnsi="宋体" w:eastAsia="宋体" w:cs="宋体"/>
          <w:b/>
        </w:rPr>
      </w:pPr>
      <w:r>
        <w:rPr>
          <w:rFonts w:hint="eastAsia" w:ascii="宋体" w:hAnsi="宋体" w:eastAsia="宋体" w:cs="宋体"/>
          <w:b/>
        </w:rPr>
        <w:t xml:space="preserve">格式2、法定代表人授权委托书（如有）</w:t>
      </w:r>
      <w:r/>
    </w:p>
    <w:p>
      <w:pPr>
        <w:pStyle w:val="954"/>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eastAsia="宋体" w:cs="宋体"/>
          <w:b/>
          <w:bCs/>
          <w:sz w:val="24"/>
        </w:rPr>
      </w:pPr>
      <w:r>
        <w:rPr>
          <w:rFonts w:hint="eastAsia" w:ascii="宋体" w:hAnsi="宋体" w:eastAsia="宋体" w:cs="宋体"/>
          <w:b/>
        </w:rPr>
        <w:t xml:space="preserve">法定代表人授权委托书</w:t>
      </w:r>
      <w:r/>
    </w:p>
    <w:p>
      <w:pPr>
        <w:ind w:firstLine="420"/>
        <w:jc w:val="left"/>
        <w:spacing w:line="520" w:lineRule="exact"/>
        <w:rPr>
          <w:rFonts w:hint="eastAsia" w:ascii="宋体" w:hAnsi="宋体" w:eastAsia="宋体" w:cs="宋体"/>
          <w:szCs w:val="21"/>
        </w:rPr>
      </w:pPr>
      <w:r>
        <w:rPr>
          <w:rFonts w:hint="eastAsia" w:ascii="宋体" w:hAnsi="宋体" w:eastAsia="宋体" w:cs="宋体"/>
          <w:szCs w:val="21"/>
        </w:rPr>
        <w:t xml:space="preserve">本授权委托书声明：我</w:t>
      </w:r>
      <w:r>
        <w:rPr>
          <w:rFonts w:hint="eastAsia" w:ascii="宋体" w:hAnsi="宋体" w:eastAsia="宋体" w:cs="宋体"/>
          <w:szCs w:val="21"/>
          <w:u w:val="single"/>
        </w:rPr>
        <w:t xml:space="preserve">       （姓名）</w:t>
      </w:r>
      <w:r>
        <w:rPr>
          <w:rFonts w:hint="eastAsia" w:ascii="宋体" w:hAnsi="宋体" w:eastAsia="宋体" w:cs="宋体"/>
          <w:szCs w:val="21"/>
        </w:rPr>
        <w:t xml:space="preserve">系</w:t>
      </w:r>
      <w:r>
        <w:rPr>
          <w:rFonts w:hint="eastAsia" w:ascii="宋体" w:hAnsi="宋体" w:eastAsia="宋体" w:cs="宋体"/>
          <w:szCs w:val="21"/>
          <w:u w:val="single"/>
        </w:rPr>
        <w:t xml:space="preserve">       （供应商名称） </w:t>
      </w:r>
      <w:r>
        <w:rPr>
          <w:rFonts w:hint="eastAsia" w:ascii="宋体" w:hAnsi="宋体" w:eastAsia="宋体" w:cs="宋体"/>
          <w:b/>
          <w:i/>
          <w:szCs w:val="21"/>
          <w:u w:val="single"/>
        </w:rPr>
        <w:t xml:space="preserve"> </w:t>
      </w:r>
      <w:r>
        <w:rPr>
          <w:rFonts w:hint="eastAsia" w:ascii="宋体" w:hAnsi="宋体" w:eastAsia="宋体" w:cs="宋体"/>
          <w:szCs w:val="21"/>
        </w:rPr>
        <w:t xml:space="preserve">的法定代表人，现授权委托</w:t>
      </w:r>
      <w:r>
        <w:rPr>
          <w:rFonts w:hint="eastAsia" w:ascii="宋体" w:hAnsi="宋体" w:eastAsia="宋体" w:cs="宋体"/>
          <w:szCs w:val="21"/>
          <w:u w:val="single"/>
        </w:rPr>
        <w:t xml:space="preserve">        （姓名）</w:t>
      </w:r>
      <w:r>
        <w:rPr>
          <w:rFonts w:hint="eastAsia" w:ascii="宋体" w:hAnsi="宋体" w:eastAsia="宋体" w:cs="宋体"/>
          <w:szCs w:val="21"/>
        </w:rPr>
        <w:t xml:space="preserve">为我公司授权代表（即代理人），以本公司的名义参加</w:t>
      </w:r>
      <w:r>
        <w:rPr>
          <w:rFonts w:hint="eastAsia" w:ascii="宋体" w:hAnsi="宋体" w:eastAsia="宋体" w:cs="宋体"/>
          <w:szCs w:val="21"/>
          <w:u w:val="single"/>
        </w:rPr>
        <w:t xml:space="preserve">江苏祥和项目管理有限公司</w:t>
      </w:r>
      <w:r>
        <w:rPr>
          <w:rFonts w:hint="eastAsia" w:ascii="宋体" w:hAnsi="宋体" w:eastAsia="宋体" w:cs="宋体"/>
          <w:szCs w:val="21"/>
        </w:rPr>
        <w:t xml:space="preserve">组织实施的编号为</w:t>
      </w:r>
      <w:r>
        <w:rPr>
          <w:rFonts w:hint="eastAsia" w:ascii="宋体" w:hAnsi="宋体" w:eastAsia="宋体" w:cs="宋体"/>
          <w:szCs w:val="21"/>
          <w:u w:val="single"/>
        </w:rPr>
        <w:t xml:space="preserve">      （项目编号） </w:t>
      </w:r>
      <w:r>
        <w:rPr>
          <w:rFonts w:hint="eastAsia" w:ascii="宋体" w:hAnsi="宋体" w:eastAsia="宋体" w:cs="宋体"/>
          <w:szCs w:val="21"/>
        </w:rPr>
        <w:t xml:space="preserve">号的投标活动。代理人在投标活动过程中所签署的一切文件和处理与这有关的一切事务，我均予以承认。</w:t>
      </w:r>
      <w:r/>
    </w:p>
    <w:p>
      <w:pPr>
        <w:ind w:firstLine="420"/>
        <w:jc w:val="left"/>
        <w:spacing w:line="520" w:lineRule="exact"/>
        <w:rPr>
          <w:rFonts w:hint="eastAsia" w:ascii="宋体" w:hAnsi="宋体" w:eastAsia="宋体" w:cs="宋体"/>
          <w:szCs w:val="21"/>
        </w:rPr>
      </w:pPr>
      <w:r>
        <w:rPr>
          <w:rFonts w:hint="eastAsia" w:ascii="宋体" w:hAnsi="宋体" w:eastAsia="宋体" w:cs="宋体"/>
          <w:szCs w:val="21"/>
        </w:rPr>
        <w:t xml:space="preserve">代理人在授权委托书有效期内签署的所有文件不因授权委托的撤销而失效，除非有撤销授权委托的书面通知，本授权委托书自投标活动开始至合同履行完毕止。</w:t>
      </w:r>
      <w:r/>
    </w:p>
    <w:p>
      <w:pPr>
        <w:ind w:firstLine="420"/>
        <w:jc w:val="left"/>
        <w:spacing w:line="520" w:lineRule="exact"/>
        <w:rPr>
          <w:rFonts w:hint="eastAsia" w:ascii="宋体" w:hAnsi="宋体" w:eastAsia="宋体" w:cs="宋体"/>
          <w:szCs w:val="21"/>
        </w:rPr>
      </w:pPr>
      <w:r>
        <w:rPr>
          <w:rFonts w:hint="eastAsia" w:ascii="宋体" w:hAnsi="宋体" w:eastAsia="宋体" w:cs="宋体"/>
          <w:szCs w:val="21"/>
        </w:rPr>
        <w:t xml:space="preserve">代理人无转委托权。特此委托！</w:t>
      </w:r>
      <w:r/>
    </w:p>
    <w:p>
      <w:pPr>
        <w:ind w:firstLine="840"/>
        <w:jc w:val="left"/>
        <w:spacing w:line="440" w:lineRule="exact"/>
        <w:rPr>
          <w:rFonts w:hint="eastAsia" w:ascii="宋体" w:hAnsi="宋体" w:eastAsia="宋体" w:cs="宋体"/>
          <w:szCs w:val="21"/>
        </w:rPr>
      </w:pPr>
      <w:r>
        <w:rPr>
          <w:rFonts w:hint="eastAsia" w:ascii="宋体" w:hAnsi="宋体" w:eastAsia="宋体" w:cs="宋体"/>
          <w:szCs w:val="21"/>
        </w:rPr>
        <w:t xml:space="preserve">    </w:t>
      </w:r>
      <w:r/>
    </w:p>
    <w:p>
      <w:pPr>
        <w:ind w:firstLine="420"/>
        <w:jc w:val="left"/>
        <w:spacing w:line="440" w:lineRule="exact"/>
        <w:rPr>
          <w:rFonts w:hint="eastAsia" w:ascii="宋体" w:hAnsi="宋体" w:eastAsia="宋体" w:cs="宋体"/>
          <w:szCs w:val="21"/>
        </w:rPr>
      </w:pPr>
      <w:r>
        <w:rPr>
          <w:rFonts w:hint="eastAsia" w:ascii="宋体" w:hAnsi="宋体" w:eastAsia="宋体" w:cs="宋体"/>
          <w:szCs w:val="21"/>
        </w:rPr>
        <w:t xml:space="preserve">响应人（公章）：</w:t>
      </w:r>
      <w:r/>
    </w:p>
    <w:p>
      <w:pPr>
        <w:ind w:firstLine="420"/>
        <w:jc w:val="left"/>
        <w:spacing w:line="440" w:lineRule="exact"/>
        <w:rPr>
          <w:rFonts w:hint="eastAsia" w:ascii="宋体" w:hAnsi="宋体" w:eastAsia="宋体" w:cs="宋体"/>
          <w:szCs w:val="21"/>
        </w:rPr>
      </w:pPr>
      <w:r>
        <w:rPr>
          <w:rFonts w:hint="eastAsia" w:ascii="宋体" w:hAnsi="宋体" w:eastAsia="宋体" w:cs="宋体"/>
          <w:szCs w:val="21"/>
        </w:rPr>
        <w:t xml:space="preserve">法定代表人（签字或盖章）：</w:t>
      </w:r>
      <w:r/>
    </w:p>
    <w:p>
      <w:pPr>
        <w:ind w:firstLine="420"/>
        <w:jc w:val="left"/>
        <w:spacing w:line="440" w:lineRule="exact"/>
        <w:rPr>
          <w:rFonts w:hint="eastAsia" w:ascii="宋体" w:hAnsi="宋体" w:eastAsia="宋体" w:cs="宋体"/>
          <w:szCs w:val="21"/>
        </w:rPr>
      </w:pPr>
      <w:r>
        <w:rPr>
          <w:rFonts w:hint="eastAsia" w:ascii="宋体" w:hAnsi="宋体" w:eastAsia="宋体" w:cs="宋体"/>
          <w:szCs w:val="21"/>
        </w:rPr>
        <w:t xml:space="preserve">代理人（签字或盖章）：</w:t>
      </w:r>
      <w:r/>
    </w:p>
    <w:p>
      <w:pPr>
        <w:ind w:firstLine="420"/>
        <w:jc w:val="left"/>
        <w:spacing w:line="440" w:lineRule="exact"/>
        <w:rPr>
          <w:rFonts w:hint="eastAsia" w:ascii="宋体" w:hAnsi="宋体" w:eastAsia="宋体" w:cs="宋体"/>
          <w:szCs w:val="21"/>
        </w:rPr>
      </w:pPr>
      <w:r>
        <w:rPr>
          <w:rFonts w:hint="eastAsia" w:ascii="宋体" w:hAnsi="宋体" w:eastAsia="宋体" w:cs="宋体"/>
          <w:szCs w:val="21"/>
        </w:rPr>
        <w:t xml:space="preserve">日期：     年    月    日</w:t>
      </w:r>
      <w:r/>
    </w:p>
    <w:p>
      <w:pPr>
        <w:jc w:val="left"/>
        <w:spacing w:line="440" w:lineRule="exact"/>
        <w:rPr>
          <w:rFonts w:hint="eastAsia" w:ascii="宋体" w:hAnsi="宋体" w:eastAsia="宋体" w:cs="宋体"/>
          <w:b/>
        </w:rPr>
      </w:pPr>
      <w:r>
        <w:rPr>
          <w:rFonts w:hint="eastAsia" w:ascii="宋体" w:hAnsi="宋体" w:eastAsia="宋体" w:cs="宋体"/>
          <w:b/>
        </w:rPr>
      </w:r>
      <w:r/>
    </w:p>
    <w:p>
      <w:pPr>
        <w:pStyle w:val="954"/>
        <w:rPr>
          <w:rFonts w:hint="eastAsia" w:ascii="宋体" w:hAnsi="宋体" w:eastAsia="宋体" w:cs="宋体"/>
        </w:rPr>
      </w:pPr>
      <w:r>
        <w:rPr>
          <w:rFonts w:hint="eastAsia" w:ascii="宋体" w:hAnsi="宋体" w:eastAsia="宋体" w:cs="宋体"/>
        </w:rPr>
      </w:r>
      <w:r/>
    </w:p>
    <w:p>
      <w:pPr>
        <w:ind w:firstLine="422"/>
        <w:spacing w:line="440" w:lineRule="exact"/>
        <w:rPr>
          <w:rFonts w:hint="eastAsia" w:ascii="宋体" w:hAnsi="宋体" w:eastAsia="宋体" w:cs="宋体"/>
          <w:b/>
          <w:bCs/>
          <w:szCs w:val="21"/>
        </w:rPr>
      </w:pPr>
      <w:r>
        <w:rPr>
          <w:rFonts w:hint="eastAsia" w:ascii="宋体" w:hAnsi="宋体" w:eastAsia="宋体" w:cs="宋体"/>
          <w:b/>
          <w:bCs/>
          <w:szCs w:val="21"/>
        </w:rPr>
        <w:t xml:space="preserve">注：</w:t>
      </w:r>
      <w:r/>
    </w:p>
    <w:p>
      <w:pPr>
        <w:ind w:firstLine="422"/>
        <w:spacing w:line="440" w:lineRule="exact"/>
        <w:rPr>
          <w:rFonts w:hint="eastAsia" w:ascii="宋体" w:hAnsi="宋体" w:eastAsia="宋体" w:cs="宋体"/>
          <w:b/>
        </w:rPr>
      </w:pPr>
      <w:r>
        <w:rPr>
          <w:rFonts w:hint="eastAsia" w:ascii="宋体" w:hAnsi="宋体" w:eastAsia="宋体" w:cs="宋体"/>
          <w:b/>
          <w:bCs/>
          <w:szCs w:val="21"/>
        </w:rPr>
        <w:t xml:space="preserve">1.</w:t>
      </w:r>
      <w:r>
        <w:rPr>
          <w:rFonts w:hint="eastAsia" w:ascii="宋体" w:hAnsi="宋体" w:eastAsia="宋体" w:cs="宋体"/>
          <w:b/>
        </w:rPr>
        <w:t xml:space="preserve">本授权委托书仅限于法人性质投标人投标，且必须提供法定代表人和代理人身份证复印件。非法人性质投标人投标，授权委托书格式自拟，且必须同时提供受托双方身份证复印件。</w:t>
      </w:r>
      <w:r/>
    </w:p>
    <w:p>
      <w:pPr>
        <w:ind w:firstLine="422"/>
        <w:spacing w:line="440" w:lineRule="exact"/>
        <w:rPr>
          <w:rFonts w:hint="eastAsia" w:ascii="宋体" w:hAnsi="宋体" w:eastAsia="宋体" w:cs="宋体"/>
          <w:b/>
          <w:bCs/>
          <w:szCs w:val="21"/>
        </w:rPr>
      </w:pPr>
      <w:r>
        <w:rPr>
          <w:rFonts w:hint="eastAsia" w:ascii="宋体" w:hAnsi="宋体" w:eastAsia="宋体" w:cs="宋体"/>
          <w:b/>
          <w:bCs/>
          <w:szCs w:val="21"/>
        </w:rPr>
        <w:t xml:space="preserve">2.须单位签章、法定代表人签字或盖章、代理人签字或盖章三者齐全，否则该授权委托书无效。</w:t>
      </w:r>
      <w:r/>
    </w:p>
    <w:p>
      <w:pPr>
        <w:pStyle w:val="954"/>
        <w:rPr>
          <w:rFonts w:hint="eastAsia" w:ascii="宋体" w:hAnsi="宋体" w:eastAsia="宋体" w:cs="宋体"/>
        </w:rPr>
      </w:pPr>
      <w:r>
        <w:rPr>
          <w:rFonts w:hint="eastAsia" w:ascii="宋体" w:hAnsi="宋体" w:eastAsia="宋体" w:cs="宋体"/>
        </w:rPr>
        <w:br w:type="page" w:clear="all"/>
      </w:r>
      <w:r/>
    </w:p>
    <w:p>
      <w:pPr>
        <w:jc w:val="left"/>
        <w:spacing w:line="440" w:lineRule="exact"/>
        <w:rPr>
          <w:rFonts w:hint="eastAsia" w:ascii="宋体" w:hAnsi="宋体" w:eastAsia="宋体" w:cs="宋体"/>
          <w:b/>
        </w:rPr>
      </w:pPr>
      <w:r>
        <w:rPr>
          <w:rFonts w:hint="eastAsia" w:ascii="宋体" w:hAnsi="宋体" w:eastAsia="宋体" w:cs="宋体"/>
          <w:b/>
        </w:rPr>
        <w:t xml:space="preserve">格式3、投标响应报价表</w:t>
      </w:r>
      <w:r/>
    </w:p>
    <w:p>
      <w:pPr>
        <w:pStyle w:val="954"/>
        <w:rPr>
          <w:rFonts w:hint="eastAsia" w:ascii="宋体" w:hAnsi="宋体" w:eastAsia="宋体" w:cs="宋体"/>
        </w:rPr>
      </w:pPr>
      <w:r>
        <w:rPr>
          <w:rFonts w:hint="eastAsia" w:ascii="宋体" w:hAnsi="宋体" w:eastAsia="宋体" w:cs="宋体"/>
        </w:rPr>
      </w:r>
      <w:r/>
    </w:p>
    <w:p>
      <w:pPr>
        <w:jc w:val="center"/>
        <w:spacing w:line="480" w:lineRule="auto"/>
        <w:rPr>
          <w:rFonts w:hint="eastAsia" w:ascii="宋体" w:hAnsi="宋体" w:eastAsia="宋体" w:cs="宋体"/>
          <w:b/>
          <w:highlight w:val="yellow"/>
        </w:rPr>
      </w:pPr>
      <w:r>
        <w:rPr>
          <w:rFonts w:hint="eastAsia" w:ascii="宋体" w:hAnsi="宋体" w:eastAsia="宋体" w:cs="宋体"/>
          <w:b/>
          <w:highlight w:val="yellow"/>
        </w:rPr>
        <w:t xml:space="preserve">投标响应报价一览表</w:t>
      </w:r>
      <w:r/>
    </w:p>
    <w:tbl>
      <w:tblPr>
        <w:tblStyle w:val="910"/>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74"/>
        <w:gridCol w:w="3120"/>
        <w:gridCol w:w="3402"/>
        <w:gridCol w:w="1701"/>
        <w:gridCol w:w="958"/>
      </w:tblGrid>
      <w:tr>
        <w:trPr>
          <w:cantSplit/>
          <w:jc w:val="center"/>
          <w:trHeight w:val="595"/>
        </w:trPr>
        <w:tc>
          <w:tcPr>
            <w:tcW w:w="342" w:type="pct"/>
            <w:vAlign w:val="center"/>
            <w:textDirection w:val="lrTb"/>
            <w:noWrap w:val="false"/>
          </w:tcPr>
          <w:p>
            <w:pPr>
              <w:pStyle w:val="918"/>
              <w:jc w:val="center"/>
              <w:rPr>
                <w:rFonts w:hint="eastAsia" w:ascii="宋体" w:hAnsi="宋体" w:eastAsia="宋体" w:cs="宋体"/>
                <w:b/>
                <w:sz w:val="21"/>
                <w:szCs w:val="24"/>
                <w:highlight w:val="yellow"/>
              </w:rPr>
            </w:pPr>
            <w:r>
              <w:rPr>
                <w:rFonts w:hint="eastAsia" w:ascii="宋体" w:hAnsi="宋体" w:eastAsia="宋体" w:cs="宋体"/>
                <w:b/>
                <w:sz w:val="21"/>
                <w:szCs w:val="24"/>
                <w:highlight w:val="yellow"/>
              </w:rPr>
              <w:t xml:space="preserve">序号</w:t>
            </w:r>
            <w:r/>
          </w:p>
        </w:tc>
        <w:tc>
          <w:tcPr>
            <w:tcW w:w="1583" w:type="pct"/>
            <w:vAlign w:val="center"/>
            <w:textDirection w:val="lrTb"/>
            <w:noWrap w:val="false"/>
          </w:tcPr>
          <w:p>
            <w:pPr>
              <w:pStyle w:val="918"/>
              <w:jc w:val="center"/>
              <w:rPr>
                <w:rFonts w:hint="eastAsia" w:ascii="宋体" w:hAnsi="宋体" w:eastAsia="宋体" w:cs="宋体"/>
                <w:b/>
                <w:sz w:val="21"/>
                <w:szCs w:val="24"/>
                <w:highlight w:val="yellow"/>
              </w:rPr>
            </w:pPr>
            <w:r>
              <w:rPr>
                <w:rFonts w:hint="eastAsia" w:ascii="宋体" w:hAnsi="宋体" w:eastAsia="宋体" w:cs="宋体"/>
                <w:b/>
                <w:sz w:val="21"/>
                <w:szCs w:val="24"/>
                <w:highlight w:val="yellow"/>
              </w:rPr>
              <w:t xml:space="preserve">项目名称</w:t>
            </w:r>
            <w:r/>
          </w:p>
        </w:tc>
        <w:tc>
          <w:tcPr>
            <w:tcW w:w="1726" w:type="pct"/>
            <w:vAlign w:val="center"/>
            <w:textDirection w:val="lrTb"/>
            <w:noWrap w:val="false"/>
          </w:tcPr>
          <w:p>
            <w:pPr>
              <w:pStyle w:val="918"/>
              <w:jc w:val="center"/>
              <w:rPr>
                <w:rFonts w:hint="eastAsia" w:ascii="宋体" w:hAnsi="宋体" w:eastAsia="宋体" w:cs="宋体"/>
                <w:b/>
                <w:sz w:val="21"/>
                <w:szCs w:val="24"/>
                <w:highlight w:val="yellow"/>
              </w:rPr>
            </w:pPr>
            <w:r>
              <w:rPr>
                <w:rFonts w:hint="eastAsia" w:ascii="宋体" w:hAnsi="宋体" w:eastAsia="宋体" w:cs="宋体"/>
                <w:b/>
                <w:sz w:val="21"/>
                <w:szCs w:val="24"/>
                <w:highlight w:val="yellow"/>
              </w:rPr>
              <w:t xml:space="preserve">标段名称</w:t>
            </w:r>
            <w:r/>
          </w:p>
        </w:tc>
        <w:tc>
          <w:tcPr>
            <w:tcW w:w="863" w:type="pct"/>
            <w:vAlign w:val="center"/>
            <w:textDirection w:val="lrTb"/>
            <w:noWrap w:val="false"/>
          </w:tcPr>
          <w:p>
            <w:pPr>
              <w:pStyle w:val="918"/>
              <w:jc w:val="center"/>
              <w:rPr>
                <w:rFonts w:hint="eastAsia" w:ascii="宋体" w:hAnsi="宋体" w:eastAsia="宋体" w:cs="宋体"/>
                <w:b/>
                <w:sz w:val="21"/>
                <w:szCs w:val="24"/>
                <w:highlight w:val="yellow"/>
              </w:rPr>
            </w:pPr>
            <w:r>
              <w:rPr>
                <w:rFonts w:hint="eastAsia" w:ascii="宋体" w:hAnsi="宋体" w:eastAsia="宋体" w:cs="宋体"/>
                <w:b/>
                <w:sz w:val="21"/>
                <w:szCs w:val="24"/>
                <w:highlight w:val="yellow"/>
              </w:rPr>
              <w:t xml:space="preserve">报价</w:t>
            </w:r>
            <w:r/>
          </w:p>
        </w:tc>
        <w:tc>
          <w:tcPr>
            <w:tcBorders>
              <w:right w:val="single" w:color="auto" w:sz="4" w:space="0"/>
            </w:tcBorders>
            <w:tcW w:w="486" w:type="pct"/>
            <w:vAlign w:val="center"/>
            <w:textDirection w:val="lrTb"/>
            <w:noWrap w:val="false"/>
          </w:tcPr>
          <w:p>
            <w:pPr>
              <w:pStyle w:val="918"/>
              <w:jc w:val="center"/>
              <w:rPr>
                <w:rFonts w:hint="eastAsia" w:ascii="宋体" w:hAnsi="宋体" w:eastAsia="宋体" w:cs="宋体"/>
                <w:b/>
                <w:sz w:val="21"/>
                <w:szCs w:val="24"/>
                <w:highlight w:val="yellow"/>
              </w:rPr>
            </w:pPr>
            <w:r>
              <w:rPr>
                <w:rFonts w:hint="eastAsia" w:ascii="宋体" w:hAnsi="宋体" w:eastAsia="宋体" w:cs="宋体"/>
                <w:b/>
                <w:sz w:val="21"/>
                <w:szCs w:val="24"/>
                <w:highlight w:val="yellow"/>
              </w:rPr>
              <w:t xml:space="preserve">备注</w:t>
            </w:r>
            <w:r/>
          </w:p>
        </w:tc>
      </w:tr>
      <w:tr>
        <w:trPr>
          <w:cantSplit/>
          <w:jc w:val="center"/>
          <w:trHeight w:val="595"/>
        </w:trPr>
        <w:tc>
          <w:tcPr>
            <w:tcW w:w="342" w:type="pct"/>
            <w:vAlign w:val="center"/>
            <w:textDirection w:val="lrTb"/>
            <w:noWrap w:val="false"/>
          </w:tcPr>
          <w:p>
            <w:pPr>
              <w:pStyle w:val="918"/>
              <w:ind w:firstLine="504"/>
              <w:jc w:val="center"/>
              <w:rPr>
                <w:rFonts w:hint="eastAsia" w:ascii="宋体" w:hAnsi="宋体" w:eastAsia="宋体" w:cs="宋体"/>
                <w:b/>
                <w:sz w:val="21"/>
                <w:szCs w:val="24"/>
                <w:highlight w:val="yellow"/>
              </w:rPr>
            </w:pPr>
            <w:r>
              <w:rPr>
                <w:rFonts w:hint="eastAsia" w:ascii="宋体" w:hAnsi="宋体" w:eastAsia="宋体" w:cs="宋体"/>
                <w:b/>
                <w:sz w:val="21"/>
                <w:szCs w:val="24"/>
                <w:highlight w:val="yellow"/>
              </w:rPr>
            </w:r>
            <w:r/>
          </w:p>
        </w:tc>
        <w:tc>
          <w:tcPr>
            <w:tcW w:w="1583" w:type="pct"/>
            <w:vAlign w:val="center"/>
            <w:textDirection w:val="lrTb"/>
            <w:noWrap w:val="false"/>
          </w:tcPr>
          <w:p>
            <w:pPr>
              <w:pStyle w:val="918"/>
              <w:ind w:firstLine="504"/>
              <w:jc w:val="center"/>
              <w:rPr>
                <w:rFonts w:hint="eastAsia" w:ascii="宋体" w:hAnsi="宋体" w:eastAsia="宋体" w:cs="宋体"/>
                <w:b/>
                <w:sz w:val="21"/>
                <w:szCs w:val="24"/>
                <w:highlight w:val="yellow"/>
              </w:rPr>
            </w:pPr>
            <w:r>
              <w:rPr>
                <w:rFonts w:hint="eastAsia" w:ascii="宋体" w:hAnsi="宋体" w:eastAsia="宋体" w:cs="宋体"/>
                <w:b/>
                <w:sz w:val="21"/>
                <w:szCs w:val="24"/>
                <w:highlight w:val="yellow"/>
              </w:rPr>
            </w:r>
            <w:r/>
          </w:p>
        </w:tc>
        <w:tc>
          <w:tcPr>
            <w:tcW w:w="1726" w:type="pct"/>
            <w:textDirection w:val="lrTb"/>
            <w:noWrap w:val="false"/>
          </w:tcPr>
          <w:p>
            <w:pPr>
              <w:pStyle w:val="918"/>
              <w:ind w:firstLine="504"/>
              <w:jc w:val="center"/>
              <w:rPr>
                <w:rFonts w:hint="eastAsia" w:ascii="宋体" w:hAnsi="宋体" w:eastAsia="宋体" w:cs="宋体"/>
                <w:b/>
                <w:sz w:val="21"/>
                <w:szCs w:val="24"/>
                <w:highlight w:val="yellow"/>
              </w:rPr>
            </w:pPr>
            <w:r>
              <w:rPr>
                <w:rFonts w:hint="eastAsia" w:ascii="宋体" w:hAnsi="宋体" w:eastAsia="宋体" w:cs="宋体"/>
                <w:b/>
                <w:sz w:val="21"/>
                <w:szCs w:val="24"/>
                <w:highlight w:val="yellow"/>
              </w:rPr>
            </w:r>
            <w:r/>
          </w:p>
        </w:tc>
        <w:tc>
          <w:tcPr>
            <w:tcW w:w="863" w:type="pct"/>
            <w:vAlign w:val="center"/>
            <w:textDirection w:val="lrTb"/>
            <w:noWrap w:val="false"/>
          </w:tcPr>
          <w:p>
            <w:pPr>
              <w:pStyle w:val="918"/>
              <w:jc w:val="center"/>
              <w:rPr>
                <w:rFonts w:hint="eastAsia" w:ascii="宋体" w:hAnsi="宋体" w:eastAsia="宋体" w:cs="宋体"/>
                <w:b/>
                <w:sz w:val="21"/>
                <w:szCs w:val="24"/>
              </w:rPr>
            </w:pPr>
            <w:r>
              <w:rPr>
                <w:rFonts w:hint="eastAsia" w:ascii="宋体" w:hAnsi="宋体" w:eastAsia="宋体" w:cs="宋体"/>
                <w:b/>
                <w:sz w:val="21"/>
                <w:szCs w:val="24"/>
              </w:rPr>
            </w:r>
            <w:r/>
          </w:p>
        </w:tc>
        <w:tc>
          <w:tcPr>
            <w:tcBorders>
              <w:right w:val="single" w:color="auto" w:sz="4" w:space="0"/>
            </w:tcBorders>
            <w:tcW w:w="486" w:type="pct"/>
            <w:vAlign w:val="center"/>
            <w:textDirection w:val="lrTb"/>
            <w:noWrap w:val="false"/>
          </w:tcPr>
          <w:p>
            <w:pPr>
              <w:pStyle w:val="918"/>
              <w:ind w:firstLine="504"/>
              <w:jc w:val="center"/>
              <w:rPr>
                <w:rFonts w:hint="eastAsia" w:ascii="宋体" w:hAnsi="宋体" w:eastAsia="宋体" w:cs="宋体"/>
                <w:b/>
                <w:sz w:val="21"/>
                <w:szCs w:val="24"/>
              </w:rPr>
            </w:pPr>
            <w:r>
              <w:rPr>
                <w:rFonts w:hint="eastAsia" w:ascii="宋体" w:hAnsi="宋体" w:eastAsia="宋体" w:cs="宋体"/>
                <w:b/>
                <w:sz w:val="21"/>
                <w:szCs w:val="24"/>
              </w:rPr>
            </w:r>
            <w:r/>
          </w:p>
        </w:tc>
      </w:tr>
    </w:tbl>
    <w:p>
      <w:pPr>
        <w:pStyle w:val="918"/>
        <w:ind w:firstLine="504"/>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8"/>
        <w:ind w:firstLine="504"/>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8"/>
        <w:ind w:firstLine="504"/>
        <w:spacing w:line="360" w:lineRule="auto"/>
        <w:rPr>
          <w:rFonts w:hint="eastAsia" w:ascii="宋体" w:hAnsi="宋体" w:eastAsia="宋体" w:cs="宋体"/>
          <w:b/>
          <w:sz w:val="21"/>
          <w:szCs w:val="24"/>
        </w:rPr>
      </w:pPr>
      <w:r>
        <w:rPr>
          <w:rFonts w:hint="eastAsia" w:ascii="宋体" w:hAnsi="宋体" w:eastAsia="宋体" w:cs="宋体"/>
          <w:b/>
          <w:sz w:val="21"/>
          <w:szCs w:val="24"/>
        </w:rPr>
        <w:t xml:space="preserve">响应人（公章）：</w:t>
      </w:r>
      <w:r/>
    </w:p>
    <w:p>
      <w:pPr>
        <w:pStyle w:val="918"/>
        <w:ind w:firstLine="504"/>
        <w:spacing w:line="360" w:lineRule="auto"/>
        <w:rPr>
          <w:rFonts w:hint="eastAsia" w:ascii="宋体" w:hAnsi="宋体" w:eastAsia="宋体" w:cs="宋体"/>
          <w:b/>
          <w:sz w:val="21"/>
          <w:szCs w:val="24"/>
        </w:rPr>
      </w:pPr>
      <w:r>
        <w:rPr>
          <w:rFonts w:hint="eastAsia" w:ascii="宋体" w:hAnsi="宋体" w:eastAsia="宋体" w:cs="宋体"/>
          <w:b/>
          <w:sz w:val="21"/>
          <w:szCs w:val="24"/>
        </w:rPr>
        <w:t xml:space="preserve">法定代表人或代理人：（签字或盖章）</w:t>
      </w:r>
      <w:r/>
    </w:p>
    <w:p>
      <w:pPr>
        <w:pStyle w:val="918"/>
        <w:ind w:firstLine="504"/>
        <w:spacing w:line="360" w:lineRule="auto"/>
        <w:rPr>
          <w:rFonts w:hint="eastAsia" w:ascii="宋体" w:hAnsi="宋体" w:eastAsia="宋体" w:cs="宋体"/>
          <w:b/>
          <w:sz w:val="21"/>
          <w:szCs w:val="24"/>
        </w:rPr>
      </w:pPr>
      <w:r>
        <w:rPr>
          <w:rFonts w:hint="eastAsia" w:ascii="宋体" w:hAnsi="宋体" w:eastAsia="宋体" w:cs="宋体"/>
          <w:b/>
          <w:sz w:val="21"/>
          <w:szCs w:val="24"/>
        </w:rPr>
        <w:t xml:space="preserve">日期：         年         月       日</w:t>
      </w:r>
      <w:r/>
    </w:p>
    <w:p>
      <w:pPr>
        <w:pStyle w:val="918"/>
        <w:ind w:firstLine="504"/>
        <w:spacing w:line="360" w:lineRule="auto"/>
        <w:rPr>
          <w:rFonts w:hint="eastAsia" w:ascii="宋体" w:hAnsi="宋体" w:eastAsia="宋体" w:cs="宋体"/>
          <w:b/>
          <w:sz w:val="21"/>
          <w:szCs w:val="24"/>
        </w:rPr>
      </w:pPr>
      <w:r>
        <w:rPr>
          <w:rFonts w:hint="eastAsia" w:ascii="宋体" w:hAnsi="宋体" w:eastAsia="宋体" w:cs="宋体"/>
          <w:b/>
          <w:sz w:val="21"/>
          <w:szCs w:val="24"/>
        </w:rPr>
        <w:t xml:space="preserve">联系电话：</w:t>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t xml:space="preserve"> </w:t>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pStyle w:val="914"/>
        <w:ind w:firstLine="0"/>
        <w:spacing w:line="360" w:lineRule="auto"/>
        <w:rPr>
          <w:rFonts w:hint="eastAsia" w:ascii="宋体" w:hAnsi="宋体" w:eastAsia="宋体" w:cs="宋体"/>
          <w:b/>
          <w:sz w:val="21"/>
          <w:szCs w:val="24"/>
        </w:rPr>
      </w:pPr>
      <w:r>
        <w:rPr>
          <w:rFonts w:hint="eastAsia" w:ascii="宋体" w:hAnsi="宋体" w:eastAsia="宋体" w:cs="宋体"/>
          <w:b/>
          <w:sz w:val="21"/>
          <w:szCs w:val="24"/>
        </w:rPr>
      </w:r>
      <w:r/>
    </w:p>
    <w:p>
      <w:pPr>
        <w:jc w:val="left"/>
        <w:spacing w:line="440" w:lineRule="exact"/>
        <w:rPr>
          <w:rFonts w:hint="eastAsia" w:ascii="宋体" w:hAnsi="宋体" w:eastAsia="宋体" w:cs="宋体"/>
          <w:b/>
        </w:rPr>
      </w:pPr>
      <w:r>
        <w:rPr>
          <w:rFonts w:hint="eastAsia" w:ascii="宋体" w:hAnsi="宋体" w:eastAsia="宋体" w:cs="宋体"/>
          <w:b/>
        </w:rPr>
        <w:t xml:space="preserve">格式4、具有履行合同所必需的设备和专业技术能力声明函</w:t>
      </w:r>
      <w:r/>
    </w:p>
    <w:p>
      <w:pPr>
        <w:pStyle w:val="954"/>
        <w:rPr>
          <w:rFonts w:hint="eastAsia" w:ascii="宋体" w:hAnsi="宋体" w:eastAsia="宋体" w:cs="宋体"/>
          <w:b/>
          <w:szCs w:val="24"/>
        </w:rPr>
      </w:pPr>
      <w:r>
        <w:rPr>
          <w:rFonts w:hint="eastAsia" w:ascii="宋体" w:hAnsi="宋体" w:eastAsia="宋体" w:cs="宋体"/>
          <w:b/>
          <w:szCs w:val="24"/>
        </w:rPr>
      </w:r>
      <w:r/>
    </w:p>
    <w:p>
      <w:pPr>
        <w:jc w:val="center"/>
        <w:spacing w:line="360" w:lineRule="auto"/>
        <w:rPr>
          <w:rFonts w:hint="eastAsia" w:ascii="宋体" w:hAnsi="宋体" w:eastAsia="宋体" w:cs="宋体"/>
          <w:b/>
        </w:rPr>
      </w:pPr>
      <w:r>
        <w:rPr>
          <w:rFonts w:hint="eastAsia" w:ascii="宋体" w:hAnsi="宋体" w:eastAsia="宋体" w:cs="宋体"/>
          <w:b/>
        </w:rPr>
        <w:t xml:space="preserve">具有履行合同所必需的设备和专业技术能力声明函</w:t>
      </w:r>
      <w:r/>
    </w:p>
    <w:p>
      <w:pPr>
        <w:pStyle w:val="954"/>
        <w:rPr>
          <w:rFonts w:hint="eastAsia" w:ascii="宋体" w:hAnsi="宋体" w:eastAsia="宋体" w:cs="宋体"/>
          <w:b/>
          <w:szCs w:val="24"/>
        </w:rPr>
      </w:pPr>
      <w:r>
        <w:rPr>
          <w:rFonts w:hint="eastAsia" w:ascii="宋体" w:hAnsi="宋体" w:eastAsia="宋体" w:cs="宋体"/>
          <w:b/>
          <w:szCs w:val="24"/>
        </w:rPr>
      </w:r>
      <w:r/>
    </w:p>
    <w:p>
      <w:pPr>
        <w:spacing w:line="360" w:lineRule="auto"/>
        <w:rPr>
          <w:rFonts w:hint="eastAsia" w:ascii="宋体" w:hAnsi="宋体" w:eastAsia="宋体" w:cs="宋体"/>
          <w:b/>
        </w:rPr>
      </w:pPr>
      <w:r>
        <w:rPr>
          <w:rFonts w:hint="eastAsia" w:ascii="宋体" w:hAnsi="宋体" w:eastAsia="宋体" w:cs="宋体"/>
          <w:b/>
        </w:rPr>
        <w:t xml:space="preserve">江苏祥和项目管理有限公司：</w:t>
      </w:r>
      <w:r/>
    </w:p>
    <w:p>
      <w:pPr>
        <w:ind w:firstLine="422"/>
        <w:spacing w:line="360" w:lineRule="auto"/>
        <w:rPr>
          <w:rFonts w:hint="eastAsia" w:ascii="宋体" w:hAnsi="宋体" w:eastAsia="宋体" w:cs="宋体"/>
          <w:b/>
        </w:rPr>
      </w:pPr>
      <w:r>
        <w:rPr>
          <w:rFonts w:hint="eastAsia" w:ascii="宋体" w:hAnsi="宋体" w:eastAsia="宋体" w:cs="宋体"/>
          <w:b/>
        </w:rPr>
        <w:t xml:space="preserve">我单位   （供应商名称） 郑重声明：我单位具有履行本项采购合同所必需的设备和专业技术能力。</w:t>
      </w:r>
      <w:r/>
    </w:p>
    <w:p>
      <w:pPr>
        <w:pStyle w:val="954"/>
        <w:ind w:firstLine="0"/>
        <w:spacing w:line="360" w:lineRule="auto"/>
        <w:rPr>
          <w:rFonts w:hint="eastAsia" w:ascii="宋体" w:hAnsi="宋体" w:eastAsia="宋体" w:cs="宋体"/>
          <w:b/>
          <w:szCs w:val="24"/>
        </w:rPr>
      </w:pPr>
      <w:r>
        <w:rPr>
          <w:rFonts w:hint="eastAsia" w:ascii="宋体" w:hAnsi="宋体" w:eastAsia="宋体" w:cs="宋体"/>
          <w:b/>
          <w:szCs w:val="24"/>
        </w:rPr>
      </w:r>
      <w:r/>
    </w:p>
    <w:p>
      <w:pPr>
        <w:rPr>
          <w:rFonts w:hint="eastAsia" w:ascii="宋体" w:hAnsi="宋体" w:eastAsia="宋体" w:cs="宋体"/>
          <w:b/>
        </w:rPr>
      </w:pPr>
      <w:r>
        <w:rPr>
          <w:rFonts w:hint="eastAsia" w:ascii="宋体" w:hAnsi="宋体" w:eastAsia="宋体" w:cs="宋体"/>
          <w:b/>
        </w:rPr>
      </w:r>
      <w:r/>
    </w:p>
    <w:p>
      <w:pPr>
        <w:ind w:firstLine="422"/>
        <w:spacing w:line="360" w:lineRule="auto"/>
        <w:rPr>
          <w:rFonts w:hint="eastAsia" w:ascii="宋体" w:hAnsi="宋体" w:eastAsia="宋体" w:cs="宋体"/>
          <w:b/>
        </w:rPr>
      </w:pPr>
      <w:r>
        <w:rPr>
          <w:rFonts w:hint="eastAsia" w:ascii="宋体" w:hAnsi="宋体" w:eastAsia="宋体" w:cs="宋体"/>
          <w:b/>
        </w:rPr>
        <w:t xml:space="preserve">声明人（公章）： </w:t>
      </w:r>
      <w:r/>
    </w:p>
    <w:p>
      <w:pPr>
        <w:ind w:firstLine="422"/>
        <w:spacing w:line="360" w:lineRule="auto"/>
        <w:rPr>
          <w:rFonts w:hint="eastAsia" w:ascii="宋体" w:hAnsi="宋体" w:eastAsia="宋体" w:cs="宋体"/>
          <w:b/>
        </w:rPr>
      </w:pPr>
      <w:r>
        <w:rPr>
          <w:rFonts w:hint="eastAsia" w:ascii="宋体" w:hAnsi="宋体" w:eastAsia="宋体" w:cs="宋体"/>
          <w:b/>
        </w:rPr>
        <w:t xml:space="preserve">日期：    年    月    日</w:t>
      </w:r>
      <w:r/>
    </w:p>
    <w:p>
      <w:pPr>
        <w:jc w:val="left"/>
        <w:widowControl/>
        <w:rPr>
          <w:rFonts w:hint="eastAsia" w:ascii="宋体" w:hAnsi="宋体" w:eastAsia="宋体" w:cs="宋体"/>
          <w:b/>
        </w:rPr>
      </w:pPr>
      <w:r>
        <w:rPr>
          <w:rFonts w:hint="eastAsia" w:ascii="宋体" w:hAnsi="宋体" w:eastAsia="宋体" w:cs="宋体"/>
          <w:b/>
        </w:rPr>
        <w:br w:type="page" w:clear="all"/>
      </w:r>
      <w:r/>
    </w:p>
    <w:p>
      <w:pPr>
        <w:jc w:val="left"/>
        <w:spacing w:line="440" w:lineRule="exact"/>
        <w:rPr>
          <w:rFonts w:hint="eastAsia" w:ascii="宋体" w:hAnsi="宋体" w:eastAsia="宋体" w:cs="宋体"/>
          <w:b/>
          <w:szCs w:val="21"/>
        </w:rPr>
      </w:pPr>
      <w:r>
        <w:rPr>
          <w:rFonts w:hint="eastAsia" w:ascii="宋体" w:hAnsi="宋体" w:eastAsia="宋体" w:cs="宋体"/>
          <w:b/>
          <w:szCs w:val="21"/>
        </w:rPr>
        <w:t xml:space="preserve">格式5、无重大违法记录声明</w:t>
      </w:r>
      <w:r/>
    </w:p>
    <w:p>
      <w:pPr>
        <w:spacing w:line="360" w:lineRule="auto"/>
        <w:widowControl/>
        <w:rPr>
          <w:rFonts w:hint="eastAsia" w:ascii="宋体" w:hAnsi="宋体" w:eastAsia="宋体" w:cs="宋体"/>
          <w:b/>
        </w:rPr>
      </w:pPr>
      <w:r>
        <w:rPr>
          <w:rFonts w:hint="eastAsia" w:ascii="宋体" w:hAnsi="宋体" w:eastAsia="宋体" w:cs="宋体"/>
          <w:b/>
        </w:rPr>
      </w:r>
      <w:r/>
    </w:p>
    <w:p>
      <w:pPr>
        <w:jc w:val="center"/>
        <w:spacing w:line="360" w:lineRule="auto"/>
        <w:rPr>
          <w:rFonts w:hint="eastAsia" w:ascii="宋体" w:hAnsi="宋体" w:eastAsia="宋体" w:cs="宋体"/>
          <w:b/>
        </w:rPr>
      </w:pPr>
      <w:r>
        <w:rPr>
          <w:rFonts w:hint="eastAsia" w:ascii="宋体" w:hAnsi="宋体" w:eastAsia="宋体" w:cs="宋体"/>
          <w:b/>
        </w:rPr>
        <w:t xml:space="preserve">无重大违法记录声明</w:t>
      </w:r>
      <w:r/>
    </w:p>
    <w:p>
      <w:pPr>
        <w:jc w:val="cente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u w:val="single"/>
        </w:rPr>
        <w:t xml:space="preserve">江苏祥和项目管理有限公司</w:t>
      </w:r>
      <w:r>
        <w:rPr>
          <w:rFonts w:hint="eastAsia" w:ascii="宋体" w:hAnsi="宋体" w:eastAsia="宋体" w:cs="宋体"/>
        </w:rPr>
        <w:t xml:space="preserve">：</w:t>
      </w:r>
      <w:r/>
    </w:p>
    <w:p>
      <w:pPr>
        <w:spacing w:line="360" w:lineRule="auto"/>
        <w:rPr>
          <w:rFonts w:hint="eastAsia" w:ascii="宋体" w:hAnsi="宋体" w:eastAsia="宋体" w:cs="宋体"/>
        </w:rPr>
      </w:pPr>
      <w:r>
        <w:rPr>
          <w:rFonts w:hint="eastAsia" w:ascii="宋体" w:hAnsi="宋体" w:eastAsia="宋体" w:cs="宋体"/>
        </w:rPr>
        <w:t xml:space="preserve">     我单位 </w:t>
      </w:r>
      <w:r>
        <w:rPr>
          <w:rFonts w:hint="eastAsia" w:ascii="宋体" w:hAnsi="宋体" w:eastAsia="宋体" w:cs="宋体"/>
          <w:u w:val="single"/>
        </w:rPr>
        <w:t xml:space="preserve">   （供应商名称）    </w:t>
      </w:r>
      <w:r>
        <w:rPr>
          <w:rFonts w:hint="eastAsia" w:ascii="宋体" w:hAnsi="宋体" w:eastAsia="宋体" w:cs="宋体"/>
        </w:rPr>
        <w:t xml:space="preserve">郑重声明：参加本次政府采购活动前3年内，我单位在经营活动中 </w:t>
      </w:r>
      <w:r>
        <w:rPr>
          <w:rFonts w:hint="eastAsia" w:ascii="宋体" w:hAnsi="宋体" w:eastAsia="宋体" w:cs="宋体"/>
          <w:u w:val="single"/>
        </w:rPr>
        <w:t xml:space="preserve">  （在下划线上如实填写：有或没有） </w:t>
      </w:r>
      <w:r>
        <w:rPr>
          <w:rFonts w:hint="eastAsia" w:ascii="宋体" w:hAnsi="宋体" w:eastAsia="宋体" w:cs="宋体"/>
        </w:rPr>
        <w:t xml:space="preserve">重大违法记录。</w:t>
      </w:r>
      <w:r/>
    </w:p>
    <w:p>
      <w:pPr>
        <w:spacing w:line="360" w:lineRule="auto"/>
        <w:rPr>
          <w:rFonts w:hint="eastAsia" w:ascii="宋体" w:hAnsi="宋体" w:eastAsia="宋体" w:cs="宋体"/>
        </w:rPr>
      </w:pPr>
      <w:r>
        <w:rPr>
          <w:rFonts w:hint="eastAsia" w:ascii="宋体" w:hAnsi="宋体" w:eastAsia="宋体" w:cs="宋体"/>
        </w:rPr>
        <w:t xml:space="preserve">    （说明：政府采购法第二十二条第一款第五项所称重大违法记录，是指供应商因违法经营受到刑事处罚或者责令停产停业、吊销许可证或者执照、较大数额罚款等行政处罚。）                         </w:t>
      </w:r>
      <w:r/>
    </w:p>
    <w:p>
      <w:pPr>
        <w:spacing w:line="360" w:lineRule="auto"/>
        <w:rPr>
          <w:rFonts w:hint="eastAsia" w:ascii="宋体" w:hAnsi="宋体" w:eastAsia="宋体" w:cs="宋体"/>
        </w:rPr>
      </w:pPr>
      <w:r>
        <w:rPr>
          <w:rFonts w:hint="eastAsia" w:ascii="宋体" w:hAnsi="宋体" w:eastAsia="宋体" w:cs="宋体"/>
        </w:rPr>
      </w:r>
      <w:r/>
    </w:p>
    <w:p>
      <w:pPr>
        <w:pStyle w:val="954"/>
        <w:rPr>
          <w:rFonts w:hint="eastAsia" w:ascii="宋体" w:hAnsi="宋体" w:eastAsia="宋体" w:cs="宋体"/>
        </w:rPr>
      </w:pPr>
      <w:r>
        <w:rPr>
          <w:rFonts w:hint="eastAsia" w:ascii="宋体" w:hAnsi="宋体" w:eastAsia="宋体" w:cs="宋体"/>
        </w:rPr>
      </w:r>
      <w:r/>
    </w:p>
    <w:p>
      <w:pPr>
        <w:ind w:firstLine="420"/>
        <w:jc w:val="left"/>
        <w:spacing w:line="360" w:lineRule="auto"/>
        <w:rPr>
          <w:rFonts w:hint="eastAsia" w:ascii="宋体" w:hAnsi="宋体" w:eastAsia="宋体" w:cs="宋体"/>
        </w:rPr>
      </w:pPr>
      <w:r>
        <w:rPr>
          <w:rFonts w:hint="eastAsia" w:ascii="宋体" w:hAnsi="宋体" w:eastAsia="宋体" w:cs="宋体"/>
        </w:rPr>
        <w:t xml:space="preserve">声明人（公章）： </w:t>
      </w:r>
      <w:r/>
    </w:p>
    <w:p>
      <w:pPr>
        <w:ind w:firstLine="420"/>
        <w:jc w:val="left"/>
        <w:spacing w:line="360" w:lineRule="auto"/>
        <w:rPr>
          <w:rFonts w:hint="eastAsia" w:ascii="宋体" w:hAnsi="宋体" w:eastAsia="宋体" w:cs="宋体"/>
        </w:rPr>
      </w:pPr>
      <w:r>
        <w:rPr>
          <w:rFonts w:hint="eastAsia" w:ascii="宋体" w:hAnsi="宋体" w:eastAsia="宋体" w:cs="宋体"/>
        </w:rPr>
        <w:t xml:space="preserve">日期：    年    月    日</w:t>
      </w:r>
      <w:r/>
    </w:p>
    <w:p>
      <w:pPr>
        <w:jc w:val="left"/>
        <w:widowControl/>
        <w:rPr>
          <w:rFonts w:hint="eastAsia" w:ascii="宋体" w:hAnsi="宋体" w:eastAsia="宋体" w:cs="宋体"/>
          <w:b/>
          <w:szCs w:val="21"/>
        </w:rPr>
      </w:pPr>
      <w:r>
        <w:rPr>
          <w:rFonts w:hint="eastAsia" w:ascii="宋体" w:hAnsi="宋体" w:eastAsia="宋体" w:cs="宋体"/>
          <w:b/>
          <w:szCs w:val="21"/>
        </w:rPr>
        <w:br w:type="page" w:clear="all"/>
      </w:r>
      <w:r/>
    </w:p>
    <w:p>
      <w:pPr>
        <w:jc w:val="left"/>
        <w:spacing w:line="440" w:lineRule="exact"/>
        <w:rPr>
          <w:rFonts w:hint="eastAsia" w:ascii="宋体" w:hAnsi="宋体" w:eastAsia="宋体" w:cs="宋体"/>
          <w:b/>
          <w:szCs w:val="21"/>
        </w:rPr>
      </w:pPr>
      <w:r>
        <w:rPr>
          <w:rFonts w:hint="eastAsia" w:ascii="宋体" w:hAnsi="宋体" w:eastAsia="宋体" w:cs="宋体"/>
          <w:b/>
          <w:szCs w:val="21"/>
        </w:rPr>
        <w:t xml:space="preserve">格式6、关于资格文件的声明函</w:t>
      </w:r>
      <w:r/>
    </w:p>
    <w:p>
      <w:pPr>
        <w:pStyle w:val="954"/>
        <w:rPr>
          <w:rFonts w:hint="eastAsia" w:ascii="宋体" w:hAnsi="宋体" w:eastAsia="宋体" w:cs="宋体"/>
        </w:rPr>
      </w:pPr>
      <w:r>
        <w:rPr>
          <w:rFonts w:hint="eastAsia" w:ascii="宋体" w:hAnsi="宋体" w:eastAsia="宋体" w:cs="宋体"/>
        </w:rPr>
      </w:r>
      <w:r/>
    </w:p>
    <w:p>
      <w:pPr>
        <w:pStyle w:val="954"/>
        <w:ind w:firstLine="0"/>
        <w:jc w:val="center"/>
        <w:rPr>
          <w:rFonts w:hint="eastAsia" w:ascii="宋体" w:hAnsi="宋体" w:eastAsia="宋体" w:cs="宋体"/>
          <w:b/>
          <w:szCs w:val="21"/>
        </w:rPr>
      </w:pPr>
      <w:r>
        <w:rPr>
          <w:rFonts w:hint="eastAsia" w:ascii="宋体" w:hAnsi="宋体" w:eastAsia="宋体" w:cs="宋体"/>
          <w:b/>
          <w:szCs w:val="21"/>
        </w:rPr>
        <w:t xml:space="preserve">关于资格文件的声明</w:t>
      </w:r>
      <w:r>
        <w:rPr>
          <w:rFonts w:hint="eastAsia" w:ascii="宋体" w:hAnsi="宋体" w:eastAsia="宋体" w:cs="宋体"/>
          <w:b/>
          <w:szCs w:val="21"/>
        </w:rPr>
        <w:t xml:space="preserve">函</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u w:val="single"/>
        </w:rPr>
        <w:t xml:space="preserve">江苏祥和项目管理有限公司</w:t>
      </w:r>
      <w:r>
        <w:rPr>
          <w:rFonts w:hint="eastAsia" w:ascii="宋体" w:hAnsi="宋体" w:eastAsia="宋体" w:cs="宋体"/>
          <w:szCs w:val="21"/>
        </w:rPr>
        <w:t xml:space="preserve">：</w:t>
      </w:r>
      <w:r/>
    </w:p>
    <w:p>
      <w:pPr>
        <w:pStyle w:val="914"/>
        <w:ind w:left="315" w:firstLine="63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本公司愿就由贵方组织实施的编号为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号的投标采购活动进行响应。本公司所提交的响应文件中所有关于</w:t>
      </w:r>
      <w:r>
        <w:rPr>
          <w:rFonts w:hint="eastAsia" w:ascii="宋体" w:hAnsi="宋体" w:eastAsia="宋体" w:cs="宋体"/>
          <w:sz w:val="21"/>
        </w:rPr>
        <w:t xml:space="preserve">投标资格的文件</w:t>
      </w:r>
      <w:r>
        <w:rPr>
          <w:rFonts w:hint="eastAsia" w:ascii="宋体" w:hAnsi="宋体" w:eastAsia="宋体" w:cs="宋体"/>
          <w:sz w:val="21"/>
          <w:szCs w:val="21"/>
        </w:rPr>
        <w:t xml:space="preserve">、证明和陈述均是真实的、准确的、有效的。若与真实情况不符，本公司愿意承担由此而产生的一切后果。</w:t>
      </w:r>
      <w:r/>
    </w:p>
    <w:p>
      <w:pPr>
        <w:spacing w:line="360" w:lineRule="auto"/>
        <w:rPr>
          <w:rFonts w:hint="eastAsia" w:ascii="宋体" w:hAnsi="宋体" w:eastAsia="宋体" w:cs="宋体"/>
        </w:rPr>
      </w:pPr>
      <w:r>
        <w:rPr>
          <w:rFonts w:hint="eastAsia" w:ascii="宋体" w:hAnsi="宋体" w:eastAsia="宋体" w:cs="宋体"/>
        </w:rPr>
      </w:r>
      <w:r/>
    </w:p>
    <w:p>
      <w:pPr>
        <w:ind w:firstLine="420"/>
        <w:jc w:val="left"/>
        <w:spacing w:line="440" w:lineRule="exact"/>
        <w:rPr>
          <w:rFonts w:hint="eastAsia" w:ascii="宋体" w:hAnsi="宋体" w:eastAsia="宋体" w:cs="宋体"/>
          <w:szCs w:val="21"/>
        </w:rPr>
      </w:pPr>
      <w:r>
        <w:rPr>
          <w:rFonts w:hint="eastAsia" w:ascii="宋体" w:hAnsi="宋体" w:eastAsia="宋体" w:cs="宋体"/>
          <w:szCs w:val="21"/>
        </w:rPr>
        <w:t xml:space="preserve">响应人（公章）：</w:t>
      </w:r>
      <w:r/>
    </w:p>
    <w:p>
      <w:pPr>
        <w:ind w:firstLine="420"/>
        <w:jc w:val="left"/>
        <w:spacing w:line="440" w:lineRule="exact"/>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ind w:firstLine="420"/>
        <w:jc w:val="left"/>
        <w:spacing w:line="440" w:lineRule="exact"/>
        <w:rPr>
          <w:rFonts w:hint="eastAsia" w:ascii="宋体" w:hAnsi="宋体" w:eastAsia="宋体" w:cs="宋体"/>
          <w:szCs w:val="21"/>
        </w:rPr>
      </w:pPr>
      <w:r>
        <w:rPr>
          <w:rFonts w:hint="eastAsia" w:ascii="宋体" w:hAnsi="宋体" w:eastAsia="宋体" w:cs="宋体"/>
          <w:szCs w:val="21"/>
        </w:rPr>
        <w:t xml:space="preserve">日期：   年   月   日</w:t>
      </w:r>
      <w:r/>
    </w:p>
    <w:p>
      <w:pPr>
        <w:jc w:val="left"/>
        <w:widowControl/>
        <w:rPr>
          <w:rFonts w:hint="eastAsia" w:ascii="宋体" w:hAnsi="宋体" w:eastAsia="宋体" w:cs="宋体"/>
          <w:sz w:val="28"/>
          <w:lang w:val="zh-CN"/>
        </w:rPr>
      </w:pPr>
      <w:r>
        <w:rPr>
          <w:rFonts w:hint="eastAsia" w:ascii="宋体" w:hAnsi="宋体" w:eastAsia="宋体" w:cs="宋体"/>
          <w:sz w:val="28"/>
          <w:lang w:val="zh-CN"/>
        </w:rPr>
        <w:br w:type="page" w:clear="all"/>
      </w:r>
      <w:r/>
    </w:p>
    <w:p>
      <w:pPr>
        <w:jc w:val="left"/>
        <w:spacing w:line="440" w:lineRule="exact"/>
        <w:rPr>
          <w:rFonts w:hint="eastAsia" w:ascii="宋体" w:hAnsi="宋体" w:eastAsia="宋体" w:cs="宋体"/>
          <w:b/>
          <w:szCs w:val="21"/>
        </w:rPr>
      </w:pPr>
      <w:r>
        <w:rPr>
          <w:rFonts w:hint="eastAsia" w:ascii="宋体" w:hAnsi="宋体" w:eastAsia="宋体" w:cs="宋体"/>
          <w:b/>
          <w:szCs w:val="21"/>
        </w:rPr>
        <w:t xml:space="preserve">格式7、响应单位情况表</w:t>
      </w:r>
      <w:r/>
    </w:p>
    <w:p>
      <w:pPr>
        <w:pStyle w:val="954"/>
        <w:rPr>
          <w:rFonts w:hint="eastAsia" w:ascii="宋体" w:hAnsi="宋体" w:eastAsia="宋体" w:cs="宋体"/>
        </w:rPr>
      </w:pPr>
      <w:r>
        <w:rPr>
          <w:rFonts w:hint="eastAsia" w:ascii="宋体" w:hAnsi="宋体" w:eastAsia="宋体" w:cs="宋体"/>
        </w:rPr>
      </w:r>
      <w:r/>
    </w:p>
    <w:p>
      <w:pPr>
        <w:pStyle w:val="954"/>
        <w:ind w:firstLine="0"/>
        <w:jc w:val="center"/>
        <w:rPr>
          <w:rFonts w:hint="eastAsia" w:ascii="宋体" w:hAnsi="宋体" w:eastAsia="宋体" w:cs="宋体"/>
        </w:rPr>
      </w:pPr>
      <w:r>
        <w:rPr>
          <w:rFonts w:hint="eastAsia" w:ascii="宋体" w:hAnsi="宋体" w:eastAsia="宋体" w:cs="宋体"/>
          <w:b/>
          <w:szCs w:val="21"/>
        </w:rPr>
        <w:t xml:space="preserve">响应单位情况表</w:t>
      </w:r>
      <w:r/>
    </w:p>
    <w:p>
      <w:pPr>
        <w:jc w:val="left"/>
        <w:spacing w:line="440" w:lineRule="exact"/>
        <w:rPr>
          <w:rFonts w:hint="eastAsia" w:ascii="宋体" w:hAnsi="宋体" w:eastAsia="宋体" w:cs="宋体"/>
          <w:szCs w:val="21"/>
        </w:rPr>
      </w:pPr>
      <w:r>
        <w:rPr>
          <w:rFonts w:hint="eastAsia" w:ascii="宋体" w:hAnsi="宋体" w:eastAsia="宋体" w:cs="宋体"/>
          <w:szCs w:val="21"/>
        </w:rPr>
        <w:t xml:space="preserve">单位名称（盖章）</w:t>
      </w:r>
      <w:r/>
    </w:p>
    <w:tbl>
      <w:tblPr>
        <w:tblStyle w:val="910"/>
        <w:tblW w:w="8360" w:type="dxa"/>
        <w:tblInd w:w="11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970"/>
        <w:gridCol w:w="1757"/>
        <w:gridCol w:w="1364"/>
        <w:gridCol w:w="2269"/>
      </w:tblGrid>
      <w:tr>
        <w:trPr>
          <w:cantSplit/>
        </w:trPr>
        <w:tc>
          <w:tcPr>
            <w:tcW w:w="297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法定代表人/负责人</w:t>
            </w:r>
            <w:r/>
          </w:p>
        </w:tc>
        <w:tc>
          <w:tcPr>
            <w:tcW w:w="1757"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c>
          <w:tcPr>
            <w:tcW w:w="1364"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成立日期</w:t>
            </w:r>
            <w:r/>
          </w:p>
        </w:tc>
        <w:tc>
          <w:tcPr>
            <w:tcW w:w="226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Pr>
        <w:tc>
          <w:tcPr>
            <w:tcW w:w="297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企业地址</w:t>
            </w:r>
            <w:r/>
          </w:p>
        </w:tc>
        <w:tc>
          <w:tcPr>
            <w:tcW w:w="1757"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c>
          <w:tcPr>
            <w:tcW w:w="1364"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注册资本</w:t>
            </w:r>
            <w:r/>
          </w:p>
        </w:tc>
        <w:tc>
          <w:tcPr>
            <w:tcW w:w="226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万元</w:t>
            </w:r>
            <w:r/>
          </w:p>
        </w:tc>
      </w:tr>
      <w:tr>
        <w:trPr>
          <w:cantSplit/>
        </w:trPr>
        <w:tc>
          <w:tcPr>
            <w:tcW w:w="2970"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经营范围</w:t>
            </w:r>
            <w:r/>
          </w:p>
        </w:tc>
        <w:tc>
          <w:tcPr>
            <w:gridSpan w:val="3"/>
            <w:tcW w:w="539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Pr>
        <w:tc>
          <w:tcPr>
            <w:tcW w:w="2970"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职工人数</w:t>
            </w:r>
            <w:r/>
          </w:p>
        </w:tc>
        <w:tc>
          <w:tcPr>
            <w:tcW w:w="1757"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c>
          <w:tcPr>
            <w:tcW w:w="1364"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其中：有中高级以上职称的人数</w:t>
            </w:r>
            <w:r/>
          </w:p>
        </w:tc>
        <w:tc>
          <w:tcPr>
            <w:tcW w:w="226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Pr>
        <w:tc>
          <w:tcPr>
            <w:tcW w:w="2970"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资产总计</w:t>
            </w:r>
            <w:r/>
          </w:p>
        </w:tc>
        <w:tc>
          <w:tcPr>
            <w:tcW w:w="1757"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         万元</w:t>
            </w:r>
            <w:r/>
          </w:p>
        </w:tc>
        <w:tc>
          <w:tcPr>
            <w:tcW w:w="1364"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t xml:space="preserve">净资产</w:t>
            </w:r>
            <w:r/>
          </w:p>
        </w:tc>
        <w:tc>
          <w:tcPr>
            <w:tcW w:w="2269"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               万元</w:t>
            </w:r>
            <w:r/>
          </w:p>
        </w:tc>
      </w:tr>
      <w:tr>
        <w:trPr>
          <w:cantSplit/>
        </w:trPr>
        <w:tc>
          <w:tcPr>
            <w:tcW w:w="2970"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股东权益</w:t>
            </w:r>
            <w:r/>
          </w:p>
        </w:tc>
        <w:tc>
          <w:tcPr>
            <w:tcW w:w="1757"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         万元</w:t>
            </w:r>
            <w:r/>
          </w:p>
        </w:tc>
        <w:tc>
          <w:tcPr>
            <w:tcW w:w="1364"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t xml:space="preserve">销售收入</w:t>
            </w:r>
            <w:r/>
          </w:p>
        </w:tc>
        <w:tc>
          <w:tcPr>
            <w:tcW w:w="2269"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t xml:space="preserve">2024年         万元</w:t>
            </w:r>
            <w:r/>
          </w:p>
        </w:tc>
      </w:tr>
      <w:tr>
        <w:trPr>
          <w:cantSplit/>
        </w:trPr>
        <w:tc>
          <w:tcPr>
            <w:tcW w:w="2970"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实现利润</w:t>
            </w:r>
            <w:r/>
          </w:p>
        </w:tc>
        <w:tc>
          <w:tcPr>
            <w:tcW w:w="1757"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2024年    万元</w:t>
            </w:r>
            <w:r/>
          </w:p>
        </w:tc>
        <w:tc>
          <w:tcPr>
            <w:tcW w:w="1364"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c>
          <w:tcPr>
            <w:tcW w:w="226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Pr>
        <w:tc>
          <w:tcPr>
            <w:tcW w:w="2970"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营业面积</w:t>
            </w:r>
            <w:r/>
          </w:p>
        </w:tc>
        <w:tc>
          <w:tcPr>
            <w:tcW w:w="1757"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t xml:space="preserve">       平方米</w:t>
            </w:r>
            <w:r/>
          </w:p>
        </w:tc>
        <w:tc>
          <w:tcPr>
            <w:tcW w:w="1364" w:type="dxa"/>
            <w:vAlign w:val="center"/>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t xml:space="preserve">其中：</w:t>
            </w:r>
            <w:r/>
          </w:p>
        </w:tc>
        <w:tc>
          <w:tcPr>
            <w:tcW w:w="2269"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自有面积     平方米</w:t>
            </w:r>
            <w:r/>
          </w:p>
          <w:p>
            <w:pPr>
              <w:jc w:val="left"/>
              <w:spacing w:line="440" w:lineRule="exact"/>
              <w:rPr>
                <w:rFonts w:hint="eastAsia" w:ascii="宋体" w:hAnsi="宋体" w:eastAsia="宋体" w:cs="宋体"/>
                <w:szCs w:val="21"/>
              </w:rPr>
            </w:pPr>
            <w:r>
              <w:rPr>
                <w:rFonts w:hint="eastAsia" w:ascii="宋体" w:hAnsi="宋体" w:eastAsia="宋体" w:cs="宋体"/>
                <w:szCs w:val="21"/>
              </w:rPr>
              <w:t xml:space="preserve">承租面积     平方米</w:t>
            </w:r>
            <w:r/>
          </w:p>
        </w:tc>
      </w:tr>
      <w:tr>
        <w:trPr>
          <w:cantSplit/>
          <w:trHeight w:val="356"/>
        </w:trPr>
        <w:tc>
          <w:tcPr>
            <w:tcW w:w="2970"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单位简历及内设机构情况</w:t>
            </w:r>
            <w:r/>
          </w:p>
        </w:tc>
        <w:tc>
          <w:tcPr>
            <w:gridSpan w:val="3"/>
            <w:tcW w:w="539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Height w:val="431"/>
        </w:trPr>
        <w:tc>
          <w:tcPr>
            <w:tcW w:w="2970" w:type="dxa"/>
            <w:vAlign w:val="center"/>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单位优势及特长</w:t>
            </w:r>
            <w:r/>
          </w:p>
        </w:tc>
        <w:tc>
          <w:tcPr>
            <w:gridSpan w:val="3"/>
            <w:tcW w:w="539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Pr>
        <w:tc>
          <w:tcPr>
            <w:tcW w:w="297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近两年来完成或正在履行的重大合同情况</w:t>
            </w:r>
            <w:r/>
          </w:p>
        </w:tc>
        <w:tc>
          <w:tcPr>
            <w:gridSpan w:val="3"/>
            <w:tcW w:w="539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Pr>
        <w:tc>
          <w:tcPr>
            <w:tcW w:w="297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最近2年内在经营过程中受到何种奖励或处分</w:t>
            </w:r>
            <w:r/>
          </w:p>
        </w:tc>
        <w:tc>
          <w:tcPr>
            <w:gridSpan w:val="3"/>
            <w:tcW w:w="539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（包括财政、工商、税务、物价、技监部门稽查情况和结果）</w:t>
            </w:r>
            <w:r/>
          </w:p>
        </w:tc>
      </w:tr>
      <w:tr>
        <w:trPr>
          <w:cantSplit/>
        </w:trPr>
        <w:tc>
          <w:tcPr>
            <w:tcW w:w="297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最近3年内有无因售假、售劣或其他原因被消费者投诉或起诉的情况及说明</w:t>
            </w:r>
            <w:r/>
          </w:p>
        </w:tc>
        <w:tc>
          <w:tcPr>
            <w:gridSpan w:val="3"/>
            <w:tcW w:w="539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（包括解决方式和结果）</w:t>
            </w:r>
            <w:r/>
          </w:p>
        </w:tc>
      </w:tr>
      <w:tr>
        <w:trPr>
          <w:cantSplit/>
          <w:trHeight w:val="1161"/>
        </w:trPr>
        <w:tc>
          <w:tcPr>
            <w:tcW w:w="297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最近3年内主要负责人有无因经济犯罪被司法机关追究的情况及说明</w:t>
            </w:r>
            <w:r/>
          </w:p>
        </w:tc>
        <w:tc>
          <w:tcPr>
            <w:gridSpan w:val="3"/>
            <w:tcW w:w="539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r>
        <w:trPr>
          <w:cantSplit/>
          <w:trHeight w:val="978"/>
        </w:trPr>
        <w:tc>
          <w:tcPr>
            <w:tcW w:w="297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t xml:space="preserve">其他需要说明的情况</w:t>
            </w:r>
            <w:r/>
          </w:p>
        </w:tc>
        <w:tc>
          <w:tcPr>
            <w:gridSpan w:val="3"/>
            <w:tcW w:w="5390" w:type="dxa"/>
            <w:textDirection w:val="lrTb"/>
            <w:noWrap w:val="false"/>
          </w:tcPr>
          <w:p>
            <w:pPr>
              <w:jc w:val="left"/>
              <w:spacing w:line="440" w:lineRule="exact"/>
              <w:rPr>
                <w:rFonts w:hint="eastAsia" w:ascii="宋体" w:hAnsi="宋体" w:eastAsia="宋体" w:cs="宋体"/>
                <w:szCs w:val="21"/>
              </w:rPr>
            </w:pPr>
            <w:r>
              <w:rPr>
                <w:rFonts w:hint="eastAsia" w:ascii="宋体" w:hAnsi="宋体" w:eastAsia="宋体" w:cs="宋体"/>
                <w:szCs w:val="21"/>
              </w:rPr>
            </w:r>
            <w:r/>
          </w:p>
        </w:tc>
      </w:tr>
    </w:tbl>
    <w:p>
      <w:pPr>
        <w:jc w:val="left"/>
        <w:spacing w:line="440" w:lineRule="exact"/>
        <w:rPr>
          <w:rFonts w:hint="eastAsia" w:ascii="宋体" w:hAnsi="宋体" w:eastAsia="宋体" w:cs="宋体"/>
        </w:rPr>
      </w:pPr>
      <w:r>
        <w:rPr>
          <w:rFonts w:hint="eastAsia" w:ascii="宋体" w:hAnsi="宋体" w:eastAsia="宋体" w:cs="宋体"/>
        </w:rPr>
      </w:r>
      <w:r/>
    </w:p>
    <w:p>
      <w:pPr>
        <w:pStyle w:val="954"/>
        <w:rPr>
          <w:rFonts w:hint="eastAsia" w:ascii="宋体" w:hAnsi="宋体" w:eastAsia="宋体" w:cs="宋体"/>
        </w:rPr>
      </w:pPr>
      <w:r>
        <w:rPr>
          <w:rFonts w:hint="eastAsia" w:ascii="宋体" w:hAnsi="宋体" w:eastAsia="宋体" w:cs="宋体"/>
        </w:rPr>
        <w:br w:type="page" w:clear="all"/>
      </w:r>
      <w:r/>
    </w:p>
    <w:p>
      <w:pPr>
        <w:pStyle w:val="916"/>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格式8、服务条款偏离表</w:t>
      </w:r>
      <w:r/>
    </w:p>
    <w:p>
      <w:pPr>
        <w:pStyle w:val="916"/>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p>
      <w:pPr>
        <w:jc w:val="center"/>
        <w:spacing w:line="360" w:lineRule="auto"/>
        <w:rPr>
          <w:rFonts w:hint="eastAsia" w:ascii="宋体" w:hAnsi="宋体" w:eastAsia="宋体" w:cs="宋体"/>
          <w:b/>
          <w:bCs/>
        </w:rPr>
      </w:pPr>
      <w:r>
        <w:rPr>
          <w:rFonts w:hint="eastAsia" w:ascii="宋体" w:hAnsi="宋体" w:eastAsia="宋体" w:cs="宋体"/>
          <w:b/>
          <w:bCs/>
        </w:rPr>
        <w:t xml:space="preserve">服务条款偏离表</w:t>
      </w:r>
      <w:r/>
    </w:p>
    <w:p>
      <w:pPr>
        <w:pStyle w:val="997"/>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项目编号：</w:t>
      </w:r>
      <w:r/>
    </w:p>
    <w:p>
      <w:pPr>
        <w:ind w:firstLine="420"/>
        <w:spacing w:line="360" w:lineRule="auto"/>
        <w:rPr>
          <w:rFonts w:hint="eastAsia" w:ascii="宋体" w:hAnsi="宋体" w:eastAsia="宋体" w:cs="宋体"/>
        </w:rPr>
      </w:pPr>
      <w:r>
        <w:rPr>
          <w:rFonts w:hint="eastAsia" w:ascii="宋体" w:hAnsi="宋体" w:eastAsia="宋体" w:cs="宋体"/>
          <w:bCs/>
          <w:szCs w:val="21"/>
        </w:rPr>
        <w:t xml:space="preserve">项目名称：</w:t>
      </w:r>
      <w:r>
        <w:rPr>
          <w:rFonts w:hint="eastAsia" w:ascii="宋体" w:hAnsi="宋体" w:eastAsia="宋体" w:cs="宋体"/>
        </w:rPr>
        <w:t xml:space="preserve">                             </w:t>
      </w:r>
      <w:r/>
    </w:p>
    <w:tbl>
      <w:tblPr>
        <w:tblStyle w:val="910"/>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447"/>
        <w:gridCol w:w="2127"/>
        <w:gridCol w:w="2146"/>
        <w:gridCol w:w="1308"/>
      </w:tblGrid>
      <w:tr>
        <w:trPr>
          <w:jc w:val="center"/>
        </w:trPr>
        <w:tc>
          <w:tcPr>
            <w:tcW w:w="708" w:type="dxa"/>
            <w:vAlign w:val="center"/>
            <w:textDirection w:val="lrTb"/>
            <w:noWrap w:val="false"/>
          </w:tcPr>
          <w:p>
            <w:pPr>
              <w:jc w:val="center"/>
              <w:rPr>
                <w:rFonts w:hint="eastAsia" w:ascii="宋体" w:hAnsi="宋体" w:eastAsia="宋体" w:cs="宋体"/>
              </w:rPr>
            </w:pPr>
            <w:r>
              <w:rPr>
                <w:rFonts w:hint="eastAsia" w:ascii="宋体" w:hAnsi="宋体" w:eastAsia="宋体" w:cs="宋体"/>
                <w:bCs/>
                <w:szCs w:val="21"/>
              </w:rPr>
              <w:t xml:space="preserve">序号</w:t>
            </w:r>
            <w:r/>
          </w:p>
        </w:tc>
        <w:tc>
          <w:tcPr>
            <w:tcW w:w="2447" w:type="dxa"/>
            <w:vAlign w:val="center"/>
            <w:textDirection w:val="lrTb"/>
            <w:noWrap w:val="false"/>
          </w:tcPr>
          <w:p>
            <w:pPr>
              <w:jc w:val="center"/>
              <w:rPr>
                <w:rFonts w:hint="eastAsia" w:ascii="宋体" w:hAnsi="宋体" w:eastAsia="宋体" w:cs="宋体"/>
              </w:rPr>
            </w:pPr>
            <w:r>
              <w:rPr>
                <w:rFonts w:hint="eastAsia" w:ascii="宋体" w:hAnsi="宋体" w:eastAsia="宋体" w:cs="宋体"/>
                <w:bCs/>
                <w:szCs w:val="21"/>
              </w:rPr>
              <w:t xml:space="preserve">条款名称</w:t>
            </w:r>
            <w:r/>
          </w:p>
        </w:tc>
        <w:tc>
          <w:tcPr>
            <w:tcW w:w="2127" w:type="dxa"/>
            <w:vAlign w:val="center"/>
            <w:textDirection w:val="lrTb"/>
            <w:noWrap w:val="false"/>
          </w:tcPr>
          <w:p>
            <w:pPr>
              <w:jc w:val="center"/>
              <w:rPr>
                <w:rFonts w:hint="eastAsia" w:ascii="宋体" w:hAnsi="宋体" w:eastAsia="宋体" w:cs="宋体"/>
              </w:rPr>
            </w:pPr>
            <w:r>
              <w:rPr>
                <w:rFonts w:hint="eastAsia" w:ascii="宋体" w:hAnsi="宋体" w:eastAsia="宋体" w:cs="宋体"/>
                <w:bCs/>
                <w:szCs w:val="21"/>
              </w:rPr>
              <w:t xml:space="preserve">采购要求</w:t>
            </w:r>
            <w:r/>
          </w:p>
        </w:tc>
        <w:tc>
          <w:tcPr>
            <w:tcW w:w="2146" w:type="dxa"/>
            <w:vAlign w:val="center"/>
            <w:textDirection w:val="lrTb"/>
            <w:noWrap w:val="false"/>
          </w:tcPr>
          <w:p>
            <w:pPr>
              <w:jc w:val="center"/>
              <w:rPr>
                <w:rFonts w:hint="eastAsia" w:ascii="宋体" w:hAnsi="宋体" w:eastAsia="宋体" w:cs="宋体"/>
              </w:rPr>
            </w:pPr>
            <w:r>
              <w:rPr>
                <w:rFonts w:hint="eastAsia" w:ascii="宋体" w:hAnsi="宋体" w:eastAsia="宋体" w:cs="宋体"/>
                <w:bCs/>
                <w:szCs w:val="21"/>
              </w:rPr>
              <w:t xml:space="preserve">响应情况</w:t>
            </w:r>
            <w:r/>
          </w:p>
        </w:tc>
        <w:tc>
          <w:tcPr>
            <w:tcW w:w="1308" w:type="dxa"/>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说明</w:t>
            </w:r>
            <w:r/>
          </w:p>
        </w:tc>
      </w:tr>
      <w:tr>
        <w:trPr>
          <w:jc w:val="center"/>
        </w:trPr>
        <w:tc>
          <w:tcPr>
            <w:tcW w:w="7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244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12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14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0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Pr>
        <w:tc>
          <w:tcPr>
            <w:tcW w:w="7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244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12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14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0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Pr>
        <w:tc>
          <w:tcPr>
            <w:tcW w:w="7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244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12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14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0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Pr>
        <w:tc>
          <w:tcPr>
            <w:tcW w:w="7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w:t>
            </w:r>
            <w:r/>
          </w:p>
        </w:tc>
        <w:tc>
          <w:tcPr>
            <w:tcW w:w="244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127"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14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0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bl>
    <w:p>
      <w:pPr>
        <w:spacing w:line="360" w:lineRule="auto"/>
        <w:rPr>
          <w:rFonts w:hint="eastAsia" w:ascii="宋体" w:hAnsi="宋体" w:eastAsia="宋体" w:cs="宋体"/>
        </w:rPr>
      </w:pPr>
      <w:r>
        <w:rPr>
          <w:rFonts w:hint="eastAsia" w:ascii="宋体" w:hAnsi="宋体" w:eastAsia="宋体" w:cs="宋体"/>
        </w:rPr>
      </w:r>
      <w:r/>
    </w:p>
    <w:p>
      <w:pPr>
        <w:pStyle w:val="954"/>
        <w:rPr>
          <w:rFonts w:hint="eastAsia" w:ascii="宋体" w:hAnsi="宋体" w:eastAsia="宋体" w:cs="宋体"/>
        </w:rPr>
      </w:pPr>
      <w:r>
        <w:rPr>
          <w:rFonts w:hint="eastAsia" w:ascii="宋体" w:hAnsi="宋体" w:eastAsia="宋体" w:cs="宋体"/>
        </w:rPr>
      </w:r>
      <w:r/>
    </w:p>
    <w:p>
      <w:pPr>
        <w:ind w:firstLine="315"/>
        <w:spacing w:line="360" w:lineRule="auto"/>
        <w:rPr>
          <w:rFonts w:hint="eastAsia" w:ascii="宋体" w:hAnsi="宋体" w:eastAsia="宋体" w:cs="宋体"/>
        </w:rPr>
      </w:pPr>
      <w:r>
        <w:rPr>
          <w:rFonts w:hint="eastAsia" w:ascii="宋体" w:hAnsi="宋体" w:eastAsia="宋体" w:cs="宋体"/>
        </w:rPr>
        <w:t xml:space="preserve">响应人（单位盖章）：</w:t>
      </w:r>
      <w:r/>
    </w:p>
    <w:p>
      <w:pPr>
        <w:ind w:firstLine="315"/>
        <w:spacing w:line="360" w:lineRule="auto"/>
        <w:rPr>
          <w:rFonts w:hint="eastAsia" w:ascii="宋体" w:hAnsi="宋体" w:eastAsia="宋体" w:cs="宋体"/>
        </w:rPr>
      </w:pPr>
      <w:r>
        <w:rPr>
          <w:rFonts w:hint="eastAsia" w:ascii="宋体" w:hAnsi="宋体" w:eastAsia="宋体" w:cs="宋体"/>
        </w:rPr>
        <w:t xml:space="preserve">法定代表人或代理人（签字或盖章）：</w:t>
      </w:r>
      <w:r/>
    </w:p>
    <w:p>
      <w:pPr>
        <w:ind w:firstLine="315"/>
        <w:spacing w:line="360" w:lineRule="auto"/>
        <w:rPr>
          <w:rFonts w:hint="eastAsia" w:ascii="宋体" w:hAnsi="宋体" w:eastAsia="宋体" w:cs="宋体"/>
        </w:rPr>
      </w:pPr>
      <w:r>
        <w:rPr>
          <w:rFonts w:hint="eastAsia" w:ascii="宋体" w:hAnsi="宋体" w:eastAsia="宋体" w:cs="宋体"/>
        </w:rPr>
        <w:t xml:space="preserve">日期：    年    月    日</w:t>
      </w:r>
      <w:r/>
    </w:p>
    <w:p>
      <w:pPr>
        <w:ind w:firstLine="315"/>
        <w:spacing w:line="360" w:lineRule="auto"/>
        <w:rPr>
          <w:rFonts w:hint="eastAsia" w:ascii="宋体" w:hAnsi="宋体" w:eastAsia="宋体" w:cs="宋体"/>
        </w:rPr>
      </w:pPr>
      <w:r>
        <w:rPr>
          <w:rFonts w:hint="eastAsia" w:ascii="宋体" w:hAnsi="宋体" w:eastAsia="宋体" w:cs="宋体"/>
        </w:rPr>
      </w:r>
      <w:r/>
    </w:p>
    <w:p>
      <w:pPr>
        <w:pStyle w:val="954"/>
        <w:rPr>
          <w:rFonts w:hint="eastAsia" w:ascii="宋体" w:hAnsi="宋体" w:eastAsia="宋体" w:cs="宋体"/>
        </w:rPr>
      </w:pPr>
      <w:r>
        <w:rPr>
          <w:rFonts w:hint="eastAsia" w:ascii="宋体" w:hAnsi="宋体" w:eastAsia="宋体" w:cs="宋体"/>
        </w:rPr>
      </w:r>
      <w:r/>
    </w:p>
    <w:p>
      <w:pPr>
        <w:ind w:firstLine="316"/>
        <w:spacing w:line="360" w:lineRule="auto"/>
        <w:rPr>
          <w:rFonts w:hint="eastAsia" w:ascii="宋体" w:hAnsi="宋体" w:eastAsia="宋体" w:cs="宋体"/>
          <w:b/>
        </w:rPr>
      </w:pPr>
      <w:r>
        <w:rPr>
          <w:rFonts w:hint="eastAsia" w:ascii="宋体" w:hAnsi="宋体" w:eastAsia="宋体" w:cs="宋体"/>
          <w:b/>
        </w:rPr>
        <w:t xml:space="preserve">注：</w:t>
      </w:r>
      <w:r/>
    </w:p>
    <w:p>
      <w:pPr>
        <w:ind w:firstLine="316"/>
        <w:spacing w:line="360" w:lineRule="auto"/>
        <w:rPr>
          <w:rFonts w:hint="eastAsia" w:ascii="宋体" w:hAnsi="宋体" w:eastAsia="宋体" w:cs="宋体"/>
          <w:b/>
        </w:rPr>
      </w:pPr>
      <w:r>
        <w:rPr>
          <w:rFonts w:hint="eastAsia" w:ascii="宋体" w:hAnsi="宋体" w:eastAsia="宋体" w:cs="宋体"/>
          <w:b/>
        </w:rPr>
        <w:t xml:space="preserve">1.服务条款内容主要是针对投标文件有关的服务部分（包括但不限于服务内容、服务要求等内容）。</w:t>
      </w:r>
      <w:r/>
    </w:p>
    <w:p>
      <w:pPr>
        <w:ind w:firstLine="316"/>
        <w:spacing w:line="360" w:lineRule="auto"/>
        <w:rPr>
          <w:rFonts w:hint="eastAsia" w:ascii="宋体" w:hAnsi="宋体" w:eastAsia="宋体" w:cs="宋体"/>
          <w:b/>
        </w:rPr>
      </w:pPr>
      <w:r>
        <w:rPr>
          <w:rFonts w:hint="eastAsia" w:ascii="宋体" w:hAnsi="宋体" w:eastAsia="宋体" w:cs="宋体"/>
          <w:b/>
        </w:rPr>
        <w:t xml:space="preserve">2.供应商应在本表中对照采购文件服务条款相关内容对应列出响应情况，在“响应情况”栏填写以下内容：优于的，填写“正偏离”；符合的，填写“无偏离”；低于的，填写“负偏离”。 </w:t>
      </w:r>
      <w:r/>
    </w:p>
    <w:p>
      <w:pPr>
        <w:ind w:firstLine="316"/>
        <w:spacing w:line="360" w:lineRule="auto"/>
        <w:rPr>
          <w:rFonts w:hint="eastAsia" w:ascii="宋体" w:hAnsi="宋体" w:eastAsia="宋体" w:cs="宋体"/>
          <w:b/>
        </w:rPr>
      </w:pPr>
      <w:r>
        <w:rPr>
          <w:rFonts w:hint="eastAsia" w:ascii="宋体" w:hAnsi="宋体" w:eastAsia="宋体" w:cs="宋体"/>
          <w:b/>
        </w:rPr>
        <w:t xml:space="preserve">3.供应商提交的响应文件中与采购文件的服务条款相关要求有不同时，应在本表中“说明”栏逐项对应列出情况说明。</w:t>
      </w:r>
      <w:r/>
    </w:p>
    <w:p>
      <w:pPr>
        <w:ind w:firstLine="316"/>
        <w:spacing w:line="360" w:lineRule="auto"/>
        <w:rPr>
          <w:rFonts w:hint="eastAsia" w:ascii="宋体" w:hAnsi="宋体" w:eastAsia="宋体" w:cs="宋体"/>
          <w:b/>
        </w:rPr>
      </w:pPr>
      <w:r>
        <w:rPr>
          <w:rFonts w:hint="eastAsia" w:ascii="宋体" w:hAnsi="宋体" w:eastAsia="宋体" w:cs="宋体"/>
          <w:b/>
        </w:rPr>
        <w:t xml:space="preserve">4.以上表格内容不够的请自行添加。</w:t>
      </w:r>
      <w:r/>
    </w:p>
    <w:p>
      <w:pPr>
        <w:pStyle w:val="916"/>
        <w:spacing w:line="440" w:lineRule="exact"/>
        <w:rPr>
          <w:rFonts w:hint="eastAsia" w:ascii="宋体" w:hAnsi="宋体" w:eastAsia="宋体" w:cs="宋体"/>
          <w:b/>
          <w:bCs/>
          <w:sz w:val="21"/>
          <w:szCs w:val="21"/>
          <w:lang w:val="zh-CN"/>
        </w:rPr>
      </w:pPr>
      <w:r>
        <w:rPr>
          <w:rFonts w:hint="eastAsia" w:ascii="宋体" w:hAnsi="宋体" w:eastAsia="宋体" w:cs="宋体"/>
        </w:rPr>
        <w:br w:type="page" w:clear="all"/>
      </w:r>
      <w:r>
        <w:rPr>
          <w:rFonts w:hint="eastAsia" w:ascii="宋体" w:hAnsi="宋体" w:eastAsia="宋体" w:cs="宋体"/>
          <w:b/>
          <w:bCs/>
          <w:sz w:val="21"/>
          <w:szCs w:val="21"/>
          <w:lang w:val="zh-CN"/>
        </w:rPr>
        <w:t xml:space="preserve">格式9、商务条款偏离表</w:t>
      </w:r>
      <w:r/>
    </w:p>
    <w:p>
      <w:pPr>
        <w:pStyle w:val="916"/>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p>
      <w:pPr>
        <w:jc w:val="center"/>
        <w:spacing w:line="360" w:lineRule="auto"/>
        <w:rPr>
          <w:rFonts w:hint="eastAsia" w:ascii="宋体" w:hAnsi="宋体" w:eastAsia="宋体" w:cs="宋体"/>
          <w:b/>
          <w:bCs/>
        </w:rPr>
      </w:pPr>
      <w:r>
        <w:rPr>
          <w:rFonts w:hint="eastAsia" w:ascii="宋体" w:hAnsi="宋体" w:eastAsia="宋体" w:cs="宋体"/>
          <w:b/>
          <w:bCs/>
        </w:rPr>
        <w:t xml:space="preserve">商务条款偏离表</w:t>
      </w:r>
      <w:r/>
    </w:p>
    <w:p>
      <w:pPr>
        <w:pStyle w:val="954"/>
        <w:rPr>
          <w:rFonts w:hint="eastAsia" w:ascii="宋体" w:hAnsi="宋体" w:eastAsia="宋体" w:cs="宋体"/>
        </w:rPr>
      </w:pPr>
      <w:r>
        <w:rPr>
          <w:rFonts w:hint="eastAsia" w:ascii="宋体" w:hAnsi="宋体" w:eastAsia="宋体" w:cs="宋体"/>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项目编号：</w:t>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项目名称： </w:t>
      </w:r>
      <w:r/>
    </w:p>
    <w:tbl>
      <w:tblPr>
        <w:tblStyle w:val="910"/>
        <w:tblW w:w="88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397"/>
      </w:tblGrid>
      <w:tr>
        <w:trPr>
          <w:jc w:val="center"/>
        </w:trPr>
        <w:tc>
          <w:tcPr>
            <w:tcW w:w="708" w:type="dxa"/>
            <w:vAlign w:val="center"/>
            <w:textDirection w:val="lrTb"/>
            <w:noWrap w:val="false"/>
          </w:tcPr>
          <w:p>
            <w:pPr>
              <w:jc w:val="center"/>
              <w:rPr>
                <w:rFonts w:hint="eastAsia" w:ascii="宋体" w:hAnsi="宋体" w:eastAsia="宋体" w:cs="宋体"/>
              </w:rPr>
            </w:pPr>
            <w:r>
              <w:rPr>
                <w:rFonts w:hint="eastAsia" w:ascii="宋体" w:hAnsi="宋体" w:eastAsia="宋体" w:cs="宋体"/>
                <w:bCs/>
                <w:szCs w:val="21"/>
              </w:rPr>
              <w:t xml:space="preserve">序号</w:t>
            </w:r>
            <w:r/>
          </w:p>
        </w:tc>
        <w:tc>
          <w:tcPr>
            <w:tcW w:w="1920" w:type="dxa"/>
            <w:vAlign w:val="center"/>
            <w:textDirection w:val="lrTb"/>
            <w:noWrap w:val="false"/>
          </w:tcPr>
          <w:p>
            <w:pPr>
              <w:jc w:val="center"/>
              <w:rPr>
                <w:rFonts w:hint="eastAsia" w:ascii="宋体" w:hAnsi="宋体" w:eastAsia="宋体" w:cs="宋体"/>
              </w:rPr>
            </w:pPr>
            <w:r>
              <w:rPr>
                <w:rFonts w:hint="eastAsia" w:ascii="宋体" w:hAnsi="宋体" w:eastAsia="宋体" w:cs="宋体"/>
                <w:bCs/>
                <w:szCs w:val="21"/>
              </w:rPr>
              <w:t xml:space="preserve">条款名称</w:t>
            </w:r>
            <w:r/>
          </w:p>
        </w:tc>
        <w:tc>
          <w:tcPr>
            <w:tcW w:w="2400" w:type="dxa"/>
            <w:vAlign w:val="center"/>
            <w:textDirection w:val="lrTb"/>
            <w:noWrap w:val="false"/>
          </w:tcPr>
          <w:p>
            <w:pPr>
              <w:jc w:val="center"/>
              <w:rPr>
                <w:rFonts w:hint="eastAsia" w:ascii="宋体" w:hAnsi="宋体" w:eastAsia="宋体" w:cs="宋体"/>
              </w:rPr>
            </w:pPr>
            <w:r>
              <w:rPr>
                <w:rFonts w:hint="eastAsia" w:ascii="宋体" w:hAnsi="宋体" w:eastAsia="宋体" w:cs="宋体"/>
                <w:bCs/>
                <w:szCs w:val="21"/>
              </w:rPr>
              <w:t xml:space="preserve">采购要求</w:t>
            </w:r>
            <w:r/>
          </w:p>
        </w:tc>
        <w:tc>
          <w:tcPr>
            <w:tcW w:w="2400" w:type="dxa"/>
            <w:vAlign w:val="center"/>
            <w:textDirection w:val="lrTb"/>
            <w:noWrap w:val="false"/>
          </w:tcPr>
          <w:p>
            <w:pPr>
              <w:jc w:val="center"/>
              <w:rPr>
                <w:rFonts w:hint="eastAsia" w:ascii="宋体" w:hAnsi="宋体" w:eastAsia="宋体" w:cs="宋体"/>
              </w:rPr>
            </w:pPr>
            <w:r>
              <w:rPr>
                <w:rFonts w:hint="eastAsia" w:ascii="宋体" w:hAnsi="宋体" w:eastAsia="宋体" w:cs="宋体"/>
                <w:bCs/>
                <w:szCs w:val="21"/>
              </w:rPr>
              <w:t xml:space="preserve">响应情况</w:t>
            </w:r>
            <w:r/>
          </w:p>
        </w:tc>
        <w:tc>
          <w:tcPr>
            <w:tcW w:w="1397" w:type="dxa"/>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说明</w:t>
            </w:r>
            <w:r/>
          </w:p>
        </w:tc>
      </w:tr>
      <w:tr>
        <w:trPr>
          <w:jc w:val="center"/>
        </w:trPr>
        <w:tc>
          <w:tcPr>
            <w:tcW w:w="7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9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40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240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397" w:type="dxa"/>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9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40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240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397" w:type="dxa"/>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19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40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240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397" w:type="dxa"/>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w:t>
            </w:r>
            <w:r/>
          </w:p>
        </w:tc>
        <w:tc>
          <w:tcPr>
            <w:tcW w:w="19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240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240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397" w:type="dxa"/>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bl>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响应人（公章）： </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日期：    年    月    日</w:t>
      </w:r>
      <w:r/>
    </w:p>
    <w:p>
      <w:pPr>
        <w:spacing w:line="360" w:lineRule="auto"/>
        <w:rPr>
          <w:rFonts w:hint="eastAsia" w:ascii="宋体" w:hAnsi="宋体" w:eastAsia="宋体" w:cs="宋体"/>
        </w:rPr>
      </w:pPr>
      <w:r>
        <w:rPr>
          <w:rFonts w:hint="eastAsia" w:ascii="宋体" w:hAnsi="宋体" w:eastAsia="宋体" w:cs="宋体"/>
        </w:rPr>
        <w:t xml:space="preserve">                              </w:t>
      </w:r>
      <w:r/>
    </w:p>
    <w:p>
      <w:pPr>
        <w:spacing w:line="360" w:lineRule="auto"/>
        <w:rPr>
          <w:rFonts w:hint="eastAsia" w:ascii="宋体" w:hAnsi="宋体" w:eastAsia="宋体" w:cs="宋体"/>
          <w:b/>
          <w:bCs/>
        </w:rPr>
      </w:pPr>
      <w:r>
        <w:rPr>
          <w:rFonts w:hint="eastAsia" w:ascii="宋体" w:hAnsi="宋体" w:eastAsia="宋体" w:cs="宋体"/>
          <w:b/>
          <w:bCs/>
        </w:rPr>
      </w:r>
      <w:r/>
    </w:p>
    <w:p>
      <w:pPr>
        <w:ind w:firstLine="316"/>
        <w:spacing w:line="360" w:lineRule="auto"/>
        <w:rPr>
          <w:rFonts w:hint="eastAsia" w:ascii="宋体" w:hAnsi="宋体" w:eastAsia="宋体" w:cs="宋体"/>
          <w:b/>
        </w:rPr>
      </w:pPr>
      <w:r>
        <w:rPr>
          <w:rFonts w:hint="eastAsia" w:ascii="宋体" w:hAnsi="宋体" w:eastAsia="宋体" w:cs="宋体"/>
          <w:b/>
        </w:rPr>
        <w:t xml:space="preserve">注：</w:t>
      </w:r>
      <w:r/>
    </w:p>
    <w:p>
      <w:pPr>
        <w:ind w:firstLine="316"/>
        <w:spacing w:line="360" w:lineRule="auto"/>
        <w:rPr>
          <w:rFonts w:hint="eastAsia" w:ascii="宋体" w:hAnsi="宋体" w:eastAsia="宋体" w:cs="宋体"/>
          <w:b/>
        </w:rPr>
      </w:pPr>
      <w:r>
        <w:rPr>
          <w:rFonts w:hint="eastAsia" w:ascii="宋体" w:hAnsi="宋体" w:eastAsia="宋体" w:cs="宋体"/>
          <w:b/>
        </w:rPr>
        <w:t xml:space="preserve">1.商务条款内容主要是针对投标文件有关的商务部分（包括但不限于合同履行期限、价格与支付等合同条款等内容）。</w:t>
      </w:r>
      <w:r/>
    </w:p>
    <w:p>
      <w:pPr>
        <w:ind w:firstLine="316"/>
        <w:spacing w:line="360" w:lineRule="auto"/>
        <w:rPr>
          <w:rFonts w:hint="eastAsia" w:ascii="宋体" w:hAnsi="宋体" w:eastAsia="宋体" w:cs="宋体"/>
          <w:b/>
        </w:rPr>
      </w:pPr>
      <w:r>
        <w:rPr>
          <w:rFonts w:hint="eastAsia" w:ascii="宋体" w:hAnsi="宋体" w:eastAsia="宋体" w:cs="宋体"/>
          <w:b/>
        </w:rPr>
        <w:t xml:space="preserve">2.供应商应在本表中对照采购文件商务条款相关内容对应列出响应情况，在“响应情况”栏填写以下内容：优于的，填写“正偏离”；符合的，填写“无偏离”；低于的，填写“负偏离”。 </w:t>
      </w:r>
      <w:r/>
    </w:p>
    <w:p>
      <w:pPr>
        <w:ind w:firstLine="316"/>
        <w:spacing w:line="360" w:lineRule="auto"/>
        <w:rPr>
          <w:rFonts w:hint="eastAsia" w:ascii="宋体" w:hAnsi="宋体" w:eastAsia="宋体" w:cs="宋体"/>
          <w:b/>
        </w:rPr>
      </w:pPr>
      <w:r>
        <w:rPr>
          <w:rFonts w:hint="eastAsia" w:ascii="宋体" w:hAnsi="宋体" w:eastAsia="宋体" w:cs="宋体"/>
          <w:b/>
        </w:rPr>
        <w:t xml:space="preserve">3.供应商提交的响应文件中与采购文件的商务条款相关要求有不同时，应在本表中“说明”栏逐项对应列出情况说明。</w:t>
      </w:r>
      <w:r/>
    </w:p>
    <w:p>
      <w:pPr>
        <w:ind w:firstLine="316"/>
        <w:spacing w:line="360" w:lineRule="auto"/>
        <w:rPr>
          <w:rFonts w:hint="eastAsia" w:ascii="宋体" w:hAnsi="宋体" w:eastAsia="宋体" w:cs="宋体"/>
          <w:b/>
        </w:rPr>
      </w:pPr>
      <w:r>
        <w:rPr>
          <w:rFonts w:hint="eastAsia" w:ascii="宋体" w:hAnsi="宋体" w:eastAsia="宋体" w:cs="宋体"/>
          <w:b/>
        </w:rPr>
        <w:t xml:space="preserve">4.以上表格内容不够的请自行添加。</w:t>
      </w:r>
      <w:r/>
    </w:p>
    <w:p>
      <w:pPr>
        <w:pStyle w:val="954"/>
        <w:rPr>
          <w:rFonts w:hint="eastAsia" w:ascii="宋体" w:hAnsi="宋体" w:eastAsia="宋体" w:cs="宋体"/>
        </w:rPr>
      </w:pPr>
      <w:r>
        <w:rPr>
          <w:rFonts w:hint="eastAsia" w:ascii="宋体" w:hAnsi="宋体" w:eastAsia="宋体" w:cs="宋体"/>
        </w:rPr>
        <w:br w:type="page" w:clear="all"/>
      </w:r>
      <w:r/>
    </w:p>
    <w:p>
      <w:pPr>
        <w:jc w:val="left"/>
        <w:spacing w:line="440" w:lineRule="exact"/>
        <w:rPr>
          <w:rFonts w:hint="eastAsia" w:ascii="宋体" w:hAnsi="宋体" w:eastAsia="宋体" w:cs="宋体"/>
          <w:b/>
          <w:szCs w:val="21"/>
        </w:rPr>
      </w:pPr>
      <w:r>
        <w:rPr>
          <w:rFonts w:hint="eastAsia" w:ascii="宋体" w:hAnsi="宋体" w:eastAsia="宋体" w:cs="宋体"/>
          <w:b/>
          <w:szCs w:val="21"/>
        </w:rPr>
        <w:t xml:space="preserve">格式10、投标（响应）保证承诺书</w:t>
      </w:r>
      <w:r/>
    </w:p>
    <w:p>
      <w:pPr>
        <w:pStyle w:val="954"/>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eastAsia="宋体" w:cs="宋体"/>
          <w:b/>
          <w:szCs w:val="21"/>
        </w:rPr>
      </w:pPr>
      <w:r>
        <w:rPr>
          <w:rFonts w:hint="eastAsia" w:ascii="宋体" w:hAnsi="宋体" w:eastAsia="宋体" w:cs="宋体"/>
          <w:b/>
          <w:szCs w:val="21"/>
        </w:rPr>
        <w:t xml:space="preserve">投标（响应）保证承诺书</w:t>
      </w:r>
      <w:r/>
    </w:p>
    <w:p>
      <w:pPr>
        <w:pStyle w:val="954"/>
        <w:rPr>
          <w:rFonts w:hint="eastAsia" w:ascii="宋体" w:hAnsi="宋体" w:eastAsia="宋体" w:cs="宋体"/>
        </w:rPr>
      </w:pPr>
      <w:r>
        <w:rPr>
          <w:rFonts w:hint="eastAsia" w:ascii="宋体" w:hAnsi="宋体" w:eastAsia="宋体" w:cs="宋体"/>
        </w:rPr>
      </w:r>
      <w:r/>
    </w:p>
    <w:p>
      <w:pPr>
        <w:pStyle w:val="926"/>
        <w:spacing w:line="360" w:lineRule="auto"/>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szCs w:val="21"/>
          <w:u w:val="single"/>
        </w:rPr>
        <w:t xml:space="preserve">江苏祥和项目管理有限公司</w:t>
      </w:r>
      <w:r/>
    </w:p>
    <w:p>
      <w:pPr>
        <w:pStyle w:val="926"/>
        <w:ind w:firstLine="600"/>
        <w:spacing w:line="360" w:lineRule="auto"/>
        <w:rPr>
          <w:rFonts w:hint="eastAsia" w:ascii="宋体" w:hAnsi="宋体" w:eastAsia="宋体" w:cs="宋体"/>
          <w:sz w:val="21"/>
          <w:szCs w:val="21"/>
        </w:rPr>
      </w:pPr>
      <w:r>
        <w:rPr>
          <w:rFonts w:hint="eastAsia" w:ascii="宋体" w:hAnsi="宋体" w:eastAsia="宋体" w:cs="宋体"/>
          <w:sz w:val="21"/>
          <w:szCs w:val="21"/>
        </w:rPr>
        <w:t xml:space="preserve">我（单位/本人，以下统称我单位）自愿参加</w:t>
      </w:r>
      <w:r>
        <w:rPr>
          <w:rFonts w:hint="eastAsia" w:ascii="宋体" w:hAnsi="宋体" w:eastAsia="宋体" w:cs="宋体"/>
          <w:sz w:val="21"/>
          <w:szCs w:val="21"/>
          <w:u w:val="single"/>
        </w:rPr>
        <w:t xml:space="preserve"> （项目名称和项目编号）</w:t>
      </w:r>
      <w:r>
        <w:rPr>
          <w:rFonts w:hint="eastAsia" w:ascii="宋体" w:hAnsi="宋体" w:eastAsia="宋体" w:cs="宋体"/>
          <w:sz w:val="21"/>
          <w:szCs w:val="21"/>
        </w:rPr>
        <w:t xml:space="preserve">的投标（响应），并做出如下承诺：</w:t>
      </w:r>
      <w:r/>
    </w:p>
    <w:p>
      <w:pPr>
        <w:pStyle w:val="914"/>
        <w:spacing w:line="360" w:lineRule="auto"/>
        <w:rPr>
          <w:rFonts w:hint="eastAsia" w:ascii="宋体" w:hAnsi="宋体" w:eastAsia="宋体" w:cs="宋体"/>
          <w:sz w:val="21"/>
          <w:szCs w:val="21"/>
        </w:rPr>
      </w:pPr>
      <w:r>
        <w:rPr>
          <w:rFonts w:hint="eastAsia" w:ascii="宋体" w:hAnsi="宋体" w:eastAsia="宋体" w:cs="宋体"/>
          <w:sz w:val="21"/>
          <w:szCs w:val="21"/>
        </w:rPr>
        <w:t xml:space="preserve">一、除不可抗力外，我单位如果发生以下行为，将在行为发生的10个工作日内，向贵方（或采购人）支付本采购文件公布的预算金额（或最高限价）的2%作为违约赔偿金（数量不确定的单价采购按壹万元计）。</w:t>
      </w:r>
      <w:r/>
    </w:p>
    <w:p>
      <w:pPr>
        <w:pStyle w:val="914"/>
        <w:spacing w:line="360" w:lineRule="auto"/>
        <w:rPr>
          <w:rFonts w:hint="eastAsia" w:ascii="宋体" w:hAnsi="宋体" w:eastAsia="宋体" w:cs="宋体"/>
          <w:sz w:val="21"/>
          <w:szCs w:val="21"/>
        </w:rPr>
      </w:pPr>
      <w:r>
        <w:rPr>
          <w:rFonts w:hint="eastAsia" w:ascii="宋体" w:hAnsi="宋体" w:eastAsia="宋体" w:cs="宋体"/>
          <w:sz w:val="21"/>
          <w:szCs w:val="21"/>
        </w:rPr>
        <w:t xml:space="preserve">1.自投标（响应）截止时间至本项目发布中标（成交）公告为止，撤销投标（响应）；</w:t>
      </w:r>
      <w:r/>
    </w:p>
    <w:p>
      <w:pPr>
        <w:pStyle w:val="914"/>
        <w:spacing w:line="360" w:lineRule="auto"/>
        <w:rPr>
          <w:rFonts w:hint="eastAsia" w:ascii="宋体" w:hAnsi="宋体" w:eastAsia="宋体" w:cs="宋体"/>
          <w:sz w:val="21"/>
          <w:szCs w:val="21"/>
        </w:rPr>
      </w:pPr>
      <w:r>
        <w:rPr>
          <w:rFonts w:hint="eastAsia" w:ascii="宋体" w:hAnsi="宋体" w:eastAsia="宋体" w:cs="宋体"/>
          <w:sz w:val="21"/>
          <w:szCs w:val="21"/>
        </w:rPr>
        <w:t xml:space="preserve">2.中标（成交）后不依法与采购人签订合同；</w:t>
      </w:r>
      <w:r/>
    </w:p>
    <w:p>
      <w:pPr>
        <w:pStyle w:val="914"/>
        <w:spacing w:line="360" w:lineRule="auto"/>
        <w:rPr>
          <w:rFonts w:hint="eastAsia" w:ascii="宋体" w:hAnsi="宋体" w:eastAsia="宋体" w:cs="宋体"/>
          <w:sz w:val="21"/>
          <w:szCs w:val="21"/>
        </w:rPr>
      </w:pPr>
      <w:r>
        <w:rPr>
          <w:rFonts w:hint="eastAsia" w:ascii="宋体" w:hAnsi="宋体" w:eastAsia="宋体" w:cs="宋体"/>
          <w:sz w:val="21"/>
          <w:szCs w:val="21"/>
        </w:rPr>
        <w:t xml:space="preserve">3.中标（成交）后不按本采购文件规定向采购人提交履约保证金；</w:t>
      </w:r>
      <w:r/>
    </w:p>
    <w:p>
      <w:pPr>
        <w:pStyle w:val="914"/>
        <w:spacing w:line="360" w:lineRule="auto"/>
        <w:rPr>
          <w:rFonts w:hint="eastAsia" w:ascii="宋体" w:hAnsi="宋体" w:eastAsia="宋体" w:cs="宋体"/>
          <w:sz w:val="21"/>
          <w:szCs w:val="21"/>
        </w:rPr>
      </w:pPr>
      <w:r>
        <w:rPr>
          <w:rFonts w:hint="eastAsia" w:ascii="宋体" w:hAnsi="宋体" w:eastAsia="宋体" w:cs="宋体"/>
          <w:sz w:val="21"/>
          <w:szCs w:val="21"/>
        </w:rPr>
        <w:t xml:space="preserve">4.中标（成交）后不按本采购文件规定向贵方缴纳采购代理费。</w:t>
      </w:r>
      <w:r/>
    </w:p>
    <w:p>
      <w:pPr>
        <w:pStyle w:val="92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二、我单位知晓上述行为的法律后果，并承认本承诺书作为贵方（或采购人）要求我单位履行违约赔偿义务的依据作用。</w:t>
      </w:r>
      <w:r/>
    </w:p>
    <w:p>
      <w:pPr>
        <w:pStyle w:val="926"/>
        <w:ind w:left="1560"/>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投标（响应）人（公章）：</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地址：</w:t>
      </w:r>
      <w:r/>
    </w:p>
    <w:p>
      <w:pPr>
        <w:pStyle w:val="954"/>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电话：                               传真：</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电子邮件：                           邮编：</w:t>
      </w:r>
      <w:r/>
    </w:p>
    <w:p>
      <w:pPr>
        <w:pStyle w:val="954"/>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法定代表人或委托代理人（签字或盖章）：</w:t>
      </w:r>
      <w:r/>
    </w:p>
    <w:p>
      <w:pPr>
        <w:ind w:firstLine="420"/>
        <w:spacing w:line="360" w:lineRule="auto"/>
        <w:rPr>
          <w:rFonts w:hint="eastAsia" w:ascii="宋体" w:hAnsi="宋体" w:eastAsia="宋体" w:cs="宋体"/>
        </w:rPr>
      </w:pPr>
      <w:r>
        <w:rPr>
          <w:rFonts w:hint="eastAsia" w:ascii="宋体" w:hAnsi="宋体" w:eastAsia="宋体" w:cs="宋体"/>
          <w:szCs w:val="21"/>
        </w:rPr>
        <w:t xml:space="preserve">日期：</w:t>
      </w:r>
      <w:r>
        <w:rPr>
          <w:rFonts w:hint="eastAsia" w:ascii="宋体" w:hAnsi="宋体" w:eastAsia="宋体" w:cs="宋体"/>
        </w:rPr>
        <w:t xml:space="preserve">    年    月    日</w:t>
      </w:r>
      <w:r/>
    </w:p>
    <w:p>
      <w:pPr>
        <w:pStyle w:val="954"/>
        <w:rPr>
          <w:rFonts w:hint="eastAsia" w:ascii="宋体" w:hAnsi="宋体" w:eastAsia="宋体" w:cs="宋体"/>
        </w:rPr>
      </w:pPr>
      <w:r>
        <w:rPr>
          <w:rFonts w:hint="eastAsia" w:ascii="宋体" w:hAnsi="宋体" w:eastAsia="宋体" w:cs="宋体"/>
        </w:rPr>
        <w:br w:type="page" w:clear="all"/>
      </w:r>
      <w:r/>
    </w:p>
    <w:p>
      <w:pPr>
        <w:jc w:val="left"/>
        <w:spacing w:line="440" w:lineRule="exact"/>
        <w:rPr>
          <w:rFonts w:hint="eastAsia" w:ascii="宋体" w:hAnsi="宋体" w:eastAsia="宋体" w:cs="宋体"/>
          <w:b/>
          <w:bCs/>
          <w:szCs w:val="21"/>
        </w:rPr>
      </w:pPr>
      <w:r>
        <w:rPr>
          <w:rFonts w:hint="eastAsia" w:ascii="宋体" w:hAnsi="宋体" w:eastAsia="宋体" w:cs="宋体"/>
          <w:b/>
          <w:bCs/>
          <w:szCs w:val="21"/>
        </w:rPr>
        <w:t xml:space="preserve">格式11、项目人员配置表</w:t>
      </w:r>
      <w:r/>
    </w:p>
    <w:p>
      <w:pPr>
        <w:jc w:val="left"/>
        <w:spacing w:line="440" w:lineRule="exact"/>
        <w:rPr>
          <w:rFonts w:hint="eastAsia" w:ascii="宋体" w:hAnsi="宋体" w:eastAsia="宋体" w:cs="宋体"/>
          <w:b/>
          <w:bCs/>
          <w:szCs w:val="21"/>
        </w:rPr>
      </w:pPr>
      <w:r>
        <w:rPr>
          <w:rFonts w:hint="eastAsia" w:ascii="宋体" w:hAnsi="宋体" w:eastAsia="宋体" w:cs="宋体"/>
          <w:b/>
          <w:bCs/>
          <w:szCs w:val="21"/>
        </w:rPr>
      </w:r>
      <w:r/>
    </w:p>
    <w:p>
      <w:pPr>
        <w:jc w:val="center"/>
        <w:spacing w:line="360" w:lineRule="auto"/>
        <w:rPr>
          <w:rFonts w:hint="eastAsia" w:ascii="宋体" w:hAnsi="宋体" w:eastAsia="宋体" w:cs="宋体"/>
          <w:b/>
          <w:bCs/>
          <w:spacing w:val="20"/>
        </w:rPr>
      </w:pPr>
      <w:r>
        <w:rPr>
          <w:rFonts w:hint="eastAsia" w:ascii="宋体" w:hAnsi="宋体" w:eastAsia="宋体" w:cs="宋体"/>
          <w:b/>
          <w:bCs/>
          <w:spacing w:val="20"/>
        </w:rPr>
        <w:t xml:space="preserve">项目人员配置表</w:t>
      </w:r>
      <w:r/>
    </w:p>
    <w:p>
      <w:pPr>
        <w:jc w:val="left"/>
        <w:spacing w:line="360" w:lineRule="auto"/>
        <w:rPr>
          <w:rFonts w:hint="eastAsia" w:ascii="宋体" w:hAnsi="宋体" w:eastAsia="宋体" w:cs="宋体"/>
        </w:rPr>
      </w:pPr>
      <w:r>
        <w:rPr>
          <w:rFonts w:hint="eastAsia" w:ascii="宋体" w:hAnsi="宋体" w:eastAsia="宋体" w:cs="宋体"/>
        </w:rPr>
      </w:r>
      <w:r/>
    </w:p>
    <w:tbl>
      <w:tblPr>
        <w:tblStyle w:val="910"/>
        <w:tblW w:w="9652" w:type="dxa"/>
        <w:tblInd w:w="-7" w:type="dxa"/>
        <w:tblLayout w:type="fixed"/>
        <w:tblCellMar>
          <w:left w:w="0" w:type="dxa"/>
          <w:top w:w="0" w:type="dxa"/>
          <w:right w:w="0" w:type="dxa"/>
          <w:bottom w:w="0" w:type="dxa"/>
        </w:tblCellMar>
        <w:tblLook w:val="04A0" w:firstRow="1" w:lastRow="0" w:firstColumn="1" w:lastColumn="0" w:noHBand="0" w:noVBand="1"/>
      </w:tblPr>
      <w:tblGrid>
        <w:gridCol w:w="594"/>
        <w:gridCol w:w="771"/>
        <w:gridCol w:w="750"/>
        <w:gridCol w:w="764"/>
        <w:gridCol w:w="991"/>
        <w:gridCol w:w="1157"/>
        <w:gridCol w:w="658"/>
        <w:gridCol w:w="690"/>
        <w:gridCol w:w="1349"/>
        <w:gridCol w:w="1349"/>
        <w:gridCol w:w="579"/>
      </w:tblGrid>
      <w:tr>
        <w:trPr/>
        <w:tc>
          <w:tcPr>
            <w:tcBorders>
              <w:top w:val="single" w:color="auto" w:sz="6" w:space="0"/>
              <w:left w:val="single" w:color="auto" w:sz="6" w:space="0"/>
              <w:right w:val="single" w:color="auto" w:sz="6" w:space="0"/>
            </w:tcBorders>
            <w:tcW w:w="594" w:type="dxa"/>
            <w:vAlign w:val="center"/>
            <w:vMerge w:val="restart"/>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序号</w:t>
            </w:r>
            <w:r/>
          </w:p>
        </w:tc>
        <w:tc>
          <w:tcPr>
            <w:tcBorders>
              <w:top w:val="single" w:color="auto" w:sz="6" w:space="0"/>
              <w:left w:val="single" w:color="auto" w:sz="6" w:space="0"/>
              <w:right w:val="single" w:color="auto" w:sz="6" w:space="0"/>
            </w:tcBorders>
            <w:tcW w:w="771" w:type="dxa"/>
            <w:vAlign w:val="center"/>
            <w:vMerge w:val="restart"/>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姓名</w:t>
            </w:r>
            <w:r/>
          </w:p>
        </w:tc>
        <w:tc>
          <w:tcPr>
            <w:tcBorders>
              <w:top w:val="single" w:color="auto" w:sz="6" w:space="0"/>
              <w:left w:val="single" w:color="auto" w:sz="6" w:space="0"/>
              <w:right w:val="single" w:color="auto" w:sz="6" w:space="0"/>
            </w:tcBorders>
            <w:tcW w:w="750" w:type="dxa"/>
            <w:vAlign w:val="center"/>
            <w:vMerge w:val="restart"/>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性别</w:t>
            </w:r>
            <w:r/>
          </w:p>
        </w:tc>
        <w:tc>
          <w:tcPr>
            <w:tcBorders>
              <w:top w:val="single" w:color="auto" w:sz="6" w:space="0"/>
              <w:left w:val="single" w:color="auto" w:sz="6" w:space="0"/>
              <w:right w:val="single" w:color="auto" w:sz="6" w:space="0"/>
            </w:tcBorders>
            <w:tcW w:w="764" w:type="dxa"/>
            <w:vAlign w:val="center"/>
            <w:vMerge w:val="restart"/>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年龄</w:t>
            </w:r>
            <w:r/>
          </w:p>
        </w:tc>
        <w:tc>
          <w:tcPr>
            <w:tcBorders>
              <w:top w:val="single" w:color="auto" w:sz="6" w:space="0"/>
              <w:left w:val="single" w:color="auto" w:sz="6" w:space="0"/>
              <w:right w:val="single" w:color="auto" w:sz="6" w:space="0"/>
            </w:tcBorders>
            <w:tcW w:w="991" w:type="dxa"/>
            <w:vAlign w:val="center"/>
            <w:vMerge w:val="restart"/>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文化程度</w:t>
            </w:r>
            <w:r/>
          </w:p>
        </w:tc>
        <w:tc>
          <w:tcPr>
            <w:tcBorders>
              <w:top w:val="single" w:color="auto" w:sz="6" w:space="0"/>
              <w:left w:val="single" w:color="auto" w:sz="6" w:space="0"/>
              <w:right w:val="single" w:color="auto" w:sz="6" w:space="0"/>
            </w:tcBorders>
            <w:tcW w:w="1157" w:type="dxa"/>
            <w:vAlign w:val="center"/>
            <w:vMerge w:val="restart"/>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技术职称</w:t>
            </w:r>
            <w:r/>
          </w:p>
        </w:tc>
        <w:tc>
          <w:tcPr>
            <w:gridSpan w:val="2"/>
            <w:tcBorders>
              <w:top w:val="single" w:color="auto" w:sz="6" w:space="0"/>
              <w:left w:val="none" w:color="000000" w:sz="4" w:space="0"/>
              <w:bottom w:val="single" w:color="auto" w:sz="6" w:space="0"/>
              <w:right w:val="single" w:color="auto" w:sz="6" w:space="0"/>
            </w:tcBorders>
            <w:tcW w:w="1348" w:type="dxa"/>
            <w:vAlign w:val="center"/>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资格证书</w:t>
            </w:r>
            <w:r/>
          </w:p>
        </w:tc>
        <w:tc>
          <w:tcPr>
            <w:tcBorders>
              <w:top w:val="single" w:color="auto" w:sz="6" w:space="0"/>
              <w:left w:val="single" w:color="auto" w:sz="6" w:space="0"/>
              <w:right w:val="single" w:color="auto" w:sz="6" w:space="0"/>
            </w:tcBorders>
            <w:tcW w:w="1349" w:type="dxa"/>
            <w:vAlign w:val="center"/>
            <w:vMerge w:val="restart"/>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从事本专业工作的年限</w:t>
            </w:r>
            <w:r/>
          </w:p>
        </w:tc>
        <w:tc>
          <w:tcPr>
            <w:tcBorders>
              <w:top w:val="single" w:color="auto" w:sz="6" w:space="0"/>
              <w:left w:val="single" w:color="auto" w:sz="6" w:space="0"/>
              <w:right w:val="single" w:color="auto" w:sz="6" w:space="0"/>
            </w:tcBorders>
            <w:tcW w:w="1349" w:type="dxa"/>
            <w:vAlign w:val="center"/>
            <w:vMerge w:val="restart"/>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本项目中拟担任的职务</w:t>
            </w:r>
            <w:r/>
          </w:p>
        </w:tc>
        <w:tc>
          <w:tcPr>
            <w:tcBorders>
              <w:top w:val="single" w:color="auto" w:sz="6" w:space="0"/>
              <w:left w:val="single" w:color="auto" w:sz="6" w:space="0"/>
              <w:right w:val="single" w:color="auto" w:sz="6" w:space="0"/>
            </w:tcBorders>
            <w:tcW w:w="579" w:type="dxa"/>
            <w:vAlign w:val="center"/>
            <w:vMerge w:val="restart"/>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备注</w:t>
            </w:r>
            <w:r/>
          </w:p>
        </w:tc>
      </w:tr>
      <w:tr>
        <w:trPr/>
        <w:tc>
          <w:tcPr>
            <w:tcBorders>
              <w:left w:val="single" w:color="auto" w:sz="6" w:space="0"/>
              <w:bottom w:val="single" w:color="auto" w:sz="6" w:space="0"/>
              <w:right w:val="single" w:color="auto" w:sz="6" w:space="0"/>
            </w:tcBorders>
            <w:tcW w:w="594" w:type="dxa"/>
            <w:vAlign w:val="center"/>
            <w:vMerge w:val="continue"/>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Borders>
              <w:left w:val="single" w:color="auto" w:sz="6" w:space="0"/>
              <w:bottom w:val="single" w:color="auto" w:sz="6" w:space="0"/>
              <w:right w:val="single" w:color="auto" w:sz="6" w:space="0"/>
            </w:tcBorders>
            <w:tcW w:w="771" w:type="dxa"/>
            <w:vAlign w:val="center"/>
            <w:vMerge w:val="continue"/>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Borders>
              <w:left w:val="single" w:color="auto" w:sz="6" w:space="0"/>
              <w:bottom w:val="single" w:color="auto" w:sz="6" w:space="0"/>
              <w:right w:val="single" w:color="auto" w:sz="6" w:space="0"/>
            </w:tcBorders>
            <w:tcW w:w="750" w:type="dxa"/>
            <w:vAlign w:val="center"/>
            <w:vMerge w:val="continue"/>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Borders>
              <w:left w:val="single" w:color="auto" w:sz="6" w:space="0"/>
              <w:bottom w:val="single" w:color="auto" w:sz="6" w:space="0"/>
              <w:right w:val="single" w:color="auto" w:sz="6" w:space="0"/>
            </w:tcBorders>
            <w:tcW w:w="764" w:type="dxa"/>
            <w:vAlign w:val="center"/>
            <w:vMerge w:val="continue"/>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Borders>
              <w:left w:val="single" w:color="auto" w:sz="6" w:space="0"/>
              <w:bottom w:val="single" w:color="auto" w:sz="6" w:space="0"/>
              <w:right w:val="single" w:color="auto" w:sz="6" w:space="0"/>
            </w:tcBorders>
            <w:tcW w:w="991" w:type="dxa"/>
            <w:vAlign w:val="center"/>
            <w:vMerge w:val="continue"/>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Borders>
              <w:left w:val="single" w:color="auto" w:sz="6" w:space="0"/>
              <w:bottom w:val="single" w:color="auto" w:sz="6" w:space="0"/>
              <w:right w:val="single" w:color="auto" w:sz="6" w:space="0"/>
            </w:tcBorders>
            <w:tcW w:w="1157" w:type="dxa"/>
            <w:vAlign w:val="center"/>
            <w:vMerge w:val="continue"/>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类别</w:t>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编号</w:t>
            </w:r>
            <w:r/>
          </w:p>
        </w:tc>
        <w:tc>
          <w:tcPr>
            <w:tcBorders>
              <w:left w:val="single" w:color="auto" w:sz="6" w:space="0"/>
              <w:bottom w:val="single" w:color="auto" w:sz="6" w:space="0"/>
              <w:right w:val="single" w:color="auto" w:sz="6" w:space="0"/>
            </w:tcBorders>
            <w:tcW w:w="1349" w:type="dxa"/>
            <w:vAlign w:val="center"/>
            <w:vMerge w:val="continue"/>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Borders>
              <w:left w:val="single" w:color="auto" w:sz="6" w:space="0"/>
              <w:bottom w:val="single" w:color="auto" w:sz="6" w:space="0"/>
              <w:right w:val="single" w:color="auto" w:sz="6" w:space="0"/>
            </w:tcBorders>
            <w:tcW w:w="1349" w:type="dxa"/>
            <w:vAlign w:val="center"/>
            <w:vMerge w:val="continue"/>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Borders>
              <w:left w:val="single" w:color="auto" w:sz="6" w:space="0"/>
              <w:bottom w:val="single" w:color="auto" w:sz="6" w:space="0"/>
              <w:right w:val="single" w:color="auto" w:sz="6" w:space="0"/>
            </w:tcBorders>
            <w:tcW w:w="579" w:type="dxa"/>
            <w:vAlign w:val="center"/>
            <w:vMerge w:val="continue"/>
            <w:textDirection w:val="lrTb"/>
            <w:noWrap w:val="false"/>
          </w:tcPr>
          <w:p>
            <w:pPr>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c>
          <w:tcPr>
            <w:tcBorders>
              <w:top w:val="single" w:color="auto" w:sz="6" w:space="0"/>
              <w:left w:val="none" w:color="000000" w:sz="4" w:space="0"/>
              <w:bottom w:val="single" w:color="auto" w:sz="6" w:space="0"/>
              <w:right w:val="single" w:color="auto" w:sz="4" w:space="0"/>
            </w:tcBorders>
            <w:tcW w:w="579"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 w:val="24"/>
                <w:lang w:val="zh-CN"/>
              </w:rPr>
            </w:r>
            <w:r/>
          </w:p>
        </w:tc>
      </w:tr>
      <w:tr>
        <w:trPr/>
        <w:tc>
          <w:tcPr>
            <w:gridSpan w:val="11"/>
            <w:tcBorders>
              <w:top w:val="single" w:color="auto" w:sz="6" w:space="0"/>
              <w:left w:val="single" w:color="auto" w:sz="6" w:space="0"/>
              <w:bottom w:val="single" w:color="auto" w:sz="6" w:space="0"/>
              <w:right w:val="single" w:color="auto" w:sz="4" w:space="0"/>
            </w:tcBorders>
            <w:tcW w:w="9652" w:type="dxa"/>
            <w:vAlign w:val="center"/>
            <w:textDirection w:val="lrTb"/>
            <w:noWrap w:val="false"/>
          </w:tcPr>
          <w:p>
            <w:pPr>
              <w:jc w:val="center"/>
              <w:spacing w:line="360" w:lineRule="auto"/>
              <w:rPr>
                <w:rFonts w:hint="eastAsia" w:ascii="宋体" w:hAnsi="宋体" w:eastAsia="宋体" w:cs="宋体"/>
                <w:sz w:val="24"/>
                <w:lang w:val="zh-CN"/>
              </w:rPr>
            </w:pPr>
            <w:r>
              <w:rPr>
                <w:rFonts w:hint="eastAsia" w:ascii="宋体" w:hAnsi="宋体" w:eastAsia="宋体" w:cs="宋体"/>
                <w:szCs w:val="21"/>
                <w:lang w:val="zh-CN"/>
              </w:rPr>
              <w:t xml:space="preserve">说明：1、表中资格证明类别一栏按资格证书、岗位证书、培训证书填写；</w:t>
            </w:r>
            <w:r/>
          </w:p>
        </w:tc>
      </w:tr>
    </w:tbl>
    <w:p>
      <w:pPr>
        <w:spacing w:line="360" w:lineRule="auto"/>
        <w:rPr>
          <w:rFonts w:hint="eastAsia" w:ascii="宋体" w:hAnsi="宋体" w:eastAsia="宋体" w:cs="宋体"/>
          <w:spacing w:val="20"/>
        </w:rPr>
      </w:pPr>
      <w:r>
        <w:rPr>
          <w:rFonts w:hint="eastAsia" w:ascii="宋体" w:hAnsi="宋体" w:eastAsia="宋体" w:cs="宋体"/>
          <w:spacing w:val="20"/>
        </w:rPr>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响应人（公章）： </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日期：    年    月    日</w:t>
      </w:r>
      <w:r/>
    </w:p>
    <w:p>
      <w:pPr>
        <w:pStyle w:val="954"/>
        <w:ind w:firstLine="0"/>
        <w:rPr>
          <w:rFonts w:hint="eastAsia" w:ascii="宋体" w:hAnsi="宋体" w:eastAsia="宋体" w:cs="宋体"/>
          <w:spacing w:val="20"/>
          <w:szCs w:val="24"/>
        </w:rPr>
      </w:pPr>
      <w:r>
        <w:rPr>
          <w:rFonts w:hint="eastAsia" w:ascii="宋体" w:hAnsi="宋体" w:eastAsia="宋体" w:cs="宋体"/>
          <w:spacing w:val="20"/>
          <w:szCs w:val="24"/>
        </w:rPr>
      </w:r>
      <w:r/>
    </w:p>
    <w:p>
      <w:pPr>
        <w:rPr>
          <w:rFonts w:hint="eastAsia" w:ascii="宋体" w:hAnsi="宋体" w:eastAsia="宋体" w:cs="宋体"/>
        </w:rPr>
      </w:pPr>
      <w:r>
        <w:rPr>
          <w:rFonts w:hint="eastAsia" w:ascii="宋体" w:hAnsi="宋体" w:eastAsia="宋体" w:cs="宋体"/>
        </w:rPr>
      </w:r>
      <w:r/>
    </w:p>
    <w:p>
      <w:pPr>
        <w:ind w:firstLine="422"/>
        <w:spacing w:line="360" w:lineRule="auto"/>
        <w:rPr>
          <w:rFonts w:hint="eastAsia" w:ascii="宋体" w:hAnsi="宋体" w:eastAsia="宋体" w:cs="宋体"/>
          <w:b/>
        </w:rPr>
      </w:pPr>
      <w:r>
        <w:rPr>
          <w:rFonts w:hint="eastAsia" w:ascii="宋体" w:hAnsi="宋体" w:eastAsia="宋体" w:cs="宋体"/>
          <w:b/>
        </w:rPr>
        <w:t xml:space="preserve">注：</w:t>
      </w:r>
      <w:r/>
    </w:p>
    <w:p>
      <w:pPr>
        <w:ind w:firstLine="422"/>
        <w:spacing w:line="360" w:lineRule="auto"/>
        <w:rPr>
          <w:rFonts w:hint="eastAsia" w:ascii="宋体" w:hAnsi="宋体" w:eastAsia="宋体" w:cs="宋体"/>
          <w:b/>
        </w:rPr>
      </w:pPr>
      <w:r>
        <w:rPr>
          <w:rFonts w:hint="eastAsia" w:ascii="宋体" w:hAnsi="宋体" w:eastAsia="宋体" w:cs="宋体"/>
          <w:b/>
        </w:rPr>
        <w:t xml:space="preserve">1.须提供相关证书及供应商为其缴纳的至少近三个月的社保证明材料，否则视为未提供。</w:t>
      </w:r>
      <w:r/>
    </w:p>
    <w:p>
      <w:pPr>
        <w:ind w:firstLine="422"/>
        <w:spacing w:line="360" w:lineRule="auto"/>
        <w:rPr>
          <w:rFonts w:hint="eastAsia" w:ascii="宋体" w:hAnsi="宋体" w:eastAsia="宋体" w:cs="宋体"/>
          <w:b/>
        </w:rPr>
      </w:pPr>
      <w:r>
        <w:rPr>
          <w:rFonts w:hint="eastAsia" w:ascii="宋体" w:hAnsi="宋体" w:eastAsia="宋体" w:cs="宋体"/>
          <w:b/>
        </w:rPr>
        <w:t xml:space="preserve">2.供应商可参照上述格式自行设计表格投标。</w:t>
      </w:r>
      <w:r/>
    </w:p>
    <w:p>
      <w:pPr>
        <w:pStyle w:val="954"/>
        <w:rPr>
          <w:rFonts w:hint="eastAsia" w:ascii="宋体" w:hAnsi="宋体" w:eastAsia="宋体" w:cs="宋体"/>
        </w:rPr>
      </w:pPr>
      <w:r>
        <w:rPr>
          <w:rFonts w:hint="eastAsia" w:ascii="宋体" w:hAnsi="宋体" w:eastAsia="宋体" w:cs="宋体"/>
        </w:rPr>
        <w:br w:type="page" w:clear="all"/>
      </w:r>
      <w:r/>
    </w:p>
    <w:p>
      <w:pPr>
        <w:jc w:val="left"/>
        <w:spacing w:line="440" w:lineRule="exact"/>
        <w:rPr>
          <w:rFonts w:hint="eastAsia" w:ascii="宋体" w:hAnsi="宋体" w:eastAsia="宋体" w:cs="宋体"/>
          <w:b/>
          <w:bCs/>
          <w:szCs w:val="21"/>
        </w:rPr>
      </w:pPr>
      <w:r>
        <w:rPr>
          <w:rFonts w:hint="eastAsia" w:ascii="宋体" w:hAnsi="宋体" w:eastAsia="宋体" w:cs="宋体"/>
          <w:b/>
          <w:bCs/>
          <w:szCs w:val="21"/>
        </w:rPr>
        <w:t xml:space="preserve">格式12、</w:t>
      </w:r>
      <w:r>
        <w:rPr>
          <w:rFonts w:hint="eastAsia" w:ascii="宋体" w:hAnsi="宋体" w:eastAsia="宋体" w:cs="宋体"/>
          <w:b/>
          <w:szCs w:val="21"/>
        </w:rPr>
        <w:t xml:space="preserve">项目负责人情况表</w:t>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项目负责人情况表</w:t>
      </w:r>
      <w:r/>
    </w:p>
    <w:p>
      <w:pPr>
        <w:jc w:val="center"/>
        <w:spacing w:line="360" w:lineRule="auto"/>
        <w:rPr>
          <w:rFonts w:hint="eastAsia" w:ascii="宋体" w:hAnsi="宋体" w:eastAsia="宋体" w:cs="宋体"/>
          <w:sz w:val="24"/>
          <w:szCs w:val="21"/>
        </w:rPr>
      </w:pPr>
      <w:r>
        <w:rPr>
          <w:rFonts w:hint="eastAsia" w:ascii="宋体" w:hAnsi="宋体" w:eastAsia="宋体" w:cs="宋体"/>
          <w:sz w:val="24"/>
          <w:szCs w:val="21"/>
        </w:rPr>
      </w:r>
      <w:r/>
    </w:p>
    <w:tbl>
      <w:tblPr>
        <w:tblStyle w:val="910"/>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9"/>
        <w:gridCol w:w="3261"/>
        <w:gridCol w:w="1701"/>
        <w:gridCol w:w="3026"/>
      </w:tblGrid>
      <w:tr>
        <w:trPr>
          <w:jc w:val="center"/>
          <w:trHeight w:val="567"/>
        </w:trPr>
        <w:tc>
          <w:tcPr>
            <w:tcW w:w="162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姓    名</w:t>
            </w:r>
            <w:r/>
          </w:p>
        </w:tc>
        <w:tc>
          <w:tcPr>
            <w:tcW w:w="326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W w:w="170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年    龄</w:t>
            </w:r>
            <w:r/>
          </w:p>
        </w:tc>
        <w:tc>
          <w:tcPr>
            <w:tcW w:w="3026"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567"/>
        </w:trPr>
        <w:tc>
          <w:tcPr>
            <w:tcW w:w="162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学    历</w:t>
            </w:r>
            <w:r/>
          </w:p>
        </w:tc>
        <w:tc>
          <w:tcPr>
            <w:tcW w:w="3261" w:type="dxa"/>
            <w:vAlign w:val="center"/>
            <w:textDirection w:val="lrTb"/>
            <w:noWrap w:val="false"/>
          </w:tcPr>
          <w:p>
            <w:pPr>
              <w:jc w:val="center"/>
              <w:spacing w:line="360" w:lineRule="auto"/>
              <w:rPr>
                <w:rFonts w:hint="eastAsia" w:ascii="宋体" w:hAnsi="宋体" w:eastAsia="宋体" w:cs="宋体"/>
                <w:b/>
              </w:rPr>
            </w:pPr>
            <w:r>
              <w:rPr>
                <w:rFonts w:hint="eastAsia" w:ascii="宋体" w:hAnsi="宋体" w:eastAsia="宋体" w:cs="宋体"/>
                <w:b/>
              </w:rPr>
              <w:t xml:space="preserve">（须提供毕业证书）</w:t>
            </w:r>
            <w:r/>
          </w:p>
        </w:tc>
        <w:tc>
          <w:tcPr>
            <w:tcW w:w="170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专    业</w:t>
            </w:r>
            <w:r/>
          </w:p>
        </w:tc>
        <w:tc>
          <w:tcPr>
            <w:tcW w:w="3026" w:type="dxa"/>
            <w:vAlign w:val="center"/>
            <w:textDirection w:val="lrTb"/>
            <w:noWrap w:val="false"/>
          </w:tcPr>
          <w:p>
            <w:pPr>
              <w:jc w:val="center"/>
              <w:spacing w:line="360" w:lineRule="auto"/>
              <w:rPr>
                <w:rFonts w:hint="eastAsia" w:ascii="宋体" w:hAnsi="宋体" w:eastAsia="宋体" w:cs="宋体"/>
                <w:b/>
              </w:rPr>
            </w:pPr>
            <w:r>
              <w:rPr>
                <w:rFonts w:hint="eastAsia" w:ascii="宋体" w:hAnsi="宋体" w:eastAsia="宋体" w:cs="宋体"/>
                <w:b/>
              </w:rPr>
              <w:t xml:space="preserve">（指毕业证书上所学专业）</w:t>
            </w:r>
            <w:r/>
          </w:p>
        </w:tc>
      </w:tr>
      <w:tr>
        <w:trPr>
          <w:jc w:val="center"/>
          <w:trHeight w:val="567"/>
        </w:trPr>
        <w:tc>
          <w:tcPr>
            <w:tcW w:w="162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资格证书</w:t>
            </w:r>
            <w:r/>
          </w:p>
        </w:tc>
        <w:tc>
          <w:tcPr>
            <w:tcW w:w="326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b/>
              </w:rPr>
              <w:t xml:space="preserve">（如有需提供相关证书）</w:t>
            </w:r>
            <w:r/>
          </w:p>
        </w:tc>
        <w:tc>
          <w:tcPr>
            <w:tcW w:w="170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技术职称</w:t>
            </w:r>
            <w:r/>
          </w:p>
        </w:tc>
        <w:tc>
          <w:tcPr>
            <w:tcW w:w="3026" w:type="dxa"/>
            <w:vAlign w:val="center"/>
            <w:textDirection w:val="lrTb"/>
            <w:noWrap w:val="false"/>
          </w:tcPr>
          <w:p>
            <w:pPr>
              <w:jc w:val="center"/>
              <w:spacing w:line="360" w:lineRule="auto"/>
              <w:rPr>
                <w:rFonts w:hint="eastAsia" w:ascii="宋体" w:hAnsi="宋体" w:eastAsia="宋体" w:cs="宋体"/>
                <w:b/>
              </w:rPr>
            </w:pPr>
            <w:r>
              <w:rPr>
                <w:rFonts w:hint="eastAsia" w:ascii="宋体" w:hAnsi="宋体" w:eastAsia="宋体" w:cs="宋体"/>
                <w:b/>
              </w:rPr>
              <w:t xml:space="preserve">（如有需提供职称证书）</w:t>
            </w:r>
            <w:r/>
          </w:p>
        </w:tc>
      </w:tr>
      <w:tr>
        <w:trPr>
          <w:jc w:val="center"/>
          <w:trHeight w:val="567"/>
        </w:trPr>
        <w:tc>
          <w:tcPr>
            <w:gridSpan w:val="2"/>
            <w:tcW w:w="4890"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相关工作从业时间</w:t>
            </w:r>
            <w:r/>
          </w:p>
        </w:tc>
        <w:tc>
          <w:tcPr>
            <w:gridSpan w:val="2"/>
            <w:tcW w:w="472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567"/>
        </w:trPr>
        <w:tc>
          <w:tcPr>
            <w:gridSpan w:val="2"/>
            <w:tcW w:w="4890"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为投标人服务时间</w:t>
            </w:r>
            <w:r/>
          </w:p>
        </w:tc>
        <w:tc>
          <w:tcPr>
            <w:gridSpan w:val="2"/>
            <w:tcW w:w="4727" w:type="dxa"/>
            <w:vAlign w:val="center"/>
            <w:textDirection w:val="lrTb"/>
            <w:noWrap w:val="false"/>
          </w:tcPr>
          <w:p>
            <w:pPr>
              <w:jc w:val="center"/>
              <w:spacing w:line="360" w:lineRule="auto"/>
              <w:rPr>
                <w:rFonts w:hint="eastAsia" w:ascii="宋体" w:hAnsi="宋体" w:eastAsia="宋体" w:cs="宋体"/>
                <w:b/>
              </w:rPr>
            </w:pPr>
            <w:r>
              <w:rPr>
                <w:rFonts w:hint="eastAsia" w:ascii="宋体" w:hAnsi="宋体" w:eastAsia="宋体" w:cs="宋体"/>
                <w:b/>
              </w:rPr>
            </w:r>
            <w:r/>
          </w:p>
        </w:tc>
      </w:tr>
      <w:tr>
        <w:trPr>
          <w:jc w:val="center"/>
          <w:trHeight w:val="567"/>
        </w:trPr>
        <w:tc>
          <w:tcPr>
            <w:gridSpan w:val="2"/>
            <w:tcW w:w="4890"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本项目拟担任职务</w:t>
            </w:r>
            <w:r/>
          </w:p>
        </w:tc>
        <w:tc>
          <w:tcPr>
            <w:gridSpan w:val="2"/>
            <w:tcW w:w="472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567"/>
        </w:trPr>
        <w:tc>
          <w:tcPr>
            <w:gridSpan w:val="4"/>
            <w:tcW w:w="961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主要工作经历</w:t>
            </w:r>
            <w:r/>
          </w:p>
        </w:tc>
      </w:tr>
      <w:tr>
        <w:trPr>
          <w:jc w:val="center"/>
          <w:trHeight w:val="567"/>
        </w:trPr>
        <w:tc>
          <w:tcPr>
            <w:tcW w:w="162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参与时间</w:t>
            </w:r>
            <w:r/>
          </w:p>
        </w:tc>
        <w:tc>
          <w:tcPr>
            <w:tcW w:w="326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参与项目名称及规模</w:t>
            </w:r>
            <w:r/>
          </w:p>
        </w:tc>
        <w:tc>
          <w:tcPr>
            <w:gridSpan w:val="2"/>
            <w:tcW w:w="472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在该项目中所任职务及其主要工作内容</w:t>
            </w:r>
            <w:r/>
          </w:p>
        </w:tc>
      </w:tr>
      <w:tr>
        <w:trPr>
          <w:jc w:val="center"/>
          <w:trHeight w:val="567"/>
        </w:trPr>
        <w:tc>
          <w:tcPr>
            <w:tcW w:w="162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W w:w="326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gridSpan w:val="2"/>
            <w:tcW w:w="472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567"/>
        </w:trPr>
        <w:tc>
          <w:tcPr>
            <w:gridSpan w:val="2"/>
            <w:tcW w:w="4890"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获得的荣誉或评定情况</w:t>
            </w:r>
            <w:r/>
          </w:p>
        </w:tc>
        <w:tc>
          <w:tcPr>
            <w:gridSpan w:val="2"/>
            <w:tcW w:w="4727" w:type="dxa"/>
            <w:vAlign w:val="center"/>
            <w:textDirection w:val="lrTb"/>
            <w:noWrap w:val="false"/>
          </w:tcPr>
          <w:p>
            <w:pPr>
              <w:jc w:val="center"/>
              <w:spacing w:line="360" w:lineRule="auto"/>
              <w:rPr>
                <w:rFonts w:hint="eastAsia" w:ascii="宋体" w:hAnsi="宋体" w:eastAsia="宋体" w:cs="宋体"/>
                <w:b/>
              </w:rPr>
            </w:pPr>
            <w:r>
              <w:rPr>
                <w:rFonts w:hint="eastAsia" w:ascii="宋体" w:hAnsi="宋体" w:eastAsia="宋体" w:cs="宋体"/>
                <w:b/>
              </w:rPr>
              <w:t xml:space="preserve">（如有需提供证明材料）</w:t>
            </w:r>
            <w:r/>
          </w:p>
        </w:tc>
      </w:tr>
      <w:tr>
        <w:trPr>
          <w:jc w:val="center"/>
          <w:trHeight w:val="567"/>
        </w:trPr>
        <w:tc>
          <w:tcPr>
            <w:gridSpan w:val="2"/>
            <w:tcW w:w="4890"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其他需补充说明的内容</w:t>
            </w:r>
            <w:r/>
          </w:p>
        </w:tc>
        <w:tc>
          <w:tcPr>
            <w:gridSpan w:val="2"/>
            <w:tcW w:w="4727" w:type="dxa"/>
            <w:vAlign w:val="center"/>
            <w:textDirection w:val="lrTb"/>
            <w:noWrap w:val="false"/>
          </w:tcPr>
          <w:p>
            <w:pPr>
              <w:pStyle w:val="914"/>
              <w:ind w:firstLine="0"/>
              <w:rPr>
                <w:rFonts w:hint="eastAsia" w:ascii="宋体" w:hAnsi="宋体" w:eastAsia="宋体" w:cs="宋体"/>
                <w:sz w:val="21"/>
                <w:szCs w:val="21"/>
              </w:rPr>
            </w:pPr>
            <w:r>
              <w:rPr>
                <w:rFonts w:hint="eastAsia" w:ascii="宋体" w:hAnsi="宋体" w:eastAsia="宋体" w:cs="宋体"/>
                <w:sz w:val="21"/>
                <w:szCs w:val="21"/>
              </w:rPr>
              <w:t xml:space="preserve">本公司承诺：</w:t>
            </w:r>
            <w:r/>
          </w:p>
          <w:p>
            <w:pPr>
              <w:jc w:val="left"/>
              <w:spacing w:line="360" w:lineRule="auto"/>
              <w:rPr>
                <w:rFonts w:hint="eastAsia" w:ascii="宋体" w:hAnsi="宋体" w:eastAsia="宋体" w:cs="宋体"/>
              </w:rPr>
            </w:pPr>
            <w:r>
              <w:rPr>
                <w:rFonts w:hint="eastAsia" w:ascii="宋体" w:hAnsi="宋体" w:eastAsia="宋体" w:cs="宋体"/>
                <w:szCs w:val="21"/>
              </w:rPr>
              <w:t xml:space="preserve">该人员在从业经历中没有任何违法、违规而被查处的不良记录。</w:t>
            </w:r>
            <w:r/>
          </w:p>
        </w:tc>
      </w:tr>
    </w:tbl>
    <w:p>
      <w:pPr>
        <w:ind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响应人（公章）： </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日期：    年    月    日</w:t>
      </w:r>
      <w:r/>
    </w:p>
    <w:p>
      <w:pPr>
        <w:pStyle w:val="954"/>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422"/>
        <w:spacing w:line="360" w:lineRule="auto"/>
        <w:rPr>
          <w:rFonts w:hint="eastAsia" w:ascii="宋体" w:hAnsi="宋体" w:eastAsia="宋体" w:cs="宋体"/>
          <w:b/>
        </w:rPr>
      </w:pPr>
      <w:r>
        <w:rPr>
          <w:rFonts w:hint="eastAsia" w:ascii="宋体" w:hAnsi="宋体" w:eastAsia="宋体" w:cs="宋体"/>
          <w:b/>
        </w:rPr>
        <w:t xml:space="preserve">注：须提供相关证书及供应商为其缴纳的至少近三个月的社保证明材料，否则视为未提供。</w:t>
      </w:r>
      <w:r/>
    </w:p>
    <w:p>
      <w:pPr>
        <w:pStyle w:val="954"/>
        <w:jc w:val="right"/>
        <w:rPr>
          <w:rFonts w:hint="eastAsia" w:ascii="宋体" w:hAnsi="宋体" w:eastAsia="宋体" w:cs="宋体"/>
          <w:b/>
        </w:rPr>
      </w:pPr>
      <w:r>
        <w:rPr>
          <w:rFonts w:hint="eastAsia" w:ascii="宋体" w:hAnsi="宋体" w:eastAsia="宋体" w:cs="宋体"/>
          <w:b/>
        </w:rPr>
      </w:r>
      <w:r/>
    </w:p>
    <w:p>
      <w:pPr>
        <w:pStyle w:val="954"/>
        <w:jc w:val="right"/>
        <w:rPr>
          <w:rFonts w:hint="eastAsia" w:ascii="宋体" w:hAnsi="宋体" w:eastAsia="宋体" w:cs="宋体"/>
          <w:b/>
        </w:rPr>
      </w:pPr>
      <w:r>
        <w:rPr>
          <w:rFonts w:hint="eastAsia" w:ascii="宋体" w:hAnsi="宋体" w:eastAsia="宋体" w:cs="宋体"/>
          <w:b/>
        </w:rPr>
      </w:r>
      <w:r/>
    </w:p>
    <w:p>
      <w:pPr>
        <w:pStyle w:val="954"/>
        <w:jc w:val="right"/>
        <w:rPr>
          <w:rFonts w:hAnsi="宋体"/>
          <w:b/>
        </w:rPr>
      </w:pPr>
      <w:r>
        <w:rPr>
          <w:rFonts w:hint="eastAsia" w:ascii="宋体" w:hAnsi="宋体" w:eastAsia="宋体" w:cs="宋体"/>
          <w:b/>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907" w:right="1133" w:bottom="907" w:left="1021"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等线">
    <w:panose1 w:val="02010600030101010101"/>
  </w:font>
  <w:font w:name="??????">
    <w:panose1 w:val="020B0503020202020204"/>
  </w:font>
  <w:font w:name="Calibri">
    <w:panose1 w:val="020F0502020204030204"/>
  </w:font>
  <w:font w:name="?????">
    <w:panose1 w:val="020B0503020202020204"/>
  </w:font>
  <w:font w:name="Courier New">
    <w:panose1 w:val="02070309020205020404"/>
  </w:font>
  <w:font w:name="楷体_GB2312">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14935" cy="131445"/>
              <wp:effectExtent l="0" t="0" r="0" b="0"/>
              <wp:wrapNone/>
              <wp:docPr id="1" name="文本框 4097"/>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21"/>
                          </w:pPr>
                          <w:r>
                            <w:rPr>
                              <w:rFonts w:hint="eastAsia"/>
                            </w:rPr>
                            <w:t xml:space="preserve">第</w:t>
                          </w:r>
                          <w:r>
                            <w:t xml:space="preserve"> </w:t>
                          </w:r>
                          <w:r>
                            <w:fldChar w:fldCharType="begin"/>
                          </w:r>
                          <w:r>
                            <w:instrText xml:space="preserve"> PAGE  \* MERGEFORMAT </w:instrText>
                          </w:r>
                          <w:r>
                            <w:fldChar w:fldCharType="separate"/>
                          </w:r>
                          <w:r>
                            <w:t xml:space="preserve">99</w:t>
                          </w:r>
                          <w:r>
                            <w:fldChar w:fldCharType="end"/>
                          </w:r>
                          <w:r>
                            <w:t xml:space="preserve"> </w:t>
                          </w:r>
                          <w:r>
                            <w:rPr>
                              <w:rFonts w:hint="eastAsia"/>
                            </w:rPr>
                            <w:t xml:space="preserve">页</w:t>
                          </w:r>
                          <w:r>
                            <w:t xml:space="preserve"> </w:t>
                          </w:r>
                          <w:r>
                            <w:rPr>
                              <w:rFonts w:hint="eastAsia"/>
                            </w:rPr>
                            <w:t xml:space="preserve">共</w:t>
                          </w:r>
                          <w:r>
                            <w:t xml:space="preserve"> </w:t>
                          </w:r>
                          <w:r>
                            <w:fldChar w:fldCharType="begin"/>
                          </w:r>
                          <w:r>
                            <w:instrText xml:space="preserve"> NUMPAGES  \* MERGEFORMAT </w:instrText>
                          </w:r>
                          <w:r>
                            <w:fldChar w:fldCharType="separate"/>
                          </w:r>
                          <w:r>
                            <w:t xml:space="preserve">117</w:t>
                          </w:r>
                          <w:r>
                            <w:fldChar w:fldCharType="end"/>
                          </w:r>
                          <w:r>
                            <w:t xml:space="preserve"> </w:t>
                          </w:r>
                          <w:r>
                            <w:rPr>
                              <w:rFonts w:hint="eastAsia"/>
                            </w:rPr>
                            <w:t xml:space="preserve">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9.0pt;height:10.3pt;mso-wrap-distance-left:9.0pt;mso-wrap-distance-top:0.0pt;mso-wrap-distance-right:9.0pt;mso-wrap-distance-bottom:0.0pt;visibility:visible;" filled="f" stroked="f">
              <v:textbox inset="0,0,0,0">
                <w:txbxContent>
                  <w:p>
                    <w:pPr>
                      <w:pStyle w:val="921"/>
                    </w:pPr>
                    <w:r>
                      <w:rPr>
                        <w:rFonts w:hint="eastAsia"/>
                      </w:rPr>
                      <w:t xml:space="preserve">第</w:t>
                    </w:r>
                    <w:r>
                      <w:t xml:space="preserve"> </w:t>
                    </w:r>
                    <w:r>
                      <w:fldChar w:fldCharType="begin"/>
                    </w:r>
                    <w:r>
                      <w:instrText xml:space="preserve"> PAGE  \* MERGEFORMAT </w:instrText>
                    </w:r>
                    <w:r>
                      <w:fldChar w:fldCharType="separate"/>
                    </w:r>
                    <w:r>
                      <w:t xml:space="preserve">99</w:t>
                    </w:r>
                    <w:r>
                      <w:fldChar w:fldCharType="end"/>
                    </w:r>
                    <w:r>
                      <w:t xml:space="preserve"> </w:t>
                    </w:r>
                    <w:r>
                      <w:rPr>
                        <w:rFonts w:hint="eastAsia"/>
                      </w:rPr>
                      <w:t xml:space="preserve">页</w:t>
                    </w:r>
                    <w:r>
                      <w:t xml:space="preserve"> </w:t>
                    </w:r>
                    <w:r>
                      <w:rPr>
                        <w:rFonts w:hint="eastAsia"/>
                      </w:rPr>
                      <w:t xml:space="preserve">共</w:t>
                    </w:r>
                    <w:r>
                      <w:t xml:space="preserve"> </w:t>
                    </w:r>
                    <w:r>
                      <w:fldChar w:fldCharType="begin"/>
                    </w:r>
                    <w:r>
                      <w:instrText xml:space="preserve"> NUMPAGES  \* MERGEFORMAT </w:instrText>
                    </w:r>
                    <w:r>
                      <w:fldChar w:fldCharType="separate"/>
                    </w:r>
                    <w:r>
                      <w:t xml:space="preserve">117</w:t>
                    </w:r>
                    <w:r>
                      <w:fldChar w:fldCharType="end"/>
                    </w:r>
                    <w:r>
                      <w:t xml:space="preserve"> </w:t>
                    </w:r>
                    <w:r>
                      <w:rPr>
                        <w:rFonts w:hint="eastAsia"/>
                      </w:rP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4098"/>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21"/>
                          </w:p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2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rPr>
        <w:rFonts w:ascii="宋体"/>
      </w:rPr>
      <w:pBdr>
        <w:bottom w:val="single" w:color="auto" w:sz="6" w:space="0"/>
      </w:pBdr>
    </w:pPr>
    <w:r>
      <w:rPr>
        <w:rFonts w:hint="eastAsia"/>
      </w:rPr>
      <w:t xml:space="preserve">江苏祥和项目管理有限公司</w:t>
    </w:r>
    <w:r>
      <w:t xml:space="preserve">                                                               </w:t>
    </w:r>
    <w:r>
      <w:rPr>
        <w:rFonts w:ascii="宋体" w:hAnsi="宋体"/>
      </w:rPr>
      <w:t xml:space="preserve">JSXH2026-ZZ-GKZB-027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rPr>
        <w:rFonts w:ascii="宋体"/>
      </w:rPr>
    </w:pPr>
    <w:r>
      <w:rPr>
        <w:rFonts w:hint="eastAsia"/>
      </w:rPr>
      <w:t xml:space="preserve">江苏祥和项目管理有限公司</w:t>
    </w:r>
    <w:r>
      <w:t xml:space="preserve">                                                               </w:t>
    </w:r>
    <w:r>
      <w:rPr>
        <w:rFonts w:ascii="宋体" w:hAnsi="宋体"/>
      </w:rPr>
      <w:t xml:space="preserve">JSXH2026-ZZ-GKZB-027</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1">
    <w:multiLevelType w:val="hybridMultilevel"/>
    <w:lvl w:ilvl="0">
      <w:start w:val="1"/>
      <w:numFmt w:val="decimal"/>
      <w:pStyle w:val="989"/>
      <w:isLgl w:val="false"/>
      <w:suff w:val="tab"/>
      <w:lvlText w:val="%1)"/>
      <w:lvlJc w:val="left"/>
      <w:pPr>
        <w:ind w:left="420" w:hanging="420"/>
      </w:pPr>
      <w:rPr>
        <w:rFonts w:cs="Times New Roman"/>
      </w:rPr>
    </w:lvl>
    <w:lvl w:ilvl="1">
      <w:start w:val="1"/>
      <w:numFmt w:val="lowerLetter"/>
      <w:isLgl w:val="false"/>
      <w:suff w:val="tab"/>
      <w:lvlText w:val="%1)"/>
      <w:lvlJc w:val="left"/>
      <w:pPr>
        <w:ind w:left="840" w:hanging="420"/>
      </w:pPr>
      <w:rPr>
        <w:rFonts w:cs="Times New Roman"/>
      </w:rPr>
    </w:lvl>
    <w:lvl w:ilvl="2">
      <w:start w:val="1"/>
      <w:numFmt w:val="lowerRoman"/>
      <w:isLgl w:val="false"/>
      <w:suff w:val="tab"/>
      <w:lvlText w:val="%1."/>
      <w:lvlJc w:val="right"/>
      <w:pPr>
        <w:ind w:left="1260" w:hanging="420"/>
      </w:pPr>
      <w:rPr>
        <w:rFonts w:cs="Times New Roman"/>
      </w:rPr>
    </w:lvl>
    <w:lvl w:ilvl="3">
      <w:start w:val="1"/>
      <w:numFmt w:val="decimal"/>
      <w:isLgl w:val="false"/>
      <w:suff w:val="tab"/>
      <w:lvlText w:val="%1."/>
      <w:lvlJc w:val="left"/>
      <w:pPr>
        <w:ind w:left="1680" w:hanging="420"/>
      </w:pPr>
      <w:rPr>
        <w:rFonts w:cs="Times New Roman"/>
      </w:rPr>
    </w:lvl>
    <w:lvl w:ilvl="4">
      <w:start w:val="1"/>
      <w:numFmt w:val="lowerLetter"/>
      <w:isLgl w:val="false"/>
      <w:suff w:val="tab"/>
      <w:lvlText w:val="%1)"/>
      <w:lvlJc w:val="left"/>
      <w:pPr>
        <w:ind w:left="2100" w:hanging="420"/>
      </w:pPr>
      <w:rPr>
        <w:rFonts w:cs="Times New Roman"/>
      </w:rPr>
    </w:lvl>
    <w:lvl w:ilvl="5">
      <w:start w:val="1"/>
      <w:numFmt w:val="lowerRoman"/>
      <w:isLgl w:val="false"/>
      <w:suff w:val="tab"/>
      <w:lvlText w:val="%1."/>
      <w:lvlJc w:val="right"/>
      <w:pPr>
        <w:ind w:left="2520" w:hanging="420"/>
      </w:pPr>
      <w:rPr>
        <w:rFonts w:cs="Times New Roman"/>
      </w:rPr>
    </w:lvl>
    <w:lvl w:ilvl="6">
      <w:start w:val="1"/>
      <w:numFmt w:val="decimal"/>
      <w:isLgl w:val="false"/>
      <w:suff w:val="tab"/>
      <w:lvlText w:val="%1."/>
      <w:lvlJc w:val="left"/>
      <w:pPr>
        <w:ind w:left="2940" w:hanging="420"/>
      </w:pPr>
      <w:rPr>
        <w:rFonts w:cs="Times New Roman"/>
      </w:rPr>
    </w:lvl>
    <w:lvl w:ilvl="7">
      <w:start w:val="1"/>
      <w:numFmt w:val="lowerLetter"/>
      <w:isLgl w:val="false"/>
      <w:suff w:val="tab"/>
      <w:lvlText w:val="%1)"/>
      <w:lvlJc w:val="left"/>
      <w:pPr>
        <w:ind w:left="3360" w:hanging="420"/>
      </w:pPr>
      <w:rPr>
        <w:rFonts w:cs="Times New Roman"/>
      </w:rPr>
    </w:lvl>
    <w:lvl w:ilvl="8">
      <w:start w:val="1"/>
      <w:numFmt w:val="lowerRoman"/>
      <w:isLgl w:val="false"/>
      <w:suff w:val="tab"/>
      <w:lvlText w:val="%1."/>
      <w:lvlJc w:val="right"/>
      <w:pPr>
        <w:ind w:left="3780" w:hanging="420"/>
      </w:pPr>
      <w:rPr>
        <w:rFonts w:cs="Times New Roman"/>
      </w:rPr>
    </w:lvl>
  </w:abstractNum>
  <w:abstractNum w:abstractNumId="2">
    <w:multiLevelType w:val="hybridMultilevel"/>
    <w:lvl w:ilvl="0">
      <w:start w:val="1"/>
      <w:numFmt w:val="chineseCountingThousand"/>
      <w:pStyle w:val="905"/>
      <w:isLgl w:val="false"/>
      <w:suff w:val="tab"/>
      <w:lvlText w:val="第%1章"/>
      <w:lvlJc w:val="center"/>
      <w:pPr>
        <w:ind w:left="144" w:hanging="144"/>
        <w:tabs>
          <w:tab w:val="left" w:pos="792" w:leader="none"/>
        </w:tabs>
      </w:pPr>
      <w:rPr>
        <w:rFonts w:hint="eastAsia" w:eastAsia="黑体" w:cs="Times New Roman"/>
        <w:b/>
        <w:i w:val="0"/>
        <w:sz w:val="32"/>
        <w:szCs w:val="32"/>
      </w:rPr>
    </w:lvl>
    <w:lvl w:ilvl="1">
      <w:start w:val="1"/>
      <w:numFmt w:val="decimal"/>
      <w:pStyle w:val="975"/>
      <w:isLgl/>
      <w:suff w:val="tab"/>
      <w:lvlText w:val="%1.%2"/>
      <w:lvlJc w:val="left"/>
      <w:pPr>
        <w:ind w:left="576" w:hanging="576"/>
        <w:tabs>
          <w:tab w:val="left" w:pos="576" w:leader="none"/>
        </w:tabs>
      </w:pPr>
      <w:rPr>
        <w:rFonts w:hint="eastAsia" w:eastAsia="宋体" w:cs="Times New Roman"/>
        <w:b/>
        <w:i w:val="0"/>
        <w:sz w:val="28"/>
        <w:szCs w:val="28"/>
      </w:rPr>
    </w:lvl>
    <w:lvl w:ilvl="2">
      <w:start w:val="1"/>
      <w:numFmt w:val="decimal"/>
      <w:pStyle w:val="960"/>
      <w:isLgl/>
      <w:suff w:val="tab"/>
      <w:lvlText w:val="%1.%2.%3"/>
      <w:lvlJc w:val="left"/>
      <w:pPr>
        <w:ind w:left="720" w:hanging="720"/>
        <w:tabs>
          <w:tab w:val="left" w:pos="720" w:leader="none"/>
        </w:tabs>
      </w:pPr>
      <w:rPr>
        <w:rFonts w:hint="eastAsia" w:eastAsia="宋体" w:cs="Times New Roman"/>
        <w:b/>
        <w:i w:val="0"/>
        <w:sz w:val="24"/>
        <w:szCs w:val="24"/>
      </w:rPr>
    </w:lvl>
    <w:lvl w:ilvl="3">
      <w:start w:val="1"/>
      <w:numFmt w:val="decimal"/>
      <w:pStyle w:val="962"/>
      <w:isLgl/>
      <w:suff w:val="tab"/>
      <w:lvlText w:val="%4."/>
      <w:lvlJc w:val="left"/>
      <w:pPr>
        <w:tabs>
          <w:tab w:val="left" w:pos="0" w:leader="none"/>
        </w:tabs>
      </w:pPr>
      <w:rPr>
        <w:rFonts w:hint="eastAsia" w:eastAsia="宋体" w:cs="Times New Roman"/>
        <w:b/>
        <w:i w:val="0"/>
        <w:sz w:val="24"/>
        <w:szCs w:val="24"/>
      </w:rPr>
    </w:lvl>
    <w:lvl w:ilvl="4">
      <w:start w:val="1"/>
      <w:numFmt w:val="decimal"/>
      <w:isLgl/>
      <w:suff w:val="tab"/>
      <w:lvlText w:val="（%5）"/>
      <w:lvlJc w:val="left"/>
      <w:pPr>
        <w:tabs>
          <w:tab w:val="left" w:pos="0" w:leader="none"/>
        </w:tabs>
      </w:pPr>
      <w:rPr>
        <w:rFonts w:hint="eastAsia" w:cs="Times New Roman"/>
      </w:rPr>
    </w:lvl>
    <w:lvl w:ilvl="5">
      <w:start w:val="1"/>
      <w:numFmt w:val="upperLetter"/>
      <w:isLgl w:val="false"/>
      <w:suff w:val="tab"/>
      <w:lvlText w:val="%6."/>
      <w:lvlJc w:val="left"/>
      <w:pPr>
        <w:tabs>
          <w:tab w:val="left" w:pos="0" w:leader="none"/>
        </w:tabs>
      </w:pPr>
      <w:rPr>
        <w:rFonts w:hint="eastAsia" w:cs="Times New Roman"/>
      </w:rPr>
    </w:lvl>
    <w:lvl w:ilvl="6">
      <w:start w:val="1"/>
      <w:numFmt w:val="bullet"/>
      <w:isLgl w:val="false"/>
      <w:suff w:val="tab"/>
      <w:lvlText w:val=""/>
      <w:lvlJc w:val="left"/>
      <w:pPr>
        <w:tabs>
          <w:tab w:val="left" w:pos="0" w:leader="none"/>
        </w:tabs>
      </w:pPr>
      <w:rPr>
        <w:rFonts w:hint="default" w:ascii="Symbol" w:hAnsi="Symbol"/>
        <w:color w:val="auto"/>
      </w:rPr>
    </w:lvl>
    <w:lvl w:ilvl="7">
      <w:start w:val="1"/>
      <w:numFmt w:val="decimal"/>
      <w:isLgl w:val="false"/>
      <w:suff w:val="tab"/>
      <w:lvlText w:val="%1.%2.%3.%4.%5.%6.%7.%8"/>
      <w:lvlJc w:val="left"/>
      <w:pPr>
        <w:ind w:left="1440" w:hanging="1440"/>
        <w:tabs>
          <w:tab w:val="left" w:pos="1440" w:leader="none"/>
        </w:tabs>
      </w:pPr>
      <w:rPr>
        <w:rFonts w:hint="eastAsia" w:cs="Times New Roman"/>
      </w:rPr>
    </w:lvl>
    <w:lvl w:ilvl="8">
      <w:start w:val="1"/>
      <w:numFmt w:val="decimal"/>
      <w:isLgl w:val="false"/>
      <w:suff w:val="tab"/>
      <w:lvlText w:val="%1.%2.%3.%4.%5.%6.%7.%8.%9"/>
      <w:lvlJc w:val="left"/>
      <w:pPr>
        <w:ind w:left="1584" w:hanging="1584"/>
        <w:tabs>
          <w:tab w:val="left" w:pos="1584" w:leader="none"/>
        </w:tabs>
      </w:pPr>
      <w:rPr>
        <w:rFonts w:hint="eastAsia"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5"/>
    <w:basedOn w:val="904"/>
    <w:next w:val="904"/>
    <w:link w:val="746"/>
    <w:uiPriority w:val="9"/>
    <w:unhideWhenUsed/>
    <w:qFormat/>
    <w:pPr>
      <w:keepLines/>
      <w:keepNext/>
      <w:spacing w:before="320" w:after="200"/>
      <w:outlineLvl w:val="4"/>
    </w:pPr>
    <w:rPr>
      <w:rFonts w:ascii="Arial" w:hAnsi="Arial" w:eastAsia="Arial" w:cs="Arial"/>
      <w:b/>
      <w:bCs/>
      <w:sz w:val="24"/>
      <w:szCs w:val="24"/>
    </w:rPr>
  </w:style>
  <w:style w:type="character" w:styleId="746">
    <w:name w:val="Heading 5 Char"/>
    <w:basedOn w:val="909"/>
    <w:link w:val="745"/>
    <w:uiPriority w:val="9"/>
    <w:rPr>
      <w:rFonts w:ascii="Arial" w:hAnsi="Arial" w:eastAsia="Arial" w:cs="Arial"/>
      <w:b/>
      <w:bCs/>
      <w:sz w:val="24"/>
      <w:szCs w:val="24"/>
    </w:rPr>
  </w:style>
  <w:style w:type="paragraph" w:styleId="747">
    <w:name w:val="Heading 6"/>
    <w:basedOn w:val="904"/>
    <w:next w:val="904"/>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basedOn w:val="909"/>
    <w:link w:val="747"/>
    <w:uiPriority w:val="9"/>
    <w:rPr>
      <w:rFonts w:ascii="Arial" w:hAnsi="Arial" w:eastAsia="Arial" w:cs="Arial"/>
      <w:b/>
      <w:bCs/>
      <w:sz w:val="22"/>
      <w:szCs w:val="22"/>
    </w:rPr>
  </w:style>
  <w:style w:type="paragraph" w:styleId="749">
    <w:name w:val="Heading 7"/>
    <w:basedOn w:val="904"/>
    <w:next w:val="904"/>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basedOn w:val="909"/>
    <w:link w:val="749"/>
    <w:uiPriority w:val="9"/>
    <w:rPr>
      <w:rFonts w:ascii="Arial" w:hAnsi="Arial" w:eastAsia="Arial" w:cs="Arial"/>
      <w:b/>
      <w:bCs/>
      <w:i/>
      <w:iCs/>
      <w:sz w:val="22"/>
      <w:szCs w:val="22"/>
    </w:rPr>
  </w:style>
  <w:style w:type="paragraph" w:styleId="751">
    <w:name w:val="Heading 8"/>
    <w:basedOn w:val="904"/>
    <w:next w:val="904"/>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basedOn w:val="909"/>
    <w:link w:val="751"/>
    <w:uiPriority w:val="9"/>
    <w:rPr>
      <w:rFonts w:ascii="Arial" w:hAnsi="Arial" w:eastAsia="Arial" w:cs="Arial"/>
      <w:i/>
      <w:iCs/>
      <w:sz w:val="22"/>
      <w:szCs w:val="22"/>
    </w:rPr>
  </w:style>
  <w:style w:type="paragraph" w:styleId="753">
    <w:name w:val="Heading 9"/>
    <w:basedOn w:val="904"/>
    <w:next w:val="904"/>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basedOn w:val="909"/>
    <w:link w:val="753"/>
    <w:uiPriority w:val="9"/>
    <w:rPr>
      <w:rFonts w:ascii="Arial" w:hAnsi="Arial" w:eastAsia="Arial" w:cs="Arial"/>
      <w:i/>
      <w:iCs/>
      <w:sz w:val="21"/>
      <w:szCs w:val="21"/>
    </w:rPr>
  </w:style>
  <w:style w:type="paragraph" w:styleId="755">
    <w:name w:val="No Spacing"/>
    <w:uiPriority w:val="1"/>
    <w:qFormat/>
    <w:pPr>
      <w:spacing w:before="0" w:after="0" w:line="240" w:lineRule="auto"/>
    </w:pPr>
  </w:style>
  <w:style w:type="paragraph" w:styleId="756">
    <w:name w:val="Subtitle"/>
    <w:basedOn w:val="904"/>
    <w:next w:val="904"/>
    <w:link w:val="757"/>
    <w:uiPriority w:val="11"/>
    <w:qFormat/>
    <w:pPr>
      <w:spacing w:before="200" w:after="200"/>
    </w:pPr>
    <w:rPr>
      <w:sz w:val="24"/>
      <w:szCs w:val="24"/>
    </w:rPr>
  </w:style>
  <w:style w:type="character" w:styleId="757">
    <w:name w:val="Subtitle Char"/>
    <w:basedOn w:val="909"/>
    <w:link w:val="756"/>
    <w:uiPriority w:val="11"/>
    <w:rPr>
      <w:sz w:val="24"/>
      <w:szCs w:val="24"/>
    </w:rPr>
  </w:style>
  <w:style w:type="paragraph" w:styleId="758">
    <w:name w:val="Quote"/>
    <w:basedOn w:val="904"/>
    <w:next w:val="904"/>
    <w:link w:val="759"/>
    <w:uiPriority w:val="29"/>
    <w:qFormat/>
    <w:pPr>
      <w:ind w:left="720" w:right="720"/>
    </w:pPr>
    <w:rPr>
      <w:i/>
    </w:rPr>
  </w:style>
  <w:style w:type="character" w:styleId="759">
    <w:name w:val="Quote Char"/>
    <w:link w:val="758"/>
    <w:uiPriority w:val="29"/>
    <w:rPr>
      <w:i/>
    </w:rPr>
  </w:style>
  <w:style w:type="paragraph" w:styleId="760">
    <w:name w:val="Intense Quote"/>
    <w:basedOn w:val="904"/>
    <w:next w:val="904"/>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paragraph" w:styleId="762">
    <w:name w:val="Caption"/>
    <w:basedOn w:val="904"/>
    <w:next w:val="904"/>
    <w:uiPriority w:val="35"/>
    <w:semiHidden/>
    <w:unhideWhenUsed/>
    <w:qFormat/>
    <w:pPr>
      <w:spacing w:line="276" w:lineRule="auto"/>
    </w:pPr>
    <w:rPr>
      <w:b/>
      <w:bCs/>
      <w:color w:val="4f81bd" w:themeColor="accent1"/>
      <w:sz w:val="18"/>
      <w:szCs w:val="18"/>
    </w:rPr>
  </w:style>
  <w:style w:type="character" w:styleId="763">
    <w:name w:val="Caption Char"/>
    <w:basedOn w:val="762"/>
    <w:link w:val="921"/>
    <w:uiPriority w:val="99"/>
  </w:style>
  <w:style w:type="table" w:styleId="764">
    <w:name w:val="Table Grid Light"/>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basedOn w:val="9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basedOn w:val="9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basedOn w:val="9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basedOn w:val="9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basedOn w:val="9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basedOn w:val="9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basedOn w:val="9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basedOn w:val="9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basedOn w:val="9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basedOn w:val="9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basedOn w:val="9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basedOn w:val="9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basedOn w:val="9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basedOn w:val="9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basedOn w:val="9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basedOn w:val="9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basedOn w:val="9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basedOn w:val="9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basedOn w:val="9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basedOn w:val="9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basedOn w:val="9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basedOn w:val="9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basedOn w:val="9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basedOn w:val="9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basedOn w:val="9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basedOn w:val="9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basedOn w:val="9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9">
    <w:name w:val="footnote text"/>
    <w:basedOn w:val="904"/>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basedOn w:val="909"/>
    <w:uiPriority w:val="99"/>
    <w:unhideWhenUsed/>
    <w:rPr>
      <w:vertAlign w:val="superscript"/>
    </w:rPr>
  </w:style>
  <w:style w:type="paragraph" w:styleId="892">
    <w:name w:val="endnote text"/>
    <w:basedOn w:val="904"/>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09"/>
    <w:uiPriority w:val="99"/>
    <w:semiHidden/>
    <w:unhideWhenUsed/>
    <w:rPr>
      <w:vertAlign w:val="superscript"/>
    </w:rPr>
  </w:style>
  <w:style w:type="paragraph" w:styleId="895">
    <w:name w:val="toc 2"/>
    <w:basedOn w:val="904"/>
    <w:next w:val="904"/>
    <w:uiPriority w:val="39"/>
    <w:unhideWhenUsed/>
    <w:pPr>
      <w:ind w:left="283" w:right="0" w:firstLine="0"/>
      <w:spacing w:after="57"/>
    </w:pPr>
  </w:style>
  <w:style w:type="paragraph" w:styleId="896">
    <w:name w:val="toc 3"/>
    <w:basedOn w:val="904"/>
    <w:next w:val="904"/>
    <w:uiPriority w:val="39"/>
    <w:unhideWhenUsed/>
    <w:pPr>
      <w:ind w:left="567" w:right="0" w:firstLine="0"/>
      <w:spacing w:after="57"/>
    </w:pPr>
  </w:style>
  <w:style w:type="paragraph" w:styleId="897">
    <w:name w:val="toc 4"/>
    <w:basedOn w:val="904"/>
    <w:next w:val="904"/>
    <w:uiPriority w:val="39"/>
    <w:unhideWhenUsed/>
    <w:pPr>
      <w:ind w:left="850" w:right="0" w:firstLine="0"/>
      <w:spacing w:after="57"/>
    </w:pPr>
  </w:style>
  <w:style w:type="paragraph" w:styleId="898">
    <w:name w:val="toc 5"/>
    <w:basedOn w:val="904"/>
    <w:next w:val="904"/>
    <w:uiPriority w:val="39"/>
    <w:unhideWhenUsed/>
    <w:pPr>
      <w:ind w:left="1134" w:right="0" w:firstLine="0"/>
      <w:spacing w:after="57"/>
    </w:pPr>
  </w:style>
  <w:style w:type="paragraph" w:styleId="899">
    <w:name w:val="toc 6"/>
    <w:basedOn w:val="904"/>
    <w:next w:val="904"/>
    <w:uiPriority w:val="39"/>
    <w:unhideWhenUsed/>
    <w:pPr>
      <w:ind w:left="1417" w:right="0" w:firstLine="0"/>
      <w:spacing w:after="57"/>
    </w:pPr>
  </w:style>
  <w:style w:type="paragraph" w:styleId="900">
    <w:name w:val="toc 8"/>
    <w:basedOn w:val="904"/>
    <w:next w:val="904"/>
    <w:uiPriority w:val="39"/>
    <w:unhideWhenUsed/>
    <w:pPr>
      <w:ind w:left="1984" w:right="0" w:firstLine="0"/>
      <w:spacing w:after="57"/>
    </w:pPr>
  </w:style>
  <w:style w:type="paragraph" w:styleId="901">
    <w:name w:val="toc 9"/>
    <w:basedOn w:val="904"/>
    <w:next w:val="904"/>
    <w:uiPriority w:val="39"/>
    <w:unhideWhenUsed/>
    <w:pPr>
      <w:ind w:left="2268" w:right="0" w:firstLine="0"/>
      <w:spacing w:after="57"/>
    </w:p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next w:val="911"/>
    <w:uiPriority w:val="0"/>
    <w:qFormat/>
    <w:pPr>
      <w:jc w:val="both"/>
      <w:widowControl w:val="off"/>
    </w:pPr>
    <w:rPr>
      <w:rFonts w:ascii="Times New Roman" w:hAnsi="Times New Roman" w:eastAsia="宋体" w:cs="Times New Roman"/>
      <w:sz w:val="21"/>
      <w:szCs w:val="24"/>
      <w:lang w:val="en-US" w:eastAsia="zh-CN" w:bidi="ar-SA"/>
    </w:rPr>
  </w:style>
  <w:style w:type="paragraph" w:styleId="905">
    <w:name w:val="Heading 1"/>
    <w:basedOn w:val="904"/>
    <w:next w:val="904"/>
    <w:link w:val="936"/>
    <w:uiPriority w:val="99"/>
    <w:qFormat/>
    <w:pPr>
      <w:numPr>
        <w:ilvl w:val="0"/>
        <w:numId w:val="1"/>
      </w:numPr>
      <w:jc w:val="center"/>
      <w:keepLines/>
      <w:keepNext/>
      <w:pageBreakBefore/>
      <w:spacing w:before="340" w:after="330" w:line="578" w:lineRule="auto"/>
      <w:outlineLvl w:val="0"/>
    </w:pPr>
    <w:rPr>
      <w:b/>
      <w:bCs/>
      <w:sz w:val="44"/>
      <w:szCs w:val="44"/>
    </w:rPr>
  </w:style>
  <w:style w:type="paragraph" w:styleId="906">
    <w:name w:val="Heading 2"/>
    <w:basedOn w:val="904"/>
    <w:next w:val="904"/>
    <w:link w:val="937"/>
    <w:uiPriority w:val="99"/>
    <w:qFormat/>
    <w:pPr>
      <w:keepLines/>
      <w:keepNext/>
      <w:spacing w:before="260" w:after="260" w:line="413" w:lineRule="auto"/>
      <w:outlineLvl w:val="1"/>
    </w:pPr>
    <w:rPr>
      <w:rFonts w:ascii="Arial" w:hAnsi="Arial" w:eastAsia="黑体"/>
      <w:b/>
      <w:bCs/>
      <w:sz w:val="32"/>
      <w:szCs w:val="32"/>
    </w:rPr>
  </w:style>
  <w:style w:type="paragraph" w:styleId="907">
    <w:name w:val="Heading 3"/>
    <w:basedOn w:val="904"/>
    <w:next w:val="904"/>
    <w:link w:val="938"/>
    <w:uiPriority w:val="99"/>
    <w:qFormat/>
    <w:pPr>
      <w:keepLines/>
      <w:keepNext/>
      <w:spacing w:before="260" w:after="260" w:line="416" w:lineRule="auto"/>
      <w:outlineLvl w:val="2"/>
    </w:pPr>
    <w:rPr>
      <w:b/>
      <w:bCs/>
      <w:sz w:val="32"/>
      <w:szCs w:val="32"/>
    </w:rPr>
  </w:style>
  <w:style w:type="paragraph" w:styleId="908">
    <w:name w:val="Heading 4"/>
    <w:basedOn w:val="904"/>
    <w:next w:val="904"/>
    <w:link w:val="939"/>
    <w:uiPriority w:val="99"/>
    <w:qFormat/>
    <w:pPr>
      <w:keepLines/>
      <w:keepNext/>
      <w:spacing w:before="280" w:after="290" w:line="376" w:lineRule="auto"/>
      <w:outlineLvl w:val="3"/>
    </w:pPr>
    <w:rPr>
      <w:rFonts w:ascii="Cambria" w:hAnsi="Cambria"/>
      <w:b/>
      <w:bCs/>
      <w:sz w:val="28"/>
      <w:szCs w:val="28"/>
    </w:rPr>
  </w:style>
  <w:style w:type="character" w:styleId="909" w:default="1">
    <w:name w:val="Default Paragraph Font"/>
    <w:uiPriority w:val="99"/>
    <w:semiHidden/>
    <w:qFormat/>
  </w:style>
  <w:style w:type="table" w:styleId="910" w:default="1">
    <w:name w:val="Normal Table"/>
    <w:uiPriority w:val="99"/>
    <w:semiHidden/>
    <w:unhideWhenUsed/>
    <w:qFormat/>
    <w:tblPr>
      <w:tblCellMar>
        <w:left w:w="108" w:type="dxa"/>
        <w:top w:w="0" w:type="dxa"/>
        <w:right w:w="108" w:type="dxa"/>
        <w:bottom w:w="0" w:type="dxa"/>
      </w:tblCellMar>
    </w:tblPr>
  </w:style>
  <w:style w:type="paragraph" w:styleId="911">
    <w:name w:val="Body Text First Indent 2"/>
    <w:basedOn w:val="912"/>
    <w:next w:val="904"/>
    <w:link w:val="953"/>
    <w:uiPriority w:val="99"/>
    <w:qFormat/>
    <w:pPr>
      <w:ind w:firstLine="420"/>
    </w:pPr>
  </w:style>
  <w:style w:type="paragraph" w:styleId="912">
    <w:name w:val="Body Text Indent"/>
    <w:basedOn w:val="904"/>
    <w:next w:val="904"/>
    <w:link w:val="942"/>
    <w:uiPriority w:val="99"/>
    <w:qFormat/>
    <w:pPr>
      <w:ind w:left="420"/>
      <w:spacing w:after="120"/>
    </w:pPr>
  </w:style>
  <w:style w:type="paragraph" w:styleId="913">
    <w:name w:val="toc 7"/>
    <w:basedOn w:val="904"/>
    <w:next w:val="904"/>
    <w:uiPriority w:val="99"/>
    <w:semiHidden/>
    <w:qFormat/>
    <w:pPr>
      <w:ind w:left="2520"/>
    </w:pPr>
  </w:style>
  <w:style w:type="paragraph" w:styleId="914">
    <w:name w:val="Normal Indent"/>
    <w:basedOn w:val="904"/>
    <w:next w:val="904"/>
    <w:link w:val="965"/>
    <w:uiPriority w:val="99"/>
    <w:qFormat/>
    <w:pPr>
      <w:ind w:firstLine="420"/>
      <w:jc w:val="left"/>
    </w:pPr>
    <w:rPr>
      <w:rFonts w:eastAsia="楷体_GB2312"/>
      <w:sz w:val="24"/>
      <w:szCs w:val="20"/>
    </w:rPr>
  </w:style>
  <w:style w:type="paragraph" w:styleId="915">
    <w:name w:val="annotation text"/>
    <w:basedOn w:val="904"/>
    <w:link w:val="940"/>
    <w:uiPriority w:val="99"/>
    <w:qFormat/>
    <w:pPr>
      <w:jc w:val="left"/>
    </w:pPr>
  </w:style>
  <w:style w:type="paragraph" w:styleId="916">
    <w:name w:val="Body Text"/>
    <w:basedOn w:val="904"/>
    <w:next w:val="904"/>
    <w:link w:val="941"/>
    <w:uiPriority w:val="99"/>
    <w:qFormat/>
    <w:pPr>
      <w:tabs>
        <w:tab w:val="left" w:pos="5250" w:leader="none"/>
      </w:tabs>
    </w:pPr>
    <w:rPr>
      <w:sz w:val="28"/>
    </w:rPr>
  </w:style>
  <w:style w:type="paragraph" w:styleId="917">
    <w:name w:val="Block Text"/>
    <w:basedOn w:val="904"/>
    <w:uiPriority w:val="99"/>
    <w:qFormat/>
    <w:pPr>
      <w:ind w:left="630" w:right="-609" w:firstLine="420"/>
      <w:spacing w:line="360" w:lineRule="auto"/>
    </w:pPr>
    <w:rPr>
      <w:rFonts w:ascii="仿宋_GB2312" w:eastAsia="仿宋_GB2312"/>
      <w:szCs w:val="20"/>
    </w:rPr>
  </w:style>
  <w:style w:type="paragraph" w:styleId="918">
    <w:name w:val="Plain Text"/>
    <w:basedOn w:val="904"/>
    <w:link w:val="970"/>
    <w:uiPriority w:val="99"/>
    <w:qFormat/>
    <w:rPr>
      <w:rFonts w:ascii="宋体" w:hAnsi="Courier New" w:eastAsia="楷体_GB2312"/>
      <w:sz w:val="28"/>
      <w:szCs w:val="20"/>
    </w:rPr>
  </w:style>
  <w:style w:type="paragraph" w:styleId="919">
    <w:name w:val="Date"/>
    <w:basedOn w:val="904"/>
    <w:next w:val="904"/>
    <w:link w:val="945"/>
    <w:uiPriority w:val="99"/>
    <w:qFormat/>
    <w:pPr>
      <w:ind w:left="100"/>
    </w:pPr>
  </w:style>
  <w:style w:type="paragraph" w:styleId="920">
    <w:name w:val="Balloon Text"/>
    <w:basedOn w:val="904"/>
    <w:link w:val="946"/>
    <w:uiPriority w:val="99"/>
    <w:qFormat/>
    <w:rPr>
      <w:sz w:val="18"/>
      <w:szCs w:val="18"/>
    </w:rPr>
  </w:style>
  <w:style w:type="paragraph" w:styleId="921">
    <w:name w:val="Footer"/>
    <w:basedOn w:val="904"/>
    <w:link w:val="947"/>
    <w:uiPriority w:val="99"/>
    <w:qFormat/>
    <w:pPr>
      <w:jc w:val="left"/>
      <w:tabs>
        <w:tab w:val="center" w:pos="4153" w:leader="none"/>
        <w:tab w:val="right" w:pos="8306" w:leader="none"/>
      </w:tabs>
    </w:pPr>
    <w:rPr>
      <w:sz w:val="18"/>
      <w:szCs w:val="18"/>
    </w:rPr>
  </w:style>
  <w:style w:type="paragraph" w:styleId="922">
    <w:name w:val="envelope return"/>
    <w:basedOn w:val="904"/>
    <w:uiPriority w:val="99"/>
    <w:qFormat/>
    <w:rPr>
      <w:rFonts w:ascii="Arial" w:hAnsi="Arial"/>
    </w:rPr>
  </w:style>
  <w:style w:type="paragraph" w:styleId="923">
    <w:name w:val="Header"/>
    <w:basedOn w:val="904"/>
    <w:link w:val="948"/>
    <w:uiPriority w:val="99"/>
    <w:qFormat/>
    <w:pPr>
      <w:jc w:val="center"/>
      <w:tabs>
        <w:tab w:val="center" w:pos="4153" w:leader="none"/>
        <w:tab w:val="right" w:pos="8306" w:leader="none"/>
      </w:tabs>
      <w:pBdr>
        <w:bottom w:val="single" w:color="auto" w:sz="6" w:space="1"/>
      </w:pBdr>
    </w:pPr>
    <w:rPr>
      <w:sz w:val="18"/>
      <w:szCs w:val="18"/>
    </w:rPr>
  </w:style>
  <w:style w:type="paragraph" w:styleId="924">
    <w:name w:val="toc 1"/>
    <w:basedOn w:val="904"/>
    <w:next w:val="904"/>
    <w:uiPriority w:val="99"/>
    <w:qFormat/>
  </w:style>
  <w:style w:type="paragraph" w:styleId="925">
    <w:name w:val="Body Text Indent 3"/>
    <w:basedOn w:val="904"/>
    <w:link w:val="949"/>
    <w:uiPriority w:val="99"/>
    <w:qFormat/>
    <w:pPr>
      <w:ind w:firstLine="480"/>
      <w:spacing w:line="360" w:lineRule="auto"/>
      <w:widowControl/>
    </w:pPr>
    <w:rPr>
      <w:sz w:val="24"/>
    </w:rPr>
  </w:style>
  <w:style w:type="paragraph" w:styleId="926">
    <w:name w:val="Normal (Web)"/>
    <w:basedOn w:val="904"/>
    <w:uiPriority w:val="99"/>
    <w:qFormat/>
    <w:pPr>
      <w:jc w:val="left"/>
      <w:spacing w:after="150"/>
      <w:widowControl/>
    </w:pPr>
    <w:rPr>
      <w:rFonts w:ascii="宋体" w:hAnsi="宋体" w:cs="宋体"/>
      <w:sz w:val="24"/>
    </w:rPr>
  </w:style>
  <w:style w:type="paragraph" w:styleId="927">
    <w:name w:val="Title"/>
    <w:basedOn w:val="904"/>
    <w:next w:val="904"/>
    <w:link w:val="950"/>
    <w:uiPriority w:val="99"/>
    <w:qFormat/>
    <w:pPr>
      <w:jc w:val="center"/>
      <w:spacing w:before="240" w:after="60"/>
      <w:outlineLvl w:val="0"/>
    </w:pPr>
    <w:rPr>
      <w:rFonts w:ascii="Cambria" w:hAnsi="Cambria"/>
      <w:b/>
      <w:bCs/>
      <w:sz w:val="32"/>
      <w:szCs w:val="32"/>
    </w:rPr>
  </w:style>
  <w:style w:type="paragraph" w:styleId="928">
    <w:name w:val="annotation subject"/>
    <w:basedOn w:val="915"/>
    <w:next w:val="915"/>
    <w:link w:val="951"/>
    <w:uiPriority w:val="99"/>
    <w:qFormat/>
    <w:rPr>
      <w:b/>
      <w:bCs/>
    </w:rPr>
  </w:style>
  <w:style w:type="paragraph" w:styleId="929">
    <w:name w:val="Body Text First Indent"/>
    <w:basedOn w:val="916"/>
    <w:link w:val="952"/>
    <w:uiPriority w:val="99"/>
    <w:qFormat/>
    <w:pPr>
      <w:ind w:firstLine="420"/>
    </w:pPr>
  </w:style>
  <w:style w:type="table" w:styleId="930">
    <w:name w:val="Table Grid"/>
    <w:basedOn w:val="910"/>
    <w:uiPriority w:val="9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name w:val="page number"/>
    <w:basedOn w:val="909"/>
    <w:uiPriority w:val="99"/>
    <w:qFormat/>
    <w:rPr>
      <w:rFonts w:ascii="Times New Roman" w:hAnsi="Times New Roman" w:eastAsia="宋体" w:cs="Times New Roman"/>
    </w:rPr>
  </w:style>
  <w:style w:type="character" w:styleId="932">
    <w:name w:val="FollowedHyperlink"/>
    <w:basedOn w:val="909"/>
    <w:uiPriority w:val="99"/>
    <w:semiHidden/>
    <w:qFormat/>
    <w:rPr>
      <w:rFonts w:cs="Times New Roman"/>
      <w:color w:val="800080"/>
      <w:u w:val="single"/>
    </w:rPr>
  </w:style>
  <w:style w:type="character" w:styleId="933">
    <w:name w:val="Hyperlink"/>
    <w:basedOn w:val="909"/>
    <w:uiPriority w:val="99"/>
    <w:qFormat/>
    <w:rPr>
      <w:rFonts w:cs="Times New Roman"/>
      <w:color w:val="0000ff"/>
      <w:u w:val="single"/>
    </w:rPr>
  </w:style>
  <w:style w:type="character" w:styleId="934">
    <w:name w:val="annotation reference"/>
    <w:basedOn w:val="909"/>
    <w:uiPriority w:val="99"/>
    <w:qFormat/>
    <w:rPr>
      <w:rFonts w:cs="Times New Roman"/>
      <w:sz w:val="21"/>
    </w:rPr>
  </w:style>
  <w:style w:type="paragraph" w:styleId="935" w:customStyle="1">
    <w:name w:val="正文缩进11"/>
    <w:basedOn w:val="904"/>
    <w:next w:val="904"/>
    <w:uiPriority w:val="99"/>
    <w:qFormat/>
    <w:pPr>
      <w:ind w:firstLine="420"/>
    </w:pPr>
    <w:rPr>
      <w:rFonts w:eastAsia="楷体_GB2312"/>
      <w:szCs w:val="20"/>
    </w:rPr>
  </w:style>
  <w:style w:type="character" w:styleId="936" w:customStyle="1">
    <w:name w:val="Heading 1 Char"/>
    <w:basedOn w:val="909"/>
    <w:link w:val="905"/>
    <w:uiPriority w:val="99"/>
    <w:qFormat/>
    <w:rPr>
      <w:rFonts w:ascii="Times New Roman" w:hAnsi="Times New Roman" w:eastAsia="宋体"/>
      <w:b/>
      <w:sz w:val="44"/>
    </w:rPr>
  </w:style>
  <w:style w:type="character" w:styleId="937" w:customStyle="1">
    <w:name w:val="Heading 2 Char"/>
    <w:basedOn w:val="909"/>
    <w:link w:val="906"/>
    <w:uiPriority w:val="99"/>
    <w:qFormat/>
    <w:rPr>
      <w:rFonts w:ascii="Arial" w:hAnsi="Arial" w:eastAsia="黑体"/>
      <w:b/>
      <w:sz w:val="32"/>
    </w:rPr>
  </w:style>
  <w:style w:type="character" w:styleId="938" w:customStyle="1">
    <w:name w:val="Heading 3 Char"/>
    <w:basedOn w:val="909"/>
    <w:link w:val="907"/>
    <w:uiPriority w:val="99"/>
    <w:semiHidden/>
    <w:qFormat/>
    <w:rPr>
      <w:b/>
      <w:sz w:val="32"/>
    </w:rPr>
  </w:style>
  <w:style w:type="character" w:styleId="939" w:customStyle="1">
    <w:name w:val="Heading 4 Char"/>
    <w:basedOn w:val="909"/>
    <w:link w:val="908"/>
    <w:uiPriority w:val="99"/>
    <w:semiHidden/>
    <w:qFormat/>
    <w:rPr>
      <w:rFonts w:ascii="Cambria" w:hAnsi="Cambria" w:eastAsia="宋体"/>
      <w:b/>
      <w:sz w:val="28"/>
    </w:rPr>
  </w:style>
  <w:style w:type="character" w:styleId="940" w:customStyle="1">
    <w:name w:val="Comment Text Char"/>
    <w:basedOn w:val="909"/>
    <w:link w:val="915"/>
    <w:uiPriority w:val="99"/>
    <w:qFormat/>
    <w:rPr>
      <w:sz w:val="24"/>
    </w:rPr>
  </w:style>
  <w:style w:type="character" w:styleId="941" w:customStyle="1">
    <w:name w:val="Body Text Char"/>
    <w:basedOn w:val="909"/>
    <w:link w:val="916"/>
    <w:uiPriority w:val="99"/>
    <w:qFormat/>
    <w:rPr>
      <w:sz w:val="24"/>
    </w:rPr>
  </w:style>
  <w:style w:type="character" w:styleId="942" w:customStyle="1">
    <w:name w:val="Body Text Indent Char"/>
    <w:basedOn w:val="909"/>
    <w:link w:val="912"/>
    <w:uiPriority w:val="99"/>
    <w:qFormat/>
    <w:rPr>
      <w:sz w:val="24"/>
    </w:rPr>
  </w:style>
  <w:style w:type="character" w:styleId="943" w:customStyle="1">
    <w:name w:val="Plain Text Char"/>
    <w:basedOn w:val="909"/>
    <w:link w:val="944"/>
    <w:uiPriority w:val="99"/>
    <w:qFormat/>
    <w:rPr>
      <w:rFonts w:ascii="宋体" w:hAnsi="Courier New" w:eastAsia="楷体_GB2312"/>
      <w:sz w:val="28"/>
    </w:rPr>
  </w:style>
  <w:style w:type="paragraph" w:styleId="944" w:customStyle="1">
    <w:name w:val="纯文本1"/>
    <w:basedOn w:val="904"/>
    <w:link w:val="943"/>
    <w:uiPriority w:val="99"/>
    <w:qFormat/>
    <w:rPr>
      <w:rFonts w:ascii="宋体" w:hAnsi="Courier New" w:eastAsia="楷体_GB2312"/>
      <w:sz w:val="28"/>
      <w:szCs w:val="20"/>
    </w:rPr>
  </w:style>
  <w:style w:type="character" w:styleId="945" w:customStyle="1">
    <w:name w:val="Date Char"/>
    <w:basedOn w:val="909"/>
    <w:link w:val="919"/>
    <w:uiPriority w:val="99"/>
    <w:qFormat/>
    <w:rPr>
      <w:sz w:val="24"/>
    </w:rPr>
  </w:style>
  <w:style w:type="character" w:styleId="946" w:customStyle="1">
    <w:name w:val="Balloon Text Char"/>
    <w:basedOn w:val="909"/>
    <w:link w:val="920"/>
    <w:uiPriority w:val="99"/>
    <w:qFormat/>
    <w:rPr>
      <w:sz w:val="18"/>
    </w:rPr>
  </w:style>
  <w:style w:type="character" w:styleId="947" w:customStyle="1">
    <w:name w:val="Footer Char"/>
    <w:basedOn w:val="909"/>
    <w:link w:val="921"/>
    <w:uiPriority w:val="99"/>
    <w:qFormat/>
    <w:rPr>
      <w:sz w:val="18"/>
    </w:rPr>
  </w:style>
  <w:style w:type="character" w:styleId="948" w:customStyle="1">
    <w:name w:val="Header Char"/>
    <w:basedOn w:val="909"/>
    <w:link w:val="923"/>
    <w:uiPriority w:val="99"/>
    <w:qFormat/>
    <w:rPr>
      <w:sz w:val="18"/>
    </w:rPr>
  </w:style>
  <w:style w:type="character" w:styleId="949" w:customStyle="1">
    <w:name w:val="Body Text Indent 3 Char"/>
    <w:basedOn w:val="909"/>
    <w:link w:val="925"/>
    <w:uiPriority w:val="99"/>
    <w:semiHidden/>
    <w:qFormat/>
    <w:rPr>
      <w:sz w:val="16"/>
      <w:szCs w:val="16"/>
    </w:rPr>
  </w:style>
  <w:style w:type="character" w:styleId="950" w:customStyle="1">
    <w:name w:val="Title Char"/>
    <w:basedOn w:val="909"/>
    <w:link w:val="927"/>
    <w:uiPriority w:val="99"/>
    <w:qFormat/>
    <w:rPr>
      <w:rFonts w:ascii="Cambria" w:hAnsi="Cambria"/>
      <w:b/>
      <w:sz w:val="32"/>
    </w:rPr>
  </w:style>
  <w:style w:type="character" w:styleId="951" w:customStyle="1">
    <w:name w:val="Comment Subject Char"/>
    <w:basedOn w:val="940"/>
    <w:link w:val="928"/>
    <w:uiPriority w:val="99"/>
    <w:qFormat/>
    <w:rPr>
      <w:b/>
    </w:rPr>
  </w:style>
  <w:style w:type="character" w:styleId="952" w:customStyle="1">
    <w:name w:val="Body Text First Indent Char"/>
    <w:basedOn w:val="941"/>
    <w:link w:val="929"/>
    <w:uiPriority w:val="99"/>
    <w:semiHidden/>
    <w:qFormat/>
    <w:rPr>
      <w:szCs w:val="24"/>
    </w:rPr>
  </w:style>
  <w:style w:type="character" w:styleId="953" w:customStyle="1">
    <w:name w:val="Body Text First Indent 2 Char"/>
    <w:basedOn w:val="942"/>
    <w:link w:val="911"/>
    <w:uiPriority w:val="99"/>
    <w:qFormat/>
  </w:style>
  <w:style w:type="paragraph" w:styleId="954" w:customStyle="1">
    <w:name w:val="段"/>
    <w:next w:val="904"/>
    <w:uiPriority w:val="99"/>
    <w:qFormat/>
    <w:pPr>
      <w:ind w:firstLine="200"/>
      <w:jc w:val="both"/>
    </w:pPr>
    <w:rPr>
      <w:rFonts w:ascii="宋体" w:hAnsi="Times New Roman" w:eastAsia="宋体" w:cs="Times New Roman"/>
      <w:sz w:val="21"/>
      <w:szCs w:val="20"/>
      <w:lang w:val="en-US" w:eastAsia="zh-CN" w:bidi="ar-SA"/>
    </w:rPr>
  </w:style>
  <w:style w:type="paragraph" w:styleId="955" w:customStyle="1">
    <w:name w:val="首行缩进"/>
    <w:basedOn w:val="904"/>
    <w:uiPriority w:val="99"/>
    <w:qFormat/>
    <w:pPr>
      <w:ind w:firstLine="480"/>
    </w:pPr>
    <w:rPr>
      <w:rFonts w:ascii="Calibri" w:hAnsi="Calibri"/>
      <w:szCs w:val="20"/>
      <w:lang w:val="zh-CN"/>
    </w:rPr>
  </w:style>
  <w:style w:type="paragraph" w:styleId="956" w:customStyle="1">
    <w:name w:val="正文文本缩进11"/>
    <w:basedOn w:val="904"/>
    <w:next w:val="957"/>
    <w:uiPriority w:val="99"/>
    <w:qFormat/>
    <w:pPr>
      <w:ind w:left="570"/>
      <w:spacing w:line="520" w:lineRule="atLeast"/>
    </w:pPr>
    <w:rPr>
      <w:rFonts w:ascii="??????" w:hAnsi="?????" w:eastAsia="Times New Roman"/>
      <w:sz w:val="24"/>
    </w:rPr>
  </w:style>
  <w:style w:type="paragraph" w:styleId="957" w:customStyle="1">
    <w:name w:val="寄信人地址11"/>
    <w:basedOn w:val="904"/>
    <w:uiPriority w:val="99"/>
    <w:qFormat/>
    <w:rPr>
      <w:rFonts w:ascii="Arial" w:hAnsi="Arial"/>
    </w:rPr>
  </w:style>
  <w:style w:type="character" w:styleId="958" w:customStyle="1">
    <w:name w:val="标题 Char1"/>
    <w:uiPriority w:val="99"/>
    <w:qFormat/>
    <w:rPr>
      <w:rFonts w:ascii="Cambria" w:hAnsi="Cambria"/>
      <w:b/>
      <w:sz w:val="32"/>
    </w:rPr>
  </w:style>
  <w:style w:type="character" w:styleId="959" w:customStyle="1">
    <w:name w:val="投标标题3 Char"/>
    <w:link w:val="960"/>
    <w:uiPriority w:val="99"/>
    <w:qFormat/>
    <w:rPr>
      <w:rFonts w:ascii="宋体" w:hAnsi="宋体" w:eastAsia="宋体"/>
      <w:b/>
      <w:color w:val="000000"/>
      <w:sz w:val="24"/>
    </w:rPr>
  </w:style>
  <w:style w:type="paragraph" w:styleId="960" w:customStyle="1">
    <w:name w:val="投标标题3"/>
    <w:basedOn w:val="904"/>
    <w:link w:val="959"/>
    <w:uiPriority w:val="99"/>
    <w:qFormat/>
    <w:pPr>
      <w:numPr>
        <w:ilvl w:val="2"/>
        <w:numId w:val="1"/>
      </w:numPr>
      <w:keepLines/>
      <w:keepNext/>
      <w:spacing w:line="480" w:lineRule="auto"/>
      <w:tabs>
        <w:tab w:val="left" w:pos="900" w:leader="none"/>
      </w:tabs>
      <w:outlineLvl w:val="2"/>
    </w:pPr>
    <w:rPr>
      <w:rFonts w:ascii="宋体" w:hAnsi="宋体"/>
      <w:b/>
      <w:bCs/>
      <w:color w:val="000000"/>
      <w:sz w:val="24"/>
    </w:rPr>
  </w:style>
  <w:style w:type="character" w:styleId="961" w:customStyle="1">
    <w:name w:val="投标标题4 Char"/>
    <w:link w:val="962"/>
    <w:uiPriority w:val="99"/>
    <w:qFormat/>
    <w:rPr>
      <w:rFonts w:ascii="宋体" w:hAnsi="宋体" w:eastAsia="宋体"/>
      <w:b/>
      <w:color w:val="000000"/>
      <w:sz w:val="24"/>
    </w:rPr>
  </w:style>
  <w:style w:type="paragraph" w:styleId="962" w:customStyle="1">
    <w:name w:val="投标标题4"/>
    <w:basedOn w:val="908"/>
    <w:link w:val="961"/>
    <w:uiPriority w:val="99"/>
    <w:qFormat/>
    <w:pPr>
      <w:numPr>
        <w:ilvl w:val="3"/>
        <w:numId w:val="1"/>
      </w:numPr>
      <w:ind w:left="16"/>
      <w:spacing w:line="360" w:lineRule="auto"/>
      <w:tabs>
        <w:tab w:val="clear" w:pos="0" w:leader="none"/>
        <w:tab w:val="left" w:pos="376" w:leader="none"/>
      </w:tabs>
    </w:pPr>
    <w:rPr>
      <w:rFonts w:ascii="宋体" w:hAnsi="宋体"/>
      <w:color w:val="000000"/>
      <w:sz w:val="24"/>
      <w:szCs w:val="24"/>
    </w:rPr>
  </w:style>
  <w:style w:type="character" w:styleId="963" w:customStyle="1">
    <w:name w:val="投标正文 Char"/>
    <w:link w:val="964"/>
    <w:uiPriority w:val="99"/>
    <w:qFormat/>
    <w:rPr>
      <w:rFonts w:ascii="Calibri" w:hAnsi="Calibri" w:eastAsia="宋体"/>
      <w:sz w:val="24"/>
    </w:rPr>
  </w:style>
  <w:style w:type="paragraph" w:styleId="964" w:customStyle="1">
    <w:name w:val="投标正文"/>
    <w:basedOn w:val="904"/>
    <w:link w:val="963"/>
    <w:uiPriority w:val="99"/>
    <w:qFormat/>
    <w:pPr>
      <w:ind w:left="100" w:firstLine="480"/>
      <w:spacing w:line="360" w:lineRule="auto"/>
    </w:pPr>
    <w:rPr>
      <w:rFonts w:ascii="Calibri" w:hAnsi="Calibri"/>
      <w:sz w:val="24"/>
    </w:rPr>
  </w:style>
  <w:style w:type="character" w:styleId="965" w:customStyle="1">
    <w:name w:val="Normal Indent Char"/>
    <w:link w:val="914"/>
    <w:uiPriority w:val="99"/>
    <w:qFormat/>
    <w:rPr>
      <w:rFonts w:eastAsia="楷体_GB2312"/>
      <w:sz w:val="24"/>
    </w:rPr>
  </w:style>
  <w:style w:type="character" w:styleId="966" w:customStyle="1">
    <w:name w:val="样式 首行缩进:  2 字符 Char"/>
    <w:link w:val="967"/>
    <w:uiPriority w:val="99"/>
    <w:qFormat/>
    <w:rPr>
      <w:rFonts w:eastAsia="仿宋_GB2312"/>
      <w:sz w:val="24"/>
    </w:rPr>
  </w:style>
  <w:style w:type="paragraph" w:styleId="967" w:customStyle="1">
    <w:name w:val="样式 首行缩进:  2 字符"/>
    <w:basedOn w:val="904"/>
    <w:link w:val="966"/>
    <w:uiPriority w:val="99"/>
    <w:qFormat/>
    <w:pPr>
      <w:ind w:firstLine="560"/>
      <w:spacing w:line="360" w:lineRule="auto"/>
    </w:pPr>
    <w:rPr>
      <w:rFonts w:eastAsia="仿宋_GB2312"/>
      <w:sz w:val="24"/>
      <w:szCs w:val="20"/>
    </w:rPr>
  </w:style>
  <w:style w:type="character" w:styleId="968" w:customStyle="1">
    <w:name w:val="p141"/>
    <w:uiPriority w:val="99"/>
    <w:qFormat/>
    <w:rPr>
      <w:color w:val="000000"/>
      <w:sz w:val="28"/>
      <w:u w:val="none"/>
    </w:rPr>
  </w:style>
  <w:style w:type="character" w:styleId="969" w:customStyle="1">
    <w:name w:val="正文文本缩进 Char1"/>
    <w:uiPriority w:val="99"/>
    <w:qFormat/>
    <w:rPr>
      <w:sz w:val="24"/>
    </w:rPr>
  </w:style>
  <w:style w:type="character" w:styleId="970" w:customStyle="1">
    <w:name w:val="Plain Text Char1"/>
    <w:link w:val="918"/>
    <w:uiPriority w:val="99"/>
    <w:qFormat/>
    <w:rPr>
      <w:rFonts w:ascii="宋体" w:hAnsi="Courier New" w:eastAsia="楷体_GB2312"/>
      <w:sz w:val="28"/>
      <w:lang w:val="en-US" w:eastAsia="zh-CN"/>
    </w:rPr>
  </w:style>
  <w:style w:type="character" w:styleId="971" w:customStyle="1">
    <w:name w:val="NormalCharacter"/>
    <w:uiPriority w:val="99"/>
    <w:qFormat/>
    <w:rPr>
      <w:rFonts w:ascii="Calibri" w:hAnsi="Calibri" w:eastAsia="宋体"/>
    </w:rPr>
  </w:style>
  <w:style w:type="character" w:styleId="972" w:customStyle="1">
    <w:name w:val="列出段落 Char"/>
    <w:link w:val="973"/>
    <w:uiPriority w:val="99"/>
    <w:qFormat/>
    <w:rPr>
      <w:rFonts w:ascii="Calibri" w:hAnsi="Calibri" w:eastAsia="宋体"/>
      <w:sz w:val="22"/>
    </w:rPr>
  </w:style>
  <w:style w:type="paragraph" w:styleId="973" w:customStyle="1">
    <w:name w:val="列出段落1"/>
    <w:basedOn w:val="904"/>
    <w:link w:val="972"/>
    <w:uiPriority w:val="99"/>
    <w:qFormat/>
    <w:pPr>
      <w:ind w:firstLine="200"/>
      <w:spacing w:line="360" w:lineRule="auto"/>
    </w:pPr>
    <w:rPr>
      <w:rFonts w:ascii="Calibri" w:hAnsi="Calibri"/>
      <w:sz w:val="22"/>
      <w:szCs w:val="20"/>
    </w:rPr>
  </w:style>
  <w:style w:type="paragraph" w:styleId="974" w:customStyle="1">
    <w:name w:val="Plain Text1"/>
    <w:basedOn w:val="904"/>
    <w:uiPriority w:val="99"/>
    <w:qFormat/>
    <w:rPr>
      <w:rFonts w:ascii="宋体" w:hAnsi="Courier New" w:eastAsia="楷体_GB2312"/>
      <w:sz w:val="26"/>
      <w:szCs w:val="20"/>
    </w:rPr>
  </w:style>
  <w:style w:type="paragraph" w:styleId="975" w:customStyle="1">
    <w:name w:val="投标标题2"/>
    <w:basedOn w:val="906"/>
    <w:next w:val="904"/>
    <w:uiPriority w:val="99"/>
    <w:qFormat/>
    <w:pPr>
      <w:numPr>
        <w:ilvl w:val="1"/>
        <w:numId w:val="1"/>
      </w:numPr>
      <w:spacing w:line="415" w:lineRule="auto"/>
    </w:pPr>
    <w:rPr>
      <w:rFonts w:ascii="Times New Roman" w:hAnsi="Times New Roman"/>
      <w:sz w:val="28"/>
      <w:szCs w:val="28"/>
    </w:rPr>
  </w:style>
  <w:style w:type="paragraph" w:styleId="976" w:customStyle="1">
    <w:name w:val="段落"/>
    <w:basedOn w:val="904"/>
    <w:uiPriority w:val="99"/>
    <w:qFormat/>
    <w:rPr>
      <w:rFonts w:ascii="Calibri" w:hAnsi="Calibri"/>
    </w:rPr>
  </w:style>
  <w:style w:type="paragraph" w:styleId="977" w:customStyle="1">
    <w:name w:val="列出段落2"/>
    <w:basedOn w:val="904"/>
    <w:uiPriority w:val="99"/>
    <w:qFormat/>
    <w:pPr>
      <w:ind w:firstLine="420"/>
    </w:pPr>
    <w:rPr>
      <w:rFonts w:ascii="Calibri" w:hAnsi="Calibri"/>
      <w:sz w:val="24"/>
    </w:rPr>
  </w:style>
  <w:style w:type="paragraph" w:styleId="978" w:customStyle="1">
    <w:name w:val="纯文本11"/>
    <w:basedOn w:val="904"/>
    <w:uiPriority w:val="99"/>
    <w:qFormat/>
    <w:rPr>
      <w:rFonts w:ascii="宋体" w:hAnsi="Courier New" w:eastAsia="楷体_GB2312"/>
      <w:sz w:val="26"/>
    </w:rPr>
  </w:style>
  <w:style w:type="paragraph" w:styleId="979" w:customStyle="1">
    <w:name w:val="xl24"/>
    <w:basedOn w:val="904"/>
    <w:uiPriority w:val="99"/>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szCs w:val="20"/>
    </w:rPr>
  </w:style>
  <w:style w:type="paragraph" w:styleId="980" w:customStyle="1">
    <w:name w:val="列表段落1"/>
    <w:basedOn w:val="904"/>
    <w:uiPriority w:val="99"/>
    <w:qFormat/>
    <w:pPr>
      <w:ind w:firstLine="420"/>
      <w:spacing w:line="590" w:lineRule="atLeast"/>
    </w:pPr>
    <w:rPr>
      <w:rFonts w:ascii="等线" w:hAnsi="等线" w:eastAsia="等线" w:cs="等线"/>
      <w:sz w:val="32"/>
      <w:szCs w:val="32"/>
    </w:rPr>
  </w:style>
  <w:style w:type="paragraph" w:styleId="981" w:customStyle="1">
    <w:name w:val="普通正文"/>
    <w:basedOn w:val="904"/>
    <w:uiPriority w:val="99"/>
    <w:qFormat/>
    <w:pPr>
      <w:ind w:firstLine="480"/>
      <w:jc w:val="left"/>
      <w:spacing w:before="120" w:after="120" w:line="360" w:lineRule="auto"/>
    </w:pPr>
    <w:rPr>
      <w:rFonts w:ascii="Arial" w:hAnsi="Arial"/>
      <w:sz w:val="24"/>
    </w:rPr>
  </w:style>
  <w:style w:type="paragraph" w:styleId="982" w:customStyle="1">
    <w:name w:val="+标题1"/>
    <w:basedOn w:val="905"/>
    <w:uiPriority w:val="99"/>
    <w:qFormat/>
    <w:pPr>
      <w:numPr>
        <w:ilvl w:val="0"/>
        <w:numId w:val="0"/>
      </w:numPr>
      <w:keepLines w:val="0"/>
      <w:keepNext w:val="0"/>
      <w:spacing w:before="0" w:after="0" w:line="240" w:lineRule="auto"/>
      <w:tabs>
        <w:tab w:val="clear" w:pos="792" w:leader="none"/>
      </w:tabs>
    </w:pPr>
    <w:rPr>
      <w:rFonts w:ascii="宋体" w:hAnsi="宋体"/>
      <w:b w:val="0"/>
      <w:bCs w:val="0"/>
      <w:color w:val="000000"/>
      <w:sz w:val="36"/>
      <w:szCs w:val="20"/>
    </w:rPr>
  </w:style>
  <w:style w:type="paragraph" w:styleId="983" w:customStyle="1">
    <w:name w:val="Char Char Char Char"/>
    <w:basedOn w:val="904"/>
    <w:uiPriority w:val="99"/>
    <w:qFormat/>
    <w:rPr>
      <w:szCs w:val="20"/>
    </w:rPr>
  </w:style>
  <w:style w:type="paragraph" w:styleId="984" w:customStyle="1">
    <w:name w:val="UserStyle_98"/>
    <w:basedOn w:val="904"/>
    <w:uiPriority w:val="99"/>
    <w:qFormat/>
    <w:pPr>
      <w:jc w:val="left"/>
      <w:widowControl/>
    </w:pPr>
    <w:rPr>
      <w:rFonts w:ascii="Calibri" w:hAnsi="Calibri"/>
      <w:sz w:val="22"/>
      <w:szCs w:val="22"/>
      <w:lang w:eastAsia="en-US"/>
    </w:rPr>
  </w:style>
  <w:style w:type="paragraph" w:styleId="985" w:customStyle="1">
    <w:name w:val="列出段落5"/>
    <w:basedOn w:val="904"/>
    <w:uiPriority w:val="99"/>
    <w:qFormat/>
    <w:pPr>
      <w:ind w:firstLine="420"/>
    </w:pPr>
    <w:rPr>
      <w:rFonts w:ascii="Calibri" w:hAnsi="Calibri"/>
      <w:sz w:val="24"/>
    </w:rPr>
  </w:style>
  <w:style w:type="paragraph" w:styleId="986" w:customStyle="1">
    <w:name w:val="标题3"/>
    <w:basedOn w:val="907"/>
    <w:uiPriority w:val="99"/>
    <w:qFormat/>
    <w:pPr>
      <w:contextualSpacing/>
      <w:jc w:val="center"/>
      <w:spacing w:line="240" w:lineRule="auto"/>
    </w:pPr>
    <w:rPr>
      <w:rFonts w:eastAsia="黑体" w:cs="宋体"/>
      <w:sz w:val="28"/>
      <w:szCs w:val="20"/>
    </w:rPr>
  </w:style>
  <w:style w:type="paragraph" w:styleId="987" w:customStyle="1">
    <w:name w:val="Char Char Char"/>
    <w:basedOn w:val="904"/>
    <w:uiPriority w:val="99"/>
    <w:qFormat/>
    <w:pPr>
      <w:spacing w:line="360" w:lineRule="auto"/>
    </w:pPr>
    <w:rPr>
      <w:sz w:val="28"/>
      <w:szCs w:val="20"/>
    </w:rPr>
  </w:style>
  <w:style w:type="paragraph" w:styleId="988" w:customStyle="1">
    <w:name w:val="UserStyle_112"/>
    <w:basedOn w:val="904"/>
    <w:uiPriority w:val="99"/>
    <w:qFormat/>
    <w:pPr>
      <w:ind w:firstLine="480"/>
      <w:jc w:val="left"/>
      <w:spacing w:line="360" w:lineRule="auto"/>
      <w:widowControl/>
    </w:pPr>
    <w:rPr>
      <w:rFonts w:ascii="宋体" w:hAnsi="宋体"/>
      <w:sz w:val="24"/>
    </w:rPr>
  </w:style>
  <w:style w:type="paragraph" w:styleId="989" w:customStyle="1">
    <w:name w:val="UserStyle_116"/>
    <w:basedOn w:val="904"/>
    <w:next w:val="904"/>
    <w:uiPriority w:val="99"/>
    <w:qFormat/>
    <w:pPr>
      <w:numPr>
        <w:ilvl w:val="0"/>
        <w:numId w:val="2"/>
      </w:numPr>
      <w:jc w:val="left"/>
      <w:tabs>
        <w:tab w:val="left" w:pos="420" w:leader="none"/>
        <w:tab w:val="left" w:pos="840" w:leader="none"/>
      </w:tabs>
    </w:pPr>
    <w:rPr>
      <w:sz w:val="18"/>
    </w:rPr>
  </w:style>
  <w:style w:type="paragraph" w:styleId="990" w:customStyle="1">
    <w:name w:val="列出段落11"/>
    <w:basedOn w:val="904"/>
    <w:uiPriority w:val="99"/>
    <w:qFormat/>
    <w:pPr>
      <w:ind w:firstLine="420"/>
    </w:pPr>
    <w:rPr>
      <w:rFonts w:ascii="Calibri" w:hAnsi="Calibri"/>
    </w:rPr>
  </w:style>
  <w:style w:type="paragraph" w:styleId="991">
    <w:name w:val="List Paragraph"/>
    <w:basedOn w:val="904"/>
    <w:uiPriority w:val="99"/>
    <w:qFormat/>
    <w:pPr>
      <w:ind w:firstLine="420"/>
    </w:pPr>
    <w:rPr>
      <w:rFonts w:ascii="Calibri" w:hAnsi="Calibri"/>
      <w:szCs w:val="20"/>
    </w:rPr>
  </w:style>
  <w:style w:type="paragraph" w:styleId="992" w:customStyle="1">
    <w:name w:val="_正文段落"/>
    <w:basedOn w:val="904"/>
    <w:uiPriority w:val="99"/>
    <w:qFormat/>
    <w:pPr>
      <w:ind w:firstLine="480"/>
      <w:spacing w:line="360" w:lineRule="auto"/>
    </w:pPr>
    <w:rPr>
      <w:rFonts w:ascii="宋体" w:hAnsi="宋体"/>
      <w:sz w:val="24"/>
    </w:rPr>
  </w:style>
  <w:style w:type="table" w:styleId="993" w:customStyle="1">
    <w:name w:val="网格型1"/>
    <w:uiPriority w:val="99"/>
    <w:qFormat/>
    <w:rPr>
      <w:rFonts w:ascii="Calibri" w:hAnsi="Calibri"/>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4" w:customStyle="1">
    <w:name w:val="WPSOffice手动目录 1"/>
    <w:uiPriority w:val="99"/>
    <w:qFormat/>
    <w:rPr>
      <w:rFonts w:ascii="Times New Roman" w:hAnsi="Times New Roman" w:eastAsia="宋体" w:cs="Times New Roman"/>
      <w:sz w:val="20"/>
      <w:szCs w:val="20"/>
      <w:lang w:val="en-US" w:eastAsia="zh-CN" w:bidi="ar-SA"/>
    </w:rPr>
  </w:style>
  <w:style w:type="paragraph" w:styleId="995" w:customStyle="1">
    <w:name w:val="+正文"/>
    <w:basedOn w:val="904"/>
    <w:uiPriority w:val="99"/>
    <w:qFormat/>
    <w:pPr>
      <w:ind w:firstLine="200"/>
      <w:spacing w:line="360" w:lineRule="auto"/>
    </w:pPr>
    <w:rPr>
      <w:szCs w:val="20"/>
    </w:rPr>
  </w:style>
  <w:style w:type="paragraph" w:styleId="996" w:customStyle="1">
    <w:name w:val="纯文本111"/>
    <w:basedOn w:val="904"/>
    <w:uiPriority w:val="99"/>
    <w:qFormat/>
    <w:rPr>
      <w:rFonts w:ascii="宋体" w:hAnsi="Courier New" w:eastAsia="楷体_GB2312"/>
      <w:sz w:val="26"/>
      <w:szCs w:val="20"/>
    </w:rPr>
  </w:style>
  <w:style w:type="paragraph" w:styleId="997" w:customStyle="1">
    <w:name w:val="纯文本2"/>
    <w:basedOn w:val="904"/>
    <w:uiPriority w:val="99"/>
    <w:qFormat/>
    <w:rPr>
      <w:rFonts w:ascii="宋体" w:hAnsi="Courier New" w:eastAsia="楷体_GB2312"/>
      <w:sz w:val="28"/>
      <w:szCs w:val="20"/>
    </w:rPr>
  </w:style>
  <w:style w:type="character" w:styleId="998" w:customStyle="1">
    <w:name w:val="apple-converted-space"/>
    <w:basedOn w:val="909"/>
    <w:uiPriority w:val="99"/>
    <w:qFormat/>
    <w:rPr>
      <w:rFonts w:cs="Times New Roman"/>
    </w:rPr>
  </w:style>
  <w:style w:type="character" w:styleId="999" w:customStyle="1">
    <w:name w:val="纯文本 Char1"/>
    <w:uiPriority w:val="99"/>
    <w:qFormat/>
    <w:rPr>
      <w:rFonts w:ascii="宋体" w:hAnsi="Courier New"/>
      <w:sz w:val="21"/>
    </w:rPr>
  </w:style>
  <w:style w:type="character" w:styleId="1000" w:customStyle="1">
    <w:name w:val="15"/>
    <w:basedOn w:val="909"/>
    <w:uiPriority w:val="99"/>
    <w:qFormat/>
    <w:rPr>
      <w:rFonts w:ascii="Times New Roman" w:hAnsi="Times New Roman" w:eastAsia="宋体" w:cs="Times New Roman"/>
    </w:rPr>
  </w:style>
  <w:style w:type="paragraph" w:styleId="1001" w:customStyle="1">
    <w:name w:val="正文1"/>
    <w:basedOn w:val="904"/>
    <w:next w:val="904"/>
    <w:uiPriority w:val="99"/>
    <w:qFormat/>
    <w:pPr>
      <w:ind w:left="420" w:firstLine="527"/>
      <w:spacing w:before="120" w:line="360" w:lineRule="auto"/>
    </w:pPr>
    <w:rPr>
      <w:rFonts w:ascii="宋体" w:hAnsi="宋体"/>
    </w:rPr>
  </w:style>
  <w:style w:type="paragraph" w:styleId="1002" w:customStyle="1">
    <w:name w:val="正文(其它)"/>
    <w:basedOn w:val="904"/>
    <w:uiPriority w:val="99"/>
    <w:qFormat/>
    <w:pPr>
      <w:jc w:val="center"/>
      <w:spacing w:line="312" w:lineRule="auto"/>
    </w:pPr>
    <w:rPr>
      <w:rFonts w:ascii="黑体" w:eastAsia="黑体"/>
      <w:sz w:val="32"/>
      <w:szCs w:val="32"/>
    </w:rPr>
  </w:style>
  <w:style w:type="paragraph" w:styleId="1003" w:customStyle="1">
    <w:name w:val="正文_7_1"/>
    <w:uiPriority w:val="99"/>
    <w:qFormat/>
    <w:pPr>
      <w:jc w:val="both"/>
      <w:widowControl w:val="off"/>
    </w:pPr>
    <w:rPr>
      <w:rFonts w:ascii="Times New Roman" w:hAnsi="Times New Roman" w:eastAsia="宋体" w:cs="Times New Roman"/>
      <w:sz w:val="21"/>
      <w:szCs w:val="22"/>
      <w:lang w:val="en-US" w:eastAsia="zh-CN" w:bidi="ar-SA"/>
    </w:rPr>
  </w:style>
  <w:style w:type="paragraph" w:styleId="1004" w:customStyle="1">
    <w:name w:val="msolistparagraph"/>
    <w:basedOn w:val="904"/>
    <w:uiPriority w:val="99"/>
    <w:qFormat/>
    <w:pPr>
      <w:ind w:firstLine="420"/>
    </w:pPr>
    <w:rPr>
      <w:rFonts w:ascii="Calibri" w:hAnsi="Calibri"/>
      <w:szCs w:val="22"/>
    </w:rPr>
  </w:style>
  <w:style w:type="paragraph" w:styleId="1005" w:customStyle="1">
    <w:name w:val="_Style 30"/>
    <w:basedOn w:val="904"/>
    <w:next w:val="918"/>
    <w:uiPriority w:val="99"/>
    <w:qFormat/>
    <w:rPr>
      <w:rFonts w:ascii="宋体" w:hAnsi="Courier New"/>
    </w:rPr>
  </w:style>
  <w:style w:type="paragraph" w:styleId="1006" w:customStyle="1">
    <w:name w:val="p0"/>
    <w:basedOn w:val="904"/>
    <w:uiPriority w:val="99"/>
    <w:qFormat/>
    <w:pPr>
      <w:widowControl/>
    </w:pPr>
    <w:rPr>
      <w:sz w:val="26"/>
      <w:szCs w:val="26"/>
    </w:rPr>
  </w:style>
  <w:style w:type="paragraph" w:styleId="1007" w:customStyle="1">
    <w:name w:val="普通(网站)1"/>
    <w:basedOn w:val="904"/>
    <w:uiPriority w:val="99"/>
    <w:qFormat/>
    <w:pPr>
      <w:jc w:val="left"/>
      <w:spacing w:before="100" w:beforeAutospacing="1" w:after="100" w:afterAutospacing="1"/>
      <w:widowControl/>
    </w:pPr>
    <w:rPr>
      <w:rFonts w:ascii="宋体" w:hAnsi="宋体" w:cs="宋体"/>
      <w:sz w:val="24"/>
    </w:rPr>
  </w:style>
  <w:style w:type="character" w:styleId="1008" w:customStyle="1">
    <w:name w:val="font11"/>
    <w:basedOn w:val="909"/>
    <w:uiPriority w:val="99"/>
    <w:qFormat/>
    <w:rPr>
      <w:rFonts w:ascii="方正小标宋_GBK" w:hAnsi="方正小标宋_GBK" w:eastAsia="方正小标宋_GBK" w:cs="方正小标宋_GBK"/>
      <w:color w:val="000000"/>
      <w:sz w:val="32"/>
      <w:szCs w:val="32"/>
      <w:u w:val="none"/>
    </w:rPr>
  </w:style>
  <w:style w:type="paragraph" w:styleId="1009" w:customStyle="1">
    <w:name w:val="Blockquote"/>
    <w:basedOn w:val="904"/>
    <w:uiPriority w:val="99"/>
    <w:qFormat/>
    <w:pPr>
      <w:ind w:left="360" w:right="360"/>
      <w:jc w:val="left"/>
      <w:spacing w:before="100" w:after="100"/>
    </w:pPr>
    <w:rPr>
      <w:sz w:val="24"/>
      <w:szCs w:val="20"/>
    </w:rPr>
  </w:style>
  <w:style w:type="character" w:styleId="1010" w:customStyle="1">
    <w:name w:val="font121"/>
    <w:basedOn w:val="909"/>
    <w:uiPriority w:val="99"/>
    <w:qFormat/>
    <w:rPr>
      <w:rFonts w:ascii="宋体" w:hAnsi="宋体" w:eastAsia="宋体" w:cs="宋体"/>
      <w:color w:val="339966"/>
      <w:sz w:val="20"/>
      <w:szCs w:val="20"/>
      <w:u w:val="none"/>
    </w:rPr>
  </w:style>
  <w:style w:type="character" w:styleId="1011" w:customStyle="1">
    <w:name w:val="font132"/>
    <w:basedOn w:val="909"/>
    <w:uiPriority w:val="99"/>
    <w:qFormat/>
    <w:rPr>
      <w:rFonts w:ascii="宋体" w:hAnsi="宋体" w:eastAsia="宋体" w:cs="宋体"/>
      <w:color w:val="ff0000"/>
      <w:sz w:val="20"/>
      <w:szCs w:val="20"/>
      <w:u w:val="none"/>
    </w:rPr>
  </w:style>
  <w:style w:type="character" w:styleId="1012" w:customStyle="1">
    <w:name w:val="font13"/>
    <w:basedOn w:val="909"/>
    <w:uiPriority w:val="99"/>
    <w:qFormat/>
    <w:rPr>
      <w:rFonts w:ascii="宋体" w:hAnsi="宋体" w:eastAsia="宋体" w:cs="宋体"/>
      <w:color w:val="000000"/>
      <w:sz w:val="20"/>
      <w:szCs w:val="20"/>
      <w:u w:val="none"/>
    </w:rPr>
  </w:style>
  <w:style w:type="character" w:styleId="1013" w:customStyle="1">
    <w:name w:val="font141"/>
    <w:basedOn w:val="909"/>
    <w:uiPriority w:val="99"/>
    <w:qFormat/>
    <w:rPr>
      <w:rFonts w:ascii="宋体" w:hAnsi="宋体" w:eastAsia="宋体" w:cs="宋体"/>
      <w:color w:val="ff0000"/>
      <w:sz w:val="20"/>
      <w:szCs w:val="20"/>
      <w:u w:val="none"/>
    </w:rPr>
  </w:style>
  <w:style w:type="character" w:styleId="1014" w:customStyle="1">
    <w:name w:val="font151"/>
    <w:basedOn w:val="909"/>
    <w:uiPriority w:val="99"/>
    <w:qFormat/>
    <w:rPr>
      <w:rFonts w:ascii="宋体" w:hAnsi="宋体" w:eastAsia="宋体" w:cs="宋体"/>
      <w:color w:val="00b050"/>
      <w:sz w:val="20"/>
      <w:szCs w:val="20"/>
      <w:u w:val="none"/>
    </w:rPr>
  </w:style>
  <w:style w:type="character" w:styleId="1015" w:customStyle="1">
    <w:name w:val="font161"/>
    <w:basedOn w:val="909"/>
    <w:uiPriority w:val="99"/>
    <w:qFormat/>
    <w:rPr>
      <w:rFonts w:ascii="宋体" w:hAnsi="宋体" w:eastAsia="宋体" w:cs="宋体"/>
      <w:color w:val="339966"/>
      <w:sz w:val="20"/>
      <w:szCs w:val="20"/>
      <w:u w:val="none"/>
    </w:rPr>
  </w:style>
  <w:style w:type="character" w:styleId="1016" w:customStyle="1">
    <w:name w:val="font171"/>
    <w:basedOn w:val="909"/>
    <w:uiPriority w:val="99"/>
    <w:qFormat/>
    <w:rPr>
      <w:rFonts w:ascii="宋体" w:hAnsi="宋体" w:eastAsia="宋体" w:cs="宋体"/>
      <w:b/>
      <w:bCs/>
      <w:color w:val="000000"/>
      <w:sz w:val="20"/>
      <w:szCs w:val="20"/>
      <w:u w:val="none"/>
    </w:rPr>
  </w:style>
  <w:style w:type="character" w:styleId="1017" w:customStyle="1">
    <w:name w:val="font51"/>
    <w:basedOn w:val="909"/>
    <w:uiPriority w:val="99"/>
    <w:qFormat/>
    <w:rPr>
      <w:rFonts w:ascii="宋体" w:hAnsi="宋体" w:eastAsia="宋体" w:cs="宋体"/>
      <w:color w:val="000000"/>
      <w:sz w:val="20"/>
      <w:szCs w:val="20"/>
      <w:u w:val="none"/>
    </w:rPr>
  </w:style>
  <w:style w:type="character" w:styleId="1018" w:customStyle="1">
    <w:name w:val="font181"/>
    <w:basedOn w:val="909"/>
    <w:uiPriority w:val="99"/>
    <w:qFormat/>
    <w:rPr>
      <w:rFonts w:ascii="新宋体" w:hAnsi="新宋体" w:eastAsia="新宋体" w:cs="新宋体"/>
      <w:color w:val="000000"/>
      <w:sz w:val="20"/>
      <w:szCs w:val="20"/>
      <w:u w:val="none"/>
    </w:rPr>
  </w:style>
  <w:style w:type="character" w:styleId="1019" w:customStyle="1">
    <w:name w:val="font81"/>
    <w:basedOn w:val="909"/>
    <w:uiPriority w:val="99"/>
    <w:qFormat/>
    <w:rPr>
      <w:rFonts w:ascii="新宋体" w:hAnsi="新宋体" w:eastAsia="新宋体" w:cs="新宋体"/>
      <w:color w:val="000000"/>
      <w:sz w:val="20"/>
      <w:szCs w:val="20"/>
      <w:u w:val="none"/>
    </w:rPr>
  </w:style>
  <w:style w:type="paragraph" w:styleId="1020" w:customStyle="1">
    <w:name w:val="正文文本缩进 31"/>
    <w:basedOn w:val="904"/>
    <w:uiPriority w:val="0"/>
    <w:qFormat/>
    <w:pPr>
      <w:ind w:firstLine="480"/>
      <w:spacing w:line="300" w:lineRule="auto"/>
      <w:widowControl w:val="off"/>
    </w:pPr>
  </w:style>
  <w:style w:type="numbering" w:styleId="1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董毅</cp:lastModifiedBy>
  <cp:revision>3</cp:revision>
  <dcterms:created xsi:type="dcterms:W3CDTF">2023-12-02T00:55:00Z</dcterms:created>
  <dcterms:modified xsi:type="dcterms:W3CDTF">2026-10-12T06:17:27Z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585EA6B6D92D4219AA8A555718DA0D35_13</vt:lpwstr>
  </property>
  <property fmtid="{D5CDD505-2E9C-101B-9397-08002B2CF9AE}" pid="4" name="KSOTemplateDocerSaveRecord">
    <vt:lpwstr>eyJoZGlkIjoiNTZmOWQxNzE4NGM1NmI4NTQ5ZjQ5MmNmMTY2N2JkYjYiLCJ1c2VySWQiOiIxOTA4OTc5NDgifQ==</vt:lpwstr>
  </property>
</Properties>
</file>