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ind w:firstLine="0"/>
        <w:rPr>
          <w:rFonts w:hint="eastAsia" w:eastAsia="黑体"/>
          <w:b/>
          <w:bCs/>
          <w:sz w:val="84"/>
        </w:rPr>
      </w:pPr>
      <w:r>
        <w:rPr>
          <w:rFonts w:hint="eastAsia" w:eastAsia="黑体"/>
          <w:b/>
          <w:bCs/>
          <w:sz w:val="84"/>
        </w:rPr>
      </w:r>
      <w:r/>
    </w:p>
    <w:p>
      <w:pPr>
        <w:pStyle w:val="1032"/>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1032"/>
        <w:ind w:firstLine="1968"/>
        <w:spacing w:line="400" w:lineRule="exact"/>
        <w:rPr>
          <w:rFonts w:hint="eastAsia"/>
          <w:b/>
          <w:bCs/>
          <w:sz w:val="28"/>
          <w:szCs w:val="28"/>
        </w:rPr>
      </w:pPr>
      <w:r>
        <w:rPr>
          <w:rFonts w:hint="eastAsia"/>
          <w:b/>
          <w:bCs/>
          <w:sz w:val="28"/>
          <w:szCs w:val="28"/>
        </w:rPr>
      </w:r>
      <w:r/>
    </w:p>
    <w:p>
      <w:pPr>
        <w:pStyle w:val="944"/>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项目名称：名老中医药专家学术经验数字化传承平台</w:t>
      </w:r>
      <w:r/>
    </w:p>
    <w:p>
      <w:pPr>
        <w:pStyle w:val="944"/>
        <w:jc w:val="center"/>
        <w:spacing w:before="120" w:after="120" w:line="400" w:lineRule="exact"/>
        <w:rPr>
          <w:rFonts w:hint="eastAsia"/>
          <w:b/>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w:t>
      </w:r>
      <w:r>
        <w:rPr>
          <w:rFonts w:hint="eastAsia" w:eastAsia="方正黑体_GBK"/>
          <w:sz w:val="28"/>
          <w:szCs w:val="28"/>
        </w:rPr>
        <w:t xml:space="preserve">454</w:t>
      </w:r>
      <w:r>
        <w:rPr>
          <w:rFonts w:hint="eastAsia"/>
          <w:b/>
          <w:sz w:val="28"/>
          <w:szCs w:val="28"/>
        </w:rPr>
      </w:r>
      <w:r/>
    </w:p>
    <w:p>
      <w:pPr>
        <w:pStyle w:val="944"/>
        <w:ind w:firstLine="56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944"/>
        <w:jc w:val="center"/>
        <w:rPr>
          <w:rFonts w:hint="eastAsia"/>
          <w:b/>
          <w:sz w:val="28"/>
          <w:szCs w:val="28"/>
        </w:rPr>
      </w:pPr>
      <w:r>
        <w:rPr>
          <w:rFonts w:hint="eastAsia"/>
          <w:b/>
          <w:sz w:val="28"/>
          <w:szCs w:val="28"/>
        </w:rPr>
      </w:r>
      <w:r/>
    </w:p>
    <w:p>
      <w:pPr>
        <w:pStyle w:val="1032"/>
        <w:ind w:firstLine="0"/>
        <w:spacing w:before="0" w:after="0"/>
        <w:rPr>
          <w:rFonts w:hint="eastAsia" w:ascii="宋体" w:hAnsi="宋体"/>
          <w:sz w:val="28"/>
          <w:szCs w:val="28"/>
        </w:rPr>
      </w:pPr>
      <w:r>
        <w:rPr>
          <w:rFonts w:hint="eastAsia" w:ascii="宋体" w:hAnsi="宋体"/>
          <w:sz w:val="28"/>
          <w:szCs w:val="28"/>
        </w:rPr>
      </w:r>
      <w:r/>
    </w:p>
    <w:p>
      <w:pPr>
        <w:pStyle w:val="1032"/>
        <w:ind w:firstLine="0"/>
        <w:spacing w:before="0" w:after="0"/>
        <w:rPr>
          <w:rFonts w:hint="eastAsia" w:ascii="宋体" w:hAnsi="宋体"/>
          <w:sz w:val="28"/>
          <w:szCs w:val="28"/>
        </w:rPr>
      </w:pPr>
      <w:r>
        <w:rPr>
          <w:rFonts w:hint="eastAsia" w:ascii="宋体" w:hAnsi="宋体"/>
          <w:sz w:val="28"/>
          <w:szCs w:val="28"/>
        </w:rPr>
      </w:r>
      <w:r/>
    </w:p>
    <w:p>
      <w:pPr>
        <w:pStyle w:val="1032"/>
        <w:ind w:firstLine="0"/>
        <w:spacing w:before="0" w:after="0"/>
        <w:rPr>
          <w:rFonts w:hint="eastAsia" w:ascii="宋体" w:hAnsi="宋体"/>
          <w:sz w:val="28"/>
          <w:szCs w:val="28"/>
        </w:rPr>
      </w:pPr>
      <w:r>
        <w:rPr>
          <w:rFonts w:hint="eastAsia" w:ascii="宋体" w:hAnsi="宋体"/>
          <w:sz w:val="28"/>
          <w:szCs w:val="28"/>
        </w:rPr>
      </w:r>
      <w:r/>
    </w:p>
    <w:p>
      <w:pPr>
        <w:pStyle w:val="1032"/>
        <w:ind w:firstLine="0"/>
        <w:spacing w:before="0" w:after="0"/>
        <w:rPr>
          <w:rFonts w:hint="eastAsia" w:ascii="宋体" w:hAnsi="宋体"/>
          <w:sz w:val="28"/>
          <w:szCs w:val="28"/>
        </w:rPr>
      </w:pPr>
      <w:r>
        <w:rPr>
          <w:rFonts w:hint="eastAsia" w:ascii="宋体" w:hAnsi="宋体"/>
          <w:sz w:val="28"/>
          <w:szCs w:val="28"/>
        </w:rPr>
      </w:r>
      <w:r/>
    </w:p>
    <w:p>
      <w:pPr>
        <w:pStyle w:val="1032"/>
        <w:ind w:firstLine="0"/>
        <w:spacing w:before="0" w:after="0"/>
        <w:rPr>
          <w:rFonts w:hint="eastAsia" w:ascii="宋体" w:hAnsi="宋体"/>
          <w:sz w:val="28"/>
          <w:szCs w:val="28"/>
        </w:rPr>
      </w:pPr>
      <w:r>
        <w:rPr>
          <w:rFonts w:hint="eastAsia" w:ascii="宋体" w:hAnsi="宋体"/>
          <w:sz w:val="28"/>
          <w:szCs w:val="28"/>
        </w:rPr>
      </w:r>
      <w:r/>
    </w:p>
    <w:p>
      <w:pPr>
        <w:pStyle w:val="1032"/>
        <w:ind w:firstLine="0"/>
        <w:spacing w:before="0" w:after="0"/>
        <w:rPr>
          <w:rFonts w:hint="eastAsia" w:ascii="宋体" w:hAnsi="宋体"/>
          <w:sz w:val="28"/>
          <w:szCs w:val="28"/>
        </w:rPr>
      </w:pPr>
      <w:r>
        <w:rPr>
          <w:rFonts w:hint="eastAsia" w:ascii="宋体" w:hAnsi="宋体"/>
          <w:sz w:val="28"/>
          <w:szCs w:val="28"/>
        </w:rPr>
      </w:r>
      <w:r/>
    </w:p>
    <w:p>
      <w:pPr>
        <w:pStyle w:val="1032"/>
        <w:ind w:firstLine="0"/>
        <w:spacing w:before="0" w:after="0"/>
        <w:rPr>
          <w:rFonts w:hint="eastAsia" w:ascii="宋体" w:hAnsi="宋体"/>
          <w:sz w:val="28"/>
          <w:szCs w:val="28"/>
        </w:rPr>
      </w:pPr>
      <w:r>
        <w:rPr>
          <w:rFonts w:hint="eastAsia" w:ascii="宋体" w:hAnsi="宋体"/>
          <w:sz w:val="28"/>
          <w:szCs w:val="28"/>
        </w:rPr>
      </w:r>
      <w:r/>
    </w:p>
    <w:p>
      <w:pPr>
        <w:pStyle w:val="944"/>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pStyle w:val="944"/>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2026年9月</w:t>
      </w:r>
      <w:r/>
    </w:p>
    <w:p>
      <w:pPr>
        <w:pStyle w:val="1032"/>
        <w:ind w:firstLine="0"/>
        <w:rPr>
          <w:rFonts w:hint="eastAsia"/>
          <w:u w:val="single"/>
        </w:rPr>
      </w:pPr>
      <w:r>
        <w:rPr>
          <w:rFonts w:hint="eastAsia"/>
        </w:rPr>
        <w:t xml:space="preserve">                        </w:t>
      </w:r>
      <w:r>
        <w:rPr>
          <w:rFonts w:hint="eastAsia"/>
          <w:u w:val="single"/>
        </w:rPr>
      </w:r>
      <w:r/>
    </w:p>
    <w:p>
      <w:pPr>
        <w:pStyle w:val="1032"/>
        <w:ind w:firstLine="0"/>
        <w:jc w:val="center"/>
        <w:rPr>
          <w:rFonts w:hint="eastAsia"/>
        </w:rPr>
      </w:pPr>
      <w:r>
        <w:rPr>
          <w:rFonts w:hint="eastAsia"/>
        </w:rPr>
      </w:r>
      <w:r/>
    </w:p>
    <w:p>
      <w:pPr>
        <w:pStyle w:val="944"/>
        <w:jc w:val="center"/>
        <w:spacing w:line="400" w:lineRule="exact"/>
        <w:rPr>
          <w:rFonts w:hint="eastAsia" w:ascii="黑体" w:hAnsi="Arial" w:eastAsia="黑体"/>
          <w:b/>
          <w:sz w:val="28"/>
          <w:szCs w:val="28"/>
        </w:rPr>
        <w:outlineLvl w:val="0"/>
      </w:pPr>
      <w: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Cs/>
          <w:sz w:val="28"/>
          <w:szCs w:val="28"/>
        </w:rPr>
        <w:t xml:space="preserve">总  目  录</w:t>
      </w:r>
      <w:r>
        <w:rPr>
          <w:rFonts w:hint="eastAsia" w:ascii="黑体" w:hAnsi="Arial" w:eastAsia="黑体"/>
          <w:b/>
          <w:sz w:val="28"/>
          <w:szCs w:val="28"/>
        </w:rPr>
      </w:r>
      <w:r/>
    </w:p>
    <w:p>
      <w:pPr>
        <w:pStyle w:val="944"/>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r>
      <w:r/>
    </w:p>
    <w:p>
      <w:pPr>
        <w:pStyle w:val="944"/>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投标邀请……………………………………</w:t>
      </w:r>
      <w:r>
        <w:rPr>
          <w:rFonts w:hint="eastAsia" w:ascii="方正黑体_GBK" w:hAnsi="方正黑体_GBK" w:eastAsia="方正黑体_GBK" w:cs="方正黑体_GBK"/>
          <w:sz w:val="28"/>
          <w:szCs w:val="28"/>
        </w:rPr>
        <w:t xml:space="preserve">3</w:t>
      </w:r>
      <w:r>
        <w:rPr>
          <w:rFonts w:hint="eastAsia" w:ascii="方正黑体_GBK" w:hAnsi="方正黑体_GBK" w:eastAsia="方正黑体_GBK" w:cs="方正黑体_GBK"/>
          <w:sz w:val="28"/>
          <w:szCs w:val="28"/>
        </w:rPr>
      </w:r>
      <w:r/>
    </w:p>
    <w:p>
      <w:pPr>
        <w:pStyle w:val="944"/>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第二章 投标人须知…………………………………</w:t>
      </w:r>
      <w:r>
        <w:rPr>
          <w:rFonts w:hint="eastAsia" w:ascii="方正黑体_GBK" w:hAnsi="方正黑体_GBK" w:eastAsia="方正黑体_GBK" w:cs="方正黑体_GBK"/>
          <w:sz w:val="28"/>
          <w:szCs w:val="28"/>
        </w:rPr>
        <w:t xml:space="preserve">6</w:t>
      </w:r>
      <w:r>
        <w:rPr>
          <w:rFonts w:hint="eastAsia" w:ascii="方正黑体_GBK" w:hAnsi="方正黑体_GBK" w:eastAsia="方正黑体_GBK" w:cs="方正黑体_GBK"/>
          <w:sz w:val="28"/>
          <w:szCs w:val="28"/>
        </w:rPr>
      </w:r>
      <w:r/>
    </w:p>
    <w:p>
      <w:pPr>
        <w:pStyle w:val="944"/>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第三章 合同文本……………………………………</w:t>
      </w:r>
      <w:r>
        <w:rPr>
          <w:rFonts w:hint="eastAsia" w:ascii="方正黑体_GBK" w:hAnsi="方正黑体_GBK" w:eastAsia="方正黑体_GBK" w:cs="方正黑体_GBK"/>
          <w:sz w:val="28"/>
          <w:szCs w:val="28"/>
        </w:rPr>
        <w:t xml:space="preserve">16</w:t>
      </w:r>
      <w:r>
        <w:rPr>
          <w:rFonts w:hint="eastAsia" w:ascii="方正黑体_GBK" w:hAnsi="方正黑体_GBK" w:eastAsia="方正黑体_GBK" w:cs="方正黑体_GBK"/>
          <w:sz w:val="28"/>
          <w:szCs w:val="28"/>
        </w:rPr>
      </w:r>
      <w:r/>
    </w:p>
    <w:p>
      <w:pPr>
        <w:pStyle w:val="944"/>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第四章 采购需求……………………………………</w:t>
      </w:r>
      <w:r>
        <w:rPr>
          <w:rFonts w:hint="eastAsia" w:ascii="方正黑体_GBK" w:hAnsi="方正黑体_GBK" w:eastAsia="方正黑体_GBK" w:cs="方正黑体_GBK"/>
          <w:sz w:val="28"/>
          <w:szCs w:val="28"/>
        </w:rPr>
        <w:t xml:space="preserve">21</w:t>
      </w:r>
      <w:r>
        <w:rPr>
          <w:rFonts w:hint="eastAsia" w:ascii="方正黑体_GBK" w:hAnsi="方正黑体_GBK" w:eastAsia="方正黑体_GBK" w:cs="方正黑体_GBK"/>
          <w:sz w:val="28"/>
          <w:szCs w:val="28"/>
        </w:rPr>
      </w:r>
      <w:r/>
    </w:p>
    <w:p>
      <w:pPr>
        <w:pStyle w:val="944"/>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第五章 评标方法与评标标准………………………</w:t>
      </w:r>
      <w:r>
        <w:rPr>
          <w:rFonts w:hint="eastAsia" w:ascii="方正黑体_GBK" w:hAnsi="方正黑体_GBK" w:eastAsia="方正黑体_GBK" w:cs="方正黑体_GBK"/>
          <w:sz w:val="28"/>
          <w:szCs w:val="28"/>
        </w:rPr>
        <w:t xml:space="preserve">40</w:t>
      </w:r>
      <w:r>
        <w:rPr>
          <w:rFonts w:hint="eastAsia" w:ascii="方正黑体_GBK" w:hAnsi="方正黑体_GBK" w:eastAsia="方正黑体_GBK" w:cs="方正黑体_GBK"/>
          <w:sz w:val="28"/>
          <w:szCs w:val="28"/>
        </w:rPr>
      </w:r>
      <w:r/>
    </w:p>
    <w:p>
      <w:pPr>
        <w:pStyle w:val="944"/>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第六章 投标文件格式………………………………</w:t>
      </w:r>
      <w:r>
        <w:rPr>
          <w:rFonts w:hint="eastAsia" w:ascii="方正黑体_GBK" w:hAnsi="方正黑体_GBK" w:eastAsia="方正黑体_GBK" w:cs="方正黑体_GBK"/>
          <w:sz w:val="28"/>
          <w:szCs w:val="28"/>
        </w:rPr>
        <w:t xml:space="preserve">45</w:t>
      </w:r>
      <w:r>
        <w:rPr>
          <w:rFonts w:hint="eastAsia" w:ascii="方正黑体_GBK" w:hAnsi="方正黑体_GBK" w:eastAsia="方正黑体_GBK" w:cs="方正黑体_GBK"/>
          <w:sz w:val="28"/>
          <w:szCs w:val="28"/>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rPr>
          <w:rFonts w:hint="eastAsia"/>
        </w:rPr>
      </w:pPr>
      <w:r>
        <w:rPr>
          <w:rFonts w:hint="eastAsia"/>
        </w:rPr>
      </w:r>
      <w:r/>
    </w:p>
    <w:p>
      <w:pPr>
        <w:pStyle w:val="944"/>
        <w:jc w:val="center"/>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w:t>
      </w:r>
      <w:bookmarkEnd w:id="0"/>
      <w:r>
        <w:rPr>
          <w:rFonts w:hint="eastAsia" w:ascii="方正黑体_GBK" w:hAnsi="方正黑体_GBK" w:eastAsia="方正黑体_GBK" w:cs="方正黑体_GBK"/>
          <w:sz w:val="28"/>
          <w:szCs w:val="28"/>
        </w:rPr>
        <w:t xml:space="preserve">投标邀请</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受江苏省中医院的委托，江苏省政府采购中心就名老中医药专家学术经验数字化传承平台（</w:t>
      </w:r>
      <w:r>
        <w:rPr>
          <w:rFonts w:ascii="方正仿宋_GBK" w:hAnsi="方正仿宋_GBK" w:eastAsia="方正仿宋_GBK" w:cs="方正仿宋_GBK"/>
          <w:sz w:val="28"/>
          <w:szCs w:val="28"/>
        </w:rPr>
        <w:t xml:space="preserve">JSZC-320000-SCZX-G2026-0</w:t>
      </w:r>
      <w:r>
        <w:rPr>
          <w:rFonts w:hint="eastAsia" w:ascii="方正仿宋_GBK" w:hAnsi="方正仿宋_GBK" w:eastAsia="方正仿宋_GBK" w:cs="方正仿宋_GBK"/>
          <w:sz w:val="28"/>
          <w:szCs w:val="28"/>
        </w:rPr>
        <w:t xml:space="preserve">454）项目进行公开招标采购，欢迎符合条件的供应商投标。</w:t>
      </w:r>
      <w:r/>
    </w:p>
    <w:p>
      <w:pPr>
        <w:pStyle w:val="944"/>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944"/>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名老中医药专家学术经验数字化传承平台</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10</w:t>
      </w:r>
      <w:r>
        <w:rPr>
          <w:rFonts w:hint="eastAsia" w:ascii="方正仿宋_GBK" w:hAnsi="方正仿宋_GBK" w:eastAsia="方正仿宋_GBK" w:cs="方正仿宋_GBK"/>
          <w:bCs/>
          <w:sz w:val="28"/>
          <w:szCs w:val="28"/>
        </w:rPr>
        <w:t xml:space="preserve">月13</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bookmarkStart w:id="6" w:name="_Toc35393621"/>
      <w:r/>
      <w:bookmarkStart w:id="7" w:name="_Toc38985263"/>
      <w:r/>
      <w:bookmarkStart w:id="8" w:name="_Toc35393790"/>
      <w:r/>
      <w:bookmarkStart w:id="9" w:name="_Toc28359079"/>
      <w:r/>
      <w:bookmarkStart w:id="10" w:name="_Toc28359002"/>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eastAsia="方正仿宋_GBK"/>
          <w:sz w:val="28"/>
          <w:szCs w:val="28"/>
        </w:rPr>
        <w:t xml:space="preserve">：</w:t>
      </w:r>
      <w:r>
        <w:rPr>
          <w:rFonts w:eastAsia="方正仿宋_GBK"/>
          <w:sz w:val="28"/>
          <w:szCs w:val="28"/>
        </w:rPr>
        <w:t xml:space="preserve">JSZC-320000-SCZX-G2026-0</w:t>
      </w:r>
      <w:r>
        <w:rPr>
          <w:rFonts w:hint="eastAsia" w:eastAsia="方正仿宋_GBK"/>
          <w:sz w:val="28"/>
          <w:szCs w:val="28"/>
        </w:rPr>
        <w:t xml:space="preserve">454 </w:t>
      </w: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eastAsia="方正仿宋_GBK"/>
          <w:sz w:val="28"/>
          <w:szCs w:val="28"/>
        </w:rPr>
        <w:t xml:space="preserve">名老中医药专家学术经验数字化传承平台</w:t>
      </w: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3306"/>
      </w:tblGrid>
      <w:tr>
        <w:trPr/>
        <w:tc>
          <w:tcPr>
            <w:tcW w:w="1098"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06"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8" w:type="dxa"/>
            <w:vAlign w:val="top"/>
            <w:textDirection w:val="lrTb"/>
            <w:noWrap w:val="false"/>
          </w:tcPr>
          <w:p>
            <w:pPr>
              <w:pStyle w:val="944"/>
              <w:ind w:firstLine="280"/>
              <w:spacing w:line="400" w:lineRule="exact"/>
              <w:rPr>
                <w:rFonts w:hint="eastAsia" w:ascii="方正仿宋_GBK" w:hAnsi="方正仿宋_GBK" w:eastAsia="方正仿宋_GBK" w:cs="方正仿宋_GBK"/>
                <w:sz w:val="28"/>
                <w:szCs w:val="28"/>
              </w:rPr>
            </w:pPr>
            <w:r/>
            <w:bookmarkStart w:id="12" w:name="_Hlk233119537"/>
            <w:r/>
            <w:bookmarkStart w:id="13" w:name="OLE_LINK185"/>
            <w:r/>
            <w:bookmarkStart w:id="14" w:name="OLE_LINK186"/>
            <w:r>
              <w:rPr>
                <w:rFonts w:hint="eastAsia" w:ascii="方正仿宋_GBK" w:hAnsi="方正仿宋_GBK" w:eastAsia="方正仿宋_GBK" w:cs="方正仿宋_GBK"/>
                <w:sz w:val="28"/>
                <w:szCs w:val="28"/>
              </w:rPr>
              <w:t xml:space="preserve">1</w:t>
            </w:r>
            <w:r/>
          </w:p>
        </w:tc>
        <w:tc>
          <w:tcPr>
            <w:tcW w:w="3306" w:type="dxa"/>
            <w:vAlign w:val="top"/>
            <w:textDirection w:val="lrTb"/>
            <w:noWrap w:val="false"/>
          </w:tcPr>
          <w:p>
            <w:pPr>
              <w:pStyle w:val="944"/>
              <w:ind w:firstLine="11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w:t>
            </w:r>
            <w:r/>
          </w:p>
        </w:tc>
      </w:tr>
    </w:tbl>
    <w:p>
      <w:pPr>
        <w:pStyle w:val="944"/>
        <w:ind w:firstLine="560"/>
        <w:spacing w:line="400" w:lineRule="exact"/>
        <w:rPr>
          <w:rFonts w:hint="eastAsia" w:ascii="方正仿宋_GBK" w:hAnsi="方正仿宋_GBK" w:eastAsia="方正仿宋_GBK" w:cs="方正仿宋_GBK"/>
          <w:sz w:val="28"/>
          <w:szCs w:val="28"/>
        </w:rPr>
      </w:pPr>
      <w:r/>
      <w:bookmarkEnd w:id="12"/>
      <w:r/>
      <w:bookmarkEnd w:id="13"/>
      <w:r/>
      <w:bookmarkEnd w:id="14"/>
      <w:r>
        <w:rPr>
          <w:rFonts w:hint="eastAsia" w:ascii="方正仿宋_GBK" w:hAnsi="方正仿宋_GBK" w:eastAsia="方正仿宋_GBK" w:cs="方正仿宋_GBK"/>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vAlign w:val="top"/>
            <w:textDirection w:val="lrTb"/>
            <w:noWrap w:val="false"/>
          </w:tcPr>
          <w:p>
            <w:pPr>
              <w:pStyle w:val="944"/>
              <w:ind w:firstLine="1120"/>
              <w:spacing w:line="400" w:lineRule="exact"/>
            </w:pPr>
            <w:r>
              <w:rPr>
                <w:rFonts w:hint="eastAsia" w:ascii="方正仿宋_GBK" w:hAnsi="方正仿宋_GBK" w:eastAsia="方正仿宋_GBK" w:cs="方正仿宋_GBK"/>
                <w:sz w:val="28"/>
                <w:szCs w:val="28"/>
              </w:rPr>
              <w:t xml:space="preserve">90</w:t>
            </w:r>
            <w:r/>
          </w:p>
        </w:tc>
      </w:tr>
    </w:tbl>
    <w:p>
      <w:pPr>
        <w:pStyle w:val="944"/>
        <w:ind w:firstLine="560"/>
        <w:spacing w:line="400" w:lineRule="exact"/>
        <w:rPr>
          <w:rFonts w:hint="eastAsia" w:ascii="方正仿宋_GBK" w:hAnsi="方正仿宋_GBK" w:eastAsia="方正仿宋_GBK" w:cs="方正仿宋_GBK"/>
          <w:sz w:val="28"/>
          <w:szCs w:val="28"/>
          <w:u w:val="single"/>
        </w:rPr>
      </w:pPr>
      <w:r/>
      <w:bookmarkStart w:id="15" w:name="_Toc28359080"/>
      <w:r/>
      <w:bookmarkStart w:id="16" w:name="_Toc38985264"/>
      <w:r/>
      <w:bookmarkStart w:id="17" w:name="_Toc35393791"/>
      <w:r/>
      <w:bookmarkStart w:id="18" w:name="_Toc28359003"/>
      <w:r/>
      <w:bookmarkStart w:id="19" w:name="_Toc35393622"/>
      <w:r>
        <w:rPr>
          <w:rFonts w:hint="eastAsia" w:ascii="方正仿宋_GBK" w:hAnsi="方正仿宋_GBK" w:eastAsia="方正仿宋_GBK" w:cs="方正仿宋_GBK"/>
          <w:sz w:val="28"/>
          <w:szCs w:val="28"/>
        </w:rPr>
        <w:t xml:space="preserve">5.采购需求(简介)：</w:t>
      </w:r>
      <w:r>
        <w:rPr>
          <w:rFonts w:hint="eastAsia" w:eastAsia="方正仿宋_GBK"/>
          <w:sz w:val="28"/>
          <w:szCs w:val="28"/>
        </w:rPr>
        <w:t xml:space="preserve">江苏省中医院为落实国家中医药信息化与智慧中医医院建设要求，针对当前名老中医经验传承依赖传统模式、学术思想难以系统留存与高效复用、师承教育周期长、中医知识挖掘等现实问题，建设名老中医药专家学术经验数字化传承平台。利用大数据、人工智能等技术，推进名老中医药专家传承创新信息化建设，支撑名老中医药专家传承工作室发展，建成支撑名老中医学术经验、老药工传统技艺等活态传承的信息平台，助力名老中医药专家学术经验传承及推广。</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4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合同签订后3个月内交付。</w:t>
      </w:r>
      <w:r>
        <w:rPr>
          <w:rFonts w:hint="eastAsia" w:ascii="方正仿宋_GBK" w:hAnsi="方正仿宋_GBK" w:eastAsia="方正仿宋_GBK" w:cs="方正仿宋_GBK"/>
          <w:sz w:val="28"/>
          <w:szCs w:val="28"/>
          <w:u w:val="single"/>
        </w:rPr>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rPr>
          <w:rFonts w:hint="eastAsia" w:ascii="方正黑体_GBK" w:hAnsi="方正黑体_GBK" w:eastAsia="方正黑体_GBK" w:cs="方正黑体_GBK"/>
          <w:sz w:val="28"/>
          <w:szCs w:val="28"/>
        </w:rPr>
      </w:r>
      <w:r/>
    </w:p>
    <w:p>
      <w:pPr>
        <w:pStyle w:val="944"/>
        <w:ind w:firstLine="560"/>
        <w:spacing w:line="400" w:lineRule="exact"/>
        <w:rPr>
          <w:rFonts w:hint="eastAsia" w:ascii="方正楷体_GBK" w:hAnsi="方正楷体_GBK" w:eastAsia="方正楷体_GBK" w:cs="方正楷体_GBK"/>
          <w:sz w:val="28"/>
          <w:szCs w:val="28"/>
        </w:rPr>
      </w:pPr>
      <w:r/>
      <w:bookmarkStart w:id="20" w:name="_Toc35393792"/>
      <w:r/>
      <w:bookmarkStart w:id="21" w:name="_Toc35393623"/>
      <w:r/>
      <w:bookmarkStart w:id="22" w:name="_Toc28359004"/>
      <w:r/>
      <w:bookmarkStart w:id="23" w:name="_Toc38985265"/>
      <w:r/>
      <w:bookmarkStart w:id="24" w:name="_Toc28359081"/>
      <w:r>
        <w:rPr>
          <w:rFonts w:hint="eastAsia" w:ascii="方正楷体_GBK" w:hAnsi="方正楷体_GBK" w:eastAsia="方正楷体_GBK" w:cs="方正楷体_GBK"/>
          <w:sz w:val="28"/>
          <w:szCs w:val="28"/>
        </w:rPr>
        <w:t xml:space="preserve">（一）通用资格要求</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1.1法人或者其他组织的营业执照等证明文件，自然人的身份证明；</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4.本项目不接受联合体投标。</w:t>
      </w:r>
      <w:r/>
    </w:p>
    <w:p>
      <w:pPr>
        <w:pStyle w:val="944"/>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（二）本项目的特定资格要求：无。</w:t>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三、获取招标文件</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bookmarkEnd w:id="20"/>
      <w:r/>
      <w:bookmarkEnd w:id="21"/>
      <w:r/>
      <w:bookmarkEnd w:id="22"/>
      <w:r/>
      <w:bookmarkEnd w:id="23"/>
      <w:r/>
      <w:bookmarkEnd w:id="24"/>
      <w:r/>
      <w:bookmarkStart w:id="25" w:name="_Toc35393794"/>
      <w:r/>
      <w:bookmarkStart w:id="26" w:name="_Toc35393625"/>
      <w:r/>
      <w:bookmarkStart w:id="27" w:name="_Toc38985267"/>
      <w:r/>
      <w:bookmarkStart w:id="28" w:name="_Toc28359084"/>
      <w:r/>
      <w:bookmarkStart w:id="29" w:name="_Toc28359007"/>
      <w:r/>
      <w:bookmarkStart w:id="30" w:name="_Toc28359082"/>
      <w:r/>
      <w:bookmarkStart w:id="31" w:name="_Toc28359005"/>
      <w:r/>
      <w:bookmarkStart w:id="32" w:name="_Toc35393624"/>
      <w:r/>
      <w:bookmarkStart w:id="33" w:name="_Toc35393793"/>
      <w:r/>
      <w:bookmarkStart w:id="34" w:name="_Toc38985266"/>
      <w:r>
        <w:rPr>
          <w:rFonts w:hint="eastAsia" w:ascii="方正黑体_GBK" w:hAnsi="方正黑体_GBK" w:eastAsia="方正黑体_GBK" w:cs="方正黑体_GBK"/>
          <w:sz w:val="28"/>
          <w:szCs w:val="28"/>
        </w:rPr>
        <w:t xml:space="preserve">四、提交投标文件</w:t>
      </w:r>
      <w:bookmarkEnd w:id="30"/>
      <w:r/>
      <w:bookmarkEnd w:id="31"/>
      <w:r>
        <w:rPr>
          <w:rFonts w:hint="eastAsia" w:ascii="方正黑体_GBK" w:hAnsi="方正黑体_GBK" w:eastAsia="方正黑体_GBK" w:cs="方正黑体_GBK"/>
          <w:sz w:val="28"/>
          <w:szCs w:val="28"/>
        </w:rPr>
        <w:t xml:space="preserve">截止时间、开标时间和地点</w:t>
      </w:r>
      <w:bookmarkEnd w:id="32"/>
      <w:r/>
      <w:bookmarkEnd w:id="33"/>
      <w:r/>
      <w:bookmarkEnd w:id="34"/>
      <w:r>
        <w:rPr>
          <w:rFonts w:hint="eastAsia" w:ascii="方正黑体_GBK" w:hAnsi="方正黑体_GBK" w:eastAsia="方正黑体_GBK" w:cs="方正黑体_GBK"/>
          <w:sz w:val="28"/>
          <w:szCs w:val="28"/>
        </w:rPr>
      </w:r>
      <w:r/>
    </w:p>
    <w:p>
      <w:pPr>
        <w:pStyle w:val="944"/>
        <w:ind w:firstLine="560"/>
        <w:spacing w:line="400" w:lineRule="exact"/>
        <w:rPr>
          <w:rFonts w:ascii="宋体" w:hAnsi="宋体"/>
          <w:bCs/>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10</w:t>
      </w:r>
      <w:r>
        <w:rPr>
          <w:rFonts w:hint="eastAsia" w:ascii="方正仿宋_GBK" w:hAnsi="方正仿宋_GBK" w:eastAsia="方正仿宋_GBK" w:cs="方正仿宋_GBK"/>
          <w:bCs/>
          <w:sz w:val="28"/>
          <w:szCs w:val="28"/>
        </w:rPr>
        <w:t xml:space="preserve">月</w:t>
      </w:r>
      <w:r>
        <w:rPr>
          <w:rFonts w:hint="eastAsia" w:eastAsia="方正仿宋_GBK"/>
          <w:sz w:val="28"/>
          <w:szCs w:val="28"/>
        </w:rPr>
        <w:t xml:space="preserve">13</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sz w:val="28"/>
          <w:szCs w:val="28"/>
          <w:u w:val="single"/>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bookmarkEnd w:id="25"/>
      <w:r/>
      <w:bookmarkEnd w:id="26"/>
      <w:r/>
      <w:bookmarkEnd w:id="27"/>
      <w:r/>
      <w:bookmarkEnd w:id="28"/>
      <w:r/>
      <w:bookmarkEnd w:id="29"/>
      <w:r/>
      <w:bookmarkStart w:id="35" w:name="_Toc35393795"/>
      <w:r/>
      <w:bookmarkStart w:id="36" w:name="_Toc35393626"/>
      <w:r/>
      <w:bookmarkStart w:id="37" w:name="_Toc38985268"/>
      <w:r>
        <w:rPr>
          <w:rFonts w:hint="eastAsia" w:ascii="方正黑体_GBK" w:hAnsi="方正黑体_GBK" w:eastAsia="方正黑体_GBK" w:cs="方正黑体_GBK"/>
          <w:sz w:val="28"/>
          <w:szCs w:val="28"/>
        </w:rPr>
        <w:t xml:space="preserve">五、公告期限</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bookmarkEnd w:id="35"/>
      <w:r/>
      <w:bookmarkEnd w:id="36"/>
      <w:r/>
      <w:bookmarkEnd w:id="37"/>
      <w:r/>
      <w:bookmarkStart w:id="38" w:name="_Toc38985269"/>
      <w:r/>
      <w:bookmarkStart w:id="39" w:name="_Toc28359085"/>
      <w:r/>
      <w:bookmarkStart w:id="40" w:name="_Toc35393627"/>
      <w:r/>
      <w:bookmarkStart w:id="41" w:name="_Toc35393796"/>
      <w:r/>
      <w:bookmarkStart w:id="42" w:name="_Toc28359008"/>
      <w:r>
        <w:rPr>
          <w:rFonts w:hint="eastAsia" w:ascii="方正黑体_GBK" w:hAnsi="方正黑体_GBK" w:eastAsia="方正黑体_GBK" w:cs="方正黑体_GBK"/>
          <w:sz w:val="28"/>
          <w:szCs w:val="28"/>
        </w:rPr>
        <w:t xml:space="preserve">六、其他补充事宜</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bookmarkEnd w:id="38"/>
      <w:r/>
      <w:bookmarkEnd w:id="39"/>
      <w:r/>
      <w:bookmarkEnd w:id="40"/>
      <w:r/>
      <w:bookmarkEnd w:id="41"/>
      <w:r/>
      <w:bookmarkEnd w:id="42"/>
      <w:r>
        <w:rPr>
          <w:rFonts w:hint="eastAsia" w:ascii="方正黑体_GBK" w:hAnsi="方正黑体_GBK" w:eastAsia="方正黑体_GBK" w:cs="方正黑体_GBK"/>
          <w:sz w:val="28"/>
          <w:szCs w:val="28"/>
        </w:rPr>
        <w:t xml:space="preserve">七、本次招标联系方式</w:t>
      </w:r>
      <w:r/>
    </w:p>
    <w:p>
      <w:pPr>
        <w:pStyle w:val="944"/>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pStyle w:val="94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江苏省中医院</w:t>
      </w:r>
      <w:r>
        <w:rPr>
          <w:rFonts w:hint="eastAsia" w:ascii="方正仿宋_GBK" w:hAnsi="方正仿宋_GBK" w:eastAsia="方正仿宋_GBK" w:cs="方正仿宋_GBK"/>
          <w:sz w:val="28"/>
          <w:szCs w:val="28"/>
        </w:rPr>
      </w:r>
      <w:r/>
    </w:p>
    <w:p>
      <w:pPr>
        <w:pStyle w:val="94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南京市汉中路155号</w:t>
      </w:r>
      <w:r>
        <w:rPr>
          <w:rFonts w:hint="eastAsia" w:ascii="方正仿宋_GBK" w:hAnsi="方正仿宋_GBK" w:eastAsia="方正仿宋_GBK" w:cs="方正仿宋_GBK"/>
          <w:sz w:val="28"/>
          <w:szCs w:val="28"/>
        </w:rPr>
      </w:r>
      <w:r/>
    </w:p>
    <w:p>
      <w:pPr>
        <w:pStyle w:val="94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诸老师 </w:t>
      </w:r>
      <w:r>
        <w:rPr>
          <w:rFonts w:hint="eastAsia" w:ascii="方正仿宋_GBK" w:hAnsi="方正仿宋_GBK" w:eastAsia="方正仿宋_GBK" w:cs="方正仿宋_GBK"/>
          <w:sz w:val="28"/>
          <w:szCs w:val="28"/>
        </w:rPr>
      </w:r>
      <w:r/>
    </w:p>
    <w:p>
      <w:pPr>
        <w:pStyle w:val="944"/>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025-86558915</w:t>
      </w:r>
      <w:bookmarkStart w:id="43" w:name="_Toc28359086"/>
      <w:r/>
      <w:bookmarkStart w:id="44" w:name="_Toc28359009"/>
      <w:r>
        <w:rPr>
          <w:rFonts w:hint="eastAsia" w:ascii="方正仿宋_GBK" w:hAnsi="方正仿宋_GBK" w:eastAsia="方正仿宋_GBK" w:cs="方正仿宋_GBK"/>
          <w:sz w:val="28"/>
          <w:szCs w:val="28"/>
          <w:u w:val="single"/>
        </w:rPr>
      </w:r>
      <w:r/>
    </w:p>
    <w:p>
      <w:pPr>
        <w:pStyle w:val="94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3"/>
      <w:r/>
      <w:bookmarkEnd w:id="44"/>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南京市汉中门大街145号省政务中心二期3楼南区</w:t>
      </w: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张文怡、王烨</w:t>
      </w: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w:t>
      </w:r>
      <w:bookmarkStart w:id="45" w:name="_Toc28359010"/>
      <w:r/>
      <w:bookmarkStart w:id="46" w:name="_Toc28359087"/>
      <w:r>
        <w:rPr>
          <w:rFonts w:hint="eastAsia" w:ascii="方正仿宋_GBK" w:hAnsi="方正仿宋_GBK" w:eastAsia="方正仿宋_GBK" w:cs="方正仿宋_GBK"/>
          <w:sz w:val="28"/>
          <w:szCs w:val="28"/>
          <w:u w:val="single"/>
        </w:rPr>
        <w:t xml:space="preserve">025-83668505、025-83668550</w:t>
      </w:r>
      <w:r>
        <w:rPr>
          <w:rFonts w:hint="eastAsia" w:ascii="方正仿宋_GBK" w:hAnsi="方正仿宋_GBK" w:eastAsia="方正仿宋_GBK" w:cs="方正仿宋_GBK"/>
          <w:sz w:val="28"/>
          <w:szCs w:val="28"/>
        </w:rPr>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bookmarkEnd w:id="45"/>
      <w:r/>
      <w:bookmarkEnd w:id="46"/>
      <w:r>
        <w:rPr>
          <w:rFonts w:hint="eastAsia" w:ascii="方正黑体_GBK" w:hAnsi="方正黑体_GBK" w:eastAsia="方正黑体_GBK" w:cs="方正黑体_GBK"/>
          <w:sz w:val="28"/>
          <w:szCs w:val="28"/>
        </w:rPr>
        <w:t xml:space="preserve">八、其他</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944"/>
        <w:ind w:right="839"/>
        <w:jc w:val="center"/>
        <w:spacing w:line="400" w:lineRule="exact"/>
        <w:rPr>
          <w:rFonts w:hint="eastAsia" w:ascii="宋体" w:hAnsi="宋体"/>
          <w:sz w:val="28"/>
          <w:szCs w:val="28"/>
        </w:rPr>
      </w:pPr>
      <w:r>
        <w:rPr>
          <w:rFonts w:ascii="宋体" w:hAnsi="宋体"/>
          <w:sz w:val="24"/>
          <w:szCs w:val="24"/>
        </w:rPr>
        <w:br w:type="page" w:clear="all"/>
      </w:r>
      <w:bookmarkStart w:id="47" w:name="_Toc120614211"/>
      <w:r>
        <w:rPr>
          <w:rFonts w:hint="eastAsia" w:ascii="方正黑体_GBK" w:hAnsi="方正黑体_GBK" w:eastAsia="方正黑体_GBK" w:cs="方正黑体_GBK"/>
          <w:sz w:val="28"/>
          <w:szCs w:val="28"/>
        </w:rPr>
        <w:t xml:space="preserve">第二章  </w:t>
      </w:r>
      <w:bookmarkEnd w:id="1"/>
      <w:r/>
      <w:bookmarkEnd w:id="2"/>
      <w:r/>
      <w:bookmarkEnd w:id="3"/>
      <w:r/>
      <w:bookmarkEnd w:id="4"/>
      <w:r/>
      <w:bookmarkEnd w:id="5"/>
      <w:r/>
      <w:bookmarkEnd w:id="47"/>
      <w:r/>
      <w:bookmarkStart w:id="48" w:name="_Toc20823274"/>
      <w:r/>
      <w:bookmarkStart w:id="49" w:name="_Toc16938518"/>
      <w:r/>
      <w:bookmarkStart w:id="50" w:name="_Toc513029202"/>
      <w:r/>
      <w:bookmarkStart w:id="51" w:name="_Toc120614213"/>
      <w:r>
        <w:rPr>
          <w:rFonts w:hint="eastAsia" w:ascii="方正黑体_GBK" w:hAnsi="方正黑体_GBK" w:eastAsia="方正黑体_GBK" w:cs="方正黑体_GBK"/>
          <w:sz w:val="28"/>
          <w:szCs w:val="28"/>
        </w:rPr>
        <w:t xml:space="preserve">投标人须知</w:t>
      </w:r>
      <w:bookmarkEnd w:id="48"/>
      <w:r/>
      <w:bookmarkEnd w:id="49"/>
      <w:r/>
      <w:bookmarkEnd w:id="50"/>
      <w:r/>
      <w:bookmarkEnd w:id="51"/>
      <w:r>
        <w:rPr>
          <w:rFonts w:hint="eastAsia" w:ascii="宋体" w:hAnsi="宋体"/>
          <w:sz w:val="28"/>
          <w:szCs w:val="28"/>
        </w:rPr>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一、总则</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944"/>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二、招标文件</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944"/>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bookmarkStart w:id="52" w:name="_Toc20823285"/>
      <w:r/>
      <w:bookmarkStart w:id="53" w:name="_Toc513029213"/>
      <w:r/>
      <w:bookmarkStart w:id="54" w:name="_Toc462564072"/>
      <w:r/>
      <w:bookmarkStart w:id="55" w:name="_Toc120614216"/>
      <w:r/>
      <w:bookmarkStart w:id="56" w:name="_Toc16938529"/>
      <w:r>
        <w:rPr>
          <w:rFonts w:hint="eastAsia" w:ascii="方正黑体_GBK" w:hAnsi="方正黑体_GBK" w:eastAsia="方正黑体_GBK" w:cs="方正黑体_GBK"/>
          <w:sz w:val="28"/>
          <w:szCs w:val="28"/>
        </w:rPr>
        <w:t xml:space="preserve">三、投标文件的编制</w:t>
      </w:r>
      <w:bookmarkEnd w:id="52"/>
      <w:r/>
      <w:bookmarkEnd w:id="53"/>
      <w:r/>
      <w:bookmarkEnd w:id="54"/>
      <w:r/>
      <w:bookmarkEnd w:id="55"/>
      <w:r/>
      <w:bookmarkEnd w:id="56"/>
      <w:r>
        <w:rPr>
          <w:rFonts w:hint="eastAsia" w:ascii="方正黑体_GBK" w:hAnsi="方正黑体_GBK" w:eastAsia="方正黑体_GBK" w:cs="方正黑体_GBK"/>
          <w:sz w:val="28"/>
          <w:szCs w:val="28"/>
        </w:rPr>
      </w:r>
      <w:r/>
    </w:p>
    <w:p>
      <w:pPr>
        <w:pStyle w:val="948"/>
        <w:ind w:firstLine="560"/>
        <w:spacing w:before="0" w:after="0" w:line="400" w:lineRule="exact"/>
        <w:rPr>
          <w:rFonts w:hint="eastAsia" w:ascii="方正仿宋_GBK" w:hAnsi="方正仿宋_GBK" w:eastAsia="方正仿宋_GBK" w:cs="方正仿宋_GBK"/>
          <w:bCs w:val="0"/>
        </w:rPr>
      </w:pPr>
      <w:r/>
      <w:bookmarkStart w:id="57" w:name="_Toc20823286"/>
      <w:r/>
      <w:bookmarkStart w:id="58" w:name="_Toc16938530"/>
      <w:r/>
      <w:bookmarkStart w:id="59" w:name="_Toc462564073"/>
      <w:r/>
      <w:bookmarkStart w:id="60" w:name="_Toc513029214"/>
      <w:r>
        <w:rPr>
          <w:rFonts w:hint="eastAsia" w:ascii="方正仿宋_GBK" w:hAnsi="方正仿宋_GBK" w:eastAsia="方正仿宋_GBK" w:cs="方正仿宋_GBK"/>
          <w:b w:val="0"/>
          <w:bCs w:val="0"/>
        </w:rPr>
        <w:t xml:space="preserve">8.投标文件的语言及度量衡单位</w:t>
      </w:r>
      <w:bookmarkEnd w:id="57"/>
      <w:r/>
      <w:bookmarkEnd w:id="58"/>
      <w:r/>
      <w:bookmarkEnd w:id="59"/>
      <w:r/>
      <w:bookmarkEnd w:id="60"/>
      <w:r>
        <w:rPr>
          <w:rFonts w:hint="eastAsia" w:ascii="方正仿宋_GBK" w:hAnsi="方正仿宋_GBK" w:eastAsia="方正仿宋_GBK" w:cs="方正仿宋_GBK"/>
          <w:bCs w:val="0"/>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948"/>
        <w:ind w:firstLine="560"/>
        <w:spacing w:before="0" w:after="0" w:line="400" w:lineRule="exact"/>
        <w:rPr>
          <w:rFonts w:hint="eastAsia" w:ascii="方正仿宋_GBK" w:hAnsi="方正仿宋_GBK" w:eastAsia="方正仿宋_GBK" w:cs="方正仿宋_GBK"/>
          <w:b w:val="0"/>
          <w:bCs w:val="0"/>
        </w:rPr>
      </w:pPr>
      <w:r/>
      <w:bookmarkStart w:id="61" w:name="_Toc513029215"/>
      <w:r/>
      <w:bookmarkStart w:id="62" w:name="_Toc20823287"/>
      <w:r/>
      <w:bookmarkStart w:id="63" w:name="_Toc462564074"/>
      <w:r/>
      <w:bookmarkStart w:id="64" w:name="_Toc16938531"/>
      <w:r>
        <w:rPr>
          <w:rFonts w:hint="eastAsia" w:ascii="方正仿宋_GBK" w:hAnsi="方正仿宋_GBK" w:eastAsia="方正仿宋_GBK" w:cs="方正仿宋_GBK"/>
          <w:b w:val="0"/>
          <w:bCs w:val="0"/>
        </w:rPr>
        <w:t xml:space="preserve">9.投标文件构成</w:t>
      </w:r>
      <w:bookmarkEnd w:id="61"/>
      <w:r/>
      <w:bookmarkEnd w:id="62"/>
      <w:r/>
      <w:bookmarkEnd w:id="63"/>
      <w:r/>
      <w:bookmarkEnd w:id="64"/>
      <w:r>
        <w:rPr>
          <w:rFonts w:hint="eastAsia" w:ascii="方正仿宋_GBK" w:hAnsi="方正仿宋_GBK" w:eastAsia="方正仿宋_GBK" w:cs="方正仿宋_GBK"/>
          <w:b w:val="0"/>
          <w:bCs w:val="0"/>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948"/>
        <w:ind w:firstLine="560"/>
        <w:spacing w:before="0" w:after="0" w:line="400" w:lineRule="exact"/>
        <w:rPr>
          <w:rFonts w:hint="eastAsia" w:ascii="方正仿宋_GBK" w:hAnsi="方正仿宋_GBK" w:eastAsia="方正仿宋_GBK" w:cs="方正仿宋_GBK"/>
          <w:b w:val="0"/>
          <w:bCs w:val="0"/>
        </w:rPr>
      </w:pPr>
      <w:r/>
      <w:bookmarkStart w:id="65" w:name="_Hlt26668975"/>
      <w:r/>
      <w:bookmarkEnd w:id="65"/>
      <w:r/>
      <w:bookmarkStart w:id="66" w:name="_Hlt26954838"/>
      <w:r/>
      <w:bookmarkEnd w:id="66"/>
      <w:r/>
      <w:bookmarkStart w:id="67" w:name="_Hlt26670360"/>
      <w:r/>
      <w:bookmarkEnd w:id="67"/>
      <w:r/>
      <w:bookmarkStart w:id="68" w:name="_Toc49090509"/>
      <w:r/>
      <w:bookmarkStart w:id="69" w:name="_Toc14577357"/>
      <w:r/>
      <w:bookmarkStart w:id="70" w:name="_Toc513029219"/>
      <w:r/>
      <w:bookmarkStart w:id="71" w:name="_Toc513029216"/>
      <w:r/>
      <w:bookmarkStart w:id="72" w:name="_Toc49090507"/>
      <w:r/>
      <w:bookmarkStart w:id="73" w:name="_Toc14577354"/>
      <w:r>
        <w:rPr>
          <w:rFonts w:hint="eastAsia" w:ascii="方正仿宋_GBK" w:hAnsi="方正仿宋_GBK" w:eastAsia="方正仿宋_GBK" w:cs="方正仿宋_GBK"/>
          <w:b w:val="0"/>
          <w:bCs w:val="0"/>
        </w:rPr>
        <w:t xml:space="preserve">10.证明投标人及投标标的符合招标文件规定的文件</w:t>
      </w:r>
      <w:bookmarkEnd w:id="68"/>
      <w:r/>
      <w:bookmarkEnd w:id="69"/>
      <w:r/>
      <w:bookmarkEnd w:id="70"/>
      <w:r>
        <w:rPr>
          <w:rFonts w:hint="eastAsia" w:ascii="方正仿宋_GBK" w:hAnsi="方正仿宋_GBK" w:eastAsia="方正仿宋_GBK" w:cs="方正仿宋_GBK"/>
          <w:b w:val="0"/>
          <w:bCs w:val="0"/>
        </w:rPr>
      </w:r>
      <w:r/>
    </w:p>
    <w:p>
      <w:pPr>
        <w:pStyle w:val="944"/>
        <w:ind w:firstLine="560"/>
        <w:spacing w:line="400" w:lineRule="exact"/>
        <w:rPr>
          <w:rFonts w:hint="eastAsia" w:ascii="方正仿宋_GBK" w:hAnsi="方正仿宋_GBK" w:eastAsia="方正仿宋_GBK" w:cs="方正仿宋_GBK"/>
          <w:sz w:val="28"/>
          <w:szCs w:val="28"/>
        </w:rPr>
      </w:pPr>
      <w:r/>
      <w:bookmarkEnd w:id="71"/>
      <w:r/>
      <w:bookmarkEnd w:id="72"/>
      <w:r/>
      <w:bookmarkEnd w:id="73"/>
      <w:r/>
      <w:bookmarkStart w:id="74" w:name="_Toc14577355"/>
      <w:r/>
      <w:bookmarkStart w:id="75"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948"/>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4"/>
      <w:r/>
      <w:bookmarkStart w:id="76" w:name="_Hlt26670373"/>
      <w:r/>
      <w:bookmarkEnd w:id="76"/>
      <w:r>
        <w:rPr>
          <w:rFonts w:hint="eastAsia" w:ascii="方正仿宋_GBK" w:hAnsi="方正仿宋_GBK" w:eastAsia="方正仿宋_GBK" w:cs="方正仿宋_GBK"/>
          <w:b w:val="0"/>
          <w:bCs w:val="0"/>
        </w:rPr>
        <w:t xml:space="preserve">表</w:t>
      </w:r>
      <w:bookmarkEnd w:id="75"/>
      <w:r>
        <w:rPr>
          <w:rFonts w:hint="eastAsia" w:ascii="方正仿宋_GBK" w:hAnsi="方正仿宋_GBK" w:eastAsia="方正仿宋_GBK" w:cs="方正仿宋_GBK"/>
          <w:b w:val="0"/>
          <w:bCs w:val="0"/>
        </w:rPr>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7" w:name="_Hlt26954840"/>
      <w:r/>
      <w:bookmarkEnd w:id="77"/>
      <w:r>
        <w:rPr>
          <w:rFonts w:hint="eastAsia" w:ascii="方正仿宋_GBK" w:hAnsi="方正仿宋_GBK" w:eastAsia="方正仿宋_GBK" w:cs="方正仿宋_GBK"/>
          <w:sz w:val="28"/>
          <w:szCs w:val="28"/>
        </w:rPr>
        <w:t xml:space="preserve">标人按照招标文件规定格式填报投标分项报价表</w:t>
      </w:r>
      <w:bookmarkStart w:id="78" w:name="_Hlt26670399"/>
      <w:r/>
      <w:bookmarkEnd w:id="78"/>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48"/>
        <w:ind w:firstLine="560"/>
        <w:spacing w:before="0" w:after="0" w:line="400" w:lineRule="exact"/>
        <w:rPr>
          <w:rFonts w:hint="eastAsia" w:ascii="方正仿宋_GBK" w:hAnsi="方正仿宋_GBK" w:eastAsia="方正仿宋_GBK" w:cs="方正仿宋_GBK"/>
          <w:b w:val="0"/>
          <w:bCs w:val="0"/>
        </w:rPr>
      </w:pPr>
      <w:r/>
      <w:bookmarkStart w:id="79" w:name="_Hlt26670403"/>
      <w:r/>
      <w:bookmarkEnd w:id="79"/>
      <w:r/>
      <w:bookmarkStart w:id="80" w:name="_Hlt26670486"/>
      <w:r/>
      <w:bookmarkEnd w:id="80"/>
      <w:r/>
      <w:bookmarkStart w:id="81" w:name="_Hlt26670425"/>
      <w:r/>
      <w:bookmarkEnd w:id="81"/>
      <w:r/>
      <w:bookmarkStart w:id="82" w:name="_Hlt26954842"/>
      <w:r/>
      <w:bookmarkEnd w:id="82"/>
      <w:r/>
      <w:bookmarkStart w:id="83" w:name="_Hlt26670482"/>
      <w:r/>
      <w:bookmarkEnd w:id="83"/>
      <w:r/>
      <w:bookmarkStart w:id="84" w:name="_Hlt26954844"/>
      <w:r/>
      <w:bookmarkEnd w:id="84"/>
      <w:r/>
      <w:bookmarkStart w:id="85" w:name="_Hlt26954846"/>
      <w:r/>
      <w:bookmarkEnd w:id="85"/>
      <w:r/>
      <w:bookmarkStart w:id="86" w:name="_Hlt26954731"/>
      <w:r/>
      <w:bookmarkEnd w:id="86"/>
      <w:r/>
      <w:bookmarkStart w:id="87" w:name="_Hlt26954848"/>
      <w:r/>
      <w:bookmarkEnd w:id="87"/>
      <w:r/>
      <w:bookmarkStart w:id="88" w:name="_Hlt26668983"/>
      <w:r/>
      <w:bookmarkEnd w:id="88"/>
      <w:r>
        <w:rPr>
          <w:rFonts w:hint="eastAsia" w:ascii="方正仿宋_GBK" w:hAnsi="方正仿宋_GBK" w:eastAsia="方正仿宋_GBK" w:cs="方正仿宋_GBK"/>
          <w:b w:val="0"/>
          <w:bCs w:val="0"/>
        </w:rPr>
        <w:t xml:space="preserve">12.技术要求响应及偏离表、商务要求响应及偏离表</w:t>
      </w:r>
      <w:r/>
    </w:p>
    <w:p>
      <w:pPr>
        <w:pStyle w:val="944"/>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pStyle w:val="944"/>
        <w:ind w:firstLine="560"/>
        <w:spacing w:line="400" w:lineRule="exact"/>
        <w:rPr>
          <w:rFonts w:hint="eastAsia" w:ascii="方正仿宋_GBK" w:hAnsi="方正仿宋_GBK" w:eastAsia="方正仿宋_GBK" w:cs="方正仿宋_GBK"/>
          <w:sz w:val="28"/>
          <w:szCs w:val="28"/>
          <w:lang w:val="zh-CN"/>
        </w:rPr>
      </w:pPr>
      <w:r/>
      <w:bookmarkStart w:id="89" w:name="_Toc49090510"/>
      <w:r/>
      <w:bookmarkStart w:id="90"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948"/>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48"/>
        <w:ind w:firstLine="560"/>
        <w:spacing w:before="0" w:after="0" w:line="400" w:lineRule="exact"/>
        <w:rPr>
          <w:rFonts w:hint="eastAsia" w:ascii="方正仿宋_GBK" w:hAnsi="方正仿宋_GBK" w:eastAsia="方正仿宋_GBK" w:cs="方正仿宋_GBK"/>
          <w:b w:val="0"/>
          <w:bCs w:val="0"/>
        </w:rPr>
      </w:pPr>
      <w:r/>
      <w:bookmarkEnd w:id="89"/>
      <w:r/>
      <w:bookmarkEnd w:id="90"/>
      <w:r/>
      <w:bookmarkStart w:id="91" w:name="_Hlt26954734"/>
      <w:r/>
      <w:bookmarkEnd w:id="91"/>
      <w:r/>
      <w:bookmarkStart w:id="92" w:name="_Hlt26670489"/>
      <w:r/>
      <w:bookmarkEnd w:id="92"/>
      <w:r/>
      <w:bookmarkStart w:id="93" w:name="_Hlt26954850"/>
      <w:r/>
      <w:bookmarkEnd w:id="93"/>
      <w:r/>
      <w:bookmarkStart w:id="94" w:name="_Toc14577360"/>
      <w:r/>
      <w:bookmarkStart w:id="95" w:name="_Toc49090511"/>
      <w:r>
        <w:rPr>
          <w:rFonts w:hint="eastAsia" w:ascii="方正仿宋_GBK" w:hAnsi="方正仿宋_GBK" w:eastAsia="方正仿宋_GBK" w:cs="方正仿宋_GBK"/>
          <w:b w:val="0"/>
          <w:bCs w:val="0"/>
        </w:rPr>
        <w:t xml:space="preserve">14.投标有效期</w:t>
      </w:r>
      <w:bookmarkEnd w:id="94"/>
      <w:r/>
      <w:bookmarkEnd w:id="95"/>
      <w:r>
        <w:rPr>
          <w:rFonts w:hint="eastAsia" w:ascii="方正仿宋_GBK" w:hAnsi="方正仿宋_GBK" w:eastAsia="方正仿宋_GBK" w:cs="方正仿宋_GBK"/>
          <w:b w:val="0"/>
          <w:bCs w:val="0"/>
        </w:rPr>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948"/>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bookmarkStart w:id="96" w:name="_Hlt26954739"/>
      <w:r/>
      <w:bookmarkEnd w:id="96"/>
      <w:r/>
      <w:bookmarkStart w:id="97" w:name="_Hlt26954852"/>
      <w:r/>
      <w:bookmarkEnd w:id="97"/>
      <w:r/>
      <w:bookmarkStart w:id="98" w:name="_Toc20823296"/>
      <w:r/>
      <w:bookmarkStart w:id="99" w:name="_Toc120614217"/>
      <w:r/>
      <w:bookmarkStart w:id="100" w:name="_Toc513029224"/>
      <w:r/>
      <w:bookmarkStart w:id="101" w:name="_Toc16938540"/>
      <w:r>
        <w:rPr>
          <w:rFonts w:hint="eastAsia" w:ascii="方正黑体_GBK" w:hAnsi="方正黑体_GBK" w:eastAsia="方正黑体_GBK" w:cs="方正黑体_GBK"/>
          <w:sz w:val="28"/>
          <w:szCs w:val="28"/>
        </w:rPr>
        <w:t xml:space="preserve">四、投标文件的递交</w:t>
      </w:r>
      <w:bookmarkEnd w:id="98"/>
      <w:r/>
      <w:bookmarkEnd w:id="99"/>
      <w:r/>
      <w:bookmarkEnd w:id="100"/>
      <w:r/>
      <w:bookmarkEnd w:id="101"/>
      <w:r>
        <w:rPr>
          <w:rFonts w:hint="eastAsia" w:ascii="方正黑体_GBK" w:hAnsi="方正黑体_GBK" w:eastAsia="方正黑体_GBK" w:cs="方正黑体_GBK"/>
          <w:sz w:val="28"/>
          <w:szCs w:val="28"/>
        </w:rPr>
      </w:r>
      <w:r/>
    </w:p>
    <w:p>
      <w:pPr>
        <w:pStyle w:val="948"/>
        <w:ind w:firstLine="560"/>
        <w:spacing w:before="0" w:after="0" w:line="400" w:lineRule="exact"/>
        <w:rPr>
          <w:rFonts w:hint="eastAsia" w:ascii="方正仿宋_GBK" w:hAnsi="方正仿宋_GBK" w:eastAsia="方正仿宋_GBK" w:cs="方正仿宋_GBK"/>
          <w:b w:val="0"/>
          <w:bCs w:val="0"/>
        </w:rPr>
      </w:pPr>
      <w:r/>
      <w:bookmarkStart w:id="102" w:name="_Toc20823297"/>
      <w:r/>
      <w:bookmarkStart w:id="103" w:name="_Toc513029225"/>
      <w:r/>
      <w:bookmarkStart w:id="104" w:name="_Toc462564084"/>
      <w:r/>
      <w:bookmarkStart w:id="105" w:name="_Toc16938541"/>
      <w:r>
        <w:rPr>
          <w:rFonts w:hint="eastAsia" w:ascii="方正仿宋_GBK" w:hAnsi="方正仿宋_GBK" w:eastAsia="方正仿宋_GBK" w:cs="方正仿宋_GBK"/>
          <w:b w:val="0"/>
          <w:bCs w:val="0"/>
        </w:rPr>
        <w:t xml:space="preserve">16.投标文件</w:t>
      </w:r>
      <w:bookmarkEnd w:id="102"/>
      <w:r/>
      <w:bookmarkEnd w:id="103"/>
      <w:r/>
      <w:bookmarkEnd w:id="104"/>
      <w:r/>
      <w:bookmarkEnd w:id="105"/>
      <w:r>
        <w:rPr>
          <w:rFonts w:hint="eastAsia" w:ascii="方正仿宋_GBK" w:hAnsi="方正仿宋_GBK" w:eastAsia="方正仿宋_GBK" w:cs="方正仿宋_GBK"/>
          <w:b w:val="0"/>
          <w:bCs w:val="0"/>
        </w:rPr>
        <w:t xml:space="preserve">的递交</w:t>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105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6" w:name="_Toc16938542"/>
      <w:r/>
      <w:bookmarkStart w:id="107" w:name="_Toc513029226"/>
      <w:r/>
      <w:bookmarkStart w:id="108" w:name="_Toc20823298"/>
      <w:r>
        <w:rPr>
          <w:rFonts w:hint="eastAsia" w:ascii="方正仿宋_GBK" w:hAnsi="方正仿宋_GBK" w:eastAsia="方正仿宋_GBK" w:cs="方正仿宋_GBK"/>
          <w:bCs/>
          <w:sz w:val="28"/>
          <w:szCs w:val="28"/>
        </w:rPr>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6"/>
      <w:r/>
      <w:bookmarkEnd w:id="107"/>
      <w:r/>
      <w:bookmarkEnd w:id="108"/>
      <w:r>
        <w:rPr>
          <w:rFonts w:hint="eastAsia" w:ascii="方正仿宋_GBK" w:hAnsi="方正仿宋_GBK" w:eastAsia="方正仿宋_GBK" w:cs="方正仿宋_GBK"/>
          <w:bCs/>
          <w:sz w:val="28"/>
          <w:szCs w:val="28"/>
        </w:rPr>
        <w:t xml:space="preserve">时间</w:t>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948"/>
        <w:ind w:firstLine="560"/>
        <w:spacing w:before="0" w:after="0" w:line="400" w:lineRule="exact"/>
        <w:rPr>
          <w:rFonts w:hint="eastAsia" w:ascii="方正仿宋_GBK" w:hAnsi="方正仿宋_GBK" w:eastAsia="方正仿宋_GBK" w:cs="方正仿宋_GBK"/>
          <w:b w:val="0"/>
          <w:bCs w:val="0"/>
        </w:rPr>
      </w:pPr>
      <w:r/>
      <w:bookmarkStart w:id="109" w:name="_Toc16938543"/>
      <w:r/>
      <w:bookmarkStart w:id="110" w:name="_Toc513029227"/>
      <w:r/>
      <w:bookmarkStart w:id="111" w:name="_Toc20823299"/>
      <w:r>
        <w:rPr>
          <w:rFonts w:hint="eastAsia" w:ascii="方正仿宋_GBK" w:hAnsi="方正仿宋_GBK" w:eastAsia="方正仿宋_GBK" w:cs="方正仿宋_GBK"/>
          <w:b w:val="0"/>
          <w:bCs w:val="0"/>
        </w:rPr>
        <w:t xml:space="preserve">18.投标文件</w:t>
      </w:r>
      <w:bookmarkEnd w:id="109"/>
      <w:r/>
      <w:bookmarkEnd w:id="110"/>
      <w:r/>
      <w:bookmarkEnd w:id="111"/>
      <w:r>
        <w:rPr>
          <w:rFonts w:hint="eastAsia" w:ascii="方正仿宋_GBK" w:hAnsi="方正仿宋_GBK" w:eastAsia="方正仿宋_GBK" w:cs="方正仿宋_GBK"/>
          <w:b w:val="0"/>
          <w:bCs w:val="0"/>
        </w:rPr>
        <w:t xml:space="preserve">的拒收</w:t>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948"/>
        <w:ind w:firstLine="560"/>
        <w:spacing w:before="0" w:after="0" w:line="400" w:lineRule="exact"/>
        <w:rPr>
          <w:rFonts w:hint="eastAsia" w:ascii="方正仿宋_GBK" w:hAnsi="方正仿宋_GBK" w:eastAsia="方正仿宋_GBK" w:cs="方正仿宋_GBK"/>
          <w:b w:val="0"/>
          <w:bCs w:val="0"/>
        </w:rPr>
      </w:pPr>
      <w:r/>
      <w:bookmarkStart w:id="112" w:name="_Toc16938544"/>
      <w:r/>
      <w:bookmarkStart w:id="113" w:name="_Toc513029228"/>
      <w:r/>
      <w:bookmarkStart w:id="114" w:name="_Toc20823300"/>
      <w:r>
        <w:rPr>
          <w:rFonts w:hint="eastAsia" w:ascii="方正仿宋_GBK" w:hAnsi="方正仿宋_GBK" w:eastAsia="方正仿宋_GBK" w:cs="方正仿宋_GBK"/>
          <w:b w:val="0"/>
          <w:bCs w:val="0"/>
        </w:rPr>
        <w:t xml:space="preserve">19.投标文件的撤回和修改</w:t>
      </w:r>
      <w:bookmarkEnd w:id="112"/>
      <w:r/>
      <w:bookmarkEnd w:id="113"/>
      <w:r/>
      <w:bookmarkEnd w:id="114"/>
      <w:r>
        <w:rPr>
          <w:rFonts w:hint="eastAsia" w:ascii="方正仿宋_GBK" w:hAnsi="方正仿宋_GBK" w:eastAsia="方正仿宋_GBK" w:cs="方正仿宋_GBK"/>
          <w:b w:val="0"/>
          <w:bCs w:val="0"/>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bookmarkStart w:id="115" w:name="_Toc20823301"/>
      <w:r/>
      <w:bookmarkStart w:id="116" w:name="_Toc16938545"/>
      <w:r/>
      <w:bookmarkStart w:id="117" w:name="_Toc120614218"/>
      <w:r/>
      <w:bookmarkStart w:id="118" w:name="_Toc513029229"/>
      <w:r>
        <w:rPr>
          <w:rFonts w:hint="eastAsia" w:ascii="方正黑体_GBK" w:hAnsi="方正黑体_GBK" w:eastAsia="方正黑体_GBK" w:cs="方正黑体_GBK"/>
          <w:sz w:val="28"/>
          <w:szCs w:val="28"/>
        </w:rPr>
        <w:t xml:space="preserve">五、开标与评标</w:t>
      </w:r>
      <w:bookmarkEnd w:id="115"/>
      <w:r/>
      <w:bookmarkEnd w:id="116"/>
      <w:r/>
      <w:bookmarkEnd w:id="117"/>
      <w:r/>
      <w:bookmarkEnd w:id="118"/>
      <w:r>
        <w:rPr>
          <w:rFonts w:hint="eastAsia" w:ascii="方正黑体_GBK" w:hAnsi="方正黑体_GBK" w:eastAsia="方正黑体_GBK" w:cs="方正黑体_GBK"/>
          <w:sz w:val="28"/>
          <w:szCs w:val="28"/>
        </w:rPr>
      </w:r>
      <w:r/>
    </w:p>
    <w:p>
      <w:pPr>
        <w:pStyle w:val="944"/>
        <w:ind w:firstLine="560"/>
        <w:spacing w:line="400" w:lineRule="exact"/>
        <w:rPr>
          <w:rFonts w:hint="eastAsia" w:ascii="方正仿宋_GBK" w:hAnsi="方正仿宋_GBK" w:eastAsia="方正仿宋_GBK" w:cs="方正仿宋_GBK"/>
          <w:sz w:val="28"/>
          <w:szCs w:val="28"/>
        </w:rPr>
      </w:pPr>
      <w:r/>
      <w:bookmarkStart w:id="119" w:name="_Toc20823302"/>
      <w:r/>
      <w:bookmarkStart w:id="120" w:name="_Toc513029230"/>
      <w:r/>
      <w:bookmarkStart w:id="121" w:name="_Toc16938546"/>
      <w:r>
        <w:rPr>
          <w:rFonts w:hint="eastAsia" w:ascii="方正仿宋_GBK" w:hAnsi="方正仿宋_GBK" w:eastAsia="方正仿宋_GBK" w:cs="方正仿宋_GBK"/>
          <w:sz w:val="28"/>
          <w:szCs w:val="28"/>
        </w:rPr>
        <w:t xml:space="preserve">20.开标</w:t>
      </w:r>
      <w:bookmarkEnd w:id="119"/>
      <w:r/>
      <w:bookmarkEnd w:id="120"/>
      <w:r/>
      <w:bookmarkEnd w:id="121"/>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pStyle w:val="944"/>
        <w:ind w:firstLine="560"/>
        <w:spacing w:line="400" w:lineRule="exact"/>
        <w:rPr>
          <w:rFonts w:hint="eastAsia" w:ascii="方正仿宋_GBK" w:hAnsi="方正仿宋_GBK" w:eastAsia="方正仿宋_GBK" w:cs="方正仿宋_GBK"/>
          <w:sz w:val="28"/>
          <w:szCs w:val="28"/>
        </w:rPr>
      </w:pPr>
      <w:r/>
      <w:bookmarkStart w:id="122" w:name="_Toc513029231"/>
      <w:r/>
      <w:bookmarkStart w:id="123" w:name="_Toc16938547"/>
      <w:r/>
      <w:bookmarkStart w:id="124" w:name="_Toc20823303"/>
      <w:r>
        <w:rPr>
          <w:rFonts w:hint="eastAsia" w:ascii="方正仿宋_GBK" w:hAnsi="方正仿宋_GBK" w:eastAsia="方正仿宋_GBK" w:cs="方正仿宋_GBK"/>
          <w:sz w:val="28"/>
          <w:szCs w:val="28"/>
        </w:rPr>
        <w:t xml:space="preserve">21.评标委员会</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p>
    <w:p>
      <w:pPr>
        <w:pStyle w:val="944"/>
        <w:ind w:firstLine="560"/>
        <w:spacing w:line="400" w:lineRule="exact"/>
        <w:rPr>
          <w:rFonts w:hint="eastAsia" w:ascii="方正仿宋_GBK" w:hAnsi="方正仿宋_GBK" w:eastAsia="方正仿宋_GBK" w:cs="方正仿宋_GBK"/>
          <w:sz w:val="28"/>
          <w:szCs w:val="28"/>
        </w:rPr>
      </w:pPr>
      <w:r/>
      <w:bookmarkEnd w:id="122"/>
      <w:r/>
      <w:bookmarkEnd w:id="123"/>
      <w:r/>
      <w:bookmarkEnd w:id="124"/>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pStyle w:val="944"/>
        <w:ind w:firstLine="560"/>
        <w:spacing w:line="400" w:lineRule="exact"/>
        <w:rPr>
          <w:rFonts w:hint="eastAsia" w:ascii="方正仿宋_GBK" w:hAnsi="方正仿宋_GBK" w:eastAsia="方正仿宋_GBK" w:cs="方正仿宋_GBK"/>
          <w:sz w:val="28"/>
          <w:szCs w:val="28"/>
        </w:rPr>
      </w:pPr>
      <w:r/>
      <w:bookmarkStart w:id="125" w:name="_Toc16938548"/>
      <w:r/>
      <w:bookmarkStart w:id="126" w:name="_Toc513029232"/>
      <w:r/>
      <w:bookmarkStart w:id="127" w:name="_Toc20823304"/>
      <w:r>
        <w:rPr>
          <w:rFonts w:hint="eastAsia" w:ascii="方正仿宋_GBK" w:hAnsi="方正仿宋_GBK" w:eastAsia="方正仿宋_GBK" w:cs="方正仿宋_GBK"/>
          <w:sz w:val="28"/>
          <w:szCs w:val="28"/>
        </w:rPr>
        <w:t xml:space="preserve">23.投标文件的澄清</w:t>
      </w:r>
      <w:bookmarkEnd w:id="125"/>
      <w:r/>
      <w:bookmarkEnd w:id="126"/>
      <w:r/>
      <w:bookmarkEnd w:id="127"/>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pStyle w:val="944"/>
        <w:ind w:firstLine="560"/>
        <w:spacing w:line="400" w:lineRule="exact"/>
        <w:rPr>
          <w:rFonts w:hint="eastAsia" w:ascii="方正仿宋_GBK" w:hAnsi="方正仿宋_GBK" w:eastAsia="方正仿宋_GBK" w:cs="方正仿宋_GBK"/>
          <w:sz w:val="28"/>
          <w:szCs w:val="28"/>
        </w:rPr>
      </w:pPr>
      <w:r/>
      <w:bookmarkStart w:id="128" w:name="_Toc513029233"/>
      <w:r/>
      <w:bookmarkStart w:id="129" w:name="_Toc16938549"/>
      <w:r/>
      <w:bookmarkStart w:id="130" w:name="_Toc20823305"/>
      <w:r>
        <w:rPr>
          <w:rFonts w:hint="eastAsia" w:ascii="方正仿宋_GBK" w:hAnsi="方正仿宋_GBK" w:eastAsia="方正仿宋_GBK" w:cs="方正仿宋_GBK"/>
          <w:sz w:val="28"/>
          <w:szCs w:val="28"/>
        </w:rPr>
        <w:t xml:space="preserve">24.对投标文件的初审</w:t>
      </w:r>
      <w:bookmarkEnd w:id="128"/>
      <w:r/>
      <w:bookmarkEnd w:id="129"/>
      <w:r/>
      <w:bookmarkEnd w:id="130"/>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944"/>
        <w:ind w:firstLine="560"/>
        <w:spacing w:line="400" w:lineRule="exact"/>
        <w:rPr>
          <w:rFonts w:hint="eastAsia" w:ascii="方正仿宋_GBK" w:hAnsi="方正仿宋_GBK" w:eastAsia="方正仿宋_GBK" w:cs="方正仿宋_GBK"/>
          <w:sz w:val="28"/>
          <w:szCs w:val="28"/>
        </w:rPr>
      </w:pPr>
      <w:r/>
      <w:bookmarkStart w:id="131" w:name="_Toc513029234"/>
      <w:r/>
      <w:bookmarkStart w:id="132" w:name="_Toc16938550"/>
      <w:r/>
      <w:bookmarkStart w:id="133" w:name="_Toc20823306"/>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pStyle w:val="944"/>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31"/>
      <w:r/>
      <w:bookmarkEnd w:id="132"/>
      <w:r/>
      <w:bookmarkEnd w:id="133"/>
      <w:r>
        <w:rPr>
          <w:rFonts w:hint="eastAsia" w:ascii="方正仿宋_GBK" w:hAnsi="方正仿宋_GBK" w:eastAsia="方正仿宋_GBK" w:cs="方正仿宋_GBK"/>
          <w:sz w:val="28"/>
          <w:szCs w:val="28"/>
        </w:rPr>
        <w:t xml:space="preserve">.无效投标条款和废标条款</w:t>
      </w:r>
      <w:r/>
    </w:p>
    <w:p>
      <w:pPr>
        <w:pStyle w:val="944"/>
        <w:ind w:firstLine="560"/>
        <w:spacing w:line="400" w:lineRule="exact"/>
        <w:rPr>
          <w:rFonts w:hint="eastAsia" w:ascii="方正仿宋_GBK" w:hAnsi="方正仿宋_GBK" w:eastAsia="方正仿宋_GBK" w:cs="方正仿宋_GBK"/>
          <w:sz w:val="28"/>
          <w:szCs w:val="28"/>
        </w:rPr>
      </w:pPr>
      <w:r/>
      <w:bookmarkStart w:id="134" w:name="_Toc513029235"/>
      <w:r/>
      <w:bookmarkStart w:id="135" w:name="_Toc16938551"/>
      <w:r/>
      <w:bookmarkStart w:id="136" w:name="_Toc20823307"/>
      <w:r>
        <w:rPr>
          <w:rFonts w:hint="eastAsia" w:ascii="方正仿宋_GBK" w:hAnsi="方正仿宋_GBK" w:eastAsia="方正仿宋_GBK" w:cs="方正仿宋_GBK"/>
          <w:sz w:val="28"/>
          <w:szCs w:val="28"/>
        </w:rPr>
        <w:t xml:space="preserve">25.1无效投标条款</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pStyle w:val="944"/>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pStyle w:val="944"/>
        <w:ind w:firstLine="560"/>
        <w:spacing w:line="400" w:lineRule="exact"/>
        <w:rPr>
          <w:rFonts w:hint="eastAsia" w:ascii="方正仿宋_GBK" w:hAnsi="方正仿宋_GBK" w:eastAsia="方正仿宋_GBK" w:cs="方正仿宋_GBK"/>
          <w:sz w:val="28"/>
          <w:szCs w:val="28"/>
        </w:rPr>
      </w:pPr>
      <w:r/>
      <w:bookmarkStart w:id="137" w:name="OLE_LINK4"/>
      <w:r>
        <w:rPr>
          <w:rFonts w:hint="eastAsia" w:ascii="方正仿宋_GBK" w:hAnsi="方正仿宋_GBK" w:eastAsia="方正仿宋_GBK" w:cs="方正仿宋_GBK"/>
          <w:sz w:val="28"/>
          <w:szCs w:val="28"/>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13。</w:t>
      </w:r>
      <w:r/>
    </w:p>
    <w:p>
      <w:pPr>
        <w:pStyle w:val="944"/>
        <w:ind w:firstLine="560"/>
        <w:spacing w:line="400" w:lineRule="exact"/>
        <w:rPr>
          <w:rFonts w:hint="eastAsia" w:ascii="方正仿宋_GBK" w:hAnsi="方正仿宋_GBK" w:eastAsia="方正仿宋_GBK" w:cs="方正仿宋_GBK"/>
          <w:sz w:val="28"/>
          <w:szCs w:val="28"/>
        </w:rPr>
      </w:pPr>
      <w:r/>
      <w:bookmarkEnd w:id="137"/>
      <w:r>
        <w:rPr>
          <w:rFonts w:hint="eastAsia" w:ascii="方正仿宋_GBK" w:hAnsi="方正仿宋_GBK" w:eastAsia="方正仿宋_GBK" w:cs="方正仿宋_GBK"/>
          <w:sz w:val="28"/>
          <w:szCs w:val="28"/>
        </w:rPr>
        <w:t xml:space="preserve">25.2废标条款</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bookmarkStart w:id="138" w:name="_Toc120614219"/>
      <w:r>
        <w:rPr>
          <w:rFonts w:hint="eastAsia" w:ascii="方正黑体_GBK" w:hAnsi="方正黑体_GBK" w:eastAsia="方正黑体_GBK" w:cs="方正黑体_GBK"/>
          <w:sz w:val="28"/>
          <w:szCs w:val="28"/>
        </w:rPr>
        <w:t xml:space="preserve">六、</w:t>
      </w:r>
      <w:bookmarkEnd w:id="134"/>
      <w:r/>
      <w:bookmarkEnd w:id="135"/>
      <w:r/>
      <w:bookmarkEnd w:id="136"/>
      <w:r>
        <w:rPr>
          <w:rFonts w:hint="eastAsia" w:ascii="方正黑体_GBK" w:hAnsi="方正黑体_GBK" w:eastAsia="方正黑体_GBK" w:cs="方正黑体_GBK"/>
          <w:sz w:val="28"/>
          <w:szCs w:val="28"/>
        </w:rPr>
        <w:t xml:space="preserve">定标</w:t>
      </w:r>
      <w:bookmarkEnd w:id="138"/>
      <w:r>
        <w:rPr>
          <w:rFonts w:hint="eastAsia" w:ascii="方正黑体_GBK" w:hAnsi="方正黑体_GBK" w:eastAsia="方正黑体_GBK" w:cs="方正黑体_GBK"/>
          <w:sz w:val="28"/>
          <w:szCs w:val="28"/>
        </w:rPr>
      </w:r>
      <w:r/>
    </w:p>
    <w:p>
      <w:pPr>
        <w:pStyle w:val="944"/>
        <w:ind w:firstLine="560"/>
        <w:spacing w:line="400" w:lineRule="exact"/>
        <w:rPr>
          <w:rFonts w:hint="eastAsia" w:ascii="方正仿宋_GBK" w:hAnsi="方正仿宋_GBK" w:eastAsia="方正仿宋_GBK" w:cs="方正仿宋_GBK"/>
          <w:sz w:val="28"/>
          <w:szCs w:val="28"/>
        </w:rPr>
      </w:pPr>
      <w:r/>
      <w:bookmarkStart w:id="139" w:name="_Toc513029238"/>
      <w:r/>
      <w:bookmarkStart w:id="140" w:name="_Toc16938554"/>
      <w:r/>
      <w:bookmarkStart w:id="141" w:name="_Toc20823310"/>
      <w:r>
        <w:rPr>
          <w:rFonts w:hint="eastAsia" w:ascii="方正仿宋_GBK" w:hAnsi="方正仿宋_GBK" w:eastAsia="方正仿宋_GBK" w:cs="方正仿宋_GBK"/>
          <w:sz w:val="28"/>
          <w:szCs w:val="28"/>
        </w:rPr>
        <w:t xml:space="preserve">26</w:t>
      </w:r>
      <w:bookmarkEnd w:id="139"/>
      <w:r>
        <w:rPr>
          <w:rFonts w:hint="eastAsia" w:ascii="方正仿宋_GBK" w:hAnsi="方正仿宋_GBK" w:eastAsia="方正仿宋_GBK" w:cs="方正仿宋_GBK"/>
          <w:sz w:val="28"/>
          <w:szCs w:val="28"/>
        </w:rPr>
        <w:t xml:space="preserve">.确定</w:t>
      </w:r>
      <w:bookmarkEnd w:id="140"/>
      <w:r/>
      <w:bookmarkEnd w:id="141"/>
      <w:r>
        <w:rPr>
          <w:rFonts w:hint="eastAsia" w:ascii="方正仿宋_GBK" w:hAnsi="方正仿宋_GBK" w:eastAsia="方正仿宋_GBK" w:cs="方正仿宋_GBK"/>
          <w:sz w:val="28"/>
          <w:szCs w:val="28"/>
        </w:rPr>
        <w:t xml:space="preserve">中标单位</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pStyle w:val="944"/>
        <w:ind w:firstLine="560"/>
        <w:spacing w:line="400" w:lineRule="exact"/>
        <w:rPr>
          <w:rFonts w:hint="eastAsia" w:ascii="方正仿宋_GBK" w:hAnsi="方正仿宋_GBK" w:eastAsia="方正仿宋_GBK" w:cs="方正仿宋_GBK"/>
          <w:sz w:val="28"/>
          <w:szCs w:val="28"/>
        </w:rPr>
      </w:pPr>
      <w:r/>
      <w:bookmarkStart w:id="142" w:name="_Toc200451960"/>
      <w:r>
        <w:rPr>
          <w:rFonts w:hint="eastAsia" w:ascii="方正仿宋_GBK" w:hAnsi="方正仿宋_GBK" w:eastAsia="方正仿宋_GBK" w:cs="方正仿宋_GBK"/>
          <w:sz w:val="28"/>
          <w:szCs w:val="28"/>
        </w:rPr>
        <w:t xml:space="preserve">26.5有下列情形之一的，视为投标人串通投标，投标无效：</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42"/>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944"/>
        <w:ind w:firstLine="560"/>
        <w:jc w:val="left"/>
        <w:keepNext/>
        <w:spacing w:line="400" w:lineRule="exact"/>
        <w:rPr>
          <w:rFonts w:hint="eastAsia" w:ascii="方正黑体_GBK" w:hAnsi="方正黑体_GBK" w:eastAsia="方正黑体_GBK" w:cs="方正黑体_GBK"/>
          <w:sz w:val="28"/>
          <w:szCs w:val="28"/>
        </w:rPr>
        <w:outlineLvl w:val="0"/>
      </w:pPr>
      <w:r/>
      <w:bookmarkStart w:id="143" w:name="_Toc120614220"/>
      <w:r/>
      <w:bookmarkStart w:id="144" w:name="_Toc20823308"/>
      <w:r/>
      <w:bookmarkStart w:id="145" w:name="_Toc16938552"/>
      <w:r/>
      <w:bookmarkStart w:id="146" w:name="_Toc513029236"/>
      <w:r>
        <w:rPr>
          <w:rFonts w:hint="eastAsia" w:ascii="方正黑体_GBK" w:hAnsi="方正黑体_GBK" w:eastAsia="方正黑体_GBK" w:cs="方正黑体_GBK"/>
          <w:sz w:val="28"/>
          <w:szCs w:val="28"/>
        </w:rPr>
        <w:t xml:space="preserve">七、授予合同</w:t>
      </w:r>
      <w:bookmarkEnd w:id="143"/>
      <w:r>
        <w:rPr>
          <w:rFonts w:hint="eastAsia" w:ascii="方正黑体_GBK" w:hAnsi="方正黑体_GBK" w:eastAsia="方正黑体_GBK" w:cs="方正黑体_GBK"/>
          <w:sz w:val="28"/>
          <w:szCs w:val="28"/>
        </w:rPr>
      </w:r>
      <w:r/>
    </w:p>
    <w:p>
      <w:pPr>
        <w:pStyle w:val="944"/>
        <w:ind w:firstLine="560"/>
        <w:spacing w:line="400" w:lineRule="exact"/>
        <w:rPr>
          <w:rFonts w:hint="eastAsia" w:ascii="方正仿宋_GBK" w:hAnsi="方正仿宋_GBK" w:eastAsia="方正仿宋_GBK" w:cs="方正仿宋_GBK"/>
          <w:sz w:val="28"/>
          <w:szCs w:val="28"/>
        </w:rPr>
      </w:pPr>
      <w:r/>
      <w:bookmarkEnd w:id="144"/>
      <w:r/>
      <w:bookmarkEnd w:id="145"/>
      <w:r/>
      <w:bookmarkEnd w:id="146"/>
      <w:r/>
      <w:bookmarkStart w:id="147" w:name="_Toc513029237"/>
      <w:r/>
      <w:bookmarkStart w:id="148" w:name="_Toc16938553"/>
      <w:r/>
      <w:bookmarkStart w:id="149" w:name="_Toc20823309"/>
      <w:r>
        <w:rPr>
          <w:rFonts w:hint="eastAsia" w:ascii="方正仿宋_GBK" w:hAnsi="方正仿宋_GBK" w:eastAsia="方正仿宋_GBK" w:cs="方正仿宋_GBK"/>
          <w:sz w:val="28"/>
          <w:szCs w:val="28"/>
        </w:rPr>
        <w:t xml:space="preserve">29.签订合同</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44"/>
        <w:ind w:firstLine="560"/>
        <w:spacing w:line="400" w:lineRule="exact"/>
        <w:rPr>
          <w:rFonts w:hint="eastAsia" w:ascii="方正仿宋_GBK" w:hAnsi="方正仿宋_GBK" w:eastAsia="方正仿宋_GBK" w:cs="方正仿宋_GBK"/>
          <w:sz w:val="28"/>
          <w:szCs w:val="28"/>
        </w:rPr>
      </w:pPr>
      <w:r/>
      <w:bookmarkEnd w:id="147"/>
      <w:r/>
      <w:bookmarkEnd w:id="148"/>
      <w:r/>
      <w:bookmarkEnd w:id="149"/>
      <w:r/>
      <w:bookmarkStart w:id="150" w:name="_Toc513029242"/>
      <w:r/>
      <w:bookmarkStart w:id="151" w:name="_Toc16938558"/>
      <w:r/>
      <w:bookmarkStart w:id="152" w:name="_Toc20823314"/>
      <w:r/>
      <w:bookmarkStart w:id="153" w:name="_Toc120614221"/>
      <w:r/>
      <w:bookmarkStart w:id="154" w:name="_Toc479757207"/>
      <w:r>
        <w:rPr>
          <w:rFonts w:hint="eastAsia" w:ascii="方正仿宋_GBK" w:hAnsi="方正仿宋_GBK" w:eastAsia="方正仿宋_GBK" w:cs="方正仿宋_GBK"/>
          <w:sz w:val="28"/>
          <w:szCs w:val="28"/>
        </w:rPr>
        <w:t xml:space="preserve">31.政府采购履约资金扶持政策</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959"/>
        <w:spacing w:line="400" w:lineRule="exact"/>
        <w:rPr>
          <w:rFonts w:hint="eastAsia" w:ascii="宋体" w:hAnsi="宋体"/>
          <w:bCs/>
          <w:sz w:val="24"/>
        </w:rPr>
      </w:pPr>
      <w:r>
        <w:rPr>
          <w:rFonts w:ascii="宋体" w:hAnsi="宋体"/>
          <w:bCs/>
          <w:sz w:val="24"/>
        </w:rPr>
        <w:br w:type="page" w:clear="all"/>
      </w:r>
      <w:r>
        <w:rPr>
          <w:rFonts w:hint="eastAsia" w:ascii="宋体" w:hAnsi="宋体"/>
          <w:bCs/>
          <w:sz w:val="24"/>
        </w:rPr>
      </w:r>
      <w:r/>
    </w:p>
    <w:p>
      <w:pPr>
        <w:pStyle w:val="944"/>
        <w:ind w:right="83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第三章  合同</w:t>
      </w:r>
      <w:bookmarkEnd w:id="150"/>
      <w:r/>
      <w:bookmarkEnd w:id="151"/>
      <w:r/>
      <w:bookmarkEnd w:id="152"/>
      <w:r/>
      <w:bookmarkEnd w:id="153"/>
      <w:r/>
      <w:bookmarkEnd w:id="154"/>
      <w:r>
        <w:rPr>
          <w:rFonts w:hint="eastAsia" w:ascii="方正黑体_GBK" w:hAnsi="方正黑体_GBK" w:eastAsia="方正黑体_GBK" w:cs="方正黑体_GBK"/>
          <w:sz w:val="28"/>
          <w:szCs w:val="28"/>
        </w:rPr>
        <w:t xml:space="preserve">文本</w:t>
      </w:r>
      <w:r/>
    </w:p>
    <w:p>
      <w:pPr>
        <w:pStyle w:val="944"/>
        <w:ind w:firstLine="560"/>
        <w:spacing w:line="400" w:lineRule="exact"/>
        <w:rPr>
          <w:rFonts w:hint="eastAsia" w:ascii="方正仿宋_GBK" w:hAnsi="方正仿宋_GBK" w:eastAsia="方正仿宋_GBK" w:cs="方正仿宋_GBK"/>
          <w:bCs/>
          <w:sz w:val="28"/>
          <w:szCs w:val="28"/>
          <w:highlight w:val="yellow"/>
        </w:rPr>
      </w:pPr>
      <w:r/>
      <w:bookmarkStart w:id="155" w:name="_Toc20823315"/>
      <w:r/>
      <w:bookmarkStart w:id="156" w:name="_Toc16938559"/>
      <w:r/>
      <w:bookmarkStart w:id="157" w:name="_Toc513029243"/>
      <w:r>
        <w:rPr>
          <w:rFonts w:hint="eastAsia" w:ascii="方正仿宋_GBK" w:hAnsi="方正仿宋_GBK" w:eastAsia="方正仿宋_GBK" w:cs="方正仿宋_GBK"/>
          <w:bCs/>
          <w:sz w:val="28"/>
          <w:szCs w:val="28"/>
          <w:highlight w:val="yellow"/>
        </w:rPr>
      </w:r>
      <w:r/>
    </w:p>
    <w:p>
      <w:pPr>
        <w:pStyle w:val="944"/>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976"/>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76"/>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pStyle w:val="94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eastAsia="方正仿宋_GBK"/>
          <w:sz w:val="28"/>
          <w:szCs w:val="28"/>
        </w:rPr>
        <w:t xml:space="preserve">XXXX </w:t>
      </w:r>
      <w:r>
        <w:rPr>
          <w:rFonts w:hint="eastAsia" w:ascii="方正仿宋_GBK" w:hAnsi="方正仿宋_GBK" w:eastAsia="方正仿宋_GBK" w:cs="方正仿宋_GBK"/>
          <w:sz w:val="28"/>
          <w:szCs w:val="28"/>
        </w:rPr>
        <w:t xml:space="preserve">                  </w:t>
      </w:r>
      <w:r/>
    </w:p>
    <w:p>
      <w:pPr>
        <w:pStyle w:val="94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944"/>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983"/>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44"/>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w:t>
      </w:r>
      <w:r>
        <w:rPr>
          <w:rFonts w:hint="eastAsia" w:ascii="方正仿宋_GBK" w:hAnsi="方正仿宋_GBK" w:eastAsia="方正仿宋_GBK" w:cs="方正仿宋_GBK"/>
          <w:sz w:val="28"/>
          <w:szCs w:val="28"/>
          <w:u w:val="single"/>
        </w:rPr>
        <w:t xml:space="preserve">合同金额的10%</w:t>
      </w:r>
      <w:r>
        <w:rPr>
          <w:rFonts w:hint="eastAsia" w:ascii="方正仿宋_GBK" w:hAnsi="方正仿宋_GBK" w:eastAsia="方正仿宋_GBK" w:cs="方正仿宋_GBK"/>
          <w:sz w:val="28"/>
          <w:szCs w:val="28"/>
        </w:rPr>
        <w:t xml:space="preserve">作为本合同的履约保证金。履约保证金应在采购合同签订前提交，除银行电汇、网上银行、数字人民币外，投标人还可选用银行保函、担保公司的保证担保或保险公司的保证保险等多种形式向采购人缴纳。</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98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ascii="方正仿宋_GBK" w:hAnsi="方正仿宋_GBK" w:eastAsia="方正仿宋_GBK" w:cs="方正仿宋_GBK"/>
          <w:sz w:val="28"/>
          <w:szCs w:val="28"/>
        </w:rPr>
      </w:r>
      <w:r/>
    </w:p>
    <w:p>
      <w:pPr>
        <w:pStyle w:val="98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rPr>
        <w:t xml:space="preserve">符合退还条件的5个工作日内退还。</w:t>
      </w:r>
      <w:r>
        <w:rPr>
          <w:rFonts w:ascii="方正仿宋_GBK" w:hAnsi="方正仿宋_GBK" w:eastAsia="方正仿宋_GBK" w:cs="方正仿宋_GBK"/>
          <w:sz w:val="28"/>
          <w:szCs w:val="28"/>
        </w:rPr>
      </w:r>
      <w:r/>
    </w:p>
    <w:p>
      <w:pPr>
        <w:pStyle w:val="98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rPr>
        <w:t xml:space="preserve">采购人在项目通过验收后按照合同条款规定的时间内将履约保证金退还中标人。</w:t>
      </w:r>
      <w:r>
        <w:rPr>
          <w:rFonts w:ascii="方正仿宋_GBK" w:hAnsi="方正仿宋_GBK" w:eastAsia="方正仿宋_GBK" w:cs="方正仿宋_GBK"/>
          <w:sz w:val="28"/>
          <w:szCs w:val="28"/>
        </w:rPr>
      </w:r>
      <w:r/>
    </w:p>
    <w:p>
      <w:pPr>
        <w:pStyle w:val="983"/>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rPr>
        <w:t xml:space="preserve">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rFonts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944"/>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预付款支付时间：合同签订生效并收到供应商提供的发票后</w:t>
      </w:r>
      <w:r>
        <w:rPr>
          <w:rFonts w:hint="eastAsia" w:ascii="Times New Roman" w:hAnsi="Times New Roman" w:eastAsia="方正仿宋_GBK" w:cs="Times New Roman"/>
          <w:sz w:val="28"/>
          <w:szCs w:val="28"/>
        </w:rPr>
        <w:t xml:space="preserve">10</w:t>
      </w:r>
      <w:r>
        <w:rPr>
          <w:rFonts w:hint="eastAsia" w:ascii="方正仿宋_GBK" w:hAnsi="方正仿宋_GBK" w:eastAsia="方正仿宋_GBK" w:cs="方正仿宋_GBK"/>
          <w:sz w:val="28"/>
          <w:szCs w:val="28"/>
        </w:rPr>
        <w:t xml:space="preserve">工作日内，预付款支付比例：合同总金额的</w:t>
      </w:r>
      <w:r>
        <w:rPr>
          <w:rFonts w:hint="eastAsia" w:ascii="Times New Roman" w:hAnsi="Times New Roman" w:eastAsia="方正仿宋_GBK" w:cs="Times New Roman"/>
          <w:sz w:val="28"/>
          <w:szCs w:val="28"/>
          <w:u w:val="single"/>
        </w:rPr>
        <w:t xml:space="preserve">30</w:t>
      </w:r>
      <w:r>
        <w:rPr>
          <w:rFonts w:hint="eastAsia" w:ascii="方正仿宋_GBK" w:hAnsi="方正仿宋_GBK" w:eastAsia="方正仿宋_GBK" w:cs="方正仿宋_GBK"/>
          <w:sz w:val="28"/>
          <w:szCs w:val="28"/>
        </w:rPr>
        <w:t xml:space="preserve">%。</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本项目正式上线稳定运行至少1个月，完成5位名老中医药专家典型医案的采集与数字化整理累计达到750份以上，跟师学习人数累计达到400人次以上，并且达到甲方验收标准后，乙方提出验收申请，甲方及时进行验收，验收合格并收到供应商提供的发票后10个工作日内，尾款支付比例：合同总金额的</w:t>
      </w:r>
      <w:r>
        <w:rPr>
          <w:rFonts w:hint="eastAsia" w:ascii="Times New Roman" w:hAnsi="Times New Roman" w:eastAsia="方正仿宋_GBK" w:cs="Times New Roman"/>
          <w:sz w:val="28"/>
          <w:szCs w:val="28"/>
          <w:u w:val="single"/>
        </w:rPr>
        <w:t xml:space="preserve">70</w:t>
      </w:r>
      <w:r>
        <w:rPr>
          <w:rFonts w:hint="eastAsia" w:ascii="方正仿宋_GBK" w:hAnsi="方正仿宋_GBK" w:eastAsia="方正仿宋_GBK" w:cs="方正仿宋_GBK"/>
          <w:sz w:val="28"/>
          <w:szCs w:val="28"/>
        </w:rPr>
        <w:t xml:space="preserve">%。</w:t>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983"/>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98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983"/>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83"/>
        <w:jc w:val="center"/>
        <w:spacing w:before="120" w:after="120" w:line="400" w:lineRule="exact"/>
        <w:rPr>
          <w:sz w:val="28"/>
          <w:szCs w:val="28"/>
        </w:rPr>
      </w:pPr>
      <w:r>
        <w:rPr>
          <w:rFonts w:hint="eastAsia"/>
          <w:sz w:val="28"/>
          <w:szCs w:val="28"/>
        </w:rPr>
        <w:t xml:space="preserve">                                         </w:t>
      </w:r>
      <w:r>
        <w:rPr>
          <w:sz w:val="28"/>
          <w:szCs w:val="28"/>
        </w:rPr>
      </w:r>
      <w:r/>
    </w:p>
    <w:p>
      <w:pPr>
        <w:pStyle w:val="983"/>
        <w:jc w:val="right"/>
        <w:spacing w:before="120" w:after="120" w:line="400" w:lineRule="exact"/>
        <w:rPr>
          <w:sz w:val="28"/>
          <w:szCs w:val="28"/>
        </w:rPr>
      </w:pPr>
      <w:r>
        <w:rPr>
          <w:rFonts w:hint="eastAsia"/>
          <w:sz w:val="28"/>
          <w:szCs w:val="28"/>
        </w:rPr>
        <w:t xml:space="preserve"> </w:t>
      </w:r>
      <w:r>
        <w:rPr>
          <w:sz w:val="28"/>
          <w:szCs w:val="28"/>
        </w:rPr>
      </w:r>
      <w:r/>
    </w:p>
    <w:p>
      <w:pPr>
        <w:pStyle w:val="983"/>
        <w:jc w:val="center"/>
        <w:spacing w:before="120" w:after="120" w:line="400" w:lineRule="exact"/>
        <w:rPr>
          <w:rFonts w:hint="eastAsia" w:ascii="方正黑体_GBK" w:hAnsi="方正黑体_GBK" w:eastAsia="方正黑体_GBK" w:cs="方正黑体_GBK"/>
          <w:bCs/>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5"/>
      <w:r/>
      <w:bookmarkEnd w:id="156"/>
      <w:r/>
      <w:bookmarkEnd w:id="157"/>
      <w:r/>
      <w:bookmarkStart w:id="158" w:name="_Hlt16619369"/>
      <w:r/>
      <w:bookmarkEnd w:id="158"/>
      <w:r/>
      <w:bookmarkStart w:id="159" w:name="_Hlt16619350"/>
      <w:r/>
      <w:bookmarkStart w:id="160" w:name="_Toc120614244"/>
      <w:r/>
      <w:bookmarkStart w:id="161" w:name="_Toc20823346"/>
      <w:r/>
      <w:bookmarkStart w:id="162" w:name="_Toc16938590"/>
      <w:r/>
      <w:bookmarkStart w:id="163" w:name="_Toc479757211"/>
      <w:r/>
      <w:bookmarkStart w:id="164" w:name="_Toc462564139"/>
      <w:r>
        <w:rPr>
          <w:rFonts w:ascii="黑体" w:eastAsia="黑体"/>
          <w:bCs/>
          <w:sz w:val="28"/>
          <w:szCs w:val="28"/>
        </w:rPr>
        <w:br w:type="page" w:clear="all"/>
      </w:r>
      <w:r>
        <w:rPr>
          <w:rFonts w:hint="eastAsia" w:ascii="方正黑体_GBK" w:hAnsi="方正黑体_GBK" w:eastAsia="方正黑体_GBK" w:cs="方正黑体_GBK"/>
          <w:sz w:val="28"/>
          <w:szCs w:val="28"/>
        </w:rPr>
        <w:t xml:space="preserve">第</w:t>
      </w:r>
      <w:bookmarkEnd w:id="159"/>
      <w:r>
        <w:rPr>
          <w:rFonts w:hint="eastAsia" w:ascii="方正黑体_GBK" w:hAnsi="方正黑体_GBK" w:eastAsia="方正黑体_GBK" w:cs="方正黑体_GBK"/>
          <w:sz w:val="28"/>
          <w:szCs w:val="28"/>
        </w:rPr>
        <w:t xml:space="preserve">四章 采购需求</w:t>
      </w:r>
      <w:bookmarkEnd w:id="160"/>
      <w:r/>
      <w:bookmarkEnd w:id="161"/>
      <w:r/>
      <w:bookmarkEnd w:id="162"/>
      <w:r>
        <w:rPr>
          <w:rFonts w:hint="eastAsia" w:ascii="方正黑体_GBK" w:hAnsi="方正黑体_GBK" w:eastAsia="方正黑体_GBK" w:cs="方正黑体_GBK"/>
          <w:bCs/>
          <w:sz w:val="28"/>
          <w:szCs w:val="28"/>
        </w:rPr>
      </w:r>
      <w:r/>
    </w:p>
    <w:p>
      <w:pPr>
        <w:pStyle w:val="944"/>
        <w:keepNext/>
        <w:spacing w:line="500" w:lineRule="exact"/>
        <w:rPr>
          <w:rFonts w:ascii="等线" w:hAnsi="等线" w:eastAsia="等线" w:cs="等线"/>
          <w:sz w:val="24"/>
          <w:szCs w:val="24"/>
        </w:rPr>
        <w:outlineLvl w:val="1"/>
      </w:pPr>
      <w:r/>
      <w:bookmarkStart w:id="165" w:name="_Toc49090575"/>
      <w:r/>
      <w:bookmarkStart w:id="166" w:name="_Toc26554093"/>
      <w:r>
        <w:rPr>
          <w:rFonts w:hint="eastAsia" w:ascii="等线" w:hAnsi="等线" w:eastAsia="等线" w:cs="等线"/>
          <w:sz w:val="24"/>
          <w:szCs w:val="24"/>
        </w:rPr>
        <w:t xml:space="preserve">一、基本概况</w:t>
      </w:r>
      <w:r>
        <w:rPr>
          <w:rFonts w:ascii="等线" w:hAnsi="等线" w:eastAsia="等线" w:cs="等线"/>
          <w:sz w:val="24"/>
          <w:szCs w:val="24"/>
        </w:rPr>
      </w:r>
      <w:r/>
    </w:p>
    <w:p>
      <w:pPr>
        <w:pStyle w:val="944"/>
        <w:ind w:firstLine="480"/>
        <w:spacing w:line="500" w:lineRule="exact"/>
        <w:widowControl/>
        <w:rPr>
          <w:sz w:val="24"/>
          <w:szCs w:val="24"/>
        </w:rPr>
      </w:pPr>
      <w:r>
        <w:rPr>
          <w:rFonts w:hint="eastAsia"/>
          <w:sz w:val="24"/>
          <w:szCs w:val="24"/>
        </w:rPr>
        <w:t xml:space="preserve">2025年国家中医药管理局组织开展智慧中医医院试点项目建设，江苏省中医院首批入选智慧中医医院试点项目（综合型）建设单位。智慧中医医院试点项目建设单位应按照《中医医院信息与数字化建设规范（2024版)》《智慧中医医院试点项目建设指导意见》，持续推动中医药特色业务与信息技术深度融合，重点加强中医电子病历、中药药学服务、名老中医传承、中医临床科研等智慧应用，强化信息基础设施、信息平台、网络与数据安全、信息标准应用、专业人才队伍、数据治理等基础能力建设，全面提升中医医院智慧化水平。</w:t>
      </w:r>
      <w:r>
        <w:rPr>
          <w:sz w:val="24"/>
          <w:szCs w:val="24"/>
        </w:rPr>
      </w:r>
      <w:r/>
    </w:p>
    <w:p>
      <w:pPr>
        <w:pStyle w:val="944"/>
        <w:ind w:firstLine="480"/>
        <w:spacing w:line="500" w:lineRule="exact"/>
        <w:widowControl/>
        <w:rPr>
          <w:sz w:val="24"/>
          <w:szCs w:val="24"/>
        </w:rPr>
      </w:pPr>
      <w:r>
        <w:rPr>
          <w:rFonts w:hint="eastAsia"/>
          <w:sz w:val="24"/>
          <w:szCs w:val="24"/>
        </w:rPr>
        <w:t xml:space="preserve">江苏省中医院作为项目承建单位，为落实国家中医药信息化与智慧中医医院建设要求，针对当前名老中医经验传承依赖传统模式、学术思想难以系统留存与高效复用、师承教育周期长、中医知识挖掘等现实问题，建设名老中医药专家学术经验数字化传承平台。</w:t>
      </w:r>
      <w:r>
        <w:rPr>
          <w:sz w:val="24"/>
          <w:szCs w:val="24"/>
        </w:rPr>
      </w:r>
      <w:r/>
    </w:p>
    <w:p>
      <w:pPr>
        <w:pStyle w:val="944"/>
        <w:keepNext/>
        <w:spacing w:line="500" w:lineRule="exact"/>
        <w:rPr>
          <w:rFonts w:ascii="等线" w:hAnsi="等线" w:eastAsia="等线" w:cs="等线"/>
          <w:sz w:val="24"/>
          <w:szCs w:val="24"/>
        </w:rPr>
        <w:outlineLvl w:val="1"/>
      </w:pPr>
      <w:r>
        <w:rPr>
          <w:rFonts w:ascii="等线" w:hAnsi="等线" w:eastAsia="等线" w:cs="等线"/>
          <w:sz w:val="24"/>
          <w:szCs w:val="24"/>
        </w:rPr>
        <w:t xml:space="preserve">二、建设目标</w:t>
      </w:r>
      <w:r/>
    </w:p>
    <w:p>
      <w:pPr>
        <w:pStyle w:val="944"/>
        <w:ind w:firstLine="480"/>
        <w:spacing w:line="500" w:lineRule="exact"/>
        <w:widowControl/>
        <w:rPr>
          <w:sz w:val="24"/>
          <w:szCs w:val="24"/>
        </w:rPr>
      </w:pPr>
      <w:r>
        <w:rPr>
          <w:sz w:val="24"/>
          <w:szCs w:val="24"/>
        </w:rPr>
        <w:t xml:space="preserve">利用大数据、人工智能等技术，推进名老中医药专家传承创新信息化建设，支撑名老中医药专家传承工作室发展，建成支撑名老中医学术经验、老药工传统技艺等活态传承的信息平台，助力名老中医药专家学术经验传承及推广。</w:t>
      </w:r>
      <w:r/>
    </w:p>
    <w:p>
      <w:pPr>
        <w:pStyle w:val="944"/>
        <w:keepNext/>
        <w:spacing w:line="500" w:lineRule="exact"/>
        <w:rPr>
          <w:rFonts w:ascii="等线" w:hAnsi="等线" w:eastAsia="等线" w:cs="等线"/>
          <w:sz w:val="24"/>
          <w:szCs w:val="24"/>
        </w:rPr>
        <w:outlineLvl w:val="1"/>
      </w:pPr>
      <w:r>
        <w:rPr>
          <w:rFonts w:ascii="等线" w:hAnsi="等线" w:eastAsia="等线" w:cs="等线"/>
          <w:sz w:val="24"/>
          <w:szCs w:val="24"/>
        </w:rPr>
        <w:t xml:space="preserve">三、基本要求</w:t>
      </w:r>
      <w:r/>
    </w:p>
    <w:p>
      <w:pPr>
        <w:pStyle w:val="944"/>
        <w:ind w:firstLine="480"/>
        <w:spacing w:line="500" w:lineRule="exact"/>
        <w:widowControl/>
        <w:rPr>
          <w:sz w:val="24"/>
          <w:szCs w:val="24"/>
        </w:rPr>
      </w:pPr>
      <w:r>
        <w:rPr>
          <w:sz w:val="24"/>
          <w:szCs w:val="24"/>
        </w:rPr>
        <w:t xml:space="preserve">遵循智能化、标准化、安全性、实用性、科学性原则，以中医药学术经验传承与创新发展为核心，围绕名老中医药专家学术思想、临床经验、特色方药及诊疗技艺的数字化留存、整理与复用，开展名老中医药专家学术经验数字化传承平台建设。依托人工智能、大数据等数字技术，对名老中医医案文献、诊疗经验、跟师记录等数据进行标准化、结构化梳理与智能解析，构建名老中医药专家数据库、知识库，打造名老中医药专家典型医案、影像资料、继承工作成果及资源网络共享平台，推进名老中医传承数字化、远程化、智慧化，为临床应用、教学传承、学术创新提供技术支撑。</w:t>
      </w:r>
      <w:r/>
    </w:p>
    <w:p>
      <w:pPr>
        <w:pStyle w:val="944"/>
        <w:keepNext/>
        <w:spacing w:line="500" w:lineRule="exact"/>
        <w:rPr>
          <w:rFonts w:ascii="等线" w:hAnsi="等线" w:eastAsia="等线" w:cs="等线"/>
          <w:sz w:val="24"/>
          <w:szCs w:val="24"/>
        </w:rPr>
        <w:outlineLvl w:val="1"/>
      </w:pPr>
      <w:r>
        <w:rPr>
          <w:rFonts w:ascii="等线" w:hAnsi="等线" w:eastAsia="等线" w:cs="等线"/>
          <w:sz w:val="24"/>
          <w:szCs w:val="24"/>
        </w:rPr>
        <w:t xml:space="preserve">四、建设内容清单</w:t>
      </w:r>
      <w:r/>
    </w:p>
    <w:tbl>
      <w:tblPr>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471"/>
        <w:gridCol w:w="3847"/>
        <w:gridCol w:w="3847"/>
      </w:tblGrid>
      <w:tr>
        <w:trPr>
          <w:trHeight w:val="312"/>
        </w:trPr>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pStyle w:val="944"/>
              <w:spacing w:line="500" w:lineRule="exact"/>
              <w:widowControl/>
              <w:rPr>
                <w:sz w:val="24"/>
                <w:szCs w:val="24"/>
              </w:rPr>
            </w:pPr>
            <w:r>
              <w:rPr>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业务类别</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功能模块</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restart"/>
            <w:textDirection w:val="lrTb"/>
            <w:noWrap w:val="false"/>
          </w:tcPr>
          <w:p>
            <w:pPr>
              <w:pStyle w:val="944"/>
              <w:spacing w:line="500" w:lineRule="exact"/>
              <w:widowControl/>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99" w:type="pct"/>
            <w:vAlign w:val="center"/>
            <w:vMerge w:val="restart"/>
            <w:textDirection w:val="lrTb"/>
            <w:noWrap w:val="false"/>
          </w:tcPr>
          <w:p>
            <w:pPr>
              <w:pStyle w:val="944"/>
              <w:spacing w:line="500" w:lineRule="exact"/>
              <w:widowControl/>
              <w:rPr>
                <w:sz w:val="24"/>
                <w:szCs w:val="24"/>
              </w:rPr>
            </w:pPr>
            <w:r>
              <w:rPr>
                <w:sz w:val="24"/>
                <w:szCs w:val="24"/>
              </w:rPr>
              <w:t xml:space="preserve">名老中医药专家传承工作室</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工作室基础管理</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工作室活动管理</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工作室资源管理</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工作室学员信息管理</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工作室考核</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restart"/>
            <w:textDirection w:val="lrTb"/>
            <w:noWrap w:val="false"/>
          </w:tcPr>
          <w:p>
            <w:pPr>
              <w:pStyle w:val="944"/>
              <w:spacing w:line="500" w:lineRule="exact"/>
              <w:widowControl/>
              <w:rPr>
                <w:sz w:val="24"/>
                <w:szCs w:val="24"/>
              </w:rPr>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99" w:type="pct"/>
            <w:vAlign w:val="center"/>
            <w:vMerge w:val="restart"/>
            <w:textDirection w:val="lrTb"/>
            <w:noWrap w:val="false"/>
          </w:tcPr>
          <w:p>
            <w:pPr>
              <w:pStyle w:val="944"/>
              <w:spacing w:line="500" w:lineRule="exact"/>
              <w:widowControl/>
              <w:rPr>
                <w:sz w:val="24"/>
                <w:szCs w:val="24"/>
              </w:rPr>
            </w:pPr>
            <w:r>
              <w:rPr>
                <w:sz w:val="24"/>
                <w:szCs w:val="24"/>
              </w:rPr>
              <w:t xml:space="preserve">名老中医跟师学习</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活态传承</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跟师抄方</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模拟开方</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经验学习</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在线考核</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模拟接诊</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restart"/>
            <w:textDirection w:val="lrTb"/>
            <w:noWrap w:val="false"/>
          </w:tcPr>
          <w:p>
            <w:pPr>
              <w:pStyle w:val="944"/>
              <w:spacing w:line="500" w:lineRule="exact"/>
              <w:widowControl/>
              <w:rPr>
                <w:sz w:val="24"/>
                <w:szCs w:val="24"/>
              </w:rPr>
            </w:pPr>
            <w:r>
              <w:rPr>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99" w:type="pct"/>
            <w:vAlign w:val="center"/>
            <w:vMerge w:val="restart"/>
            <w:textDirection w:val="lrTb"/>
            <w:noWrap w:val="false"/>
          </w:tcPr>
          <w:p>
            <w:pPr>
              <w:pStyle w:val="944"/>
              <w:spacing w:line="500" w:lineRule="exact"/>
              <w:widowControl/>
              <w:rPr>
                <w:sz w:val="24"/>
                <w:szCs w:val="24"/>
              </w:rPr>
            </w:pPr>
            <w:r>
              <w:rPr>
                <w:sz w:val="24"/>
                <w:szCs w:val="24"/>
              </w:rPr>
              <w:t xml:space="preserve">医案文献挖掘分析</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医案建立</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医案采集处理</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医案数据挖掘分析</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临床指南</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经典中成药、方剂查询</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查询检索</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restart"/>
            <w:textDirection w:val="lrTb"/>
            <w:noWrap w:val="false"/>
          </w:tcPr>
          <w:p>
            <w:pPr>
              <w:pStyle w:val="944"/>
              <w:spacing w:line="500" w:lineRule="exact"/>
              <w:widowControl/>
              <w:rPr>
                <w:sz w:val="24"/>
                <w:szCs w:val="24"/>
              </w:rPr>
            </w:pPr>
            <w:r>
              <w:rPr>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99" w:type="pct"/>
            <w:vAlign w:val="center"/>
            <w:vMerge w:val="restart"/>
            <w:textDirection w:val="lrTb"/>
            <w:noWrap w:val="false"/>
          </w:tcPr>
          <w:p>
            <w:pPr>
              <w:pStyle w:val="944"/>
              <w:spacing w:line="500" w:lineRule="exact"/>
              <w:widowControl/>
              <w:rPr>
                <w:sz w:val="24"/>
                <w:szCs w:val="24"/>
              </w:rPr>
            </w:pPr>
            <w:r>
              <w:rPr>
                <w:sz w:val="24"/>
                <w:szCs w:val="24"/>
              </w:rPr>
              <w:t xml:space="preserve">名老中医学术研究</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学术流派数据库建立</w:t>
            </w:r>
            <w:r/>
          </w:p>
        </w:tc>
      </w:tr>
      <w:tr>
        <w:trPr>
          <w:cantSplit/>
          <w:trHeight w:val="327"/>
        </w:trPr>
        <w:tc>
          <w:tcPr>
            <w:tcBorders>
              <w:top w:val="single" w:color="000000" w:sz="4" w:space="0"/>
              <w:left w:val="single" w:color="000000" w:sz="4" w:space="0"/>
              <w:bottom w:val="single" w:color="000000" w:sz="4" w:space="0"/>
              <w:right w:val="single" w:color="000000" w:sz="4" w:space="0"/>
            </w:tcBorders>
            <w:tcW w:w="802"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vMerge w:val="continue"/>
            <w:textDirection w:val="lrTb"/>
            <w:noWrap w:val="false"/>
          </w:tcPr>
          <w:p>
            <w:pPr>
              <w:pStyle w:val="944"/>
              <w:spacing w:line="500" w:lineRule="exac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方剂筛选</w:t>
            </w:r>
            <w:r/>
          </w:p>
        </w:tc>
      </w:tr>
      <w:tr>
        <w:trPr>
          <w:trHeight w:val="312"/>
        </w:trPr>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pStyle w:val="944"/>
              <w:spacing w:line="500" w:lineRule="exact"/>
              <w:widowControl/>
              <w:rPr>
                <w:sz w:val="24"/>
                <w:szCs w:val="24"/>
              </w:rPr>
            </w:pPr>
            <w:r>
              <w:rPr>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接口服务</w:t>
            </w:r>
            <w:r/>
          </w:p>
        </w:tc>
        <w:tc>
          <w:tcPr>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pStyle w:val="944"/>
              <w:spacing w:line="500" w:lineRule="exact"/>
              <w:widowControl/>
              <w:rPr>
                <w:sz w:val="24"/>
                <w:szCs w:val="24"/>
              </w:rPr>
            </w:pPr>
            <w:r>
              <w:rPr>
                <w:sz w:val="24"/>
                <w:szCs w:val="24"/>
              </w:rPr>
              <w:t xml:space="preserve">医院信息系统对接</w:t>
            </w:r>
            <w:r/>
          </w:p>
        </w:tc>
      </w:tr>
    </w:tbl>
    <w:p>
      <w:pPr>
        <w:pStyle w:val="944"/>
        <w:keepNext/>
        <w:spacing w:line="500" w:lineRule="exact"/>
        <w:rPr>
          <w:rFonts w:ascii="宋体" w:hAnsi="宋体"/>
          <w:sz w:val="24"/>
          <w:szCs w:val="24"/>
        </w:rPr>
        <w:outlineLvl w:val="1"/>
      </w:pPr>
      <w:r/>
      <w:bookmarkStart w:id="167" w:name="_Toc236810482"/>
      <w:r>
        <w:rPr>
          <w:rFonts w:hint="eastAsia" w:ascii="等线" w:hAnsi="等线" w:eastAsia="等线" w:cs="等线"/>
          <w:sz w:val="24"/>
          <w:szCs w:val="24"/>
        </w:rPr>
        <w:t xml:space="preserve">五、</w:t>
      </w:r>
      <w:bookmarkStart w:id="168" w:name="OLE_LINK35"/>
      <w:r/>
      <w:bookmarkStart w:id="169" w:name="OLE_LINK34"/>
      <w:r>
        <w:rPr>
          <w:rFonts w:hint="eastAsia" w:ascii="宋体" w:hAnsi="宋体"/>
          <w:sz w:val="24"/>
          <w:szCs w:val="24"/>
        </w:rPr>
        <w:t xml:space="preserve">详细功能参数要求</w:t>
      </w:r>
      <w:bookmarkEnd w:id="167"/>
      <w:r/>
      <w:bookmarkEnd w:id="168"/>
      <w:r/>
      <w:bookmarkEnd w:id="169"/>
      <w:r>
        <w:rPr>
          <w:rFonts w:ascii="宋体" w:hAnsi="宋体"/>
          <w:sz w:val="24"/>
          <w:szCs w:val="24"/>
        </w:rPr>
      </w:r>
      <w:r/>
    </w:p>
    <w:p>
      <w:pPr>
        <w:pStyle w:val="944"/>
        <w:keepNext/>
        <w:spacing w:line="500" w:lineRule="exact"/>
        <w:rPr>
          <w:rFonts w:ascii="宋体" w:hAnsi="宋体"/>
          <w:sz w:val="24"/>
          <w:szCs w:val="24"/>
        </w:rPr>
        <w:outlineLvl w:val="1"/>
      </w:pPr>
      <w:r/>
      <w:bookmarkStart w:id="170" w:name="_Toc236810483"/>
      <w:r/>
      <w:bookmarkStart w:id="171" w:name="_Toc212195200"/>
      <w:r>
        <w:rPr>
          <w:rFonts w:hint="eastAsia" w:ascii="宋体" w:hAnsi="宋体"/>
          <w:sz w:val="24"/>
          <w:szCs w:val="24"/>
        </w:rPr>
        <w:t xml:space="preserve">5.1名老中医药专家传承工作室</w:t>
      </w:r>
      <w:bookmarkEnd w:id="170"/>
      <w:r/>
      <w:bookmarkEnd w:id="171"/>
      <w:r>
        <w:rPr>
          <w:rFonts w:ascii="宋体" w:hAnsi="宋体"/>
          <w:sz w:val="24"/>
          <w:szCs w:val="24"/>
        </w:rPr>
      </w:r>
      <w:r/>
    </w:p>
    <w:p>
      <w:pPr>
        <w:pStyle w:val="944"/>
        <w:keepNext/>
        <w:spacing w:line="500" w:lineRule="exact"/>
        <w:rPr>
          <w:rFonts w:ascii="宋体" w:hAnsi="宋体"/>
          <w:sz w:val="24"/>
          <w:szCs w:val="24"/>
        </w:rPr>
        <w:outlineLvl w:val="2"/>
      </w:pPr>
      <w:r/>
      <w:bookmarkStart w:id="172" w:name="_Toc236810484"/>
      <w:r>
        <w:rPr>
          <w:rFonts w:hint="eastAsia" w:ascii="宋体" w:hAnsi="宋体"/>
          <w:sz w:val="24"/>
          <w:szCs w:val="24"/>
        </w:rPr>
        <w:t xml:space="preserve">5.1.1工作室基础管理</w:t>
      </w:r>
      <w:bookmarkEnd w:id="172"/>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工作室信息录入与展示：院内名老中医药专家传承工作室基础信息建档录入，可完善工作室全称、成立时间、科室归属、专家简介、专科专长、研究方向等内容，系统以图文组合形式在前端页面统一展示，方便查阅各工作室特色优势。</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成员信息管理：批量或单个录入名老中医、学术继承人、专职工作人员等成员档案信息，涵盖姓名、职称、从业年限、所学专业、在岗单位、联系方式等内容，信息可随时编辑更新，依托成员数据自动梳理工作室组织架构，明确岗位职责。</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图片资料管理：支持多格式高清图片上传归档，可分类存储工作室实景环境、专家日常出诊、学术会议、团队合影等素材，图片统一关联对应工作室档案，用于平台对外形象展示。</w:t>
      </w:r>
      <w:r>
        <w:rPr>
          <w:rFonts w:ascii="宋体" w:hAnsi="宋体"/>
          <w:sz w:val="24"/>
          <w:szCs w:val="24"/>
        </w:rPr>
      </w:r>
      <w:r/>
    </w:p>
    <w:p>
      <w:pPr>
        <w:pStyle w:val="944"/>
        <w:keepNext/>
        <w:spacing w:line="500" w:lineRule="exact"/>
        <w:rPr>
          <w:rFonts w:ascii="宋体" w:hAnsi="宋体"/>
          <w:sz w:val="24"/>
          <w:szCs w:val="24"/>
        </w:rPr>
        <w:outlineLvl w:val="2"/>
      </w:pPr>
      <w:r/>
      <w:bookmarkStart w:id="173" w:name="_Toc236810485"/>
      <w:r>
        <w:rPr>
          <w:rFonts w:hint="eastAsia" w:ascii="宋体" w:hAnsi="宋体"/>
          <w:sz w:val="24"/>
          <w:szCs w:val="24"/>
        </w:rPr>
        <w:t xml:space="preserve">5.1.2工作室活动管理</w:t>
      </w:r>
      <w:bookmarkEnd w:id="173"/>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活动类型多样化管理：预设学术讲座、教学查房、病案讨论、师承培训、读书会、学术观摩等多类活动模板，管理人员按需新增、删减、自定义活动分类，适配工作室多样化教学业务。</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活动信息录入与编辑：录入活动标题、举办起止时间、具体地点、主办/承办部门、参与人员范围、活动内容简介、活动目标等信息，已发布活动内容可随时在线修改补充，保障信息实时准确。</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活动资料上传与分享：配套上传讲座 PPT、查房课件、病案原稿、培训讲义等附件，文件按所属活动分类存储；可设置全员公开、工作室内部可见两种分享权限，授权用户在线下载学习。</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活动内容在线编辑：内置富文本编辑器，支持在系统内直接编辑图文、内嵌短视频、图片排版即可完成活动内容编撰。</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活动数据导出与统计分析：活动相关业务数据可导出为 Excel、PDF 格式文件，便于工作室年度汇总汇报。</w:t>
      </w:r>
      <w:r>
        <w:rPr>
          <w:rFonts w:ascii="宋体" w:hAnsi="宋体"/>
          <w:sz w:val="24"/>
          <w:szCs w:val="24"/>
        </w:rPr>
      </w:r>
      <w:r/>
    </w:p>
    <w:p>
      <w:pPr>
        <w:pStyle w:val="944"/>
        <w:keepNext/>
        <w:spacing w:line="500" w:lineRule="exact"/>
        <w:rPr>
          <w:rFonts w:ascii="宋体" w:hAnsi="宋体"/>
          <w:sz w:val="24"/>
          <w:szCs w:val="24"/>
        </w:rPr>
        <w:outlineLvl w:val="2"/>
      </w:pPr>
      <w:r/>
      <w:bookmarkStart w:id="174" w:name="_Toc236810486"/>
      <w:r>
        <w:rPr>
          <w:rFonts w:hint="eastAsia" w:ascii="宋体" w:hAnsi="宋体"/>
          <w:sz w:val="24"/>
          <w:szCs w:val="24"/>
        </w:rPr>
        <w:t xml:space="preserve">5.1.3工作室资源管理</w:t>
      </w:r>
      <w:bookmarkEnd w:id="174"/>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①医案管理：</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医案基本信息编辑与维护：规范录入患者基础信息、主诉、现病史、既往史、四诊信息、辨证分型、治则治法、用药、节气、诊疗按语等全字段内容，表单分区录入，保障医案内容完整规范。</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医案查询与检索功能：提供多条件组合检索，可按工作室、中医诊断、病名、西医诊断、出处、医案类别等筛选目标医案，检索结果列表预览，一键跳转详情页面。</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医案复诊内容管理：记录复诊时间、处方调整、用药剂量、医嘱事项、预后评估等信息，支持单条新增、作废、删除操作。</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医案资源分享与互动：实现医案资源的分享权限管理，允许工作室设置分享人、分享范围等；可查询分享资料，并提供附件资料下载查看功能，方便用户学习和参考。学员可在医案下方点赞、留言提问，形成线上研讨板块。</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医案状态记录与标识：全程标记原始资料、已校对、名老中医提供等医案状态，操作留痕，实现医案全生命周期可追溯。</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医案点评答疑：学员上传医案发起答疑，带教导师在线批注点评，学员针对点评内容回复探讨，留存师生研讨记录。</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②年度计划与成果管理：</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文本内容录入与编辑：在线撰写年度工作计划、名医医话、读书心得、临床经验总结等，支持图文混排、插入附件，历史修改版本自动留存备查。</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成果信息管理：分类登记专著、获奖项目、专利、期刊论文等学术成果，完善作者、发表时间、发布机构、成果简介，证书扫描件、原文 PDF 等附件可自由增删。</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内容分享与权限设置：成果按需设置内部共享、全院开放、私密保存三种权限，严控知识产权，支持指定人员定向分享。</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评论审核与回复管理：后台统一管控评论内容，管理员可屏蔽违规留言，针对用户疑问在线回复，维护良性学术交流环境。</w:t>
      </w:r>
      <w:r>
        <w:rPr>
          <w:rFonts w:ascii="宋体" w:hAnsi="宋体"/>
          <w:sz w:val="24"/>
          <w:szCs w:val="24"/>
        </w:rPr>
      </w:r>
      <w:r/>
    </w:p>
    <w:p>
      <w:pPr>
        <w:pStyle w:val="944"/>
        <w:keepNext/>
        <w:spacing w:line="500" w:lineRule="exact"/>
        <w:rPr>
          <w:rFonts w:ascii="宋体" w:hAnsi="宋体"/>
          <w:sz w:val="24"/>
          <w:szCs w:val="24"/>
        </w:rPr>
        <w:outlineLvl w:val="2"/>
      </w:pPr>
      <w:r/>
      <w:bookmarkStart w:id="175" w:name="_Toc236810487"/>
      <w:r>
        <w:rPr>
          <w:rFonts w:hint="eastAsia" w:ascii="宋体" w:hAnsi="宋体"/>
          <w:sz w:val="24"/>
          <w:szCs w:val="24"/>
        </w:rPr>
        <w:t xml:space="preserve">5.1.4工作室学员信息管理</w:t>
      </w:r>
      <w:bookmarkEnd w:id="175"/>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①基本信息管理：</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个人图片管理：允许上传、修改和删除学生的个人照片，系统校验图片格式、大小，确保照片质量清晰，便于识别。</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基本信息维护：学员姓名、性别、身份证号、学历、所学专业、任职单位、联系方式等档案维护，支持Excel批量导入新学员数据，零散信息单点修改。</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信息检索与查询：可精准检索+模糊检索，通过姓名、性别、身份证号、学员类型、所属工作室等快速筛选学员档案，支持批量导出人员清单。</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②跟师管理：</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跟师申请流程：学员线上填报跟师申请表，填写目标工作室、申请内容，期望跟师姓名、跟师周期、计划学习目标等，系统自动标记已跟师、审核中、未跟师三种申请状态，学员随时自查进度。</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跟师批准与反馈：工作室负责人查看申请资料并审批，</w:t>
      </w:r>
      <w:r>
        <w:rPr>
          <w:rFonts w:hint="eastAsia" w:ascii="等线" w:hAnsi="等线" w:eastAsia="等线" w:cs="等线"/>
          <w:sz w:val="24"/>
          <w:szCs w:val="24"/>
        </w:rPr>
        <w:t xml:space="preserve">填写审核意见和反馈建议，系统</w:t>
      </w:r>
      <w:r>
        <w:rPr>
          <w:rFonts w:hint="eastAsia" w:ascii="宋体" w:hAnsi="宋体"/>
          <w:sz w:val="24"/>
          <w:szCs w:val="24"/>
        </w:rPr>
        <w:t xml:space="preserve">自动推送跟师结果，所有审批记录存档。</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跟师学习进度记录：实现学员跟师抄方、模拟开方、模拟接诊、医案学习、音视视频学习、书籍资源学习等跟师进度查询和记录，并纳入学员学习档案。</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跟师统计与分析：可按工作室、跟师学员姓名等条件查询跟师情况记录，按全部、本月、本季度、本年相关周期查询，并以图表形式展示跟师情况。</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③论文管理：</w:t>
      </w:r>
      <w:r>
        <w:rPr>
          <w:rFonts w:ascii="宋体" w:hAnsi="宋体"/>
          <w:sz w:val="24"/>
          <w:szCs w:val="24"/>
        </w:rPr>
      </w:r>
      <w:r/>
    </w:p>
    <w:p>
      <w:pPr>
        <w:pStyle w:val="944"/>
        <w:ind w:firstLine="480"/>
        <w:spacing w:line="500" w:lineRule="exact"/>
        <w:rPr>
          <w:rFonts w:ascii="宋体" w:hAnsi="宋体" w:eastAsia="等线"/>
          <w:sz w:val="24"/>
          <w:szCs w:val="24"/>
        </w:rPr>
      </w:pPr>
      <w:r>
        <w:rPr>
          <w:rFonts w:hint="eastAsia" w:ascii="宋体" w:hAnsi="宋体"/>
          <w:sz w:val="24"/>
          <w:szCs w:val="24"/>
        </w:rPr>
        <w:t xml:space="preserve">论文基本信息维护：</w:t>
      </w:r>
      <w:r>
        <w:rPr>
          <w:rFonts w:hint="eastAsia" w:ascii="等线" w:hAnsi="等线" w:eastAsia="等线" w:cs="等线"/>
          <w:sz w:val="24"/>
          <w:szCs w:val="24"/>
        </w:rPr>
        <w:t xml:space="preserve">对论文基本信息进行维护，包括论文标题、论文摘要、关键词、作者排序、发表期刊名称、发表日期等关键信息的录入和编辑。支持对论文全文进行上传和存储。</w:t>
      </w:r>
      <w:r>
        <w:rPr>
          <w:rFonts w:ascii="宋体" w:hAnsi="宋体" w:eastAsia="等线"/>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科研论文管理：学员可上传个人跟师综合报告，以及发表的科研学术论文；学员可记录、管理自己的科研立项项目及其他参与的项目。</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论文分享与互动：允许工作室成员分享论文，促进学术交流与合作。同时，提供论文下载、评论等功能，增强论文的互动性和传播性。</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④考核管理：</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成绩查询：可按学生姓名、工作室名称、是否合格、分数等多种条件进行排序查询。</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考核结果查看与统计：查询并统计学员、导师的年度考核情况，包括学员综合考核排名、理论考核、实操考核情况等，</w:t>
      </w:r>
      <w:r>
        <w:rPr>
          <w:rFonts w:hint="eastAsia" w:ascii="等线" w:hAnsi="等线" w:eastAsia="等线" w:cs="等线"/>
          <w:sz w:val="24"/>
          <w:szCs w:val="24"/>
        </w:rPr>
        <w:t xml:space="preserve">以图表形式直观展示考核结果分布情况，并可</w:t>
      </w:r>
      <w:r>
        <w:rPr>
          <w:rFonts w:hint="eastAsia" w:ascii="宋体" w:hAnsi="宋体"/>
          <w:sz w:val="24"/>
          <w:szCs w:val="24"/>
        </w:rPr>
        <w:t xml:space="preserve">将统计查询的考核数据以报表形式导出。</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⑤抄方学习管理：</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统计情况查看：按跟师抄方、模拟抄方内容和工作室名称查询统计情况，</w:t>
      </w:r>
      <w:r>
        <w:rPr>
          <w:rFonts w:hint="eastAsia" w:ascii="等线" w:hAnsi="等线" w:eastAsia="等线" w:cs="等线"/>
          <w:sz w:val="24"/>
          <w:szCs w:val="24"/>
        </w:rPr>
        <w:t xml:space="preserve">生成详细的抄方统计报表，展示学员的抄方次数、抄方时长、抄方类型分布等数据，并以图表形式直观呈现统计结果</w:t>
      </w:r>
      <w:r>
        <w:rPr>
          <w:rFonts w:hint="eastAsia" w:ascii="宋体" w:hAnsi="宋体"/>
          <w:sz w:val="24"/>
          <w:szCs w:val="24"/>
        </w:rPr>
        <w:t xml:space="preserve">。</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抄方详情查看：提供抄方的详细内容、名医点评等信息，便于学生自我反思和改进。</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模拟处方结果管理：允许删除模拟处方结果，提供模拟处方结果</w:t>
      </w:r>
      <w:r>
        <w:rPr>
          <w:rFonts w:hint="eastAsia" w:ascii="等线" w:hAnsi="等线" w:eastAsia="等线" w:cs="等线"/>
          <w:sz w:val="24"/>
          <w:szCs w:val="24"/>
        </w:rPr>
        <w:t xml:space="preserve">以Excel、PDF等格式</w:t>
      </w:r>
      <w:r>
        <w:rPr>
          <w:rFonts w:hint="eastAsia" w:ascii="宋体" w:hAnsi="宋体"/>
          <w:sz w:val="24"/>
          <w:szCs w:val="24"/>
        </w:rPr>
        <w:t xml:space="preserve">导出功能。</w:t>
      </w:r>
      <w:r>
        <w:rPr>
          <w:rFonts w:ascii="宋体" w:hAnsi="宋体"/>
          <w:sz w:val="24"/>
          <w:szCs w:val="24"/>
        </w:rPr>
      </w:r>
      <w:r/>
    </w:p>
    <w:p>
      <w:pPr>
        <w:pStyle w:val="944"/>
        <w:keepNext/>
        <w:spacing w:line="500" w:lineRule="exact"/>
        <w:rPr>
          <w:rFonts w:ascii="宋体" w:hAnsi="宋体"/>
          <w:sz w:val="24"/>
          <w:szCs w:val="24"/>
        </w:rPr>
        <w:outlineLvl w:val="2"/>
      </w:pPr>
      <w:r/>
      <w:bookmarkStart w:id="176" w:name="_Toc236810488"/>
      <w:r>
        <w:rPr>
          <w:rFonts w:hint="eastAsia" w:ascii="宋体" w:hAnsi="宋体"/>
          <w:sz w:val="24"/>
          <w:szCs w:val="24"/>
        </w:rPr>
        <w:t xml:space="preserve">5.1.5工作室考核</w:t>
      </w:r>
      <w:bookmarkEnd w:id="176"/>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工作室整体考核：围绕学术成果产出、学员培养成效、学术活动开展频次等指标开展工作室综合考评，系统归集数据形成考核台账。</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学员年度学习统计与考核：系统自动汇总全年跟诊时长、医案研习数量、论文产出、考核得分等数据，叠加导师日常评价，形成学员年度综合考核报告。</w:t>
      </w:r>
      <w:r>
        <w:rPr>
          <w:rFonts w:ascii="宋体" w:hAnsi="宋体"/>
          <w:sz w:val="24"/>
          <w:szCs w:val="24"/>
        </w:rPr>
      </w:r>
      <w:r/>
    </w:p>
    <w:p>
      <w:pPr>
        <w:pStyle w:val="944"/>
        <w:keepNext/>
        <w:spacing w:line="500" w:lineRule="exact"/>
        <w:rPr>
          <w:rFonts w:ascii="宋体" w:hAnsi="宋体"/>
          <w:sz w:val="24"/>
          <w:szCs w:val="24"/>
        </w:rPr>
        <w:outlineLvl w:val="1"/>
      </w:pPr>
      <w:r/>
      <w:bookmarkStart w:id="177" w:name="_Toc212195201"/>
      <w:r/>
      <w:bookmarkStart w:id="178" w:name="_Toc236810489"/>
      <w:r>
        <w:rPr>
          <w:rFonts w:hint="eastAsia" w:ascii="宋体" w:hAnsi="宋体"/>
          <w:sz w:val="24"/>
          <w:szCs w:val="24"/>
        </w:rPr>
        <w:t xml:space="preserve">5.2名老中医跟师学习</w:t>
      </w:r>
      <w:bookmarkEnd w:id="177"/>
      <w:r/>
      <w:bookmarkEnd w:id="178"/>
      <w:r>
        <w:rPr>
          <w:rFonts w:ascii="宋体" w:hAnsi="宋体"/>
          <w:sz w:val="24"/>
          <w:szCs w:val="24"/>
        </w:rPr>
      </w:r>
      <w:r/>
    </w:p>
    <w:p>
      <w:pPr>
        <w:pStyle w:val="944"/>
        <w:keepNext/>
        <w:spacing w:line="500" w:lineRule="exact"/>
        <w:rPr>
          <w:rFonts w:ascii="宋体" w:hAnsi="宋体"/>
          <w:sz w:val="24"/>
          <w:szCs w:val="24"/>
        </w:rPr>
        <w:outlineLvl w:val="2"/>
      </w:pPr>
      <w:r/>
      <w:bookmarkStart w:id="179" w:name="_Toc236810490"/>
      <w:r>
        <w:rPr>
          <w:rFonts w:hint="eastAsia" w:ascii="宋体" w:hAnsi="宋体"/>
          <w:sz w:val="24"/>
          <w:szCs w:val="24"/>
        </w:rPr>
        <w:t xml:space="preserve">5.2.1活态传承</w:t>
      </w:r>
      <w:bookmarkEnd w:id="179"/>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直播功能与管理：支持名老中医诊疗过程、老药工特色技艺展示等直播发布、管理。实现教学视频、直播录像等资源发布、管理、下载等功能。</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视频点播与索引关联：已归档教学视频随时重播、点播，系统建立医案、教学视频、音频课件的关联索引，查阅医案时可一键跳转对应教学视频。</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资源发布与下载：工作室按分类上传文字讲义、图集、教学音视频等资源，设置下载权限；资源可按视频名称、团队名称、视频状态、创建时间等筛选，支持资源按标签分类排序。</w:t>
      </w:r>
      <w:r>
        <w:rPr>
          <w:rFonts w:ascii="宋体" w:hAnsi="宋体"/>
          <w:sz w:val="24"/>
          <w:szCs w:val="24"/>
        </w:rPr>
      </w:r>
      <w:r/>
    </w:p>
    <w:p>
      <w:pPr>
        <w:pStyle w:val="944"/>
        <w:keepNext/>
        <w:spacing w:line="500" w:lineRule="exact"/>
        <w:rPr>
          <w:rFonts w:ascii="宋体" w:hAnsi="宋体"/>
          <w:sz w:val="24"/>
          <w:szCs w:val="24"/>
        </w:rPr>
        <w:outlineLvl w:val="2"/>
      </w:pPr>
      <w:r/>
      <w:bookmarkStart w:id="180" w:name="_Toc236810491"/>
      <w:r>
        <w:rPr>
          <w:rFonts w:hint="eastAsia" w:ascii="宋体" w:hAnsi="宋体"/>
          <w:sz w:val="24"/>
          <w:szCs w:val="24"/>
        </w:rPr>
        <w:t xml:space="preserve">5.2.2跟师抄方</w:t>
      </w:r>
      <w:bookmarkEnd w:id="180"/>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跟师信息查看，包括抄方记录查看、跟师过程记录查看（如医案、影像学习资料、音频学习资料等）。</w:t>
      </w:r>
      <w:r>
        <w:rPr>
          <w:rFonts w:ascii="宋体" w:hAnsi="宋体"/>
          <w:sz w:val="24"/>
          <w:szCs w:val="24"/>
        </w:rPr>
      </w:r>
      <w:r/>
    </w:p>
    <w:p>
      <w:pPr>
        <w:pStyle w:val="944"/>
        <w:keepNext/>
        <w:spacing w:line="500" w:lineRule="exact"/>
        <w:rPr>
          <w:rFonts w:ascii="宋体" w:hAnsi="宋体"/>
          <w:sz w:val="24"/>
          <w:szCs w:val="24"/>
        </w:rPr>
        <w:outlineLvl w:val="2"/>
      </w:pPr>
      <w:r/>
      <w:bookmarkStart w:id="181" w:name="_Toc236810492"/>
      <w:r>
        <w:rPr>
          <w:rFonts w:hint="eastAsia" w:ascii="宋体" w:hAnsi="宋体"/>
          <w:sz w:val="24"/>
          <w:szCs w:val="24"/>
        </w:rPr>
        <w:t xml:space="preserve">5.2.3模拟开方</w:t>
      </w:r>
      <w:bookmarkEnd w:id="181"/>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模拟医案开方：依托真实名医医案素材，学员在线遴选中药、调整药量、配伍组方，全真还原临床开方流程。</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模拟处方记录管理：系统自动留存模拟处方记录，支持查看、删除操作，自动比对学员处方与原方用药差异对比分析。</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医案解析教学：支持经典医案的AI智能体讲解，分步骤解析名老中医的辨证思路、用药逻辑、治疗策略变化等。</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辨证过程模拟：支持用户输入病例信息，AI智能体模拟名老中医思路，逐步推导辨证结论和处方建议，解释推导过程。</w:t>
      </w:r>
      <w:r>
        <w:rPr>
          <w:rFonts w:ascii="宋体" w:hAnsi="宋体"/>
          <w:sz w:val="24"/>
          <w:szCs w:val="24"/>
        </w:rPr>
      </w:r>
      <w:r/>
    </w:p>
    <w:p>
      <w:pPr>
        <w:pStyle w:val="944"/>
        <w:ind w:firstLine="480"/>
        <w:spacing w:line="500" w:lineRule="exact"/>
        <w:rPr>
          <w:rFonts w:ascii="宋体" w:hAnsi="宋体"/>
          <w:sz w:val="24"/>
          <w:szCs w:val="24"/>
        </w:rPr>
      </w:pPr>
      <w:r>
        <w:rPr>
          <w:rFonts w:ascii="宋体" w:hAnsi="宋体"/>
          <w:sz w:val="24"/>
          <w:szCs w:val="24"/>
        </w:rPr>
      </w:r>
      <w:r/>
    </w:p>
    <w:p>
      <w:pPr>
        <w:pStyle w:val="944"/>
        <w:keepNext/>
        <w:spacing w:line="500" w:lineRule="exact"/>
        <w:rPr>
          <w:rFonts w:ascii="宋体" w:hAnsi="宋体"/>
          <w:sz w:val="24"/>
          <w:szCs w:val="24"/>
        </w:rPr>
        <w:outlineLvl w:val="2"/>
      </w:pPr>
      <w:r/>
      <w:bookmarkStart w:id="182" w:name="_Toc236810493"/>
      <w:r>
        <w:rPr>
          <w:rFonts w:hint="eastAsia" w:ascii="宋体" w:hAnsi="宋体"/>
          <w:sz w:val="24"/>
          <w:szCs w:val="24"/>
        </w:rPr>
        <w:t xml:space="preserve">5.2.4经验学习</w:t>
      </w:r>
      <w:bookmarkEnd w:id="182"/>
      <w:r>
        <w:rPr>
          <w:rFonts w:ascii="宋体" w:hAnsi="宋体"/>
          <w:sz w:val="24"/>
          <w:szCs w:val="24"/>
        </w:rPr>
      </w:r>
      <w:r/>
    </w:p>
    <w:p>
      <w:pPr>
        <w:pStyle w:val="944"/>
        <w:ind w:firstLine="480"/>
        <w:spacing w:line="500" w:lineRule="exact"/>
        <w:rPr>
          <w:rFonts w:ascii="宋体" w:hAnsi="宋体"/>
          <w:sz w:val="24"/>
          <w:szCs w:val="24"/>
        </w:rPr>
      </w:pPr>
      <w:r>
        <w:rPr>
          <w:rFonts w:hint="eastAsia" w:ascii="等线" w:hAnsi="等线" w:eastAsia="等线" w:cs="等线"/>
          <w:bCs/>
          <w:sz w:val="24"/>
          <w:szCs w:val="24"/>
        </w:rPr>
        <w:t xml:space="preserve">经验传承学习记录发布：</w:t>
      </w:r>
      <w:r>
        <w:rPr>
          <w:rFonts w:hint="eastAsia" w:ascii="宋体" w:hAnsi="宋体"/>
          <w:sz w:val="24"/>
          <w:szCs w:val="24"/>
        </w:rPr>
        <w:t xml:space="preserve">提供工作室发布各种形式的名老中医药专家经验传承学习记录，包括：名医医案评述、经典古籍解读、临床经验总结等多形式学习素材，素材支持图文、音频、短视频多种格式。</w:t>
      </w:r>
      <w:r>
        <w:rPr>
          <w:rFonts w:ascii="宋体" w:hAnsi="宋体"/>
          <w:sz w:val="24"/>
          <w:szCs w:val="24"/>
        </w:rPr>
      </w:r>
      <w:r/>
    </w:p>
    <w:p>
      <w:pPr>
        <w:pStyle w:val="944"/>
        <w:ind w:firstLine="480"/>
        <w:spacing w:line="500" w:lineRule="exact"/>
        <w:rPr>
          <w:rFonts w:ascii="宋体" w:hAnsi="宋体"/>
          <w:sz w:val="24"/>
          <w:szCs w:val="24"/>
        </w:rPr>
      </w:pPr>
      <w:r>
        <w:rPr>
          <w:rFonts w:hint="eastAsia" w:ascii="等线" w:hAnsi="等线" w:eastAsia="等线" w:cs="等线"/>
          <w:bCs/>
          <w:sz w:val="24"/>
          <w:szCs w:val="24"/>
        </w:rPr>
        <w:t xml:space="preserve">学员自学记录：提供</w:t>
      </w:r>
      <w:r>
        <w:rPr>
          <w:rFonts w:hint="eastAsia" w:ascii="宋体" w:hAnsi="宋体"/>
          <w:sz w:val="24"/>
          <w:szCs w:val="24"/>
        </w:rPr>
        <w:t xml:space="preserve">学员自学记录功能，学员阅读学习资源后，在线撰写读书笔记，笔记支持随时编辑修改、分类归档，形成个人自学资料库。</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智能问答学习：构建AI智能体，智能回答关于名老中医学术思想、中医经典理论、擅长治疗病证、用药特色、优势病种、特色方药等问题，便于学员快速获取知识。针对名老中医擅长的特定专科专病领域，结合传承经验知识库，能够进行深入、精准的提供专业问答。</w:t>
      </w:r>
      <w:r>
        <w:rPr>
          <w:rFonts w:ascii="宋体" w:hAnsi="宋体"/>
          <w:sz w:val="24"/>
          <w:szCs w:val="24"/>
        </w:rPr>
      </w:r>
      <w:r/>
    </w:p>
    <w:p>
      <w:pPr>
        <w:pStyle w:val="944"/>
        <w:keepNext/>
        <w:spacing w:line="500" w:lineRule="exact"/>
        <w:rPr>
          <w:rFonts w:ascii="宋体" w:hAnsi="宋体"/>
          <w:sz w:val="24"/>
          <w:szCs w:val="24"/>
        </w:rPr>
        <w:outlineLvl w:val="2"/>
      </w:pPr>
      <w:r/>
      <w:bookmarkStart w:id="183" w:name="_Toc236810494"/>
      <w:r>
        <w:rPr>
          <w:rFonts w:hint="eastAsia" w:ascii="宋体" w:hAnsi="宋体"/>
          <w:sz w:val="24"/>
          <w:szCs w:val="24"/>
        </w:rPr>
        <w:t xml:space="preserve">5.2.5在线考核</w:t>
      </w:r>
      <w:bookmarkEnd w:id="183"/>
      <w:r>
        <w:rPr>
          <w:rFonts w:ascii="宋体" w:hAnsi="宋体"/>
          <w:sz w:val="24"/>
          <w:szCs w:val="24"/>
        </w:rPr>
      </w:r>
      <w:r/>
    </w:p>
    <w:p>
      <w:pPr>
        <w:pStyle w:val="944"/>
        <w:ind w:firstLine="638"/>
        <w:spacing w:line="500" w:lineRule="exact"/>
        <w:rPr>
          <w:rFonts w:ascii="等线" w:hAnsi="等线" w:eastAsia="等线" w:cs="等线"/>
          <w:sz w:val="24"/>
          <w:szCs w:val="24"/>
        </w:rPr>
      </w:pPr>
      <w:r>
        <w:rPr>
          <w:rFonts w:hint="eastAsia" w:ascii="宋体" w:hAnsi="宋体"/>
          <w:sz w:val="24"/>
          <w:szCs w:val="24"/>
        </w:rPr>
        <w:t xml:space="preserve">考核功能：</w:t>
      </w:r>
      <w:r>
        <w:rPr>
          <w:rFonts w:hint="eastAsia" w:ascii="等线" w:hAnsi="等线" w:eastAsia="等线" w:cs="等线"/>
          <w:sz w:val="24"/>
          <w:szCs w:val="24"/>
        </w:rPr>
        <w:t xml:space="preserve">学员完成学习任务后参加在线考核，系统提供功能完善的在线考核平台，包括考核题库管理、试卷生成、考试安排、在线答题、自动阅卷、成绩分析等功能模块。</w:t>
      </w:r>
      <w:r>
        <w:rPr>
          <w:rFonts w:ascii="等线" w:hAnsi="等线" w:eastAsia="等线" w:cs="等线"/>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题库管理：支持管理和维护线上考核题库。包含单选、多选、简答、模拟开方四类题型，支持试题批量导入导出、新增修改。</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考试阅卷：客观题系统即时自动判分，简答题、处方题由导师后台人工批阅，可查看每场考试时间、总分、及格线、个人得分明细。</w:t>
      </w:r>
      <w:r>
        <w:rPr>
          <w:rFonts w:ascii="宋体" w:hAnsi="宋体"/>
          <w:sz w:val="24"/>
          <w:szCs w:val="24"/>
        </w:rPr>
      </w:r>
      <w:r/>
    </w:p>
    <w:p>
      <w:pPr>
        <w:pStyle w:val="944"/>
        <w:keepNext/>
        <w:spacing w:line="500" w:lineRule="exact"/>
        <w:rPr>
          <w:rFonts w:ascii="宋体" w:hAnsi="宋体"/>
          <w:sz w:val="24"/>
          <w:szCs w:val="24"/>
        </w:rPr>
        <w:outlineLvl w:val="2"/>
      </w:pPr>
      <w:r/>
      <w:bookmarkStart w:id="184" w:name="_Toc236810495"/>
      <w:r>
        <w:rPr>
          <w:rFonts w:hint="eastAsia" w:ascii="宋体" w:hAnsi="宋体"/>
          <w:sz w:val="24"/>
          <w:szCs w:val="24"/>
        </w:rPr>
        <w:t xml:space="preserve">5.2.6模拟接诊</w:t>
      </w:r>
      <w:bookmarkEnd w:id="184"/>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模拟接诊流程：模拟中医类接诊规范流程，提供多病种选择、临床问诊替代、学员线上答题、系统能够实现自行编辑接诊步骤等功能。</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专病模拟接诊：</w:t>
      </w:r>
      <w:r>
        <w:rPr>
          <w:rFonts w:hint="eastAsia" w:ascii="宋体" w:hAnsi="宋体" w:cs="仿宋_GB2312"/>
          <w:sz w:val="24"/>
          <w:szCs w:val="24"/>
        </w:rPr>
        <w:t xml:space="preserve">基于名老中医数字化传承成果，支持按名老中医优势病种进行专科专病模拟接诊、问诊</w:t>
      </w:r>
      <w:r>
        <w:rPr>
          <w:rFonts w:hint="eastAsia" w:ascii="宋体" w:hAnsi="宋体"/>
          <w:sz w:val="24"/>
          <w:szCs w:val="24"/>
        </w:rPr>
        <w:t xml:space="preserve">。</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辅助引导问诊：输入模拟患者的病证，结合名老中医诊疗知识图谱和AI算法，自动联想提示可能出现的其他症状，引导学员全面、有针对性的采集症状。 </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构建AI智能体，支持根据输入的患者信息（主诉、现病史、既往史、舌脉、体质等），结合名老中医知识图谱与经典医案，智能推荐对应疾病/证型的核心方剂或其加减化裁方案。支持在方剂推荐的基础上，智能推荐更综合的治疗建议，如非药物疗法（如名老中医特色的针灸穴位、推拿手法、食疗建议）、疗程建议、调护要点（如情志、饮食、起居）、预后评估关键点等，体现名中医的整体治疗观和流程管理思想。</w:t>
      </w:r>
      <w:r>
        <w:rPr>
          <w:rFonts w:ascii="宋体" w:hAnsi="宋体"/>
          <w:sz w:val="24"/>
          <w:szCs w:val="24"/>
        </w:rPr>
      </w:r>
      <w:r/>
    </w:p>
    <w:p>
      <w:pPr>
        <w:pStyle w:val="944"/>
        <w:keepNext/>
        <w:spacing w:line="500" w:lineRule="exact"/>
        <w:rPr>
          <w:rFonts w:ascii="宋体" w:hAnsi="宋体"/>
          <w:sz w:val="24"/>
          <w:szCs w:val="24"/>
        </w:rPr>
        <w:outlineLvl w:val="1"/>
      </w:pPr>
      <w:r/>
      <w:bookmarkStart w:id="185" w:name="_Toc212195202"/>
      <w:r/>
      <w:bookmarkStart w:id="186" w:name="_Toc236810496"/>
      <w:r>
        <w:rPr>
          <w:rFonts w:hint="eastAsia" w:ascii="宋体" w:hAnsi="宋体"/>
          <w:sz w:val="24"/>
          <w:szCs w:val="24"/>
        </w:rPr>
        <w:t xml:space="preserve">5.3医案文献挖掘分析</w:t>
      </w:r>
      <w:bookmarkEnd w:id="185"/>
      <w:r/>
      <w:bookmarkEnd w:id="186"/>
      <w:r>
        <w:rPr>
          <w:rFonts w:ascii="宋体" w:hAnsi="宋体"/>
          <w:sz w:val="24"/>
          <w:szCs w:val="24"/>
        </w:rPr>
      </w:r>
      <w:r/>
    </w:p>
    <w:p>
      <w:pPr>
        <w:pStyle w:val="944"/>
        <w:keepNext/>
        <w:spacing w:line="500" w:lineRule="exact"/>
        <w:rPr>
          <w:rFonts w:ascii="宋体" w:hAnsi="宋体"/>
          <w:sz w:val="24"/>
          <w:szCs w:val="24"/>
        </w:rPr>
        <w:outlineLvl w:val="2"/>
      </w:pPr>
      <w:r/>
      <w:bookmarkStart w:id="187" w:name="_Toc236810497"/>
      <w:r>
        <w:rPr>
          <w:rFonts w:hint="eastAsia" w:ascii="宋体" w:hAnsi="宋体"/>
          <w:sz w:val="24"/>
          <w:szCs w:val="24"/>
        </w:rPr>
        <w:t xml:space="preserve">5.3.1医案建立</w:t>
      </w:r>
      <w:bookmarkEnd w:id="187"/>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自建医案功能：标准化表单逐项录入患者诊疗全信息，从基础信息、四诊、辨证到方药、疗效完整建档，自主构建名老中医病案数据库。</w:t>
      </w:r>
      <w:r>
        <w:rPr>
          <w:rFonts w:ascii="宋体" w:hAnsi="宋体"/>
          <w:sz w:val="24"/>
          <w:szCs w:val="24"/>
        </w:rPr>
      </w:r>
      <w:r/>
    </w:p>
    <w:p>
      <w:pPr>
        <w:pStyle w:val="944"/>
        <w:ind w:firstLine="480"/>
        <w:spacing w:line="500" w:lineRule="exact"/>
        <w:rPr>
          <w:rFonts w:ascii="等线" w:hAnsi="等线" w:eastAsia="等线" w:cs="等线"/>
          <w:sz w:val="24"/>
          <w:szCs w:val="24"/>
        </w:rPr>
      </w:pPr>
      <w:r>
        <w:rPr>
          <w:rFonts w:hint="eastAsia" w:ascii="宋体" w:hAnsi="宋体"/>
          <w:sz w:val="24"/>
          <w:szCs w:val="24"/>
        </w:rPr>
        <w:t xml:space="preserve">电子病历系统对接：对接医院信息系统，合规抓取诊疗数据转换为标准化医案，</w:t>
      </w:r>
      <w:r>
        <w:rPr>
          <w:rFonts w:hint="eastAsia" w:ascii="等线" w:hAnsi="等线" w:eastAsia="等线" w:cs="等线"/>
          <w:sz w:val="24"/>
          <w:szCs w:val="24"/>
        </w:rPr>
        <w:t xml:space="preserve">导入</w:t>
      </w:r>
      <w:r>
        <w:rPr>
          <w:rFonts w:hint="eastAsia" w:ascii="宋体" w:hAnsi="宋体"/>
          <w:sz w:val="24"/>
          <w:szCs w:val="24"/>
        </w:rPr>
        <w:t xml:space="preserve">名老中医病案数据库</w:t>
      </w:r>
      <w:r>
        <w:rPr>
          <w:rFonts w:hint="eastAsia" w:ascii="等线" w:hAnsi="等线" w:eastAsia="等线" w:cs="等线"/>
          <w:sz w:val="24"/>
          <w:szCs w:val="24"/>
        </w:rPr>
        <w:t xml:space="preserve">。</w:t>
      </w:r>
      <w:r>
        <w:rPr>
          <w:rFonts w:ascii="等线" w:hAnsi="等线" w:eastAsia="等线" w:cs="等线"/>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中医专家系统：支持中医专家系统，能够用于临床辅助决策及中医诊断教学。</w:t>
      </w:r>
      <w:r>
        <w:rPr>
          <w:rFonts w:ascii="宋体" w:hAnsi="宋体"/>
          <w:sz w:val="24"/>
          <w:szCs w:val="24"/>
        </w:rPr>
      </w:r>
      <w:r/>
    </w:p>
    <w:p>
      <w:pPr>
        <w:pStyle w:val="944"/>
        <w:keepNext/>
        <w:spacing w:line="500" w:lineRule="exact"/>
        <w:rPr>
          <w:rFonts w:ascii="宋体" w:hAnsi="宋体"/>
          <w:sz w:val="24"/>
          <w:szCs w:val="24"/>
        </w:rPr>
        <w:outlineLvl w:val="2"/>
      </w:pPr>
      <w:r/>
      <w:bookmarkStart w:id="188" w:name="_Toc236810498"/>
      <w:r>
        <w:rPr>
          <w:rFonts w:hint="eastAsia" w:ascii="宋体" w:hAnsi="宋体"/>
          <w:sz w:val="24"/>
          <w:szCs w:val="24"/>
        </w:rPr>
        <w:t xml:space="preserve">5.3.2医案采集处理</w:t>
      </w:r>
      <w:bookmarkEnd w:id="188"/>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批量采集功能：支持按预设周期批量从医院信息系统抓取历史诊疗数据，批量入库扩充名老中医病案数据库。</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数据规范化处理：依据国标中医术语库，</w:t>
      </w:r>
      <w:r>
        <w:rPr>
          <w:rFonts w:hint="eastAsia" w:ascii="等线" w:hAnsi="等线" w:eastAsia="等线" w:cs="等线"/>
          <w:sz w:val="24"/>
          <w:szCs w:val="24"/>
        </w:rPr>
        <w:t xml:space="preserve">针对医案中的中医诊断、证型、治则治法等核心字段，提供规范化处理功能</w:t>
      </w:r>
      <w:r>
        <w:rPr>
          <w:rFonts w:hint="eastAsia" w:ascii="宋体" w:hAnsi="宋体" w:eastAsia="等线"/>
          <w:sz w:val="24"/>
          <w:szCs w:val="24"/>
        </w:rPr>
        <w:t xml:space="preserve">；</w:t>
      </w:r>
      <w:r>
        <w:rPr>
          <w:rFonts w:hint="eastAsia" w:ascii="宋体" w:hAnsi="宋体"/>
          <w:sz w:val="24"/>
          <w:szCs w:val="24"/>
        </w:rPr>
        <w:t xml:space="preserve">支持医案的中医诊断、证型等内容与标准化中医术语的自动匹配，统一数据字段标准，保障数据可统计分析。</w:t>
      </w:r>
      <w:r>
        <w:rPr>
          <w:rFonts w:ascii="宋体" w:hAnsi="宋体"/>
          <w:sz w:val="24"/>
          <w:szCs w:val="24"/>
        </w:rPr>
      </w:r>
      <w:r/>
    </w:p>
    <w:p>
      <w:pPr>
        <w:pStyle w:val="944"/>
        <w:keepNext/>
        <w:spacing w:line="500" w:lineRule="exact"/>
        <w:rPr>
          <w:rFonts w:ascii="宋体" w:hAnsi="宋体"/>
          <w:sz w:val="24"/>
          <w:szCs w:val="24"/>
        </w:rPr>
        <w:outlineLvl w:val="2"/>
      </w:pPr>
      <w:r/>
      <w:bookmarkStart w:id="189" w:name="_Toc236810499"/>
      <w:r>
        <w:rPr>
          <w:rFonts w:hint="eastAsia" w:ascii="宋体" w:hAnsi="宋体"/>
          <w:sz w:val="24"/>
          <w:szCs w:val="24"/>
        </w:rPr>
        <w:t xml:space="preserve">5.3.3医案数据挖掘分析</w:t>
      </w:r>
      <w:bookmarkEnd w:id="189"/>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①医案统计分析：</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患者统计：支持患者年龄段人数统计分析，统计相关年龄段区间就诊患者的数量。患者性别比例统计分析，统计所有就诊患者中男女数量比例。</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四诊统计：支持临床中记录舌象、面象、脉象等四诊情况以图表形式进行统计。</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病证统计：支持临床中记录的所有疾病或病证数量统计查询，按照疾病分类进行统计。</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证型统计：支持临床中记录的所有证型数量分析。支持每种疾病对应不同证型的病例数量和占比情况分析。</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用药统计：支持治则治法、处方用药等频次统计。</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②数据挖掘分析：</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支持医案多维度分析，如统计分析、关联分析。</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支持关联算法模型的支持度、置信度、提升度等参数的调整。计算年龄、性别、地区、症状、疾病、证型、处方、中药等要素之间的依赖关系，通过关系网络图来分析展示规则内额关联关系，以及出现频率的次数。</w:t>
      </w:r>
      <w:r>
        <w:rPr>
          <w:rFonts w:ascii="宋体" w:hAnsi="宋体"/>
          <w:sz w:val="24"/>
          <w:szCs w:val="24"/>
        </w:rPr>
      </w:r>
      <w:r/>
    </w:p>
    <w:p>
      <w:pPr>
        <w:pStyle w:val="944"/>
        <w:keepNext/>
        <w:spacing w:line="500" w:lineRule="exact"/>
        <w:rPr>
          <w:rFonts w:ascii="宋体" w:hAnsi="宋体"/>
          <w:sz w:val="24"/>
          <w:szCs w:val="24"/>
        </w:rPr>
        <w:outlineLvl w:val="2"/>
      </w:pPr>
      <w:r/>
      <w:bookmarkStart w:id="190" w:name="_Toc236810500"/>
      <w:r>
        <w:rPr>
          <w:rFonts w:hint="eastAsia" w:ascii="宋体" w:hAnsi="宋体"/>
          <w:sz w:val="24"/>
          <w:szCs w:val="24"/>
        </w:rPr>
        <w:t xml:space="preserve">5.3.4临床指南</w:t>
      </w:r>
      <w:bookmarkEnd w:id="190"/>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提供病证知识的解读，包含病证的基本属性、病因病机、临床症状表现、诊断及鉴别诊断、证型，治则治法、预防调护等。</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支持以图文并茂的方式展示临床指南知识，便于用户快速查阅和理解。</w:t>
      </w:r>
      <w:r>
        <w:rPr>
          <w:rFonts w:ascii="宋体" w:hAnsi="宋体"/>
          <w:sz w:val="24"/>
          <w:szCs w:val="24"/>
        </w:rPr>
      </w:r>
      <w:r/>
    </w:p>
    <w:p>
      <w:pPr>
        <w:pStyle w:val="944"/>
        <w:keepNext/>
        <w:spacing w:line="500" w:lineRule="exact"/>
        <w:rPr>
          <w:rFonts w:ascii="宋体" w:hAnsi="宋体"/>
          <w:sz w:val="24"/>
          <w:szCs w:val="24"/>
        </w:rPr>
        <w:outlineLvl w:val="2"/>
      </w:pPr>
      <w:r/>
      <w:bookmarkStart w:id="191" w:name="_Toc236810501"/>
      <w:r>
        <w:rPr>
          <w:rFonts w:hint="eastAsia" w:ascii="宋体" w:hAnsi="宋体"/>
          <w:sz w:val="24"/>
          <w:szCs w:val="24"/>
        </w:rPr>
        <w:t xml:space="preserve">5.3.5经典中成药、方剂查询</w:t>
      </w:r>
      <w:bookmarkEnd w:id="191"/>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Cs w:val="24"/>
        </w:rPr>
        <w:t xml:space="preserve">▲</w:t>
      </w:r>
      <w:r>
        <w:rPr>
          <w:rFonts w:hint="eastAsia" w:ascii="宋体" w:hAnsi="宋体"/>
          <w:sz w:val="24"/>
          <w:szCs w:val="24"/>
        </w:rPr>
        <w:t xml:space="preserve">提供古今方剂出处、功能主治、药物不良反应（禁忌）、用法用量、方剂组成、方解、药理等知识详情查询；支持方剂分类查询。</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提供经典中成药的功能主治、用法用量、药品组成、制法、药物不良反应（禁忌）及鉴别等知识详情查询；支持中成药相同名称不同规格查询。</w:t>
      </w:r>
      <w:r>
        <w:rPr>
          <w:rFonts w:ascii="宋体" w:hAnsi="宋体"/>
          <w:sz w:val="24"/>
          <w:szCs w:val="24"/>
        </w:rPr>
      </w:r>
      <w:r/>
    </w:p>
    <w:p>
      <w:pPr>
        <w:pStyle w:val="944"/>
        <w:keepNext/>
        <w:spacing w:line="500" w:lineRule="exact"/>
        <w:rPr>
          <w:rFonts w:ascii="宋体" w:hAnsi="宋体"/>
          <w:sz w:val="24"/>
          <w:szCs w:val="24"/>
        </w:rPr>
        <w:outlineLvl w:val="2"/>
      </w:pPr>
      <w:r/>
      <w:bookmarkStart w:id="192" w:name="_Toc236810502"/>
      <w:r>
        <w:rPr>
          <w:rFonts w:hint="eastAsia" w:ascii="宋体" w:hAnsi="宋体"/>
          <w:sz w:val="24"/>
          <w:szCs w:val="24"/>
        </w:rPr>
        <w:t xml:space="preserve">5.3.6查询检索</w:t>
      </w:r>
      <w:bookmarkEnd w:id="192"/>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提供经典名医医案查询；支持按疾病名称、名医姓名、症状</w:t>
      </w:r>
      <w:r>
        <w:rPr>
          <w:rFonts w:ascii="宋体" w:hAnsi="宋体"/>
          <w:sz w:val="24"/>
          <w:szCs w:val="24"/>
        </w:rPr>
        <w:t xml:space="preserve">/</w:t>
      </w:r>
      <w:r>
        <w:rPr>
          <w:rFonts w:hint="eastAsia" w:ascii="宋体" w:hAnsi="宋体"/>
          <w:sz w:val="24"/>
          <w:szCs w:val="24"/>
        </w:rPr>
        <w:t xml:space="preserve">体征等多种搜索方式查询名医医案。支持包含初诊、复诊等完整医案详情查询。</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提供期刊文献查询检索。</w:t>
      </w:r>
      <w:r>
        <w:rPr>
          <w:rFonts w:ascii="宋体" w:hAnsi="宋体"/>
          <w:sz w:val="24"/>
          <w:szCs w:val="24"/>
        </w:rPr>
      </w:r>
      <w:r/>
    </w:p>
    <w:p>
      <w:pPr>
        <w:pStyle w:val="944"/>
        <w:keepNext/>
        <w:spacing w:line="500" w:lineRule="exact"/>
        <w:rPr>
          <w:rFonts w:ascii="宋体" w:hAnsi="宋体"/>
          <w:sz w:val="24"/>
          <w:szCs w:val="24"/>
        </w:rPr>
        <w:outlineLvl w:val="1"/>
      </w:pPr>
      <w:r/>
      <w:bookmarkStart w:id="193" w:name="_Toc236810503"/>
      <w:r/>
      <w:bookmarkStart w:id="194" w:name="_Toc212195203"/>
      <w:r>
        <w:rPr>
          <w:rFonts w:hint="eastAsia" w:ascii="宋体" w:hAnsi="宋体"/>
          <w:sz w:val="24"/>
          <w:szCs w:val="24"/>
        </w:rPr>
        <w:t xml:space="preserve">5.4名老中医学术研究</w:t>
      </w:r>
      <w:bookmarkEnd w:id="193"/>
      <w:r/>
      <w:bookmarkEnd w:id="194"/>
      <w:r>
        <w:rPr>
          <w:rFonts w:ascii="宋体" w:hAnsi="宋体"/>
          <w:sz w:val="24"/>
          <w:szCs w:val="24"/>
        </w:rPr>
      </w:r>
      <w:r/>
    </w:p>
    <w:p>
      <w:pPr>
        <w:pStyle w:val="944"/>
        <w:keepNext/>
        <w:spacing w:line="500" w:lineRule="exact"/>
        <w:outlineLvl w:val="2"/>
      </w:pPr>
      <w:r/>
      <w:bookmarkStart w:id="195" w:name="_Toc236810504"/>
      <w:r>
        <w:rPr>
          <w:rFonts w:hint="eastAsia" w:ascii="宋体" w:hAnsi="宋体"/>
          <w:sz w:val="24"/>
          <w:szCs w:val="24"/>
        </w:rPr>
        <w:t xml:space="preserve">5.4.1学术流派数据库建立</w:t>
      </w:r>
      <w:bookmarkEnd w:id="195"/>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围绕名老中医流派学术思想、特色诊疗技法、优势病种、独家经验方药等要素，系统收集、整理和分析名老中医的学术传承脉络和学术特色，录入流派起源、代表医家、传世著作等资料，建立结构化、系统化的中医学术流派数据库。</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数据库内容应涵盖学术流派的形成背景、理论基础、诊疗特色、代表人物、传承谱系、主要著作等多维度信息。</w:t>
      </w:r>
      <w:r>
        <w:rPr>
          <w:rFonts w:ascii="宋体" w:hAnsi="宋体"/>
          <w:sz w:val="24"/>
          <w:szCs w:val="24"/>
        </w:rPr>
      </w:r>
      <w:r/>
    </w:p>
    <w:p>
      <w:pPr>
        <w:pStyle w:val="944"/>
        <w:keepNext/>
        <w:spacing w:line="500" w:lineRule="exact"/>
        <w:rPr>
          <w:rFonts w:ascii="宋体" w:hAnsi="宋体"/>
          <w:sz w:val="24"/>
          <w:szCs w:val="24"/>
        </w:rPr>
        <w:outlineLvl w:val="2"/>
      </w:pPr>
      <w:r/>
      <w:bookmarkStart w:id="196" w:name="_Toc236810505"/>
      <w:r>
        <w:rPr>
          <w:rFonts w:hint="eastAsia" w:ascii="宋体" w:hAnsi="宋体"/>
          <w:sz w:val="24"/>
          <w:szCs w:val="24"/>
        </w:rPr>
        <w:t xml:space="preserve">5.4.2方剂筛选</w:t>
      </w:r>
      <w:bookmarkEnd w:id="196"/>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用药习惯分析：基于医案库用药数据，</w:t>
      </w:r>
      <w:r>
        <w:rPr>
          <w:rFonts w:hint="eastAsia" w:ascii="等线" w:hAnsi="等线" w:eastAsia="等线" w:cs="等线"/>
          <w:sz w:val="24"/>
          <w:szCs w:val="24"/>
        </w:rPr>
        <w:t xml:space="preserve">分析名老中医在不同疾病、证型、季节等因素下的用药习惯和用药规律，</w:t>
      </w:r>
      <w:r>
        <w:rPr>
          <w:rFonts w:hint="eastAsia" w:ascii="宋体" w:hAnsi="宋体"/>
          <w:sz w:val="24"/>
          <w:szCs w:val="24"/>
        </w:rPr>
        <w:t xml:space="preserve">统计单药使用频次、常用配伍组合及用药变化，分析结果生成图表并支持导出。</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有效方剂筛选：</w:t>
      </w:r>
      <w:r>
        <w:rPr>
          <w:rFonts w:hint="eastAsia" w:ascii="等线" w:hAnsi="等线" w:eastAsia="等线" w:cs="等线"/>
          <w:sz w:val="24"/>
          <w:szCs w:val="24"/>
        </w:rPr>
        <w:t xml:space="preserve">通过对医案数据中方剂的治疗效果进行跟踪评估和数据分析，结合疾病类型、证型、症状改善情况等多维度指标，</w:t>
      </w:r>
      <w:r>
        <w:rPr>
          <w:rFonts w:hint="eastAsia" w:ascii="宋体" w:hAnsi="宋体"/>
          <w:sz w:val="24"/>
          <w:szCs w:val="24"/>
        </w:rPr>
        <w:t xml:space="preserve">筛选针对特定病证的高效经验方，汇总方剂组成、适用范围等，分析报表可视化展示并导出。</w:t>
      </w:r>
      <w:r>
        <w:rPr>
          <w:rFonts w:ascii="宋体" w:hAnsi="宋体"/>
          <w:sz w:val="24"/>
          <w:szCs w:val="24"/>
        </w:rPr>
      </w:r>
      <w:r/>
    </w:p>
    <w:p>
      <w:pPr>
        <w:pStyle w:val="944"/>
        <w:keepNext/>
        <w:spacing w:line="500" w:lineRule="exact"/>
        <w:rPr>
          <w:rFonts w:ascii="宋体" w:hAnsi="宋体"/>
          <w:sz w:val="24"/>
          <w:szCs w:val="24"/>
        </w:rPr>
        <w:outlineLvl w:val="1"/>
      </w:pPr>
      <w:r/>
      <w:bookmarkStart w:id="197" w:name="_Toc236810506"/>
      <w:r>
        <w:rPr>
          <w:rFonts w:hint="eastAsia" w:ascii="宋体" w:hAnsi="宋体"/>
          <w:sz w:val="24"/>
          <w:szCs w:val="24"/>
        </w:rPr>
        <w:t xml:space="preserve">5.5接口服务</w:t>
      </w:r>
      <w:bookmarkEnd w:id="197"/>
      <w:r>
        <w:rPr>
          <w:rFonts w:ascii="宋体" w:hAnsi="宋体"/>
          <w:sz w:val="24"/>
          <w:szCs w:val="24"/>
        </w:rPr>
      </w:r>
      <w:r/>
    </w:p>
    <w:p>
      <w:pPr>
        <w:pStyle w:val="944"/>
        <w:keepNext/>
        <w:spacing w:line="500" w:lineRule="exact"/>
        <w:rPr>
          <w:rFonts w:ascii="宋体" w:hAnsi="宋体"/>
          <w:sz w:val="24"/>
          <w:szCs w:val="24"/>
        </w:rPr>
        <w:outlineLvl w:val="2"/>
      </w:pPr>
      <w:r>
        <w:rPr>
          <w:rFonts w:hint="eastAsia" w:ascii="宋体" w:hAnsi="宋体"/>
          <w:sz w:val="24"/>
          <w:szCs w:val="24"/>
        </w:rPr>
        <w:t xml:space="preserve">5.5.1接口内容</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名老中医药专家学术经验数字化传承平台需汇聚医院名老中医医案、临床诊疗、基础医疗数据等相关信息，数据来源包括但不限于HIS、EMR、数据中心、互联网医院等系统。平台通过标准化接口方式按需与上述系统对接，实现名老中医医案数据的获取、辅助决策支持及辨证开方、中医诊断教学、患者服务、AI智能体嵌入等功能。</w:t>
      </w:r>
      <w:r>
        <w:rPr>
          <w:rFonts w:ascii="宋体" w:hAnsi="宋体"/>
          <w:sz w:val="24"/>
          <w:szCs w:val="24"/>
        </w:rPr>
      </w:r>
      <w:r/>
    </w:p>
    <w:p>
      <w:pPr>
        <w:pStyle w:val="944"/>
        <w:ind w:firstLine="480"/>
        <w:spacing w:line="500" w:lineRule="exact"/>
        <w:rPr>
          <w:rFonts w:ascii="宋体" w:hAnsi="宋体"/>
          <w:sz w:val="24"/>
          <w:szCs w:val="24"/>
        </w:rPr>
      </w:pPr>
      <w:r>
        <w:rPr>
          <w:rFonts w:hint="eastAsia" w:ascii="宋体" w:hAnsi="宋体"/>
          <w:sz w:val="24"/>
          <w:szCs w:val="24"/>
        </w:rPr>
        <w:t xml:space="preserve">医院已搭建ODS贴源层数据库或具有标准化数据接收接口，供应商应优先对接已有数据接口；对于未接入ODS库或数据颗粒度不足的内容，由供应商与HIS厂商（第三方）对接，完成接口采集开发及数据完善等工作，因该部分工作产生的费用包含在本项目招标总报价中，供应商不再向采购人另行收取任何费用。供应商应根据医院数据管理的要求或数据对接方式的变更无偿配合医院完成数据对接调整，保证获取数据的准确完整及前端应用稳定运行。</w:t>
      </w:r>
      <w:r>
        <w:rPr>
          <w:rFonts w:ascii="宋体" w:hAnsi="宋体"/>
          <w:sz w:val="24"/>
          <w:szCs w:val="24"/>
        </w:rPr>
      </w:r>
      <w:r/>
    </w:p>
    <w:p>
      <w:pPr>
        <w:pStyle w:val="944"/>
        <w:keepNext/>
        <w:spacing w:line="500" w:lineRule="exact"/>
        <w:rPr>
          <w:rFonts w:ascii="宋体" w:hAnsi="宋体"/>
          <w:sz w:val="24"/>
          <w:szCs w:val="24"/>
        </w:rPr>
        <w:outlineLvl w:val="2"/>
      </w:pPr>
      <w:r>
        <w:rPr>
          <w:rFonts w:hint="eastAsia" w:ascii="宋体" w:hAnsi="宋体"/>
          <w:sz w:val="24"/>
          <w:szCs w:val="24"/>
        </w:rPr>
        <w:t xml:space="preserve">5.5.2接口要求</w:t>
      </w:r>
      <w:r>
        <w:rPr>
          <w:rFonts w:ascii="宋体" w:hAnsi="宋体"/>
          <w:sz w:val="24"/>
          <w:szCs w:val="24"/>
        </w:rPr>
      </w:r>
      <w:r/>
    </w:p>
    <w:p>
      <w:pPr>
        <w:pStyle w:val="944"/>
        <w:ind w:firstLine="420"/>
        <w:spacing w:line="500" w:lineRule="exact"/>
        <w:rPr>
          <w:rFonts w:ascii="宋体" w:hAnsi="宋体"/>
          <w:sz w:val="24"/>
          <w:szCs w:val="24"/>
        </w:rPr>
      </w:pPr>
      <w:r>
        <w:rPr>
          <w:rFonts w:hint="eastAsia" w:ascii="宋体" w:hAnsi="宋体"/>
          <w:sz w:val="24"/>
          <w:szCs w:val="24"/>
        </w:rPr>
        <w:t xml:space="preserve">标准化与兼容性：数据接口应遵循医疗健康信息化的相关标准（如HL7、FHIR、中医病证分类与代码等），确保数据的标准化和与其他系统的兼容性。接口类型应支持WebServices、HTTP、URL等多种方式，以适应不同业务场景。</w:t>
      </w:r>
      <w:r>
        <w:rPr>
          <w:rFonts w:ascii="宋体" w:hAnsi="宋体"/>
          <w:sz w:val="24"/>
          <w:szCs w:val="24"/>
        </w:rPr>
      </w:r>
      <w:r/>
    </w:p>
    <w:p>
      <w:pPr>
        <w:pStyle w:val="944"/>
        <w:ind w:firstLine="420"/>
        <w:spacing w:line="500" w:lineRule="exact"/>
        <w:rPr>
          <w:rFonts w:ascii="宋体" w:hAnsi="宋体"/>
          <w:sz w:val="24"/>
          <w:szCs w:val="24"/>
        </w:rPr>
      </w:pPr>
      <w:r>
        <w:rPr>
          <w:rFonts w:hint="eastAsia" w:ascii="宋体" w:hAnsi="宋体"/>
          <w:sz w:val="24"/>
          <w:szCs w:val="24"/>
        </w:rPr>
        <w:t xml:space="preserve">安全性：数据接口应采用加密技术（如SSL/TLS）保护数据传输过程中的安全性，同时实施严格的身份认证和访问控制机制，确保只有授权用户能够访问敏感数据，符合患者隐私保护相关规定。</w:t>
      </w:r>
      <w:r>
        <w:rPr>
          <w:rFonts w:ascii="宋体" w:hAnsi="宋体"/>
          <w:sz w:val="24"/>
          <w:szCs w:val="24"/>
        </w:rPr>
      </w:r>
      <w:r/>
    </w:p>
    <w:p>
      <w:pPr>
        <w:pStyle w:val="944"/>
        <w:ind w:firstLine="420"/>
        <w:spacing w:line="500" w:lineRule="exact"/>
        <w:rPr>
          <w:rFonts w:ascii="宋体" w:hAnsi="宋体"/>
          <w:sz w:val="24"/>
          <w:szCs w:val="24"/>
        </w:rPr>
      </w:pPr>
      <w:r>
        <w:rPr>
          <w:rFonts w:hint="eastAsia" w:ascii="宋体" w:hAnsi="宋体"/>
          <w:sz w:val="24"/>
          <w:szCs w:val="24"/>
        </w:rPr>
        <w:t xml:space="preserve">稳定性与可靠性：数据接口应具备高可用性和容错能力，确保在高峰时段或系统故障时仍能保持稳定运行，不丢失数据，支持异常重试和事务管理。</w:t>
      </w:r>
      <w:r>
        <w:rPr>
          <w:rFonts w:ascii="宋体" w:hAnsi="宋体"/>
          <w:sz w:val="24"/>
          <w:szCs w:val="24"/>
        </w:rPr>
      </w:r>
      <w:r/>
    </w:p>
    <w:p>
      <w:pPr>
        <w:pStyle w:val="944"/>
        <w:ind w:firstLine="420"/>
        <w:spacing w:line="500" w:lineRule="exact"/>
        <w:rPr>
          <w:rFonts w:ascii="宋体" w:hAnsi="宋体"/>
          <w:sz w:val="24"/>
          <w:szCs w:val="24"/>
        </w:rPr>
      </w:pPr>
      <w:r>
        <w:rPr>
          <w:rFonts w:hint="eastAsia" w:ascii="宋体" w:hAnsi="宋体"/>
          <w:sz w:val="24"/>
          <w:szCs w:val="24"/>
        </w:rPr>
        <w:t xml:space="preserve">可扩展性：随着名老中医传承业务的深入和需求的变化，数据接口应能够灵活扩展，支持新增数据类型、数据字段或数据源的接入，适应未来系统升级和功能扩展。</w:t>
      </w:r>
      <w:r>
        <w:rPr>
          <w:rFonts w:ascii="宋体" w:hAnsi="宋体"/>
          <w:sz w:val="24"/>
          <w:szCs w:val="24"/>
        </w:rPr>
      </w:r>
      <w:r/>
    </w:p>
    <w:p>
      <w:pPr>
        <w:pStyle w:val="944"/>
        <w:ind w:firstLine="480"/>
        <w:spacing w:line="500" w:lineRule="exact"/>
        <w:rPr>
          <w:rFonts w:ascii="宋体" w:hAnsi="宋体"/>
          <w:i/>
          <w:iCs/>
          <w:sz w:val="24"/>
          <w:szCs w:val="24"/>
          <w:u w:val="single"/>
        </w:rPr>
      </w:pPr>
      <w:r>
        <w:rPr>
          <w:rFonts w:ascii="宋体" w:hAnsi="宋体"/>
          <w:i/>
          <w:iCs/>
          <w:sz w:val="24"/>
          <w:szCs w:val="24"/>
          <w:u w:val="single"/>
        </w:rPr>
        <w:t xml:space="preserve">本项目涉及的软件相关技术和产品须满足</w:t>
      </w:r>
      <w:r>
        <w:rPr>
          <w:rFonts w:hint="eastAsia" w:ascii="宋体" w:hAnsi="宋体"/>
          <w:i/>
          <w:iCs/>
          <w:sz w:val="24"/>
          <w:szCs w:val="24"/>
          <w:u w:val="single"/>
        </w:rPr>
        <w:t xml:space="preserve">国产化</w:t>
      </w:r>
      <w:r>
        <w:rPr>
          <w:rFonts w:ascii="宋体" w:hAnsi="宋体"/>
          <w:i/>
          <w:iCs/>
          <w:sz w:val="24"/>
          <w:szCs w:val="24"/>
          <w:u w:val="single"/>
        </w:rPr>
        <w:t xml:space="preserve">要求。（提供承诺）</w:t>
      </w:r>
      <w:r/>
    </w:p>
    <w:p>
      <w:pPr>
        <w:pStyle w:val="944"/>
        <w:keepNext/>
        <w:spacing w:line="500" w:lineRule="exact"/>
        <w:rPr>
          <w:rFonts w:ascii="等线" w:hAnsi="等线" w:eastAsia="等线" w:cs="等线"/>
          <w:sz w:val="24"/>
          <w:szCs w:val="24"/>
        </w:rPr>
        <w:outlineLvl w:val="1"/>
      </w:pPr>
      <w:r>
        <w:rPr>
          <w:rFonts w:hint="eastAsia" w:ascii="等线" w:hAnsi="等线" w:eastAsia="等线" w:cs="等线"/>
          <w:sz w:val="24"/>
          <w:szCs w:val="24"/>
        </w:rPr>
        <w:t xml:space="preserve">六、项目建设要求</w:t>
      </w:r>
      <w:bookmarkStart w:id="198" w:name="OLE_LINK2"/>
      <w:r>
        <w:rPr>
          <w:rFonts w:ascii="等线" w:hAnsi="等线" w:eastAsia="等线" w:cs="等线"/>
          <w:sz w:val="24"/>
          <w:szCs w:val="24"/>
        </w:rPr>
      </w:r>
      <w:r/>
    </w:p>
    <w:p>
      <w:pPr>
        <w:pStyle w:val="944"/>
        <w:numPr>
          <w:ilvl w:val="0"/>
          <w:numId w:val="4"/>
        </w:numPr>
        <w:keepLines/>
        <w:keepNext/>
        <w:spacing w:before="160" w:after="80" w:line="500" w:lineRule="exact"/>
        <w:tabs>
          <w:tab w:val="left" w:pos="360" w:leader="none"/>
        </w:tabs>
        <w:rPr>
          <w:rFonts w:ascii="等线 Light" w:hAnsi="等线 Light" w:eastAsia="等线 Light"/>
          <w:b/>
          <w:bCs/>
          <w:sz w:val="24"/>
          <w:szCs w:val="24"/>
        </w:rPr>
        <w:outlineLvl w:val="2"/>
      </w:pPr>
      <w:r/>
      <w:bookmarkStart w:id="199" w:name="_Toc236810507"/>
      <w:r/>
      <w:bookmarkStart w:id="200" w:name="OLE_LINK8"/>
      <w:r>
        <w:rPr>
          <w:rFonts w:hint="eastAsia" w:ascii="等线 Light" w:hAnsi="等线 Light" w:eastAsia="等线 Light"/>
          <w:b/>
          <w:sz w:val="24"/>
          <w:szCs w:val="24"/>
        </w:rPr>
        <w:t xml:space="preserve">总体设计方案要求</w:t>
      </w:r>
      <w:bookmarkEnd w:id="199"/>
      <w:r>
        <w:rPr>
          <w:rFonts w:ascii="等线 Light" w:hAnsi="等线 Light" w:eastAsia="等线 Light"/>
          <w:b/>
          <w:bCs/>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本项目遵循国家医改总体部署及卫生改革政策的总体规划，立足医院实际发展需求，制定前瞻性信息化规划，满足医院高质量发展要求，实现统一管理、统一标准、互联互通。</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供应商应充分理解项目背景与需求，运用人工智能、大数据、知识图谱等技术，对我院名老中医医案、方药、诊疗技艺、学术思想进行数字化归集、结构化处理与智能化应用，打造经验传承、教学培训、临床辅助、科研挖掘一体化能力；项目遵循 “顶层设计、整体规划、分步实施、持续改进” 原则，方案须技术先进、实用易用、安全合规、可扩展兼容，全面适配医院现有信息系统与数据安全管理要求。设计方案应包括但不限于以下内容：</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1、总体架构设计：提供系统整体架构设计，说明系统硬件（服务器、存储、算力等）配置、网络要求，国产化数据库、中间件适配，客户端架构、应用部署、与现有系统对接及相互间的架构层次关系等。</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2、系统逻辑架构：说明从数据获取到业务应用的整体逻辑架构。</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3、系统数据架构：详细说明数据的采集、存储、处理、分发和治理的全链路设计。</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4、功能模块设计：针对项目需求的各个功能模块及相应的功能细分进行详细设计。</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5、安全合规设计：设计覆盖网络安全、数据安全、应用安全和安全管理等层面。</w:t>
      </w:r>
      <w:r>
        <w:rPr>
          <w:rFonts w:ascii="宋体" w:hAnsi="宋体"/>
          <w:sz w:val="24"/>
          <w:szCs w:val="24"/>
        </w:rPr>
      </w:r>
      <w:r/>
    </w:p>
    <w:p>
      <w:pPr>
        <w:pStyle w:val="944"/>
        <w:numPr>
          <w:ilvl w:val="0"/>
          <w:numId w:val="4"/>
        </w:numPr>
        <w:keepLines/>
        <w:keepNext/>
        <w:spacing w:before="160" w:after="80" w:line="500" w:lineRule="exact"/>
        <w:tabs>
          <w:tab w:val="left" w:pos="360" w:leader="none"/>
        </w:tabs>
        <w:rPr>
          <w:rFonts w:ascii="等线 Light" w:hAnsi="等线 Light" w:eastAsia="等线 Light"/>
          <w:b/>
          <w:bCs/>
          <w:sz w:val="24"/>
          <w:szCs w:val="24"/>
        </w:rPr>
        <w:outlineLvl w:val="2"/>
      </w:pPr>
      <w:r/>
      <w:bookmarkStart w:id="201" w:name="_Toc236810508"/>
      <w:r>
        <w:rPr>
          <w:rFonts w:hint="eastAsia" w:ascii="等线 Light" w:hAnsi="等线 Light" w:eastAsia="等线 Light"/>
          <w:b/>
          <w:sz w:val="24"/>
          <w:szCs w:val="24"/>
        </w:rPr>
        <w:t xml:space="preserve">实施方案要求</w:t>
      </w:r>
      <w:bookmarkEnd w:id="201"/>
      <w:r>
        <w:rPr>
          <w:rFonts w:ascii="等线 Light" w:hAnsi="等线 Light" w:eastAsia="等线 Light"/>
          <w:b/>
          <w:bCs/>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供应商应根据招标文件要求及本项目特点，制订项目实施方案，包括联合调试方案、各节点时间进度、人员配置安排等。实施方案应做到完整全面、科学可行，并有针对性，配备项目经理及技术服务人员，服从采购人管理要求，确保在规定的交付时限内完成；包括但不限于以下内容：</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1、实施团队：供应商应成立专门的项目实施团队，明确团队组成、角色分工、职责说明。项目实施期间驻场工程师人数不少于2人（不包含项目经理），项目经理应具有3年以上相关项目三甲医院实施工作经验（提供项目经理基本情况介绍），并参与项目整个开发和实施的过程。驻场人员需遵守院方的各项工作规章制度，并与院方作息时间一致。</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2、进度计划：明确各阶段任务分解、时间节点、里程碑设置；项目实施流程需按照医院管理规定进行，详细记录系统开发上线的全过程，形成完善的工作文档（包括开发、测试、培训、发布、会议纪要等相关文档），并在信息管理系统中归档。</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3、安全防范：需遵守医院的信息安全规章制度，未经许可不得泄露医院任何资料包括技术文档，数据文件，应用程序等，遵守患者隐私保护相关规定，不得泄露患者个人资料、医疗档案等。</w:t>
      </w:r>
      <w:r>
        <w:rPr>
          <w:rFonts w:ascii="宋体" w:hAnsi="宋体"/>
          <w:sz w:val="24"/>
          <w:szCs w:val="24"/>
        </w:rPr>
      </w:r>
      <w:r/>
    </w:p>
    <w:p>
      <w:pPr>
        <w:pStyle w:val="944"/>
        <w:ind w:firstLine="480"/>
        <w:spacing w:line="500" w:lineRule="exact"/>
        <w:widowControl/>
        <w:rPr>
          <w:sz w:val="24"/>
          <w:szCs w:val="24"/>
        </w:rPr>
      </w:pPr>
      <w:r>
        <w:rPr>
          <w:rFonts w:hint="eastAsia" w:ascii="宋体" w:hAnsi="宋体"/>
          <w:sz w:val="24"/>
          <w:szCs w:val="24"/>
        </w:rPr>
        <w:t xml:space="preserve">4、质量管控：供应商应具有完善的质量管理和控制体系，对本项目的风险预见以及风险规避有系统的解决方案，对项目进行中的突发事件有应急预案。</w:t>
      </w:r>
      <w:r>
        <w:rPr>
          <w:sz w:val="24"/>
          <w:szCs w:val="24"/>
        </w:rPr>
      </w:r>
      <w:r/>
    </w:p>
    <w:p>
      <w:pPr>
        <w:pStyle w:val="944"/>
        <w:numPr>
          <w:ilvl w:val="0"/>
          <w:numId w:val="4"/>
        </w:numPr>
        <w:keepLines/>
        <w:keepNext/>
        <w:spacing w:before="160" w:after="80" w:line="500" w:lineRule="exact"/>
        <w:tabs>
          <w:tab w:val="left" w:pos="360" w:leader="none"/>
        </w:tabs>
        <w:rPr>
          <w:rFonts w:ascii="等线 Light" w:hAnsi="等线 Light" w:eastAsia="等线 Light"/>
          <w:b/>
          <w:bCs/>
          <w:sz w:val="24"/>
          <w:szCs w:val="24"/>
        </w:rPr>
        <w:outlineLvl w:val="2"/>
      </w:pPr>
      <w:r/>
      <w:bookmarkStart w:id="202" w:name="_Toc236810509"/>
      <w:r>
        <w:rPr>
          <w:rFonts w:hint="eastAsia" w:ascii="等线 Light" w:hAnsi="等线 Light" w:eastAsia="等线 Light"/>
          <w:b/>
          <w:sz w:val="24"/>
          <w:szCs w:val="24"/>
        </w:rPr>
        <w:t xml:space="preserve">培训方案要求</w:t>
      </w:r>
      <w:bookmarkEnd w:id="202"/>
      <w:r>
        <w:rPr>
          <w:rFonts w:ascii="等线 Light" w:hAnsi="等线 Light" w:eastAsia="等线 Light"/>
          <w:b/>
          <w:bCs/>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供应商应提供完善的培训方案，包括但不限于以下内容：</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（1）培训人员：供应商应安排具备相应资质和经验的技术人员，对采购单位使用部门主要技术人员和骨干用户、普通用户、信息部门主要技术人员提供相应培训。</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2）培训内容：对采购单位使用部门主要技术人员和骨干用户提供全流程使用及维护培训，对普通用户提供使用培训，确保相关人员能熟练掌握设备或系统的日常使用及维护，对信息部门主要技术人员提供系统开发所需的主要技术培训，如操作系统、数据库、开发工具的厂家认证培训，以及应用系统平台的二次开发培训。</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（3）培训方式：供应商应提供现场/远程培训，必须无偿提供培训文档等所有相关资料(操作手册、培训视频等)，同时允许在医院内部使用。</w:t>
      </w:r>
      <w:r>
        <w:rPr>
          <w:rFonts w:ascii="宋体" w:hAnsi="宋体"/>
          <w:sz w:val="24"/>
          <w:szCs w:val="24"/>
        </w:rPr>
      </w:r>
      <w:r/>
    </w:p>
    <w:p>
      <w:pPr>
        <w:pStyle w:val="944"/>
        <w:ind w:firstLine="480"/>
        <w:spacing w:line="500" w:lineRule="exact"/>
        <w:widowControl/>
        <w:rPr>
          <w:sz w:val="24"/>
          <w:szCs w:val="24"/>
        </w:rPr>
      </w:pPr>
      <w:r>
        <w:rPr>
          <w:rFonts w:hint="eastAsia" w:ascii="宋体" w:hAnsi="宋体"/>
          <w:sz w:val="24"/>
          <w:szCs w:val="24"/>
        </w:rPr>
        <w:t xml:space="preserve">（4）培训计划：系统的培训工作要在系统上线试运行前完成，并在培训前编制专门的培训材料。培训时间、课时安排、培训材料等。</w:t>
      </w:r>
      <w:r>
        <w:rPr>
          <w:sz w:val="24"/>
          <w:szCs w:val="24"/>
        </w:rPr>
      </w:r>
      <w:r/>
    </w:p>
    <w:p>
      <w:pPr>
        <w:pStyle w:val="944"/>
        <w:numPr>
          <w:ilvl w:val="0"/>
          <w:numId w:val="4"/>
        </w:numPr>
        <w:keepLines/>
        <w:keepNext/>
        <w:spacing w:before="160" w:after="80" w:line="500" w:lineRule="exact"/>
        <w:tabs>
          <w:tab w:val="left" w:pos="360" w:leader="none"/>
        </w:tabs>
        <w:rPr>
          <w:rFonts w:ascii="等线 Light" w:hAnsi="等线 Light" w:eastAsia="等线 Light"/>
          <w:b/>
          <w:bCs/>
          <w:sz w:val="24"/>
          <w:szCs w:val="24"/>
        </w:rPr>
        <w:outlineLvl w:val="2"/>
      </w:pPr>
      <w:r/>
      <w:bookmarkStart w:id="203" w:name="_Toc236810510"/>
      <w:r>
        <w:rPr>
          <w:rFonts w:hint="eastAsia" w:ascii="等线 Light" w:hAnsi="等线 Light" w:eastAsia="等线 Light"/>
          <w:b/>
          <w:sz w:val="24"/>
          <w:szCs w:val="24"/>
        </w:rPr>
        <w:t xml:space="preserve">应急响应方案要求</w:t>
      </w:r>
      <w:bookmarkEnd w:id="203"/>
      <w:r>
        <w:rPr>
          <w:rFonts w:ascii="等线 Light" w:hAnsi="等线 Light" w:eastAsia="等线 Light"/>
          <w:b/>
          <w:bCs/>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为保障医院整体信息系统安全，本系统及其业务数据的安全符合国家相关标准规范的要求，在信息系统出现故障时，进行快速应急反应，提出并实施应急方案。供应商需提供详细的应急响应方案：有效预防、及时控制和最大限度地消除系统各类突发事件的危害和影响。包含但不仅限于：</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1、应急响应流程：能对突发事件进行分析与判断，初步确定事件的性质和类型，科学应对系统紧急事件，建立健全应急响应机制。响应流程应覆盖应急准备、事件监测预警、事件评估、处置、恢复重建等方面。在事件监测阶段做到“及时发现”，必须合理利用各种已有的检测手段，综合分析发现安全事件的真实原因。</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2、应急响应内容：对已有安全防护措施和安全事件应急响应内容进行改进，从而提高医院应对突发事件的组织指挥能力和应急处置能力，使故障恢复工作迅速、高效、有序地进行，满足突发情况下系统保障和系统恢复工作的需要。响应内容应覆盖硬件故障、软件故障、网络故障（攻击）、数据泄露等方面。</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3、应急响应时间：明确应急响应各环节的时限标准。</w:t>
      </w:r>
      <w:r>
        <w:rPr>
          <w:rFonts w:ascii="宋体" w:hAnsi="宋体"/>
          <w:sz w:val="24"/>
          <w:szCs w:val="24"/>
        </w:rPr>
      </w:r>
      <w:r/>
    </w:p>
    <w:p>
      <w:pPr>
        <w:pStyle w:val="944"/>
        <w:ind w:firstLine="480"/>
        <w:spacing w:line="500" w:lineRule="exact"/>
        <w:widowControl/>
        <w:rPr>
          <w:sz w:val="24"/>
          <w:szCs w:val="24"/>
        </w:rPr>
      </w:pPr>
      <w:r>
        <w:rPr>
          <w:rFonts w:hint="eastAsia" w:ascii="宋体" w:hAnsi="宋体"/>
          <w:sz w:val="24"/>
          <w:szCs w:val="24"/>
        </w:rPr>
        <w:t xml:space="preserve">4、人员安排：建立分级负责的应急组织体系，明确人员职责。</w:t>
      </w:r>
      <w:r>
        <w:rPr>
          <w:sz w:val="24"/>
          <w:szCs w:val="24"/>
        </w:rPr>
      </w:r>
      <w:r/>
    </w:p>
    <w:p>
      <w:pPr>
        <w:pStyle w:val="944"/>
        <w:numPr>
          <w:ilvl w:val="0"/>
          <w:numId w:val="4"/>
        </w:numPr>
        <w:keepLines/>
        <w:keepNext/>
        <w:spacing w:before="160" w:after="80" w:line="500" w:lineRule="exact"/>
        <w:tabs>
          <w:tab w:val="left" w:pos="360" w:leader="none"/>
        </w:tabs>
        <w:rPr>
          <w:rFonts w:ascii="等线 Light" w:hAnsi="等线 Light" w:eastAsia="等线 Light"/>
          <w:b/>
          <w:bCs/>
          <w:sz w:val="24"/>
          <w:szCs w:val="24"/>
        </w:rPr>
        <w:outlineLvl w:val="2"/>
      </w:pPr>
      <w:r/>
      <w:bookmarkStart w:id="204" w:name="_Toc236810511"/>
      <w:r>
        <w:rPr>
          <w:rFonts w:hint="eastAsia" w:ascii="等线 Light" w:hAnsi="等线 Light" w:eastAsia="等线 Light"/>
          <w:b/>
          <w:sz w:val="24"/>
          <w:szCs w:val="24"/>
        </w:rPr>
        <w:t xml:space="preserve">日常维护方案要求</w:t>
      </w:r>
      <w:bookmarkEnd w:id="204"/>
      <w:r>
        <w:rPr>
          <w:rFonts w:ascii="等线 Light" w:hAnsi="等线 Light" w:eastAsia="等线 Light"/>
          <w:b/>
          <w:bCs/>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供应商需提供详细的日常维护方案，保障医院各项业务的连续性与高效性，及时处理系统故障与性能问题，满足医院不断发展的信息化需求，提高用户对信息化平台的满意度。方案包括但不限于维护范围、人员组织、维护内容、维护流程等内容：</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1、维护范围：明确日常维护工作涉及的范围，如服务器、数据库、中间件、数据监控、数据备份、应用服务等。</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2、人员组织：建立日常维护人员组织安排，明确工作职责分工。</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3、维护内容：明确维护工作的主要内容，如巡检、监控、日志检查、补丁更新、端口及接口检查、用户请求响应、故障处理、技术支持服务等。</w:t>
      </w:r>
      <w:r>
        <w:rPr>
          <w:rFonts w:ascii="宋体" w:hAnsi="宋体"/>
          <w:sz w:val="24"/>
          <w:szCs w:val="24"/>
        </w:rPr>
      </w:r>
      <w:r/>
    </w:p>
    <w:p>
      <w:pPr>
        <w:pStyle w:val="944"/>
        <w:ind w:firstLine="480"/>
        <w:spacing w:line="500" w:lineRule="exact"/>
        <w:widowControl/>
        <w:rPr>
          <w:sz w:val="24"/>
          <w:szCs w:val="24"/>
        </w:rPr>
      </w:pPr>
      <w:r>
        <w:rPr>
          <w:rFonts w:hint="eastAsia" w:ascii="宋体" w:hAnsi="宋体"/>
          <w:sz w:val="24"/>
          <w:szCs w:val="24"/>
        </w:rPr>
        <w:t xml:space="preserve">4、维护流程：制定各项维护工作的操作流程及标准，如制定计划、明确操作步骤、制定处置标准、规范维护记录等</w:t>
      </w:r>
      <w:r>
        <w:rPr>
          <w:sz w:val="24"/>
          <w:szCs w:val="24"/>
        </w:rPr>
      </w:r>
      <w:r/>
    </w:p>
    <w:p>
      <w:pPr>
        <w:pStyle w:val="944"/>
        <w:numPr>
          <w:ilvl w:val="0"/>
          <w:numId w:val="4"/>
        </w:numPr>
        <w:keepLines/>
        <w:keepNext/>
        <w:spacing w:before="160" w:after="80" w:line="500" w:lineRule="exact"/>
        <w:tabs>
          <w:tab w:val="left" w:pos="360" w:leader="none"/>
        </w:tabs>
        <w:rPr>
          <w:rFonts w:ascii="等线 Light" w:hAnsi="等线 Light" w:eastAsia="等线 Light"/>
          <w:b/>
          <w:bCs/>
          <w:sz w:val="24"/>
          <w:szCs w:val="24"/>
        </w:rPr>
        <w:outlineLvl w:val="2"/>
      </w:pPr>
      <w:r/>
      <w:bookmarkStart w:id="205" w:name="_Toc236810512"/>
      <w:r>
        <w:rPr>
          <w:rFonts w:hint="eastAsia" w:ascii="等线 Light" w:hAnsi="等线 Light" w:eastAsia="等线 Light"/>
          <w:b/>
          <w:sz w:val="24"/>
          <w:szCs w:val="24"/>
        </w:rPr>
        <w:t xml:space="preserve">信息安全方案要求</w:t>
      </w:r>
      <w:bookmarkEnd w:id="205"/>
      <w:r>
        <w:rPr>
          <w:rFonts w:ascii="等线 Light" w:hAnsi="等线 Light" w:eastAsia="等线 Light"/>
          <w:b/>
          <w:bCs/>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供应商需提供详细的信息安全方案，保障系统符合等保</w:t>
      </w:r>
      <w:r>
        <w:rPr>
          <w:sz w:val="24"/>
          <w:szCs w:val="24"/>
        </w:rPr>
        <w:t xml:space="preserve">2.0</w:t>
      </w:r>
      <w:r>
        <w:rPr>
          <w:rFonts w:hint="eastAsia" w:ascii="宋体" w:hAnsi="宋体"/>
          <w:sz w:val="24"/>
          <w:szCs w:val="24"/>
        </w:rPr>
        <w:t xml:space="preserve">的规范要求。系统能够提供严格的安全及权限管理体系，包含但不仅限于：</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（1）身份认证：密码安全、多因素认证（人脸、动态口令等）、会话管理（登录失败处理、登录超时处理）、管理地址限制等使用人员身份认证方案。</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（2）访问控制：提供权限的多级分配、多重角色权限分配，支持最小化权限配置、数据访问权限控制等。系统能够灵活设置功能权限，严格控制不同操作权限与数据访问权限，保证系统数据的安全性、可靠性。</w:t>
      </w:r>
      <w:r>
        <w:rPr>
          <w:rFonts w:ascii="宋体" w:hAnsi="宋体"/>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（3）数据安全：运营数据分类分级、数据存储传输加密、脱敏、备份恢复、防泄漏、全生命周期管理等方案。</w:t>
      </w:r>
      <w:r>
        <w:rPr>
          <w:rFonts w:ascii="宋体" w:hAnsi="宋体"/>
          <w:sz w:val="24"/>
          <w:szCs w:val="24"/>
        </w:rPr>
      </w:r>
      <w:r/>
    </w:p>
    <w:p>
      <w:pPr>
        <w:pStyle w:val="944"/>
        <w:ind w:firstLine="480"/>
        <w:spacing w:line="500" w:lineRule="exact"/>
        <w:widowControl/>
        <w:rPr>
          <w:sz w:val="24"/>
          <w:szCs w:val="24"/>
        </w:rPr>
      </w:pPr>
      <w:r>
        <w:rPr>
          <w:rFonts w:hint="eastAsia" w:ascii="宋体" w:hAnsi="宋体"/>
          <w:sz w:val="24"/>
          <w:szCs w:val="24"/>
        </w:rPr>
        <w:t xml:space="preserve">（4）系统安全：操作系统、数据库安全加固、补丁漏洞管理、防病毒部署等。</w:t>
      </w:r>
      <w:bookmarkEnd w:id="198"/>
      <w:r>
        <w:rPr>
          <w:sz w:val="24"/>
          <w:szCs w:val="24"/>
        </w:rPr>
      </w:r>
      <w:r/>
    </w:p>
    <w:p>
      <w:pPr>
        <w:pStyle w:val="944"/>
        <w:numPr>
          <w:ilvl w:val="0"/>
          <w:numId w:val="4"/>
        </w:numPr>
        <w:keepLines/>
        <w:keepNext/>
        <w:spacing w:before="160" w:after="80" w:line="500" w:lineRule="exact"/>
        <w:tabs>
          <w:tab w:val="left" w:pos="360" w:leader="none"/>
        </w:tabs>
        <w:rPr>
          <w:rFonts w:ascii="等线 Light" w:hAnsi="等线 Light" w:eastAsia="等线 Light"/>
          <w:b/>
          <w:bCs/>
          <w:sz w:val="24"/>
          <w:szCs w:val="24"/>
        </w:rPr>
        <w:outlineLvl w:val="2"/>
      </w:pPr>
      <w:r/>
      <w:bookmarkStart w:id="206" w:name="_Toc236810513"/>
      <w:r>
        <w:rPr>
          <w:rFonts w:hint="eastAsia" w:ascii="等线 Light" w:hAnsi="等线 Light" w:eastAsia="等线 Light"/>
          <w:b/>
          <w:sz w:val="24"/>
          <w:szCs w:val="24"/>
        </w:rPr>
        <w:t xml:space="preserve">验收要求</w:t>
      </w:r>
      <w:bookmarkEnd w:id="206"/>
      <w:r>
        <w:rPr>
          <w:rFonts w:ascii="等线 Light" w:hAnsi="等线 Light" w:eastAsia="等线 Light"/>
          <w:b/>
          <w:bCs/>
          <w:sz w:val="24"/>
          <w:szCs w:val="24"/>
        </w:rPr>
      </w:r>
      <w:r/>
    </w:p>
    <w:p>
      <w:pPr>
        <w:pStyle w:val="944"/>
        <w:ind w:firstLine="480"/>
        <w:spacing w:line="500" w:lineRule="exact"/>
        <w:widowControl/>
        <w:rPr>
          <w:sz w:val="24"/>
          <w:szCs w:val="24"/>
        </w:rPr>
      </w:pPr>
      <w:r>
        <w:rPr>
          <w:rFonts w:hint="eastAsia" w:ascii="宋体" w:hAnsi="宋体"/>
          <w:sz w:val="24"/>
          <w:szCs w:val="24"/>
        </w:rPr>
        <w:t xml:space="preserve">本项目正式上线稳定运行至少</w:t>
      </w:r>
      <w:r>
        <w:rPr>
          <w:rFonts w:hint="eastAsia"/>
          <w:sz w:val="24"/>
          <w:szCs w:val="24"/>
        </w:rPr>
        <w:t xml:space="preserve">1</w:t>
      </w:r>
      <w:r>
        <w:rPr>
          <w:rFonts w:hint="eastAsia" w:ascii="宋体" w:hAnsi="宋体"/>
          <w:sz w:val="24"/>
          <w:szCs w:val="24"/>
        </w:rPr>
        <w:t xml:space="preserve">个月，完成5位名老中医药专家典型医案的采集与数字化整理累计达到750份以上，跟师学习人数累计达到</w:t>
      </w:r>
      <w:r>
        <w:rPr>
          <w:rFonts w:ascii="宋体" w:hAnsi="宋体"/>
          <w:sz w:val="24"/>
          <w:szCs w:val="24"/>
        </w:rPr>
        <w:t xml:space="preserve">400</w:t>
      </w:r>
      <w:r>
        <w:rPr>
          <w:rFonts w:hint="eastAsia" w:ascii="宋体" w:hAnsi="宋体"/>
          <w:sz w:val="24"/>
          <w:szCs w:val="24"/>
        </w:rPr>
        <w:t xml:space="preserve">人次以上，并且达到院方的验收标准后，双方组织验收，共同签署验收合格同意书。</w:t>
      </w:r>
      <w:r>
        <w:rPr>
          <w:sz w:val="24"/>
          <w:szCs w:val="24"/>
        </w:rPr>
      </w:r>
      <w:r/>
    </w:p>
    <w:p>
      <w:pPr>
        <w:pStyle w:val="944"/>
        <w:ind w:firstLine="480"/>
        <w:spacing w:line="500" w:lineRule="exact"/>
        <w:widowControl/>
        <w:rPr>
          <w:sz w:val="24"/>
          <w:szCs w:val="24"/>
        </w:rPr>
      </w:pPr>
      <w:r>
        <w:rPr>
          <w:rFonts w:hint="eastAsia" w:ascii="宋体" w:hAnsi="宋体"/>
          <w:sz w:val="24"/>
          <w:szCs w:val="24"/>
        </w:rPr>
        <w:t xml:space="preserve">在项目验收时应将系统全部有关技术文件、资料、及安装、测试、验收报告、数据结构、数</w:t>
      </w:r>
      <w:r>
        <w:rPr>
          <w:rFonts w:ascii="宋体" w:hAnsi="宋体"/>
          <w:sz w:val="24"/>
          <w:szCs w:val="24"/>
        </w:rPr>
        <w:t xml:space="preserve">据库详细设计说明书、全部源代码、测试报告、用户手册</w:t>
      </w:r>
      <w:r>
        <w:rPr>
          <w:rFonts w:hint="eastAsia" w:ascii="宋体" w:hAnsi="宋体"/>
          <w:sz w:val="24"/>
          <w:szCs w:val="24"/>
        </w:rPr>
        <w:t xml:space="preserve">等文档汇集成册交付院方。</w:t>
      </w:r>
      <w:r>
        <w:rPr>
          <w:sz w:val="24"/>
          <w:szCs w:val="24"/>
        </w:rPr>
      </w:r>
      <w:r/>
    </w:p>
    <w:p>
      <w:pPr>
        <w:pStyle w:val="944"/>
        <w:ind w:firstLine="480"/>
        <w:spacing w:line="500" w:lineRule="exact"/>
        <w:widowControl/>
        <w:rPr>
          <w:rFonts w:ascii="宋体" w:hAnsi="宋体"/>
          <w:sz w:val="24"/>
          <w:szCs w:val="24"/>
        </w:rPr>
      </w:pPr>
      <w:r>
        <w:rPr>
          <w:rFonts w:hint="eastAsia" w:ascii="宋体" w:hAnsi="宋体"/>
          <w:sz w:val="24"/>
          <w:szCs w:val="24"/>
        </w:rPr>
        <w:t xml:space="preserve">主要验收文档包括但不限于：</w:t>
      </w:r>
      <w:r>
        <w:rPr>
          <w:rFonts w:ascii="宋体" w:hAnsi="宋体"/>
          <w:sz w:val="24"/>
          <w:szCs w:val="24"/>
        </w:rPr>
      </w:r>
      <w:r/>
    </w:p>
    <w:tbl>
      <w:tblPr>
        <w:tblW w:w="0" w:type="auto"/>
        <w:tblInd w:w="1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13"/>
      </w:tblGrid>
      <w:tr>
        <w:trPr>
          <w:trHeight w:val="448"/>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rPr>
            </w:pPr>
            <w:r>
              <w:rPr>
                <w:rFonts w:hint="eastAsia" w:ascii="宋体" w:hAnsi="宋体" w:cs="方正仿宋_GBK"/>
                <w:sz w:val="24"/>
                <w:szCs w:val="24"/>
              </w:rPr>
              <w:t xml:space="preserve">招投标文件、中标通知书、合同</w:t>
            </w:r>
            <w:r>
              <w:rPr>
                <w:rFonts w:ascii="宋体" w:hAnsi="宋体" w:cs="方正仿宋_GBK"/>
                <w:sz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开工文档（开工申请、开工令、方案报审）</w:t>
            </w:r>
            <w:r>
              <w:rPr>
                <w:rFonts w:ascii="宋体" w:hAnsi="宋体"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软件需求说明书及需求确认表</w:t>
            </w:r>
            <w:r>
              <w:rPr>
                <w:rFonts w:ascii="宋体" w:hAnsi="宋体"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软件概要设计、详细设计、数据库设计及设计确认</w:t>
            </w:r>
            <w:r>
              <w:rPr>
                <w:rFonts w:ascii="宋体" w:hAnsi="宋体"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接口规范说明（规范文档、第三方对接协议）</w:t>
            </w:r>
            <w:r>
              <w:rPr>
                <w:rFonts w:ascii="宋体" w:hAnsi="宋体"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项目变更申请确认表或变更情况说明</w:t>
            </w:r>
            <w:r>
              <w:rPr>
                <w:rFonts w:ascii="宋体" w:hAnsi="宋体"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阶段性支付确认</w:t>
            </w:r>
            <w:r>
              <w:rPr>
                <w:rFonts w:ascii="宋体" w:hAnsi="宋体"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会议纪要（启动会、周例会、专题协调会）</w:t>
            </w:r>
            <w:r>
              <w:rPr>
                <w:rFonts w:ascii="宋体" w:hAnsi="宋体"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现场工作记录（日报、周报或月报）</w:t>
            </w:r>
            <w:r>
              <w:rPr>
                <w:rFonts w:ascii="宋体" w:hAnsi="宋体"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测试报告（功能、性能、安全）</w:t>
            </w:r>
            <w:r>
              <w:rPr>
                <w:rFonts w:ascii="宋体" w:hAnsi="宋体"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系统部署方案(包括上线切换方案、数据迁移方案和应急预案)</w:t>
            </w:r>
            <w:r>
              <w:rPr>
                <w:rFonts w:ascii="宋体" w:hAnsi="宋体"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试运行申请、试运行方案、试运行日志、试运行问题记录、试运行报告</w:t>
            </w:r>
            <w:r>
              <w:rPr>
                <w:rFonts w:ascii="宋体" w:hAnsi="宋体"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用户操作手册（包括管理员运维手册、权限分配方案、账号管理台账）</w:t>
            </w:r>
            <w:r>
              <w:rPr>
                <w:rFonts w:ascii="宋体" w:hAnsi="宋体"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软硬件兼容认证、国产化选型论证（如有）、安全加固方案及记录（如有）</w:t>
            </w:r>
            <w:r>
              <w:rPr>
                <w:rFonts w:ascii="宋体" w:hAnsi="宋体"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培训记录、培训签到表、培训课件</w:t>
            </w:r>
            <w:r>
              <w:rPr>
                <w:rFonts w:ascii="宋体" w:hAnsi="宋体" w:cs="方正仿宋_GBK"/>
                <w:sz w:val="24"/>
                <w:szCs w:val="24"/>
              </w:rPr>
            </w:r>
            <w:r/>
          </w:p>
        </w:tc>
      </w:tr>
      <w:tr>
        <w:trPr>
          <w:trHeight w:val="461"/>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源码交付清单</w:t>
            </w:r>
            <w:r>
              <w:rPr>
                <w:rFonts w:ascii="宋体" w:hAnsi="宋体"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44"/>
              <w:spacing w:line="500" w:lineRule="exact"/>
              <w:widowControl/>
              <w:rPr>
                <w:rFonts w:ascii="宋体" w:hAnsi="宋体" w:cs="方正仿宋_GBK"/>
                <w:sz w:val="24"/>
                <w:szCs w:val="24"/>
              </w:rPr>
            </w:pPr>
            <w:r>
              <w:rPr>
                <w:rFonts w:hint="eastAsia" w:ascii="宋体" w:hAnsi="宋体" w:cs="方正仿宋_GBK"/>
                <w:sz w:val="24"/>
                <w:szCs w:val="24"/>
              </w:rPr>
              <w:t xml:space="preserve">初、终验收申请表，初、终验收合格表</w:t>
            </w:r>
            <w:r>
              <w:rPr>
                <w:rFonts w:ascii="宋体" w:hAnsi="宋体" w:cs="方正仿宋_GBK"/>
                <w:sz w:val="24"/>
                <w:szCs w:val="24"/>
              </w:rPr>
            </w:r>
            <w:r/>
          </w:p>
        </w:tc>
      </w:tr>
    </w:tbl>
    <w:p>
      <w:pPr>
        <w:pStyle w:val="944"/>
        <w:ind w:firstLine="480"/>
        <w:spacing w:line="500" w:lineRule="exact"/>
        <w:widowControl/>
        <w:rPr>
          <w:sz w:val="24"/>
          <w:szCs w:val="24"/>
        </w:rPr>
      </w:pPr>
      <w:r>
        <w:rPr>
          <w:sz w:val="24"/>
          <w:szCs w:val="24"/>
        </w:rPr>
      </w:r>
      <w:r/>
    </w:p>
    <w:p>
      <w:pPr>
        <w:pStyle w:val="944"/>
        <w:numPr>
          <w:ilvl w:val="0"/>
          <w:numId w:val="4"/>
        </w:numPr>
        <w:keepLines/>
        <w:keepNext/>
        <w:spacing w:before="160" w:after="80" w:line="500" w:lineRule="exact"/>
        <w:tabs>
          <w:tab w:val="left" w:pos="360" w:leader="none"/>
        </w:tabs>
        <w:rPr>
          <w:rFonts w:ascii="等线 Light" w:hAnsi="等线 Light" w:eastAsia="等线 Light"/>
          <w:b/>
          <w:sz w:val="24"/>
          <w:szCs w:val="24"/>
        </w:rPr>
        <w:outlineLvl w:val="2"/>
      </w:pPr>
      <w:r/>
      <w:bookmarkEnd w:id="200"/>
      <w:r>
        <w:rPr>
          <w:rFonts w:hint="eastAsia" w:ascii="等线 Light" w:hAnsi="等线 Light" w:eastAsia="等线 Light"/>
          <w:b/>
          <w:sz w:val="24"/>
          <w:szCs w:val="24"/>
        </w:rPr>
        <w:t xml:space="preserve">履约能力：</w:t>
      </w:r>
      <w:r>
        <w:rPr>
          <w:rFonts w:ascii="等线 Light" w:hAnsi="等线 Light" w:eastAsia="等线 Light"/>
          <w:b/>
          <w:sz w:val="24"/>
          <w:szCs w:val="24"/>
        </w:rPr>
      </w:r>
      <w:r/>
    </w:p>
    <w:p>
      <w:pPr>
        <w:pStyle w:val="944"/>
        <w:spacing w:line="500" w:lineRule="exact"/>
        <w:widowControl/>
        <w:rPr>
          <w:sz w:val="24"/>
          <w:szCs w:val="24"/>
        </w:rPr>
      </w:pPr>
      <w:r>
        <w:rPr>
          <w:rFonts w:hint="eastAsia"/>
          <w:sz w:val="24"/>
          <w:szCs w:val="24"/>
        </w:rPr>
        <w:t xml:space="preserve">1、投标人具备有效期内的</w:t>
      </w:r>
      <w:r>
        <w:rPr>
          <w:sz w:val="24"/>
          <w:szCs w:val="24"/>
        </w:rPr>
        <w:t xml:space="preserve">ISO9001</w:t>
      </w:r>
      <w:r>
        <w:rPr>
          <w:rFonts w:hint="eastAsia"/>
          <w:sz w:val="24"/>
          <w:szCs w:val="24"/>
        </w:rPr>
        <w:t xml:space="preserve">质量管理体系认证证书。提供相关证明材料复印件并加盖公章。</w:t>
      </w:r>
      <w:r>
        <w:rPr>
          <w:sz w:val="24"/>
          <w:szCs w:val="24"/>
        </w:rPr>
      </w:r>
      <w:r/>
    </w:p>
    <w:p>
      <w:pPr>
        <w:pStyle w:val="944"/>
        <w:spacing w:line="500" w:lineRule="exact"/>
        <w:widowControl/>
        <w:rPr>
          <w:sz w:val="24"/>
          <w:szCs w:val="24"/>
        </w:rPr>
      </w:pPr>
      <w:r>
        <w:rPr>
          <w:rFonts w:hint="eastAsia"/>
          <w:sz w:val="24"/>
          <w:szCs w:val="24"/>
        </w:rPr>
        <w:t xml:space="preserve">2、项目团队人员：</w:t>
      </w:r>
      <w:r>
        <w:rPr>
          <w:sz w:val="24"/>
          <w:szCs w:val="24"/>
        </w:rPr>
      </w:r>
      <w:r/>
    </w:p>
    <w:p>
      <w:pPr>
        <w:pStyle w:val="944"/>
        <w:spacing w:line="500" w:lineRule="exact"/>
        <w:widowControl/>
        <w:rPr>
          <w:sz w:val="24"/>
          <w:szCs w:val="24"/>
        </w:rPr>
      </w:pPr>
      <w:r>
        <w:rPr>
          <w:rFonts w:hint="eastAsia"/>
          <w:sz w:val="24"/>
          <w:szCs w:val="24"/>
        </w:rPr>
        <w:t xml:space="preserve">1）具有信息系统项目管理师高级证书；</w:t>
      </w:r>
      <w:r>
        <w:rPr>
          <w:sz w:val="24"/>
          <w:szCs w:val="24"/>
        </w:rPr>
      </w:r>
      <w:r/>
    </w:p>
    <w:p>
      <w:pPr>
        <w:pStyle w:val="944"/>
        <w:spacing w:line="500" w:lineRule="exact"/>
        <w:widowControl/>
        <w:rPr>
          <w:sz w:val="24"/>
          <w:szCs w:val="24"/>
        </w:rPr>
      </w:pPr>
      <w:r>
        <w:rPr>
          <w:rFonts w:hint="eastAsia"/>
          <w:sz w:val="24"/>
          <w:szCs w:val="24"/>
        </w:rPr>
        <w:t xml:space="preserve">2）具有系统集成项目管理工程师；</w:t>
      </w:r>
      <w:r>
        <w:rPr>
          <w:sz w:val="24"/>
          <w:szCs w:val="24"/>
        </w:rPr>
      </w:r>
      <w:r/>
    </w:p>
    <w:p>
      <w:pPr>
        <w:pStyle w:val="944"/>
        <w:spacing w:line="500" w:lineRule="exact"/>
        <w:widowControl/>
        <w:rPr>
          <w:sz w:val="24"/>
          <w:szCs w:val="24"/>
        </w:rPr>
      </w:pPr>
      <w:r>
        <w:rPr>
          <w:rFonts w:hint="eastAsia"/>
          <w:sz w:val="24"/>
          <w:szCs w:val="24"/>
        </w:rPr>
        <w:t xml:space="preserve">提供人员证书复印件和投标截止前近3个月任意1个月的社保缴纳证明。</w:t>
      </w:r>
      <w:r>
        <w:rPr>
          <w:sz w:val="24"/>
          <w:szCs w:val="24"/>
        </w:rPr>
      </w:r>
      <w:r/>
    </w:p>
    <w:p>
      <w:pPr>
        <w:pStyle w:val="944"/>
        <w:spacing w:line="500" w:lineRule="exact"/>
        <w:widowControl/>
        <w:rPr>
          <w:sz w:val="24"/>
          <w:szCs w:val="24"/>
        </w:rPr>
      </w:pPr>
      <w:r>
        <w:rPr>
          <w:rFonts w:hint="eastAsia"/>
          <w:sz w:val="24"/>
          <w:szCs w:val="24"/>
        </w:rPr>
        <w:t xml:space="preserve">3</w:t>
      </w:r>
      <w:r>
        <w:rPr>
          <w:rFonts w:hint="eastAsia"/>
          <w:sz w:val="24"/>
          <w:szCs w:val="24"/>
        </w:rPr>
        <w:t xml:space="preserve">）投标人具有2023年（以合同签订时间为准）以来成熟的信息系统实施经验，系统为投标人所实施、合同中至少包含与本项目同类的中医传承系统。须提供合同复印件加盖投标人公章。</w:t>
      </w:r>
      <w:r>
        <w:rPr>
          <w:sz w:val="24"/>
          <w:szCs w:val="24"/>
        </w:rPr>
      </w:r>
      <w:r/>
    </w:p>
    <w:p>
      <w:pPr>
        <w:pStyle w:val="944"/>
        <w:spacing w:line="500" w:lineRule="exact"/>
        <w:widowControl/>
        <w:rPr>
          <w:sz w:val="24"/>
          <w:szCs w:val="24"/>
        </w:rPr>
      </w:pPr>
      <w:r>
        <w:rPr>
          <w:rFonts w:hint="eastAsia"/>
          <w:sz w:val="24"/>
          <w:szCs w:val="24"/>
        </w:rPr>
        <w:t xml:space="preserve">4</w:t>
      </w:r>
      <w:r>
        <w:rPr>
          <w:rFonts w:hint="eastAsia"/>
          <w:sz w:val="24"/>
          <w:szCs w:val="24"/>
        </w:rPr>
        <w:t xml:space="preserve">）投标人具有符合需求的软件开发能力，提供与本次建设内容相关的以下类似软件著作权：</w:t>
      </w:r>
      <w:r>
        <w:rPr>
          <w:sz w:val="24"/>
          <w:szCs w:val="24"/>
        </w:rPr>
      </w:r>
      <w:r/>
    </w:p>
    <w:p>
      <w:pPr>
        <w:pStyle w:val="944"/>
        <w:spacing w:line="500" w:lineRule="exact"/>
        <w:widowControl/>
        <w:rPr>
          <w:sz w:val="24"/>
          <w:szCs w:val="24"/>
        </w:rPr>
      </w:pPr>
      <w:r>
        <w:rPr>
          <w:rFonts w:hint="eastAsia"/>
          <w:sz w:val="24"/>
          <w:szCs w:val="24"/>
        </w:rPr>
        <w:t xml:space="preserve">1、中医传承平台类；</w:t>
      </w:r>
      <w:r>
        <w:rPr>
          <w:sz w:val="24"/>
          <w:szCs w:val="24"/>
        </w:rPr>
      </w:r>
      <w:r/>
    </w:p>
    <w:p>
      <w:pPr>
        <w:pStyle w:val="944"/>
        <w:spacing w:line="500" w:lineRule="exact"/>
        <w:widowControl/>
        <w:rPr>
          <w:sz w:val="24"/>
          <w:szCs w:val="24"/>
        </w:rPr>
      </w:pPr>
      <w:r>
        <w:rPr>
          <w:rFonts w:hint="eastAsia"/>
          <w:sz w:val="24"/>
          <w:szCs w:val="24"/>
        </w:rPr>
        <w:t xml:space="preserve">2、中医药数据采集类；</w:t>
      </w:r>
      <w:r>
        <w:rPr>
          <w:sz w:val="24"/>
          <w:szCs w:val="24"/>
        </w:rPr>
      </w:r>
      <w:r/>
    </w:p>
    <w:p>
      <w:pPr>
        <w:pStyle w:val="944"/>
        <w:spacing w:line="500" w:lineRule="exact"/>
        <w:widowControl/>
        <w:rPr>
          <w:sz w:val="24"/>
          <w:szCs w:val="24"/>
        </w:rPr>
      </w:pPr>
      <w:r>
        <w:rPr>
          <w:rFonts w:hint="eastAsia"/>
          <w:sz w:val="24"/>
          <w:szCs w:val="24"/>
        </w:rPr>
        <w:t xml:space="preserve">3、中医人工智能或中医大模型类。</w:t>
      </w:r>
      <w:r>
        <w:rPr>
          <w:sz w:val="24"/>
          <w:szCs w:val="24"/>
        </w:rPr>
      </w:r>
      <w:r/>
    </w:p>
    <w:p>
      <w:pPr>
        <w:pStyle w:val="944"/>
        <w:spacing w:line="500" w:lineRule="exact"/>
        <w:widowControl/>
        <w:rPr>
          <w:sz w:val="24"/>
          <w:szCs w:val="24"/>
        </w:rPr>
      </w:pPr>
      <w:r>
        <w:rPr>
          <w:rFonts w:hint="eastAsia"/>
          <w:sz w:val="24"/>
          <w:szCs w:val="24"/>
        </w:rPr>
        <w:t xml:space="preserve">投标人需提供软件著作权证书复印件并加盖投标人公章（如软件著作权证书名称与上述所列名称不一致，需提供详细功能附页，功能描述中体现上述相关主题）。</w:t>
      </w:r>
      <w:r>
        <w:rPr>
          <w:sz w:val="24"/>
          <w:szCs w:val="24"/>
        </w:rPr>
      </w:r>
      <w:r/>
    </w:p>
    <w:p>
      <w:pPr>
        <w:pStyle w:val="944"/>
        <w:keepNext/>
        <w:spacing w:line="500" w:lineRule="exact"/>
        <w:rPr>
          <w:rFonts w:ascii="等线" w:hAnsi="等线" w:eastAsia="等线" w:cs="等线"/>
          <w:sz w:val="24"/>
          <w:szCs w:val="24"/>
        </w:rPr>
        <w:outlineLvl w:val="1"/>
      </w:pPr>
      <w:r>
        <w:rPr>
          <w:rFonts w:hint="eastAsia" w:ascii="等线" w:hAnsi="等线" w:eastAsia="等线" w:cs="等线"/>
          <w:sz w:val="24"/>
          <w:szCs w:val="24"/>
        </w:rPr>
        <w:t xml:space="preserve">七、商务条款：</w:t>
      </w:r>
      <w:r>
        <w:rPr>
          <w:rFonts w:ascii="等线" w:hAnsi="等线" w:eastAsia="等线" w:cs="等线"/>
          <w:sz w:val="24"/>
          <w:szCs w:val="24"/>
        </w:rPr>
      </w:r>
      <w:r/>
    </w:p>
    <w:p>
      <w:pPr>
        <w:pStyle w:val="944"/>
        <w:numPr>
          <w:ilvl w:val="0"/>
          <w:numId w:val="5"/>
        </w:numPr>
        <w:ind w:left="0" w:firstLine="0"/>
        <w:keepLines/>
        <w:keepNext/>
        <w:spacing w:before="160" w:after="80" w:line="500" w:lineRule="exact"/>
        <w:tabs>
          <w:tab w:val="left" w:pos="360" w:leader="none"/>
        </w:tabs>
        <w:rPr>
          <w:rFonts w:ascii="等线 Light" w:hAnsi="等线 Light" w:eastAsia="等线 Light"/>
          <w:b/>
          <w:sz w:val="24"/>
          <w:szCs w:val="24"/>
        </w:rPr>
        <w:outlineLvl w:val="2"/>
      </w:pPr>
      <w:r/>
      <w:bookmarkStart w:id="207" w:name="_Toc236810514"/>
      <w:r>
        <w:rPr>
          <w:rFonts w:hint="eastAsia" w:ascii="等线 Light" w:hAnsi="等线 Light" w:eastAsia="等线 Light"/>
          <w:b/>
          <w:bCs/>
          <w:sz w:val="24"/>
          <w:szCs w:val="24"/>
        </w:rPr>
        <w:t xml:space="preserve">售后服务</w:t>
      </w:r>
      <w:bookmarkEnd w:id="207"/>
      <w:r>
        <w:rPr>
          <w:rFonts w:hint="eastAsia" w:ascii="等线 Light" w:hAnsi="等线 Light" w:eastAsia="等线 Light"/>
          <w:b/>
          <w:bCs/>
          <w:sz w:val="24"/>
          <w:szCs w:val="24"/>
        </w:rPr>
        <w:t xml:space="preserve">方案</w:t>
      </w:r>
      <w:r>
        <w:rPr>
          <w:rFonts w:ascii="等线 Light" w:hAnsi="等线 Light" w:eastAsia="等线 Light"/>
          <w:b/>
          <w:sz w:val="24"/>
          <w:szCs w:val="24"/>
        </w:rPr>
      </w:r>
      <w:r/>
    </w:p>
    <w:p>
      <w:pPr>
        <w:pStyle w:val="944"/>
        <w:numPr>
          <w:ilvl w:val="0"/>
          <w:numId w:val="6"/>
        </w:numPr>
        <w:jc w:val="left"/>
        <w:spacing w:line="500" w:lineRule="exact"/>
        <w:rPr>
          <w:rFonts w:ascii="宋体" w:hAnsi="宋体" w:cs="微软雅黑"/>
          <w:sz w:val="24"/>
          <w:szCs w:val="24"/>
        </w:rPr>
      </w:pPr>
      <w:r>
        <w:rPr>
          <w:rFonts w:hint="eastAsia" w:ascii="宋体" w:hAnsi="宋体" w:cs="微软雅黑"/>
          <w:sz w:val="24"/>
          <w:szCs w:val="24"/>
        </w:rPr>
        <w:t xml:space="preserve">供应商应响应本招标项目服务要求并在投标文件中提供具体的售后服务方案。</w:t>
      </w:r>
      <w:r>
        <w:rPr>
          <w:rFonts w:ascii="宋体" w:hAnsi="宋体" w:cs="微软雅黑"/>
          <w:sz w:val="24"/>
          <w:szCs w:val="24"/>
        </w:rPr>
      </w:r>
      <w:r/>
    </w:p>
    <w:p>
      <w:pPr>
        <w:pStyle w:val="944"/>
        <w:numPr>
          <w:ilvl w:val="0"/>
          <w:numId w:val="6"/>
        </w:numPr>
        <w:jc w:val="left"/>
        <w:spacing w:line="500" w:lineRule="exact"/>
        <w:rPr>
          <w:rFonts w:ascii="宋体" w:hAnsi="宋体" w:cs="微软雅黑"/>
          <w:sz w:val="24"/>
          <w:szCs w:val="24"/>
        </w:rPr>
      </w:pPr>
      <w:r/>
      <w:bookmarkStart w:id="208" w:name="OLE_LINK19"/>
      <w:r>
        <w:rPr>
          <w:rFonts w:hint="eastAsia" w:ascii="宋体" w:hAnsi="宋体" w:cs="微软雅黑"/>
          <w:sz w:val="24"/>
          <w:szCs w:val="24"/>
        </w:rPr>
        <w:t xml:space="preserve">功能修改</w:t>
      </w:r>
      <w:bookmarkEnd w:id="208"/>
      <w:r>
        <w:rPr>
          <w:rFonts w:hint="eastAsia" w:ascii="宋体" w:hAnsi="宋体" w:cs="微软雅黑"/>
          <w:sz w:val="24"/>
          <w:szCs w:val="24"/>
        </w:rPr>
        <w:t xml:space="preserve">：供应商对所提供的系统出现的软件缺陷，须实行终身免费修改维护。</w:t>
      </w:r>
      <w:r>
        <w:rPr>
          <w:rFonts w:ascii="宋体" w:hAnsi="宋体" w:cs="微软雅黑"/>
          <w:sz w:val="24"/>
          <w:szCs w:val="24"/>
        </w:rPr>
      </w:r>
      <w:r/>
    </w:p>
    <w:p>
      <w:pPr>
        <w:pStyle w:val="944"/>
        <w:numPr>
          <w:ilvl w:val="0"/>
          <w:numId w:val="6"/>
        </w:numPr>
        <w:jc w:val="left"/>
        <w:spacing w:line="500" w:lineRule="exact"/>
        <w:rPr>
          <w:rFonts w:ascii="宋体" w:hAnsi="宋体" w:cs="微软雅黑"/>
          <w:sz w:val="24"/>
          <w:szCs w:val="24"/>
        </w:rPr>
      </w:pPr>
      <w:r/>
      <w:bookmarkStart w:id="209" w:name="OLE_LINK20"/>
      <w:r>
        <w:rPr>
          <w:rFonts w:hint="eastAsia" w:ascii="宋体" w:hAnsi="宋体" w:cs="微软雅黑"/>
          <w:sz w:val="24"/>
          <w:szCs w:val="24"/>
        </w:rPr>
        <w:t xml:space="preserve">服务管理体系</w:t>
      </w:r>
      <w:bookmarkEnd w:id="209"/>
      <w:r>
        <w:rPr>
          <w:rFonts w:hint="eastAsia" w:ascii="宋体" w:hAnsi="宋体" w:cs="微软雅黑"/>
          <w:sz w:val="24"/>
          <w:szCs w:val="24"/>
        </w:rPr>
        <w:t xml:space="preserve">：供应商应具有完善的售后服务管理体系，提供完善的售后服务和应急响应方案及承诺，投标书中需注明。</w:t>
      </w:r>
      <w:r>
        <w:rPr>
          <w:rFonts w:ascii="宋体" w:hAnsi="宋体" w:cs="微软雅黑"/>
          <w:sz w:val="24"/>
          <w:szCs w:val="24"/>
        </w:rPr>
      </w:r>
      <w:r/>
    </w:p>
    <w:p>
      <w:pPr>
        <w:pStyle w:val="944"/>
        <w:numPr>
          <w:ilvl w:val="0"/>
          <w:numId w:val="6"/>
        </w:numPr>
        <w:jc w:val="left"/>
        <w:spacing w:line="500" w:lineRule="exact"/>
        <w:rPr>
          <w:rFonts w:ascii="宋体" w:hAnsi="宋体" w:cs="微软雅黑"/>
          <w:sz w:val="24"/>
          <w:szCs w:val="24"/>
        </w:rPr>
      </w:pPr>
      <w:r>
        <w:rPr>
          <w:rFonts w:hint="eastAsia" w:ascii="宋体" w:hAnsi="宋体" w:cs="微软雅黑"/>
          <w:sz w:val="24"/>
          <w:szCs w:val="24"/>
        </w:rPr>
        <w:t xml:space="preserve">质保期及后续维保方案：质保期自合同项目正式验收起不少于一年。供应商应列明质保期结束后，每年的维保费用和维保方案。如仍由中标供应商维保，软件维保费用不超过合同额的7%。</w:t>
      </w:r>
      <w:r>
        <w:rPr>
          <w:rFonts w:ascii="宋体" w:hAnsi="宋体" w:cs="微软雅黑"/>
          <w:sz w:val="24"/>
          <w:szCs w:val="24"/>
        </w:rPr>
      </w:r>
      <w:r/>
    </w:p>
    <w:p>
      <w:pPr>
        <w:pStyle w:val="944"/>
        <w:numPr>
          <w:ilvl w:val="0"/>
          <w:numId w:val="6"/>
        </w:numPr>
        <w:jc w:val="left"/>
        <w:spacing w:line="500" w:lineRule="exact"/>
        <w:rPr>
          <w:rFonts w:ascii="宋体" w:hAnsi="宋体" w:cs="微软雅黑"/>
          <w:sz w:val="24"/>
          <w:szCs w:val="24"/>
        </w:rPr>
      </w:pPr>
      <w:r>
        <w:rPr>
          <w:rFonts w:hint="eastAsia" w:ascii="宋体" w:hAnsi="宋体" w:cs="微软雅黑"/>
          <w:sz w:val="24"/>
          <w:szCs w:val="24"/>
        </w:rPr>
        <w:t xml:space="preserve">维保巡检：质保期内，供应商必须派遣熟悉本</w:t>
      </w:r>
      <w:r>
        <w:rPr>
          <w:rFonts w:hint="eastAsia" w:ascii="宋体" w:hAnsi="宋体" w:cs="微软雅黑"/>
          <w:sz w:val="24"/>
          <w:szCs w:val="24"/>
        </w:rPr>
        <w:t xml:space="preserve">项目并</w:t>
      </w:r>
      <w:r>
        <w:rPr>
          <w:rFonts w:hint="eastAsia" w:ascii="宋体" w:hAnsi="宋体" w:cs="微软雅黑"/>
          <w:sz w:val="24"/>
          <w:szCs w:val="24"/>
        </w:rPr>
        <w:t xml:space="preserve">有一定的开发维护经验的工程师，每月&gt;=4次对系统进行巡检维护（须提供巡检记录文档），保证系统在最优状态下稳定运行。</w:t>
      </w:r>
      <w:r>
        <w:rPr>
          <w:rFonts w:ascii="宋体" w:hAnsi="宋体" w:cs="微软雅黑"/>
          <w:sz w:val="24"/>
          <w:szCs w:val="24"/>
        </w:rPr>
      </w:r>
      <w:r/>
    </w:p>
    <w:p>
      <w:pPr>
        <w:pStyle w:val="944"/>
        <w:numPr>
          <w:ilvl w:val="0"/>
          <w:numId w:val="6"/>
        </w:numPr>
        <w:jc w:val="left"/>
        <w:spacing w:line="500" w:lineRule="exact"/>
        <w:rPr>
          <w:rFonts w:ascii="宋体" w:hAnsi="宋体" w:cs="微软雅黑"/>
          <w:sz w:val="24"/>
          <w:szCs w:val="24"/>
        </w:rPr>
      </w:pPr>
      <w:r>
        <w:rPr>
          <w:rFonts w:hint="eastAsia" w:ascii="宋体" w:hAnsi="宋体" w:cs="微软雅黑"/>
          <w:sz w:val="24"/>
          <w:szCs w:val="24"/>
        </w:rPr>
        <w:t xml:space="preserve">响应时间：质保期内供应商应采用定期走访、现场服务、电话和网络咨询等方式为用户提供全方位技术服务，并提供7*24小时的电话热线咨询服务。对于系统在使用过程中出现的问题，须在30分钟内远程维护响应；若远程维护不能解决，则在60分钟内技术人员须到达现场维修。发生影响系统正常运行的故障，致系统瘫痪等严重问题，须在故障发生后2小时内予以解决，造成恶劣影响的，根据医院相关规定进行处罚。</w:t>
      </w:r>
      <w:r>
        <w:rPr>
          <w:rFonts w:ascii="宋体" w:hAnsi="宋体" w:cs="微软雅黑"/>
          <w:sz w:val="24"/>
          <w:szCs w:val="24"/>
        </w:rPr>
      </w:r>
      <w:r/>
    </w:p>
    <w:p>
      <w:pPr>
        <w:pStyle w:val="944"/>
        <w:numPr>
          <w:ilvl w:val="0"/>
          <w:numId w:val="5"/>
        </w:numPr>
        <w:ind w:left="0" w:firstLine="0"/>
        <w:keepLines/>
        <w:keepNext/>
        <w:spacing w:before="160" w:after="80" w:line="500" w:lineRule="exact"/>
        <w:tabs>
          <w:tab w:val="left" w:pos="360" w:leader="none"/>
        </w:tabs>
        <w:rPr>
          <w:rFonts w:ascii="Calibri" w:hAnsi="Calibri" w:eastAsia="等线 Light" w:cs="宋体"/>
          <w:b/>
          <w:sz w:val="24"/>
          <w:szCs w:val="24"/>
        </w:rPr>
        <w:outlineLvl w:val="2"/>
      </w:pPr>
      <w:r/>
      <w:bookmarkStart w:id="210" w:name="_Toc236810515"/>
      <w:r>
        <w:rPr>
          <w:rFonts w:hint="eastAsia" w:ascii="等线 Light" w:hAnsi="等线 Light" w:eastAsia="等线 Light"/>
          <w:b/>
          <w:bCs/>
          <w:sz w:val="24"/>
          <w:szCs w:val="24"/>
        </w:rPr>
        <w:t xml:space="preserve">保密协议</w:t>
      </w:r>
      <w:bookmarkEnd w:id="210"/>
      <w:r>
        <w:rPr>
          <w:rFonts w:ascii="Calibri" w:hAnsi="Calibri" w:eastAsia="等线 Light" w:cs="宋体"/>
          <w:b/>
          <w:sz w:val="24"/>
          <w:szCs w:val="24"/>
        </w:rPr>
      </w:r>
      <w:r/>
    </w:p>
    <w:p>
      <w:pPr>
        <w:pStyle w:val="944"/>
        <w:ind w:firstLine="420"/>
        <w:jc w:val="left"/>
        <w:spacing w:line="500" w:lineRule="exact"/>
        <w:rPr>
          <w:sz w:val="24"/>
          <w:szCs w:val="24"/>
        </w:rPr>
      </w:pPr>
      <w:r>
        <w:rPr>
          <w:rFonts w:hint="eastAsia" w:ascii="宋体" w:hAnsi="宋体" w:cs="微软雅黑"/>
          <w:sz w:val="24"/>
          <w:szCs w:val="24"/>
        </w:rPr>
        <w:t xml:space="preserve">中标供应商须与医院签订《信息安全与保密协议》，</w:t>
      </w:r>
      <w:r>
        <w:rPr>
          <w:rFonts w:hint="eastAsia"/>
          <w:sz w:val="24"/>
          <w:szCs w:val="24"/>
        </w:rPr>
        <w:t xml:space="preserve">遵守国家相关政策法规及医院信息安全规章制度，未经许可不得泄露医院任何资料，包括但不限于技术文档、数据文件、应用程序、患者资料、医疗档案等。</w:t>
      </w:r>
      <w:r>
        <w:rPr>
          <w:sz w:val="24"/>
          <w:szCs w:val="24"/>
        </w:rPr>
      </w:r>
      <w:r/>
    </w:p>
    <w:p>
      <w:pPr>
        <w:pStyle w:val="944"/>
        <w:ind w:firstLine="420"/>
        <w:jc w:val="left"/>
        <w:spacing w:line="500" w:lineRule="exact"/>
        <w:rPr>
          <w:rFonts w:ascii="宋体" w:hAnsi="宋体" w:eastAsia="等线" w:cs="微软雅黑"/>
          <w:sz w:val="24"/>
          <w:szCs w:val="24"/>
        </w:rPr>
      </w:pPr>
      <w:r>
        <w:rPr>
          <w:sz w:val="24"/>
          <w:szCs w:val="24"/>
        </w:rPr>
        <w:t xml:space="preserve"> </w:t>
      </w:r>
      <w:r>
        <w:rPr>
          <w:rFonts w:ascii="宋体" w:hAnsi="宋体" w:eastAsia="等线" w:cs="微软雅黑"/>
          <w:sz w:val="24"/>
          <w:szCs w:val="24"/>
        </w:rPr>
      </w:r>
      <w:r/>
    </w:p>
    <w:p>
      <w:pPr>
        <w:pStyle w:val="944"/>
        <w:spacing w:line="500" w:lineRule="exact"/>
        <w:rPr>
          <w:i/>
          <w:iCs/>
          <w:szCs w:val="24"/>
          <w:u w:val="single"/>
        </w:rPr>
      </w:pPr>
      <w:r>
        <w:rPr>
          <w:rFonts w:hint="eastAsia" w:ascii="宋体" w:hAnsi="宋体" w:cs="宋体"/>
          <w:bCs/>
          <w:i/>
          <w:iCs/>
          <w:sz w:val="24"/>
          <w:szCs w:val="24"/>
          <w:u w:val="single"/>
        </w:rPr>
        <w:t xml:space="preserve">3</w:t>
      </w:r>
      <w:r>
        <w:rPr>
          <w:rFonts w:hint="eastAsia" w:ascii="宋体" w:hAnsi="宋体"/>
          <w:i/>
          <w:iCs/>
          <w:sz w:val="24"/>
          <w:szCs w:val="24"/>
          <w:u w:val="single"/>
        </w:rPr>
        <w:t xml:space="preserve">供应商需提供以下书面承诺：</w:t>
      </w:r>
      <w:r>
        <w:rPr>
          <w:i/>
          <w:iCs/>
          <w:szCs w:val="24"/>
          <w:u w:val="single"/>
        </w:rPr>
      </w:r>
      <w:r/>
    </w:p>
    <w:p>
      <w:pPr>
        <w:pStyle w:val="944"/>
        <w:ind w:firstLine="480"/>
        <w:spacing w:line="500" w:lineRule="exact"/>
        <w:rPr>
          <w:rFonts w:ascii="宋体" w:hAnsi="宋体"/>
          <w:i/>
          <w:iCs/>
          <w:sz w:val="24"/>
          <w:szCs w:val="24"/>
          <w:u w:val="single"/>
        </w:rPr>
      </w:pPr>
      <w:r>
        <w:rPr>
          <w:rFonts w:hint="eastAsia" w:ascii="宋体" w:hAnsi="宋体"/>
          <w:i/>
          <w:iCs/>
          <w:sz w:val="24"/>
          <w:szCs w:val="24"/>
          <w:u w:val="single"/>
        </w:rPr>
        <w:t xml:space="preserve">（1）本次采购的软件要求不影响现有的业务系统，供应商要负责平台的部署。本项目投标总报价包括本次采购、安装调试、数据和售后服务等所有费用；</w:t>
      </w:r>
      <w:r>
        <w:rPr>
          <w:rFonts w:ascii="宋体" w:hAnsi="宋体"/>
          <w:i/>
          <w:iCs/>
          <w:sz w:val="24"/>
          <w:szCs w:val="24"/>
          <w:u w:val="single"/>
        </w:rPr>
      </w:r>
      <w:r/>
    </w:p>
    <w:p>
      <w:pPr>
        <w:pStyle w:val="944"/>
        <w:ind w:firstLine="480"/>
        <w:spacing w:line="500" w:lineRule="exact"/>
        <w:rPr>
          <w:rFonts w:ascii="宋体" w:hAnsi="宋体"/>
          <w:i/>
          <w:iCs/>
          <w:sz w:val="24"/>
          <w:szCs w:val="24"/>
          <w:u w:val="single"/>
        </w:rPr>
      </w:pPr>
      <w:r>
        <w:rPr>
          <w:rFonts w:hint="eastAsia" w:ascii="宋体" w:hAnsi="宋体"/>
          <w:i/>
          <w:iCs/>
          <w:sz w:val="24"/>
          <w:szCs w:val="24"/>
          <w:u w:val="single"/>
        </w:rPr>
        <w:t xml:space="preserve">（2）供应商提供的软件平台（系统）与江苏省中医院现有系统、集成平台无缝集成，包括系统及集成平台所需所有信息。投标系统与江苏省中医院集成平台对接，以及与江苏省中医院各院区该软件系统间、该系统与其他系统的对接，配合江苏省中医院以后的所有过级、评级改造需求。上述工作均含在此次报价中，且不再另行向采购人收费。 </w:t>
      </w:r>
      <w:r>
        <w:rPr>
          <w:rFonts w:ascii="宋体" w:hAnsi="宋体"/>
          <w:i/>
          <w:iCs/>
          <w:sz w:val="24"/>
          <w:szCs w:val="24"/>
          <w:u w:val="single"/>
        </w:rPr>
      </w:r>
      <w:r/>
    </w:p>
    <w:p>
      <w:pPr>
        <w:pStyle w:val="944"/>
        <w:ind w:firstLine="480"/>
        <w:spacing w:line="500" w:lineRule="exact"/>
        <w:rPr>
          <w:rFonts w:ascii="宋体" w:hAnsi="宋体"/>
          <w:i/>
          <w:iCs/>
          <w:sz w:val="24"/>
          <w:szCs w:val="24"/>
          <w:u w:val="single"/>
        </w:rPr>
      </w:pPr>
      <w:r>
        <w:rPr>
          <w:rFonts w:hint="eastAsia" w:ascii="宋体" w:hAnsi="宋体"/>
          <w:i/>
          <w:iCs/>
          <w:sz w:val="24"/>
          <w:szCs w:val="24"/>
          <w:u w:val="single"/>
        </w:rPr>
        <w:t xml:space="preserve">（3）供应商提供的软件平台（系统）软、硬件接口必须遵循国家、行业、医保相关标准，提供完整接口文档（</w:t>
      </w:r>
      <w:r>
        <w:rPr>
          <w:rFonts w:ascii="宋体" w:hAnsi="宋体"/>
          <w:i/>
          <w:iCs/>
          <w:sz w:val="24"/>
          <w:szCs w:val="24"/>
          <w:u w:val="single"/>
        </w:rPr>
        <w:t xml:space="preserve">API</w:t>
      </w:r>
      <w:r>
        <w:rPr>
          <w:rFonts w:hint="eastAsia" w:ascii="宋体" w:hAnsi="宋体"/>
          <w:i/>
          <w:iCs/>
          <w:sz w:val="24"/>
          <w:szCs w:val="24"/>
          <w:u w:val="single"/>
        </w:rPr>
        <w:t xml:space="preserve">说明、数据库表结构、消息格式定义、</w:t>
      </w:r>
      <w:r>
        <w:rPr>
          <w:rFonts w:ascii="宋体" w:hAnsi="宋体"/>
          <w:i/>
          <w:iCs/>
          <w:sz w:val="24"/>
          <w:szCs w:val="24"/>
          <w:u w:val="single"/>
        </w:rPr>
        <w:t xml:space="preserve">SDK</w:t>
      </w:r>
      <w:r>
        <w:rPr>
          <w:rFonts w:hint="eastAsia" w:ascii="宋体" w:hAnsi="宋体"/>
          <w:i/>
          <w:iCs/>
          <w:sz w:val="24"/>
          <w:szCs w:val="24"/>
          <w:u w:val="single"/>
        </w:rPr>
        <w:t xml:space="preserve">）。不得采用非公开私有协议或加密接口。系统全生命周期内，医院新增业务系统对接，免费开放接口并提供技术支持。须根据财库〔2026〕2号文件的严格落实相关开放性、兼容性标准和规范要求，按合同约定提供服务，在系统运行过程中，不得在合同约定之外以任何名义向相关服务对象收取费用。</w:t>
      </w:r>
      <w:r>
        <w:rPr>
          <w:rFonts w:ascii="宋体" w:hAnsi="宋体"/>
          <w:i/>
          <w:iCs/>
          <w:sz w:val="24"/>
          <w:szCs w:val="24"/>
          <w:u w:val="single"/>
        </w:rPr>
      </w:r>
      <w:r/>
    </w:p>
    <w:p>
      <w:pPr>
        <w:pStyle w:val="944"/>
        <w:ind w:firstLine="480"/>
        <w:spacing w:line="500" w:lineRule="exact"/>
        <w:rPr>
          <w:rFonts w:ascii="宋体" w:hAnsi="宋体"/>
          <w:i/>
          <w:iCs/>
          <w:sz w:val="24"/>
          <w:szCs w:val="24"/>
          <w:u w:val="single"/>
        </w:rPr>
      </w:pPr>
      <w:r>
        <w:rPr>
          <w:rFonts w:hint="eastAsia" w:ascii="宋体" w:hAnsi="宋体"/>
          <w:i/>
          <w:iCs/>
          <w:sz w:val="24"/>
          <w:szCs w:val="24"/>
          <w:u w:val="single"/>
        </w:rPr>
        <w:t xml:space="preserve">（4）在不涉及大版本升级的情况下，无条件配合医院调整功能、需求。软件功能满足采购人个性化需求修改。且不再另行向采购人收费。并保证所涉系统正常运行。</w:t>
      </w:r>
      <w:r>
        <w:rPr>
          <w:rFonts w:ascii="宋体" w:hAnsi="宋体"/>
          <w:i/>
          <w:iCs/>
          <w:sz w:val="24"/>
          <w:szCs w:val="24"/>
          <w:u w:val="single"/>
        </w:rPr>
      </w:r>
      <w:r/>
    </w:p>
    <w:p>
      <w:pPr>
        <w:pStyle w:val="944"/>
        <w:ind w:firstLine="480"/>
        <w:spacing w:line="500" w:lineRule="exact"/>
        <w:rPr>
          <w:rFonts w:ascii="宋体" w:hAnsi="宋体" w:cs="宋体"/>
          <w:bCs/>
          <w:sz w:val="24"/>
          <w:szCs w:val="24"/>
        </w:rPr>
      </w:pPr>
      <w:r>
        <w:rPr>
          <w:rFonts w:hint="eastAsia" w:ascii="宋体" w:hAnsi="宋体"/>
          <w:i/>
          <w:iCs/>
          <w:sz w:val="24"/>
          <w:szCs w:val="24"/>
          <w:u w:val="single"/>
        </w:rPr>
        <w:t xml:space="preserve">（5）采购人只提供项目所需硬件资源基础设施，供应商为本项目提供的所有软件（含服务器端的操作系统、数据库等第三方软件），均需为正版软件，若由于未使用正版软件引起纠纷或处罚，由供应商负责。</w:t>
      </w:r>
      <w:r>
        <w:rPr>
          <w:rFonts w:ascii="宋体" w:hAnsi="宋体" w:cs="宋体"/>
          <w:bCs/>
          <w:sz w:val="24"/>
          <w:szCs w:val="24"/>
        </w:rPr>
      </w:r>
      <w:r/>
    </w:p>
    <w:p>
      <w:pPr>
        <w:pStyle w:val="944"/>
        <w:numPr>
          <w:ilvl w:val="0"/>
          <w:numId w:val="5"/>
        </w:numPr>
        <w:ind w:left="0" w:firstLine="0"/>
        <w:keepLines/>
        <w:keepNext/>
        <w:spacing w:before="160" w:after="80" w:line="500" w:lineRule="exact"/>
        <w:tabs>
          <w:tab w:val="left" w:pos="360" w:leader="none"/>
        </w:tabs>
        <w:rPr>
          <w:rFonts w:ascii="等线 Light" w:hAnsi="等线 Light" w:eastAsia="等线 Light"/>
          <w:b/>
          <w:bCs/>
          <w:sz w:val="24"/>
          <w:szCs w:val="24"/>
        </w:rPr>
        <w:outlineLvl w:val="2"/>
      </w:pPr>
      <w:r>
        <w:rPr>
          <w:rFonts w:hint="eastAsia" w:ascii="等线 Light" w:hAnsi="等线 Light" w:eastAsia="等线 Light"/>
          <w:b/>
          <w:bCs/>
          <w:sz w:val="24"/>
          <w:szCs w:val="24"/>
        </w:rPr>
        <w:t xml:space="preserve">交付方式及交货地点</w:t>
      </w:r>
      <w:r>
        <w:rPr>
          <w:rFonts w:ascii="等线 Light" w:hAnsi="等线 Light" w:eastAsia="等线 Light"/>
          <w:b/>
          <w:bCs/>
          <w:sz w:val="24"/>
          <w:szCs w:val="24"/>
        </w:rPr>
      </w:r>
      <w:r/>
    </w:p>
    <w:p>
      <w:pPr>
        <w:pStyle w:val="944"/>
        <w:ind w:firstLine="480"/>
        <w:spacing w:line="500" w:lineRule="exact"/>
        <w:rPr>
          <w:rFonts w:ascii="宋体" w:hAnsi="宋体" w:cs="宋体"/>
          <w:b/>
          <w:sz w:val="24"/>
          <w:szCs w:val="24"/>
        </w:rPr>
      </w:pPr>
      <w:r>
        <w:rPr>
          <w:rFonts w:hint="eastAsia" w:ascii="宋体" w:hAnsi="宋体" w:cs="宋体"/>
          <w:bCs/>
          <w:sz w:val="24"/>
          <w:szCs w:val="24"/>
        </w:rPr>
        <w:t xml:space="preserve">2.1交</w:t>
      </w:r>
      <w:bookmarkStart w:id="211" w:name="OLE_LINK3"/>
      <w:r>
        <w:rPr>
          <w:rFonts w:hint="eastAsia" w:ascii="宋体" w:hAnsi="宋体" w:cs="宋体"/>
          <w:bCs/>
          <w:sz w:val="24"/>
          <w:szCs w:val="24"/>
        </w:rPr>
        <w:t xml:space="preserve">付</w:t>
      </w:r>
      <w:bookmarkEnd w:id="211"/>
      <w:r>
        <w:rPr>
          <w:rFonts w:hint="eastAsia" w:ascii="宋体" w:hAnsi="宋体" w:cs="宋体"/>
          <w:bCs/>
          <w:sz w:val="24"/>
          <w:szCs w:val="24"/>
        </w:rPr>
        <w:t xml:space="preserve">期：合同签订后3个月</w:t>
      </w:r>
      <w:r>
        <w:rPr>
          <w:rFonts w:ascii="宋体" w:hAnsi="宋体" w:cs="宋体"/>
          <w:b/>
          <w:sz w:val="24"/>
          <w:szCs w:val="24"/>
        </w:rPr>
      </w:r>
      <w:r/>
    </w:p>
    <w:p>
      <w:pPr>
        <w:pStyle w:val="944"/>
        <w:ind w:firstLine="480"/>
        <w:spacing w:line="500" w:lineRule="exact"/>
        <w:rPr>
          <w:rFonts w:ascii="宋体" w:hAnsi="宋体" w:cs="宋体"/>
          <w:bCs/>
          <w:sz w:val="24"/>
          <w:szCs w:val="24"/>
        </w:rPr>
      </w:pPr>
      <w:r>
        <w:rPr>
          <w:rFonts w:hint="eastAsia" w:ascii="宋体" w:hAnsi="宋体" w:cs="宋体"/>
          <w:bCs/>
          <w:sz w:val="24"/>
          <w:szCs w:val="24"/>
        </w:rPr>
        <w:t xml:space="preserve">2.2交付方式：供应商在采购人指定地点交货，并完成安装、调试。</w:t>
      </w:r>
      <w:r>
        <w:rPr>
          <w:rFonts w:ascii="宋体" w:hAnsi="宋体" w:cs="宋体"/>
          <w:bCs/>
          <w:sz w:val="24"/>
          <w:szCs w:val="24"/>
        </w:rPr>
      </w:r>
      <w:r/>
    </w:p>
    <w:p>
      <w:pPr>
        <w:pStyle w:val="944"/>
        <w:ind w:firstLine="480"/>
        <w:spacing w:line="500" w:lineRule="exact"/>
        <w:rPr>
          <w:rFonts w:ascii="宋体" w:hAnsi="宋体" w:cs="宋体"/>
          <w:b/>
          <w:sz w:val="24"/>
          <w:szCs w:val="24"/>
        </w:rPr>
      </w:pPr>
      <w:r>
        <w:rPr>
          <w:rFonts w:hint="eastAsia" w:ascii="宋体" w:hAnsi="宋体" w:cs="宋体"/>
          <w:bCs/>
          <w:sz w:val="24"/>
          <w:szCs w:val="24"/>
        </w:rPr>
        <w:t xml:space="preserve">2.3交付地点：</w:t>
      </w:r>
      <w:r>
        <w:rPr>
          <w:rFonts w:hint="eastAsia" w:ascii="宋体" w:hAnsi="宋体" w:cs="Arial"/>
          <w:sz w:val="24"/>
          <w:szCs w:val="24"/>
        </w:rPr>
        <w:t xml:space="preserve">江苏省中医院</w:t>
      </w:r>
      <w:r>
        <w:rPr>
          <w:rFonts w:ascii="宋体" w:hAnsi="宋体" w:cs="宋体"/>
          <w:b/>
          <w:sz w:val="24"/>
          <w:szCs w:val="24"/>
        </w:rPr>
      </w:r>
      <w:r/>
    </w:p>
    <w:p>
      <w:pPr>
        <w:pStyle w:val="944"/>
        <w:numPr>
          <w:ilvl w:val="0"/>
          <w:numId w:val="5"/>
        </w:numPr>
        <w:ind w:left="0" w:firstLine="0"/>
        <w:keepLines/>
        <w:keepNext/>
        <w:spacing w:before="160" w:after="80" w:line="500" w:lineRule="exact"/>
        <w:tabs>
          <w:tab w:val="left" w:pos="360" w:leader="none"/>
        </w:tabs>
        <w:rPr>
          <w:rFonts w:ascii="等线 Light" w:hAnsi="等线 Light" w:eastAsia="等线 Light"/>
          <w:b/>
          <w:bCs/>
          <w:sz w:val="24"/>
          <w:szCs w:val="24"/>
        </w:rPr>
        <w:outlineLvl w:val="2"/>
      </w:pPr>
      <w:r>
        <w:rPr>
          <w:rFonts w:hint="eastAsia" w:ascii="等线 Light" w:hAnsi="等线 Light" w:eastAsia="等线 Light"/>
          <w:b/>
          <w:bCs/>
          <w:sz w:val="24"/>
          <w:szCs w:val="24"/>
        </w:rPr>
        <w:t xml:space="preserve">付款方式</w:t>
      </w:r>
      <w:r>
        <w:rPr>
          <w:rFonts w:ascii="等线 Light" w:hAnsi="等线 Light" w:eastAsia="等线 Light"/>
          <w:b/>
          <w:bCs/>
          <w:sz w:val="24"/>
          <w:szCs w:val="24"/>
        </w:rPr>
      </w:r>
      <w:r/>
    </w:p>
    <w:p>
      <w:pPr>
        <w:pStyle w:val="944"/>
        <w:ind w:firstLine="480"/>
        <w:spacing w:line="500" w:lineRule="exact"/>
        <w:widowControl/>
        <w:rPr>
          <w:rFonts w:ascii="微软雅黑" w:hAnsi="微软雅黑" w:eastAsia="微软雅黑" w:cs="微软雅黑"/>
          <w:sz w:val="24"/>
          <w:szCs w:val="24"/>
        </w:rPr>
      </w:pPr>
      <w:r>
        <w:rPr>
          <w:rFonts w:hint="eastAsia" w:ascii="宋体" w:hAnsi="宋体" w:eastAsia="Arial Unicode MS" w:cs="宋体"/>
          <w:sz w:val="24"/>
          <w:szCs w:val="24"/>
        </w:rPr>
        <w:t xml:space="preserve">1)</w:t>
      </w:r>
      <w:r>
        <w:rPr>
          <w:rFonts w:eastAsia="微软雅黑"/>
          <w:sz w:val="14"/>
          <w:szCs w:val="14"/>
        </w:rPr>
        <w:t xml:space="preserve"> </w:t>
      </w:r>
      <w:r>
        <w:rPr>
          <w:rFonts w:hint="eastAsia" w:ascii="宋体" w:hAnsi="宋体" w:cs="宋体"/>
          <w:sz w:val="24"/>
          <w:szCs w:val="24"/>
        </w:rPr>
        <w:t xml:space="preserve">自合同签订生效并收到供应商提供的发票后10个工作日内，甲方向乙方支付项目总金额的</w:t>
      </w:r>
      <w:r>
        <w:rPr>
          <w:rFonts w:hint="eastAsia" w:ascii="宋体" w:hAnsi="宋体" w:eastAsia="Arial Unicode MS" w:cs="宋体"/>
          <w:sz w:val="24"/>
          <w:szCs w:val="24"/>
          <w:u w:val="single"/>
        </w:rPr>
        <w:t xml:space="preserve"> 30 </w:t>
      </w:r>
      <w:r>
        <w:rPr>
          <w:rFonts w:hint="eastAsia" w:ascii="宋体" w:hAnsi="宋体" w:eastAsia="Arial Unicode MS" w:cs="宋体"/>
          <w:sz w:val="24"/>
          <w:szCs w:val="24"/>
        </w:rPr>
        <w:t xml:space="preserve">%</w:t>
      </w:r>
      <w:r>
        <w:rPr>
          <w:rFonts w:hint="eastAsia" w:ascii="宋体" w:hAnsi="宋体" w:cs="宋体"/>
          <w:sz w:val="24"/>
          <w:szCs w:val="24"/>
        </w:rPr>
        <w:t xml:space="preserve">。</w:t>
      </w:r>
      <w:r>
        <w:rPr>
          <w:rFonts w:ascii="微软雅黑" w:hAnsi="微软雅黑" w:eastAsia="微软雅黑" w:cs="微软雅黑"/>
          <w:sz w:val="24"/>
          <w:szCs w:val="24"/>
        </w:rPr>
      </w:r>
      <w:r/>
    </w:p>
    <w:p>
      <w:pPr>
        <w:pStyle w:val="944"/>
        <w:ind w:firstLine="480"/>
        <w:spacing w:line="500" w:lineRule="exact"/>
        <w:widowControl/>
        <w:rPr>
          <w:rFonts w:ascii="宋体" w:hAnsi="宋体" w:cs="宋体"/>
          <w:sz w:val="24"/>
          <w:szCs w:val="24"/>
        </w:rPr>
      </w:pPr>
      <w:r>
        <w:rPr>
          <w:rFonts w:hint="eastAsia" w:ascii="宋体" w:hAnsi="宋体" w:eastAsia="Arial Unicode MS" w:cs="宋体"/>
          <w:sz w:val="24"/>
          <w:szCs w:val="24"/>
        </w:rPr>
        <w:t xml:space="preserve">2)</w:t>
      </w:r>
      <w:r>
        <w:rPr>
          <w:rFonts w:eastAsia="微软雅黑"/>
          <w:sz w:val="14"/>
          <w:szCs w:val="14"/>
        </w:rPr>
        <w:t xml:space="preserve"> </w:t>
      </w:r>
      <w:r>
        <w:rPr>
          <w:rFonts w:ascii="宋体" w:hAnsi="宋体" w:cs="宋体"/>
          <w:sz w:val="24"/>
          <w:szCs w:val="24"/>
        </w:rPr>
        <w:t xml:space="preserve">本项目正式上线稳定运行至少1个月，完成5位名老中医药专家典型医案的采集与数字化整理累计达到750份以上，跟师学习人数累计达到400人次以上，并且达到</w:t>
      </w:r>
      <w:r>
        <w:rPr>
          <w:rFonts w:hint="eastAsia" w:ascii="宋体" w:hAnsi="宋体" w:cs="宋体"/>
          <w:sz w:val="24"/>
          <w:szCs w:val="24"/>
        </w:rPr>
        <w:t xml:space="preserve">甲方</w:t>
      </w:r>
      <w:r>
        <w:rPr>
          <w:rFonts w:ascii="宋体" w:hAnsi="宋体" w:cs="宋体"/>
          <w:sz w:val="24"/>
          <w:szCs w:val="24"/>
        </w:rPr>
        <w:t xml:space="preserve">验收标准后，</w:t>
      </w:r>
      <w:r>
        <w:rPr>
          <w:rFonts w:hint="eastAsia" w:ascii="宋体" w:hAnsi="宋体" w:cs="宋体"/>
          <w:sz w:val="24"/>
          <w:szCs w:val="24"/>
        </w:rPr>
        <w:t xml:space="preserve">乙方提出验收申请，甲方及时进行验收，验收合格并收到供应商提供的发票后10个工作日内，甲方向乙方支付项目总金额的</w:t>
      </w:r>
      <w:r>
        <w:rPr>
          <w:rFonts w:hint="eastAsia" w:ascii="宋体" w:hAnsi="宋体" w:eastAsia="Arial Unicode MS" w:cs="宋体"/>
          <w:sz w:val="24"/>
          <w:szCs w:val="24"/>
          <w:u w:val="single"/>
        </w:rPr>
        <w:t xml:space="preserve"> 70 </w:t>
      </w:r>
      <w:r>
        <w:rPr>
          <w:rFonts w:hint="eastAsia" w:ascii="宋体" w:hAnsi="宋体" w:cs="宋体"/>
          <w:sz w:val="24"/>
          <w:szCs w:val="24"/>
        </w:rPr>
        <w:t xml:space="preserve">％。</w:t>
      </w:r>
      <w:r>
        <w:rPr>
          <w:rFonts w:ascii="宋体" w:hAnsi="宋体" w:cs="宋体"/>
          <w:sz w:val="24"/>
          <w:szCs w:val="24"/>
        </w:rPr>
      </w:r>
      <w:r/>
    </w:p>
    <w:p>
      <w:pPr>
        <w:pStyle w:val="944"/>
        <w:ind w:firstLine="480"/>
        <w:spacing w:line="500" w:lineRule="exact"/>
        <w:widowControl/>
        <w:rPr>
          <w:rFonts w:ascii="宋体" w:hAnsi="宋体" w:eastAsia="Arial Unicode MS" w:cs="宋体"/>
          <w:sz w:val="24"/>
          <w:szCs w:val="24"/>
        </w:rPr>
      </w:pPr>
      <w:r>
        <w:rPr>
          <w:rFonts w:hint="eastAsia" w:ascii="宋体" w:hAnsi="宋体" w:eastAsia="Arial Unicode MS" w:cs="宋体"/>
          <w:sz w:val="24"/>
          <w:szCs w:val="24"/>
        </w:rPr>
        <w:t xml:space="preserve">3</w:t>
      </w:r>
      <w:r>
        <w:rPr>
          <w:rFonts w:hint="eastAsia" w:ascii="宋体" w:hAnsi="宋体" w:cs="宋体"/>
          <w:sz w:val="24"/>
          <w:szCs w:val="24"/>
        </w:rPr>
        <w:t xml:space="preserve">）履约保证金</w:t>
      </w:r>
      <w:r>
        <w:rPr>
          <w:rFonts w:ascii="宋体" w:hAnsi="宋体" w:eastAsia="Arial Unicode MS" w:cs="宋体"/>
          <w:sz w:val="24"/>
          <w:szCs w:val="24"/>
        </w:rPr>
      </w:r>
      <w:r/>
    </w:p>
    <w:p>
      <w:pPr>
        <w:pStyle w:val="944"/>
        <w:ind w:firstLine="480"/>
        <w:spacing w:line="500" w:lineRule="exact"/>
        <w:widowControl/>
        <w:rPr>
          <w:rFonts w:ascii="宋体" w:hAnsi="宋体" w:eastAsia="Arial Unicode MS" w:cs="宋体"/>
          <w:sz w:val="24"/>
          <w:szCs w:val="24"/>
        </w:rPr>
      </w:pPr>
      <w:r>
        <w:rPr>
          <w:rFonts w:hint="eastAsia" w:ascii="宋体" w:hAnsi="宋体" w:cs="宋体"/>
          <w:sz w:val="24"/>
          <w:szCs w:val="24"/>
        </w:rPr>
        <w:t xml:space="preserve">中标人应在合同签订后，支付预付款前缴纳合同总价</w:t>
      </w:r>
      <w:r>
        <w:rPr>
          <w:rFonts w:hint="eastAsia" w:ascii="宋体" w:hAnsi="宋体" w:eastAsia="Arial Unicode MS" w:cs="宋体"/>
          <w:sz w:val="24"/>
          <w:szCs w:val="24"/>
        </w:rPr>
        <w:t xml:space="preserve">10%</w:t>
      </w:r>
      <w:r>
        <w:rPr>
          <w:rFonts w:hint="eastAsia" w:ascii="宋体" w:hAnsi="宋体" w:cs="宋体"/>
          <w:sz w:val="24"/>
          <w:szCs w:val="24"/>
        </w:rPr>
        <w:t xml:space="preserve">的履约保证金。</w:t>
      </w:r>
      <w:r>
        <w:rPr>
          <w:rFonts w:ascii="宋体" w:hAnsi="宋体" w:eastAsia="Arial Unicode MS" w:cs="宋体"/>
          <w:sz w:val="24"/>
          <w:szCs w:val="24"/>
        </w:rPr>
      </w:r>
      <w:r/>
    </w:p>
    <w:p>
      <w:pPr>
        <w:pStyle w:val="944"/>
        <w:ind w:firstLine="240"/>
        <w:spacing w:line="500" w:lineRule="exact"/>
        <w:widowControl/>
        <w:rPr>
          <w:rFonts w:ascii="宋体" w:hAnsi="宋体" w:eastAsia="Arial Unicode MS" w:cs="宋体"/>
          <w:sz w:val="24"/>
          <w:szCs w:val="24"/>
        </w:rPr>
      </w:pPr>
      <w:r>
        <w:rPr>
          <w:rFonts w:hint="eastAsia" w:ascii="宋体" w:hAnsi="宋体" w:cs="宋体"/>
          <w:sz w:val="24"/>
          <w:szCs w:val="24"/>
        </w:rPr>
        <w:t xml:space="preserve">（</w:t>
      </w:r>
      <w:r>
        <w:rPr>
          <w:rFonts w:hint="eastAsia" w:ascii="宋体" w:hAnsi="宋体" w:eastAsia="Arial Unicode MS" w:cs="宋体"/>
          <w:sz w:val="24"/>
          <w:szCs w:val="24"/>
        </w:rPr>
        <w:t xml:space="preserve">1</w:t>
      </w:r>
      <w:r>
        <w:rPr>
          <w:rFonts w:hint="eastAsia" w:ascii="宋体" w:hAnsi="宋体" w:cs="宋体"/>
          <w:sz w:val="24"/>
          <w:szCs w:val="24"/>
        </w:rPr>
        <w:t xml:space="preserve">）履约保证金应在采购合同签订前提交，除银行电汇、网上银行、数字人民币外，投标人还可选用银行保函、担保公司的保证担保或保险公司的保证保险等多种形式向采购人缴纳。</w:t>
      </w:r>
      <w:r>
        <w:rPr>
          <w:rFonts w:ascii="宋体" w:hAnsi="宋体" w:eastAsia="Arial Unicode MS" w:cs="宋体"/>
          <w:sz w:val="24"/>
          <w:szCs w:val="24"/>
        </w:rPr>
      </w:r>
      <w:r/>
    </w:p>
    <w:p>
      <w:pPr>
        <w:pStyle w:val="944"/>
        <w:ind w:firstLine="240"/>
        <w:spacing w:line="500" w:lineRule="exact"/>
        <w:widowControl/>
        <w:rPr>
          <w:rFonts w:ascii="宋体" w:hAnsi="宋体" w:eastAsia="Arial Unicode MS" w:cs="宋体"/>
          <w:sz w:val="24"/>
          <w:szCs w:val="24"/>
        </w:rPr>
      </w:pPr>
      <w:r>
        <w:rPr>
          <w:rFonts w:hint="eastAsia" w:ascii="宋体" w:hAnsi="宋体" w:cs="宋体"/>
          <w:sz w:val="24"/>
          <w:szCs w:val="24"/>
        </w:rPr>
        <w:t xml:space="preserve">（</w:t>
      </w:r>
      <w:r>
        <w:rPr>
          <w:rFonts w:hint="eastAsia" w:ascii="宋体" w:hAnsi="宋体" w:eastAsia="Arial Unicode MS" w:cs="宋体"/>
          <w:sz w:val="24"/>
          <w:szCs w:val="24"/>
        </w:rPr>
        <w:t xml:space="preserve">2</w:t>
      </w:r>
      <w:r>
        <w:rPr>
          <w:rFonts w:hint="eastAsia" w:ascii="宋体" w:hAnsi="宋体" w:cs="宋体"/>
          <w:sz w:val="24"/>
          <w:szCs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ascii="宋体" w:hAnsi="宋体" w:eastAsia="Arial Unicode MS" w:cs="宋体"/>
          <w:sz w:val="24"/>
          <w:szCs w:val="24"/>
        </w:rPr>
      </w:r>
      <w:r/>
    </w:p>
    <w:p>
      <w:pPr>
        <w:pStyle w:val="944"/>
        <w:ind w:firstLine="240"/>
        <w:spacing w:line="500" w:lineRule="exact"/>
        <w:widowControl/>
        <w:rPr>
          <w:rFonts w:ascii="宋体" w:hAnsi="宋体" w:eastAsia="Arial Unicode MS" w:cs="宋体"/>
          <w:sz w:val="24"/>
          <w:szCs w:val="24"/>
        </w:rPr>
      </w:pPr>
      <w:r>
        <w:rPr>
          <w:rFonts w:hint="eastAsia" w:ascii="宋体" w:hAnsi="宋体" w:cs="宋体"/>
          <w:sz w:val="24"/>
          <w:szCs w:val="24"/>
        </w:rPr>
        <w:t xml:space="preserve">（</w:t>
      </w:r>
      <w:r>
        <w:rPr>
          <w:rFonts w:hint="eastAsia" w:ascii="宋体" w:hAnsi="宋体" w:eastAsia="Arial Unicode MS" w:cs="宋体"/>
          <w:sz w:val="24"/>
          <w:szCs w:val="24"/>
        </w:rPr>
        <w:t xml:space="preserve">3</w:t>
      </w:r>
      <w:r>
        <w:rPr>
          <w:rFonts w:hint="eastAsia" w:ascii="宋体" w:hAnsi="宋体" w:cs="宋体"/>
          <w:sz w:val="24"/>
          <w:szCs w:val="24"/>
        </w:rPr>
        <w:t xml:space="preserve">）履约保证金退还的条件：采购人在项目通过验收后按照合同条款规定的时间内将履约保证金退还中标人。履约保证金退还时间：符合退还条件的</w:t>
      </w:r>
      <w:r>
        <w:rPr>
          <w:rFonts w:hint="eastAsia" w:ascii="宋体" w:hAnsi="宋体" w:eastAsia="Arial Unicode MS" w:cs="宋体"/>
          <w:sz w:val="24"/>
          <w:szCs w:val="24"/>
        </w:rPr>
        <w:t xml:space="preserve">5</w:t>
      </w:r>
      <w:r>
        <w:rPr>
          <w:rFonts w:hint="eastAsia" w:ascii="宋体" w:hAnsi="宋体" w:cs="宋体"/>
          <w:sz w:val="24"/>
          <w:szCs w:val="24"/>
        </w:rPr>
        <w:t xml:space="preserve">个工作日内退还。</w:t>
      </w:r>
      <w:r>
        <w:rPr>
          <w:rFonts w:ascii="宋体" w:hAnsi="宋体" w:eastAsia="Arial Unicode MS" w:cs="宋体"/>
          <w:sz w:val="24"/>
          <w:szCs w:val="24"/>
        </w:rPr>
      </w:r>
      <w:r/>
    </w:p>
    <w:p>
      <w:pPr>
        <w:pStyle w:val="944"/>
        <w:ind w:firstLine="240"/>
        <w:spacing w:line="500" w:lineRule="exact"/>
        <w:widowControl/>
        <w:rPr>
          <w:rFonts w:ascii="宋体" w:hAnsi="宋体" w:eastAsia="Arial Unicode MS" w:cs="宋体"/>
          <w:sz w:val="24"/>
          <w:szCs w:val="24"/>
        </w:rPr>
      </w:pPr>
      <w:r>
        <w:rPr>
          <w:rFonts w:hint="eastAsia" w:ascii="宋体" w:hAnsi="宋体" w:cs="宋体"/>
          <w:sz w:val="24"/>
          <w:szCs w:val="24"/>
        </w:rPr>
        <w:t xml:space="preserve">（</w:t>
      </w:r>
      <w:r>
        <w:rPr>
          <w:rFonts w:hint="eastAsia" w:ascii="宋体" w:hAnsi="宋体" w:eastAsia="Arial Unicode MS" w:cs="宋体"/>
          <w:sz w:val="24"/>
          <w:szCs w:val="24"/>
        </w:rPr>
        <w:t xml:space="preserve">4</w:t>
      </w:r>
      <w:r>
        <w:rPr>
          <w:rFonts w:hint="eastAsia" w:ascii="宋体" w:hAnsi="宋体" w:cs="宋体"/>
          <w:sz w:val="24"/>
          <w:szCs w:val="24"/>
        </w:rPr>
        <w:t xml:space="preserve">）履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rFonts w:ascii="宋体" w:hAnsi="宋体" w:eastAsia="Arial Unicode MS" w:cs="宋体"/>
          <w:sz w:val="24"/>
          <w:szCs w:val="24"/>
        </w:rPr>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5、采购标的清单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4289"/>
        <w:gridCol w:w="3261"/>
      </w:tblGrid>
      <w:tr>
        <w:trPr>
          <w:cantSplit/>
          <w:trHeight w:val="701"/>
        </w:trPr>
        <w:tc>
          <w:tcPr>
            <w:tcW w:w="790"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289"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3261"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trHeight w:val="291"/>
        </w:trPr>
        <w:tc>
          <w:tcPr>
            <w:tcW w:w="790"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1</w:t>
            </w:r>
            <w:r>
              <w:rPr>
                <w:rFonts w:hint="eastAsia" w:ascii="方正仿宋_GBK" w:hAnsi="方正仿宋_GBK" w:eastAsia="方正仿宋_GBK" w:cs="方正仿宋_GBK"/>
                <w:sz w:val="28"/>
                <w:szCs w:val="28"/>
              </w:rPr>
            </w:r>
            <w:r/>
          </w:p>
        </w:tc>
        <w:tc>
          <w:tcPr>
            <w:tcW w:w="4289" w:type="dxa"/>
            <w:vAlign w:val="top"/>
            <w:textDirection w:val="lrTb"/>
            <w:noWrap w:val="false"/>
          </w:tcPr>
          <w:p>
            <w:pPr>
              <w:pStyle w:val="944"/>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eastAsia="方正仿宋_GBK"/>
                <w:sz w:val="28"/>
                <w:szCs w:val="28"/>
              </w:rPr>
              <w:t xml:space="preserve">名老中医药专家学术经验数字化传承平台</w:t>
            </w:r>
            <w:r>
              <w:rPr>
                <w:rFonts w:hint="eastAsia" w:ascii="方正仿宋_GBK" w:hAnsi="方正仿宋_GBK" w:eastAsia="方正仿宋_GBK" w:cs="方正仿宋_GBK"/>
                <w:sz w:val="28"/>
                <w:szCs w:val="28"/>
              </w:rPr>
            </w:r>
            <w:r/>
          </w:p>
        </w:tc>
        <w:tc>
          <w:tcPr>
            <w:tcW w:w="3261" w:type="dxa"/>
            <w:vAlign w:val="top"/>
            <w:textDirection w:val="lrTb"/>
            <w:noWrap w:val="false"/>
          </w:tcPr>
          <w:p>
            <w:pPr>
              <w:pStyle w:val="944"/>
              <w:jc w:val="center"/>
              <w:spacing w:line="400" w:lineRule="exact"/>
              <w:tabs>
                <w:tab w:val="left" w:pos="2020" w:leader="none"/>
              </w:tabs>
              <w:rPr>
                <w:rFonts w:hint="eastAsia" w:eastAsia="方正仿宋_GBK"/>
                <w:sz w:val="28"/>
                <w:szCs w:val="28"/>
              </w:rPr>
            </w:pPr>
            <w:r>
              <w:rPr>
                <w:rFonts w:hint="eastAsia" w:eastAsia="方正仿宋_GBK"/>
                <w:sz w:val="28"/>
                <w:szCs w:val="28"/>
              </w:rPr>
              <w:t xml:space="preserve">软件和信息技术服务业</w:t>
            </w:r>
            <w:r/>
          </w:p>
        </w:tc>
      </w:tr>
    </w:tbl>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项目属性：服务类项目。</w:t>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本项目不接受进口产品参与投标。</w:t>
      </w:r>
      <w:r/>
    </w:p>
    <w:p>
      <w:pPr>
        <w:pStyle w:val="98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6、政府采购中实施本国产品标准及相关政策</w:t>
      </w:r>
      <w:r/>
    </w:p>
    <w:p>
      <w:pPr>
        <w:pStyle w:val="94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6.1.根据《国务院办公厅关于在政府采购中实施本国产品标准及相关政策的通知》（国办发〔2025〕34号）规定，本项目对采购本国产品给予政策支持，具体内容见招标文件“第五章 评标方法与评标标准”。</w:t>
      </w:r>
      <w:r/>
    </w:p>
    <w:p>
      <w:pPr>
        <w:pStyle w:val="94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4"/>
        <w:spacing w:line="400" w:lineRule="exact"/>
        <w:rPr>
          <w:rFonts w:ascii="宋体" w:hAnsi="宋体"/>
          <w:sz w:val="28"/>
          <w:szCs w:val="28"/>
        </w:rPr>
      </w:pPr>
      <w:r>
        <w:rPr>
          <w:rFonts w:ascii="宋体" w:hAnsi="宋体"/>
          <w:sz w:val="28"/>
          <w:szCs w:val="28"/>
        </w:rPr>
        <w:t xml:space="preserve">（本项目不涉及货物）</w:t>
      </w:r>
      <w:r>
        <w:rPr>
          <w:rFonts w:ascii="宋体" w:hAnsi="宋体"/>
          <w:sz w:val="28"/>
          <w:szCs w:val="28"/>
        </w:rPr>
        <w:br w:type="page" w:clear="all"/>
      </w:r>
      <w:r/>
    </w:p>
    <w:p>
      <w:pPr>
        <w:pStyle w:val="946"/>
        <w:spacing w:line="400" w:lineRule="exact"/>
        <w:rPr>
          <w:rFonts w:hint="eastAsia" w:ascii="黑体" w:hAnsi="黑体" w:eastAsia="黑体"/>
          <w:sz w:val="28"/>
          <w:szCs w:val="28"/>
        </w:rPr>
      </w:pPr>
      <w:r/>
      <w:bookmarkStart w:id="212" w:name="_Toc120614281"/>
      <w:r>
        <w:rPr>
          <w:rFonts w:hint="eastAsia" w:ascii="黑体" w:hAnsi="黑体" w:eastAsia="黑体"/>
          <w:sz w:val="28"/>
          <w:szCs w:val="28"/>
        </w:rPr>
        <w:t xml:space="preserve">第五章  评标方法与评标标准</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pStyle w:val="94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944"/>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1032"/>
        <w:ind w:firstLine="562"/>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pStyle w:val="1032"/>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（1）本项目对小型和微型企业提供的服务给予10%的扣除价格，用扣除后的价格参与评审。</w:t>
      </w:r>
      <w:r>
        <w:rPr>
          <w:rFonts w:hint="eastAsia" w:ascii="宋体" w:hAnsi="宋体"/>
          <w:sz w:val="28"/>
          <w:szCs w:val="28"/>
        </w:rPr>
      </w:r>
      <w:r/>
    </w:p>
    <w:p>
      <w:pPr>
        <w:pStyle w:val="10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pStyle w:val="1032"/>
        <w:ind w:firstLine="560"/>
        <w:spacing w:line="400" w:lineRule="exact"/>
        <w:rPr>
          <w:rFonts w:hint="eastAsia" w:ascii="方正仿宋_GBK" w:hAnsi="方正仿宋_GBK" w:eastAsia="方正仿宋_GBK" w:cs="方正仿宋_GBK"/>
          <w:sz w:val="28"/>
          <w:szCs w:val="28"/>
        </w:rPr>
      </w:pPr>
      <w:r/>
      <w:bookmarkStart w:id="213" w:name="OLE_LINK5"/>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13，供应商将不享受《政府采购促进中小企业发展管理办法》规定的价格扣除优惠政策。</w:t>
      </w:r>
      <w:r/>
    </w:p>
    <w:p>
      <w:pPr>
        <w:pStyle w:val="1032"/>
        <w:ind w:firstLine="560"/>
        <w:spacing w:line="400" w:lineRule="exact"/>
        <w:rPr>
          <w:rFonts w:hint="eastAsia" w:ascii="方正仿宋_GBK" w:hAnsi="方正仿宋_GBK" w:eastAsia="方正仿宋_GBK" w:cs="方正仿宋_GBK"/>
          <w:sz w:val="28"/>
          <w:szCs w:val="28"/>
        </w:rPr>
      </w:pPr>
      <w:r/>
      <w:bookmarkEnd w:id="213"/>
      <w:r>
        <w:rPr>
          <w:rFonts w:hint="eastAsia" w:ascii="方正仿宋_GBK" w:hAnsi="方正仿宋_GBK" w:eastAsia="方正仿宋_GBK" w:cs="方正仿宋_GBK"/>
          <w:sz w:val="28"/>
          <w:szCs w:val="28"/>
        </w:rPr>
        <w:t xml:space="preserve">2.残疾人福利单位价格扣除</w:t>
      </w:r>
      <w:r/>
    </w:p>
    <w:p>
      <w:pPr>
        <w:pStyle w:val="1032"/>
        <w:ind w:left="120"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32"/>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pStyle w:val="1032"/>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pStyle w:val="10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pStyle w:val="10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p>
    <w:p>
      <w:pPr>
        <w:pStyle w:val="10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pStyle w:val="103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pStyle w:val="1032"/>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sz w:val="28"/>
          <w:szCs w:val="28"/>
          <w:highlight w:val="yellow"/>
        </w:rPr>
        <w:t xml:space="preserve"> </w:t>
      </w:r>
      <w:r>
        <w:rPr>
          <w:rFonts w:hint="eastAsia" w:ascii="宋体" w:hAnsi="宋体"/>
          <w:sz w:val="28"/>
          <w:szCs w:val="28"/>
        </w:rPr>
      </w:r>
      <w:r/>
    </w:p>
    <w:p>
      <w:pPr>
        <w:pStyle w:val="1032"/>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pStyle w:val="94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94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pStyle w:val="94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pStyle w:val="94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2"/>
        <w:ind w:firstLine="562"/>
        <w:spacing w:line="400" w:lineRule="exact"/>
        <w:rPr>
          <w:rFonts w:hint="eastAsia" w:ascii="宋体" w:hAnsi="宋体"/>
          <w:b/>
          <w:sz w:val="28"/>
          <w:szCs w:val="28"/>
        </w:rPr>
      </w:pPr>
      <w:r>
        <w:rPr>
          <w:rFonts w:hint="eastAsia" w:ascii="宋体" w:hAnsi="宋体"/>
          <w:b/>
          <w:sz w:val="28"/>
          <w:szCs w:val="28"/>
        </w:rPr>
      </w:r>
      <w:r/>
    </w:p>
    <w:p>
      <w:pPr>
        <w:pStyle w:val="944"/>
        <w:ind w:firstLine="562"/>
        <w:jc w:val="left"/>
        <w:spacing w:before="120" w:after="120" w:line="400" w:lineRule="exact"/>
        <w:rPr>
          <w:rFonts w:ascii="方正黑体_GBK" w:hAnsi="方正黑体_GBK" w:eastAsia="方正黑体_GBK" w:cs="方正黑体_GBK"/>
          <w:sz w:val="32"/>
          <w:szCs w:val="32"/>
        </w:rPr>
      </w:pPr>
      <w:r>
        <w:rPr>
          <w:rFonts w:hint="eastAsia" w:ascii="方正仿宋_GBK" w:hAnsi="方正仿宋_GBK" w:eastAsia="方正仿宋_GBK" w:cs="方正仿宋_GBK"/>
          <w:b/>
          <w:sz w:val="28"/>
          <w:szCs w:val="28"/>
        </w:rPr>
        <w:t xml:space="preserve">评标方法与评标标准  </w:t>
      </w:r>
      <w:r>
        <w:rPr>
          <w:rFonts w:ascii="方正黑体_GBK" w:hAnsi="方正黑体_GBK" w:eastAsia="方正黑体_GBK" w:cs="方正黑体_GBK"/>
          <w:sz w:val="32"/>
          <w:szCs w:val="32"/>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823"/>
        <w:gridCol w:w="1656"/>
        <w:gridCol w:w="5528"/>
        <w:gridCol w:w="709"/>
      </w:tblGrid>
      <w:tr>
        <w:trPr>
          <w:trHeight w:val="320"/>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pStyle w:val="944"/>
              <w:rPr>
                <w:szCs w:val="24"/>
              </w:rPr>
            </w:pPr>
            <w:r>
              <w:rPr>
                <w:rFonts w:hint="eastAsia" w:ascii="宋体" w:hAnsi="宋体"/>
                <w:szCs w:val="24"/>
              </w:rPr>
              <w:t xml:space="preserve">项目</w:t>
            </w:r>
            <w:r>
              <w:rPr>
                <w:szCs w:val="24"/>
              </w:rPr>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pStyle w:val="944"/>
              <w:rPr>
                <w:szCs w:val="24"/>
              </w:rPr>
            </w:pPr>
            <w:r>
              <w:rPr>
                <w:rFonts w:hint="eastAsia" w:ascii="宋体" w:hAnsi="宋体"/>
                <w:szCs w:val="24"/>
              </w:rPr>
              <w:t xml:space="preserve">内容</w:t>
            </w:r>
            <w:r>
              <w:rPr>
                <w:szCs w:val="24"/>
              </w:rPr>
            </w:r>
            <w:r/>
          </w:p>
        </w:tc>
        <w:tc>
          <w:tcPr>
            <w:tcBorders>
              <w:top w:val="single" w:color="000000" w:sz="4" w:space="0"/>
              <w:left w:val="none" w:color="000000" w:sz="4" w:space="0"/>
              <w:bottom w:val="single" w:color="000000" w:sz="4" w:space="0"/>
              <w:right w:val="single" w:color="000000" w:sz="4" w:space="0"/>
            </w:tcBorders>
            <w:tcW w:w="5528" w:type="dxa"/>
            <w:vAlign w:val="center"/>
            <w:textDirection w:val="lrTb"/>
            <w:noWrap w:val="false"/>
          </w:tcPr>
          <w:p>
            <w:pPr>
              <w:pStyle w:val="944"/>
              <w:rPr>
                <w:szCs w:val="24"/>
              </w:rPr>
            </w:pPr>
            <w:r>
              <w:rPr>
                <w:rFonts w:hint="eastAsia" w:ascii="宋体" w:hAnsi="宋体"/>
                <w:szCs w:val="24"/>
              </w:rPr>
              <w:t xml:space="preserve">评分要求</w:t>
            </w:r>
            <w:r>
              <w:rPr>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4"/>
              <w:rPr>
                <w:szCs w:val="24"/>
              </w:rPr>
            </w:pPr>
            <w:r>
              <w:rPr>
                <w:rFonts w:hint="eastAsia" w:ascii="宋体" w:hAnsi="宋体"/>
                <w:szCs w:val="24"/>
              </w:rPr>
              <w:t xml:space="preserve">分值</w:t>
            </w:r>
            <w:r>
              <w:rPr>
                <w:szCs w:val="24"/>
              </w:rPr>
            </w:r>
            <w:r/>
          </w:p>
        </w:tc>
      </w:tr>
      <w:tr>
        <w:trPr>
          <w:trHeight w:val="640"/>
        </w:trPr>
        <w:tc>
          <w:tcPr>
            <w:tcBorders>
              <w:top w:val="none" w:color="000000" w:sz="4" w:space="0"/>
              <w:left w:val="single" w:color="000000" w:sz="4" w:space="0"/>
              <w:bottom w:val="single" w:color="000000" w:sz="4" w:space="0"/>
              <w:right w:val="single" w:color="000000" w:sz="4" w:space="0"/>
            </w:tcBorders>
            <w:tcW w:w="823" w:type="dxa"/>
            <w:vAlign w:val="center"/>
            <w:textDirection w:val="lrTb"/>
            <w:noWrap w:val="false"/>
          </w:tcPr>
          <w:p>
            <w:pPr>
              <w:pStyle w:val="944"/>
              <w:rPr>
                <w:szCs w:val="24"/>
              </w:rPr>
            </w:pPr>
            <w:r>
              <w:rPr>
                <w:rFonts w:hint="eastAsia" w:ascii="宋体" w:hAnsi="宋体"/>
                <w:szCs w:val="24"/>
              </w:rPr>
              <w:t xml:space="preserve">一、投标报价（</w:t>
            </w:r>
            <w:r>
              <w:rPr>
                <w:szCs w:val="24"/>
              </w:rPr>
              <w:t xml:space="preserve">20</w:t>
            </w:r>
            <w:r>
              <w:rPr>
                <w:rFonts w:hint="eastAsia" w:ascii="宋体" w:hAnsi="宋体"/>
                <w:szCs w:val="24"/>
              </w:rPr>
              <w:t xml:space="preserve">分）</w:t>
            </w:r>
            <w:r>
              <w:rPr>
                <w:szCs w:val="24"/>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val="false"/>
          </w:tcPr>
          <w:p>
            <w:pPr>
              <w:pStyle w:val="944"/>
              <w:rPr>
                <w:szCs w:val="24"/>
              </w:rPr>
            </w:pPr>
            <w:r>
              <w:rPr>
                <w:rFonts w:hint="eastAsia" w:ascii="宋体" w:hAnsi="宋体"/>
                <w:szCs w:val="24"/>
              </w:rPr>
              <w:t xml:space="preserve">报价（</w:t>
            </w:r>
            <w:r>
              <w:rPr>
                <w:szCs w:val="24"/>
              </w:rPr>
              <w:t xml:space="preserve">20</w:t>
            </w:r>
            <w:r>
              <w:rPr>
                <w:rFonts w:hint="eastAsia" w:ascii="宋体" w:hAnsi="宋体"/>
                <w:szCs w:val="24"/>
              </w:rPr>
              <w:t xml:space="preserve">分）</w:t>
            </w:r>
            <w:r>
              <w:rPr>
                <w:szCs w:val="24"/>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944"/>
              <w:rPr>
                <w:szCs w:val="24"/>
              </w:rPr>
            </w:pPr>
            <w:r>
              <w:rPr>
                <w:szCs w:val="24"/>
              </w:rPr>
            </w:r>
            <w:r>
              <w:rPr>
                <w:rFonts w:ascii="SimSun" w:hAnsi="SimSun" w:eastAsia="SimSun" w:cs="SimSun"/>
                <w:color w:val="000000"/>
                <w:sz w:val="21"/>
              </w:rPr>
              <w:t xml:space="preserve">报价分计算方法：采用低价优先法计算，即满足采购文件要求且报价最低的供应商报价为评标基准价，其价格分为满分20分。其他投标人的价格分统一按照下列公式计算：投标报价得分=（评标基准价/该投标人的投标报价）×20，按四舍五入法保留两位小数。</w:t>
            </w:r>
            <w:r>
              <w:rPr>
                <w:szCs w:val="24"/>
              </w:rPr>
            </w:r>
            <w:r>
              <w:rPr>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44"/>
              <w:rPr>
                <w:szCs w:val="24"/>
              </w:rPr>
            </w:pPr>
            <w:r>
              <w:rPr>
                <w:szCs w:val="24"/>
              </w:rPr>
              <w:t xml:space="preserve">20</w:t>
            </w:r>
            <w:r/>
          </w:p>
        </w:tc>
      </w:tr>
      <w:tr>
        <w:trPr>
          <w:cantSplit/>
          <w:trHeight w:val="960"/>
        </w:trPr>
        <w:tc>
          <w:tcPr>
            <w:tcBorders>
              <w:top w:val="single" w:color="000000" w:sz="4" w:space="0"/>
              <w:left w:val="single" w:color="000000" w:sz="4" w:space="0"/>
              <w:bottom w:val="single" w:color="000000" w:sz="4" w:space="0"/>
              <w:right w:val="single" w:color="000000" w:sz="4" w:space="0"/>
            </w:tcBorders>
            <w:tcW w:w="823" w:type="dxa"/>
            <w:vAlign w:val="center"/>
            <w:vMerge w:val="restart"/>
            <w:textDirection w:val="lrTb"/>
            <w:noWrap w:val="false"/>
          </w:tcPr>
          <w:p>
            <w:pPr>
              <w:pStyle w:val="944"/>
              <w:jc w:val="center"/>
              <w:rPr>
                <w:szCs w:val="24"/>
              </w:rPr>
            </w:pPr>
            <w:r>
              <w:rPr>
                <w:rFonts w:hint="eastAsia" w:ascii="宋体" w:hAnsi="宋体"/>
                <w:szCs w:val="24"/>
              </w:rPr>
              <w:t xml:space="preserve">二、履约能力（</w:t>
            </w:r>
            <w:r>
              <w:rPr>
                <w:szCs w:val="24"/>
              </w:rPr>
              <w:t xml:space="preserve">15</w:t>
            </w:r>
            <w:r>
              <w:rPr>
                <w:rFonts w:hint="eastAsia" w:ascii="宋体" w:hAnsi="宋体"/>
                <w:szCs w:val="24"/>
              </w:rPr>
              <w:t xml:space="preserve">分）</w:t>
            </w:r>
            <w:r>
              <w:rPr>
                <w:szCs w:val="24"/>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4"/>
              <w:rPr>
                <w:szCs w:val="24"/>
              </w:rPr>
            </w:pPr>
            <w:r>
              <w:rPr>
                <w:rFonts w:hint="eastAsia" w:ascii="宋体" w:hAnsi="宋体"/>
                <w:szCs w:val="24"/>
              </w:rPr>
              <w:t xml:space="preserve">企业认证（</w:t>
            </w:r>
            <w:r>
              <w:rPr>
                <w:szCs w:val="24"/>
              </w:rPr>
              <w:t xml:space="preserve">1</w:t>
            </w:r>
            <w:r>
              <w:rPr>
                <w:rFonts w:hint="eastAsia" w:ascii="宋体" w:hAnsi="宋体"/>
                <w:szCs w:val="24"/>
              </w:rPr>
              <w:t xml:space="preserve">分）</w:t>
            </w:r>
            <w:r>
              <w:rPr>
                <w:szCs w:val="24"/>
              </w:rPr>
            </w:r>
            <w:r/>
          </w:p>
        </w:tc>
        <w:tc>
          <w:tcPr>
            <w:tcBorders>
              <w:top w:val="single" w:color="000000" w:sz="4" w:space="0"/>
              <w:left w:val="single" w:color="000000" w:sz="4" w:space="0"/>
              <w:bottom w:val="none" w:color="000000" w:sz="4" w:space="0"/>
              <w:right w:val="single" w:color="000000" w:sz="4" w:space="0"/>
            </w:tcBorders>
            <w:tcW w:w="5528" w:type="dxa"/>
            <w:vAlign w:val="center"/>
            <w:textDirection w:val="lrTb"/>
            <w:noWrap w:val="false"/>
          </w:tcPr>
          <w:p>
            <w:pPr>
              <w:pStyle w:val="944"/>
              <w:rPr>
                <w:szCs w:val="24"/>
              </w:rPr>
            </w:pPr>
            <w:r>
              <w:rPr>
                <w:szCs w:val="24"/>
              </w:rPr>
              <w:t xml:space="preserve">2.1</w:t>
            </w:r>
            <w:r>
              <w:rPr>
                <w:rFonts w:hint="eastAsia" w:ascii="宋体" w:hAnsi="宋体"/>
                <w:szCs w:val="24"/>
              </w:rPr>
              <w:t xml:space="preserve">投标人具备有效期内的</w:t>
            </w:r>
            <w:bookmarkStart w:id="214" w:name="_Hlk202797750"/>
            <w:r>
              <w:rPr>
                <w:rFonts w:hint="eastAsia" w:ascii="宋体" w:hAnsi="宋体"/>
                <w:szCs w:val="24"/>
              </w:rPr>
              <w:t xml:space="preserve">质量管理体系认证证书</w:t>
            </w:r>
            <w:bookmarkEnd w:id="214"/>
            <w:r>
              <w:rPr>
                <w:rFonts w:hint="eastAsia" w:ascii="宋体" w:hAnsi="宋体" w:cs="仿宋_GB2312"/>
                <w:szCs w:val="24"/>
              </w:rPr>
              <w:t xml:space="preserve">得1分，本项最高得1分。提供相关证明材料复印件并加盖公章</w:t>
            </w:r>
            <w:r>
              <w:rPr>
                <w:rFonts w:hint="eastAsia" w:ascii="宋体" w:hAnsi="宋体"/>
                <w:szCs w:val="24"/>
              </w:rPr>
              <w:t xml:space="preserve">。</w:t>
            </w:r>
            <w:r>
              <w:rPr>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44"/>
              <w:rPr>
                <w:szCs w:val="24"/>
              </w:rPr>
            </w:pPr>
            <w:r>
              <w:rPr>
                <w:szCs w:val="24"/>
              </w:rPr>
              <w:t xml:space="preserve">1</w:t>
            </w:r>
            <w:r/>
          </w:p>
        </w:tc>
      </w:tr>
      <w:tr>
        <w:trPr>
          <w:cantSplit/>
          <w:trHeight w:val="640"/>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44"/>
              <w:jc w:val="left"/>
              <w:widowControl/>
              <w:rPr>
                <w:szCs w:val="24"/>
              </w:rPr>
            </w:pPr>
            <w:r>
              <w:rPr>
                <w:szCs w:val="24"/>
              </w:rPr>
            </w:r>
            <w:r/>
          </w:p>
        </w:tc>
        <w:tc>
          <w:tcPr>
            <w:tcBorders>
              <w:top w:val="single" w:color="000000" w:sz="4" w:space="0"/>
              <w:left w:val="single" w:color="000000" w:sz="4" w:space="0"/>
              <w:bottom w:val="single" w:color="000000" w:sz="4" w:space="0"/>
              <w:right w:val="single" w:color="000000" w:sz="4" w:space="0"/>
            </w:tcBorders>
            <w:tcW w:w="1656" w:type="dxa"/>
            <w:vAlign w:val="center"/>
            <w:vMerge w:val="restart"/>
            <w:textDirection w:val="lrTb"/>
            <w:noWrap w:val="false"/>
          </w:tcPr>
          <w:p>
            <w:pPr>
              <w:pStyle w:val="944"/>
              <w:rPr>
                <w:szCs w:val="24"/>
              </w:rPr>
            </w:pPr>
            <w:r>
              <w:rPr>
                <w:rFonts w:hint="eastAsia" w:ascii="宋体" w:hAnsi="宋体"/>
                <w:szCs w:val="24"/>
              </w:rPr>
              <w:t xml:space="preserve">项目人员要求（</w:t>
            </w:r>
            <w:r>
              <w:rPr>
                <w:szCs w:val="24"/>
              </w:rPr>
              <w:t xml:space="preserve">3</w:t>
            </w:r>
            <w:r>
              <w:rPr>
                <w:rFonts w:hint="eastAsia" w:ascii="宋体" w:hAnsi="宋体"/>
                <w:szCs w:val="24"/>
              </w:rPr>
              <w:t xml:space="preserve">分）</w:t>
            </w:r>
            <w:r>
              <w:rPr>
                <w:szCs w:val="24"/>
              </w:rPr>
            </w:r>
            <w:r/>
          </w:p>
        </w:tc>
        <w:tc>
          <w:tcPr>
            <w:tcBorders>
              <w:top w:val="single" w:color="000000" w:sz="4" w:space="0"/>
              <w:left w:val="single" w:color="000000" w:sz="4" w:space="0"/>
              <w:bottom w:val="none" w:color="000000" w:sz="4" w:space="0"/>
              <w:right w:val="single" w:color="000000" w:sz="4" w:space="0"/>
            </w:tcBorders>
            <w:tcW w:w="5528" w:type="dxa"/>
            <w:vAlign w:val="center"/>
            <w:textDirection w:val="lrTb"/>
            <w:noWrap w:val="false"/>
          </w:tcPr>
          <w:p>
            <w:pPr>
              <w:pStyle w:val="944"/>
              <w:rPr>
                <w:szCs w:val="24"/>
              </w:rPr>
            </w:pPr>
            <w:r>
              <w:rPr>
                <w:szCs w:val="24"/>
              </w:rPr>
              <w:t xml:space="preserve">2.2</w:t>
            </w:r>
            <w:r>
              <w:rPr>
                <w:rFonts w:hint="eastAsia" w:ascii="宋体" w:hAnsi="宋体"/>
                <w:szCs w:val="24"/>
              </w:rPr>
              <w:t xml:space="preserve">项目团队人员：</w:t>
            </w:r>
            <w:r>
              <w:rPr>
                <w:szCs w:val="24"/>
              </w:rPr>
            </w:r>
            <w:r/>
          </w:p>
          <w:p>
            <w:pPr>
              <w:pStyle w:val="944"/>
              <w:rPr>
                <w:bCs/>
                <w:szCs w:val="24"/>
              </w:rPr>
            </w:pPr>
            <w:r>
              <w:rPr>
                <w:bCs/>
                <w:szCs w:val="24"/>
              </w:rPr>
              <w:t xml:space="preserve">1.</w:t>
            </w:r>
            <w:r>
              <w:rPr>
                <w:rFonts w:hint="eastAsia" w:ascii="宋体" w:hAnsi="宋体"/>
                <w:bCs/>
                <w:szCs w:val="24"/>
              </w:rPr>
              <w:t xml:space="preserve">具有</w:t>
            </w:r>
            <w:bookmarkStart w:id="215" w:name="OLE_LINK33"/>
            <w:r>
              <w:rPr>
                <w:rFonts w:hint="eastAsia" w:ascii="宋体" w:hAnsi="宋体"/>
                <w:bCs/>
                <w:szCs w:val="24"/>
              </w:rPr>
              <w:t xml:space="preserve">软考</w:t>
            </w:r>
            <w:bookmarkEnd w:id="215"/>
            <w:r>
              <w:rPr>
                <w:rFonts w:hint="eastAsia" w:ascii="宋体" w:hAnsi="宋体"/>
                <w:bCs/>
                <w:szCs w:val="24"/>
              </w:rPr>
              <w:t xml:space="preserve">信息系统项目管理师高级证书得</w:t>
            </w:r>
            <w:r>
              <w:rPr>
                <w:bCs/>
                <w:szCs w:val="24"/>
              </w:rPr>
              <w:t xml:space="preserve">1</w:t>
            </w:r>
            <w:r>
              <w:rPr>
                <w:rFonts w:hint="eastAsia"/>
                <w:bCs/>
                <w:szCs w:val="24"/>
              </w:rPr>
              <w:t xml:space="preserve">.5</w:t>
            </w:r>
            <w:r>
              <w:rPr>
                <w:rFonts w:hint="eastAsia" w:ascii="宋体" w:hAnsi="宋体"/>
                <w:bCs/>
                <w:szCs w:val="24"/>
              </w:rPr>
              <w:t xml:space="preserve">分；</w:t>
            </w:r>
            <w:r>
              <w:rPr>
                <w:bCs/>
                <w:szCs w:val="24"/>
              </w:rPr>
            </w:r>
            <w:r/>
          </w:p>
          <w:p>
            <w:pPr>
              <w:pStyle w:val="944"/>
              <w:rPr>
                <w:bCs/>
                <w:szCs w:val="24"/>
              </w:rPr>
            </w:pPr>
            <w:r>
              <w:rPr>
                <w:bCs/>
                <w:szCs w:val="24"/>
              </w:rPr>
              <w:t xml:space="preserve">2.</w:t>
            </w:r>
            <w:r>
              <w:rPr>
                <w:rFonts w:hint="eastAsia" w:ascii="宋体" w:hAnsi="宋体"/>
                <w:bCs/>
                <w:szCs w:val="24"/>
              </w:rPr>
              <w:t xml:space="preserve">具有软考系统集成项目管理工程师证书得</w:t>
            </w:r>
            <w:r>
              <w:rPr>
                <w:bCs/>
                <w:szCs w:val="24"/>
              </w:rPr>
              <w:t xml:space="preserve">1</w:t>
            </w:r>
            <w:r>
              <w:rPr>
                <w:rFonts w:hint="eastAsia"/>
                <w:bCs/>
                <w:szCs w:val="24"/>
              </w:rPr>
              <w:t xml:space="preserve">.5</w:t>
            </w:r>
            <w:r>
              <w:rPr>
                <w:rFonts w:hint="eastAsia" w:ascii="宋体" w:hAnsi="宋体"/>
                <w:bCs/>
                <w:szCs w:val="24"/>
              </w:rPr>
              <w:t xml:space="preserve">分；</w:t>
            </w:r>
            <w:r>
              <w:rPr>
                <w:bCs/>
                <w:szCs w:val="24"/>
              </w:rPr>
            </w:r>
            <w:r/>
          </w:p>
        </w:tc>
        <w:tc>
          <w:tcPr>
            <w:tcBorders>
              <w:top w:val="none" w:color="000000" w:sz="4" w:space="0"/>
              <w:left w:val="none" w:color="000000" w:sz="4" w:space="0"/>
              <w:bottom w:val="single" w:color="000000" w:sz="4" w:space="0"/>
              <w:right w:val="single" w:color="000000" w:sz="4" w:space="0"/>
            </w:tcBorders>
            <w:tcW w:w="709" w:type="dxa"/>
            <w:vAlign w:val="center"/>
            <w:vMerge w:val="restart"/>
            <w:textDirection w:val="lrTb"/>
            <w:noWrap w:val="false"/>
          </w:tcPr>
          <w:p>
            <w:pPr>
              <w:pStyle w:val="944"/>
              <w:rPr>
                <w:szCs w:val="24"/>
              </w:rPr>
            </w:pPr>
            <w:r>
              <w:rPr>
                <w:szCs w:val="24"/>
              </w:rPr>
              <w:t xml:space="preserve">3</w:t>
            </w:r>
            <w:r/>
          </w:p>
        </w:tc>
      </w:tr>
      <w:tr>
        <w:trPr>
          <w:cantSplit/>
          <w:trHeight w:val="320"/>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44"/>
              <w:jc w:val="left"/>
              <w:widowControl/>
              <w:rPr>
                <w:szCs w:val="24"/>
              </w:rPr>
            </w:pPr>
            <w:r>
              <w:rPr>
                <w:szCs w:val="24"/>
              </w:rPr>
            </w:r>
            <w:r/>
          </w:p>
        </w:tc>
        <w:tc>
          <w:tcPr>
            <w:tcBorders>
              <w:top w:val="single" w:color="000000" w:sz="4" w:space="0"/>
              <w:left w:val="single" w:color="000000" w:sz="4" w:space="0"/>
              <w:bottom w:val="single" w:color="000000" w:sz="4" w:space="0"/>
              <w:right w:val="single" w:color="000000" w:sz="4" w:space="0"/>
            </w:tcBorders>
            <w:tcW w:w="1656" w:type="dxa"/>
            <w:vAlign w:val="center"/>
            <w:vMerge w:val="continue"/>
            <w:textDirection w:val="lrTb"/>
            <w:noWrap w:val="false"/>
          </w:tcPr>
          <w:p>
            <w:pPr>
              <w:pStyle w:val="944"/>
              <w:jc w:val="left"/>
              <w:widowControl/>
              <w:rPr>
                <w:szCs w:val="24"/>
              </w:rPr>
            </w:pPr>
            <w:r>
              <w:rPr>
                <w:szCs w:val="24"/>
              </w:rPr>
            </w:r>
            <w:r/>
          </w:p>
        </w:tc>
        <w:tc>
          <w:tcPr>
            <w:tcBorders>
              <w:top w:val="none" w:color="000000" w:sz="4" w:space="0"/>
              <w:left w:val="single" w:color="000000" w:sz="4" w:space="0"/>
              <w:bottom w:val="single" w:color="000000" w:sz="4" w:space="0"/>
              <w:right w:val="single" w:color="000000" w:sz="4" w:space="0"/>
            </w:tcBorders>
            <w:tcW w:w="5528" w:type="dxa"/>
            <w:vAlign w:val="center"/>
            <w:textDirection w:val="lrTb"/>
            <w:noWrap w:val="false"/>
          </w:tcPr>
          <w:p>
            <w:pPr>
              <w:pStyle w:val="944"/>
              <w:rPr>
                <w:szCs w:val="24"/>
              </w:rPr>
            </w:pPr>
            <w:r>
              <w:rPr>
                <w:rFonts w:hint="eastAsia" w:ascii="宋体" w:hAnsi="宋体"/>
                <w:szCs w:val="24"/>
              </w:rPr>
              <w:t xml:space="preserve">提供</w:t>
            </w:r>
            <w:bookmarkStart w:id="216" w:name="_Hlk202874387"/>
            <w:r>
              <w:rPr>
                <w:rFonts w:hint="eastAsia" w:ascii="宋体" w:hAnsi="宋体"/>
                <w:szCs w:val="24"/>
              </w:rPr>
              <w:t xml:space="preserve">人员证书复印件和投标人为其缴纳的投标截止前近</w:t>
            </w:r>
            <w:r>
              <w:rPr>
                <w:szCs w:val="24"/>
              </w:rPr>
              <w:t xml:space="preserve">3</w:t>
            </w:r>
            <w:r>
              <w:rPr>
                <w:rFonts w:hint="eastAsia" w:ascii="宋体" w:hAnsi="宋体"/>
                <w:szCs w:val="24"/>
              </w:rPr>
              <w:t xml:space="preserve">个月任意</w:t>
            </w:r>
            <w:r>
              <w:rPr>
                <w:szCs w:val="24"/>
              </w:rPr>
              <w:t xml:space="preserve">1</w:t>
            </w:r>
            <w:r>
              <w:rPr>
                <w:rFonts w:hint="eastAsia" w:ascii="宋体" w:hAnsi="宋体"/>
                <w:szCs w:val="24"/>
              </w:rPr>
              <w:t xml:space="preserve">个月的社保缴纳证明</w:t>
            </w:r>
            <w:bookmarkEnd w:id="216"/>
            <w:r>
              <w:rPr>
                <w:rFonts w:hint="eastAsia" w:ascii="宋体" w:hAnsi="宋体"/>
                <w:szCs w:val="24"/>
              </w:rPr>
              <w:t xml:space="preserve">。</w:t>
            </w:r>
            <w:r>
              <w:rPr>
                <w:szCs w:val="24"/>
              </w:rPr>
            </w:r>
            <w:r/>
          </w:p>
        </w:tc>
        <w:tc>
          <w:tcPr>
            <w:tcBorders>
              <w:top w:val="non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pStyle w:val="944"/>
              <w:jc w:val="left"/>
              <w:widowControl/>
              <w:rPr>
                <w:szCs w:val="24"/>
              </w:rPr>
            </w:pPr>
            <w:r>
              <w:rPr>
                <w:szCs w:val="24"/>
              </w:rPr>
            </w:r>
            <w:r/>
          </w:p>
        </w:tc>
      </w:tr>
      <w:tr>
        <w:trPr>
          <w:cantSplit/>
          <w:trHeight w:val="960"/>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44"/>
              <w:jc w:val="left"/>
              <w:widowControl/>
              <w:rPr>
                <w:szCs w:val="24"/>
              </w:rPr>
            </w:pPr>
            <w:r/>
            <w:bookmarkStart w:id="217" w:name="_Hlk236811943"/>
            <w:r>
              <w:rPr>
                <w:szCs w:val="24"/>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4"/>
              <w:rPr>
                <w:szCs w:val="24"/>
              </w:rPr>
            </w:pPr>
            <w:r>
              <w:rPr>
                <w:rFonts w:hint="eastAsia" w:ascii="宋体" w:hAnsi="宋体"/>
                <w:szCs w:val="24"/>
              </w:rPr>
              <w:t xml:space="preserve">成功实施经验（</w:t>
            </w:r>
            <w:r>
              <w:rPr>
                <w:szCs w:val="24"/>
              </w:rPr>
              <w:t xml:space="preserve">8</w:t>
            </w:r>
            <w:r>
              <w:rPr>
                <w:rFonts w:hint="eastAsia" w:ascii="宋体" w:hAnsi="宋体"/>
                <w:szCs w:val="24"/>
              </w:rPr>
              <w:t xml:space="preserve">分）</w:t>
            </w:r>
            <w:r>
              <w:rPr>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944"/>
              <w:rPr>
                <w:szCs w:val="24"/>
              </w:rPr>
            </w:pPr>
            <w:r>
              <w:rPr>
                <w:szCs w:val="24"/>
              </w:rPr>
              <w:t xml:space="preserve">2.3</w:t>
            </w:r>
            <w:r>
              <w:rPr>
                <w:rFonts w:hint="eastAsia" w:ascii="宋体" w:hAnsi="宋体"/>
                <w:szCs w:val="24"/>
              </w:rPr>
              <w:t xml:space="preserve">投标人具有</w:t>
            </w:r>
            <w:r>
              <w:rPr>
                <w:szCs w:val="24"/>
              </w:rPr>
              <w:t xml:space="preserve">2023</w:t>
            </w:r>
            <w:r>
              <w:rPr>
                <w:rFonts w:hint="eastAsia" w:ascii="宋体" w:hAnsi="宋体"/>
                <w:szCs w:val="24"/>
              </w:rPr>
              <w:t xml:space="preserve">年（以合同签订时间为准）以来成熟的信息系统实施经验，系统为投标人所实施、合同中至少包含与本项目同类的中医传承系统，每提供一个有效业绩得</w:t>
            </w:r>
            <w:r>
              <w:rPr>
                <w:szCs w:val="24"/>
              </w:rPr>
              <w:t xml:space="preserve">2</w:t>
            </w:r>
            <w:r>
              <w:rPr>
                <w:rFonts w:hint="eastAsia" w:ascii="宋体" w:hAnsi="宋体"/>
                <w:szCs w:val="24"/>
              </w:rPr>
              <w:t xml:space="preserve">分，本项最高得</w:t>
            </w:r>
            <w:r>
              <w:rPr>
                <w:szCs w:val="24"/>
              </w:rPr>
              <w:t xml:space="preserve">8</w:t>
            </w:r>
            <w:r>
              <w:rPr>
                <w:rFonts w:hint="eastAsia" w:ascii="宋体" w:hAnsi="宋体"/>
                <w:szCs w:val="24"/>
              </w:rPr>
              <w:t xml:space="preserve">分。须提供合同复印件加盖投标人公章。</w:t>
            </w:r>
            <w:r>
              <w:rPr>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44"/>
              <w:rPr>
                <w:szCs w:val="24"/>
              </w:rPr>
            </w:pPr>
            <w:r>
              <w:rPr>
                <w:szCs w:val="24"/>
              </w:rPr>
              <w:t xml:space="preserve">8</w:t>
            </w:r>
            <w:r/>
          </w:p>
        </w:tc>
      </w:tr>
      <w:tr>
        <w:trPr>
          <w:cantSplit/>
          <w:trHeight w:val="960"/>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44"/>
              <w:jc w:val="left"/>
              <w:widowControl/>
              <w:rPr>
                <w:szCs w:val="24"/>
              </w:rPr>
            </w:pPr>
            <w:r>
              <w:rPr>
                <w:szCs w:val="24"/>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944"/>
              <w:rPr>
                <w:szCs w:val="24"/>
              </w:rPr>
            </w:pPr>
            <w:r>
              <w:rPr>
                <w:rFonts w:hint="eastAsia" w:ascii="宋体" w:hAnsi="宋体"/>
                <w:szCs w:val="24"/>
              </w:rPr>
              <w:t xml:space="preserve">符合需求的软件开发能力（</w:t>
            </w:r>
            <w:r>
              <w:rPr>
                <w:szCs w:val="24"/>
              </w:rPr>
              <w:t xml:space="preserve">3</w:t>
            </w:r>
            <w:r>
              <w:rPr>
                <w:rFonts w:hint="eastAsia" w:ascii="宋体" w:hAnsi="宋体"/>
                <w:szCs w:val="24"/>
              </w:rPr>
              <w:t xml:space="preserve">分）</w:t>
            </w:r>
            <w:r>
              <w:rPr>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944"/>
              <w:jc w:val="left"/>
              <w:rPr>
                <w:szCs w:val="24"/>
              </w:rPr>
            </w:pPr>
            <w:r>
              <w:rPr>
                <w:szCs w:val="24"/>
              </w:rPr>
              <w:t xml:space="preserve">2.4</w:t>
            </w:r>
            <w:r>
              <w:rPr>
                <w:rFonts w:hint="eastAsia" w:ascii="宋体" w:hAnsi="宋体"/>
                <w:szCs w:val="24"/>
              </w:rPr>
              <w:t xml:space="preserve">投标人具有符合需求的软件开发能力，提供与本次建设内容相关的以下类似软件著作权：</w:t>
            </w:r>
            <w:r>
              <w:rPr>
                <w:szCs w:val="24"/>
              </w:rPr>
            </w:r>
            <w:r/>
          </w:p>
          <w:p>
            <w:pPr>
              <w:pStyle w:val="944"/>
              <w:numPr>
                <w:ilvl w:val="0"/>
                <w:numId w:val="7"/>
              </w:numPr>
              <w:jc w:val="left"/>
              <w:rPr>
                <w:szCs w:val="24"/>
              </w:rPr>
            </w:pPr>
            <w:r>
              <w:rPr>
                <w:rFonts w:hint="eastAsia"/>
                <w:spacing w:val="-4"/>
                <w:szCs w:val="24"/>
              </w:rPr>
              <w:t xml:space="preserve">中医传承平台类</w:t>
            </w:r>
            <w:r>
              <w:rPr>
                <w:rFonts w:hint="eastAsia"/>
                <w:szCs w:val="24"/>
              </w:rPr>
              <w:t xml:space="preserve">；</w:t>
            </w:r>
            <w:r>
              <w:rPr>
                <w:szCs w:val="24"/>
              </w:rPr>
            </w:r>
            <w:r/>
          </w:p>
          <w:p>
            <w:pPr>
              <w:pStyle w:val="944"/>
              <w:numPr>
                <w:ilvl w:val="0"/>
                <w:numId w:val="7"/>
              </w:numPr>
              <w:jc w:val="left"/>
              <w:rPr>
                <w:szCs w:val="24"/>
              </w:rPr>
            </w:pPr>
            <w:r>
              <w:rPr>
                <w:rFonts w:hint="eastAsia"/>
                <w:spacing w:val="1"/>
                <w:szCs w:val="24"/>
              </w:rPr>
              <w:t xml:space="preserve">中</w:t>
            </w:r>
            <w:r>
              <w:rPr>
                <w:rFonts w:hint="eastAsia"/>
                <w:szCs w:val="24"/>
              </w:rPr>
              <w:t xml:space="preserve">医药数据采</w:t>
            </w:r>
            <w:r>
              <w:rPr>
                <w:rFonts w:hint="eastAsia"/>
                <w:spacing w:val="-4"/>
                <w:szCs w:val="24"/>
              </w:rPr>
              <w:t xml:space="preserve">集类；</w:t>
            </w:r>
            <w:r>
              <w:rPr>
                <w:szCs w:val="24"/>
              </w:rPr>
            </w:r>
            <w:r/>
          </w:p>
          <w:p>
            <w:pPr>
              <w:pStyle w:val="944"/>
              <w:numPr>
                <w:ilvl w:val="0"/>
                <w:numId w:val="7"/>
              </w:numPr>
              <w:jc w:val="left"/>
              <w:rPr>
                <w:szCs w:val="24"/>
              </w:rPr>
            </w:pPr>
            <w:r>
              <w:rPr>
                <w:rFonts w:hint="eastAsia"/>
                <w:szCs w:val="24"/>
              </w:rPr>
              <w:t xml:space="preserve">中医人工智能或中医大模型类。</w:t>
            </w:r>
            <w:r>
              <w:rPr>
                <w:szCs w:val="24"/>
              </w:rPr>
            </w:r>
            <w:r/>
          </w:p>
          <w:p>
            <w:pPr>
              <w:pStyle w:val="944"/>
              <w:jc w:val="left"/>
              <w:rPr>
                <w:szCs w:val="24"/>
              </w:rPr>
            </w:pPr>
            <w:r>
              <w:rPr>
                <w:rFonts w:hint="eastAsia" w:ascii="宋体" w:hAnsi="宋体"/>
                <w:szCs w:val="24"/>
              </w:rPr>
              <w:t xml:space="preserve">每提供一类得1分，最高得</w:t>
            </w:r>
            <w:r>
              <w:rPr>
                <w:szCs w:val="24"/>
              </w:rPr>
              <w:t xml:space="preserve">3</w:t>
            </w:r>
            <w:r>
              <w:rPr>
                <w:rFonts w:hint="eastAsia" w:ascii="宋体" w:hAnsi="宋体"/>
                <w:szCs w:val="24"/>
              </w:rPr>
              <w:t xml:space="preserve">分。</w:t>
            </w:r>
            <w:r>
              <w:rPr>
                <w:szCs w:val="24"/>
              </w:rPr>
            </w:r>
            <w:r/>
          </w:p>
          <w:p>
            <w:pPr>
              <w:pStyle w:val="944"/>
              <w:jc w:val="left"/>
              <w:rPr>
                <w:szCs w:val="24"/>
              </w:rPr>
            </w:pPr>
            <w:r>
              <w:rPr>
                <w:rFonts w:hint="eastAsia" w:ascii="宋体" w:hAnsi="宋体"/>
                <w:szCs w:val="24"/>
              </w:rPr>
              <w:t xml:space="preserve">（投标人需提供软件著作权证书（如软件著作权证书名称与上述所列名称不一致，需提供详细功能附页，功能描述中体现上述相关主题</w:t>
            </w:r>
            <w:r>
              <w:rPr>
                <w:szCs w:val="24"/>
              </w:rPr>
              <w:t xml:space="preserve">)</w:t>
            </w:r>
            <w:r>
              <w:rPr>
                <w:rFonts w:hint="eastAsia" w:ascii="宋体" w:hAnsi="宋体"/>
                <w:szCs w:val="24"/>
              </w:rPr>
              <w:t xml:space="preserve">复印件并加盖投标人公章，未提供不得分，每种软著只计一次分。）</w:t>
            </w:r>
            <w:r>
              <w:rPr>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4"/>
              <w:rPr>
                <w:szCs w:val="24"/>
              </w:rPr>
            </w:pPr>
            <w:r>
              <w:rPr>
                <w:szCs w:val="24"/>
              </w:rPr>
              <w:t xml:space="preserve">3</w:t>
            </w:r>
            <w:r/>
          </w:p>
        </w:tc>
      </w:tr>
      <w:tr>
        <w:trPr>
          <w:cantSplit/>
          <w:trHeight w:val="640"/>
        </w:trPr>
        <w:tc>
          <w:tcPr>
            <w:tcBorders>
              <w:top w:val="single" w:color="000000" w:sz="4" w:space="0"/>
              <w:left w:val="single" w:color="000000" w:sz="4" w:space="0"/>
              <w:bottom w:val="single" w:color="000000" w:sz="4" w:space="0"/>
              <w:right w:val="single" w:color="000000" w:sz="4" w:space="0"/>
            </w:tcBorders>
            <w:tcW w:w="823" w:type="dxa"/>
            <w:vAlign w:val="center"/>
            <w:vMerge w:val="restart"/>
            <w:textDirection w:val="lrTb"/>
            <w:noWrap w:val="false"/>
          </w:tcPr>
          <w:p>
            <w:pPr>
              <w:pStyle w:val="944"/>
              <w:rPr>
                <w:szCs w:val="24"/>
              </w:rPr>
            </w:pPr>
            <w:r/>
            <w:bookmarkEnd w:id="217"/>
            <w:r>
              <w:rPr>
                <w:rFonts w:hint="eastAsia" w:ascii="宋体" w:hAnsi="宋体"/>
                <w:szCs w:val="24"/>
              </w:rPr>
              <w:t xml:space="preserve">三、技术响应（</w:t>
            </w:r>
            <w:r>
              <w:rPr>
                <w:szCs w:val="24"/>
              </w:rPr>
              <w:t xml:space="preserve">65</w:t>
            </w:r>
            <w:r>
              <w:rPr>
                <w:rFonts w:hint="eastAsia" w:ascii="宋体" w:hAnsi="宋体"/>
                <w:szCs w:val="24"/>
              </w:rPr>
              <w:t xml:space="preserve">分）</w:t>
            </w:r>
            <w:r>
              <w:rPr>
                <w:szCs w:val="24"/>
              </w:rPr>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pStyle w:val="944"/>
              <w:rPr>
                <w:szCs w:val="24"/>
              </w:rPr>
            </w:pPr>
            <w:r>
              <w:rPr>
                <w:rFonts w:hint="eastAsia" w:ascii="宋体" w:hAnsi="宋体"/>
                <w:szCs w:val="24"/>
              </w:rPr>
              <w:t xml:space="preserve">重点参数响应（</w:t>
            </w:r>
            <w:r>
              <w:rPr>
                <w:szCs w:val="24"/>
              </w:rPr>
              <w:t xml:space="preserve">30</w:t>
            </w:r>
            <w:r>
              <w:rPr>
                <w:rFonts w:hint="eastAsia" w:ascii="宋体" w:hAnsi="宋体"/>
                <w:szCs w:val="24"/>
              </w:rPr>
              <w:t xml:space="preserve">分）</w:t>
            </w:r>
            <w:r>
              <w:rPr>
                <w:szCs w:val="24"/>
              </w:rPr>
            </w:r>
            <w:r/>
          </w:p>
        </w:tc>
        <w:tc>
          <w:tcPr>
            <w:tcBorders>
              <w:top w:val="single" w:color="000000" w:sz="4" w:space="0"/>
              <w:left w:val="none" w:color="000000" w:sz="4" w:space="0"/>
              <w:bottom w:val="single" w:color="000000" w:sz="4" w:space="0"/>
              <w:right w:val="single" w:color="000000" w:sz="4" w:space="0"/>
            </w:tcBorders>
            <w:tcW w:w="5528" w:type="dxa"/>
            <w:vAlign w:val="center"/>
            <w:textDirection w:val="lrTb"/>
            <w:noWrap w:val="false"/>
          </w:tcPr>
          <w:p>
            <w:pPr>
              <w:pStyle w:val="944"/>
              <w:rPr>
                <w:rFonts w:hint="eastAsia" w:ascii="宋体" w:hAnsi="宋体"/>
                <w:szCs w:val="24"/>
              </w:rPr>
            </w:pPr>
            <w:r/>
            <w:bookmarkStart w:id="218" w:name="_Hlk147913572"/>
            <w:r>
              <w:rPr>
                <w:rFonts w:hint="eastAsia"/>
                <w:szCs w:val="24"/>
              </w:rPr>
              <w:t xml:space="preserve">3.1</w:t>
            </w:r>
            <w:r>
              <w:rPr>
                <w:rFonts w:hint="eastAsia"/>
                <w:szCs w:val="24"/>
              </w:rPr>
              <w:t xml:space="preserve">由评委根据投标人对第四章采购需求中“五、</w:t>
            </w:r>
            <w:r>
              <w:rPr>
                <w:rFonts w:hint="eastAsia" w:ascii="宋体" w:hAnsi="宋体"/>
                <w:szCs w:val="24"/>
              </w:rPr>
              <w:t xml:space="preserve">详细功能参数要求</w:t>
            </w:r>
            <w:r>
              <w:rPr>
                <w:rFonts w:hint="eastAsia"/>
                <w:szCs w:val="24"/>
              </w:rPr>
              <w:t xml:space="preserve">”</w:t>
            </w:r>
            <w:r>
              <w:rPr>
                <w:rFonts w:hint="eastAsia" w:ascii="宋体" w:hAnsi="宋体"/>
                <w:szCs w:val="24"/>
              </w:rPr>
              <w:t xml:space="preserve">的响应情况进行打分：</w:t>
            </w:r>
            <w:r/>
          </w:p>
          <w:p>
            <w:pPr>
              <w:pStyle w:val="944"/>
              <w:rPr>
                <w:szCs w:val="24"/>
              </w:rPr>
            </w:pPr>
            <w:r>
              <w:rPr>
                <w:rFonts w:hint="eastAsia" w:ascii="宋体" w:hAnsi="宋体"/>
                <w:szCs w:val="24"/>
              </w:rPr>
              <w:t xml:space="preserve">带“</w:t>
            </w:r>
            <w:bookmarkEnd w:id="218"/>
            <w:r/>
            <w:bookmarkStart w:id="219" w:name="_Hlk169709319"/>
            <w:r>
              <w:rPr>
                <w:rFonts w:hint="eastAsia" w:ascii="宋体" w:hAnsi="宋体"/>
                <w:szCs w:val="24"/>
              </w:rPr>
              <w:t xml:space="preserve">▲</w:t>
            </w:r>
            <w:bookmarkEnd w:id="219"/>
            <w:r>
              <w:rPr>
                <w:rFonts w:hint="eastAsia" w:ascii="宋体" w:hAnsi="宋体"/>
                <w:szCs w:val="24"/>
              </w:rPr>
              <w:t xml:space="preserve">”的功能项共10项，投标人需逐项填写技术要求响应及偏离表，并提供同类项目类似系统功能截图或</w:t>
            </w:r>
            <w:r>
              <w:rPr>
                <w:rFonts w:hint="eastAsia" w:ascii="宋体" w:hAnsi="宋体"/>
                <w:szCs w:val="24"/>
              </w:rPr>
              <w:t xml:space="preserve">产品说明书，不符合要求的每项扣</w:t>
            </w:r>
            <w:r>
              <w:rPr>
                <w:szCs w:val="24"/>
              </w:rPr>
              <w:t xml:space="preserve">3</w:t>
            </w:r>
            <w:r>
              <w:rPr>
                <w:rFonts w:hint="eastAsia" w:ascii="宋体" w:hAnsi="宋体"/>
                <w:szCs w:val="24"/>
              </w:rPr>
              <w:t xml:space="preserve">分，扣完为止（带“▲”项每个系统功能截图或产品说明书需清晰直观体现相关功能点，不清晰不得分）。</w:t>
            </w:r>
            <w:r>
              <w:rPr>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4"/>
              <w:rPr>
                <w:szCs w:val="24"/>
              </w:rPr>
            </w:pPr>
            <w:r>
              <w:rPr>
                <w:szCs w:val="24"/>
              </w:rPr>
              <w:t xml:space="preserve">30</w:t>
            </w:r>
            <w:r/>
          </w:p>
        </w:tc>
      </w:tr>
      <w:tr>
        <w:trPr>
          <w:cantSplit/>
          <w:trHeight w:val="640"/>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44"/>
              <w:jc w:val="left"/>
              <w:widowControl/>
              <w:rPr>
                <w:szCs w:val="24"/>
              </w:rPr>
            </w:pPr>
            <w:r>
              <w:rPr>
                <w:szCs w:val="24"/>
              </w:rPr>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pStyle w:val="944"/>
              <w:rPr>
                <w:szCs w:val="24"/>
              </w:rPr>
            </w:pPr>
            <w:r>
              <w:rPr>
                <w:rFonts w:hint="eastAsia" w:ascii="宋体" w:hAnsi="宋体"/>
                <w:szCs w:val="24"/>
              </w:rPr>
              <w:t xml:space="preserve">总体设计方案（</w:t>
            </w:r>
            <w:r>
              <w:rPr>
                <w:szCs w:val="24"/>
              </w:rPr>
              <w:t xml:space="preserve">5</w:t>
            </w:r>
            <w:r>
              <w:rPr>
                <w:rFonts w:hint="eastAsia" w:ascii="宋体" w:hAnsi="宋体"/>
                <w:szCs w:val="24"/>
              </w:rPr>
              <w:t xml:space="preserve">分）</w:t>
            </w:r>
            <w:r>
              <w:rPr>
                <w:szCs w:val="24"/>
              </w:rPr>
            </w:r>
            <w:r/>
          </w:p>
        </w:tc>
        <w:tc>
          <w:tcPr>
            <w:tcBorders>
              <w:top w:val="single" w:color="000000" w:sz="4" w:space="0"/>
              <w:left w:val="none" w:color="000000" w:sz="4" w:space="0"/>
              <w:bottom w:val="single" w:color="000000" w:sz="4" w:space="0"/>
              <w:right w:val="single" w:color="000000" w:sz="4" w:space="0"/>
            </w:tcBorders>
            <w:tcW w:w="5528" w:type="dxa"/>
            <w:vAlign w:val="center"/>
            <w:textDirection w:val="lrTb"/>
            <w:noWrap w:val="false"/>
          </w:tcPr>
          <w:p>
            <w:pPr>
              <w:pStyle w:val="944"/>
              <w:rPr>
                <w:szCs w:val="24"/>
              </w:rPr>
            </w:pPr>
            <w:r>
              <w:rPr>
                <w:rFonts w:hint="eastAsia"/>
                <w:szCs w:val="24"/>
              </w:rPr>
              <w:t xml:space="preserve">3.2</w:t>
            </w:r>
            <w:r>
              <w:rPr>
                <w:rFonts w:hint="eastAsia"/>
                <w:szCs w:val="24"/>
              </w:rPr>
              <w:t xml:space="preserve">评委根据投标文件对招标文件“项目建设要求”中“总体设计方案”要求的响应情况进行评审。</w:t>
            </w:r>
            <w:r>
              <w:rPr>
                <w:szCs w:val="24"/>
              </w:rPr>
            </w:r>
            <w:r/>
          </w:p>
          <w:p>
            <w:pPr>
              <w:pStyle w:val="944"/>
              <w:rPr>
                <w:szCs w:val="24"/>
              </w:rPr>
            </w:pPr>
            <w:r>
              <w:rPr>
                <w:szCs w:val="24"/>
              </w:rPr>
              <w:t xml:space="preserve">(1)</w:t>
            </w:r>
            <w:r>
              <w:rPr>
                <w:rFonts w:hint="eastAsia"/>
                <w:szCs w:val="24"/>
              </w:rPr>
              <w:t xml:space="preserve">投标文件未符合“总体设计方案”中全部要求的，视为不符合招标文件，本项得</w:t>
            </w:r>
            <w:r>
              <w:rPr>
                <w:szCs w:val="24"/>
              </w:rPr>
              <w:t xml:space="preserve">0</w:t>
            </w:r>
            <w:r>
              <w:rPr>
                <w:rFonts w:hint="eastAsia"/>
                <w:szCs w:val="24"/>
              </w:rPr>
              <w:t xml:space="preserve">分。</w:t>
            </w:r>
            <w:r>
              <w:rPr>
                <w:szCs w:val="24"/>
              </w:rPr>
            </w:r>
            <w:r/>
          </w:p>
          <w:p>
            <w:pPr>
              <w:pStyle w:val="944"/>
              <w:rPr>
                <w:szCs w:val="24"/>
              </w:rPr>
            </w:pPr>
            <w:r>
              <w:rPr>
                <w:szCs w:val="24"/>
              </w:rPr>
              <w:t xml:space="preserve">(2)</w:t>
            </w:r>
            <w:r>
              <w:rPr>
                <w:rFonts w:hint="eastAsia"/>
                <w:szCs w:val="24"/>
              </w:rPr>
              <w:t xml:space="preserve">投标文件符合“总体设计方案”中全部要求的，视为符合招标文件，本项得</w:t>
            </w:r>
            <w:r>
              <w:rPr>
                <w:szCs w:val="24"/>
              </w:rPr>
              <w:t xml:space="preserve">3</w:t>
            </w:r>
            <w:r>
              <w:rPr>
                <w:rFonts w:hint="eastAsia"/>
                <w:szCs w:val="24"/>
              </w:rPr>
              <w:t xml:space="preserve">分。</w:t>
            </w:r>
            <w:r>
              <w:rPr>
                <w:szCs w:val="24"/>
              </w:rPr>
            </w:r>
            <w:r/>
          </w:p>
          <w:p>
            <w:pPr>
              <w:pStyle w:val="944"/>
              <w:rPr>
                <w:szCs w:val="24"/>
              </w:rPr>
            </w:pPr>
            <w:r>
              <w:rPr>
                <w:szCs w:val="24"/>
              </w:rPr>
              <w:t xml:space="preserve">(3)</w:t>
            </w:r>
            <w:r>
              <w:rPr>
                <w:rFonts w:hint="eastAsia"/>
                <w:szCs w:val="24"/>
              </w:rPr>
              <w:t xml:space="preserve">经评委认定，投标文件对“总体设计方案”中“总体架构设计”、“系统逻辑架构”、“功能模块设计”三项要求的响应内容全部优于招标文件要求的（前提是投标文件对“总体设计方案”中除“总体架构设计”、“系统逻辑架构”、“功能模块设计”外其他要求响应内容符合招标文件要求），本项得</w:t>
            </w:r>
            <w:r>
              <w:rPr>
                <w:szCs w:val="24"/>
              </w:rPr>
              <w:t xml:space="preserve">5</w:t>
            </w:r>
            <w:r>
              <w:rPr>
                <w:rFonts w:hint="eastAsia"/>
                <w:szCs w:val="24"/>
              </w:rPr>
              <w:t xml:space="preserve">分。</w:t>
            </w:r>
            <w:r>
              <w:rPr>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44"/>
              <w:rPr>
                <w:szCs w:val="24"/>
              </w:rPr>
            </w:pPr>
            <w:r>
              <w:rPr>
                <w:szCs w:val="24"/>
              </w:rPr>
              <w:t xml:space="preserve">5</w:t>
            </w:r>
            <w:r/>
          </w:p>
        </w:tc>
      </w:tr>
      <w:tr>
        <w:trPr>
          <w:cantSplit/>
          <w:trHeight w:val="640"/>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44"/>
              <w:jc w:val="left"/>
              <w:widowControl/>
              <w:rPr>
                <w:szCs w:val="24"/>
              </w:rPr>
            </w:pPr>
            <w:r>
              <w:rPr>
                <w:szCs w:val="24"/>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val="false"/>
          </w:tcPr>
          <w:p>
            <w:pPr>
              <w:pStyle w:val="944"/>
              <w:rPr>
                <w:szCs w:val="24"/>
              </w:rPr>
            </w:pPr>
            <w:r>
              <w:rPr>
                <w:rFonts w:hint="eastAsia" w:ascii="宋体" w:hAnsi="宋体"/>
                <w:szCs w:val="24"/>
              </w:rPr>
              <w:t xml:space="preserve">实施方案（</w:t>
            </w:r>
            <w:r>
              <w:rPr>
                <w:szCs w:val="24"/>
              </w:rPr>
              <w:t xml:space="preserve">5</w:t>
            </w:r>
            <w:r>
              <w:rPr>
                <w:rFonts w:hint="eastAsia" w:ascii="宋体" w:hAnsi="宋体"/>
                <w:szCs w:val="24"/>
              </w:rPr>
              <w:t xml:space="preserve">分）</w:t>
            </w:r>
            <w:r>
              <w:rPr>
                <w:szCs w:val="24"/>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944"/>
              <w:rPr>
                <w:szCs w:val="24"/>
              </w:rPr>
            </w:pPr>
            <w:r>
              <w:rPr>
                <w:rFonts w:hint="eastAsia"/>
                <w:szCs w:val="24"/>
              </w:rPr>
              <w:t xml:space="preserve">3.3</w:t>
            </w:r>
            <w:r>
              <w:rPr>
                <w:rFonts w:hint="eastAsia"/>
                <w:szCs w:val="24"/>
              </w:rPr>
              <w:t xml:space="preserve">评委根据投标文件对招标文件“项目建设要求”中“实施方案要求”要求的响应情况进行评审。</w:t>
            </w:r>
            <w:r>
              <w:rPr>
                <w:szCs w:val="24"/>
              </w:rPr>
            </w:r>
            <w:r/>
          </w:p>
          <w:p>
            <w:pPr>
              <w:pStyle w:val="944"/>
              <w:rPr>
                <w:szCs w:val="24"/>
              </w:rPr>
            </w:pPr>
            <w:r>
              <w:rPr>
                <w:szCs w:val="24"/>
              </w:rPr>
              <w:t xml:space="preserve">(1)</w:t>
            </w:r>
            <w:r>
              <w:rPr>
                <w:rFonts w:hint="eastAsia"/>
                <w:szCs w:val="24"/>
              </w:rPr>
              <w:t xml:space="preserve">投标文件未符合“实施方案要求”中全部要求的，视为不符合招标文件，本项得</w:t>
            </w:r>
            <w:r>
              <w:rPr>
                <w:szCs w:val="24"/>
              </w:rPr>
              <w:t xml:space="preserve">0</w:t>
            </w:r>
            <w:r>
              <w:rPr>
                <w:rFonts w:hint="eastAsia"/>
                <w:szCs w:val="24"/>
              </w:rPr>
              <w:t xml:space="preserve">分。</w:t>
            </w:r>
            <w:r>
              <w:rPr>
                <w:szCs w:val="24"/>
              </w:rPr>
            </w:r>
            <w:r/>
          </w:p>
          <w:p>
            <w:pPr>
              <w:pStyle w:val="944"/>
              <w:rPr>
                <w:szCs w:val="24"/>
              </w:rPr>
            </w:pPr>
            <w:r>
              <w:rPr>
                <w:szCs w:val="24"/>
              </w:rPr>
              <w:t xml:space="preserve">(2)</w:t>
            </w:r>
            <w:r>
              <w:rPr>
                <w:rFonts w:hint="eastAsia"/>
                <w:szCs w:val="24"/>
              </w:rPr>
              <w:t xml:space="preserve">投标文件符合“实施方案要求”中全部要求的，视为符合招标文件，本项得</w:t>
            </w:r>
            <w:r>
              <w:rPr>
                <w:szCs w:val="24"/>
              </w:rPr>
              <w:t xml:space="preserve">3</w:t>
            </w:r>
            <w:r>
              <w:rPr>
                <w:rFonts w:hint="eastAsia"/>
                <w:szCs w:val="24"/>
              </w:rPr>
              <w:t xml:space="preserve">分。</w:t>
            </w:r>
            <w:r>
              <w:rPr>
                <w:szCs w:val="24"/>
              </w:rPr>
            </w:r>
            <w:r/>
          </w:p>
          <w:p>
            <w:pPr>
              <w:pStyle w:val="944"/>
              <w:rPr>
                <w:szCs w:val="24"/>
              </w:rPr>
            </w:pPr>
            <w:r>
              <w:rPr>
                <w:szCs w:val="24"/>
              </w:rPr>
              <w:t xml:space="preserve">(3)</w:t>
            </w:r>
            <w:r>
              <w:rPr>
                <w:rFonts w:hint="eastAsia"/>
                <w:szCs w:val="24"/>
              </w:rPr>
              <w:t xml:space="preserve">经评委认定，投标文件对“实施方案要求”中“实施团队”、“进度计划”两项要求的响应内容全部优于招标文件要求的（前提是投标文件对“实施方案要求”中除“实施团队”、“进度计划”外其他要求响应内容符合招标文件要求），本项得</w:t>
            </w:r>
            <w:r>
              <w:rPr>
                <w:szCs w:val="24"/>
              </w:rPr>
              <w:t xml:space="preserve">5</w:t>
            </w:r>
            <w:r>
              <w:rPr>
                <w:rFonts w:hint="eastAsia"/>
                <w:szCs w:val="24"/>
              </w:rPr>
              <w:t xml:space="preserve">分。</w:t>
            </w:r>
            <w:r>
              <w:rPr>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44"/>
              <w:rPr>
                <w:szCs w:val="24"/>
              </w:rPr>
            </w:pPr>
            <w:r>
              <w:rPr>
                <w:szCs w:val="24"/>
              </w:rPr>
              <w:t xml:space="preserve">5</w:t>
            </w:r>
            <w:r/>
          </w:p>
        </w:tc>
      </w:tr>
      <w:tr>
        <w:trPr>
          <w:cantSplit/>
          <w:trHeight w:val="1151"/>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44"/>
              <w:jc w:val="left"/>
              <w:widowControl/>
              <w:rPr>
                <w:szCs w:val="24"/>
              </w:rPr>
            </w:pPr>
            <w:r>
              <w:rPr>
                <w:szCs w:val="24"/>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val="false"/>
          </w:tcPr>
          <w:p>
            <w:pPr>
              <w:pStyle w:val="944"/>
              <w:rPr>
                <w:szCs w:val="24"/>
              </w:rPr>
            </w:pPr>
            <w:r/>
            <w:bookmarkStart w:id="220" w:name="OLE_LINK18"/>
            <w:r>
              <w:rPr>
                <w:rFonts w:hint="eastAsia" w:ascii="宋体" w:hAnsi="宋体"/>
                <w:szCs w:val="24"/>
              </w:rPr>
              <w:t xml:space="preserve">售后服务方案</w:t>
            </w:r>
            <w:bookmarkEnd w:id="220"/>
            <w:r>
              <w:rPr>
                <w:rFonts w:hint="eastAsia" w:ascii="宋体" w:hAnsi="宋体"/>
                <w:szCs w:val="24"/>
              </w:rPr>
              <w:t xml:space="preserve">（</w:t>
            </w:r>
            <w:r>
              <w:rPr>
                <w:szCs w:val="24"/>
              </w:rPr>
              <w:t xml:space="preserve">5</w:t>
            </w:r>
            <w:r>
              <w:rPr>
                <w:rFonts w:hint="eastAsia" w:ascii="宋体" w:hAnsi="宋体"/>
                <w:szCs w:val="24"/>
              </w:rPr>
              <w:t xml:space="preserve">分）</w:t>
            </w:r>
            <w:r>
              <w:rPr>
                <w:szCs w:val="24"/>
              </w:rPr>
            </w:r>
            <w:r/>
          </w:p>
        </w:tc>
        <w:tc>
          <w:tcPr>
            <w:tcBorders>
              <w:top w:val="none" w:color="000000" w:sz="4" w:space="0"/>
              <w:left w:val="none" w:color="000000" w:sz="4" w:space="0"/>
              <w:bottom w:val="single" w:color="000000" w:sz="4" w:space="0"/>
              <w:right w:val="single" w:color="000000" w:sz="4" w:space="0"/>
            </w:tcBorders>
            <w:tcW w:w="5528" w:type="dxa"/>
            <w:vAlign w:val="center"/>
            <w:textDirection w:val="lrTb"/>
            <w:noWrap w:val="false"/>
          </w:tcPr>
          <w:p>
            <w:pPr>
              <w:pStyle w:val="944"/>
              <w:rPr>
                <w:szCs w:val="24"/>
              </w:rPr>
            </w:pPr>
            <w:r>
              <w:rPr>
                <w:rFonts w:hint="eastAsia"/>
                <w:szCs w:val="24"/>
              </w:rPr>
              <w:t xml:space="preserve">3.4</w:t>
            </w:r>
            <w:r>
              <w:rPr>
                <w:rFonts w:hint="eastAsia"/>
                <w:szCs w:val="24"/>
              </w:rPr>
              <w:t xml:space="preserve">评委根据投标文件对招标文件“商务条款”中“</w:t>
            </w:r>
            <w:r>
              <w:rPr>
                <w:rFonts w:hint="eastAsia" w:ascii="宋体" w:hAnsi="宋体"/>
                <w:szCs w:val="24"/>
              </w:rPr>
              <w:t xml:space="preserve">售后服务方案</w:t>
            </w:r>
            <w:r>
              <w:rPr>
                <w:rFonts w:hint="eastAsia"/>
                <w:szCs w:val="24"/>
              </w:rPr>
              <w:t xml:space="preserve">”要求的响应情况进行评审。</w:t>
            </w:r>
            <w:r>
              <w:rPr>
                <w:szCs w:val="24"/>
              </w:rPr>
            </w:r>
            <w:r/>
          </w:p>
          <w:p>
            <w:pPr>
              <w:pStyle w:val="944"/>
              <w:rPr>
                <w:szCs w:val="24"/>
              </w:rPr>
            </w:pPr>
            <w:r>
              <w:rPr>
                <w:szCs w:val="24"/>
              </w:rPr>
              <w:t xml:space="preserve">(1)</w:t>
            </w:r>
            <w:r>
              <w:rPr>
                <w:rFonts w:hint="eastAsia"/>
                <w:szCs w:val="24"/>
              </w:rPr>
              <w:t xml:space="preserve">投标文件未符合“售后服务方案”中全部要求的，视为不符合招标文件，本项得</w:t>
            </w:r>
            <w:r>
              <w:rPr>
                <w:szCs w:val="24"/>
              </w:rPr>
              <w:t xml:space="preserve">0</w:t>
            </w:r>
            <w:r>
              <w:rPr>
                <w:rFonts w:hint="eastAsia"/>
                <w:szCs w:val="24"/>
              </w:rPr>
              <w:t xml:space="preserve">分。</w:t>
            </w:r>
            <w:r>
              <w:rPr>
                <w:szCs w:val="24"/>
              </w:rPr>
            </w:r>
            <w:r/>
          </w:p>
          <w:p>
            <w:pPr>
              <w:pStyle w:val="944"/>
              <w:rPr>
                <w:rFonts w:hint="eastAsia"/>
                <w:szCs w:val="24"/>
              </w:rPr>
            </w:pPr>
            <w:r>
              <w:rPr>
                <w:szCs w:val="24"/>
              </w:rPr>
              <w:t xml:space="preserve">(2)</w:t>
            </w:r>
            <w:r>
              <w:rPr>
                <w:rFonts w:hint="eastAsia"/>
                <w:szCs w:val="24"/>
              </w:rPr>
              <w:t xml:space="preserve">投标文件符合“售后服务方案”中全部要求的，视为符合招标文件，本项得</w:t>
            </w:r>
            <w:r>
              <w:rPr>
                <w:szCs w:val="24"/>
              </w:rPr>
              <w:t xml:space="preserve">3</w:t>
            </w:r>
            <w:r>
              <w:rPr>
                <w:rFonts w:hint="eastAsia"/>
                <w:szCs w:val="24"/>
              </w:rPr>
              <w:t xml:space="preserve">分。</w:t>
            </w:r>
            <w:r/>
          </w:p>
          <w:p>
            <w:pPr>
              <w:pStyle w:val="944"/>
              <w:rPr>
                <w:szCs w:val="24"/>
              </w:rPr>
            </w:pPr>
            <w:r>
              <w:rPr>
                <w:szCs w:val="24"/>
              </w:rPr>
              <w:t xml:space="preserve">(3)</w:t>
            </w:r>
            <w:r>
              <w:rPr>
                <w:rFonts w:hint="eastAsia"/>
                <w:szCs w:val="24"/>
              </w:rPr>
              <w:t xml:space="preserve">经评委认定，投标文件对“</w:t>
            </w:r>
            <w:bookmarkStart w:id="221" w:name="OLE_LINK21"/>
            <w:r>
              <w:rPr>
                <w:rFonts w:hint="eastAsia"/>
                <w:szCs w:val="24"/>
              </w:rPr>
              <w:t xml:space="preserve">售后服务方案</w:t>
            </w:r>
            <w:bookmarkEnd w:id="221"/>
            <w:r>
              <w:rPr>
                <w:rFonts w:hint="eastAsia"/>
                <w:szCs w:val="24"/>
              </w:rPr>
              <w:t xml:space="preserve">”中“维保巡检”、“响应时间”两项要求的响应内容全部优于招标文件要求的（前提是投标文件对“售后服务方案”中除“维保巡检”、“响应时间”外其他要求响应内容符合招标文件要求），本项得</w:t>
            </w:r>
            <w:r>
              <w:rPr>
                <w:szCs w:val="24"/>
              </w:rPr>
              <w:t xml:space="preserve">5</w:t>
            </w:r>
            <w:r>
              <w:rPr>
                <w:rFonts w:hint="eastAsia"/>
                <w:szCs w:val="24"/>
              </w:rPr>
              <w:t xml:space="preserve">分。</w:t>
            </w:r>
            <w:r>
              <w:rPr>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44"/>
              <w:rPr>
                <w:szCs w:val="24"/>
              </w:rPr>
            </w:pPr>
            <w:r>
              <w:rPr>
                <w:szCs w:val="24"/>
              </w:rPr>
              <w:t xml:space="preserve">5</w:t>
            </w:r>
            <w:r/>
          </w:p>
        </w:tc>
      </w:tr>
      <w:tr>
        <w:trPr>
          <w:cantSplit/>
          <w:trHeight w:val="320"/>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44"/>
              <w:jc w:val="left"/>
              <w:widowControl/>
              <w:rPr>
                <w:szCs w:val="24"/>
              </w:rPr>
            </w:pPr>
            <w:r>
              <w:rPr>
                <w:szCs w:val="24"/>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val="false"/>
          </w:tcPr>
          <w:p>
            <w:pPr>
              <w:pStyle w:val="944"/>
              <w:rPr>
                <w:szCs w:val="24"/>
              </w:rPr>
            </w:pPr>
            <w:r>
              <w:rPr>
                <w:rFonts w:hint="eastAsia" w:ascii="宋体" w:hAnsi="宋体"/>
                <w:szCs w:val="24"/>
              </w:rPr>
              <w:t xml:space="preserve">培训方案（</w:t>
            </w:r>
            <w:r>
              <w:rPr>
                <w:szCs w:val="24"/>
              </w:rPr>
              <w:t xml:space="preserve">5</w:t>
            </w:r>
            <w:r>
              <w:rPr>
                <w:rFonts w:hint="eastAsia" w:ascii="宋体" w:hAnsi="宋体"/>
                <w:szCs w:val="24"/>
              </w:rPr>
              <w:t xml:space="preserve">分）</w:t>
            </w:r>
            <w:r>
              <w:rPr>
                <w:szCs w:val="24"/>
              </w:rPr>
            </w:r>
            <w:r/>
          </w:p>
        </w:tc>
        <w:tc>
          <w:tcPr>
            <w:tcBorders>
              <w:top w:val="single" w:color="000000" w:sz="4" w:space="0"/>
              <w:left w:val="none" w:color="000000" w:sz="4" w:space="0"/>
              <w:bottom w:val="none" w:color="000000" w:sz="4" w:space="0"/>
              <w:right w:val="single" w:color="000000" w:sz="4" w:space="0"/>
            </w:tcBorders>
            <w:tcW w:w="5528" w:type="dxa"/>
            <w:vAlign w:val="center"/>
            <w:textDirection w:val="lrTb"/>
            <w:noWrap w:val="false"/>
          </w:tcPr>
          <w:p>
            <w:pPr>
              <w:pStyle w:val="944"/>
              <w:rPr>
                <w:szCs w:val="24"/>
              </w:rPr>
            </w:pPr>
            <w:r>
              <w:rPr>
                <w:rFonts w:hint="eastAsia"/>
                <w:szCs w:val="24"/>
              </w:rPr>
              <w:t xml:space="preserve">3.5</w:t>
            </w:r>
            <w:r>
              <w:rPr>
                <w:rFonts w:hint="eastAsia"/>
                <w:szCs w:val="24"/>
              </w:rPr>
              <w:t xml:space="preserve">评委根据投标文件对招标文件</w:t>
            </w:r>
            <w:r>
              <w:rPr>
                <w:rFonts w:hint="eastAsia"/>
                <w:szCs w:val="24"/>
              </w:rPr>
              <w:t xml:space="preserve">“项目建设要求”中“培训方案要求”要求的响应情况进行评审。</w:t>
            </w:r>
            <w:r>
              <w:rPr>
                <w:szCs w:val="24"/>
              </w:rPr>
            </w:r>
            <w:r/>
          </w:p>
          <w:p>
            <w:pPr>
              <w:pStyle w:val="944"/>
              <w:rPr>
                <w:szCs w:val="24"/>
              </w:rPr>
            </w:pPr>
            <w:r>
              <w:rPr>
                <w:szCs w:val="24"/>
              </w:rPr>
              <w:t xml:space="preserve">(1)</w:t>
            </w:r>
            <w:r>
              <w:rPr>
                <w:rFonts w:hint="eastAsia"/>
                <w:szCs w:val="24"/>
              </w:rPr>
              <w:t xml:space="preserve">投标文件未符合“培训方案要求”中全部要求的，视为不符合招标文件，本项得</w:t>
            </w:r>
            <w:r>
              <w:rPr>
                <w:szCs w:val="24"/>
              </w:rPr>
              <w:t xml:space="preserve">0</w:t>
            </w:r>
            <w:r>
              <w:rPr>
                <w:rFonts w:hint="eastAsia"/>
                <w:szCs w:val="24"/>
              </w:rPr>
              <w:t xml:space="preserve">分。</w:t>
            </w:r>
            <w:r>
              <w:rPr>
                <w:szCs w:val="24"/>
              </w:rPr>
            </w:r>
            <w:r/>
          </w:p>
          <w:p>
            <w:pPr>
              <w:pStyle w:val="944"/>
              <w:rPr>
                <w:szCs w:val="24"/>
              </w:rPr>
            </w:pPr>
            <w:r>
              <w:rPr>
                <w:szCs w:val="24"/>
              </w:rPr>
              <w:t xml:space="preserve">(2)</w:t>
            </w:r>
            <w:r>
              <w:rPr>
                <w:rFonts w:hint="eastAsia"/>
                <w:szCs w:val="24"/>
              </w:rPr>
              <w:t xml:space="preserve">投标文件符合“培训方案要求”中全部要求的，视为符合招标文件，本项得</w:t>
            </w:r>
            <w:r>
              <w:rPr>
                <w:szCs w:val="24"/>
              </w:rPr>
              <w:t xml:space="preserve">3</w:t>
            </w:r>
            <w:r>
              <w:rPr>
                <w:rFonts w:hint="eastAsia"/>
                <w:szCs w:val="24"/>
              </w:rPr>
              <w:t xml:space="preserve">分。</w:t>
            </w:r>
            <w:r>
              <w:rPr>
                <w:szCs w:val="24"/>
              </w:rPr>
            </w:r>
            <w:r/>
          </w:p>
          <w:p>
            <w:pPr>
              <w:pStyle w:val="944"/>
              <w:rPr>
                <w:szCs w:val="24"/>
              </w:rPr>
            </w:pPr>
            <w:r>
              <w:rPr>
                <w:szCs w:val="24"/>
              </w:rPr>
              <w:t xml:space="preserve">(3)</w:t>
            </w:r>
            <w:r>
              <w:rPr>
                <w:rFonts w:hint="eastAsia"/>
                <w:szCs w:val="24"/>
              </w:rPr>
              <w:t xml:space="preserve">经评委认定，投标文件对“培训方案要求”中“培训人员”、“培训内容”两项要求的响应内容全部优于招标文件要求的（前提是投标文件对“培训方案要求”中除“培训人员”、“培训内容”外其他要求响应内容符合招标文件要求），本项得</w:t>
            </w:r>
            <w:r>
              <w:rPr>
                <w:szCs w:val="24"/>
              </w:rPr>
              <w:t xml:space="preserve">5</w:t>
            </w:r>
            <w:r>
              <w:rPr>
                <w:rFonts w:hint="eastAsia"/>
                <w:szCs w:val="24"/>
              </w:rPr>
              <w:t xml:space="preserve">分。</w:t>
            </w:r>
            <w:r>
              <w:rPr>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44"/>
              <w:rPr>
                <w:szCs w:val="24"/>
              </w:rPr>
            </w:pPr>
            <w:r>
              <w:rPr>
                <w:szCs w:val="24"/>
              </w:rPr>
              <w:t xml:space="preserve">5</w:t>
            </w:r>
            <w:r/>
          </w:p>
        </w:tc>
      </w:tr>
      <w:tr>
        <w:trPr>
          <w:cantSplit/>
          <w:trHeight w:val="320"/>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44"/>
              <w:jc w:val="left"/>
              <w:widowControl/>
              <w:rPr>
                <w:szCs w:val="24"/>
              </w:rPr>
            </w:pPr>
            <w:r>
              <w:rPr>
                <w:szCs w:val="24"/>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val="false"/>
          </w:tcPr>
          <w:p>
            <w:pPr>
              <w:pStyle w:val="944"/>
              <w:rPr>
                <w:szCs w:val="24"/>
              </w:rPr>
            </w:pPr>
            <w:r>
              <w:rPr>
                <w:rFonts w:hint="eastAsia" w:ascii="宋体" w:hAnsi="宋体"/>
                <w:szCs w:val="24"/>
              </w:rPr>
              <w:t xml:space="preserve">应急响应方案（</w:t>
            </w:r>
            <w:r>
              <w:rPr>
                <w:szCs w:val="24"/>
              </w:rPr>
              <w:t xml:space="preserve">5</w:t>
            </w:r>
            <w:r>
              <w:rPr>
                <w:rFonts w:hint="eastAsia" w:ascii="宋体" w:hAnsi="宋体"/>
                <w:szCs w:val="24"/>
              </w:rPr>
              <w:t xml:space="preserve">分）</w:t>
            </w:r>
            <w:r>
              <w:rPr>
                <w:szCs w:val="24"/>
              </w:rPr>
            </w:r>
            <w:r/>
          </w:p>
        </w:tc>
        <w:tc>
          <w:tcPr>
            <w:tcBorders>
              <w:top w:val="single" w:color="000000" w:sz="4" w:space="0"/>
              <w:left w:val="none" w:color="000000" w:sz="4" w:space="0"/>
              <w:bottom w:val="none" w:color="000000" w:sz="4" w:space="0"/>
              <w:right w:val="single" w:color="000000" w:sz="4" w:space="0"/>
            </w:tcBorders>
            <w:tcW w:w="5528" w:type="dxa"/>
            <w:vAlign w:val="center"/>
            <w:textDirection w:val="lrTb"/>
            <w:noWrap w:val="false"/>
          </w:tcPr>
          <w:p>
            <w:pPr>
              <w:pStyle w:val="944"/>
              <w:rPr>
                <w:szCs w:val="24"/>
              </w:rPr>
            </w:pPr>
            <w:r>
              <w:rPr>
                <w:rFonts w:hint="eastAsia"/>
                <w:szCs w:val="24"/>
              </w:rPr>
              <w:t xml:space="preserve">3.6</w:t>
            </w:r>
            <w:r>
              <w:rPr>
                <w:rFonts w:hint="eastAsia"/>
                <w:szCs w:val="24"/>
              </w:rPr>
              <w:t xml:space="preserve">评委根据投标文件对招标文件</w:t>
            </w:r>
            <w:r>
              <w:rPr>
                <w:rFonts w:hint="eastAsia"/>
                <w:szCs w:val="24"/>
              </w:rPr>
              <w:t xml:space="preserve">“项目建设要求”中“应急响应方案要求”要求的响应情况进行评审。</w:t>
            </w:r>
            <w:r>
              <w:rPr>
                <w:szCs w:val="24"/>
              </w:rPr>
            </w:r>
            <w:r/>
          </w:p>
          <w:p>
            <w:pPr>
              <w:pStyle w:val="944"/>
              <w:rPr>
                <w:szCs w:val="24"/>
              </w:rPr>
            </w:pPr>
            <w:r>
              <w:rPr>
                <w:szCs w:val="24"/>
              </w:rPr>
              <w:t xml:space="preserve">(1)</w:t>
            </w:r>
            <w:r>
              <w:rPr>
                <w:rFonts w:hint="eastAsia"/>
                <w:szCs w:val="24"/>
              </w:rPr>
              <w:t xml:space="preserve">投标文件未符合“应急响应方案要求”中全部要求的，视为不符合招标文件，本项得</w:t>
            </w:r>
            <w:r>
              <w:rPr>
                <w:szCs w:val="24"/>
              </w:rPr>
              <w:t xml:space="preserve">0</w:t>
            </w:r>
            <w:r>
              <w:rPr>
                <w:rFonts w:hint="eastAsia"/>
                <w:szCs w:val="24"/>
              </w:rPr>
              <w:t xml:space="preserve">分。</w:t>
            </w:r>
            <w:r>
              <w:rPr>
                <w:szCs w:val="24"/>
              </w:rPr>
            </w:r>
            <w:r/>
          </w:p>
          <w:p>
            <w:pPr>
              <w:pStyle w:val="944"/>
              <w:rPr>
                <w:szCs w:val="24"/>
              </w:rPr>
            </w:pPr>
            <w:r>
              <w:rPr>
                <w:szCs w:val="24"/>
              </w:rPr>
              <w:t xml:space="preserve">(2)</w:t>
            </w:r>
            <w:r>
              <w:rPr>
                <w:rFonts w:hint="eastAsia"/>
                <w:szCs w:val="24"/>
              </w:rPr>
              <w:t xml:space="preserve">投标文件符合“应急响应方案要求”中全部要求的，视为符合招标文件，本项得</w:t>
            </w:r>
            <w:r>
              <w:rPr>
                <w:szCs w:val="24"/>
              </w:rPr>
              <w:t xml:space="preserve">3</w:t>
            </w:r>
            <w:r>
              <w:rPr>
                <w:rFonts w:hint="eastAsia"/>
                <w:szCs w:val="24"/>
              </w:rPr>
              <w:t xml:space="preserve">分。</w:t>
            </w:r>
            <w:r>
              <w:rPr>
                <w:szCs w:val="24"/>
              </w:rPr>
            </w:r>
            <w:r/>
          </w:p>
          <w:p>
            <w:pPr>
              <w:pStyle w:val="944"/>
              <w:rPr>
                <w:szCs w:val="24"/>
              </w:rPr>
            </w:pPr>
            <w:r>
              <w:rPr>
                <w:szCs w:val="24"/>
              </w:rPr>
              <w:t xml:space="preserve">(3)</w:t>
            </w:r>
            <w:r>
              <w:rPr>
                <w:rFonts w:hint="eastAsia"/>
                <w:szCs w:val="24"/>
              </w:rPr>
              <w:t xml:space="preserve">经评委认定，投标文件对“应急响应方案要求”中“应急响应流程”、“应急响应内容”、“应急响应时间”三项要求的响应内容全部优于招标文件要求的（前提是投标文件对“应急响应方案要求”中除“应急响应流程”、“应急响应内容”、“应急响应时间”外其他要求响应内容符合招标文件要求），本项得</w:t>
            </w:r>
            <w:r>
              <w:rPr>
                <w:szCs w:val="24"/>
              </w:rPr>
              <w:t xml:space="preserve">5</w:t>
            </w:r>
            <w:r>
              <w:rPr>
                <w:rFonts w:hint="eastAsia"/>
                <w:szCs w:val="24"/>
              </w:rPr>
              <w:t xml:space="preserve">分。</w:t>
            </w:r>
            <w:r>
              <w:rPr>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44"/>
              <w:rPr>
                <w:szCs w:val="24"/>
              </w:rPr>
            </w:pPr>
            <w:r>
              <w:rPr>
                <w:szCs w:val="24"/>
              </w:rPr>
              <w:t xml:space="preserve">5</w:t>
            </w:r>
            <w:r/>
          </w:p>
        </w:tc>
      </w:tr>
      <w:tr>
        <w:trPr>
          <w:cantSplit/>
          <w:trHeight w:val="320"/>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44"/>
              <w:jc w:val="left"/>
              <w:widowControl/>
              <w:rPr>
                <w:szCs w:val="24"/>
              </w:rPr>
            </w:pPr>
            <w:r>
              <w:rPr>
                <w:szCs w:val="24"/>
              </w:rPr>
            </w:r>
            <w:r/>
          </w:p>
        </w:tc>
        <w:tc>
          <w:tcPr>
            <w:tcBorders>
              <w:top w:val="none" w:color="000000" w:sz="4" w:space="0"/>
              <w:left w:val="none" w:color="000000" w:sz="4" w:space="0"/>
              <w:bottom w:val="single" w:color="000000" w:sz="4" w:space="0"/>
              <w:right w:val="single" w:color="000000" w:sz="4" w:space="0"/>
            </w:tcBorders>
            <w:tcW w:w="1656" w:type="dxa"/>
            <w:vAlign w:val="center"/>
            <w:textDirection w:val="lrTb"/>
            <w:noWrap w:val="false"/>
          </w:tcPr>
          <w:p>
            <w:pPr>
              <w:pStyle w:val="944"/>
              <w:rPr>
                <w:szCs w:val="24"/>
              </w:rPr>
            </w:pPr>
            <w:r>
              <w:rPr>
                <w:rFonts w:hint="eastAsia" w:ascii="宋体" w:hAnsi="宋体"/>
                <w:szCs w:val="24"/>
              </w:rPr>
              <w:t xml:space="preserve">日常维护方案（</w:t>
            </w:r>
            <w:r>
              <w:rPr>
                <w:szCs w:val="24"/>
              </w:rPr>
              <w:t xml:space="preserve">5</w:t>
            </w:r>
            <w:r>
              <w:rPr>
                <w:rFonts w:hint="eastAsia" w:ascii="宋体" w:hAnsi="宋体"/>
                <w:szCs w:val="24"/>
              </w:rPr>
              <w:t xml:space="preserve">分）</w:t>
            </w:r>
            <w:r>
              <w:rPr>
                <w:szCs w:val="24"/>
              </w:rPr>
            </w:r>
            <w:r/>
          </w:p>
        </w:tc>
        <w:tc>
          <w:tcPr>
            <w:tcBorders>
              <w:top w:val="single" w:color="000000" w:sz="4" w:space="0"/>
              <w:left w:val="none" w:color="000000" w:sz="4" w:space="0"/>
              <w:bottom w:val="single" w:color="000000" w:sz="4" w:space="0"/>
              <w:right w:val="single" w:color="000000" w:sz="4" w:space="0"/>
            </w:tcBorders>
            <w:tcW w:w="5528" w:type="dxa"/>
            <w:vAlign w:val="center"/>
            <w:textDirection w:val="lrTb"/>
            <w:noWrap w:val="false"/>
          </w:tcPr>
          <w:p>
            <w:pPr>
              <w:pStyle w:val="944"/>
              <w:rPr>
                <w:szCs w:val="24"/>
              </w:rPr>
            </w:pPr>
            <w:r>
              <w:rPr>
                <w:rFonts w:hint="eastAsia"/>
                <w:szCs w:val="24"/>
              </w:rPr>
              <w:t xml:space="preserve">3.7</w:t>
            </w:r>
            <w:r>
              <w:rPr>
                <w:rFonts w:hint="eastAsia"/>
                <w:szCs w:val="24"/>
              </w:rPr>
              <w:t xml:space="preserve">评委根据投标文件对招标文件</w:t>
            </w:r>
            <w:r>
              <w:rPr>
                <w:rFonts w:hint="eastAsia"/>
                <w:szCs w:val="24"/>
              </w:rPr>
              <w:t xml:space="preserve">“项目建设要求”中“日常维护方案要求”要求的响应情况进行评审。</w:t>
            </w:r>
            <w:r>
              <w:rPr>
                <w:szCs w:val="24"/>
              </w:rPr>
            </w:r>
            <w:r/>
          </w:p>
          <w:p>
            <w:pPr>
              <w:pStyle w:val="944"/>
              <w:rPr>
                <w:szCs w:val="24"/>
              </w:rPr>
            </w:pPr>
            <w:r>
              <w:rPr>
                <w:szCs w:val="24"/>
              </w:rPr>
              <w:t xml:space="preserve">(1)</w:t>
            </w:r>
            <w:r>
              <w:rPr>
                <w:rFonts w:hint="eastAsia"/>
                <w:szCs w:val="24"/>
              </w:rPr>
              <w:t xml:space="preserve">投标文件未符合“日常维护方案要求”中全部要求的，视为不符合招标文件，本项得</w:t>
            </w:r>
            <w:r>
              <w:rPr>
                <w:szCs w:val="24"/>
              </w:rPr>
              <w:t xml:space="preserve">0</w:t>
            </w:r>
            <w:r>
              <w:rPr>
                <w:rFonts w:hint="eastAsia"/>
                <w:szCs w:val="24"/>
              </w:rPr>
              <w:t xml:space="preserve">分。</w:t>
            </w:r>
            <w:r>
              <w:rPr>
                <w:szCs w:val="24"/>
              </w:rPr>
            </w:r>
            <w:r/>
          </w:p>
          <w:p>
            <w:pPr>
              <w:pStyle w:val="944"/>
              <w:rPr>
                <w:szCs w:val="24"/>
              </w:rPr>
            </w:pPr>
            <w:r>
              <w:rPr>
                <w:szCs w:val="24"/>
              </w:rPr>
              <w:t xml:space="preserve">(2)</w:t>
            </w:r>
            <w:r>
              <w:rPr>
                <w:rFonts w:hint="eastAsia"/>
                <w:szCs w:val="24"/>
              </w:rPr>
              <w:t xml:space="preserve">投标文件符合“日常维护方案要求”中全部要求的，视为符合招标文件，本项得</w:t>
            </w:r>
            <w:r>
              <w:rPr>
                <w:szCs w:val="24"/>
              </w:rPr>
              <w:t xml:space="preserve">3</w:t>
            </w:r>
            <w:r>
              <w:rPr>
                <w:rFonts w:hint="eastAsia"/>
                <w:szCs w:val="24"/>
              </w:rPr>
              <w:t xml:space="preserve">分。</w:t>
            </w:r>
            <w:r>
              <w:rPr>
                <w:szCs w:val="24"/>
              </w:rPr>
            </w:r>
            <w:r/>
          </w:p>
          <w:p>
            <w:pPr>
              <w:pStyle w:val="944"/>
              <w:rPr>
                <w:szCs w:val="24"/>
              </w:rPr>
            </w:pPr>
            <w:r>
              <w:rPr>
                <w:szCs w:val="24"/>
              </w:rPr>
              <w:t xml:space="preserve">(3)</w:t>
            </w:r>
            <w:r>
              <w:rPr>
                <w:rFonts w:hint="eastAsia"/>
                <w:szCs w:val="24"/>
              </w:rPr>
              <w:t xml:space="preserve">经评委认定，投标文件对“日常维护方案要求”中“人员组织”、“维护内容”两项要求的响应内容全部优于招标文件要求的（前提是投标文件对“日常维护方案要求”中除“人员组织”、“维护内容”外其他要求响应内容符合招标文件要求），本项得</w:t>
            </w:r>
            <w:r>
              <w:rPr>
                <w:szCs w:val="24"/>
              </w:rPr>
              <w:t xml:space="preserve">5</w:t>
            </w:r>
            <w:r>
              <w:rPr>
                <w:rFonts w:hint="eastAsia"/>
                <w:szCs w:val="24"/>
              </w:rPr>
              <w:t xml:space="preserve">分。</w:t>
            </w:r>
            <w:r>
              <w:rPr>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44"/>
              <w:rPr>
                <w:szCs w:val="24"/>
              </w:rPr>
            </w:pPr>
            <w:r>
              <w:rPr>
                <w:szCs w:val="24"/>
              </w:rPr>
              <w:t xml:space="preserve">5</w:t>
            </w:r>
            <w:r/>
          </w:p>
        </w:tc>
      </w:tr>
      <w:tr>
        <w:trPr>
          <w:cantSplit/>
          <w:trHeight w:val="320"/>
        </w:trPr>
        <w:tc>
          <w:tcPr>
            <w:tcBorders>
              <w:top w:val="single" w:color="000000" w:sz="4" w:space="0"/>
              <w:left w:val="single" w:color="000000" w:sz="4" w:space="0"/>
              <w:bottom w:val="single" w:color="000000" w:sz="4" w:space="0"/>
              <w:right w:val="single" w:color="000000" w:sz="4" w:space="0"/>
            </w:tcBorders>
            <w:tcW w:w="823" w:type="dxa"/>
            <w:vAlign w:val="center"/>
            <w:vMerge w:val="continue"/>
            <w:textDirection w:val="lrTb"/>
            <w:noWrap w:val="false"/>
          </w:tcPr>
          <w:p>
            <w:pPr>
              <w:pStyle w:val="944"/>
              <w:jc w:val="left"/>
              <w:widowControl/>
              <w:rPr>
                <w:szCs w:val="24"/>
              </w:rPr>
            </w:pPr>
            <w:r>
              <w:rPr>
                <w:szCs w:val="24"/>
              </w:rPr>
            </w:r>
            <w:r/>
          </w:p>
        </w:tc>
        <w:tc>
          <w:tcPr>
            <w:tcBorders>
              <w:top w:val="single" w:color="000000" w:sz="4" w:space="0"/>
              <w:left w:val="none" w:color="000000" w:sz="4" w:space="0"/>
              <w:bottom w:val="single" w:color="000000" w:sz="4" w:space="0"/>
              <w:right w:val="single" w:color="000000" w:sz="4" w:space="0"/>
            </w:tcBorders>
            <w:tcW w:w="1656" w:type="dxa"/>
            <w:vAlign w:val="center"/>
            <w:textDirection w:val="lrTb"/>
            <w:noWrap w:val="false"/>
          </w:tcPr>
          <w:p>
            <w:pPr>
              <w:pStyle w:val="944"/>
              <w:rPr>
                <w:szCs w:val="24"/>
              </w:rPr>
            </w:pPr>
            <w:r>
              <w:rPr>
                <w:rFonts w:hint="eastAsia" w:ascii="宋体" w:hAnsi="宋体"/>
                <w:szCs w:val="24"/>
              </w:rPr>
              <w:t xml:space="preserve">信息安全方案（</w:t>
            </w:r>
            <w:r>
              <w:rPr>
                <w:szCs w:val="24"/>
              </w:rPr>
              <w:t xml:space="preserve">5</w:t>
            </w:r>
            <w:r>
              <w:rPr>
                <w:rFonts w:hint="eastAsia" w:ascii="宋体" w:hAnsi="宋体"/>
                <w:szCs w:val="24"/>
              </w:rPr>
              <w:t xml:space="preserve">分）</w:t>
            </w:r>
            <w:r>
              <w:rPr>
                <w:szCs w:val="24"/>
              </w:rPr>
            </w:r>
            <w:r/>
          </w:p>
        </w:tc>
        <w:tc>
          <w:tcPr>
            <w:tcBorders>
              <w:top w:val="single" w:color="000000" w:sz="4" w:space="0"/>
              <w:left w:val="none" w:color="000000" w:sz="4" w:space="0"/>
              <w:bottom w:val="single" w:color="000000" w:sz="4" w:space="0"/>
              <w:right w:val="single" w:color="000000" w:sz="4" w:space="0"/>
            </w:tcBorders>
            <w:tcW w:w="5528" w:type="dxa"/>
            <w:vAlign w:val="center"/>
            <w:textDirection w:val="lrTb"/>
            <w:noWrap w:val="false"/>
          </w:tcPr>
          <w:p>
            <w:pPr>
              <w:pStyle w:val="944"/>
              <w:rPr>
                <w:szCs w:val="24"/>
              </w:rPr>
            </w:pPr>
            <w:r>
              <w:rPr>
                <w:rFonts w:hint="eastAsia"/>
                <w:szCs w:val="24"/>
              </w:rPr>
              <w:t xml:space="preserve">3.8</w:t>
            </w:r>
            <w:r>
              <w:rPr>
                <w:rFonts w:hint="eastAsia"/>
                <w:szCs w:val="24"/>
              </w:rPr>
              <w:t xml:space="preserve">评委根据投标文件对招标文件</w:t>
            </w:r>
            <w:r>
              <w:rPr>
                <w:rFonts w:hint="eastAsia"/>
                <w:szCs w:val="24"/>
              </w:rPr>
              <w:t xml:space="preserve">“项目建设要求”中“信息安全方案要求”要求的响应情况进行评审。</w:t>
            </w:r>
            <w:r>
              <w:rPr>
                <w:szCs w:val="24"/>
              </w:rPr>
            </w:r>
            <w:r/>
          </w:p>
          <w:p>
            <w:pPr>
              <w:pStyle w:val="944"/>
              <w:rPr>
                <w:szCs w:val="24"/>
              </w:rPr>
            </w:pPr>
            <w:r>
              <w:rPr>
                <w:szCs w:val="24"/>
              </w:rPr>
              <w:t xml:space="preserve">(1)</w:t>
            </w:r>
            <w:r>
              <w:rPr>
                <w:rFonts w:hint="eastAsia"/>
                <w:szCs w:val="24"/>
              </w:rPr>
              <w:t xml:space="preserve">投标文件未符合“信息安全方案要求”中全部要求的，视为不符合招标文件，本项得</w:t>
            </w:r>
            <w:r>
              <w:rPr>
                <w:szCs w:val="24"/>
              </w:rPr>
              <w:t xml:space="preserve">0</w:t>
            </w:r>
            <w:r>
              <w:rPr>
                <w:rFonts w:hint="eastAsia"/>
                <w:szCs w:val="24"/>
              </w:rPr>
              <w:t xml:space="preserve">分。</w:t>
            </w:r>
            <w:r>
              <w:rPr>
                <w:szCs w:val="24"/>
              </w:rPr>
            </w:r>
            <w:r/>
          </w:p>
          <w:p>
            <w:pPr>
              <w:pStyle w:val="944"/>
              <w:rPr>
                <w:szCs w:val="24"/>
              </w:rPr>
            </w:pPr>
            <w:r>
              <w:rPr>
                <w:szCs w:val="24"/>
              </w:rPr>
              <w:t xml:space="preserve">(2)</w:t>
            </w:r>
            <w:r>
              <w:rPr>
                <w:rFonts w:hint="eastAsia"/>
                <w:szCs w:val="24"/>
              </w:rPr>
              <w:t xml:space="preserve">投标文件符合“信息安全方案要求”中全部要求的，视为符合招标文件，本项得</w:t>
            </w:r>
            <w:r>
              <w:rPr>
                <w:szCs w:val="24"/>
              </w:rPr>
              <w:t xml:space="preserve">3</w:t>
            </w:r>
            <w:r>
              <w:rPr>
                <w:rFonts w:hint="eastAsia"/>
                <w:szCs w:val="24"/>
              </w:rPr>
              <w:t xml:space="preserve">分。</w:t>
            </w:r>
            <w:r>
              <w:rPr>
                <w:szCs w:val="24"/>
              </w:rPr>
            </w:r>
            <w:r/>
          </w:p>
          <w:p>
            <w:pPr>
              <w:pStyle w:val="944"/>
              <w:rPr>
                <w:szCs w:val="24"/>
              </w:rPr>
            </w:pPr>
            <w:r>
              <w:rPr>
                <w:szCs w:val="24"/>
              </w:rPr>
              <w:t xml:space="preserve">(3)</w:t>
            </w:r>
            <w:r>
              <w:rPr>
                <w:rFonts w:hint="eastAsia"/>
                <w:szCs w:val="24"/>
              </w:rPr>
              <w:t xml:space="preserve">经评委认定，投标文件对“信息安全方案要求”中“身份认证”、“访问控制”、“数据安全”三项要求的响应内容全部优于招标文件要求的（前提是投标文件对“信息安全保障方案要求”中除“身份认证”、“访问控制”、“数据安全”外其他要求响应内容符合招标文件要求），本项得</w:t>
            </w:r>
            <w:r>
              <w:rPr>
                <w:szCs w:val="24"/>
              </w:rPr>
              <w:t xml:space="preserve">5</w:t>
            </w:r>
            <w:r>
              <w:rPr>
                <w:rFonts w:hint="eastAsia"/>
                <w:szCs w:val="24"/>
              </w:rPr>
              <w:t xml:space="preserve">分。</w:t>
            </w:r>
            <w:r>
              <w:rPr>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44"/>
              <w:rPr>
                <w:szCs w:val="24"/>
              </w:rPr>
            </w:pPr>
            <w:r>
              <w:rPr>
                <w:szCs w:val="24"/>
              </w:rPr>
              <w:t xml:space="preserve">5</w:t>
            </w:r>
            <w:r/>
          </w:p>
        </w:tc>
      </w:tr>
    </w:tbl>
    <w:p>
      <w:pPr>
        <w:pStyle w:val="944"/>
        <w:ind w:firstLine="640"/>
        <w:jc w:val="left"/>
        <w:spacing w:before="120" w:after="120" w:line="40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4"/>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4"/>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4"/>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4"/>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4"/>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4"/>
        <w:ind w:right="839"/>
        <w:jc w:val="center"/>
        <w:spacing w:line="660" w:lineRule="exact"/>
        <w:rPr>
          <w:rFonts w:hint="eastAsia" w:ascii="方正黑体_GBK" w:hAnsi="方正黑体_GBK" w:eastAsia="方正黑体_GBK" w:cs="方正黑体_GBK"/>
          <w:sz w:val="32"/>
          <w:szCs w:val="32"/>
        </w:rPr>
      </w:pPr>
      <w:r>
        <w:rPr>
          <w:rFonts w:ascii="方正黑体_GBK" w:hAnsi="方正黑体_GBK" w:eastAsia="方正黑体_GBK" w:cs="方正黑体_GBK"/>
          <w:sz w:val="32"/>
          <w:szCs w:val="32"/>
        </w:rPr>
        <w:br w:type="page" w:clear="all"/>
      </w:r>
      <w:r>
        <w:rPr>
          <w:rFonts w:hint="eastAsia" w:ascii="方正黑体_GBK" w:hAnsi="方正黑体_GBK" w:eastAsia="方正黑体_GBK" w:cs="方正黑体_GBK"/>
          <w:sz w:val="32"/>
          <w:szCs w:val="32"/>
        </w:rPr>
      </w:r>
      <w:r/>
    </w:p>
    <w:p>
      <w:pPr>
        <w:pStyle w:val="944"/>
        <w:ind w:right="839"/>
        <w:jc w:val="center"/>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第六章  投标</w:t>
      </w:r>
      <w:bookmarkEnd w:id="165"/>
      <w:r/>
      <w:bookmarkEnd w:id="166"/>
      <w:r/>
      <w:bookmarkEnd w:id="212"/>
      <w:r>
        <w:rPr>
          <w:rFonts w:hint="eastAsia" w:ascii="方正黑体_GBK" w:hAnsi="方正黑体_GBK" w:eastAsia="方正黑体_GBK" w:cs="方正黑体_GBK"/>
          <w:sz w:val="28"/>
          <w:szCs w:val="28"/>
        </w:rPr>
        <w:t xml:space="preserve">文件格式 </w:t>
      </w:r>
      <w:r/>
    </w:p>
    <w:p>
      <w:pPr>
        <w:pStyle w:val="944"/>
        <w:jc w:val="center"/>
        <w:rPr>
          <w:rFonts w:hint="eastAsia" w:ascii="宋体" w:hAnsi="宋体"/>
          <w:b/>
          <w:sz w:val="28"/>
          <w:szCs w:val="28"/>
        </w:rPr>
      </w:pPr>
      <w:r/>
      <w:bookmarkStart w:id="222" w:name="_Hlt26955039"/>
      <w:r/>
      <w:bookmarkEnd w:id="222"/>
      <w:r/>
      <w:bookmarkStart w:id="223" w:name="_Hlt26671244"/>
      <w:r/>
      <w:bookmarkEnd w:id="223"/>
      <w:r/>
      <w:bookmarkStart w:id="224" w:name="_Toc49090576"/>
      <w:r/>
      <w:bookmarkStart w:id="225" w:name="_Toc26554094"/>
      <w:r/>
      <w:bookmarkStart w:id="226" w:name="_Toc120614282"/>
      <w:r>
        <w:rPr>
          <w:rFonts w:hint="eastAsia" w:ascii="宋体" w:hAnsi="宋体"/>
          <w:b/>
          <w:sz w:val="28"/>
          <w:szCs w:val="28"/>
        </w:rPr>
      </w:r>
      <w:r/>
    </w:p>
    <w:p>
      <w:pPr>
        <w:pStyle w:val="944"/>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944"/>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pStyle w:val="944"/>
        <w:jc w:val="center"/>
        <w:rPr>
          <w:rFonts w:hint="eastAsia" w:ascii="宋体" w:hAnsi="宋体"/>
          <w:b/>
          <w:sz w:val="28"/>
          <w:szCs w:val="28"/>
        </w:rPr>
      </w:pPr>
      <w:r>
        <w:rPr>
          <w:rFonts w:hint="eastAsia" w:ascii="宋体" w:hAnsi="宋体"/>
          <w:b/>
          <w:sz w:val="28"/>
          <w:szCs w:val="28"/>
        </w:rPr>
      </w:r>
      <w:r/>
    </w:p>
    <w:p>
      <w:pPr>
        <w:pStyle w:val="944"/>
        <w:jc w:val="center"/>
        <w:rPr>
          <w:rFonts w:hint="eastAsia" w:ascii="宋体" w:hAnsi="宋体"/>
          <w:b/>
          <w:sz w:val="28"/>
          <w:szCs w:val="28"/>
        </w:rPr>
      </w:pPr>
      <w:r>
        <w:rPr>
          <w:rFonts w:hint="eastAsia" w:ascii="宋体" w:hAnsi="宋体"/>
          <w:b/>
          <w:sz w:val="28"/>
          <w:szCs w:val="28"/>
        </w:rPr>
      </w:r>
      <w:r/>
    </w:p>
    <w:p>
      <w:pPr>
        <w:pStyle w:val="944"/>
        <w:jc w:val="center"/>
        <w:rPr>
          <w:rFonts w:hint="eastAsia" w:ascii="宋体" w:hAnsi="宋体"/>
          <w:b/>
          <w:sz w:val="28"/>
          <w:szCs w:val="28"/>
        </w:rPr>
      </w:pPr>
      <w:r>
        <w:rPr>
          <w:rFonts w:hint="eastAsia" w:ascii="宋体" w:hAnsi="宋体"/>
          <w:b/>
          <w:sz w:val="28"/>
          <w:szCs w:val="28"/>
        </w:rPr>
      </w:r>
      <w:r/>
    </w:p>
    <w:p>
      <w:pPr>
        <w:pStyle w:val="944"/>
        <w:jc w:val="center"/>
        <w:rPr>
          <w:rFonts w:hint="eastAsia" w:ascii="宋体" w:hAnsi="宋体"/>
          <w:b/>
          <w:sz w:val="28"/>
          <w:szCs w:val="28"/>
        </w:rPr>
      </w:pPr>
      <w:r>
        <w:rPr>
          <w:rFonts w:hint="eastAsia" w:ascii="宋体" w:hAnsi="宋体"/>
          <w:b/>
          <w:sz w:val="28"/>
          <w:szCs w:val="28"/>
        </w:rPr>
      </w:r>
      <w:r/>
    </w:p>
    <w:p>
      <w:pPr>
        <w:pStyle w:val="944"/>
        <w:jc w:val="center"/>
        <w:rPr>
          <w:rFonts w:hint="eastAsia" w:ascii="宋体" w:hAnsi="宋体"/>
          <w:b/>
          <w:sz w:val="28"/>
          <w:szCs w:val="28"/>
        </w:rPr>
      </w:pPr>
      <w:r>
        <w:rPr>
          <w:rFonts w:hint="eastAsia" w:ascii="宋体" w:hAnsi="宋体"/>
          <w:b/>
          <w:sz w:val="28"/>
          <w:szCs w:val="28"/>
        </w:rPr>
      </w:r>
      <w:r/>
    </w:p>
    <w:p>
      <w:pPr>
        <w:pStyle w:val="944"/>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44"/>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pStyle w:val="944"/>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pStyle w:val="944"/>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pStyle w:val="944"/>
        <w:jc w:val="center"/>
        <w:spacing w:line="440" w:lineRule="exact"/>
        <w:rPr>
          <w:rFonts w:hint="eastAsia" w:ascii="宋体" w:hAnsi="宋体"/>
          <w:b/>
          <w:bCs/>
          <w:sz w:val="32"/>
          <w:szCs w:val="32"/>
        </w:rPr>
      </w:pPr>
      <w:r>
        <w:rPr>
          <w:rFonts w:hint="eastAsia" w:ascii="宋体" w:hAnsi="宋体"/>
          <w:b/>
          <w:bCs/>
          <w:sz w:val="32"/>
          <w:szCs w:val="32"/>
        </w:rPr>
      </w:r>
      <w:r/>
    </w:p>
    <w:p>
      <w:pPr>
        <w:pStyle w:val="944"/>
        <w:spacing w:line="440" w:lineRule="exact"/>
        <w:rPr>
          <w:rFonts w:ascii="宋体" w:hAnsi="宋体"/>
        </w:rPr>
      </w:pPr>
      <w:r>
        <w:rPr>
          <w:rFonts w:ascii="宋体" w:hAnsi="宋体"/>
        </w:rPr>
      </w:r>
      <w:r/>
    </w:p>
    <w:p>
      <w:pPr>
        <w:pStyle w:val="94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4"/>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pStyle w:val="944"/>
        <w:jc w:val="center"/>
        <w:spacing w:line="400" w:lineRule="exact"/>
        <w:rPr>
          <w:rFonts w:hint="eastAsia" w:ascii="宋体" w:hAnsi="宋体"/>
          <w:b/>
          <w:bCs/>
          <w:sz w:val="28"/>
          <w:szCs w:val="28"/>
        </w:rPr>
      </w:pPr>
      <w:r>
        <w:rPr>
          <w:rFonts w:hint="eastAsia" w:ascii="宋体" w:hAnsi="宋体"/>
          <w:b/>
          <w:bCs/>
          <w:sz w:val="28"/>
          <w:szCs w:val="28"/>
        </w:rPr>
      </w:r>
      <w:r/>
    </w:p>
    <w:p>
      <w:pPr>
        <w:pStyle w:val="94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pStyle w:val="94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w:t>
      </w:r>
      <w:r/>
    </w:p>
    <w:p>
      <w:pPr>
        <w:pStyle w:val="94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的实质性要求逐条做出响应，并按照招标文件要求提供证明材料，否则作无效投标处理。（格式见附件11）</w:t>
      </w:r>
      <w:r/>
    </w:p>
    <w:p>
      <w:pPr>
        <w:pStyle w:val="944"/>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3.关于符合本国产品标准的声明函（格式见附件12）</w:t>
      </w:r>
      <w:r/>
    </w:p>
    <w:p>
      <w:pPr>
        <w:pStyle w:val="944"/>
        <w:ind w:firstLine="560"/>
        <w:spacing w:line="400" w:lineRule="exact"/>
        <w:rPr>
          <w:rFonts w:hint="eastAsia" w:ascii="方正仿宋_GBK" w:hAnsi="方正仿宋_GBK" w:eastAsia="方正仿宋_GBK" w:cs="方正仿宋_GBK"/>
          <w:sz w:val="28"/>
          <w:szCs w:val="28"/>
        </w:rPr>
      </w:pPr>
      <w:r/>
      <w:bookmarkStart w:id="227" w:name="OLE_LINK6"/>
      <w:r>
        <w:rPr>
          <w:rFonts w:hint="eastAsia" w:ascii="方正仿宋_GBK" w:hAnsi="方正仿宋_GBK" w:eastAsia="方正仿宋_GBK" w:cs="方正仿宋_GBK"/>
          <w:sz w:val="28"/>
          <w:szCs w:val="28"/>
        </w:rPr>
        <w:t xml:space="preserve">4.提供服务的人员均为订立劳动合同的从业人员的书面声明（格式见附件13）</w:t>
      </w:r>
      <w:r/>
    </w:p>
    <w:p>
      <w:pPr>
        <w:pStyle w:val="944"/>
        <w:spacing w:line="400" w:lineRule="exact"/>
        <w:rPr>
          <w:rFonts w:ascii="宋体" w:hAnsi="宋体"/>
          <w:b/>
          <w:sz w:val="28"/>
          <w:szCs w:val="28"/>
        </w:rPr>
      </w:pPr>
      <w:r/>
      <w:bookmarkEnd w:id="227"/>
      <w:r>
        <w:rPr>
          <w:rFonts w:ascii="宋体" w:hAnsi="宋体"/>
          <w:b/>
          <w:sz w:val="28"/>
          <w:szCs w:val="28"/>
        </w:rPr>
      </w:r>
      <w:r/>
    </w:p>
    <w:p>
      <w:pPr>
        <w:pStyle w:val="944"/>
        <w:spacing w:line="400" w:lineRule="exact"/>
        <w:rPr>
          <w:rFonts w:hint="eastAsia" w:ascii="宋体" w:hAnsi="宋体"/>
          <w:b/>
          <w:sz w:val="28"/>
          <w:szCs w:val="28"/>
        </w:rPr>
      </w:pPr>
      <w:r>
        <w:rPr>
          <w:rFonts w:hint="eastAsia" w:ascii="宋体" w:hAnsi="宋体"/>
          <w:b/>
          <w:sz w:val="28"/>
          <w:szCs w:val="28"/>
        </w:rPr>
      </w:r>
      <w:r/>
    </w:p>
    <w:p>
      <w:pPr>
        <w:pStyle w:val="944"/>
        <w:spacing w:line="400" w:lineRule="exact"/>
        <w:rPr>
          <w:rFonts w:hint="eastAsia" w:ascii="宋体" w:hAnsi="宋体"/>
          <w:b/>
          <w:sz w:val="28"/>
          <w:szCs w:val="28"/>
        </w:rPr>
      </w:pPr>
      <w:r>
        <w:rPr>
          <w:rFonts w:hint="eastAsia" w:ascii="宋体" w:hAnsi="宋体"/>
          <w:b/>
          <w:sz w:val="28"/>
          <w:szCs w:val="28"/>
        </w:rPr>
      </w:r>
      <w:r/>
    </w:p>
    <w:p>
      <w:pPr>
        <w:pStyle w:val="944"/>
        <w:spacing w:line="400" w:lineRule="exact"/>
        <w:rPr>
          <w:rFonts w:ascii="宋体" w:hAnsi="宋体"/>
          <w:b/>
          <w:sz w:val="28"/>
          <w:szCs w:val="28"/>
        </w:rPr>
      </w:pPr>
      <w:r>
        <w:rPr>
          <w:rFonts w:ascii="宋体" w:hAnsi="宋体"/>
          <w:b/>
          <w:sz w:val="28"/>
          <w:szCs w:val="28"/>
        </w:rPr>
      </w:r>
      <w:r/>
    </w:p>
    <w:p>
      <w:pPr>
        <w:pStyle w:val="944"/>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4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944"/>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94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944"/>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ascii="方正仿宋_GBK" w:hAnsi="方正仿宋_GBK" w:eastAsia="方正仿宋_GBK" w:cs="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1032"/>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4"/>
        <w:spacing w:line="400" w:lineRule="exact"/>
        <w:rPr>
          <w:rFonts w:ascii="宋体" w:hAnsi="宋体"/>
          <w:sz w:val="28"/>
          <w:szCs w:val="28"/>
        </w:rPr>
      </w:pPr>
      <w:r>
        <w:rPr>
          <w:rFonts w:ascii="宋体" w:hAnsi="宋体"/>
          <w:sz w:val="28"/>
          <w:szCs w:val="28"/>
        </w:rPr>
      </w:r>
      <w:r/>
    </w:p>
    <w:p>
      <w:pPr>
        <w:pStyle w:val="944"/>
        <w:spacing w:line="400" w:lineRule="exact"/>
        <w:rPr>
          <w:rFonts w:ascii="宋体" w:hAnsi="宋体"/>
          <w:sz w:val="28"/>
          <w:szCs w:val="28"/>
        </w:rPr>
      </w:pPr>
      <w:r>
        <w:rPr>
          <w:rFonts w:ascii="宋体" w:hAnsi="宋体"/>
          <w:sz w:val="28"/>
          <w:szCs w:val="28"/>
        </w:rPr>
      </w:r>
      <w:r/>
    </w:p>
    <w:p>
      <w:pPr>
        <w:pStyle w:val="944"/>
        <w:spacing w:line="400" w:lineRule="exact"/>
        <w:rPr>
          <w:rFonts w:ascii="宋体" w:hAnsi="宋体"/>
          <w:sz w:val="28"/>
          <w:szCs w:val="28"/>
        </w:rPr>
      </w:pPr>
      <w:r>
        <w:rPr>
          <w:rFonts w:ascii="宋体" w:hAnsi="宋体"/>
          <w:sz w:val="28"/>
          <w:szCs w:val="28"/>
        </w:rPr>
      </w:r>
      <w:r/>
    </w:p>
    <w:p>
      <w:pPr>
        <w:pStyle w:val="944"/>
        <w:spacing w:line="400" w:lineRule="exact"/>
        <w:rPr>
          <w:rFonts w:ascii="宋体" w:hAnsi="宋体"/>
          <w:sz w:val="28"/>
          <w:szCs w:val="28"/>
        </w:rPr>
      </w:pPr>
      <w:r>
        <w:rPr>
          <w:rFonts w:ascii="宋体" w:hAnsi="宋体"/>
          <w:sz w:val="28"/>
          <w:szCs w:val="28"/>
        </w:rPr>
      </w:r>
      <w:r/>
    </w:p>
    <w:p>
      <w:pPr>
        <w:pStyle w:val="944"/>
        <w:spacing w:line="400" w:lineRule="exact"/>
        <w:rPr>
          <w:rFonts w:ascii="宋体" w:hAnsi="宋体"/>
          <w:sz w:val="28"/>
          <w:szCs w:val="28"/>
        </w:rPr>
      </w:pPr>
      <w:r>
        <w:rPr>
          <w:rFonts w:ascii="宋体" w:hAnsi="宋体"/>
          <w:sz w:val="28"/>
          <w:szCs w:val="28"/>
        </w:rPr>
      </w:r>
      <w:r/>
    </w:p>
    <w:p>
      <w:pPr>
        <w:pStyle w:val="944"/>
        <w:spacing w:line="400" w:lineRule="exact"/>
        <w:rPr>
          <w:rFonts w:ascii="宋体" w:hAnsi="宋体"/>
          <w:sz w:val="28"/>
          <w:szCs w:val="28"/>
        </w:rPr>
      </w:pPr>
      <w:r>
        <w:rPr>
          <w:rFonts w:ascii="宋体" w:hAnsi="宋体"/>
          <w:sz w:val="28"/>
          <w:szCs w:val="28"/>
        </w:rPr>
      </w:r>
      <w:r/>
    </w:p>
    <w:p>
      <w:pPr>
        <w:pStyle w:val="944"/>
        <w:spacing w:line="400" w:lineRule="exact"/>
        <w:rPr>
          <w:rFonts w:ascii="宋体" w:hAnsi="宋体"/>
          <w:sz w:val="28"/>
          <w:szCs w:val="28"/>
        </w:rPr>
      </w:pPr>
      <w:r>
        <w:rPr>
          <w:rFonts w:ascii="宋体" w:hAnsi="宋体"/>
          <w:sz w:val="28"/>
          <w:szCs w:val="28"/>
        </w:rPr>
      </w:r>
      <w:r/>
    </w:p>
    <w:p>
      <w:pPr>
        <w:pStyle w:val="944"/>
        <w:spacing w:line="400" w:lineRule="exact"/>
        <w:rPr>
          <w:rFonts w:ascii="宋体" w:hAnsi="宋体"/>
          <w:sz w:val="28"/>
          <w:szCs w:val="28"/>
        </w:rPr>
      </w:pPr>
      <w:r>
        <w:rPr>
          <w:rFonts w:ascii="宋体" w:hAnsi="宋体"/>
          <w:sz w:val="28"/>
          <w:szCs w:val="28"/>
        </w:rPr>
      </w:r>
      <w:r/>
    </w:p>
    <w:p>
      <w:pPr>
        <w:pStyle w:val="944"/>
        <w:spacing w:line="400" w:lineRule="exact"/>
        <w:rPr>
          <w:rFonts w:ascii="宋体" w:hAnsi="宋体"/>
          <w:sz w:val="28"/>
          <w:szCs w:val="28"/>
        </w:rPr>
      </w:pPr>
      <w:r>
        <w:rPr>
          <w:rFonts w:ascii="宋体" w:hAnsi="宋体"/>
          <w:sz w:val="28"/>
          <w:szCs w:val="28"/>
        </w:rPr>
      </w:r>
      <w:r/>
    </w:p>
    <w:p>
      <w:pPr>
        <w:pStyle w:val="944"/>
        <w:spacing w:line="400" w:lineRule="exact"/>
        <w:rPr>
          <w:rFonts w:ascii="宋体" w:hAnsi="宋体"/>
          <w:sz w:val="28"/>
          <w:szCs w:val="28"/>
        </w:rPr>
      </w:pPr>
      <w:r>
        <w:rPr>
          <w:rFonts w:ascii="宋体" w:hAnsi="宋体"/>
          <w:sz w:val="28"/>
          <w:szCs w:val="28"/>
        </w:rPr>
      </w:r>
      <w:r/>
    </w:p>
    <w:p>
      <w:pPr>
        <w:pStyle w:val="944"/>
        <w:spacing w:line="400" w:lineRule="exact"/>
        <w:rPr>
          <w:rFonts w:ascii="宋体" w:hAnsi="宋体"/>
          <w:sz w:val="28"/>
          <w:szCs w:val="28"/>
        </w:rPr>
      </w:pPr>
      <w:r>
        <w:rPr>
          <w:rFonts w:ascii="宋体" w:hAnsi="宋体"/>
          <w:sz w:val="28"/>
          <w:szCs w:val="28"/>
        </w:rPr>
      </w:r>
      <w:r/>
    </w:p>
    <w:p>
      <w:pPr>
        <w:pStyle w:val="94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pStyle w:val="94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44"/>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vAlign w:val="top"/>
            <w:textDirection w:val="lrTb"/>
            <w:noWrap w:val="false"/>
          </w:tcPr>
          <w:p>
            <w:pPr>
              <w:pStyle w:val="1007"/>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（本项目不包含货物）</w:t>
            </w:r>
            <w:r>
              <w:rPr>
                <w:rFonts w:hint="eastAsia" w:ascii="方正仿宋_GBK" w:hAnsi="方正仿宋_GBK" w:eastAsia="方正仿宋_GBK" w:cs="方正仿宋_GBK"/>
                <w:sz w:val="28"/>
                <w:szCs w:val="28"/>
              </w:rPr>
            </w:r>
            <w:r/>
          </w:p>
        </w:tc>
      </w:tr>
    </w:tbl>
    <w:p>
      <w:pPr>
        <w:pStyle w:val="94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94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94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pStyle w:val="94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944"/>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pStyle w:val="944"/>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pPr>
        <w:pStyle w:val="944"/>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4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4"/>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94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4"/>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pStyle w:val="944"/>
        <w:spacing w:line="400" w:lineRule="exact"/>
        <w:rPr>
          <w:rFonts w:ascii="宋体" w:hAnsi="宋体"/>
          <w:sz w:val="28"/>
          <w:szCs w:val="28"/>
        </w:rPr>
      </w:pPr>
      <w:r>
        <w:rPr>
          <w:rFonts w:ascii="宋体" w:hAnsi="宋体"/>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944"/>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44"/>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944"/>
        <w:spacing w:line="400" w:lineRule="exact"/>
        <w:rPr>
          <w:rFonts w:ascii="宋体" w:hAnsi="宋体"/>
          <w:b/>
          <w:sz w:val="28"/>
          <w:szCs w:val="28"/>
        </w:rPr>
      </w:pPr>
      <w:r>
        <w:rPr>
          <w:rFonts w:hint="eastAsia" w:ascii="宋体" w:hAnsi="宋体"/>
          <w:bCs/>
          <w:sz w:val="28"/>
          <w:szCs w:val="28"/>
        </w:rPr>
        <w:t xml:space="preserve">                                     </w:t>
      </w:r>
      <w:r>
        <w:rPr>
          <w:rFonts w:ascii="宋体" w:hAnsi="宋体"/>
          <w:b/>
          <w:sz w:val="28"/>
          <w:szCs w:val="28"/>
        </w:rPr>
      </w:r>
      <w:r/>
    </w:p>
    <w:p>
      <w:pPr>
        <w:pStyle w:val="94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4"/>
        <w:jc w:val="center"/>
        <w:spacing w:line="400" w:lineRule="exact"/>
        <w:rPr>
          <w:rFonts w:ascii="宋体" w:hAnsi="宋体"/>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94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44"/>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944"/>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（投标人名称）授权</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pStyle w:val="944"/>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pStyle w:val="94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p>
    <w:p>
      <w:pPr>
        <w:pStyle w:val="94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pStyle w:val="94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pStyle w:val="944"/>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44"/>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pStyle w:val="944"/>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944"/>
        <w:jc w:val="center"/>
        <w:spacing w:line="400" w:lineRule="exact"/>
        <w:rPr>
          <w:rFonts w:ascii="黑体" w:hAnsi="黑体" w:eastAsia="黑体"/>
          <w:b/>
          <w:i/>
          <w:sz w:val="28"/>
          <w:szCs w:val="28"/>
          <w:u w:val="single"/>
        </w:rPr>
      </w:pPr>
      <w:r>
        <w:rPr>
          <w:rFonts w:ascii="宋体" w:hAnsi="宋体" w:eastAsia="幼圆" w:cs="Arial"/>
          <w:b/>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sz w:val="28"/>
          <w:szCs w:val="28"/>
          <w:u w:val="single"/>
        </w:rPr>
      </w:r>
      <w:r/>
    </w:p>
    <w:p>
      <w:pPr>
        <w:pStyle w:val="944"/>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pStyle w:val="103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JSZC-320000-SCZX-G20XX-XXXX，</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103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103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103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103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103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103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103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103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103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103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103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103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103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103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1032"/>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32"/>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32"/>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32"/>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44"/>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1032"/>
        <w:jc w:val="center"/>
        <w:spacing w:before="0" w:after="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sz w:val="28"/>
          <w:szCs w:val="28"/>
        </w:rPr>
      </w:r>
      <w:r/>
    </w:p>
    <w:p>
      <w:pPr>
        <w:pStyle w:val="944"/>
        <w:ind w:firstLine="560"/>
        <w:spacing w:line="400" w:lineRule="exact"/>
        <w:rPr>
          <w:rFonts w:ascii="宋体" w:hAnsi="宋体"/>
          <w:sz w:val="28"/>
          <w:szCs w:val="28"/>
        </w:rPr>
      </w:pPr>
      <w:r>
        <w:rPr>
          <w:rFonts w:ascii="宋体" w:hAnsi="宋体"/>
          <w:sz w:val="28"/>
          <w:szCs w:val="28"/>
        </w:rPr>
      </w:r>
      <w:r/>
    </w:p>
    <w:p>
      <w:pPr>
        <w:pStyle w:val="944"/>
        <w:ind w:firstLine="560"/>
        <w:spacing w:line="400" w:lineRule="exact"/>
        <w:rPr>
          <w:rFonts w:ascii="宋体" w:hAnsi="宋体"/>
          <w:sz w:val="28"/>
          <w:szCs w:val="28"/>
        </w:rPr>
      </w:pPr>
      <w:r>
        <w:rPr>
          <w:rFonts w:ascii="宋体" w:hAnsi="宋体"/>
          <w:sz w:val="28"/>
          <w:szCs w:val="28"/>
        </w:rPr>
      </w:r>
      <w:r/>
    </w:p>
    <w:p>
      <w:pPr>
        <w:pStyle w:val="944"/>
        <w:ind w:firstLine="560"/>
        <w:spacing w:line="400" w:lineRule="exact"/>
        <w:rPr>
          <w:rFonts w:ascii="宋体" w:hAnsi="宋体"/>
          <w:sz w:val="28"/>
          <w:szCs w:val="28"/>
        </w:rPr>
      </w:pPr>
      <w:r>
        <w:rPr>
          <w:rFonts w:ascii="宋体" w:hAnsi="宋体"/>
          <w:sz w:val="28"/>
          <w:szCs w:val="28"/>
        </w:rPr>
      </w:r>
      <w:r/>
    </w:p>
    <w:p>
      <w:pPr>
        <w:pStyle w:val="944"/>
        <w:ind w:firstLine="560"/>
        <w:spacing w:line="400" w:lineRule="exact"/>
        <w:rPr>
          <w:rFonts w:ascii="宋体" w:hAnsi="宋体"/>
          <w:sz w:val="28"/>
          <w:szCs w:val="28"/>
        </w:rPr>
      </w:pPr>
      <w:r>
        <w:rPr>
          <w:rFonts w:ascii="宋体" w:hAnsi="宋体"/>
          <w:sz w:val="28"/>
          <w:szCs w:val="28"/>
        </w:rPr>
      </w:r>
      <w:r/>
    </w:p>
    <w:p>
      <w:pPr>
        <w:pStyle w:val="944"/>
        <w:ind w:firstLine="560"/>
        <w:spacing w:line="400" w:lineRule="exact"/>
        <w:rPr>
          <w:rFonts w:hint="eastAsia" w:ascii="宋体" w:hAnsi="宋体"/>
          <w:sz w:val="28"/>
          <w:szCs w:val="28"/>
        </w:rPr>
      </w:pPr>
      <w:r>
        <w:rPr>
          <w:rFonts w:hint="eastAsia" w:ascii="宋体" w:hAnsi="宋体"/>
          <w:sz w:val="28"/>
          <w:szCs w:val="28"/>
        </w:rPr>
      </w:r>
      <w:r/>
    </w:p>
    <w:p>
      <w:pPr>
        <w:pStyle w:val="944"/>
        <w:ind w:firstLine="560"/>
        <w:spacing w:line="400" w:lineRule="exact"/>
        <w:rPr>
          <w:rFonts w:ascii="宋体" w:hAnsi="宋体"/>
          <w:sz w:val="28"/>
          <w:szCs w:val="28"/>
        </w:rPr>
      </w:pPr>
      <w:r>
        <w:rPr>
          <w:rFonts w:ascii="宋体" w:hAnsi="宋体"/>
          <w:sz w:val="28"/>
          <w:szCs w:val="28"/>
        </w:rPr>
      </w:r>
      <w:r/>
    </w:p>
    <w:p>
      <w:pPr>
        <w:pStyle w:val="944"/>
        <w:jc w:val="center"/>
        <w:spacing w:line="400" w:lineRule="exact"/>
        <w:rPr>
          <w:rFonts w:hint="eastAsia" w:ascii="方正黑体_GBK" w:hAnsi="方正黑体_GBK" w:eastAsia="方正黑体_GBK" w:cs="方正黑体_GBK"/>
          <w:bCs/>
          <w:sz w:val="28"/>
          <w:szCs w:val="28"/>
        </w:rPr>
      </w:pPr>
      <w:r/>
      <w:bookmarkEnd w:id="224"/>
      <w:r/>
      <w:bookmarkEnd w:id="225"/>
      <w:r/>
      <w:bookmarkEnd w:id="226"/>
      <w:r/>
      <w:bookmarkStart w:id="228"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pStyle w:val="944"/>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eastAsia="方正仿宋_GBK"/>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4"/>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944"/>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4"/>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pStyle w:val="944"/>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944"/>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944"/>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44"/>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944"/>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4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4"/>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44"/>
        <w:spacing w:line="400" w:lineRule="exact"/>
        <w:rPr>
          <w:rFonts w:hint="eastAsia" w:ascii="黑体" w:hAnsi="黑体" w:eastAsia="黑体"/>
          <w:b/>
          <w:sz w:val="28"/>
          <w:szCs w:val="28"/>
        </w:rPr>
      </w:pPr>
      <w:r>
        <w:rPr>
          <w:rFonts w:hint="eastAsia" w:ascii="黑体" w:hAnsi="黑体" w:eastAsia="黑体"/>
          <w:b/>
          <w:sz w:val="28"/>
          <w:szCs w:val="28"/>
        </w:rPr>
      </w:r>
      <w:r/>
    </w:p>
    <w:p>
      <w:pPr>
        <w:pStyle w:val="944"/>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944"/>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944"/>
        <w:spacing w:line="400" w:lineRule="exact"/>
        <w:rPr>
          <w:rFonts w:hint="eastAsia" w:ascii="宋体" w:hAnsi="宋体"/>
          <w:sz w:val="28"/>
          <w:szCs w:val="28"/>
        </w:rPr>
      </w:pPr>
      <w:r>
        <w:rPr>
          <w:rFonts w:hint="eastAsia" w:ascii="宋体" w:hAnsi="宋体"/>
          <w:sz w:val="28"/>
          <w:szCs w:val="28"/>
        </w:rPr>
      </w:r>
      <w:r/>
    </w:p>
    <w:p>
      <w:pPr>
        <w:pStyle w:val="944"/>
        <w:jc w:val="center"/>
        <w:spacing w:line="400" w:lineRule="exact"/>
        <w:rPr>
          <w:rFonts w:hint="eastAsia" w:ascii="宋体" w:hAnsi="宋体" w:cs="宋体"/>
          <w:b/>
          <w:sz w:val="28"/>
          <w:szCs w:val="28"/>
        </w:rPr>
      </w:pPr>
      <w:r>
        <w:rPr>
          <w:rFonts w:hint="eastAsia" w:ascii="宋体" w:hAnsi="宋体" w:cs="宋体"/>
          <w:b/>
          <w:sz w:val="28"/>
          <w:szCs w:val="28"/>
        </w:rPr>
      </w:r>
      <w:r/>
    </w:p>
    <w:p>
      <w:pPr>
        <w:pStyle w:val="944"/>
        <w:jc w:val="center"/>
        <w:spacing w:line="400" w:lineRule="exact"/>
        <w:rPr>
          <w:rFonts w:hint="eastAsia" w:ascii="宋体" w:hAnsi="宋体" w:cs="宋体"/>
          <w:b/>
          <w:sz w:val="28"/>
          <w:szCs w:val="28"/>
        </w:rPr>
      </w:pPr>
      <w:r>
        <w:rPr>
          <w:rFonts w:hint="eastAsia" w:ascii="宋体" w:hAnsi="宋体" w:cs="宋体"/>
          <w:b/>
          <w:sz w:val="28"/>
          <w:szCs w:val="28"/>
        </w:rPr>
      </w:r>
      <w:r/>
    </w:p>
    <w:p>
      <w:pPr>
        <w:pStyle w:val="944"/>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关于符合本国产品标准的声明函（采购包号：XX）</w:t>
      </w:r>
      <w:r/>
    </w:p>
    <w:p>
      <w:pPr>
        <w:pStyle w:val="1007"/>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19"/>
          <w:rFonts w:hint="eastAsia" w:ascii="方正仿宋_GBK" w:hAnsi="方正仿宋_GBK" w:eastAsia="方正仿宋_GBK" w:cs="方正仿宋_GBK"/>
          <w:i w:val="0"/>
          <w:sz w:val="28"/>
          <w:szCs w:val="28"/>
          <w:u w:val="single"/>
          <w:shd w:val="clear" w:color="auto" w:fill="ffffff"/>
        </w:rPr>
        <w:t xml:space="preserve">（产品名称1）</w:t>
      </w:r>
      <w:r>
        <w:rPr>
          <w:rStyle w:val="1019"/>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19"/>
          <w:rFonts w:hint="eastAsia" w:ascii="方正仿宋_GBK" w:hAnsi="方正仿宋_GBK" w:eastAsia="方正仿宋_GBK" w:cs="方正仿宋_GBK"/>
          <w:i w:val="0"/>
          <w:sz w:val="28"/>
          <w:szCs w:val="28"/>
          <w:u w:val="single"/>
          <w:shd w:val="clear" w:color="auto" w:fill="ffffff"/>
        </w:rPr>
        <w:t xml:space="preserve">（厂名）</w:t>
      </w:r>
      <w:r>
        <w:rPr>
          <w:rStyle w:val="1019"/>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1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19"/>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19"/>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1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0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0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0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07"/>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1007"/>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100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100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0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0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0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0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100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944"/>
        <w:ind w:firstLine="632"/>
        <w:jc w:val="center"/>
        <w:spacing w:line="560" w:lineRule="atLeast"/>
        <w:rPr>
          <w:rFonts w:ascii="方正黑体_GBK" w:hAnsi="方正黑体_GBK" w:eastAsia="方正黑体_GBK" w:cs="方正黑体_GBK"/>
          <w:bCs/>
          <w:sz w:val="28"/>
          <w:szCs w:val="28"/>
        </w:rPr>
      </w:pPr>
      <w:r/>
      <w:bookmarkEnd w:id="163"/>
      <w:r/>
      <w:bookmarkEnd w:id="164"/>
      <w:r/>
      <w:bookmarkEnd w:id="228"/>
      <w:r>
        <w:rPr>
          <w:rFonts w:ascii="方正黑体_GBK" w:hAnsi="方正黑体_GBK" w:eastAsia="方正黑体_GBK" w:cs="方正黑体_GBK"/>
          <w:bCs/>
          <w:sz w:val="28"/>
          <w:szCs w:val="28"/>
        </w:rPr>
        <w:br w:type="page" w:clear="all"/>
      </w:r>
      <w:bookmarkStart w:id="229" w:name="OLE_LINK1"/>
      <w:r>
        <w:rPr>
          <w:rFonts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13 提供服务的人员均为订立劳动合同的从业人员的书面声明</w:t>
      </w:r>
      <w:r>
        <w:rPr>
          <w:rFonts w:ascii="方正黑体_GBK" w:hAnsi="方正黑体_GBK" w:eastAsia="方正黑体_GBK" w:cs="方正黑体_GBK"/>
          <w:bCs/>
          <w:sz w:val="28"/>
          <w:szCs w:val="28"/>
        </w:rPr>
      </w:r>
      <w:r/>
    </w:p>
    <w:p>
      <w:pPr>
        <w:pStyle w:val="944"/>
        <w:ind w:firstLine="632"/>
        <w:jc w:val="center"/>
        <w:spacing w:line="560" w:lineRule="atLeast"/>
        <w:rPr>
          <w:rFonts w:ascii="方正黑体_GBK" w:hAnsi="方正黑体_GBK" w:eastAsia="方正黑体_GBK" w:cs="方正黑体_GBK"/>
          <w:bCs/>
          <w:sz w:val="28"/>
          <w:szCs w:val="28"/>
        </w:rPr>
      </w:pPr>
      <w:r/>
      <w:bookmarkEnd w:id="229"/>
      <w:r>
        <w:rPr>
          <w:rFonts w:hint="eastAsia" w:ascii="方正黑体_GBK" w:hAnsi="方正黑体_GBK" w:eastAsia="方正黑体_GBK" w:cs="方正黑体_GBK"/>
          <w:bCs/>
          <w:sz w:val="28"/>
          <w:szCs w:val="28"/>
        </w:rPr>
        <w:t xml:space="preserve">（采购包号：XX）</w:t>
      </w:r>
      <w:r>
        <w:rPr>
          <w:rFonts w:ascii="方正黑体_GBK" w:hAnsi="方正黑体_GBK" w:eastAsia="方正黑体_GBK" w:cs="方正黑体_GBK"/>
          <w:bCs/>
          <w:sz w:val="28"/>
          <w:szCs w:val="28"/>
        </w:rPr>
      </w:r>
      <w:r/>
    </w:p>
    <w:p>
      <w:pPr>
        <w:pStyle w:val="944"/>
        <w:ind w:firstLine="632"/>
        <w:spacing w:line="560" w:lineRule="atLeast"/>
        <w:rPr>
          <w:rFonts w:eastAsia="方正仿宋_GBK"/>
          <w:sz w:val="32"/>
          <w:szCs w:val="20"/>
        </w:rPr>
      </w:pPr>
      <w:r>
        <w:rPr>
          <w:rFonts w:hint="eastAsia" w:eastAsia="方正仿宋_GBK"/>
          <w:sz w:val="32"/>
          <w:szCs w:val="20"/>
        </w:rPr>
        <w:t xml:space="preserve">本企业（本联合体，如项目采购包接受联合体参加的）</w:t>
      </w:r>
      <w:r>
        <w:rPr>
          <w:rFonts w:eastAsia="方正仿宋_GBK"/>
          <w:sz w:val="32"/>
          <w:szCs w:val="20"/>
        </w:rPr>
        <w:t xml:space="preserve">参加江苏省政府采购中心组织的项目编号为JSZC-320000-SCZX-</w:t>
      </w:r>
      <w:r>
        <w:rPr>
          <w:rFonts w:hint="eastAsia" w:eastAsia="方正仿宋_GBK"/>
          <w:sz w:val="32"/>
          <w:szCs w:val="20"/>
        </w:rPr>
        <w:t xml:space="preserve">G（C、T、K）</w:t>
      </w:r>
      <w:r>
        <w:rPr>
          <w:rFonts w:eastAsia="方正仿宋_GBK"/>
          <w:sz w:val="32"/>
          <w:szCs w:val="20"/>
        </w:rPr>
        <w:t xml:space="preserve">20XX-XXXX，XXXX（项目名称）（采购包号：XX）项目采购活动</w:t>
      </w:r>
      <w:r>
        <w:rPr>
          <w:rFonts w:hint="eastAsia" w:eastAsia="方正仿宋_GBK"/>
          <w:sz w:val="32"/>
          <w:szCs w:val="20"/>
        </w:rPr>
        <w:t xml:space="preserve">，根据</w:t>
      </w:r>
      <w:r>
        <w:rPr>
          <w:rFonts w:ascii="方正仿宋_GBK" w:hAnsi="方正仿宋_GBK" w:eastAsia="方正仿宋_GBK" w:cs="方正仿宋_GBK"/>
          <w:sz w:val="32"/>
          <w:szCs w:val="32"/>
        </w:rPr>
        <w:t xml:space="preserve">《政府采购促进中小企业发展管理办法》</w:t>
      </w:r>
      <w:r>
        <w:rPr>
          <w:rFonts w:hint="eastAsia" w:ascii="方正仿宋_GBK" w:hAnsi="方正仿宋_GBK" w:eastAsia="方正仿宋_GBK" w:cs="方正仿宋_GBK"/>
          <w:sz w:val="32"/>
          <w:szCs w:val="32"/>
        </w:rPr>
        <w:t xml:space="preserve">第四条规定</w:t>
      </w:r>
      <w:r>
        <w:rPr>
          <w:rFonts w:eastAsia="方正仿宋_GBK"/>
          <w:sz w:val="32"/>
          <w:szCs w:val="20"/>
        </w:rPr>
        <w:t xml:space="preserve">，</w:t>
      </w:r>
      <w:r>
        <w:rPr>
          <w:rFonts w:hint="eastAsia" w:eastAsia="方正仿宋_GBK"/>
          <w:sz w:val="32"/>
          <w:szCs w:val="20"/>
        </w:rPr>
        <w:t xml:space="preserve">本企业（本联合体，如项目采购包接受联合体参加的）</w:t>
      </w:r>
      <w:r>
        <w:rPr>
          <w:rFonts w:eastAsia="方正仿宋_GBK"/>
          <w:sz w:val="32"/>
          <w:szCs w:val="20"/>
        </w:rPr>
        <w:t xml:space="preserve">郑重声明</w:t>
      </w:r>
      <w:r>
        <w:rPr>
          <w:rFonts w:hint="eastAsia" w:eastAsia="方正仿宋_GBK"/>
          <w:sz w:val="32"/>
          <w:szCs w:val="20"/>
        </w:rPr>
        <w:t xml:space="preserve">：如服务由本企业（本联合体，如项目采购包接受联合体参加的）承接，为本项目采购包提供服务的人员均为</w:t>
      </w:r>
      <w:r>
        <w:rPr>
          <w:rFonts w:hint="eastAsia" w:ascii="方正仿宋_GBK" w:hAnsi="方正仿宋_GBK" w:eastAsia="方正仿宋_GBK" w:cs="方正仿宋_GBK"/>
          <w:sz w:val="32"/>
          <w:szCs w:val="32"/>
        </w:rPr>
        <w:t xml:space="preserve">依照《中华人民共和国劳动合同法》订立劳动合同的从业人员。</w:t>
      </w:r>
      <w:r>
        <w:rPr>
          <w:rFonts w:eastAsia="方正仿宋_GBK"/>
          <w:sz w:val="32"/>
          <w:szCs w:val="20"/>
        </w:rPr>
      </w:r>
      <w:r/>
    </w:p>
    <w:p>
      <w:pPr>
        <w:pStyle w:val="944"/>
        <w:ind w:firstLine="632"/>
        <w:spacing w:line="560" w:lineRule="atLeast"/>
        <w:rPr>
          <w:rFonts w:eastAsia="方正仿宋_GBK"/>
          <w:sz w:val="32"/>
          <w:szCs w:val="20"/>
        </w:rPr>
      </w:pPr>
      <w:r>
        <w:rPr>
          <w:rFonts w:eastAsia="方正仿宋_GBK"/>
          <w:sz w:val="32"/>
          <w:szCs w:val="20"/>
        </w:rPr>
        <w:t xml:space="preserve">本</w:t>
      </w:r>
      <w:r>
        <w:rPr>
          <w:rFonts w:hint="eastAsia" w:eastAsia="方正仿宋_GBK"/>
          <w:sz w:val="32"/>
          <w:szCs w:val="20"/>
        </w:rPr>
        <w:t xml:space="preserve">企业（联合体）</w:t>
      </w:r>
      <w:r>
        <w:rPr>
          <w:rFonts w:eastAsia="方正仿宋_GBK"/>
          <w:sz w:val="32"/>
          <w:szCs w:val="20"/>
        </w:rPr>
        <w:t xml:space="preserve">对上述声明的真实性负责。如有虚假，将依法承担相应责任。</w:t>
      </w:r>
      <w:r/>
    </w:p>
    <w:p>
      <w:pPr>
        <w:pStyle w:val="944"/>
        <w:ind w:firstLine="624"/>
        <w:jc w:val="left"/>
        <w:spacing w:after="100" w:line="259" w:lineRule="auto"/>
        <w:widowControl/>
        <w:rPr>
          <w:rFonts w:ascii="Calibri" w:hAnsi="Calibri" w:eastAsia="方正仿宋_GBK"/>
          <w:sz w:val="22"/>
          <w:szCs w:val="22"/>
        </w:rPr>
      </w:pPr>
      <w:r>
        <w:rPr>
          <w:rFonts w:ascii="Calibri" w:hAnsi="Calibri" w:eastAsia="方正仿宋_GBK"/>
          <w:sz w:val="22"/>
          <w:szCs w:val="22"/>
        </w:rPr>
      </w:r>
      <w:r/>
    </w:p>
    <w:p>
      <w:pPr>
        <w:pStyle w:val="944"/>
        <w:ind w:firstLine="624"/>
        <w:spacing w:line="590" w:lineRule="atLeast"/>
        <w:rPr>
          <w:rFonts w:ascii="方正黑体_GBK" w:hAnsi="方正黑体_GBK" w:eastAsia="方正黑体_GBK" w:cs="方正黑体_GBK"/>
          <w:b/>
          <w:bCs/>
          <w:sz w:val="32"/>
          <w:szCs w:val="20"/>
        </w:rPr>
      </w:pPr>
      <w:r>
        <w:rPr>
          <w:rFonts w:hint="eastAsia" w:ascii="方正黑体_GBK" w:hAnsi="方正黑体_GBK" w:eastAsia="方正黑体_GBK" w:cs="方正黑体_GBK"/>
          <w:b/>
          <w:bCs/>
          <w:sz w:val="32"/>
          <w:szCs w:val="32"/>
        </w:rPr>
        <w:t xml:space="preserve">注：专门面向中小微型企业采购的采购项目采购包，投标人（供应商）未提供该书面声明的，投标（响应）无效。</w:t>
      </w:r>
      <w:r>
        <w:rPr>
          <w:rFonts w:ascii="方正黑体_GBK" w:hAnsi="方正黑体_GBK" w:eastAsia="方正黑体_GBK" w:cs="方正黑体_GBK"/>
          <w:b/>
          <w:bCs/>
          <w:sz w:val="32"/>
          <w:szCs w:val="20"/>
        </w:rPr>
      </w:r>
      <w:r/>
    </w:p>
    <w:p>
      <w:pPr>
        <w:pStyle w:val="944"/>
        <w:ind w:firstLine="560"/>
        <w:jc w:val="center"/>
        <w:spacing w:line="400" w:lineRule="exact"/>
        <w:rPr>
          <w:rFonts w:hint="eastAsia"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质疑函范本</w:t>
      </w:r>
      <w:r/>
    </w:p>
    <w:p>
      <w:pPr>
        <w:pStyle w:val="944"/>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94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94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94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944"/>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944"/>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944"/>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pStyle w:val="944"/>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94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94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94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pStyle w:val="94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944"/>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59"/>
        <w:spacing w:line="400" w:lineRule="exact"/>
        <w:rPr>
          <w:rFonts w:hint="eastAsia"/>
          <w:sz w:val="28"/>
          <w:szCs w:val="28"/>
        </w:rPr>
      </w:pPr>
      <w:r>
        <w:rPr>
          <w:rFonts w:hint="eastAsia"/>
          <w:sz w:val="28"/>
          <w:szCs w:val="28"/>
        </w:rPr>
      </w:r>
      <w:r/>
    </w:p>
    <w:p>
      <w:pPr>
        <w:pStyle w:val="959"/>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等线 Light">
    <w:panose1 w:val="02010600030101010101"/>
  </w:font>
  <w:font w:name="等线">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1017"/>
      </w:rPr>
      <w:framePr w:wrap="around" w:vAnchor="text" w:hAnchor="margin" w:xAlign="center" w:y="1"/>
    </w:pPr>
    <w:r>
      <w:fldChar w:fldCharType="begin"/>
    </w:r>
    <w:r>
      <w:rPr>
        <w:rStyle w:val="1017"/>
      </w:rPr>
      <w:instrText xml:space="preserve">PAGE  </w:instrText>
    </w:r>
    <w:r>
      <w:fldChar w:fldCharType="separate"/>
    </w:r>
    <w:r>
      <w:rPr>
        <w:rStyle w:val="1017"/>
      </w:rPr>
      <w:t xml:space="preserve">1</w:t>
    </w:r>
    <w:r>
      <w:fldChar w:fldCharType="end"/>
    </w:r>
    <w:r>
      <w:rPr>
        <w:rStyle w:val="1017"/>
      </w:rPr>
    </w:r>
    <w:r/>
  </w:p>
  <w:p>
    <w:pPr>
      <w:pStyle w:val="9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944"/>
                    </w:pPr>
                    <w:r/>
                    <w:r/>
                  </w:p>
                </w:txbxContent>
              </v:textbox>
            </v:shape>
          </w:pict>
        </mc:Fallback>
      </mc:AlternateContent>
    </w:r>
    <w:r/>
  </w:p>
  <w:p>
    <w:pPr>
      <w:pStyle w:val="9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4"/>
      <w:isLgl w:val="false"/>
      <w:suff w:val="tab"/>
      <w:lvlText w:val="附录%1."/>
      <w:lvlJc w:val="left"/>
      <w:pPr>
        <w:pStyle w:val="9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4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44"/>
        <w:ind w:left="420" w:hanging="420"/>
      </w:pPr>
      <w:rPr>
        <w:color w:val="000000"/>
      </w:rPr>
    </w:lvl>
    <w:lvl w:ilvl="1">
      <w:start w:val="1"/>
      <w:numFmt w:val="lowerLetter"/>
      <w:isLgl w:val="false"/>
      <w:suff w:val="tab"/>
      <w:lvlText w:val="%2)"/>
      <w:lvlJc w:val="left"/>
      <w:pPr>
        <w:pStyle w:val="944"/>
        <w:ind w:left="840" w:hanging="420"/>
      </w:pPr>
    </w:lvl>
    <w:lvl w:ilvl="2">
      <w:start w:val="1"/>
      <w:numFmt w:val="lowerRoman"/>
      <w:isLgl w:val="false"/>
      <w:suff w:val="tab"/>
      <w:lvlText w:val="%3."/>
      <w:lvlJc w:val="right"/>
      <w:pPr>
        <w:pStyle w:val="944"/>
        <w:ind w:left="1260" w:hanging="420"/>
      </w:pPr>
    </w:lvl>
    <w:lvl w:ilvl="3">
      <w:start w:val="1"/>
      <w:numFmt w:val="decimal"/>
      <w:isLgl w:val="false"/>
      <w:suff w:val="tab"/>
      <w:lvlText w:val="%4."/>
      <w:lvlJc w:val="left"/>
      <w:pPr>
        <w:pStyle w:val="944"/>
        <w:ind w:left="1680" w:hanging="420"/>
      </w:pPr>
    </w:lvl>
    <w:lvl w:ilvl="4">
      <w:start w:val="1"/>
      <w:numFmt w:val="lowerLetter"/>
      <w:isLgl w:val="false"/>
      <w:suff w:val="tab"/>
      <w:lvlText w:val="%5)"/>
      <w:lvlJc w:val="left"/>
      <w:pPr>
        <w:pStyle w:val="944"/>
        <w:ind w:left="2100" w:hanging="420"/>
      </w:pPr>
    </w:lvl>
    <w:lvl w:ilvl="5">
      <w:start w:val="1"/>
      <w:numFmt w:val="lowerRoman"/>
      <w:isLgl w:val="false"/>
      <w:suff w:val="tab"/>
      <w:lvlText w:val="%6."/>
      <w:lvlJc w:val="right"/>
      <w:pPr>
        <w:pStyle w:val="944"/>
        <w:ind w:left="2520" w:hanging="420"/>
      </w:pPr>
    </w:lvl>
    <w:lvl w:ilvl="6">
      <w:start w:val="1"/>
      <w:numFmt w:val="decimal"/>
      <w:isLgl w:val="false"/>
      <w:suff w:val="tab"/>
      <w:lvlText w:val="%7."/>
      <w:lvlJc w:val="left"/>
      <w:pPr>
        <w:pStyle w:val="944"/>
        <w:ind w:left="2940" w:hanging="420"/>
      </w:pPr>
    </w:lvl>
    <w:lvl w:ilvl="7">
      <w:start w:val="1"/>
      <w:numFmt w:val="lowerLetter"/>
      <w:isLgl w:val="false"/>
      <w:suff w:val="tab"/>
      <w:lvlText w:val="%8)"/>
      <w:lvlJc w:val="left"/>
      <w:pPr>
        <w:pStyle w:val="944"/>
        <w:ind w:left="3360" w:hanging="420"/>
      </w:pPr>
    </w:lvl>
    <w:lvl w:ilvl="8">
      <w:start w:val="1"/>
      <w:numFmt w:val="lowerRoman"/>
      <w:isLgl w:val="false"/>
      <w:suff w:val="tab"/>
      <w:lvlText w:val="%9."/>
      <w:lvlJc w:val="right"/>
      <w:pPr>
        <w:pStyle w:val="944"/>
        <w:ind w:left="3780" w:hanging="420"/>
      </w:pPr>
    </w:lvl>
  </w:abstractNum>
  <w:abstractNum w:abstractNumId="3">
    <w:multiLevelType w:val="hybridMultilevel"/>
    <w:lvl w:ilvl="0">
      <w:start w:val="1"/>
      <w:numFmt w:val="decimal"/>
      <w:pStyle w:val="1041"/>
      <w:isLgl w:val="false"/>
      <w:suff w:val="tab"/>
      <w:lvlText w:val="%1."/>
      <w:lvlJc w:val="left"/>
      <w:pPr>
        <w:pStyle w:val="944"/>
        <w:ind w:left="709" w:hanging="709"/>
        <w:tabs>
          <w:tab w:val="num" w:pos="709" w:leader="none"/>
        </w:tabs>
      </w:pPr>
      <w:rPr>
        <w:rFonts w:hint="eastAsia"/>
      </w:rPr>
    </w:lvl>
    <w:lvl w:ilvl="1">
      <w:start w:val="1"/>
      <w:numFmt w:val="decimal"/>
      <w:isLgl w:val="false"/>
      <w:suff w:val="tab"/>
      <w:lvlText w:val="%1.%2"/>
      <w:lvlJc w:val="left"/>
      <w:pPr>
        <w:pStyle w:val="944"/>
        <w:ind w:left="709" w:hanging="709"/>
        <w:tabs>
          <w:tab w:val="num" w:pos="709" w:leader="none"/>
        </w:tabs>
      </w:pPr>
      <w:rPr>
        <w:rFonts w:hint="eastAsia"/>
      </w:rPr>
    </w:lvl>
    <w:lvl w:ilvl="2">
      <w:start w:val="1"/>
      <w:numFmt w:val="decimal"/>
      <w:isLgl w:val="false"/>
      <w:suff w:val="tab"/>
      <w:lvlText w:val="%1.%2.%3."/>
      <w:lvlJc w:val="left"/>
      <w:pPr>
        <w:pStyle w:val="944"/>
        <w:ind w:left="425" w:hanging="425"/>
        <w:tabs>
          <w:tab w:val="num" w:pos="425" w:leader="none"/>
        </w:tabs>
      </w:pPr>
      <w:rPr>
        <w:rFonts w:hint="eastAsia"/>
      </w:rPr>
    </w:lvl>
    <w:lvl w:ilvl="3">
      <w:start w:val="1"/>
      <w:numFmt w:val="decimal"/>
      <w:isLgl w:val="false"/>
      <w:suff w:val="tab"/>
      <w:lvlText w:val="%1.%2.%3.%4."/>
      <w:lvlJc w:val="left"/>
      <w:pPr>
        <w:pStyle w:val="944"/>
        <w:ind w:left="851" w:hanging="851"/>
        <w:tabs>
          <w:tab w:val="num" w:pos="851" w:leader="none"/>
        </w:tabs>
      </w:pPr>
      <w:rPr>
        <w:rFonts w:hint="eastAsia"/>
      </w:rPr>
    </w:lvl>
    <w:lvl w:ilvl="4">
      <w:start w:val="1"/>
      <w:numFmt w:val="decimal"/>
      <w:isLgl w:val="false"/>
      <w:suff w:val="tab"/>
      <w:lvlText w:val="%1.%2.%3.%4.%5."/>
      <w:lvlJc w:val="left"/>
      <w:pPr>
        <w:pStyle w:val="944"/>
        <w:ind w:left="992" w:hanging="992"/>
        <w:tabs>
          <w:tab w:val="num" w:pos="992" w:leader="none"/>
        </w:tabs>
      </w:pPr>
      <w:rPr>
        <w:rFonts w:hint="eastAsia"/>
      </w:rPr>
    </w:lvl>
    <w:lvl w:ilvl="5">
      <w:start w:val="1"/>
      <w:numFmt w:val="decimal"/>
      <w:isLgl w:val="false"/>
      <w:suff w:val="tab"/>
      <w:lvlText w:val="%1.%2.%3.%4.%5.%6."/>
      <w:lvlJc w:val="left"/>
      <w:pPr>
        <w:pStyle w:val="944"/>
        <w:ind w:left="1134" w:hanging="1134"/>
        <w:tabs>
          <w:tab w:val="num" w:pos="1134" w:leader="none"/>
        </w:tabs>
      </w:pPr>
      <w:rPr>
        <w:rFonts w:hint="eastAsia"/>
      </w:rPr>
    </w:lvl>
    <w:lvl w:ilvl="6">
      <w:start w:val="1"/>
      <w:numFmt w:val="decimal"/>
      <w:isLgl w:val="false"/>
      <w:suff w:val="tab"/>
      <w:lvlText w:val="%1.%2.%3.%4.%5.%6.%7."/>
      <w:lvlJc w:val="left"/>
      <w:pPr>
        <w:pStyle w:val="944"/>
        <w:ind w:left="1276" w:hanging="1276"/>
        <w:tabs>
          <w:tab w:val="num" w:pos="1276" w:leader="none"/>
        </w:tabs>
      </w:pPr>
      <w:rPr>
        <w:rFonts w:hint="eastAsia"/>
      </w:rPr>
    </w:lvl>
    <w:lvl w:ilvl="7">
      <w:start w:val="1"/>
      <w:numFmt w:val="decimal"/>
      <w:isLgl w:val="false"/>
      <w:suff w:val="tab"/>
      <w:lvlText w:val="%1.%2.%3.%4.%5.%6.%7.%8."/>
      <w:lvlJc w:val="left"/>
      <w:pPr>
        <w:pStyle w:val="944"/>
        <w:ind w:left="1418" w:hanging="1418"/>
        <w:tabs>
          <w:tab w:val="num" w:pos="1418" w:leader="none"/>
        </w:tabs>
      </w:pPr>
      <w:rPr>
        <w:rFonts w:hint="eastAsia"/>
      </w:rPr>
    </w:lvl>
    <w:lvl w:ilvl="8">
      <w:start w:val="1"/>
      <w:numFmt w:val="decimal"/>
      <w:isLgl w:val="false"/>
      <w:suff w:val="tab"/>
      <w:lvlText w:val="%1.%2.%3.%4.%5.%6.%7.%8.%9."/>
      <w:lvlJc w:val="left"/>
      <w:pPr>
        <w:pStyle w:val="944"/>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44"/>
        <w:ind w:left="0" w:firstLine="0"/>
      </w:pPr>
      <w:rPr>
        <w:rFonts w:hint="eastAsia"/>
      </w:rPr>
    </w:lvl>
    <w:lvl w:ilvl="1">
      <w:start w:val="1"/>
      <w:numFmt w:val="decimal"/>
      <w:isLgl w:val="false"/>
      <w:suff w:val="nothing"/>
      <w:lvlText w:val="%2、"/>
      <w:lvlJc w:val="left"/>
      <w:pPr>
        <w:pStyle w:val="944"/>
        <w:ind w:left="0" w:firstLine="0"/>
      </w:pPr>
      <w:rPr>
        <w:rFonts w:hint="eastAsia"/>
      </w:rPr>
    </w:lvl>
    <w:lvl w:ilvl="2">
      <w:start w:val="1"/>
      <w:numFmt w:val="decimal"/>
      <w:isLgl w:val="false"/>
      <w:suff w:val="nothing"/>
      <w:lvlText w:val="%2.%3 "/>
      <w:lvlJc w:val="left"/>
      <w:pPr>
        <w:pStyle w:val="944"/>
        <w:ind w:left="0" w:firstLine="0"/>
      </w:pPr>
      <w:rPr>
        <w:rFonts w:hint="eastAsia"/>
      </w:rPr>
    </w:lvl>
    <w:lvl w:ilvl="3">
      <w:start w:val="1"/>
      <w:numFmt w:val="decimal"/>
      <w:isLgl w:val="false"/>
      <w:suff w:val="nothing"/>
      <w:lvlText w:val="%2.%3.%4 "/>
      <w:lvlJc w:val="left"/>
      <w:pPr>
        <w:pStyle w:val="944"/>
        <w:ind w:left="0" w:firstLine="0"/>
      </w:pPr>
      <w:rPr>
        <w:rFonts w:hint="eastAsia"/>
      </w:rPr>
    </w:lvl>
    <w:lvl w:ilvl="4">
      <w:start w:val="1"/>
      <w:numFmt w:val="decimal"/>
      <w:isLgl w:val="false"/>
      <w:suff w:val="nothing"/>
      <w:lvlText w:val="%2.%3.%4.%5 "/>
      <w:lvlJc w:val="left"/>
      <w:pPr>
        <w:pStyle w:val="944"/>
        <w:ind w:left="0" w:firstLine="0"/>
      </w:pPr>
      <w:rPr>
        <w:rFonts w:hint="eastAsia"/>
      </w:rPr>
    </w:lvl>
    <w:lvl w:ilvl="5">
      <w:start w:val="1"/>
      <w:numFmt w:val="decimal"/>
      <w:pStyle w:val="950"/>
      <w:isLgl w:val="false"/>
      <w:suff w:val="nothing"/>
      <w:lvlText w:val=""/>
      <w:lvlJc w:val="left"/>
      <w:pPr>
        <w:pStyle w:val="944"/>
        <w:ind w:left="0" w:firstLine="0"/>
      </w:pPr>
      <w:rPr>
        <w:rFonts w:hint="eastAsia"/>
      </w:rPr>
    </w:lvl>
    <w:lvl w:ilvl="6">
      <w:start w:val="1"/>
      <w:numFmt w:val="decimal"/>
      <w:pStyle w:val="951"/>
      <w:isLgl w:val="false"/>
      <w:suff w:val="nothing"/>
      <w:lvlText w:val=""/>
      <w:lvlJc w:val="left"/>
      <w:pPr>
        <w:pStyle w:val="944"/>
        <w:ind w:left="0" w:firstLine="0"/>
      </w:pPr>
      <w:rPr>
        <w:rFonts w:hint="eastAsia"/>
      </w:rPr>
    </w:lvl>
    <w:lvl w:ilvl="7">
      <w:start w:val="1"/>
      <w:numFmt w:val="decimal"/>
      <w:pStyle w:val="952"/>
      <w:isLgl w:val="false"/>
      <w:suff w:val="nothing"/>
      <w:lvlText w:val=""/>
      <w:lvlJc w:val="left"/>
      <w:pPr>
        <w:pStyle w:val="944"/>
        <w:ind w:left="0" w:firstLine="0"/>
      </w:pPr>
      <w:rPr>
        <w:rFonts w:hint="eastAsia"/>
      </w:rPr>
    </w:lvl>
    <w:lvl w:ilvl="8">
      <w:start w:val="1"/>
      <w:numFmt w:val="decimal"/>
      <w:pStyle w:val="953"/>
      <w:isLgl w:val="false"/>
      <w:suff w:val="nothing"/>
      <w:lvlText w:val=""/>
      <w:lvlJc w:val="left"/>
      <w:pPr>
        <w:pStyle w:val="944"/>
        <w:ind w:left="0" w:firstLine="0"/>
      </w:pPr>
      <w:rPr>
        <w:rFonts w:hint="eastAsia"/>
      </w:rPr>
    </w:lvl>
  </w:abstractNum>
  <w:abstractNum w:abstractNumId="5">
    <w:multiLevelType w:val="hybridMultilevel"/>
    <w:lvl w:ilvl="0">
      <w:start w:val="1"/>
      <w:numFmt w:val="decimal"/>
      <w:isLgl w:val="false"/>
      <w:suff w:val="nothing"/>
      <w:lvlText w:val="%1、"/>
      <w:lvlJc w:val="left"/>
      <w:pPr>
        <w:pStyle w:val="944"/>
        <w:ind w:left="0" w:firstLine="0"/>
      </w:pPr>
      <w:rPr>
        <w:rFonts w:ascii="Times New Roman" w:hAnsi="Times New Roman" w:cs="Times New Roman"/>
      </w:rPr>
    </w:lvl>
    <w:lvl w:ilvl="1">
      <w:start w:val="1"/>
      <w:numFmt w:val="bullet"/>
      <w:isLgl w:val="false"/>
      <w:suff w:val="tab"/>
      <w:lvlText w:val="o"/>
      <w:lvlJc w:val="left"/>
      <w:pPr>
        <w:pStyle w:val="944"/>
        <w:ind w:left="1440" w:hanging="360"/>
      </w:pPr>
      <w:rPr>
        <w:rFonts w:ascii="Courier New" w:hAnsi="Courier New" w:cs="Courier New"/>
      </w:rPr>
    </w:lvl>
    <w:lvl w:ilvl="2">
      <w:start w:val="1"/>
      <w:numFmt w:val="bullet"/>
      <w:isLgl w:val="false"/>
      <w:suff w:val="tab"/>
      <w:lvlText w:val="§"/>
      <w:lvlJc w:val="left"/>
      <w:pPr>
        <w:pStyle w:val="944"/>
        <w:ind w:left="2160" w:hanging="360"/>
      </w:pPr>
      <w:rPr>
        <w:rFonts w:ascii="Wingdings" w:hAnsi="Wingdings"/>
      </w:rPr>
    </w:lvl>
    <w:lvl w:ilvl="3">
      <w:start w:val="1"/>
      <w:numFmt w:val="bullet"/>
      <w:isLgl w:val="false"/>
      <w:suff w:val="tab"/>
      <w:lvlText w:val="·"/>
      <w:lvlJc w:val="left"/>
      <w:pPr>
        <w:pStyle w:val="944"/>
        <w:ind w:left="2880" w:hanging="360"/>
      </w:pPr>
      <w:rPr>
        <w:rFonts w:ascii="Symbol" w:hAnsi="Symbol"/>
      </w:rPr>
    </w:lvl>
    <w:lvl w:ilvl="4">
      <w:start w:val="1"/>
      <w:numFmt w:val="bullet"/>
      <w:isLgl w:val="false"/>
      <w:suff w:val="tab"/>
      <w:lvlText w:val="o"/>
      <w:lvlJc w:val="left"/>
      <w:pPr>
        <w:pStyle w:val="944"/>
        <w:ind w:left="3600" w:hanging="360"/>
      </w:pPr>
      <w:rPr>
        <w:rFonts w:ascii="Courier New" w:hAnsi="Courier New" w:cs="Courier New"/>
      </w:rPr>
    </w:lvl>
    <w:lvl w:ilvl="5">
      <w:start w:val="1"/>
      <w:numFmt w:val="bullet"/>
      <w:isLgl w:val="false"/>
      <w:suff w:val="tab"/>
      <w:lvlText w:val="§"/>
      <w:lvlJc w:val="left"/>
      <w:pPr>
        <w:pStyle w:val="944"/>
        <w:ind w:left="4320" w:hanging="360"/>
      </w:pPr>
      <w:rPr>
        <w:rFonts w:ascii="Wingdings" w:hAnsi="Wingdings"/>
      </w:rPr>
    </w:lvl>
    <w:lvl w:ilvl="6">
      <w:start w:val="1"/>
      <w:numFmt w:val="bullet"/>
      <w:isLgl w:val="false"/>
      <w:suff w:val="tab"/>
      <w:lvlText w:val="·"/>
      <w:lvlJc w:val="left"/>
      <w:pPr>
        <w:pStyle w:val="944"/>
        <w:ind w:left="5040" w:hanging="360"/>
      </w:pPr>
      <w:rPr>
        <w:rFonts w:ascii="Symbol" w:hAnsi="Symbol"/>
      </w:rPr>
    </w:lvl>
    <w:lvl w:ilvl="7">
      <w:start w:val="1"/>
      <w:numFmt w:val="bullet"/>
      <w:isLgl w:val="false"/>
      <w:suff w:val="tab"/>
      <w:lvlText w:val="o"/>
      <w:lvlJc w:val="left"/>
      <w:pPr>
        <w:pStyle w:val="944"/>
        <w:ind w:left="5760" w:hanging="360"/>
      </w:pPr>
      <w:rPr>
        <w:rFonts w:ascii="Courier New" w:hAnsi="Courier New" w:cs="Courier New"/>
      </w:rPr>
    </w:lvl>
    <w:lvl w:ilvl="8">
      <w:start w:val="1"/>
      <w:numFmt w:val="bullet"/>
      <w:isLgl w:val="false"/>
      <w:suff w:val="tab"/>
      <w:lvlText w:val="§"/>
      <w:lvlJc w:val="left"/>
      <w:pPr>
        <w:pStyle w:val="944"/>
        <w:ind w:left="6480" w:hanging="360"/>
      </w:pPr>
      <w:rPr>
        <w:rFonts w:ascii="Wingdings" w:hAnsi="Wingdings"/>
      </w:rPr>
    </w:lvl>
  </w:abstractNum>
  <w:num w:numId="1">
    <w:abstractNumId w:val="4"/>
  </w:num>
  <w:num w:numId="2">
    <w:abstractNumId w:val="0"/>
  </w:num>
  <w:num w:numId="3">
    <w:abstractNumId w:val="3"/>
  </w:num>
  <w:num w:numId="4">
    <w:abstractNumId w:val="1"/>
  </w:num>
  <w:num w:numId="5">
    <w:abstractNumId w:val="1"/>
    <w:lvlOverride w:ilvl="0">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Heading 1"/>
    <w:basedOn w:val="944"/>
    <w:next w:val="944"/>
    <w:link w:val="767"/>
    <w:uiPriority w:val="9"/>
    <w:qFormat/>
    <w:pPr>
      <w:keepLines/>
      <w:keepNext/>
      <w:spacing w:before="480" w:after="200"/>
      <w:outlineLvl w:val="0"/>
    </w:pPr>
    <w:rPr>
      <w:rFonts w:ascii="Arial" w:hAnsi="Arial" w:eastAsia="Arial" w:cs="Arial"/>
      <w:sz w:val="40"/>
      <w:szCs w:val="40"/>
    </w:rPr>
  </w:style>
  <w:style w:type="character" w:styleId="767">
    <w:name w:val="Heading 1 Char"/>
    <w:link w:val="766"/>
    <w:uiPriority w:val="9"/>
    <w:rPr>
      <w:rFonts w:ascii="Arial" w:hAnsi="Arial" w:eastAsia="Arial" w:cs="Arial"/>
      <w:sz w:val="40"/>
      <w:szCs w:val="40"/>
    </w:rPr>
  </w:style>
  <w:style w:type="paragraph" w:styleId="768">
    <w:name w:val="Heading 2"/>
    <w:basedOn w:val="944"/>
    <w:next w:val="944"/>
    <w:link w:val="769"/>
    <w:uiPriority w:val="9"/>
    <w:unhideWhenUsed/>
    <w:qFormat/>
    <w:pPr>
      <w:keepLines/>
      <w:keepNext/>
      <w:spacing w:before="360" w:after="200"/>
      <w:outlineLvl w:val="1"/>
    </w:pPr>
    <w:rPr>
      <w:rFonts w:ascii="Arial" w:hAnsi="Arial" w:eastAsia="Arial" w:cs="Arial"/>
      <w:sz w:val="34"/>
    </w:rPr>
  </w:style>
  <w:style w:type="character" w:styleId="769">
    <w:name w:val="Heading 2 Char"/>
    <w:link w:val="768"/>
    <w:uiPriority w:val="9"/>
    <w:rPr>
      <w:rFonts w:ascii="Arial" w:hAnsi="Arial" w:eastAsia="Arial" w:cs="Arial"/>
      <w:sz w:val="34"/>
    </w:rPr>
  </w:style>
  <w:style w:type="paragraph" w:styleId="770">
    <w:name w:val="Heading 3"/>
    <w:basedOn w:val="944"/>
    <w:next w:val="944"/>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link w:val="770"/>
    <w:uiPriority w:val="9"/>
    <w:rPr>
      <w:rFonts w:ascii="Arial" w:hAnsi="Arial" w:eastAsia="Arial" w:cs="Arial"/>
      <w:sz w:val="30"/>
      <w:szCs w:val="30"/>
    </w:rPr>
  </w:style>
  <w:style w:type="paragraph" w:styleId="772">
    <w:name w:val="Heading 4"/>
    <w:basedOn w:val="944"/>
    <w:next w:val="944"/>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44"/>
    <w:next w:val="944"/>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44"/>
    <w:next w:val="944"/>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44"/>
    <w:next w:val="944"/>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44"/>
    <w:next w:val="944"/>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44"/>
    <w:next w:val="944"/>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List Paragraph"/>
    <w:basedOn w:val="944"/>
    <w:uiPriority w:val="34"/>
    <w:qFormat/>
    <w:pPr>
      <w:contextualSpacing/>
      <w:ind w:left="720"/>
    </w:pPr>
  </w:style>
  <w:style w:type="paragraph" w:styleId="785">
    <w:name w:val="No Spacing"/>
    <w:uiPriority w:val="1"/>
    <w:qFormat/>
    <w:pPr>
      <w:spacing w:before="0" w:after="0" w:line="240" w:lineRule="auto"/>
    </w:pPr>
  </w:style>
  <w:style w:type="paragraph" w:styleId="786">
    <w:name w:val="Title"/>
    <w:basedOn w:val="944"/>
    <w:next w:val="944"/>
    <w:link w:val="787"/>
    <w:uiPriority w:val="10"/>
    <w:qFormat/>
    <w:pPr>
      <w:contextualSpacing/>
      <w:spacing w:before="300" w:after="200"/>
    </w:pPr>
    <w:rPr>
      <w:sz w:val="48"/>
      <w:szCs w:val="48"/>
    </w:rPr>
  </w:style>
  <w:style w:type="character" w:styleId="787">
    <w:name w:val="Title Char"/>
    <w:link w:val="786"/>
    <w:uiPriority w:val="10"/>
    <w:rPr>
      <w:sz w:val="48"/>
      <w:szCs w:val="48"/>
    </w:rPr>
  </w:style>
  <w:style w:type="paragraph" w:styleId="788">
    <w:name w:val="Subtitle"/>
    <w:basedOn w:val="944"/>
    <w:next w:val="944"/>
    <w:link w:val="789"/>
    <w:uiPriority w:val="11"/>
    <w:qFormat/>
    <w:pPr>
      <w:spacing w:before="200" w:after="200"/>
    </w:pPr>
    <w:rPr>
      <w:sz w:val="24"/>
      <w:szCs w:val="24"/>
    </w:rPr>
  </w:style>
  <w:style w:type="character" w:styleId="789">
    <w:name w:val="Subtitle Char"/>
    <w:link w:val="788"/>
    <w:uiPriority w:val="11"/>
    <w:rPr>
      <w:sz w:val="24"/>
      <w:szCs w:val="24"/>
    </w:rPr>
  </w:style>
  <w:style w:type="paragraph" w:styleId="790">
    <w:name w:val="Quote"/>
    <w:basedOn w:val="944"/>
    <w:next w:val="944"/>
    <w:link w:val="791"/>
    <w:uiPriority w:val="29"/>
    <w:qFormat/>
    <w:pPr>
      <w:ind w:left="720" w:right="720"/>
    </w:pPr>
    <w:rPr>
      <w:i/>
    </w:rPr>
  </w:style>
  <w:style w:type="character" w:styleId="791">
    <w:name w:val="Quote Char"/>
    <w:link w:val="790"/>
    <w:uiPriority w:val="29"/>
    <w:rPr>
      <w:i/>
    </w:rPr>
  </w:style>
  <w:style w:type="paragraph" w:styleId="792">
    <w:name w:val="Intense Quote"/>
    <w:basedOn w:val="944"/>
    <w:next w:val="94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4"/>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44"/>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44"/>
    <w:next w:val="944"/>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44"/>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44"/>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1"/>
    <w:basedOn w:val="944"/>
    <w:next w:val="944"/>
    <w:uiPriority w:val="39"/>
    <w:unhideWhenUsed/>
    <w:pPr>
      <w:ind w:left="0" w:right="0" w:firstLine="0"/>
      <w:spacing w:after="57"/>
    </w:pPr>
  </w:style>
  <w:style w:type="paragraph" w:styleId="934">
    <w:name w:val="toc 2"/>
    <w:basedOn w:val="944"/>
    <w:next w:val="944"/>
    <w:uiPriority w:val="39"/>
    <w:unhideWhenUsed/>
    <w:pPr>
      <w:ind w:left="283" w:right="0" w:firstLine="0"/>
      <w:spacing w:after="57"/>
    </w:p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44"/>
    <w:link w:val="944"/>
    <w:qFormat/>
    <w:pPr>
      <w:jc w:val="both"/>
      <w:widowControl w:val="off"/>
    </w:pPr>
    <w:rPr>
      <w:rFonts w:ascii="Times New Roman" w:hAnsi="Times New Roman"/>
      <w:sz w:val="21"/>
      <w:szCs w:val="21"/>
      <w:lang w:val="en-US" w:eastAsia="zh-CN" w:bidi="ar-SA"/>
    </w:rPr>
  </w:style>
  <w:style w:type="paragraph" w:styleId="945">
    <w:name w:val="标题 1"/>
    <w:basedOn w:val="944"/>
    <w:next w:val="944"/>
    <w:link w:val="957"/>
    <w:qFormat/>
    <w:pPr>
      <w:jc w:val="center"/>
      <w:keepNext/>
      <w:outlineLvl w:val="0"/>
    </w:pPr>
    <w:rPr>
      <w:rFonts w:ascii="楷体_GB2312" w:eastAsia="楷体_GB2312"/>
      <w:sz w:val="28"/>
      <w:szCs w:val="28"/>
    </w:rPr>
  </w:style>
  <w:style w:type="paragraph" w:styleId="946">
    <w:name w:val="标题 2"/>
    <w:basedOn w:val="944"/>
    <w:next w:val="959"/>
    <w:link w:val="958"/>
    <w:qFormat/>
    <w:pPr>
      <w:jc w:val="center"/>
      <w:keepLines/>
      <w:keepNext/>
      <w:spacing w:before="260" w:after="260" w:line="416" w:lineRule="auto"/>
      <w:outlineLvl w:val="1"/>
    </w:pPr>
    <w:rPr>
      <w:rFonts w:ascii="Arial" w:hAnsi="Arial" w:eastAsia="幼圆" w:cs="Arial"/>
      <w:b/>
      <w:bCs/>
      <w:sz w:val="44"/>
      <w:szCs w:val="44"/>
    </w:rPr>
  </w:style>
  <w:style w:type="paragraph" w:styleId="947">
    <w:name w:val="标题 3"/>
    <w:basedOn w:val="944"/>
    <w:next w:val="959"/>
    <w:link w:val="961"/>
    <w:qFormat/>
    <w:pPr>
      <w:keepLines/>
      <w:keepNext/>
      <w:spacing w:before="260" w:after="260" w:line="416" w:lineRule="auto"/>
      <w:outlineLvl w:val="2"/>
    </w:pPr>
    <w:rPr>
      <w:b/>
      <w:bCs/>
      <w:sz w:val="32"/>
      <w:szCs w:val="32"/>
    </w:rPr>
  </w:style>
  <w:style w:type="paragraph" w:styleId="948">
    <w:name w:val="标题 4"/>
    <w:basedOn w:val="944"/>
    <w:next w:val="959"/>
    <w:link w:val="962"/>
    <w:qFormat/>
    <w:pPr>
      <w:keepLines/>
      <w:keepNext/>
      <w:spacing w:before="280" w:after="290" w:line="376" w:lineRule="auto"/>
      <w:outlineLvl w:val="3"/>
    </w:pPr>
    <w:rPr>
      <w:rFonts w:ascii="Arial" w:hAnsi="Arial" w:eastAsia="黑体" w:cs="Arial"/>
      <w:b/>
      <w:bCs/>
      <w:sz w:val="28"/>
      <w:szCs w:val="28"/>
    </w:rPr>
  </w:style>
  <w:style w:type="paragraph" w:styleId="949">
    <w:name w:val="标题 5"/>
    <w:basedOn w:val="944"/>
    <w:next w:val="959"/>
    <w:link w:val="963"/>
    <w:qFormat/>
    <w:pPr>
      <w:keepNext/>
      <w:outlineLvl w:val="4"/>
    </w:pPr>
    <w:rPr>
      <w:rFonts w:ascii="宋体"/>
      <w:color w:val="000000"/>
      <w:sz w:val="28"/>
      <w:szCs w:val="28"/>
    </w:rPr>
  </w:style>
  <w:style w:type="paragraph" w:styleId="950">
    <w:name w:val="标题 6"/>
    <w:basedOn w:val="944"/>
    <w:next w:val="944"/>
    <w:link w:val="964"/>
    <w:qFormat/>
    <w:pPr>
      <w:numPr>
        <w:ilvl w:val="5"/>
        <w:numId w:val="1"/>
      </w:numPr>
      <w:keepLines/>
      <w:keepNext/>
      <w:spacing w:before="240" w:after="64" w:line="320" w:lineRule="auto"/>
      <w:outlineLvl w:val="5"/>
    </w:pPr>
    <w:rPr>
      <w:rFonts w:ascii="Arial" w:hAnsi="Arial" w:eastAsia="黑体"/>
      <w:b/>
      <w:bCs/>
      <w:sz w:val="24"/>
      <w:szCs w:val="24"/>
    </w:rPr>
  </w:style>
  <w:style w:type="paragraph" w:styleId="951">
    <w:name w:val="标题 7"/>
    <w:basedOn w:val="944"/>
    <w:next w:val="944"/>
    <w:link w:val="965"/>
    <w:qFormat/>
    <w:pPr>
      <w:numPr>
        <w:ilvl w:val="6"/>
        <w:numId w:val="1"/>
      </w:numPr>
      <w:keepLines/>
      <w:keepNext/>
      <w:spacing w:before="240" w:after="64" w:line="320" w:lineRule="auto"/>
      <w:outlineLvl w:val="6"/>
    </w:pPr>
    <w:rPr>
      <w:b/>
      <w:bCs/>
      <w:sz w:val="24"/>
      <w:szCs w:val="24"/>
    </w:rPr>
  </w:style>
  <w:style w:type="paragraph" w:styleId="952">
    <w:name w:val="标题 8"/>
    <w:basedOn w:val="944"/>
    <w:next w:val="944"/>
    <w:link w:val="966"/>
    <w:qFormat/>
    <w:pPr>
      <w:numPr>
        <w:ilvl w:val="7"/>
        <w:numId w:val="1"/>
      </w:numPr>
      <w:keepLines/>
      <w:keepNext/>
      <w:spacing w:before="240" w:after="64" w:line="320" w:lineRule="auto"/>
      <w:outlineLvl w:val="7"/>
    </w:pPr>
    <w:rPr>
      <w:rFonts w:ascii="Arial" w:hAnsi="Arial" w:eastAsia="黑体"/>
      <w:sz w:val="24"/>
      <w:szCs w:val="24"/>
    </w:rPr>
  </w:style>
  <w:style w:type="paragraph" w:styleId="953">
    <w:name w:val="标题 9"/>
    <w:basedOn w:val="944"/>
    <w:next w:val="944"/>
    <w:link w:val="967"/>
    <w:qFormat/>
    <w:pPr>
      <w:numPr>
        <w:ilvl w:val="8"/>
        <w:numId w:val="1"/>
      </w:numPr>
      <w:keepLines/>
      <w:keepNext/>
      <w:spacing w:before="240" w:after="64" w:line="320" w:lineRule="auto"/>
      <w:outlineLvl w:val="8"/>
    </w:pPr>
    <w:rPr>
      <w:rFonts w:ascii="Arial" w:hAnsi="Arial" w:eastAsia="黑体"/>
    </w:rPr>
  </w:style>
  <w:style w:type="character" w:styleId="954">
    <w:name w:val="默认段落字体"/>
    <w:next w:val="954"/>
    <w:link w:val="944"/>
    <w:uiPriority w:val="1"/>
    <w:unhideWhenUsed/>
  </w:style>
  <w:style w:type="table" w:styleId="955">
    <w:name w:val="普通表格"/>
    <w:next w:val="955"/>
    <w:link w:val="944"/>
    <w:uiPriority w:val="99"/>
    <w:unhideWhenUsed/>
    <w:tblPr/>
  </w:style>
  <w:style w:type="numbering" w:styleId="956">
    <w:name w:val="无列表"/>
    <w:next w:val="956"/>
    <w:link w:val="944"/>
    <w:uiPriority w:val="99"/>
    <w:semiHidden/>
    <w:unhideWhenUsed/>
  </w:style>
  <w:style w:type="character" w:styleId="957">
    <w:name w:val="标题 1 Char"/>
    <w:next w:val="957"/>
    <w:link w:val="945"/>
    <w:rPr>
      <w:rFonts w:ascii="楷体_GB2312" w:hAnsi="Times New Roman" w:eastAsia="楷体_GB2312" w:cs="Times New Roman"/>
      <w:sz w:val="28"/>
      <w:szCs w:val="28"/>
    </w:rPr>
  </w:style>
  <w:style w:type="character" w:styleId="958">
    <w:name w:val="标题 2 Char"/>
    <w:next w:val="958"/>
    <w:link w:val="946"/>
    <w:rPr>
      <w:rFonts w:ascii="Arial" w:hAnsi="Arial" w:eastAsia="幼圆" w:cs="Arial"/>
      <w:b/>
      <w:bCs/>
      <w:sz w:val="44"/>
      <w:szCs w:val="44"/>
    </w:rPr>
  </w:style>
  <w:style w:type="paragraph" w:styleId="959">
    <w:name w:val="正文缩进"/>
    <w:basedOn w:val="944"/>
    <w:next w:val="959"/>
    <w:link w:val="960"/>
    <w:pPr>
      <w:ind w:firstLine="420"/>
    </w:pPr>
  </w:style>
  <w:style w:type="character" w:styleId="960">
    <w:name w:val="正文缩进 Char"/>
    <w:next w:val="960"/>
    <w:link w:val="959"/>
    <w:rPr>
      <w:rFonts w:ascii="Times New Roman" w:hAnsi="Times New Roman" w:eastAsia="宋体" w:cs="Times New Roman"/>
      <w:szCs w:val="21"/>
    </w:rPr>
  </w:style>
  <w:style w:type="character" w:styleId="961">
    <w:name w:val="标题 3 Char"/>
    <w:next w:val="961"/>
    <w:link w:val="947"/>
    <w:rPr>
      <w:rFonts w:ascii="Times New Roman" w:hAnsi="Times New Roman" w:eastAsia="宋体" w:cs="Times New Roman"/>
      <w:b/>
      <w:bCs/>
      <w:sz w:val="32"/>
      <w:szCs w:val="32"/>
    </w:rPr>
  </w:style>
  <w:style w:type="character" w:styleId="962">
    <w:name w:val="标题 4 Char"/>
    <w:next w:val="962"/>
    <w:link w:val="948"/>
    <w:rPr>
      <w:rFonts w:ascii="Arial" w:hAnsi="Arial" w:eastAsia="黑体" w:cs="Arial"/>
      <w:b/>
      <w:bCs/>
      <w:sz w:val="28"/>
      <w:szCs w:val="28"/>
    </w:rPr>
  </w:style>
  <w:style w:type="character" w:styleId="963">
    <w:name w:val="标题 5 Char"/>
    <w:next w:val="963"/>
    <w:link w:val="949"/>
    <w:rPr>
      <w:rFonts w:ascii="宋体" w:hAnsi="Times New Roman" w:eastAsia="宋体" w:cs="Times New Roman"/>
      <w:color w:val="000000"/>
      <w:sz w:val="28"/>
      <w:szCs w:val="28"/>
    </w:rPr>
  </w:style>
  <w:style w:type="character" w:styleId="964">
    <w:name w:val="标题 6 Char"/>
    <w:next w:val="964"/>
    <w:link w:val="950"/>
    <w:rPr>
      <w:rFonts w:ascii="Arial" w:hAnsi="Arial" w:eastAsia="黑体" w:cs="Times New Roman"/>
      <w:b/>
      <w:bCs/>
      <w:sz w:val="24"/>
      <w:szCs w:val="24"/>
    </w:rPr>
  </w:style>
  <w:style w:type="character" w:styleId="965">
    <w:name w:val="标题 7 Char"/>
    <w:next w:val="965"/>
    <w:link w:val="951"/>
    <w:rPr>
      <w:rFonts w:ascii="Times New Roman" w:hAnsi="Times New Roman" w:eastAsia="宋体" w:cs="Times New Roman"/>
      <w:b/>
      <w:bCs/>
      <w:sz w:val="24"/>
      <w:szCs w:val="24"/>
    </w:rPr>
  </w:style>
  <w:style w:type="character" w:styleId="966">
    <w:name w:val="标题 8 Char"/>
    <w:next w:val="966"/>
    <w:link w:val="952"/>
    <w:rPr>
      <w:rFonts w:ascii="Arial" w:hAnsi="Arial" w:eastAsia="黑体" w:cs="Times New Roman"/>
      <w:sz w:val="24"/>
      <w:szCs w:val="24"/>
    </w:rPr>
  </w:style>
  <w:style w:type="character" w:styleId="967">
    <w:name w:val="标题 9 Char"/>
    <w:next w:val="967"/>
    <w:link w:val="953"/>
    <w:rPr>
      <w:rFonts w:ascii="Arial" w:hAnsi="Arial" w:eastAsia="黑体" w:cs="Times New Roman"/>
      <w:szCs w:val="21"/>
    </w:rPr>
  </w:style>
  <w:style w:type="paragraph" w:styleId="968">
    <w:name w:val="列表 3"/>
    <w:basedOn w:val="944"/>
    <w:next w:val="968"/>
    <w:link w:val="944"/>
    <w:pPr>
      <w:ind w:left="100" w:hanging="200"/>
    </w:pPr>
  </w:style>
  <w:style w:type="paragraph" w:styleId="969">
    <w:name w:val="目录 7"/>
    <w:basedOn w:val="944"/>
    <w:next w:val="944"/>
    <w:link w:val="944"/>
    <w:semiHidden/>
    <w:pPr>
      <w:ind w:left="1260"/>
      <w:jc w:val="left"/>
    </w:pPr>
  </w:style>
  <w:style w:type="paragraph" w:styleId="970">
    <w:name w:val="文档结构图"/>
    <w:basedOn w:val="944"/>
    <w:next w:val="970"/>
    <w:link w:val="971"/>
    <w:semiHidden/>
    <w:pPr>
      <w:shd w:val="clear" w:color="auto" w:fill="000080"/>
    </w:pPr>
  </w:style>
  <w:style w:type="character" w:styleId="971">
    <w:name w:val="文档结构图 Char"/>
    <w:next w:val="971"/>
    <w:link w:val="970"/>
    <w:semiHidden/>
    <w:rPr>
      <w:rFonts w:ascii="Times New Roman" w:hAnsi="Times New Roman" w:eastAsia="宋体" w:cs="Times New Roman"/>
      <w:szCs w:val="21"/>
      <w:shd w:val="clear" w:color="auto" w:fill="000080"/>
    </w:rPr>
  </w:style>
  <w:style w:type="paragraph" w:styleId="972">
    <w:name w:val="批注文字"/>
    <w:basedOn w:val="944"/>
    <w:next w:val="972"/>
    <w:link w:val="973"/>
    <w:semiHidden/>
    <w:pPr>
      <w:jc w:val="left"/>
    </w:pPr>
  </w:style>
  <w:style w:type="character" w:styleId="973">
    <w:name w:val="批注文字 Char"/>
    <w:next w:val="973"/>
    <w:link w:val="972"/>
    <w:semiHidden/>
    <w:rPr>
      <w:rFonts w:ascii="Times New Roman" w:hAnsi="Times New Roman" w:eastAsia="宋体" w:cs="Times New Roman"/>
      <w:szCs w:val="21"/>
    </w:rPr>
  </w:style>
  <w:style w:type="paragraph" w:styleId="974">
    <w:name w:val="正文文本 3"/>
    <w:basedOn w:val="944"/>
    <w:next w:val="974"/>
    <w:link w:val="975"/>
    <w:rPr>
      <w:rFonts w:ascii="仿宋_GB2312" w:hAnsi="Arial" w:eastAsia="仿宋_GB2312"/>
      <w:sz w:val="32"/>
      <w:szCs w:val="32"/>
    </w:rPr>
  </w:style>
  <w:style w:type="character" w:styleId="975">
    <w:name w:val="正文文本 3 Char"/>
    <w:next w:val="975"/>
    <w:link w:val="974"/>
    <w:rPr>
      <w:rFonts w:ascii="仿宋_GB2312" w:hAnsi="Arial" w:eastAsia="仿宋_GB2312" w:cs="Times New Roman"/>
      <w:sz w:val="32"/>
      <w:szCs w:val="32"/>
    </w:rPr>
  </w:style>
  <w:style w:type="paragraph" w:styleId="976">
    <w:name w:val="正文文本"/>
    <w:basedOn w:val="944"/>
    <w:next w:val="976"/>
    <w:link w:val="977"/>
    <w:rPr>
      <w:rFonts w:ascii="楷体_GB2312" w:hAnsi="Arial" w:eastAsia="楷体_GB2312"/>
      <w:sz w:val="28"/>
      <w:szCs w:val="28"/>
    </w:rPr>
  </w:style>
  <w:style w:type="character" w:styleId="977">
    <w:name w:val="正文文本 Char"/>
    <w:next w:val="977"/>
    <w:link w:val="976"/>
    <w:rPr>
      <w:rFonts w:ascii="楷体_GB2312" w:hAnsi="Arial" w:eastAsia="楷体_GB2312" w:cs="Times New Roman"/>
      <w:sz w:val="28"/>
      <w:szCs w:val="28"/>
    </w:rPr>
  </w:style>
  <w:style w:type="paragraph" w:styleId="978">
    <w:name w:val="正文文本缩进"/>
    <w:basedOn w:val="944"/>
    <w:next w:val="978"/>
    <w:link w:val="979"/>
    <w:pPr>
      <w:ind w:firstLine="645"/>
    </w:pPr>
    <w:rPr>
      <w:rFonts w:ascii="楷体_GB2312" w:eastAsia="楷体_GB2312"/>
      <w:sz w:val="32"/>
      <w:szCs w:val="32"/>
    </w:rPr>
  </w:style>
  <w:style w:type="character" w:styleId="979">
    <w:name w:val="正文文本缩进 Char"/>
    <w:next w:val="979"/>
    <w:link w:val="978"/>
    <w:rPr>
      <w:rFonts w:ascii="楷体_GB2312" w:hAnsi="Times New Roman" w:eastAsia="楷体_GB2312" w:cs="Times New Roman"/>
      <w:sz w:val="32"/>
      <w:szCs w:val="32"/>
    </w:rPr>
  </w:style>
  <w:style w:type="paragraph" w:styleId="980">
    <w:name w:val="列表 2"/>
    <w:basedOn w:val="944"/>
    <w:next w:val="980"/>
    <w:link w:val="944"/>
    <w:pPr>
      <w:ind w:left="100" w:hanging="200"/>
    </w:pPr>
  </w:style>
  <w:style w:type="paragraph" w:styleId="981">
    <w:name w:val="目录 5"/>
    <w:basedOn w:val="944"/>
    <w:next w:val="944"/>
    <w:link w:val="944"/>
    <w:semiHidden/>
    <w:pPr>
      <w:ind w:left="840"/>
      <w:jc w:val="left"/>
    </w:pPr>
  </w:style>
  <w:style w:type="paragraph" w:styleId="982">
    <w:name w:val="目录 3"/>
    <w:basedOn w:val="944"/>
    <w:next w:val="944"/>
    <w:link w:val="944"/>
    <w:semiHidden/>
    <w:pPr>
      <w:ind w:left="420"/>
      <w:jc w:val="left"/>
    </w:pPr>
    <w:rPr>
      <w:i/>
      <w:iCs/>
      <w:szCs w:val="24"/>
    </w:rPr>
  </w:style>
  <w:style w:type="paragraph" w:styleId="983">
    <w:name w:val="纯文本"/>
    <w:basedOn w:val="944"/>
    <w:next w:val="983"/>
    <w:link w:val="984"/>
    <w:rPr>
      <w:rFonts w:ascii="宋体" w:hAnsi="Courier New" w:cs="Courier New"/>
    </w:rPr>
  </w:style>
  <w:style w:type="character" w:styleId="984">
    <w:name w:val="纯文本 Char"/>
    <w:next w:val="984"/>
    <w:link w:val="983"/>
    <w:rPr>
      <w:rFonts w:ascii="宋体" w:hAnsi="Courier New" w:eastAsia="宋体" w:cs="Courier New"/>
      <w:szCs w:val="21"/>
    </w:rPr>
  </w:style>
  <w:style w:type="paragraph" w:styleId="985">
    <w:name w:val="目录 8"/>
    <w:basedOn w:val="944"/>
    <w:next w:val="944"/>
    <w:link w:val="944"/>
    <w:semiHidden/>
    <w:pPr>
      <w:ind w:left="1470"/>
      <w:jc w:val="left"/>
    </w:pPr>
  </w:style>
  <w:style w:type="paragraph" w:styleId="986">
    <w:name w:val="日期"/>
    <w:basedOn w:val="944"/>
    <w:next w:val="944"/>
    <w:link w:val="987"/>
    <w:rPr>
      <w:sz w:val="24"/>
      <w:szCs w:val="24"/>
    </w:rPr>
  </w:style>
  <w:style w:type="character" w:styleId="987">
    <w:name w:val="日期 Char"/>
    <w:next w:val="987"/>
    <w:link w:val="986"/>
    <w:rPr>
      <w:rFonts w:ascii="Times New Roman" w:hAnsi="Times New Roman" w:eastAsia="宋体" w:cs="Times New Roman"/>
      <w:sz w:val="24"/>
      <w:szCs w:val="24"/>
    </w:rPr>
  </w:style>
  <w:style w:type="paragraph" w:styleId="988">
    <w:name w:val="正文文本缩进 2"/>
    <w:basedOn w:val="944"/>
    <w:next w:val="988"/>
    <w:link w:val="989"/>
    <w:pPr>
      <w:ind w:left="630" w:firstLine="645"/>
    </w:pPr>
    <w:rPr>
      <w:rFonts w:ascii="Arial" w:hAnsi="Arial" w:eastAsia="仿宋_GB2312" w:cs="Arial"/>
      <w:sz w:val="32"/>
      <w:szCs w:val="32"/>
    </w:rPr>
  </w:style>
  <w:style w:type="character" w:styleId="989">
    <w:name w:val="正文文本缩进 2 Char"/>
    <w:next w:val="989"/>
    <w:link w:val="988"/>
    <w:rPr>
      <w:rFonts w:ascii="Arial" w:hAnsi="Arial" w:eastAsia="仿宋_GB2312" w:cs="Arial"/>
      <w:sz w:val="32"/>
      <w:szCs w:val="32"/>
    </w:rPr>
  </w:style>
  <w:style w:type="paragraph" w:styleId="990">
    <w:name w:val="批注框文本"/>
    <w:basedOn w:val="944"/>
    <w:next w:val="990"/>
    <w:link w:val="991"/>
    <w:semiHidden/>
    <w:rPr>
      <w:sz w:val="18"/>
      <w:szCs w:val="18"/>
    </w:rPr>
  </w:style>
  <w:style w:type="character" w:styleId="991">
    <w:name w:val="批注框文本 Char"/>
    <w:next w:val="991"/>
    <w:link w:val="990"/>
    <w:semiHidden/>
    <w:rPr>
      <w:rFonts w:ascii="Times New Roman" w:hAnsi="Times New Roman" w:eastAsia="宋体" w:cs="Times New Roman"/>
      <w:sz w:val="18"/>
      <w:szCs w:val="18"/>
    </w:rPr>
  </w:style>
  <w:style w:type="paragraph" w:styleId="992">
    <w:name w:val="页脚"/>
    <w:basedOn w:val="944"/>
    <w:next w:val="992"/>
    <w:link w:val="993"/>
    <w:uiPriority w:val="99"/>
    <w:pPr>
      <w:jc w:val="left"/>
      <w:tabs>
        <w:tab w:val="center" w:pos="4153" w:leader="none"/>
        <w:tab w:val="right" w:pos="8306" w:leader="none"/>
      </w:tabs>
    </w:pPr>
    <w:rPr>
      <w:sz w:val="18"/>
      <w:szCs w:val="18"/>
    </w:rPr>
  </w:style>
  <w:style w:type="character" w:styleId="993">
    <w:name w:val="页脚 Char"/>
    <w:next w:val="993"/>
    <w:link w:val="992"/>
    <w:uiPriority w:val="99"/>
    <w:rPr>
      <w:rFonts w:ascii="Times New Roman" w:hAnsi="Times New Roman" w:eastAsia="宋体" w:cs="Times New Roman"/>
      <w:sz w:val="18"/>
      <w:szCs w:val="18"/>
    </w:rPr>
  </w:style>
  <w:style w:type="paragraph" w:styleId="994">
    <w:name w:val="页眉"/>
    <w:basedOn w:val="944"/>
    <w:next w:val="994"/>
    <w:link w:val="995"/>
    <w:pPr>
      <w:jc w:val="center"/>
      <w:tabs>
        <w:tab w:val="center" w:pos="4153" w:leader="none"/>
        <w:tab w:val="right" w:pos="8306" w:leader="none"/>
      </w:tabs>
      <w:pBdr>
        <w:bottom w:val="single" w:color="000000" w:sz="6" w:space="1"/>
      </w:pBdr>
    </w:pPr>
    <w:rPr>
      <w:sz w:val="18"/>
      <w:szCs w:val="18"/>
    </w:rPr>
  </w:style>
  <w:style w:type="character" w:styleId="995">
    <w:name w:val="页眉 Char"/>
    <w:next w:val="995"/>
    <w:link w:val="994"/>
    <w:rPr>
      <w:rFonts w:ascii="Times New Roman" w:hAnsi="Times New Roman" w:eastAsia="宋体" w:cs="Times New Roman"/>
      <w:sz w:val="18"/>
      <w:szCs w:val="18"/>
    </w:rPr>
  </w:style>
  <w:style w:type="paragraph" w:styleId="996">
    <w:name w:val="目录 1"/>
    <w:basedOn w:val="944"/>
    <w:next w:val="944"/>
    <w:link w:val="944"/>
    <w:semiHidden/>
    <w:pPr>
      <w:jc w:val="left"/>
      <w:spacing w:before="120" w:after="120" w:line="400" w:lineRule="exact"/>
      <w:tabs>
        <w:tab w:val="right" w:pos="8720" w:leader="dot"/>
      </w:tabs>
    </w:pPr>
    <w:rPr>
      <w:rFonts w:ascii="宋体" w:hAnsi="宋体"/>
      <w:caps/>
      <w:sz w:val="24"/>
      <w:szCs w:val="24"/>
    </w:rPr>
  </w:style>
  <w:style w:type="paragraph" w:styleId="997">
    <w:name w:val="目录 4"/>
    <w:basedOn w:val="944"/>
    <w:next w:val="944"/>
    <w:link w:val="944"/>
    <w:semiHidden/>
    <w:pPr>
      <w:ind w:left="630"/>
      <w:jc w:val="left"/>
    </w:pPr>
  </w:style>
  <w:style w:type="paragraph" w:styleId="998">
    <w:name w:val="列表"/>
    <w:basedOn w:val="944"/>
    <w:next w:val="998"/>
    <w:link w:val="944"/>
    <w:pPr>
      <w:ind w:left="200" w:hanging="200"/>
    </w:pPr>
  </w:style>
  <w:style w:type="paragraph" w:styleId="999">
    <w:name w:val="目录 6"/>
    <w:basedOn w:val="944"/>
    <w:next w:val="944"/>
    <w:link w:val="944"/>
    <w:semiHidden/>
    <w:pPr>
      <w:ind w:left="1050"/>
      <w:jc w:val="left"/>
    </w:pPr>
  </w:style>
  <w:style w:type="paragraph" w:styleId="1000">
    <w:name w:val="正文文本缩进 3"/>
    <w:basedOn w:val="944"/>
    <w:next w:val="1000"/>
    <w:link w:val="1001"/>
    <w:pPr>
      <w:ind w:left="645" w:firstLine="645"/>
    </w:pPr>
    <w:rPr>
      <w:rFonts w:ascii="Arial" w:hAnsi="Arial" w:eastAsia="仿宋_GB2312" w:cs="Arial"/>
      <w:color w:val="ffff00"/>
      <w:sz w:val="32"/>
      <w:szCs w:val="32"/>
    </w:rPr>
  </w:style>
  <w:style w:type="character" w:styleId="1001">
    <w:name w:val="正文文本缩进 3 Char"/>
    <w:next w:val="1001"/>
    <w:link w:val="1000"/>
    <w:rPr>
      <w:rFonts w:ascii="Arial" w:hAnsi="Arial" w:eastAsia="仿宋_GB2312" w:cs="Arial"/>
      <w:color w:val="ffff00"/>
      <w:sz w:val="32"/>
      <w:szCs w:val="32"/>
    </w:rPr>
  </w:style>
  <w:style w:type="paragraph" w:styleId="1002">
    <w:name w:val="图表目录"/>
    <w:basedOn w:val="944"/>
    <w:next w:val="944"/>
    <w:link w:val="944"/>
    <w:semiHidden/>
    <w:pPr>
      <w:ind w:left="840" w:hanging="420"/>
    </w:pPr>
  </w:style>
  <w:style w:type="paragraph" w:styleId="1003">
    <w:name w:val="目录 2"/>
    <w:basedOn w:val="944"/>
    <w:next w:val="944"/>
    <w:link w:val="944"/>
    <w:semiHidden/>
    <w:pPr>
      <w:ind w:left="210"/>
      <w:jc w:val="left"/>
    </w:pPr>
    <w:rPr>
      <w:smallCaps/>
      <w:szCs w:val="24"/>
    </w:rPr>
  </w:style>
  <w:style w:type="paragraph" w:styleId="1004">
    <w:name w:val="目录 9"/>
    <w:basedOn w:val="944"/>
    <w:next w:val="944"/>
    <w:link w:val="944"/>
    <w:semiHidden/>
    <w:pPr>
      <w:ind w:left="1680"/>
      <w:jc w:val="left"/>
    </w:pPr>
  </w:style>
  <w:style w:type="paragraph" w:styleId="1005">
    <w:name w:val="正文文本 2"/>
    <w:basedOn w:val="944"/>
    <w:next w:val="1005"/>
    <w:link w:val="1006"/>
    <w:pPr>
      <w:jc w:val="center"/>
      <w:widowControl/>
    </w:pPr>
    <w:rPr>
      <w:rFonts w:ascii="楷体_GB2312" w:eastAsia="楷体_GB2312"/>
      <w:sz w:val="28"/>
      <w:szCs w:val="28"/>
    </w:rPr>
  </w:style>
  <w:style w:type="character" w:styleId="1006">
    <w:name w:val="正文文本 2 Char"/>
    <w:next w:val="1006"/>
    <w:link w:val="1005"/>
    <w:rPr>
      <w:rFonts w:ascii="楷体_GB2312" w:hAnsi="Times New Roman" w:eastAsia="楷体_GB2312" w:cs="Times New Roman"/>
      <w:sz w:val="28"/>
      <w:szCs w:val="28"/>
    </w:rPr>
  </w:style>
  <w:style w:type="paragraph" w:styleId="1007">
    <w:name w:val="普通(网站)"/>
    <w:basedOn w:val="944"/>
    <w:next w:val="1007"/>
    <w:link w:val="944"/>
    <w:uiPriority w:val="99"/>
    <w:pPr>
      <w:jc w:val="left"/>
      <w:spacing w:before="100" w:beforeAutospacing="1" w:after="100" w:afterAutospacing="1"/>
      <w:widowControl/>
    </w:pPr>
    <w:rPr>
      <w:rFonts w:ascii="宋体" w:hAnsi="宋体" w:cs="宋体"/>
      <w:sz w:val="24"/>
      <w:szCs w:val="24"/>
    </w:rPr>
  </w:style>
  <w:style w:type="paragraph" w:styleId="1008">
    <w:name w:val="索引 1"/>
    <w:basedOn w:val="944"/>
    <w:next w:val="944"/>
    <w:link w:val="944"/>
    <w:semiHidden/>
    <w:pPr>
      <w:spacing w:line="240" w:lineRule="atLeast"/>
    </w:pPr>
    <w:rPr>
      <w:b/>
      <w:bCs/>
    </w:rPr>
  </w:style>
  <w:style w:type="paragraph" w:styleId="1009">
    <w:name w:val="批注主题"/>
    <w:basedOn w:val="972"/>
    <w:next w:val="972"/>
    <w:link w:val="1010"/>
    <w:semiHidden/>
    <w:rPr>
      <w:b/>
      <w:bCs/>
    </w:rPr>
  </w:style>
  <w:style w:type="character" w:styleId="1010">
    <w:name w:val="批注主题 Char"/>
    <w:next w:val="1010"/>
    <w:link w:val="1009"/>
    <w:semiHidden/>
    <w:rPr>
      <w:rFonts w:ascii="Times New Roman" w:hAnsi="Times New Roman" w:eastAsia="宋体" w:cs="Times New Roman"/>
      <w:b/>
      <w:bCs/>
      <w:szCs w:val="21"/>
    </w:rPr>
  </w:style>
  <w:style w:type="paragraph" w:styleId="1011">
    <w:name w:val="正文首行缩进"/>
    <w:basedOn w:val="944"/>
    <w:next w:val="1011"/>
    <w:link w:val="1012"/>
    <w:pPr>
      <w:ind w:firstLine="200"/>
      <w:spacing w:line="360" w:lineRule="auto"/>
    </w:pPr>
    <w:rPr>
      <w:rFonts w:ascii="仿宋_GB2312" w:eastAsia="仿宋_GB2312"/>
      <w:sz w:val="30"/>
      <w:szCs w:val="30"/>
    </w:rPr>
  </w:style>
  <w:style w:type="character" w:styleId="1012">
    <w:name w:val="正文首行缩进 Char"/>
    <w:next w:val="1012"/>
    <w:link w:val="1011"/>
    <w:rPr>
      <w:rFonts w:ascii="仿宋_GB2312" w:hAnsi="Times New Roman" w:eastAsia="仿宋_GB2312" w:cs="Times New Roman"/>
      <w:sz w:val="30"/>
      <w:szCs w:val="30"/>
    </w:rPr>
  </w:style>
  <w:style w:type="paragraph" w:styleId="1013">
    <w:name w:val="正文首行缩进 2"/>
    <w:basedOn w:val="978"/>
    <w:next w:val="1013"/>
    <w:link w:val="1014"/>
    <w:pPr>
      <w:ind w:firstLine="420"/>
      <w:spacing w:line="360" w:lineRule="auto"/>
    </w:pPr>
    <w:rPr>
      <w:rFonts w:ascii="宋体" w:hAnsi="宋体" w:eastAsia="宋体"/>
      <w:sz w:val="21"/>
      <w:szCs w:val="20"/>
    </w:rPr>
  </w:style>
  <w:style w:type="character" w:styleId="1014">
    <w:name w:val="正文首行缩进 2 Char"/>
    <w:next w:val="1014"/>
    <w:link w:val="1013"/>
    <w:rPr>
      <w:rFonts w:ascii="宋体" w:hAnsi="宋体" w:eastAsia="宋体" w:cs="Times New Roman"/>
      <w:sz w:val="32"/>
      <w:szCs w:val="20"/>
    </w:rPr>
  </w:style>
  <w:style w:type="table" w:styleId="1015">
    <w:name w:val="网格型"/>
    <w:basedOn w:val="955"/>
    <w:next w:val="1015"/>
    <w:link w:val="944"/>
    <w:pPr>
      <w:jc w:val="both"/>
      <w:widowControl w:val="off"/>
    </w:pPr>
    <w:rPr>
      <w:rFonts w:ascii="Times New Roman" w:hAnsi="Times New Roman" w:eastAsia="宋体" w:cs="Times New Roman"/>
      <w:sz w:val="20"/>
      <w:szCs w:val="20"/>
    </w:rPr>
    <w:tblPr/>
  </w:style>
  <w:style w:type="character" w:styleId="1016">
    <w:name w:val="要点"/>
    <w:next w:val="1016"/>
    <w:link w:val="944"/>
    <w:qFormat/>
    <w:rPr>
      <w:b/>
      <w:bCs/>
    </w:rPr>
  </w:style>
  <w:style w:type="character" w:styleId="1017">
    <w:name w:val="页码"/>
    <w:next w:val="1017"/>
    <w:link w:val="944"/>
  </w:style>
  <w:style w:type="character" w:styleId="1018">
    <w:name w:val="访问过的超链接"/>
    <w:next w:val="1018"/>
    <w:link w:val="944"/>
    <w:rPr>
      <w:color w:val="800080"/>
      <w:u w:val="single"/>
    </w:rPr>
  </w:style>
  <w:style w:type="character" w:styleId="1019">
    <w:name w:val="强调"/>
    <w:next w:val="1019"/>
    <w:link w:val="944"/>
    <w:qFormat/>
    <w:rPr>
      <w:i/>
    </w:rPr>
  </w:style>
  <w:style w:type="character" w:styleId="1020">
    <w:name w:val="超链接"/>
    <w:next w:val="1020"/>
    <w:link w:val="944"/>
    <w:rPr>
      <w:color w:val="0000ff"/>
      <w:u w:val="single"/>
    </w:rPr>
  </w:style>
  <w:style w:type="character" w:styleId="1021">
    <w:name w:val="批注引用"/>
    <w:next w:val="1021"/>
    <w:link w:val="944"/>
    <w:uiPriority w:val="99"/>
    <w:semiHidden/>
    <w:qFormat/>
    <w:rPr>
      <w:sz w:val="21"/>
      <w:szCs w:val="21"/>
    </w:rPr>
  </w:style>
  <w:style w:type="character" w:styleId="1022">
    <w:name w:val="font5 Char"/>
    <w:next w:val="1022"/>
    <w:link w:val="944"/>
    <w:rPr>
      <w:rFonts w:ascii="宋体" w:hAnsi="宋体" w:eastAsia="宋体"/>
      <w:sz w:val="28"/>
      <w:szCs w:val="28"/>
      <w:lang w:val="en-US" w:eastAsia="zh-CN" w:bidi="ar-SA"/>
    </w:rPr>
  </w:style>
  <w:style w:type="character" w:styleId="1023">
    <w:name w:val="二级目录 Char"/>
    <w:next w:val="1023"/>
    <w:link w:val="1024"/>
    <w:rPr>
      <w:b/>
      <w:sz w:val="30"/>
      <w:szCs w:val="28"/>
    </w:rPr>
  </w:style>
  <w:style w:type="paragraph" w:styleId="1024">
    <w:name w:val="二级目录"/>
    <w:next w:val="944"/>
    <w:link w:val="1023"/>
    <w:pPr>
      <w:numPr>
        <w:ilvl w:val="0"/>
        <w:numId w:val="2"/>
      </w:numPr>
      <w:tabs>
        <w:tab w:val="left" w:pos="907" w:leader="none"/>
        <w:tab w:val="left" w:pos="1145" w:leader="none"/>
      </w:tabs>
      <w:outlineLvl w:val="1"/>
    </w:pPr>
    <w:rPr>
      <w:b/>
      <w:sz w:val="30"/>
      <w:szCs w:val="28"/>
      <w:lang w:val="en-US" w:eastAsia="zh-CN" w:bidi="ar-SA"/>
    </w:rPr>
  </w:style>
  <w:style w:type="character" w:styleId="1025">
    <w:name w:val="列出段落 Char,Bullet List Char,numbered Char,FooterText Char,List Paragraph1 Char,Paragraphe de liste1 Char"/>
    <w:next w:val="1025"/>
    <w:link w:val="1026"/>
    <w:rPr>
      <w:rFonts w:ascii="Calibri" w:hAnsi="Calibri"/>
      <w:sz w:val="24"/>
      <w:szCs w:val="24"/>
      <w:lang w:eastAsia="en-US" w:bidi="en-US"/>
    </w:rPr>
  </w:style>
  <w:style w:type="paragraph" w:styleId="1026">
    <w:name w:val="列出段落1"/>
    <w:basedOn w:val="944"/>
    <w:next w:val="1026"/>
    <w:link w:val="1025"/>
    <w:qFormat/>
    <w:pPr>
      <w:contextualSpacing/>
      <w:ind w:left="720"/>
      <w:jc w:val="left"/>
      <w:widowControl/>
    </w:pPr>
    <w:rPr>
      <w:rFonts w:ascii="Calibri" w:hAnsi="Calibri" w:eastAsia="宋体" w:cs="Times New Roman"/>
      <w:sz w:val="24"/>
      <w:szCs w:val="24"/>
      <w:lang w:eastAsia="en-US" w:bidi="en-US"/>
    </w:rPr>
  </w:style>
  <w:style w:type="paragraph" w:styleId="1027">
    <w:name w:val="Body Text(ch)"/>
    <w:basedOn w:val="944"/>
    <w:next w:val="976"/>
    <w:link w:val="944"/>
    <w:pPr>
      <w:spacing w:after="120"/>
    </w:pPr>
    <w:rPr>
      <w:rFonts w:ascii="宋体" w:hAnsi="Arial"/>
      <w:bCs/>
      <w:iCs/>
      <w:szCs w:val="24"/>
    </w:rPr>
  </w:style>
  <w:style w:type="paragraph" w:styleId="1028">
    <w:name w:val="xl27"/>
    <w:basedOn w:val="944"/>
    <w:next w:val="1028"/>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name w:val="xl26"/>
    <w:basedOn w:val="944"/>
    <w:next w:val="1029"/>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0">
    <w:name w:val="Char"/>
    <w:basedOn w:val="944"/>
    <w:next w:val="1030"/>
    <w:link w:val="944"/>
    <w:pPr>
      <w:ind w:firstLine="200"/>
      <w:tabs>
        <w:tab w:val="left" w:pos="360" w:leader="none"/>
      </w:tabs>
    </w:pPr>
    <w:rPr>
      <w:sz w:val="28"/>
      <w:szCs w:val="30"/>
    </w:rPr>
  </w:style>
  <w:style w:type="paragraph" w:styleId="1031">
    <w:name w:val=" Char"/>
    <w:basedOn w:val="970"/>
    <w:next w:val="1031"/>
    <w:link w:val="944"/>
    <w:rPr>
      <w:rFonts w:ascii="Tahoma" w:hAnsi="Tahoma"/>
      <w:sz w:val="24"/>
      <w:szCs w:val="24"/>
    </w:rPr>
  </w:style>
  <w:style w:type="paragraph" w:styleId="1032">
    <w:name w:val="普通正文"/>
    <w:basedOn w:val="944"/>
    <w:next w:val="1032"/>
    <w:link w:val="944"/>
    <w:pPr>
      <w:ind w:firstLine="480"/>
      <w:jc w:val="left"/>
      <w:spacing w:before="120" w:after="120" w:line="360" w:lineRule="auto"/>
    </w:pPr>
    <w:rPr>
      <w:rFonts w:ascii="Arial" w:hAnsi="Arial"/>
      <w:sz w:val="24"/>
      <w:szCs w:val="24"/>
    </w:rPr>
  </w:style>
  <w:style w:type="paragraph" w:styleId="1033">
    <w:name w:val="table_lines"/>
    <w:basedOn w:val="944"/>
    <w:next w:val="1033"/>
    <w:link w:val="944"/>
    <w:pPr>
      <w:jc w:val="left"/>
      <w:widowControl/>
    </w:pPr>
    <w:rPr>
      <w:sz w:val="20"/>
      <w:szCs w:val="20"/>
      <w:lang w:val="de-DE" w:eastAsia="de-DE"/>
    </w:rPr>
  </w:style>
  <w:style w:type="paragraph" w:styleId="1034">
    <w:name w:val="附录1"/>
    <w:next w:val="1034"/>
    <w:link w:val="94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5">
    <w:name w:val="font7"/>
    <w:basedOn w:val="944"/>
    <w:next w:val="1035"/>
    <w:link w:val="944"/>
    <w:pPr>
      <w:jc w:val="left"/>
      <w:spacing w:before="100" w:beforeAutospacing="1" w:after="100" w:afterAutospacing="1"/>
      <w:widowControl/>
    </w:pPr>
    <w:rPr>
      <w:rFonts w:hint="eastAsia" w:ascii="宋体" w:hAnsi="宋体"/>
      <w:sz w:val="18"/>
      <w:szCs w:val="18"/>
    </w:rPr>
  </w:style>
  <w:style w:type="paragraph" w:styleId="1036">
    <w:name w:val=" Char Char Char Char"/>
    <w:basedOn w:val="970"/>
    <w:next w:val="1036"/>
    <w:link w:val="944"/>
    <w:pPr>
      <w:spacing w:line="360" w:lineRule="auto"/>
    </w:pPr>
    <w:rPr>
      <w:rFonts w:ascii="Tahoma" w:hAnsi="Tahoma"/>
      <w:sz w:val="24"/>
      <w:szCs w:val="24"/>
    </w:rPr>
  </w:style>
  <w:style w:type="paragraph" w:styleId="1037">
    <w:name w:val="列出段落"/>
    <w:basedOn w:val="944"/>
    <w:next w:val="1037"/>
    <w:link w:val="944"/>
    <w:qFormat/>
    <w:pPr>
      <w:contextualSpacing/>
      <w:ind w:left="720"/>
      <w:jc w:val="left"/>
      <w:widowControl/>
    </w:pPr>
    <w:rPr>
      <w:rFonts w:ascii="Calibri" w:hAnsi="Calibri"/>
      <w:sz w:val="24"/>
      <w:szCs w:val="24"/>
      <w:lang w:eastAsia="en-US" w:bidi="en-US"/>
    </w:rPr>
  </w:style>
  <w:style w:type="paragraph" w:styleId="1038">
    <w:name w:val="4"/>
    <w:basedOn w:val="944"/>
    <w:next w:val="1000"/>
    <w:link w:val="944"/>
    <w:pPr>
      <w:ind w:firstLine="420"/>
      <w:spacing w:line="360" w:lineRule="auto"/>
    </w:pPr>
    <w:rPr>
      <w:color w:val="ff0000"/>
      <w:sz w:val="24"/>
      <w:szCs w:val="24"/>
    </w:rPr>
  </w:style>
  <w:style w:type="paragraph" w:styleId="1039">
    <w:name w:val="普通 (Web)"/>
    <w:basedOn w:val="944"/>
    <w:next w:val="1039"/>
    <w:link w:val="944"/>
    <w:pPr>
      <w:jc w:val="left"/>
      <w:spacing w:before="100" w:beforeAutospacing="1" w:after="100" w:afterAutospacing="1"/>
      <w:widowControl/>
    </w:pPr>
    <w:rPr>
      <w:rFonts w:ascii="宋体" w:hAnsi="宋体"/>
      <w:sz w:val="24"/>
      <w:szCs w:val="24"/>
    </w:rPr>
  </w:style>
  <w:style w:type="paragraph" w:styleId="1040">
    <w:name w:val=" Char Char Char Char Char Char Char Char Char Char"/>
    <w:basedOn w:val="944"/>
    <w:next w:val="1040"/>
    <w:link w:val="944"/>
    <w:pPr>
      <w:spacing w:line="360" w:lineRule="auto"/>
    </w:pPr>
    <w:rPr>
      <w:sz w:val="24"/>
      <w:szCs w:val="20"/>
    </w:rPr>
  </w:style>
  <w:style w:type="paragraph" w:styleId="1041">
    <w:name w:val="样式1"/>
    <w:basedOn w:val="944"/>
    <w:next w:val="1041"/>
    <w:link w:val="944"/>
    <w:pPr>
      <w:numPr>
        <w:ilvl w:val="0"/>
        <w:numId w:val="3"/>
      </w:numPr>
      <w:tabs>
        <w:tab w:val="left" w:pos="709" w:leader="none"/>
      </w:tabs>
    </w:pPr>
    <w:rPr>
      <w:rFonts w:ascii="宋体" w:hAnsi="宋体"/>
    </w:rPr>
  </w:style>
  <w:style w:type="paragraph" w:styleId="1042">
    <w:name w:val="font6"/>
    <w:basedOn w:val="944"/>
    <w:next w:val="1042"/>
    <w:link w:val="944"/>
    <w:pPr>
      <w:jc w:val="left"/>
      <w:spacing w:before="100" w:beforeAutospacing="1" w:after="100" w:afterAutospacing="1"/>
      <w:widowControl/>
    </w:pPr>
    <w:rPr>
      <w:rFonts w:hint="eastAsia" w:ascii="宋体" w:hAnsi="宋体"/>
      <w:sz w:val="28"/>
      <w:szCs w:val="28"/>
      <w:u w:val="single"/>
    </w:rPr>
  </w:style>
  <w:style w:type="paragraph" w:styleId="1043">
    <w:name w:val="xl25"/>
    <w:basedOn w:val="944"/>
    <w:next w:val="1043"/>
    <w:link w:val="94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4">
    <w:name w:val="图标"/>
    <w:basedOn w:val="944"/>
    <w:next w:val="944"/>
    <w:link w:val="94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5">
    <w:name w:val="标题3"/>
    <w:basedOn w:val="944"/>
    <w:next w:val="944"/>
    <w:link w:val="944"/>
    <w:pPr>
      <w:ind w:firstLine="624"/>
      <w:spacing w:line="590" w:lineRule="atLeast"/>
    </w:pPr>
    <w:rPr>
      <w:rFonts w:ascii="方正黑体_GBK" w:eastAsia="方正黑体_GBK"/>
      <w:sz w:val="32"/>
      <w:szCs w:val="32"/>
    </w:rPr>
  </w:style>
  <w:style w:type="paragraph" w:styleId="1046">
    <w:name w:val="xl24"/>
    <w:basedOn w:val="944"/>
    <w:next w:val="1046"/>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name w:val="xl29"/>
    <w:basedOn w:val="944"/>
    <w:next w:val="1047"/>
    <w:link w:val="94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8">
    <w:name w:val="Char Char Char Char Char Char Char Char"/>
    <w:basedOn w:val="944"/>
    <w:next w:val="1048"/>
    <w:link w:val="944"/>
    <w:pPr>
      <w:jc w:val="left"/>
      <w:spacing w:after="160" w:line="240" w:lineRule="exact"/>
      <w:widowControl/>
    </w:pPr>
    <w:rPr>
      <w:rFonts w:ascii="Verdana" w:hAnsi="Verdana"/>
      <w:sz w:val="20"/>
      <w:szCs w:val="20"/>
      <w:lang w:eastAsia="en-US"/>
    </w:rPr>
  </w:style>
  <w:style w:type="paragraph" w:styleId="1049">
    <w:name w:val="xl28"/>
    <w:basedOn w:val="944"/>
    <w:next w:val="1049"/>
    <w:link w:val="9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0">
    <w:name w:val=" Char Char Char Char Char Char Char Char"/>
    <w:basedOn w:val="944"/>
    <w:next w:val="1050"/>
    <w:link w:val="944"/>
    <w:pPr>
      <w:jc w:val="left"/>
      <w:spacing w:after="160" w:line="240" w:lineRule="exact"/>
      <w:widowControl/>
    </w:pPr>
    <w:rPr>
      <w:rFonts w:ascii="Verdana" w:hAnsi="Verdana"/>
      <w:sz w:val="20"/>
      <w:szCs w:val="20"/>
      <w:lang w:eastAsia="en-US"/>
    </w:rPr>
  </w:style>
  <w:style w:type="paragraph" w:styleId="1051">
    <w:name w:val="xl30"/>
    <w:basedOn w:val="944"/>
    <w:next w:val="1051"/>
    <w:link w:val="944"/>
    <w:pPr>
      <w:jc w:val="center"/>
      <w:spacing w:before="100" w:beforeAutospacing="1" w:after="100" w:afterAutospacing="1"/>
      <w:widowControl/>
    </w:pPr>
    <w:rPr>
      <w:rFonts w:ascii="宋体" w:hAnsi="宋体"/>
      <w:b/>
      <w:bCs/>
      <w:sz w:val="36"/>
      <w:szCs w:val="36"/>
    </w:rPr>
  </w:style>
  <w:style w:type="paragraph" w:styleId="1052">
    <w:name w:val="Char Char Char Char"/>
    <w:basedOn w:val="970"/>
    <w:next w:val="1052"/>
    <w:link w:val="944"/>
    <w:pPr>
      <w:spacing w:line="360" w:lineRule="auto"/>
    </w:pPr>
    <w:rPr>
      <w:rFonts w:ascii="Tahoma" w:hAnsi="Tahoma"/>
      <w:sz w:val="24"/>
      <w:szCs w:val="24"/>
    </w:rPr>
  </w:style>
  <w:style w:type="paragraph" w:styleId="1053">
    <w:name w:val="table_1stline"/>
    <w:basedOn w:val="944"/>
    <w:next w:val="1053"/>
    <w:link w:val="944"/>
    <w:pPr>
      <w:jc w:val="left"/>
      <w:spacing w:before="120"/>
      <w:widowControl/>
    </w:pPr>
    <w:rPr>
      <w:bCs/>
      <w:sz w:val="20"/>
      <w:szCs w:val="20"/>
      <w:lang w:val="de-DE" w:eastAsia="de-DE"/>
    </w:rPr>
  </w:style>
  <w:style w:type="paragraph" w:styleId="1054">
    <w:name w:val="font5"/>
    <w:basedOn w:val="944"/>
    <w:next w:val="1054"/>
    <w:link w:val="944"/>
    <w:pPr>
      <w:jc w:val="left"/>
      <w:spacing w:before="100" w:beforeAutospacing="1" w:after="100" w:afterAutospacing="1"/>
      <w:widowControl/>
    </w:pPr>
    <w:rPr>
      <w:rFonts w:hint="eastAsia" w:ascii="宋体" w:hAnsi="宋体"/>
      <w:sz w:val="28"/>
      <w:szCs w:val="28"/>
    </w:rPr>
  </w:style>
  <w:style w:type="paragraph" w:styleId="1055">
    <w:name w:val="标题1"/>
    <w:basedOn w:val="944"/>
    <w:next w:val="944"/>
    <w:link w:val="94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6">
    <w:name w:val="修订"/>
    <w:next w:val="1056"/>
    <w:link w:val="944"/>
    <w:uiPriority w:val="99"/>
    <w:semiHidden/>
    <w:rPr>
      <w:rFonts w:ascii="Times New Roman" w:hAnsi="Times New Roman"/>
      <w:sz w:val="21"/>
      <w:szCs w:val="21"/>
      <w:lang w:val="en-US" w:eastAsia="zh-CN" w:bidi="ar-SA"/>
    </w:rPr>
  </w:style>
  <w:style w:type="paragraph" w:styleId="1057">
    <w:name w:val="无间隔"/>
    <w:next w:val="1057"/>
    <w:link w:val="944"/>
    <w:uiPriority w:val="99"/>
    <w:qFormat/>
    <w:pPr>
      <w:jc w:val="both"/>
      <w:widowControl w:val="off"/>
    </w:pPr>
    <w:rPr>
      <w:rFonts w:ascii="Times New Roman" w:hAnsi="Times New Roman"/>
      <w:sz w:val="21"/>
      <w:szCs w:val="21"/>
      <w:lang w:val="en-US" w:eastAsia="zh-CN" w:bidi="ar-SA"/>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张文怡</cp:lastModifiedBy>
  <cp:revision>11</cp:revision>
  <dcterms:created xsi:type="dcterms:W3CDTF">2026-09-15T03:15:00Z</dcterms:created>
  <dcterms:modified xsi:type="dcterms:W3CDTF">2026-09-15T08:31:04Z</dcterms:modified>
  <cp:version>917504</cp:version>
</cp:coreProperties>
</file>