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713"/>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713"/>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3"/>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3"/>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3"/>
        <w:spacing w:before="120" w:beforeAutospacing="0" w:after="120" w:afterAutospacing="0" w:line="360" w:lineRule="auto"/>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xml:space="preserve">项目名称：2026-2027年度全市供水水质检测服务</w:t>
      </w:r>
      <w:r/>
    </w:p>
    <w:p>
      <w:pPr>
        <w:pStyle w:val="713"/>
        <w:jc w:val="both"/>
        <w:spacing w:before="120" w:beforeAutospacing="0" w:after="120" w:afterAutospacing="0" w:line="360" w:lineRule="auto"/>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xml:space="preserve">项目编号：</w:t>
      </w:r>
      <w:r>
        <w:rPr>
          <w:rFonts w:hint="eastAsia" w:ascii="宋体" w:hAnsi="宋体" w:cs="宋体"/>
          <w:b/>
          <w:color w:val="auto"/>
          <w:sz w:val="30"/>
          <w:szCs w:val="30"/>
          <w:highlight w:val="none"/>
          <w:lang w:eastAsia="zh-CN"/>
        </w:rPr>
        <w:t xml:space="preserve">JSZC-320900-HZZZ-G2026-0001</w:t>
      </w:r>
      <w:r>
        <w:rPr>
          <w:rFonts w:hint="eastAsia" w:ascii="宋体" w:hAnsi="宋体" w:eastAsia="宋体" w:cs="宋体"/>
          <w:b/>
          <w:color w:val="auto"/>
          <w:sz w:val="30"/>
          <w:szCs w:val="30"/>
          <w:highlight w:val="none"/>
        </w:rPr>
        <w:t xml:space="preserve"> </w:t>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盐城市住房和城乡建设局</w:t>
      </w:r>
      <w:r/>
    </w:p>
    <w:p>
      <w:pPr>
        <w:jc w:val="center"/>
        <w:spacing w:before="120" w:after="120"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2026年</w:t>
      </w:r>
      <w:r>
        <w:rPr>
          <w:rFonts w:hint="eastAsia" w:ascii="宋体" w:hAnsi="宋体" w:cs="宋体"/>
          <w:bCs/>
          <w:color w:val="auto"/>
          <w:sz w:val="32"/>
          <w:szCs w:val="32"/>
          <w:highlight w:val="none"/>
          <w:lang w:val="en-US" w:eastAsia="zh-CN"/>
        </w:rPr>
        <w:t xml:space="preserve">10</w:t>
      </w:r>
      <w:r>
        <w:rPr>
          <w:rFonts w:hint="eastAsia" w:ascii="宋体" w:hAnsi="宋体" w:eastAsia="宋体" w:cs="宋体"/>
          <w:bCs/>
          <w:color w:val="auto"/>
          <w:sz w:val="32"/>
          <w:szCs w:val="32"/>
          <w:highlight w:val="none"/>
        </w:rPr>
        <w:t xml:space="preserve">月</w:t>
      </w:r>
      <w:r/>
    </w:p>
    <w:p>
      <w:pPr>
        <w:pStyle w:val="713"/>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0" w:name="_Toc513029200"/>
      <w:r/>
      <w:bookmarkStart w:id="1" w:name="_Toc479757206"/>
      <w:r/>
      <w:bookmarkStart w:id="2" w:name="_Toc16938516"/>
      <w:r/>
      <w:bookmarkStart w:id="3" w:name="_Toc120614210"/>
      <w:r/>
      <w:bookmarkStart w:id="4" w:name="_Toc523127445"/>
      <w:r/>
      <w:bookmarkStart w:id="5" w:name="_Toc20823272"/>
      <w:r/>
      <w:r/>
    </w:p>
    <w:p>
      <w:pPr>
        <w:pStyle w:val="713"/>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第一章  招标公告………………………………1</w:t>
      </w:r>
      <w:r/>
    </w:p>
    <w:p>
      <w:pPr>
        <w:pStyle w:val="713"/>
        <w:jc w:val="both"/>
        <w:spacing w:beforeAutospacing="0" w:afterAutospacing="0" w:line="36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第二章  投标人须知……………………………5  </w:t>
      </w:r>
      <w:r/>
    </w:p>
    <w:p>
      <w:pPr>
        <w:pStyle w:val="713"/>
        <w:jc w:val="both"/>
        <w:spacing w:beforeAutospacing="0" w:afterAutospacing="0" w:line="36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第三章  合同条款………………………………</w:t>
      </w:r>
      <w:r>
        <w:rPr>
          <w:rFonts w:hint="eastAsia" w:ascii="宋体" w:hAnsi="宋体" w:eastAsia="宋体" w:cs="宋体"/>
          <w:color w:val="auto"/>
          <w:sz w:val="36"/>
          <w:szCs w:val="36"/>
          <w:highlight w:val="none"/>
          <w:lang w:val="en-US" w:eastAsia="zh-CN"/>
        </w:rPr>
        <w:t xml:space="preserve">19</w:t>
      </w:r>
      <w:r/>
    </w:p>
    <w:p>
      <w:pPr>
        <w:pStyle w:val="713"/>
        <w:jc w:val="both"/>
        <w:spacing w:beforeAutospacing="0" w:afterAutospacing="0" w:line="36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第四章  采购需求………………………………2</w:t>
      </w:r>
      <w:r>
        <w:rPr>
          <w:rFonts w:hint="eastAsia" w:ascii="宋体" w:hAnsi="宋体" w:eastAsia="宋体" w:cs="宋体"/>
          <w:color w:val="auto"/>
          <w:sz w:val="36"/>
          <w:szCs w:val="36"/>
          <w:highlight w:val="none"/>
          <w:lang w:val="en-US" w:eastAsia="zh-CN"/>
        </w:rPr>
        <w:t xml:space="preserve">8</w:t>
      </w:r>
      <w:r/>
    </w:p>
    <w:p>
      <w:pPr>
        <w:pStyle w:val="713"/>
        <w:jc w:val="both"/>
        <w:spacing w:beforeAutospacing="0" w:afterAutospacing="0" w:line="36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第五章  评标方法与评标标准…………………3</w:t>
      </w:r>
      <w:r>
        <w:rPr>
          <w:rFonts w:hint="eastAsia" w:ascii="宋体" w:hAnsi="宋体" w:cs="宋体"/>
          <w:color w:val="auto"/>
          <w:sz w:val="36"/>
          <w:szCs w:val="36"/>
          <w:highlight w:val="none"/>
          <w:lang w:val="en-US" w:eastAsia="zh-CN"/>
        </w:rPr>
        <w:t xml:space="preserve">5</w:t>
      </w:r>
      <w:r/>
    </w:p>
    <w:p>
      <w:pPr>
        <w:pStyle w:val="713"/>
        <w:jc w:val="both"/>
        <w:spacing w:beforeAutospacing="0" w:afterAutospacing="0" w:line="36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第六章  投标文件格式…………………………</w:t>
      </w:r>
      <w:r>
        <w:rPr>
          <w:rFonts w:hint="eastAsia" w:ascii="宋体" w:hAnsi="宋体" w:eastAsia="宋体" w:cs="宋体"/>
          <w:color w:val="auto"/>
          <w:sz w:val="36"/>
          <w:szCs w:val="36"/>
          <w:highlight w:val="none"/>
          <w:lang w:val="en-US" w:eastAsia="zh-CN"/>
        </w:rPr>
        <w:t xml:space="preserve">3</w:t>
      </w:r>
      <w:r>
        <w:rPr>
          <w:rFonts w:hint="eastAsia" w:ascii="宋体" w:hAnsi="宋体" w:cs="宋体"/>
          <w:color w:val="auto"/>
          <w:sz w:val="36"/>
          <w:szCs w:val="36"/>
          <w:highlight w:val="none"/>
          <w:lang w:val="en-US" w:eastAsia="zh-CN"/>
        </w:rPr>
        <w:t xml:space="preserve">9</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sectPr>
          <w:footnotePr/>
          <w:endnotePr/>
          <w:type w:val="nextPage"/>
          <w:pgSz w:w="11906" w:h="16838" w:orient="portrait"/>
          <w:pgMar w:top="1440" w:right="1406" w:bottom="1440" w:left="1406" w:header="851" w:footer="992" w:gutter="0"/>
          <w:cols w:num="1" w:sep="0" w:space="720" w:equalWidth="1"/>
          <w:docGrid w:linePitch="360"/>
        </w:sectPr>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6" w:name="_Toc28359086"/>
      <w:r>
        <w:rPr>
          <w:rFonts w:hint="eastAsia" w:ascii="宋体" w:hAnsi="宋体" w:eastAsia="宋体" w:cs="宋体"/>
          <w:b/>
          <w:bCs/>
          <w:color w:val="auto"/>
          <w:sz w:val="44"/>
          <w:szCs w:val="44"/>
          <w:highlight w:val="none"/>
        </w:rPr>
        <w:t xml:space="preserve">第一章 招标公告</w:t>
      </w:r>
      <w:r/>
    </w:p>
    <w:p>
      <w:pPr>
        <w:pStyle w:val="713"/>
        <w:ind w:firstLine="482"/>
        <w:jc w:val="both"/>
        <w:spacing w:beforeAutospacing="0" w:afterAutospacing="0" w:line="360" w:lineRule="auto"/>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713"/>
        <w:ind w:firstLine="482"/>
        <w:jc w:val="both"/>
        <w:spacing w:beforeAutospacing="0" w:afterAutospacing="0" w:line="360" w:lineRule="auto"/>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rPr>
        <w:t xml:space="preserve">2026-2027年度全市供水水质检测服务</w:t>
      </w:r>
      <w:r>
        <w:rPr>
          <w:rFonts w:hint="eastAsia" w:ascii="宋体" w:hAnsi="宋体" w:eastAsia="宋体" w:cs="宋体"/>
          <w:color w:val="auto"/>
          <w:highlight w:val="none"/>
          <w:u w:val="single"/>
          <w:lang w:val="en-US" w:eastAsia="zh-CN"/>
        </w:rPr>
        <w:t xml:space="preserve">项目</w:t>
      </w:r>
      <w:r>
        <w:rPr>
          <w:rFonts w:hint="eastAsia" w:ascii="宋体" w:hAnsi="宋体" w:cs="宋体"/>
          <w:color w:val="auto"/>
          <w:highlight w:val="none"/>
          <w:u w:val="single"/>
          <w:lang w:eastAsia="zh-CN"/>
        </w:rPr>
        <w:t xml:space="preserve">JSZC-320900-HZZZ-G2026-0001</w:t>
      </w:r>
      <w:r>
        <w:rPr>
          <w:rFonts w:hint="eastAsia" w:ascii="宋体" w:hAnsi="宋体" w:eastAsia="宋体" w:cs="宋体"/>
          <w:color w:val="auto"/>
          <w:highlight w:val="none"/>
        </w:rPr>
        <w:t xml:space="preserve">招标项目的潜在投标人可在</w:t>
      </w:r>
      <w:r>
        <w:rPr>
          <w:rFonts w:hint="eastAsia" w:ascii="宋体" w:hAnsi="宋体" w:eastAsia="宋体" w:cs="宋体"/>
          <w:color w:val="auto"/>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highlight w:val="none"/>
        </w:rPr>
        <w:t xml:space="preserve">，并于</w:t>
      </w:r>
      <w:r>
        <w:rPr>
          <w:rFonts w:hint="eastAsia" w:ascii="宋体" w:hAnsi="宋体" w:eastAsia="宋体" w:cs="宋体"/>
          <w:color w:val="auto"/>
          <w:highlight w:val="none"/>
          <w:u w:val="single"/>
        </w:rPr>
        <w:t xml:space="preserve">2026年</w:t>
      </w:r>
      <w:r>
        <w:rPr>
          <w:rFonts w:hint="eastAsia" w:ascii="宋体" w:hAnsi="宋体" w:cs="宋体"/>
          <w:color w:val="auto"/>
          <w:highlight w:val="none"/>
          <w:u w:val="single"/>
          <w:lang w:val="en-US" w:eastAsia="zh-CN"/>
        </w:rPr>
        <w:t xml:space="preserve">11</w:t>
      </w:r>
      <w:r>
        <w:rPr>
          <w:rFonts w:hint="eastAsia" w:ascii="宋体" w:hAnsi="宋体" w:eastAsia="宋体" w:cs="宋体"/>
          <w:color w:val="auto"/>
          <w:highlight w:val="none"/>
          <w:u w:val="single"/>
        </w:rPr>
        <w:t xml:space="preserve">月</w:t>
      </w:r>
      <w:r>
        <w:rPr>
          <w:rFonts w:hint="eastAsia" w:ascii="宋体" w:hAnsi="宋体" w:cs="宋体"/>
          <w:color w:val="auto"/>
          <w:highlight w:val="none"/>
          <w:u w:val="single"/>
          <w:lang w:val="en-US" w:eastAsia="zh-CN"/>
        </w:rPr>
        <w:t xml:space="preserve">13</w:t>
      </w:r>
      <w:r>
        <w:rPr>
          <w:rFonts w:hint="eastAsia" w:ascii="宋体" w:hAnsi="宋体" w:eastAsia="宋体" w:cs="宋体"/>
          <w:color w:val="auto"/>
          <w:highlight w:val="none"/>
          <w:u w:val="single"/>
        </w:rPr>
        <w:t xml:space="preserve">日9点00分（</w:t>
      </w:r>
      <w:r>
        <w:rPr>
          <w:rFonts w:hint="eastAsia" w:ascii="宋体" w:hAnsi="宋体" w:eastAsia="宋体" w:cs="宋体"/>
          <w:color w:val="auto"/>
          <w:highlight w:val="none"/>
        </w:rPr>
        <w:t xml:space="preserve">北京时间）前递交投标文件。</w:t>
      </w:r>
      <w:r/>
    </w:p>
    <w:p>
      <w:pPr>
        <w:pStyle w:val="713"/>
        <w:ind w:firstLine="498"/>
        <w:jc w:val="both"/>
        <w:keepLines/>
        <w:keepNext/>
        <w:spacing w:beforeAutospacing="0" w:afterAutospacing="0" w:line="360" w:lineRule="auto"/>
        <w:rPr>
          <w:rFonts w:hint="eastAsia" w:ascii="宋体" w:hAnsi="宋体" w:eastAsia="宋体" w:cs="宋体"/>
          <w:color w:val="auto"/>
          <w:highlight w:val="none"/>
        </w:rPr>
      </w:pPr>
      <w:r/>
      <w:bookmarkStart w:id="7" w:name="_Toc38985263"/>
      <w:r/>
      <w:bookmarkStart w:id="8" w:name="_Toc28359079"/>
      <w:r/>
      <w:bookmarkStart w:id="9" w:name="_Hlk24379207"/>
      <w:r/>
      <w:bookmarkStart w:id="10" w:name="_Toc35393790"/>
      <w:r/>
      <w:bookmarkStart w:id="11" w:name="_Toc35393621"/>
      <w:r/>
      <w:bookmarkStart w:id="12" w:name="_Toc28359002"/>
      <w:r>
        <w:rPr>
          <w:rFonts w:hint="eastAsia" w:ascii="宋体" w:hAnsi="宋体" w:eastAsia="宋体" w:cs="宋体"/>
          <w:b/>
          <w:color w:val="auto"/>
          <w:highlight w:val="none"/>
        </w:rPr>
        <w:t xml:space="preserve">一、项目基本情况</w:t>
      </w:r>
      <w:bookmarkEnd w:id="7"/>
      <w:r/>
      <w:bookmarkEnd w:id="8"/>
      <w:r/>
      <w:bookmarkEnd w:id="9"/>
      <w:r/>
      <w:bookmarkEnd w:id="10"/>
      <w:r/>
      <w:bookmarkEnd w:id="11"/>
      <w:r/>
      <w:bookmarkEnd w:id="12"/>
      <w:r/>
      <w:r/>
    </w:p>
    <w:p>
      <w:pPr>
        <w:pStyle w:val="713"/>
        <w:ind w:firstLine="480"/>
        <w:jc w:val="both"/>
        <w:spacing w:beforeAutospacing="0" w:afterAutospacing="0" w:line="360" w:lineRule="auto"/>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 xml:space="preserve">1.项目编号：</w:t>
      </w:r>
      <w:r>
        <w:rPr>
          <w:rFonts w:hint="eastAsia" w:ascii="宋体" w:hAnsi="宋体" w:cs="宋体"/>
          <w:color w:val="auto"/>
          <w:highlight w:val="none"/>
          <w:shd w:val="clear" w:color="auto" w:fill="ffffff"/>
          <w:lang w:eastAsia="zh-CN"/>
        </w:rPr>
        <w:t xml:space="preserve">JSZC-320900-HZZZ-G2026-0001</w:t>
      </w:r>
      <w:r/>
    </w:p>
    <w:p>
      <w:pPr>
        <w:pStyle w:val="713"/>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2.项目名称：2026-2027年度全市供水水质检测服务</w:t>
      </w:r>
      <w:r>
        <w:rPr>
          <w:rFonts w:hint="eastAsia" w:ascii="宋体" w:hAnsi="宋体" w:eastAsia="宋体" w:cs="宋体"/>
          <w:color w:val="auto"/>
          <w:highlight w:val="none"/>
          <w:lang w:val="en-US" w:eastAsia="zh-CN"/>
        </w:rPr>
        <w:t xml:space="preserve">项目</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3.采购方式：公开招标</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4.预算金额：115</w:t>
      </w:r>
      <w:r>
        <w:rPr>
          <w:rFonts w:hint="eastAsia" w:ascii="宋体" w:hAnsi="宋体" w:eastAsia="宋体" w:cs="宋体"/>
          <w:color w:val="auto"/>
          <w:highlight w:val="none"/>
          <w:lang w:val="en-US" w:eastAsia="zh-CN"/>
        </w:rPr>
        <w:t xml:space="preserve">.00</w:t>
      </w:r>
      <w:r>
        <w:rPr>
          <w:rFonts w:hint="eastAsia" w:ascii="宋体" w:hAnsi="宋体" w:eastAsia="宋体" w:cs="宋体"/>
          <w:color w:val="auto"/>
          <w:highlight w:val="none"/>
        </w:rPr>
        <w:t xml:space="preserve">万元</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5.最高限价：</w:t>
      </w:r>
      <w:r>
        <w:rPr>
          <w:rFonts w:hint="eastAsia" w:ascii="宋体" w:hAnsi="宋体" w:eastAsia="宋体" w:cs="宋体"/>
          <w:color w:val="auto"/>
          <w:highlight w:val="none"/>
        </w:rPr>
        <w:t xml:space="preserve">115</w:t>
      </w:r>
      <w:r>
        <w:rPr>
          <w:rFonts w:hint="eastAsia" w:ascii="宋体" w:hAnsi="宋体" w:eastAsia="宋体" w:cs="宋体"/>
          <w:color w:val="auto"/>
          <w:highlight w:val="none"/>
          <w:lang w:val="en-US" w:eastAsia="zh-CN"/>
        </w:rPr>
        <w:t xml:space="preserve">.00</w:t>
      </w:r>
      <w:r>
        <w:rPr>
          <w:rFonts w:hint="eastAsia" w:ascii="宋体" w:hAnsi="宋体" w:eastAsia="宋体" w:cs="宋体"/>
          <w:color w:val="auto"/>
          <w:highlight w:val="none"/>
        </w:rPr>
        <w:t xml:space="preserve">万元</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6.采购需求（简介）：</w:t>
      </w:r>
      <w:r>
        <w:rPr>
          <w:rStyle w:val="897"/>
          <w:rFonts w:hint="eastAsia" w:ascii="宋体" w:hAnsi="宋体" w:eastAsia="宋体" w:cs="宋体"/>
          <w:bCs/>
          <w:color w:val="auto"/>
          <w:highlight w:val="none"/>
        </w:rPr>
        <w:t xml:space="preserve">按规定频率对盐城市水源水、出厂水、管网水、管网末梢水、二次供水进行水质的检测，出具相应的检测报告，并提供相关技术服务</w:t>
      </w:r>
      <w:r>
        <w:rPr>
          <w:rStyle w:val="897"/>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（详细内容见本招标文件第四章）</w:t>
      </w:r>
      <w:r/>
    </w:p>
    <w:p>
      <w:pPr>
        <w:ind w:firstLine="480"/>
        <w:spacing w:line="360" w:lineRule="auto"/>
        <w:rPr>
          <w:rStyle w:val="897"/>
          <w:rFonts w:hint="eastAsia" w:ascii="宋体" w:hAnsi="宋体" w:eastAsia="宋体" w:cs="宋体"/>
          <w:color w:val="auto"/>
          <w:sz w:val="24"/>
          <w:highlight w:val="none"/>
        </w:rPr>
      </w:pPr>
      <w:r/>
      <w:bookmarkStart w:id="13" w:name="_Toc28359003"/>
      <w:r/>
      <w:bookmarkStart w:id="14" w:name="_Toc35393791"/>
      <w:r/>
      <w:bookmarkStart w:id="15" w:name="_Toc28359080"/>
      <w:r/>
      <w:bookmarkStart w:id="16" w:name="_Toc35393622"/>
      <w:r/>
      <w:bookmarkStart w:id="17" w:name="_Toc38985264"/>
      <w:r>
        <w:rPr>
          <w:rFonts w:hint="eastAsia" w:ascii="宋体" w:hAnsi="宋体" w:eastAsia="宋体" w:cs="宋体"/>
          <w:color w:val="auto"/>
          <w:sz w:val="24"/>
          <w:szCs w:val="20"/>
          <w:highlight w:val="none"/>
        </w:rPr>
        <w:t xml:space="preserve">7.合同履行期</w:t>
      </w:r>
      <w:r>
        <w:rPr>
          <w:rStyle w:val="897"/>
          <w:rFonts w:hint="eastAsia" w:ascii="宋体" w:hAnsi="宋体" w:eastAsia="宋体" w:cs="宋体"/>
          <w:color w:val="auto"/>
          <w:sz w:val="24"/>
          <w:highlight w:val="none"/>
        </w:rPr>
        <w:t xml:space="preserve">限：</w:t>
      </w:r>
      <w:bookmarkStart w:id="18" w:name="OLE_LINK41"/>
      <w:r/>
      <w:bookmarkStart w:id="19" w:name="OLE_LINK40"/>
      <w:r/>
      <w:bookmarkStart w:id="20" w:name="OLE_LINK62"/>
      <w:r>
        <w:rPr>
          <w:rStyle w:val="897"/>
          <w:rFonts w:hint="eastAsia" w:ascii="宋体" w:hAnsi="宋体" w:eastAsia="宋体" w:cs="宋体"/>
          <w:color w:val="auto"/>
          <w:sz w:val="24"/>
          <w:highlight w:val="none"/>
        </w:rPr>
        <w:t xml:space="preserve">从合同签订之日次月起</w:t>
      </w:r>
      <w:r>
        <w:rPr>
          <w:rStyle w:val="897"/>
          <w:rFonts w:hint="eastAsia" w:ascii="宋体" w:hAnsi="宋体" w:eastAsia="宋体" w:cs="宋体"/>
          <w:color w:val="auto"/>
          <w:sz w:val="24"/>
          <w:highlight w:val="none"/>
          <w:lang w:eastAsia="zh-CN"/>
        </w:rPr>
        <w:t xml:space="preserve">，</w:t>
      </w:r>
      <w:r>
        <w:rPr>
          <w:rStyle w:val="897"/>
          <w:rFonts w:hint="eastAsia" w:ascii="宋体" w:hAnsi="宋体" w:eastAsia="宋体" w:cs="宋体"/>
          <w:color w:val="auto"/>
          <w:sz w:val="24"/>
          <w:highlight w:val="none"/>
        </w:rPr>
        <w:t xml:space="preserve">12个月。</w:t>
      </w:r>
      <w:bookmarkEnd w:id="18"/>
      <w:r/>
      <w:bookmarkEnd w:id="19"/>
      <w:r/>
      <w:bookmarkEnd w:id="20"/>
      <w:r/>
      <w:r/>
    </w:p>
    <w:p>
      <w:pPr>
        <w:pStyle w:val="713"/>
        <w:ind w:firstLine="498"/>
        <w:jc w:val="both"/>
        <w:keepLines/>
        <w:keepNext/>
        <w:spacing w:beforeAutospacing="0" w:afterAutospacing="0"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8.本项目（是/否）接受联合体投标：否。</w:t>
      </w:r>
      <w:r/>
    </w:p>
    <w:p>
      <w:pPr>
        <w:pStyle w:val="713"/>
        <w:ind w:firstLine="498"/>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二、</w:t>
      </w:r>
      <w:r>
        <w:rPr>
          <w:rFonts w:hint="eastAsia" w:ascii="宋体" w:hAnsi="宋体" w:eastAsia="宋体" w:cs="宋体"/>
          <w:b/>
          <w:color w:val="auto"/>
          <w:highlight w:val="none"/>
          <w:lang w:val="en-US" w:eastAsia="zh-CN"/>
        </w:rPr>
        <w:t xml:space="preserve">投标人</w:t>
      </w:r>
      <w:r>
        <w:rPr>
          <w:rFonts w:hint="eastAsia" w:ascii="宋体" w:hAnsi="宋体" w:eastAsia="宋体" w:cs="宋体"/>
          <w:b/>
          <w:color w:val="auto"/>
          <w:highlight w:val="none"/>
        </w:rPr>
        <w:t xml:space="preserve">的资格要求：</w:t>
      </w:r>
      <w:bookmarkEnd w:id="13"/>
      <w:r/>
      <w:bookmarkEnd w:id="14"/>
      <w:r/>
      <w:bookmarkEnd w:id="15"/>
      <w:r/>
      <w:bookmarkEnd w:id="16"/>
      <w:r/>
      <w:bookmarkEnd w:id="17"/>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713"/>
        <w:ind w:firstLine="48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1.1法人或者其他组织的营业执照等证明文件，自然人的身份证明；</w:t>
      </w:r>
      <w:r/>
    </w:p>
    <w:p>
      <w:pPr>
        <w:pStyle w:val="713"/>
        <w:ind w:firstLine="48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1.2上一年度的财务状况报告（成立不满一年无需提供）；</w:t>
      </w:r>
      <w:r/>
    </w:p>
    <w:p>
      <w:pPr>
        <w:pStyle w:val="713"/>
        <w:ind w:firstLine="48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713"/>
        <w:ind w:firstLine="48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3"/>
        <w:ind w:firstLine="48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713"/>
        <w:ind w:firstLine="48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713"/>
        <w:ind w:firstLine="48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3"/>
        <w:ind w:firstLine="48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b/>
          <w:color w:val="auto"/>
          <w:highlight w:val="none"/>
        </w:rPr>
      </w:pPr>
      <w:r>
        <w:rPr>
          <w:rFonts w:hint="eastAsia" w:ascii="宋体" w:hAnsi="宋体" w:eastAsia="宋体" w:cs="宋体"/>
          <w:color w:val="auto"/>
          <w:sz w:val="24"/>
          <w:highlight w:val="none"/>
        </w:rPr>
        <w:t xml:space="preserve">2.落实政府采购政策需满足的资格要求：本项目不专门面向中小企业，对小微企业报价给予20%扣除政策。</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3.本项目的特定资格要求：</w:t>
      </w:r>
      <w:r/>
    </w:p>
    <w:p>
      <w:pPr>
        <w:pStyle w:val="713"/>
        <w:ind w:firstLine="480"/>
        <w:jc w:val="both"/>
        <w:spacing w:beforeAutospacing="0" w:afterAutospacing="0" w:line="360" w:lineRule="auto"/>
        <w:widowControl/>
        <w:rPr>
          <w:rFonts w:hint="eastAsia" w:ascii="宋体" w:hAnsi="宋体" w:eastAsia="宋体" w:cs="宋体"/>
          <w:b/>
          <w:color w:val="auto"/>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应通过CMA计量认证，批准的检验检测能力范围须涵盖《地表水环境质量标准》（GB 3838-2002）和《生活饮用水卫生标准》（GB 5749-2022）所规定的全部水质指标，不得有缺项，所有检测项目所采用的检验方法须为现行有效的国家标准、行业标准方法（含GB/T 5750系列、HJ系列等），且方法适用范围应覆盖相应检测对象（地表水或生活饮用水）</w:t>
      </w:r>
      <w:r>
        <w:rPr>
          <w:rFonts w:hint="eastAsia" w:ascii="宋体" w:hAnsi="宋体" w:cs="宋体"/>
          <w:color w:val="auto"/>
          <w:sz w:val="24"/>
          <w:szCs w:val="24"/>
          <w:highlight w:val="none"/>
          <w:lang w:val="en-US" w:eastAsia="zh-CN"/>
        </w:rPr>
        <w:t xml:space="preserve">，须同步提供</w:t>
      </w:r>
      <w:r>
        <w:rPr>
          <w:rFonts w:hint="eastAsia" w:ascii="宋体" w:hAnsi="宋体" w:eastAsia="宋体" w:cs="宋体"/>
          <w:color w:val="auto"/>
          <w:highlight w:val="none"/>
        </w:rPr>
        <w:t xml:space="preserve">证书及</w:t>
      </w:r>
      <w:r>
        <w:rPr>
          <w:rFonts w:hint="eastAsia" w:ascii="宋体" w:hAnsi="宋体" w:eastAsia="宋体" w:cs="宋体"/>
          <w:color w:val="auto"/>
          <w:highlight w:val="none"/>
          <w:lang w:val="en-US" w:eastAsia="zh-CN"/>
        </w:rPr>
        <w:t xml:space="preserve">证书</w:t>
      </w:r>
      <w:r>
        <w:rPr>
          <w:rFonts w:hint="eastAsia" w:ascii="宋体" w:hAnsi="宋体" w:eastAsia="宋体" w:cs="宋体"/>
          <w:color w:val="auto"/>
          <w:highlight w:val="none"/>
        </w:rPr>
        <w:t xml:space="preserve">附表原件扫描件</w:t>
      </w:r>
      <w:r>
        <w:rPr>
          <w:rFonts w:hint="eastAsia" w:ascii="宋体" w:hAnsi="宋体" w:cs="宋体"/>
          <w:color w:val="auto"/>
          <w:highlight w:val="none"/>
          <w:lang w:eastAsia="zh-CN"/>
        </w:rPr>
        <w:t xml:space="preserve">。</w:t>
      </w:r>
      <w:r/>
    </w:p>
    <w:p>
      <w:pPr>
        <w:pStyle w:val="713"/>
        <w:ind w:firstLine="480"/>
        <w:jc w:val="both"/>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b/>
          <w:color w:val="auto"/>
          <w:highlight w:val="none"/>
        </w:rPr>
        <w:t xml:space="preserve">三、获取招标文件</w:t>
      </w:r>
      <w:r/>
    </w:p>
    <w:p>
      <w:pPr>
        <w:pStyle w:val="713"/>
        <w:ind w:firstLine="540"/>
        <w:jc w:val="both"/>
        <w:spacing w:beforeAutospacing="0" w:afterAutospacing="0" w:line="360" w:lineRule="auto"/>
        <w:widowControl/>
        <w:rPr>
          <w:rFonts w:hint="eastAsia" w:ascii="宋体" w:hAnsi="宋体" w:eastAsia="宋体" w:cs="宋体"/>
          <w:color w:val="auto"/>
          <w:highlight w:val="none"/>
        </w:rPr>
      </w:pPr>
      <w:r/>
      <w:bookmarkStart w:id="21" w:name="_Toc35393793"/>
      <w:r/>
      <w:bookmarkStart w:id="22" w:name="_Toc35393624"/>
      <w:r/>
      <w:bookmarkStart w:id="23" w:name="_Toc28359082"/>
      <w:r/>
      <w:bookmarkStart w:id="24" w:name="_Toc38985266"/>
      <w:r/>
      <w:bookmarkStart w:id="25" w:name="_Toc28359005"/>
      <w:r>
        <w:rPr>
          <w:rFonts w:hint="eastAsia" w:ascii="宋体" w:hAnsi="宋体" w:eastAsia="宋体" w:cs="宋体"/>
          <w:color w:val="auto"/>
          <w:highlight w:val="none"/>
        </w:rPr>
        <w:t xml:space="preserve">1.时间：</w:t>
      </w:r>
      <w:bookmarkEnd w:id="21"/>
      <w:r/>
      <w:bookmarkEnd w:id="22"/>
      <w:r/>
      <w:bookmarkEnd w:id="23"/>
      <w:r/>
      <w:bookmarkEnd w:id="24"/>
      <w:r/>
      <w:bookmarkEnd w:id="25"/>
      <w:r>
        <w:rPr>
          <w:rFonts w:hint="eastAsia" w:ascii="宋体" w:hAnsi="宋体" w:eastAsia="宋体" w:cs="宋体"/>
          <w:color w:val="auto"/>
          <w:highlight w:val="none"/>
        </w:rPr>
        <w:t xml:space="preserve">自招标文件公告发布之日起5个工作日</w:t>
      </w:r>
      <w:r/>
    </w:p>
    <w:p>
      <w:pPr>
        <w:pStyle w:val="713"/>
        <w:ind w:firstLine="540"/>
        <w:jc w:val="both"/>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2.地点：“苏采云”系统内免费下载（投标人必须在苏采云系统中获取采购文件，方能参与政府采购项目）</w:t>
      </w:r>
      <w:r/>
    </w:p>
    <w:p>
      <w:pPr>
        <w:pStyle w:val="713"/>
        <w:ind w:firstLine="540"/>
        <w:jc w:val="both"/>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3.方式：本项目采用网上注册登记方式。</w:t>
      </w:r>
      <w:r/>
    </w:p>
    <w:p>
      <w:pPr>
        <w:pStyle w:val="713"/>
        <w:ind w:firstLine="540"/>
        <w:jc w:val="both"/>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4.售价：0元</w:t>
      </w:r>
      <w:r/>
    </w:p>
    <w:p>
      <w:pPr>
        <w:pStyle w:val="713"/>
        <w:ind w:firstLine="498"/>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pStyle w:val="713"/>
        <w:ind w:firstLine="540"/>
        <w:jc w:val="both"/>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1.时间：2026年</w:t>
      </w:r>
      <w:r>
        <w:rPr>
          <w:rFonts w:hint="eastAsia" w:ascii="宋体" w:hAnsi="宋体" w:cs="宋体"/>
          <w:color w:val="auto"/>
          <w:highlight w:val="none"/>
          <w:lang w:val="en-US" w:eastAsia="zh-CN"/>
        </w:rPr>
        <w:t xml:space="preserve">11</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13</w:t>
      </w:r>
      <w:bookmarkStart w:id="190" w:name="_GoBack"/>
      <w:r/>
      <w:bookmarkEnd w:id="190"/>
      <w:r>
        <w:rPr>
          <w:rFonts w:hint="eastAsia" w:ascii="宋体" w:hAnsi="宋体" w:eastAsia="宋体" w:cs="宋体"/>
          <w:color w:val="auto"/>
          <w:highlight w:val="none"/>
        </w:rPr>
        <w:t xml:space="preserve">日09点00分（北京时间）</w:t>
      </w:r>
      <w:r/>
    </w:p>
    <w:p>
      <w:pPr>
        <w:pStyle w:val="713"/>
        <w:ind w:firstLine="540"/>
        <w:jc w:val="both"/>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2.地点：苏采云“不见面”开标大厅</w:t>
      </w:r>
      <w:r/>
    </w:p>
    <w:p>
      <w:pPr>
        <w:pStyle w:val="713"/>
        <w:ind w:firstLine="498"/>
        <w:jc w:val="both"/>
        <w:keepLines/>
        <w:keepNext/>
        <w:spacing w:beforeAutospacing="0" w:afterAutospacing="0" w:line="360" w:lineRule="auto"/>
        <w:rPr>
          <w:rFonts w:hint="eastAsia" w:ascii="宋体" w:hAnsi="宋体" w:eastAsia="宋体" w:cs="宋体"/>
          <w:color w:val="auto"/>
          <w:highlight w:val="none"/>
        </w:rPr>
      </w:pPr>
      <w:r/>
      <w:bookmarkStart w:id="26" w:name="_Toc28359007"/>
      <w:r/>
      <w:bookmarkStart w:id="27" w:name="_Toc35393794"/>
      <w:r/>
      <w:bookmarkStart w:id="28" w:name="_Toc35393625"/>
      <w:r/>
      <w:bookmarkStart w:id="29" w:name="_Toc38985267"/>
      <w:r/>
      <w:bookmarkStart w:id="30" w:name="_Toc28359084"/>
      <w:r>
        <w:rPr>
          <w:rFonts w:hint="eastAsia" w:ascii="宋体" w:hAnsi="宋体" w:eastAsia="宋体" w:cs="宋体"/>
          <w:b/>
          <w:color w:val="auto"/>
          <w:highlight w:val="none"/>
        </w:rPr>
        <w:t xml:space="preserve">五、公告期限</w:t>
      </w:r>
      <w:bookmarkEnd w:id="26"/>
      <w:r/>
      <w:bookmarkEnd w:id="27"/>
      <w:r/>
      <w:bookmarkEnd w:id="28"/>
      <w:r/>
      <w:bookmarkEnd w:id="29"/>
      <w:r/>
      <w:bookmarkEnd w:id="30"/>
      <w:r/>
      <w:r/>
    </w:p>
    <w:p>
      <w:pPr>
        <w:pStyle w:val="713"/>
        <w:ind w:firstLine="560"/>
        <w:jc w:val="both"/>
        <w:spacing w:beforeAutospacing="0" w:afterAutospacing="0" w:line="360" w:lineRule="auto"/>
        <w:widowControl/>
        <w:rPr>
          <w:rFonts w:hint="eastAsia" w:ascii="宋体" w:hAnsi="宋体" w:eastAsia="宋体" w:cs="宋体"/>
          <w:color w:val="auto"/>
          <w:highlight w:val="none"/>
          <w:shd w:val="clear" w:color="auto" w:fill="ffffff"/>
        </w:rPr>
      </w:pPr>
      <w:r/>
      <w:bookmarkStart w:id="31" w:name="_Toc38985268"/>
      <w:r/>
      <w:bookmarkStart w:id="32" w:name="_Toc35393795"/>
      <w:r/>
      <w:bookmarkStart w:id="33" w:name="_Toc35393626"/>
      <w:r>
        <w:rPr>
          <w:rFonts w:hint="eastAsia" w:ascii="宋体" w:hAnsi="宋体" w:eastAsia="宋体" w:cs="宋体"/>
          <w:color w:val="auto"/>
          <w:highlight w:val="none"/>
          <w:shd w:val="clear" w:color="auto" w:fill="ffffff"/>
        </w:rPr>
        <w:t xml:space="preserve">自本公告发布之日起5个工作日。</w:t>
      </w:r>
      <w:bookmarkEnd w:id="31"/>
      <w:r/>
      <w:bookmarkEnd w:id="32"/>
      <w:r/>
      <w:bookmarkEnd w:id="33"/>
      <w:r/>
      <w:r/>
    </w:p>
    <w:p>
      <w:pPr>
        <w:pStyle w:val="713"/>
        <w:ind w:firstLine="498"/>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六、其他补充事宜</w:t>
      </w:r>
      <w:r/>
    </w:p>
    <w:p>
      <w:pPr>
        <w:pStyle w:val="713"/>
        <w:ind w:firstLine="560"/>
        <w:jc w:val="both"/>
        <w:spacing w:beforeAutospacing="0" w:afterAutospacing="0" w:line="360" w:lineRule="auto"/>
        <w:widowControl/>
        <w:rPr>
          <w:rFonts w:hint="eastAsia" w:ascii="宋体" w:hAnsi="宋体" w:eastAsia="宋体" w:cs="宋体"/>
          <w:color w:val="auto"/>
          <w:highlight w:val="none"/>
          <w:shd w:val="clear" w:color="auto" w:fill="ffffff"/>
        </w:rPr>
      </w:pPr>
      <w:r/>
      <w:bookmarkStart w:id="34" w:name="_Toc28359018"/>
      <w:r>
        <w:rPr>
          <w:rFonts w:hint="eastAsia" w:ascii="宋体" w:hAnsi="宋体" w:eastAsia="宋体" w:cs="宋体"/>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713"/>
        <w:ind w:firstLine="560"/>
        <w:jc w:val="both"/>
        <w:spacing w:beforeAutospacing="0" w:afterAutospacing="0"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w:t>
      </w:r>
      <w:r>
        <w:rPr>
          <w:rFonts w:hint="eastAsia" w:ascii="宋体" w:hAnsi="宋体" w:eastAsia="宋体" w:cs="宋体"/>
          <w:color w:val="auto"/>
          <w:szCs w:val="20"/>
          <w:highlight w:val="none"/>
        </w:rPr>
        <w:t xml:space="preserve">，手册下载地址：苏采云系统-右侧消息通知栏</w:t>
      </w:r>
      <w:r>
        <w:rPr>
          <w:rFonts w:hint="eastAsia" w:ascii="宋体" w:hAnsi="宋体" w:eastAsia="宋体" w:cs="宋体"/>
          <w:color w:val="auto"/>
          <w:highlight w:val="none"/>
          <w:shd w:val="clear" w:color="auto" w:fill="ffffff"/>
        </w:rPr>
        <w:t xml:space="preserve">。</w:t>
      </w:r>
      <w:r/>
    </w:p>
    <w:p>
      <w:pPr>
        <w:pStyle w:val="713"/>
        <w:ind w:firstLine="560"/>
        <w:jc w:val="both"/>
        <w:spacing w:beforeAutospacing="0" w:afterAutospacing="0"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 潜在供应商访问电子招标响应交易平台的网络地址和方法：</w:t>
      </w:r>
      <w:r/>
    </w:p>
    <w:p>
      <w:pPr>
        <w:pStyle w:val="713"/>
        <w:ind w:firstLine="560"/>
        <w:jc w:val="both"/>
        <w:spacing w:beforeAutospacing="0" w:afterAutospacing="0"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713"/>
        <w:ind w:firstLine="560"/>
        <w:jc w:val="both"/>
        <w:spacing w:beforeAutospacing="0" w:afterAutospacing="0"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2.2 潜在投标人访问“苏采云”系统方法：江苏省政府采购网首页－“苏采云”链接。</w:t>
      </w:r>
      <w:r/>
    </w:p>
    <w:p>
      <w:pPr>
        <w:pStyle w:val="713"/>
        <w:ind w:firstLine="560"/>
        <w:jc w:val="both"/>
        <w:spacing w:beforeAutospacing="0" w:afterAutospacing="0"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2.3 采购文件（后缀名为“kedt”）、供应商操作手册及政府采购客户端 工具可通过“苏采云”系统相应链接进行下载。</w:t>
      </w:r>
      <w:r/>
    </w:p>
    <w:p>
      <w:pPr>
        <w:pStyle w:val="713"/>
        <w:ind w:firstLine="560"/>
        <w:jc w:val="both"/>
        <w:spacing w:beforeAutospacing="0" w:afterAutospacing="0"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2.4 采购代理机构将数据电文形式的采购文件加载至“苏采云”系统，供潜在供应商下载或者查阅。</w:t>
      </w:r>
      <w:r/>
    </w:p>
    <w:p>
      <w:pPr>
        <w:pStyle w:val="713"/>
        <w:ind w:firstLine="560"/>
        <w:jc w:val="both"/>
        <w:spacing w:beforeAutospacing="0" w:afterAutospacing="0"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2.5 请潜在投标单位提前安装相应的控件（详见《“苏采云”系统供应商操作手册》）并使用谷歌浏览器登录“苏采云”系统参与不见面开评标。</w:t>
      </w:r>
      <w:r/>
    </w:p>
    <w:p>
      <w:pPr>
        <w:pStyle w:val="713"/>
        <w:ind w:firstLine="480"/>
        <w:jc w:val="both"/>
        <w:spacing w:beforeAutospacing="0" w:afterAutospacing="0"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如潜在投标人未按上述要求操作，将自行承担所产生的风险。</w:t>
      </w:r>
      <w:r/>
    </w:p>
    <w:p>
      <w:pPr>
        <w:pStyle w:val="713"/>
        <w:ind w:firstLine="480"/>
        <w:jc w:val="both"/>
        <w:spacing w:beforeAutospacing="0" w:afterAutospacing="0"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3.有关本次招标的事项若存在变动或修改，敬请及时关注采购代理机构在“中国政府采购网”“江苏政府采购网”“盐城市政府采购网”发布的更正公告。</w:t>
      </w:r>
      <w:r/>
    </w:p>
    <w:p>
      <w:pPr>
        <w:pStyle w:val="713"/>
        <w:ind w:firstLine="480"/>
        <w:jc w:val="both"/>
        <w:spacing w:beforeAutospacing="0" w:afterAutospacing="0"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4.本次招标不收取投标保证金，不收取质量保证金。</w:t>
      </w:r>
      <w:r/>
    </w:p>
    <w:p>
      <w:pPr>
        <w:pStyle w:val="676"/>
        <w:ind w:firstLine="480"/>
        <w:jc w:val="both"/>
        <w:spacing w:beforeAutospacing="0" w:afterAutospacing="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七、对本次招标提出询问，请按以下方式联系。</w:t>
      </w:r>
      <w:bookmarkEnd w:id="34"/>
      <w:r/>
      <w:r/>
    </w:p>
    <w:p>
      <w:pPr>
        <w:pStyle w:val="713"/>
        <w:ind w:firstLine="480"/>
        <w:jc w:val="both"/>
        <w:spacing w:beforeAutospacing="0" w:afterAutospacing="0"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1.采购人信息</w:t>
      </w:r>
      <w:r/>
    </w:p>
    <w:p>
      <w:pPr>
        <w:pStyle w:val="713"/>
        <w:ind w:firstLine="480"/>
        <w:jc w:val="both"/>
        <w:spacing w:beforeAutospacing="0" w:afterAutospacing="0"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名    称：盐城市住房和城乡建设局</w:t>
      </w:r>
      <w:r/>
    </w:p>
    <w:p>
      <w:pPr>
        <w:pStyle w:val="713"/>
        <w:ind w:firstLine="480"/>
        <w:jc w:val="both"/>
        <w:spacing w:beforeAutospacing="0" w:afterAutospacing="0"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地    址：盐城市解放南路150号</w:t>
      </w:r>
      <w:r/>
    </w:p>
    <w:p>
      <w:pPr>
        <w:pStyle w:val="713"/>
        <w:ind w:firstLine="480"/>
        <w:jc w:val="both"/>
        <w:spacing w:beforeAutospacing="0" w:afterAutospacing="0" w:line="360" w:lineRule="auto"/>
        <w:widowControl/>
        <w:rPr>
          <w:rFonts w:hint="eastAsia" w:ascii="宋体" w:hAnsi="宋体" w:eastAsia="宋体" w:cs="宋体"/>
          <w:color w:val="auto"/>
          <w:highlight w:val="none"/>
          <w:shd w:val="clear" w:color="auto" w:fill="ffffff"/>
          <w:lang w:val="en-US"/>
        </w:rPr>
      </w:pPr>
      <w:r>
        <w:rPr>
          <w:rFonts w:hint="eastAsia" w:ascii="宋体" w:hAnsi="宋体" w:eastAsia="宋体" w:cs="宋体"/>
          <w:color w:val="auto"/>
          <w:highlight w:val="none"/>
          <w:shd w:val="clear" w:color="auto" w:fill="ffffff"/>
        </w:rPr>
        <w:t xml:space="preserve">联 系 人：</w:t>
      </w:r>
      <w:r>
        <w:rPr>
          <w:rFonts w:hint="eastAsia" w:ascii="宋体" w:hAnsi="宋体" w:eastAsia="宋体" w:cs="宋体"/>
          <w:color w:val="auto"/>
          <w:highlight w:val="none"/>
          <w:shd w:val="clear" w:color="auto" w:fill="ffffff"/>
          <w:lang w:val="en-US" w:eastAsia="zh-CN"/>
        </w:rPr>
        <w:t xml:space="preserve">孙女士</w:t>
      </w:r>
      <w:r/>
    </w:p>
    <w:p>
      <w:pPr>
        <w:pStyle w:val="713"/>
        <w:ind w:firstLine="480"/>
        <w:jc w:val="both"/>
        <w:spacing w:beforeAutospacing="0" w:afterAutospacing="0"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联系电话：</w:t>
      </w:r>
      <w:r>
        <w:rPr>
          <w:rFonts w:hint="eastAsia" w:ascii="宋体" w:hAnsi="宋体" w:eastAsia="宋体" w:cs="宋体"/>
          <w:color w:val="auto"/>
          <w:highlight w:val="none"/>
          <w:shd w:val="clear" w:color="auto" w:fill="ffffff"/>
          <w:lang w:val="en-US" w:eastAsia="zh-CN"/>
        </w:rPr>
        <w:t xml:space="preserve">0515-81228121</w:t>
      </w:r>
      <w:r>
        <w:rPr>
          <w:rFonts w:hint="eastAsia" w:ascii="宋体" w:hAnsi="宋体" w:eastAsia="宋体" w:cs="宋体"/>
          <w:color w:val="auto"/>
          <w:highlight w:val="none"/>
          <w:shd w:val="clear" w:color="auto" w:fill="ffffff"/>
        </w:rPr>
        <w:t xml:space="preserve"> </w:t>
      </w:r>
      <w:r/>
    </w:p>
    <w:p>
      <w:pPr>
        <w:pStyle w:val="713"/>
        <w:ind w:firstLine="480"/>
        <w:jc w:val="both"/>
        <w:spacing w:beforeAutospacing="0" w:afterAutospacing="0"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2.采购代理机构信息</w:t>
      </w:r>
      <w:r/>
    </w:p>
    <w:p>
      <w:pPr>
        <w:ind w:firstLine="480"/>
        <w:spacing w:line="360" w:lineRule="auto"/>
        <w:widowControl/>
        <w:rPr>
          <w:rFonts w:hint="eastAsia" w:ascii="宋体" w:hAnsi="宋体" w:eastAsia="宋体" w:cs="宋体"/>
          <w:color w:val="auto"/>
          <w:sz w:val="24"/>
          <w:szCs w:val="20"/>
          <w:highlight w:val="none"/>
        </w:rPr>
      </w:pPr>
      <w:r/>
      <w:bookmarkStart w:id="35" w:name="_Toc28359087"/>
      <w:r/>
      <w:bookmarkStart w:id="36" w:name="_Toc28359010"/>
      <w:r>
        <w:rPr>
          <w:rFonts w:hint="eastAsia" w:ascii="宋体" w:hAnsi="宋体" w:eastAsia="宋体" w:cs="宋体"/>
          <w:color w:val="auto"/>
          <w:sz w:val="24"/>
          <w:szCs w:val="20"/>
          <w:highlight w:val="none"/>
        </w:rPr>
        <w:t xml:space="preserve">名    称：江苏泓众项目管理有限公司</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    址：</w:t>
      </w:r>
      <w:r>
        <w:rPr>
          <w:rFonts w:hint="eastAsia" w:ascii="宋体" w:hAnsi="宋体" w:eastAsia="宋体" w:cs="宋体"/>
          <w:bCs/>
          <w:color w:val="auto"/>
          <w:sz w:val="24"/>
          <w:highlight w:val="none"/>
        </w:rPr>
        <w:t xml:space="preserve">江苏省盐城市盐都区潘黄街道宝才社区人力资源服务产业园7楼</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 系 人：江先生</w:t>
      </w:r>
      <w:r/>
    </w:p>
    <w:p>
      <w:pPr>
        <w:ind w:firstLine="480"/>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szCs w:val="20"/>
          <w:highlight w:val="none"/>
        </w:rPr>
        <w:t xml:space="preserve">联系方式：18</w:t>
      </w:r>
      <w:r>
        <w:rPr>
          <w:rFonts w:hint="eastAsia" w:ascii="宋体" w:hAnsi="宋体" w:cs="宋体"/>
          <w:color w:val="auto"/>
          <w:sz w:val="24"/>
          <w:szCs w:val="20"/>
          <w:highlight w:val="none"/>
          <w:lang w:val="en-US" w:eastAsia="zh-CN"/>
        </w:rPr>
        <w:t xml:space="preserve">068861150</w:t>
      </w:r>
      <w:r>
        <w:rPr>
          <w:rFonts w:hint="eastAsia" w:ascii="宋体" w:hAnsi="宋体" w:eastAsia="宋体" w:cs="宋体"/>
          <w:color w:val="auto"/>
          <w:sz w:val="24"/>
          <w:highlight w:val="none"/>
          <w:shd w:val="clear" w:color="auto" w:fill="ffffff"/>
        </w:rPr>
        <w:t xml:space="preserve">       </w:t>
      </w:r>
      <w:bookmarkEnd w:id="35"/>
      <w:r/>
      <w:bookmarkEnd w:id="36"/>
      <w:r/>
      <w:r/>
    </w:p>
    <w:p>
      <w:pPr>
        <w:pStyle w:val="713"/>
        <w:ind w:firstLine="480"/>
        <w:jc w:val="both"/>
        <w:spacing w:beforeAutospacing="0" w:afterAutospacing="0" w:line="360" w:lineRule="auto"/>
        <w:widowControl/>
        <w:rPr>
          <w:rFonts w:hint="eastAsia" w:ascii="宋体" w:hAnsi="宋体" w:eastAsia="宋体" w:cs="宋体"/>
          <w:color w:val="auto"/>
          <w:highlight w:val="none"/>
          <w:shd w:val="clear" w:color="auto" w:fill="ffffff"/>
        </w:rPr>
      </w:pPr>
      <w:r/>
      <w:bookmarkStart w:id="37" w:name="_Toc28359021"/>
      <w:r>
        <w:rPr>
          <w:rFonts w:hint="eastAsia" w:ascii="宋体" w:hAnsi="宋体" w:eastAsia="宋体" w:cs="宋体"/>
          <w:color w:val="auto"/>
          <w:highlight w:val="none"/>
          <w:shd w:val="clear" w:color="auto" w:fill="ffffff"/>
        </w:rPr>
        <w:t xml:space="preserve">3.</w:t>
      </w:r>
      <w:bookmarkEnd w:id="37"/>
      <w:r>
        <w:rPr>
          <w:rFonts w:hint="eastAsia" w:ascii="宋体" w:hAnsi="宋体" w:eastAsia="宋体" w:cs="宋体"/>
          <w:color w:val="auto"/>
          <w:highlight w:val="none"/>
          <w:shd w:val="clear" w:color="auto" w:fill="ffffff"/>
        </w:rPr>
        <w:t xml:space="preserve">项目联系方式</w:t>
      </w:r>
      <w:r/>
    </w:p>
    <w:p>
      <w:pPr>
        <w:pStyle w:val="713"/>
        <w:ind w:firstLine="480"/>
        <w:jc w:val="both"/>
        <w:spacing w:beforeAutospacing="0" w:afterAutospacing="0" w:line="36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联 系 人：江先生</w:t>
      </w:r>
      <w:r/>
    </w:p>
    <w:p>
      <w:pPr>
        <w:ind w:firstLine="480"/>
        <w:spacing w:line="360" w:lineRule="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联系电话：18</w:t>
      </w:r>
      <w:r>
        <w:rPr>
          <w:rFonts w:hint="eastAsia" w:ascii="宋体" w:hAnsi="宋体" w:cs="宋体"/>
          <w:color w:val="auto"/>
          <w:sz w:val="24"/>
          <w:szCs w:val="20"/>
          <w:highlight w:val="none"/>
          <w:lang w:val="en-US" w:eastAsia="zh-CN"/>
        </w:rPr>
        <w:t xml:space="preserve">068861150</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bookmarkStart w:id="38" w:name="_Toc120614211"/>
      <w:r>
        <w:rPr>
          <w:rFonts w:hint="eastAsia" w:ascii="宋体" w:hAnsi="宋体" w:eastAsia="宋体" w:cs="宋体"/>
          <w:b/>
          <w:color w:val="auto"/>
          <w:sz w:val="44"/>
          <w:szCs w:val="44"/>
          <w:highlight w:val="none"/>
        </w:rPr>
        <w:t xml:space="preserve">第二章  </w:t>
      </w:r>
      <w:bookmarkEnd w:id="38"/>
      <w:r/>
      <w:bookmarkStart w:id="39" w:name="_Toc513029202"/>
      <w:r/>
      <w:bookmarkStart w:id="40" w:name="_Toc20823274"/>
      <w:r/>
      <w:bookmarkStart w:id="41" w:name="_Toc16938518"/>
      <w:r/>
      <w:bookmarkStart w:id="42" w:name="_Toc120614213"/>
      <w:r>
        <w:rPr>
          <w:rFonts w:hint="eastAsia" w:ascii="宋体" w:hAnsi="宋体" w:eastAsia="宋体" w:cs="宋体"/>
          <w:b/>
          <w:color w:val="auto"/>
          <w:sz w:val="44"/>
          <w:szCs w:val="44"/>
          <w:highlight w:val="none"/>
        </w:rPr>
        <w:t xml:space="preserve">投标人须知</w:t>
      </w:r>
      <w:bookmarkEnd w:id="39"/>
      <w:r/>
      <w:bookmarkEnd w:id="40"/>
      <w:r/>
      <w:bookmarkEnd w:id="41"/>
      <w:r/>
      <w:bookmarkEnd w:id="42"/>
      <w:r/>
      <w:r/>
    </w:p>
    <w:p>
      <w:pPr>
        <w:pStyle w:val="713"/>
        <w:ind w:firstLine="498"/>
        <w:jc w:val="both"/>
        <w:keepLines/>
        <w:keepNext/>
        <w:spacing w:beforeAutospacing="0" w:afterAutospacing="0" w:line="360" w:lineRule="auto"/>
        <w:rPr>
          <w:rFonts w:hint="eastAsia" w:ascii="宋体" w:hAnsi="宋体" w:eastAsia="宋体" w:cs="宋体"/>
          <w:color w:val="auto"/>
          <w:highlight w:val="none"/>
        </w:rPr>
      </w:pPr>
      <w:r/>
      <w:bookmarkStart w:id="43" w:name="_Toc513029203"/>
      <w:r/>
      <w:bookmarkStart w:id="44" w:name="_Toc20823275"/>
      <w:r/>
      <w:bookmarkStart w:id="45" w:name="_Toc16938519"/>
      <w:r/>
      <w:bookmarkStart w:id="46" w:name="_Toc120614214"/>
      <w:r>
        <w:rPr>
          <w:rFonts w:hint="eastAsia" w:ascii="宋体" w:hAnsi="宋体" w:eastAsia="宋体" w:cs="宋体"/>
          <w:b/>
          <w:color w:val="auto"/>
          <w:highlight w:val="none"/>
        </w:rPr>
        <w:t xml:space="preserve">一、总则</w:t>
      </w:r>
      <w:bookmarkEnd w:id="43"/>
      <w:r/>
      <w:bookmarkEnd w:id="44"/>
      <w:r/>
      <w:bookmarkEnd w:id="45"/>
      <w:r/>
      <w:bookmarkEnd w:id="46"/>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47" w:name="_Toc20823276"/>
      <w:r/>
      <w:bookmarkStart w:id="48" w:name="_Toc513029204"/>
      <w:r/>
      <w:bookmarkStart w:id="49" w:name="_Toc458694821"/>
      <w:r/>
      <w:bookmarkStart w:id="50" w:name="_Toc16938520"/>
      <w:r/>
      <w:bookmarkStart w:id="51" w:name="_Hlt16619475"/>
      <w:r>
        <w:rPr>
          <w:rFonts w:hint="eastAsia" w:ascii="宋体" w:hAnsi="宋体" w:eastAsia="宋体" w:cs="宋体"/>
          <w:color w:val="auto"/>
          <w:highlight w:val="none"/>
        </w:rPr>
        <w:t xml:space="preserve">1.</w:t>
      </w:r>
      <w:bookmarkEnd w:id="47"/>
      <w:r>
        <w:rPr>
          <w:rFonts w:hint="eastAsia" w:ascii="宋体" w:hAnsi="宋体" w:eastAsia="宋体" w:cs="宋体"/>
          <w:color w:val="auto"/>
          <w:highlight w:val="none"/>
        </w:rPr>
        <w:t xml:space="preserve">招标方式</w:t>
      </w:r>
      <w:bookmarkEnd w:id="48"/>
      <w:r/>
      <w:bookmarkEnd w:id="49"/>
      <w:r/>
      <w:bookmarkEnd w:id="50"/>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1.1本次招标采取公开招标方式，本招标文件仅适用于招标公告中所述项目。</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52" w:name="_Toc20823277"/>
      <w:r/>
      <w:bookmarkStart w:id="53" w:name="_Toc16938521"/>
      <w:r/>
      <w:bookmarkStart w:id="54" w:name="_Toc513029205"/>
      <w:r>
        <w:rPr>
          <w:rFonts w:hint="eastAsia" w:ascii="宋体" w:hAnsi="宋体" w:eastAsia="宋体" w:cs="宋体"/>
          <w:color w:val="auto"/>
          <w:highlight w:val="none"/>
        </w:rPr>
        <w:t xml:space="preserve">2.合格的投标人</w:t>
      </w:r>
      <w:bookmarkEnd w:id="52"/>
      <w:r/>
      <w:bookmarkEnd w:id="53"/>
      <w:r/>
      <w:bookmarkEnd w:id="54"/>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2.2满足本文件实质性要求和条件的规定。</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55" w:name="_Toc16938522"/>
      <w:r/>
      <w:bookmarkStart w:id="56" w:name="_Toc20823278"/>
      <w:r/>
      <w:bookmarkStart w:id="57" w:name="_Toc513029206"/>
      <w:r>
        <w:rPr>
          <w:rFonts w:hint="eastAsia" w:ascii="宋体" w:hAnsi="宋体" w:eastAsia="宋体" w:cs="宋体"/>
          <w:color w:val="auto"/>
          <w:highlight w:val="none"/>
        </w:rPr>
        <w:t xml:space="preserve">3.适用法律</w:t>
      </w:r>
      <w:bookmarkEnd w:id="55"/>
      <w:r/>
      <w:bookmarkEnd w:id="56"/>
      <w:r/>
      <w:bookmarkEnd w:id="57"/>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3.1本次招标及由此产生的合同受中华人民共和国有关的法律法规制约和保护。</w:t>
      </w:r>
      <w:r/>
    </w:p>
    <w:p>
      <w:pPr>
        <w:pStyle w:val="713"/>
        <w:ind w:firstLine="480"/>
        <w:jc w:val="both"/>
        <w:spacing w:beforeAutospacing="0" w:afterAutospacing="0" w:line="360" w:lineRule="auto"/>
        <w:rPr>
          <w:rFonts w:hint="eastAsia" w:ascii="宋体" w:hAnsi="宋体" w:eastAsia="宋体" w:cs="宋体"/>
          <w:color w:val="auto"/>
          <w:highlight w:val="none"/>
        </w:rPr>
      </w:pPr>
      <w:r/>
      <w:bookmarkStart w:id="58" w:name="_Toc16938523"/>
      <w:r/>
      <w:bookmarkStart w:id="59" w:name="_Toc20823279"/>
      <w:r/>
      <w:bookmarkStart w:id="60" w:name="_Toc462564067"/>
      <w:r/>
      <w:bookmarkStart w:id="61" w:name="_Toc513029207"/>
      <w:r>
        <w:rPr>
          <w:rFonts w:hint="eastAsia" w:ascii="宋体" w:hAnsi="宋体" w:eastAsia="宋体" w:cs="宋体"/>
          <w:color w:val="auto"/>
          <w:highlight w:val="none"/>
        </w:rPr>
        <w:t xml:space="preserve">3.2在本项目政府采购活动过程中，如果所执行的标准有更新的，按照最新标准执行。</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4.投标费用</w:t>
      </w:r>
      <w:bookmarkEnd w:id="58"/>
      <w:r/>
      <w:bookmarkEnd w:id="59"/>
      <w:r/>
      <w:bookmarkEnd w:id="60"/>
      <w:r/>
      <w:bookmarkEnd w:id="61"/>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4.1投标人应自行承担所有与参加投标有关的费用，无论投标过程中的做法和结果如何，采购人和代理机构在任何情况下均无义务和责任承担这些费用。</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4.2本项目招标代理服务费由采购人支付，按《江苏省招标代理服务收费的指导意见》（苏招协〔2022〕02）的收费标准的30.00%计取。各供应商在投标报价无需考虑该项费用。</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5.招标文件的约束力</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5.1投标人一旦参加本项目采购活动，即被认为接受了本招标文件的规定和约束。</w:t>
      </w:r>
      <w:r/>
    </w:p>
    <w:p>
      <w:pPr>
        <w:pStyle w:val="713"/>
        <w:ind w:firstLine="321"/>
        <w:jc w:val="both"/>
        <w:keepLines/>
        <w:keepNext/>
        <w:spacing w:beforeAutospacing="0" w:afterAutospacing="0" w:line="360" w:lineRule="auto"/>
        <w:rPr>
          <w:rFonts w:hint="eastAsia" w:ascii="宋体" w:hAnsi="宋体" w:eastAsia="宋体" w:cs="宋体"/>
          <w:color w:val="auto"/>
          <w:highlight w:val="none"/>
        </w:rPr>
      </w:pPr>
      <w:r/>
      <w:bookmarkStart w:id="62" w:name="_Toc16938525"/>
      <w:r/>
      <w:bookmarkStart w:id="63" w:name="_Toc20823281"/>
      <w:r/>
      <w:bookmarkStart w:id="64" w:name="_Toc120614215"/>
      <w:r/>
      <w:bookmarkStart w:id="65" w:name="_Toc513029209"/>
      <w:r>
        <w:rPr>
          <w:rFonts w:hint="eastAsia" w:ascii="宋体" w:hAnsi="宋体" w:eastAsia="宋体" w:cs="宋体"/>
          <w:b/>
          <w:color w:val="auto"/>
          <w:highlight w:val="none"/>
        </w:rPr>
        <w:t xml:space="preserve">二、招标文件</w:t>
      </w:r>
      <w:bookmarkEnd w:id="62"/>
      <w:r/>
      <w:bookmarkEnd w:id="63"/>
      <w:r/>
      <w:bookmarkEnd w:id="64"/>
      <w:r/>
      <w:bookmarkEnd w:id="65"/>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66" w:name="_Toc20823282"/>
      <w:r/>
      <w:bookmarkStart w:id="67" w:name="_Toc513029210"/>
      <w:r/>
      <w:bookmarkStart w:id="68" w:name="_Toc16938526"/>
      <w:r>
        <w:rPr>
          <w:rFonts w:hint="eastAsia" w:ascii="宋体" w:hAnsi="宋体" w:eastAsia="宋体" w:cs="宋体"/>
          <w:color w:val="auto"/>
          <w:highlight w:val="none"/>
        </w:rPr>
        <w:t xml:space="preserve">6.招标文件构成</w:t>
      </w:r>
      <w:bookmarkEnd w:id="66"/>
      <w:r/>
      <w:bookmarkEnd w:id="67"/>
      <w:r/>
      <w:bookmarkEnd w:id="68"/>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6.1招标文件由以下部分组成：</w:t>
      </w:r>
      <w:r/>
    </w:p>
    <w:p>
      <w:pPr>
        <w:pStyle w:val="713"/>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713"/>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713"/>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w:t>
      </w:r>
      <w:r/>
    </w:p>
    <w:p>
      <w:pPr>
        <w:pStyle w:val="713"/>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713"/>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713"/>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请仔细检查招标文件是否齐全，如有缺漏请立即与招标代理机构联系解决。</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69" w:name="_Toc20823283"/>
      <w:r/>
      <w:bookmarkStart w:id="70" w:name="_Toc16938527"/>
      <w:r/>
      <w:bookmarkStart w:id="71" w:name="_Toc462564070"/>
      <w:r/>
      <w:bookmarkStart w:id="72" w:name="_Toc513029211"/>
      <w:r>
        <w:rPr>
          <w:rFonts w:hint="eastAsia" w:ascii="宋体" w:hAnsi="宋体" w:eastAsia="宋体" w:cs="宋体"/>
          <w:color w:val="auto"/>
          <w:highlight w:val="none"/>
        </w:rPr>
        <w:t xml:space="preserve">7.招标文件的澄清</w:t>
      </w:r>
      <w:bookmarkEnd w:id="69"/>
      <w:r/>
      <w:bookmarkEnd w:id="70"/>
      <w:r/>
      <w:bookmarkEnd w:id="71"/>
      <w:r/>
      <w:bookmarkEnd w:id="72"/>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7.1任何要求对招标文件进行澄清的投标人，应在投标截止期</w:t>
      </w:r>
      <w:r>
        <w:rPr>
          <w:rFonts w:hint="eastAsia" w:ascii="宋体" w:hAnsi="宋体" w:eastAsia="宋体" w:cs="宋体"/>
          <w:b/>
          <w:color w:val="auto"/>
          <w:highlight w:val="none"/>
        </w:rPr>
        <w:t xml:space="preserve">十日</w:t>
      </w:r>
      <w:r>
        <w:rPr>
          <w:rFonts w:hint="eastAsia" w:ascii="宋体" w:hAnsi="宋体" w:eastAsia="宋体" w:cs="宋体"/>
          <w:color w:val="auto"/>
          <w:highlight w:val="none"/>
        </w:rPr>
        <w:t xml:space="preserve">前按招标公告中的通讯地址，以书面形式通知招标代理机构。</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73" w:name="_Toc16938528"/>
      <w:r/>
      <w:bookmarkStart w:id="74" w:name="_Toc20823284"/>
      <w:r/>
      <w:bookmarkStart w:id="75" w:name="_Toc462564071"/>
      <w:r/>
      <w:bookmarkStart w:id="76" w:name="_Toc513029212"/>
      <w:r>
        <w:rPr>
          <w:rFonts w:hint="eastAsia" w:ascii="宋体" w:hAnsi="宋体" w:eastAsia="宋体" w:cs="宋体"/>
          <w:color w:val="auto"/>
          <w:highlight w:val="none"/>
        </w:rPr>
        <w:t xml:space="preserve">8.招标文件的修改</w:t>
      </w:r>
      <w:bookmarkEnd w:id="73"/>
      <w:r/>
      <w:bookmarkEnd w:id="74"/>
      <w:r/>
      <w:bookmarkEnd w:id="75"/>
      <w:r/>
      <w:bookmarkEnd w:id="76"/>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8.1在投标截止时间之前，招标代理机构可以对招标文件进行修改。</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8.2招标代理机构有权按照法定的要求推迟投标截止日期和开标日期。</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8.3招标文件的修改将在中国政府采购网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江苏政府采购网、盐城市政府采购网公布，补充文件将作为招标文件的组成部分，并对投标人具有约束力。</w:t>
      </w:r>
      <w:r/>
    </w:p>
    <w:p>
      <w:pPr>
        <w:pStyle w:val="713"/>
        <w:ind w:firstLine="482"/>
        <w:jc w:val="both"/>
        <w:keepLines/>
        <w:keepNext/>
        <w:spacing w:beforeAutospacing="0" w:afterAutospacing="0" w:line="360" w:lineRule="auto"/>
        <w:rPr>
          <w:rFonts w:hint="eastAsia" w:ascii="宋体" w:hAnsi="宋体" w:eastAsia="宋体" w:cs="宋体"/>
          <w:color w:val="auto"/>
          <w:highlight w:val="none"/>
        </w:rPr>
      </w:pPr>
      <w:r/>
      <w:bookmarkStart w:id="77" w:name="_Toc513029213"/>
      <w:r/>
      <w:bookmarkStart w:id="78" w:name="_Toc462564072"/>
      <w:r/>
      <w:bookmarkStart w:id="79" w:name="_Toc16938529"/>
      <w:r/>
      <w:bookmarkStart w:id="80" w:name="_Toc20823285"/>
      <w:r/>
      <w:bookmarkStart w:id="81" w:name="_Toc120614216"/>
      <w:r>
        <w:rPr>
          <w:rFonts w:hint="eastAsia" w:ascii="宋体" w:hAnsi="宋体" w:eastAsia="宋体" w:cs="宋体"/>
          <w:b/>
          <w:color w:val="auto"/>
          <w:highlight w:val="none"/>
        </w:rPr>
        <w:t xml:space="preserve">三、投标文件的编制</w:t>
      </w:r>
      <w:bookmarkEnd w:id="77"/>
      <w:r/>
      <w:bookmarkEnd w:id="78"/>
      <w:r/>
      <w:bookmarkEnd w:id="79"/>
      <w:r/>
      <w:bookmarkEnd w:id="80"/>
      <w:r/>
      <w:bookmarkEnd w:id="81"/>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82" w:name="_Toc16938530"/>
      <w:r/>
      <w:bookmarkStart w:id="83" w:name="_Toc20823286"/>
      <w:r/>
      <w:bookmarkStart w:id="84" w:name="_Toc462564073"/>
      <w:r/>
      <w:bookmarkStart w:id="85" w:name="_Toc513029214"/>
      <w:r>
        <w:rPr>
          <w:rFonts w:hint="eastAsia" w:ascii="宋体" w:hAnsi="宋体" w:eastAsia="宋体" w:cs="宋体"/>
          <w:color w:val="auto"/>
          <w:highlight w:val="none"/>
        </w:rPr>
        <w:t xml:space="preserve">9.投标文件的语言及度量衡单位</w:t>
      </w:r>
      <w:bookmarkEnd w:id="82"/>
      <w:r/>
      <w:bookmarkEnd w:id="83"/>
      <w:r/>
      <w:bookmarkEnd w:id="84"/>
      <w:r/>
      <w:bookmarkEnd w:id="85"/>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9.1投标人提交的投标文件以及投标人与招标代理机构就有关投标的所有来往通知、函件和文件均应使用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9.2除技术性能另有规定外，投标文件所使用的度量衡单位，均须采用国家法定计量单位。</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86" w:name="_Toc513029215"/>
      <w:r/>
      <w:bookmarkStart w:id="87" w:name="_Toc20823287"/>
      <w:r/>
      <w:bookmarkStart w:id="88" w:name="_Toc16938531"/>
      <w:r/>
      <w:bookmarkStart w:id="89" w:name="_Toc462564074"/>
      <w:r>
        <w:rPr>
          <w:rFonts w:hint="eastAsia" w:ascii="宋体" w:hAnsi="宋体" w:eastAsia="宋体" w:cs="宋体"/>
          <w:color w:val="auto"/>
          <w:highlight w:val="none"/>
        </w:rPr>
        <w:t xml:space="preserve">10.投标文件构成</w:t>
      </w:r>
      <w:bookmarkEnd w:id="86"/>
      <w:r/>
      <w:bookmarkEnd w:id="87"/>
      <w:r/>
      <w:bookmarkEnd w:id="88"/>
      <w:r/>
      <w:bookmarkEnd w:id="89"/>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10.2如标书制作工具中格式和内容与</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发布的招标文件不一致，请以中国政府采购网”“江苏政府采购网”“盐城市政府采购网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发布的招标文件为准。</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90" w:name="_Toc14577355"/>
      <w:r/>
      <w:bookmarkStart w:id="91" w:name="_Toc49090508"/>
      <w:r/>
      <w:bookmarkStart w:id="92" w:name="_Toc49090507"/>
      <w:r/>
      <w:bookmarkStart w:id="93" w:name="_Toc513029219"/>
      <w:r/>
      <w:bookmarkStart w:id="94" w:name="_Toc14577357"/>
      <w:r/>
      <w:bookmarkStart w:id="95" w:name="_Toc513029216"/>
      <w:r/>
      <w:bookmarkStart w:id="96" w:name="_Toc49090509"/>
      <w:r/>
      <w:bookmarkStart w:id="97" w:name="_Toc14577354"/>
      <w:r/>
      <w:bookmarkStart w:id="98" w:name="_Hlt26668975"/>
      <w:r/>
      <w:bookmarkStart w:id="99" w:name="_Hlt26954838"/>
      <w:r/>
      <w:bookmarkStart w:id="100" w:name="_Hlt26670360"/>
      <w:r>
        <w:rPr>
          <w:rFonts w:hint="eastAsia" w:ascii="宋体" w:hAnsi="宋体" w:eastAsia="宋体" w:cs="宋体"/>
          <w:color w:val="auto"/>
          <w:highlight w:val="none"/>
        </w:rPr>
        <w:t xml:space="preserve">11.证明投标人及投标标的符合招标文件规定的文件</w:t>
      </w:r>
      <w:bookmarkEnd w:id="90"/>
      <w:r/>
      <w:bookmarkEnd w:id="91"/>
      <w:r/>
      <w:bookmarkEnd w:id="92"/>
      <w:r/>
      <w:bookmarkEnd w:id="93"/>
      <w:r/>
      <w:bookmarkEnd w:id="94"/>
      <w:r/>
      <w:bookmarkEnd w:id="95"/>
      <w:r/>
      <w:bookmarkEnd w:id="96"/>
      <w:r/>
      <w:bookmarkEnd w:id="97"/>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11.1投标人应按照招标文件要求提交证明文件，证明其及投标标的符合招标文件规定。</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12.投标分项报价表</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12.1投标人应按照招标文件规定格式填报投标分项报价表。</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101" w:name="_Hlt26670486"/>
      <w:r/>
      <w:bookmarkStart w:id="102" w:name="_Hlt26954848"/>
      <w:r/>
      <w:bookmarkStart w:id="103" w:name="_Hlt26954846"/>
      <w:r/>
      <w:bookmarkStart w:id="104" w:name="_Hlt26670482"/>
      <w:r/>
      <w:bookmarkStart w:id="105" w:name="_Hlt26954731"/>
      <w:r>
        <w:rPr>
          <w:rFonts w:hint="eastAsia" w:ascii="宋体" w:hAnsi="宋体" w:eastAsia="宋体" w:cs="宋体"/>
          <w:color w:val="auto"/>
          <w:highlight w:val="none"/>
        </w:rPr>
        <w:t xml:space="preserve">13.技术要求响应及偏离表、商务要求响应及偏离表</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13.2投标人可在投标文件中提供认为需要的其他技术文件或说明。</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106" w:name="_Toc14577359"/>
      <w:r/>
      <w:bookmarkStart w:id="107" w:name="_Toc49090510"/>
      <w:r>
        <w:rPr>
          <w:rFonts w:hint="eastAsia" w:ascii="宋体" w:hAnsi="宋体" w:eastAsia="宋体" w:cs="宋体"/>
          <w:color w:val="auto"/>
          <w:highlight w:val="none"/>
        </w:rPr>
        <w:t xml:space="preserve">14.投标函和开标一览表</w:t>
      </w:r>
      <w:bookmarkEnd w:id="106"/>
      <w:r/>
      <w:bookmarkEnd w:id="107"/>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14.1投标人应按照招标文件中提供的格式完整、正确填写投标函、开标一览表。</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108" w:name="_Toc14577360"/>
      <w:r/>
      <w:bookmarkStart w:id="109" w:name="_Toc49090511"/>
      <w:r>
        <w:rPr>
          <w:rFonts w:hint="eastAsia" w:ascii="宋体" w:hAnsi="宋体" w:eastAsia="宋体" w:cs="宋体"/>
          <w:color w:val="auto"/>
          <w:highlight w:val="none"/>
        </w:rPr>
        <w:t xml:space="preserve">15.投标有效期</w:t>
      </w:r>
      <w:bookmarkEnd w:id="108"/>
      <w:r/>
      <w:bookmarkEnd w:id="109"/>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15.1投标有效期为招标代理机构规定的开标之日后</w:t>
      </w:r>
      <w:r>
        <w:rPr>
          <w:rFonts w:hint="eastAsia" w:ascii="宋体" w:hAnsi="宋体" w:eastAsia="宋体" w:cs="宋体"/>
          <w:b/>
          <w:color w:val="auto"/>
          <w:highlight w:val="none"/>
          <w:u w:val="single"/>
        </w:rPr>
        <w:t xml:space="preserve">九十（90）天</w:t>
      </w:r>
      <w:r>
        <w:rPr>
          <w:rFonts w:hint="eastAsia" w:ascii="宋体" w:hAnsi="宋体" w:eastAsia="宋体" w:cs="宋体"/>
          <w:color w:val="auto"/>
          <w:highlight w:val="none"/>
        </w:rPr>
        <w:t xml:space="preserve">。投标有效期比规定短的将被视为未实质性响应招标文件而予以拒绝。</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16.投标有效期的延长</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713"/>
        <w:ind w:firstLine="482"/>
        <w:jc w:val="both"/>
        <w:keepLines/>
        <w:keepNext/>
        <w:spacing w:beforeAutospacing="0" w:afterAutospacing="0" w:line="360" w:lineRule="auto"/>
        <w:rPr>
          <w:rFonts w:hint="eastAsia" w:ascii="宋体" w:hAnsi="宋体" w:eastAsia="宋体" w:cs="宋体"/>
          <w:color w:val="auto"/>
          <w:highlight w:val="none"/>
        </w:rPr>
      </w:pPr>
      <w:r/>
      <w:bookmarkStart w:id="110" w:name="_Toc120614217"/>
      <w:r/>
      <w:bookmarkStart w:id="111" w:name="_Toc513029224"/>
      <w:r/>
      <w:bookmarkStart w:id="112" w:name="_Toc16938540"/>
      <w:r/>
      <w:bookmarkStart w:id="113" w:name="_Toc20823296"/>
      <w:r/>
      <w:bookmarkStart w:id="114" w:name="_Hlt26954739"/>
      <w:r/>
      <w:bookmarkStart w:id="115" w:name="_Hlt26954852"/>
      <w:r>
        <w:rPr>
          <w:rFonts w:hint="eastAsia" w:ascii="宋体" w:hAnsi="宋体" w:eastAsia="宋体" w:cs="宋体"/>
          <w:b/>
          <w:color w:val="auto"/>
          <w:highlight w:val="none"/>
        </w:rPr>
        <w:t xml:space="preserve">四、投标文件的递交</w:t>
      </w:r>
      <w:bookmarkEnd w:id="110"/>
      <w:r/>
      <w:bookmarkEnd w:id="111"/>
      <w:r/>
      <w:bookmarkEnd w:id="112"/>
      <w:r/>
      <w:bookmarkEnd w:id="113"/>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116" w:name="_Toc20823297"/>
      <w:r/>
      <w:bookmarkStart w:id="117" w:name="_Toc16938541"/>
      <w:r/>
      <w:bookmarkStart w:id="118" w:name="_Toc462564084"/>
      <w:r/>
      <w:bookmarkStart w:id="119" w:name="_Toc513029225"/>
      <w:r>
        <w:rPr>
          <w:rFonts w:hint="eastAsia" w:ascii="宋体" w:hAnsi="宋体" w:eastAsia="宋体" w:cs="宋体"/>
          <w:color w:val="auto"/>
          <w:highlight w:val="none"/>
        </w:rPr>
        <w:t xml:space="preserve">17.电子投标文件</w:t>
      </w:r>
      <w:bookmarkEnd w:id="116"/>
      <w:r/>
      <w:bookmarkEnd w:id="117"/>
      <w:r/>
      <w:bookmarkEnd w:id="118"/>
      <w:r/>
      <w:bookmarkEnd w:id="119"/>
      <w:r>
        <w:rPr>
          <w:rFonts w:hint="eastAsia" w:ascii="宋体" w:hAnsi="宋体" w:eastAsia="宋体" w:cs="宋体"/>
          <w:color w:val="auto"/>
          <w:highlight w:val="none"/>
        </w:rPr>
        <w:t xml:space="preserve">的递交</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17.1投标人应当按照《操作手册》规定，在投标截止时间前制作并上传电子投标文件。</w:t>
      </w:r>
      <w:bookmarkStart w:id="120" w:name="_Toc20823298"/>
      <w:r/>
      <w:bookmarkEnd w:id="120"/>
      <w:r/>
      <w:bookmarkStart w:id="121" w:name="_Toc16938542"/>
      <w:r/>
      <w:bookmarkEnd w:id="121"/>
      <w:r/>
      <w:bookmarkStart w:id="122" w:name="_Toc513029226"/>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18.投标截止日期</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18.1投标人上传电子投标文件的时间不得迟于招标公告中规定的投标截止时间。</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.1.2条规定做无效投标处理。</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18.2招标代理机构可以按照规定，通过修改招标文件酌情延长投标截止日期，在此情况下，投标人的所有权利和义务以及投标人受制的截止日期均应以延长后新的截止日期为准。</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123" w:name="_Toc16938543"/>
      <w:r/>
      <w:bookmarkStart w:id="124" w:name="_Toc513029227"/>
      <w:r/>
      <w:bookmarkStart w:id="125" w:name="_Toc20823299"/>
      <w:r>
        <w:rPr>
          <w:rFonts w:hint="eastAsia" w:ascii="宋体" w:hAnsi="宋体" w:eastAsia="宋体" w:cs="宋体"/>
          <w:color w:val="auto"/>
          <w:highlight w:val="none"/>
        </w:rPr>
        <w:t xml:space="preserve">19.投标文件</w:t>
      </w:r>
      <w:bookmarkEnd w:id="123"/>
      <w:r/>
      <w:bookmarkEnd w:id="124"/>
      <w:r/>
      <w:bookmarkEnd w:id="125"/>
      <w:r>
        <w:rPr>
          <w:rFonts w:hint="eastAsia" w:ascii="宋体" w:hAnsi="宋体" w:eastAsia="宋体" w:cs="宋体"/>
          <w:color w:val="auto"/>
          <w:highlight w:val="none"/>
        </w:rPr>
        <w:t xml:space="preserve">的拒收</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19.1招标代理机构拒绝接收在其规定的投标截止时间后上传的任何投标文件。</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126" w:name="_Toc16938544"/>
      <w:r/>
      <w:bookmarkStart w:id="127" w:name="_Toc513029228"/>
      <w:r/>
      <w:bookmarkStart w:id="128" w:name="_Toc20823300"/>
      <w:r>
        <w:rPr>
          <w:rFonts w:hint="eastAsia" w:ascii="宋体" w:hAnsi="宋体" w:eastAsia="宋体" w:cs="宋体"/>
          <w:color w:val="auto"/>
          <w:highlight w:val="none"/>
        </w:rPr>
        <w:t xml:space="preserve">20.投标文件的撤回和修改</w:t>
      </w:r>
      <w:bookmarkEnd w:id="126"/>
      <w:r/>
      <w:bookmarkEnd w:id="127"/>
      <w:r/>
      <w:bookmarkEnd w:id="128"/>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20.1投标文件的撤回</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20.1.1电子投标文件的撤回</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20.1.2投标人撤回电子投标文件，则认为其不再参与本项目投标活动。</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20.2投标文件的修改</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20.2.1投标人可在投标截止时间前，对其电子投标文件进行修改，具体操作方法见《操作手册》。</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20.2.2在投标截止时间之后，投标人不得对其电子投标文件作任何修改。</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20.3在投标截止时间至招标文件中规定的投标有效期满之间的这段时间内，投标人不得撤回其投标。</w:t>
      </w:r>
      <w:r/>
    </w:p>
    <w:p>
      <w:pPr>
        <w:pStyle w:val="713"/>
        <w:ind w:firstLine="482"/>
        <w:jc w:val="both"/>
        <w:keepLines/>
        <w:keepNext/>
        <w:spacing w:beforeAutospacing="0" w:afterAutospacing="0" w:line="360" w:lineRule="auto"/>
        <w:rPr>
          <w:rFonts w:hint="eastAsia" w:ascii="宋体" w:hAnsi="宋体" w:eastAsia="宋体" w:cs="宋体"/>
          <w:color w:val="auto"/>
          <w:highlight w:val="none"/>
        </w:rPr>
      </w:pPr>
      <w:r/>
      <w:bookmarkStart w:id="129" w:name="_Toc120614218"/>
      <w:r/>
      <w:bookmarkStart w:id="130" w:name="_Toc513029229"/>
      <w:r/>
      <w:bookmarkStart w:id="131" w:name="_Toc16938545"/>
      <w:r/>
      <w:bookmarkStart w:id="132" w:name="_Toc20823301"/>
      <w:r>
        <w:rPr>
          <w:rFonts w:hint="eastAsia" w:ascii="宋体" w:hAnsi="宋体" w:eastAsia="宋体" w:cs="宋体"/>
          <w:b/>
          <w:color w:val="auto"/>
          <w:highlight w:val="none"/>
        </w:rPr>
        <w:t xml:space="preserve">五、开标与评标</w:t>
      </w:r>
      <w:bookmarkEnd w:id="129"/>
      <w:r/>
      <w:bookmarkEnd w:id="130"/>
      <w:r/>
      <w:bookmarkEnd w:id="131"/>
      <w:r/>
      <w:bookmarkEnd w:id="132"/>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133" w:name="_Toc16938546"/>
      <w:r/>
      <w:bookmarkStart w:id="134" w:name="_Toc20823302"/>
      <w:r/>
      <w:bookmarkStart w:id="135" w:name="_Toc513029230"/>
      <w:r>
        <w:rPr>
          <w:rFonts w:hint="eastAsia" w:ascii="宋体" w:hAnsi="宋体" w:eastAsia="宋体" w:cs="宋体"/>
          <w:color w:val="auto"/>
          <w:highlight w:val="none"/>
        </w:rPr>
        <w:t xml:space="preserve">21.开标</w:t>
      </w:r>
      <w:bookmarkEnd w:id="133"/>
      <w:r/>
      <w:bookmarkEnd w:id="134"/>
      <w:r/>
      <w:bookmarkEnd w:id="135"/>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21.1招标代理机构将在招标公告中规定的时间和地点组织公开开标。投标人应当按照《操作手册》规定，参加开标活动和在苏采云系统规定的时间内对投标文件进行解密。</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21.2开标仪式由招标代理机构组织。苏采云系统将自动对项目进行开标，并宣布各投标人名称和投标价格。</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21.3投标人在开标过程中涉及的投标文件解密、开标结果确认等工作，应按照《操作手册》规定执行。</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136" w:name="_Toc16938547"/>
      <w:r/>
      <w:bookmarkStart w:id="137" w:name="_Toc20823303"/>
      <w:r/>
      <w:bookmarkStart w:id="138" w:name="_Toc513029231"/>
      <w:r>
        <w:rPr>
          <w:rFonts w:hint="eastAsia" w:ascii="宋体" w:hAnsi="宋体" w:eastAsia="宋体" w:cs="宋体"/>
          <w:color w:val="auto"/>
          <w:highlight w:val="none"/>
        </w:rPr>
        <w:t xml:space="preserve">22.评标委员会</w:t>
      </w:r>
      <w:bookmarkEnd w:id="136"/>
      <w:r/>
      <w:bookmarkEnd w:id="137"/>
      <w:r/>
      <w:bookmarkEnd w:id="138"/>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22.1开标后，招标代理机构将立即组织评标委员会（以下简称评委会）进行评标。</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22.2评委会由采购人代表和有关技术、经济等方面的专家组成，且人员构成符合政府采购有关规定。</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22.3评委会独立工作，负责评审所有投标文件并确定中标候选人。</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23.评标过程的保密与公正</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23.1凡是与审查、澄清、评价和比较投标的有关资料以及授标建议等，采购人、评委、招标代理机构均不得向投标人或与评标无关的其他人员透露。</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23.3招标代理机构和评标委员会不向未中标的投标人解释未中标原因，也不公布评标过程中的相关细节。</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23.4采用综合评分法的项目，未中标的投标人可于中标结果公告期限届满之日起通过苏采云系统查看自己的评审得分及排序情况。</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bookmarkStart w:id="139" w:name="_Toc513029232"/>
      <w:r/>
      <w:bookmarkStart w:id="140" w:name="_Toc20823304"/>
      <w:r/>
      <w:bookmarkStart w:id="141" w:name="_Toc16938548"/>
      <w:r>
        <w:rPr>
          <w:rFonts w:hint="eastAsia" w:ascii="宋体" w:hAnsi="宋体" w:eastAsia="宋体" w:cs="宋体"/>
          <w:color w:val="auto"/>
          <w:highlight w:val="none"/>
        </w:rPr>
        <w:t xml:space="preserve">24.投标文件的澄清</w:t>
      </w:r>
      <w:bookmarkEnd w:id="139"/>
      <w:r/>
      <w:bookmarkEnd w:id="140"/>
      <w:r/>
      <w:bookmarkEnd w:id="141"/>
      <w:r/>
      <w:r/>
    </w:p>
    <w:p>
      <w:pPr>
        <w:pStyle w:val="713"/>
        <w:ind w:firstLine="480"/>
        <w:jc w:val="both"/>
        <w:spacing w:beforeAutospacing="0" w:afterAutospacing="0" w:line="360" w:lineRule="auto"/>
        <w:rPr>
          <w:rFonts w:hint="eastAsia" w:ascii="宋体" w:hAnsi="宋体" w:eastAsia="宋体" w:cs="宋体"/>
          <w:color w:val="auto"/>
          <w:highlight w:val="none"/>
        </w:rPr>
      </w:pPr>
      <w:r/>
      <w:bookmarkStart w:id="142" w:name="_Toc16938549"/>
      <w:r/>
      <w:bookmarkStart w:id="143" w:name="_Toc513029233"/>
      <w:r/>
      <w:bookmarkStart w:id="144" w:name="_Toc20823305"/>
      <w:r>
        <w:rPr>
          <w:rFonts w:hint="eastAsia" w:ascii="宋体" w:hAnsi="宋体" w:eastAsia="宋体" w:cs="宋体"/>
          <w:color w:val="auto"/>
          <w:highlight w:val="none"/>
        </w:rPr>
        <w:t xml:space="preserve">24.1评标期间，评委会对投标文件中含义不明确、同类问题表述不一致或者有明显文字和计算错误的内容，有权要求投标人作出必要的澄清、说明或者补正。</w:t>
      </w:r>
      <w:bookmarkEnd w:id="142"/>
      <w:r/>
      <w:bookmarkEnd w:id="143"/>
      <w:r/>
      <w:bookmarkEnd w:id="144"/>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24.3接到评委会澄清、说明和补正要求的投标人如未按规定做出澄清、说明和补正，其风险由投标人自行承担。</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25对投标文件的初审</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25.1.3未通过资格审查或符合性审查的投标人，招标代理机构将在苏采云系统中告知未通过资格审查或符合性审查的原因，评审结束后，招标代理机构将不再告知未通过资格审查或符合性审查的原因。</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25.3如果投标文件实质上没有响应招标文件的要求，评委会将予以拒绝，投标人不得通过修改或撤销不符合要求的偏离或保留而使其投标成为实质性响应的投标。</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25.4评委会将对确定为实质性响应的投标进行进一步审核，看其是否有计算上或累加上的算术错误，修正错误的原则如下：</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13"/>
        <w:ind w:firstLine="480"/>
        <w:jc w:val="both"/>
        <w:spacing w:beforeAutospacing="0" w:afterAutospacing="0" w:line="360" w:lineRule="auto"/>
        <w:rPr>
          <w:rFonts w:hint="eastAsia" w:ascii="宋体" w:hAnsi="宋体" w:eastAsia="宋体" w:cs="宋体"/>
          <w:color w:val="auto"/>
          <w:highlight w:val="none"/>
        </w:rPr>
      </w:pPr>
      <w:r/>
      <w:bookmarkStart w:id="145" w:name="_Toc513029234"/>
      <w:r/>
      <w:bookmarkStart w:id="146" w:name="_Toc20823306"/>
      <w:r/>
      <w:bookmarkStart w:id="147" w:name="_Toc16938550"/>
      <w:r>
        <w:rPr>
          <w:rFonts w:hint="eastAsia" w:ascii="宋体" w:hAnsi="宋体" w:eastAsia="宋体" w:cs="宋体"/>
          <w:color w:val="auto"/>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5"/>
      <w:r/>
      <w:bookmarkEnd w:id="146"/>
      <w:r/>
      <w:bookmarkEnd w:id="147"/>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13"/>
        <w:ind w:firstLine="42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非单一产品采购项目，招标文件中将载明其中的核心产品。多家投标人提供的核心产品品牌相同的，按前两款规定处理。</w:t>
      </w:r>
      <w:r/>
    </w:p>
    <w:p>
      <w:pPr>
        <w:pStyle w:val="713"/>
        <w:ind w:firstLine="42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25.7投标人在开、评标全过程中应保持通讯畅通，及时登录苏采云系统查阅、答复相关信息，并安排专人与招标代理机构及评标委员会联系。</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26.无效投标条款和废标条款</w:t>
      </w:r>
      <w:r/>
    </w:p>
    <w:p>
      <w:pPr>
        <w:pStyle w:val="713"/>
        <w:ind w:left="479"/>
        <w:jc w:val="both"/>
        <w:spacing w:beforeAutospacing="0" w:afterAutospacing="0" w:line="360" w:lineRule="auto"/>
        <w:rPr>
          <w:rFonts w:hint="eastAsia" w:ascii="宋体" w:hAnsi="宋体" w:eastAsia="宋体" w:cs="宋体"/>
          <w:color w:val="auto"/>
          <w:highlight w:val="none"/>
        </w:rPr>
      </w:pPr>
      <w:r/>
      <w:bookmarkStart w:id="148" w:name="_Toc16938551"/>
      <w:r/>
      <w:bookmarkStart w:id="149" w:name="_Toc20823307"/>
      <w:r/>
      <w:bookmarkStart w:id="150" w:name="_Toc513029235"/>
      <w:r>
        <w:rPr>
          <w:rFonts w:hint="eastAsia" w:ascii="宋体" w:hAnsi="宋体" w:eastAsia="宋体" w:cs="宋体"/>
          <w:color w:val="auto"/>
          <w:highlight w:val="none"/>
        </w:rPr>
        <w:t xml:space="preserve">26.1无效投标条款</w:t>
      </w:r>
      <w:bookmarkEnd w:id="148"/>
      <w:r/>
      <w:bookmarkEnd w:id="149"/>
      <w:r/>
      <w:bookmarkEnd w:id="150"/>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pStyle w:val="713"/>
        <w:ind w:left="4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26.1.3同一投标人提交两个（含两个）以上不同的投标报价的。</w:t>
      </w:r>
      <w:r/>
    </w:p>
    <w:p>
      <w:pPr>
        <w:pStyle w:val="713"/>
        <w:ind w:left="4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26.1.7不符合招标文件中规定的实质性要求和条件的（</w:t>
      </w:r>
      <w:r>
        <w:rPr>
          <w:rFonts w:hint="eastAsia" w:ascii="宋体" w:hAnsi="宋体" w:eastAsia="宋体" w:cs="宋体"/>
          <w:i/>
          <w:color w:val="auto"/>
          <w:highlight w:val="none"/>
          <w:u w:val="single"/>
        </w:rPr>
        <w:t xml:space="preserve">本招标文件中斜体且有下划线部分为实质性要求和条件）。</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26.1.10投标人不能证明其报价合理性的，评标委员会应当将其作为无效投标处理。</w:t>
      </w:r>
      <w:r/>
    </w:p>
    <w:p>
      <w:pPr>
        <w:pStyle w:val="713"/>
        <w:ind w:firstLine="480"/>
        <w:jc w:val="both"/>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26.1.10.1评审过程中出现下列情形之一的，评标委员会应当启动异常低价投标审查程序：</w:t>
      </w:r>
      <w:r/>
    </w:p>
    <w:p>
      <w:pPr>
        <w:pStyle w:val="713"/>
        <w:ind w:firstLine="480"/>
        <w:jc w:val="both"/>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26.1.10.1.1投标（响应）报价低于全部通过符合性审查供应商投标（响应）报价平均值</w:t>
      </w:r>
      <w:r>
        <w:rPr>
          <w:rFonts w:hint="eastAsia" w:ascii="宋体" w:hAnsi="宋体" w:cs="宋体"/>
          <w:b/>
          <w:bCs/>
          <w:color w:val="auto"/>
          <w:highlight w:val="none"/>
          <w:lang w:val="en-US" w:eastAsia="zh-CN"/>
        </w:rPr>
        <w:t xml:space="preserve">65</w:t>
      </w:r>
      <w:r>
        <w:rPr>
          <w:rFonts w:hint="eastAsia" w:ascii="宋体" w:hAnsi="宋体" w:eastAsia="宋体" w:cs="宋体"/>
          <w:b/>
          <w:bCs/>
          <w:color w:val="auto"/>
          <w:highlight w:val="none"/>
        </w:rPr>
        <w:t xml:space="preserve">%的，即投标（响应）报价＜全部通过符合性审查供应商投标（响应）报价平均值×</w:t>
      </w:r>
      <w:r>
        <w:rPr>
          <w:rFonts w:hint="eastAsia" w:ascii="宋体" w:hAnsi="宋体" w:cs="宋体"/>
          <w:b/>
          <w:bCs/>
          <w:color w:val="auto"/>
          <w:highlight w:val="none"/>
          <w:lang w:val="en-US" w:eastAsia="zh-CN"/>
        </w:rPr>
        <w:t xml:space="preserve">65</w:t>
      </w:r>
      <w:r>
        <w:rPr>
          <w:rFonts w:hint="eastAsia" w:ascii="宋体" w:hAnsi="宋体" w:eastAsia="宋体" w:cs="宋体"/>
          <w:b/>
          <w:bCs/>
          <w:color w:val="auto"/>
          <w:highlight w:val="none"/>
        </w:rPr>
        <w:t xml:space="preserve">%；</w:t>
      </w:r>
      <w:r/>
    </w:p>
    <w:p>
      <w:pPr>
        <w:pStyle w:val="713"/>
        <w:ind w:firstLine="480"/>
        <w:jc w:val="both"/>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26.1.10.1.2投标（响应）报价低于通过符合性审查的次低报价供应商投标（响应）报价</w:t>
      </w:r>
      <w:r>
        <w:rPr>
          <w:rFonts w:hint="eastAsia" w:ascii="宋体" w:hAnsi="宋体" w:cs="宋体"/>
          <w:b/>
          <w:bCs/>
          <w:color w:val="auto"/>
          <w:highlight w:val="none"/>
          <w:lang w:val="en-US" w:eastAsia="zh-CN"/>
        </w:rPr>
        <w:t xml:space="preserve">65</w:t>
      </w:r>
      <w:r>
        <w:rPr>
          <w:rFonts w:hint="eastAsia" w:ascii="宋体" w:hAnsi="宋体" w:eastAsia="宋体" w:cs="宋体"/>
          <w:b/>
          <w:bCs/>
          <w:color w:val="auto"/>
          <w:highlight w:val="none"/>
        </w:rPr>
        <w:t xml:space="preserve">%的，即投标（响应）报价＜通过符合性审查的次低报价供应商投标（响应）报价×</w:t>
      </w:r>
      <w:r>
        <w:rPr>
          <w:rFonts w:hint="eastAsia" w:ascii="宋体" w:hAnsi="宋体" w:cs="宋体"/>
          <w:b/>
          <w:bCs/>
          <w:color w:val="auto"/>
          <w:highlight w:val="none"/>
          <w:lang w:val="en-US" w:eastAsia="zh-CN"/>
        </w:rPr>
        <w:t xml:space="preserve">65</w:t>
      </w:r>
      <w:r>
        <w:rPr>
          <w:rFonts w:hint="eastAsia" w:ascii="宋体" w:hAnsi="宋体" w:eastAsia="宋体" w:cs="宋体"/>
          <w:b/>
          <w:bCs/>
          <w:color w:val="auto"/>
          <w:highlight w:val="none"/>
        </w:rPr>
        <w:t xml:space="preserve">%；</w:t>
      </w:r>
      <w:r/>
    </w:p>
    <w:p>
      <w:pPr>
        <w:pStyle w:val="713"/>
        <w:ind w:firstLine="480"/>
        <w:jc w:val="both"/>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26.1.10.1.3投标（响应）报价低于采购项目最高限价</w:t>
      </w:r>
      <w:r>
        <w:rPr>
          <w:rFonts w:hint="eastAsia" w:ascii="宋体" w:hAnsi="宋体" w:eastAsia="宋体" w:cs="宋体"/>
          <w:b/>
          <w:bCs/>
          <w:color w:val="auto"/>
          <w:highlight w:val="none"/>
          <w:lang w:val="en-US" w:eastAsia="zh-CN"/>
        </w:rPr>
        <w:t xml:space="preserve">65</w:t>
      </w:r>
      <w:r>
        <w:rPr>
          <w:rFonts w:hint="eastAsia" w:ascii="宋体" w:hAnsi="宋体" w:eastAsia="宋体" w:cs="宋体"/>
          <w:b/>
          <w:bCs/>
          <w:color w:val="auto"/>
          <w:highlight w:val="none"/>
        </w:rPr>
        <w:t xml:space="preserve">%的，即投标（响应）报价＜采购项目最高限价×</w:t>
      </w:r>
      <w:r>
        <w:rPr>
          <w:rFonts w:hint="eastAsia" w:ascii="宋体" w:hAnsi="宋体" w:cs="宋体"/>
          <w:b/>
          <w:bCs/>
          <w:color w:val="auto"/>
          <w:highlight w:val="none"/>
          <w:lang w:val="en-US" w:eastAsia="zh-CN"/>
        </w:rPr>
        <w:t xml:space="preserve">65</w:t>
      </w:r>
      <w:r>
        <w:rPr>
          <w:rFonts w:hint="eastAsia" w:ascii="宋体" w:hAnsi="宋体" w:eastAsia="宋体" w:cs="宋体"/>
          <w:b/>
          <w:bCs/>
          <w:color w:val="auto"/>
          <w:highlight w:val="none"/>
        </w:rPr>
        <w:t xml:space="preserve">%；</w:t>
      </w:r>
      <w:r/>
    </w:p>
    <w:p>
      <w:pPr>
        <w:pStyle w:val="713"/>
        <w:ind w:firstLine="480"/>
        <w:jc w:val="both"/>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26.1.10.1.4评审委员会基于专业判断，认为供应商报价过低，有可能影响产品质量或者不能诚信履约的其他情形。</w:t>
      </w:r>
      <w:r/>
    </w:p>
    <w:p>
      <w:pPr>
        <w:pStyle w:val="713"/>
        <w:ind w:firstLine="480"/>
        <w:jc w:val="both"/>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相关法律法规对供应商报价有规定的，从其规定。</w:t>
      </w:r>
      <w:r/>
    </w:p>
    <w:p>
      <w:pPr>
        <w:pStyle w:val="713"/>
        <w:ind w:firstLine="480"/>
        <w:jc w:val="both"/>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26.1.10.2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713"/>
        <w:ind w:firstLine="480"/>
        <w:jc w:val="both"/>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3"/>
        <w:ind w:firstLine="480"/>
        <w:jc w:val="both"/>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13"/>
        <w:ind w:firstLine="480"/>
        <w:jc w:val="both"/>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供应商代理人在评审开始至结束期间应保证联系电话畅通，若因无法联系代理人导致对供应商产生不利的后果由供应商承担。</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26.1.12投标文件未按照招标文件要求加盖CA电子公章的。</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26.1.13其他法律法规及本招标文件规定的属于无效投标的情形。</w:t>
      </w:r>
      <w:r/>
    </w:p>
    <w:p>
      <w:pPr>
        <w:pStyle w:val="713"/>
        <w:ind w:left="4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26.2废标条款</w:t>
      </w:r>
      <w:r/>
    </w:p>
    <w:p>
      <w:pPr>
        <w:pStyle w:val="713"/>
        <w:ind w:left="4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26.2.1符合专业条件的供应商或者对招标文件作实质响应的供应商不足三家的。26.2.2出现影响采购公正的违法、违规行为的。</w:t>
      </w:r>
      <w:r/>
    </w:p>
    <w:p>
      <w:pPr>
        <w:pStyle w:val="713"/>
        <w:ind w:left="4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26.2.3因重大变故，采购任务取消的。</w:t>
      </w:r>
      <w:r/>
    </w:p>
    <w:p>
      <w:pPr>
        <w:pStyle w:val="713"/>
        <w:ind w:left="4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26.2.4评标委员会认定招标文件存在歧义、重大缺陷导致评审工作无法进行。</w:t>
      </w:r>
      <w:r/>
    </w:p>
    <w:p>
      <w:pPr>
        <w:pStyle w:val="713"/>
        <w:ind w:left="4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26.2.5因苏采云系统故障原因造成开标不成功的。</w:t>
      </w:r>
      <w:r/>
    </w:p>
    <w:p>
      <w:pPr>
        <w:pStyle w:val="713"/>
        <w:ind w:left="4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26.3投标截止时间结束后参加投标的供应商不足三家的处理：</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26.3.1如出现投标截止时间结束后参加投标的供应商或者在评标期间对招标文件做出实质响应的供应商不足三家情况，按政府采购相关规定执行。</w:t>
      </w:r>
      <w:bookmarkStart w:id="151" w:name="_Toc120614219"/>
      <w:r/>
      <w:r/>
    </w:p>
    <w:p>
      <w:pPr>
        <w:pStyle w:val="713"/>
        <w:ind w:firstLine="480"/>
        <w:jc w:val="both"/>
        <w:spacing w:beforeAutospacing="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六、定标</w:t>
      </w:r>
      <w:bookmarkEnd w:id="151"/>
      <w:r/>
      <w:bookmarkStart w:id="152" w:name="_Toc20823310"/>
      <w:r/>
      <w:bookmarkStart w:id="153" w:name="_Toc513029238"/>
      <w:r/>
      <w:bookmarkStart w:id="154" w:name="_Toc16938554"/>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w:t>
      </w:r>
      <w:bookmarkEnd w:id="152"/>
      <w:r>
        <w:rPr>
          <w:rFonts w:hint="eastAsia" w:ascii="宋体" w:hAnsi="宋体" w:eastAsia="宋体" w:cs="宋体"/>
          <w:color w:val="auto"/>
          <w:highlight w:val="none"/>
        </w:rPr>
        <w:t xml:space="preserve">确定</w:t>
      </w:r>
      <w:bookmarkEnd w:id="153"/>
      <w:r/>
      <w:bookmarkEnd w:id="154"/>
      <w:r>
        <w:rPr>
          <w:rFonts w:hint="eastAsia" w:ascii="宋体" w:hAnsi="宋体" w:eastAsia="宋体" w:cs="宋体"/>
          <w:color w:val="auto"/>
          <w:highlight w:val="none"/>
        </w:rPr>
        <w:t xml:space="preserve">中标单位</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27.2采购人应根据评委会推荐的中标候选人确定中标人。</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27.3招标代理机构将在中国政府采购网”“江苏政府采购网”“盐城市政府采购网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发布中标公告，公告期限为1个工作日。</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27.4.2向采购人、招标代理机构行贿或者提供其他不正当利益的。</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713"/>
        <w:ind w:firstLine="480"/>
        <w:jc w:val="both"/>
        <w:spacing w:beforeAutospacing="0" w:afterAutospacing="0" w:line="360" w:lineRule="auto"/>
        <w:rPr>
          <w:rFonts w:hint="eastAsia" w:ascii="宋体" w:hAnsi="宋体" w:eastAsia="宋体" w:cs="宋体"/>
          <w:color w:val="auto"/>
          <w:highlight w:val="none"/>
        </w:rPr>
      </w:pPr>
      <w:r/>
      <w:bookmarkStart w:id="155" w:name="_Toc200451960"/>
      <w:r>
        <w:rPr>
          <w:rFonts w:hint="eastAsia" w:ascii="宋体" w:hAnsi="宋体" w:eastAsia="宋体" w:cs="宋体"/>
          <w:color w:val="auto"/>
          <w:highlight w:val="none"/>
        </w:rPr>
        <w:t xml:space="preserve">27.5有下列情形之一的，视为投标人串通投标，投标无效：</w:t>
      </w:r>
      <w:bookmarkEnd w:id="155"/>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27.5.3不同投标人的投标文件载明的项目管理成员或者联系人员为同一人；</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28.质疑处理</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28.1提出质疑的供应商应当是参与所质疑项目采购活动的供应商。潜在供应商依法获取其可质疑的采购文件的，可以对采购文件提出质疑。</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28.2.2对采购过程提出质疑的，为各采购程序环节结束之日；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28.2.3对中标或者成交结果提出质疑的，为中标或者成交结果公告期限届满之日。</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名、盖章、加盖公章之处，联合体各方均须按要求签名、盖章、加盖公章。</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采购人及招标代理机构只接收以纸质原件形式送达的质疑，采购人和招标代理机构不接受未填写快递运单的快件。联系地址及联系方式同招标公告。</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28.5以下情形的质疑不予受理</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28.5.1内容不符合《政府采购质疑和投诉办法》第十二条规定的质疑。</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28.5.2超出政府采购法定期限的质疑。</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28.5.3以传真、电子邮件等方式递交的非原件形式的质疑。</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28.5.4未参加投标活动的供应商或在投标活动中自身权益未受到损害的供应商所提出的质疑。</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28.5.5供应商组成联合体参加投标，联合体中任何一方或多方未按要求签名、盖章、加盖公章的质疑。</w:t>
      </w:r>
      <w:r/>
    </w:p>
    <w:p>
      <w:pPr>
        <w:pStyle w:val="713"/>
        <w:ind w:firstLine="46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29.中标通知书</w:t>
      </w:r>
      <w:r/>
    </w:p>
    <w:p>
      <w:pPr>
        <w:pStyle w:val="713"/>
        <w:ind w:firstLine="46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13"/>
        <w:ind w:firstLine="46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bookmarkStart w:id="156" w:name="_Toc16938552"/>
      <w:r/>
      <w:bookmarkStart w:id="157" w:name="_Toc20823308"/>
      <w:r/>
      <w:bookmarkStart w:id="158" w:name="_Toc513029236"/>
      <w:r/>
      <w:bookmarkStart w:id="159" w:name="_Toc120614220"/>
      <w:r/>
      <w:r/>
    </w:p>
    <w:p>
      <w:pPr>
        <w:pStyle w:val="713"/>
        <w:ind w:firstLine="468"/>
        <w:jc w:val="both"/>
        <w:spacing w:beforeAutospacing="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七、授予合同</w:t>
      </w:r>
      <w:bookmarkEnd w:id="156"/>
      <w:r/>
      <w:bookmarkEnd w:id="157"/>
      <w:r/>
      <w:bookmarkEnd w:id="158"/>
      <w:r/>
      <w:bookmarkEnd w:id="159"/>
      <w:r/>
      <w:bookmarkStart w:id="160" w:name="_Toc16938553"/>
      <w:r/>
      <w:bookmarkStart w:id="161" w:name="_Toc20823309"/>
      <w:r/>
      <w:bookmarkStart w:id="162" w:name="_Toc513029237"/>
      <w:r/>
      <w:r/>
    </w:p>
    <w:p>
      <w:pPr>
        <w:pStyle w:val="713"/>
        <w:ind w:firstLine="46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30.签订合同</w:t>
      </w:r>
      <w:bookmarkEnd w:id="160"/>
      <w:r/>
      <w:bookmarkEnd w:id="161"/>
      <w:r/>
      <w:bookmarkEnd w:id="162"/>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30.l中标人应当在中标通知书发出之日起三十日内，按照招标文件确定的事项与采购人签订政府采购合同。</w:t>
      </w:r>
      <w:r/>
    </w:p>
    <w:p>
      <w:pPr>
        <w:pStyle w:val="713"/>
        <w:ind w:firstLine="6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713"/>
        <w:ind w:firstLine="60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30.3签订合同后，</w:t>
      </w:r>
      <w:r>
        <w:rPr>
          <w:rFonts w:hint="eastAsia" w:ascii="宋体" w:hAnsi="宋体" w:eastAsia="宋体" w:cs="宋体"/>
          <w:i/>
          <w:color w:val="auto"/>
          <w:highlight w:val="none"/>
          <w:u w:val="singl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31.货物（包含与货物相关的服务）的追加</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32.政府采购政策功能落实</w:t>
      </w:r>
      <w:r/>
    </w:p>
    <w:p>
      <w:pPr>
        <w:pStyle w:val="713"/>
        <w:ind w:firstLine="48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32.1政府采购线上合同信用融资政策</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操作手册。 </w:t>
      </w:r>
      <w:r/>
    </w:p>
    <w:p>
      <w:pPr>
        <w:ind w:firstLine="482"/>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32.2进口产品</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32.3中小企业、监狱企业及残疾人福利性单位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32.3.1中小企业定义：</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中小企业</w:t>
      </w:r>
      <w:r>
        <w:rPr>
          <w:rFonts w:hint="eastAsia" w:ascii="宋体" w:hAnsi="宋体" w:eastAsia="宋体" w:cs="宋体"/>
          <w:color w:val="auto"/>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32.3.2供应商提供的货物、工程或者服务符合下列情形的，享受中小企业扶持政策：</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32.3.2.1在货物采购项目中，货物由中小企业制造，即货物由中小企业生产且使用该中小企业商号或者注册商标；</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32.3.2.2在工程采购项目中，工程由中小企业承建，即工程施工单位为中小企业；</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32.3.2.3在服务采购项目中，服务由中小企业承接，即提供服务的人员为中小企业依照《中华人民共和国劳动合同法》订立劳动合同的从业人员。</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32.3.3在货物采购项目中，供应商提供的货物既有中小企业制造货物，也有大型企业制造货物的，不享受中小企业扶持政策。</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32.3.4以联合体形式参加政府采购活动，联合体各方均为中小企业的，联合体视同中小企业。其中，联合体各方均为小微企业的，联合体视同小微企业。</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32.3.6残疾人福利单位定义：享受政府采购支持政策的残疾人福利性单位应当同时满足以下条件：</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32.3.6.1安置的残疾人占本单位在职职工人数的比例不低于25%（含25%），并且安置的残疾人人数不少于10 人（含10 人）；</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32.3.6.2依法与安置的每位残疾人签订了一年以上（含一年）的劳动合同或服务协议；</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32.3.6.3为安置的每位残疾人按月足额缴纳了基本养老保险、基本医疗保险、失业保险、工伤保险和生育保险等社会保险费；</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32.3.6.4通过银行等金融机构向安置的每位残疾人，按月支付了不低于单位所在区县适用的经省级人民政府批准的月最低工资标准的工资；</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32.3.6.5提供本单位制造的货物、承担的工程或者服务（以下简称产品），或者提供其他残疾人福利性单位制造的货物（不包括使用非残疾人福利性单位注册商标的货物）；</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32.3.7本项目是否专门面向中小企业预留采购份额见第一章《招标公告》。</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32.3.8采购标的对应的中小企业划分标准所属行业见第四章《采购需求》。</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32.3.9小微企业价格评审优惠的政策：见第五章《评标方法和评标标准》。</w:t>
      </w:r>
      <w:r/>
    </w:p>
    <w:p>
      <w:pPr>
        <w:ind w:firstLine="482"/>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32.4政府采购节能产品、环境标志产品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32.5绿色包装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32.6政府采购创新产品</w:t>
      </w:r>
      <w:r/>
    </w:p>
    <w:p>
      <w:pPr>
        <w:ind w:firstLine="478"/>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32.7绿色数据中心政策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本文件中若涉及数据中心采购，采购人应依据《绿色数据中心政府采购需求标准（试行）》（财办库〔2023〕7号）文件精神</w:t>
      </w:r>
      <w:r>
        <w:rPr>
          <w:rFonts w:hint="eastAsia" w:ascii="宋体" w:hAnsi="宋体" w:eastAsia="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widowControl w:val="off"/>
        <w:tabs>
          <w:tab w:val="left" w:pos="1381"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32.8实施本国产品标准及相关政策</w:t>
      </w:r>
      <w:r>
        <w:rPr>
          <w:rFonts w:hint="eastAsia" w:ascii="宋体" w:hAnsi="宋体" w:eastAsia="宋体" w:cs="宋体"/>
          <w:b/>
          <w:bCs/>
          <w:color w:val="auto"/>
          <w:sz w:val="24"/>
          <w:szCs w:val="24"/>
          <w:highlight w:val="none"/>
        </w:rPr>
        <w:t xml:space="preserve">（本采购项目不涉及产品、货物采购）</w:t>
      </w:r>
      <w:r/>
    </w:p>
    <w:p>
      <w:pPr>
        <w:ind w:firstLine="482"/>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32.8.1本项目对采购本国产品给予政策支持，具体内容见招标文件“第五章 评标方法与评标标准”。</w:t>
      </w:r>
      <w:r/>
    </w:p>
    <w:p>
      <w:pPr>
        <w:ind w:firstLine="482"/>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32.9履约保证金政策</w:t>
      </w:r>
      <w:r/>
    </w:p>
    <w:p>
      <w:pPr>
        <w:pStyle w:val="890"/>
        <w:ind w:left="0" w:firstLine="48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确需收取履约保证金的，履约保证金的缴纳形式：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级及以上的政府采购供应商（需在签订采购合同前提供信用管理部门备案的第三方信用报告，且信用报告通过“信用盐城网”可查实），免交履约保证金。</w:t>
      </w:r>
      <w:r/>
    </w:p>
    <w:p>
      <w:pPr>
        <w:pStyle w:val="713"/>
        <w:ind w:firstLine="42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33.预付款制度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本项目落实预付款制度，预付款比例为</w:t>
      </w:r>
      <w:r>
        <w:rPr>
          <w:rFonts w:hint="eastAsia" w:ascii="宋体" w:hAnsi="宋体" w:eastAsia="宋体" w:cs="宋体"/>
          <w:color w:val="auto"/>
          <w:sz w:val="24"/>
          <w:highlight w:val="none"/>
          <w:u w:val="single"/>
        </w:rPr>
        <w:t xml:space="preserve"> 30% </w:t>
      </w:r>
      <w:r>
        <w:rPr>
          <w:rFonts w:hint="eastAsia" w:ascii="宋体" w:hAnsi="宋体" w:eastAsia="宋体" w:cs="宋体"/>
          <w:color w:val="auto"/>
          <w:sz w:val="24"/>
          <w:highlight w:val="none"/>
        </w:rPr>
        <w:t xml:space="preserve">。在签订合同时，中标、成交供应商明确书面表示无需预付款或者主动要求降低预付款比例的，采购人可就预付款比例作相应调整。</w:t>
      </w:r>
      <w:r/>
    </w:p>
    <w:p>
      <w:pPr>
        <w:spacing w:line="360" w:lineRule="auto"/>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rPr>
      </w:r>
      <w:r/>
    </w:p>
    <w:p>
      <w:pPr>
        <w:jc w:val="center"/>
        <w:spacing w:line="360" w:lineRule="auto"/>
        <w:rPr>
          <w:rFonts w:hint="eastAsia" w:ascii="宋体" w:hAnsi="宋体" w:eastAsia="宋体" w:cs="宋体"/>
          <w:b/>
          <w:color w:val="auto"/>
          <w:sz w:val="48"/>
          <w:szCs w:val="44"/>
          <w:highlight w:val="none"/>
        </w:rPr>
      </w:pPr>
      <w:r>
        <w:rPr>
          <w:rFonts w:hint="eastAsia" w:ascii="宋体" w:hAnsi="宋体" w:eastAsia="宋体" w:cs="宋体"/>
          <w:color w:val="auto"/>
          <w:sz w:val="36"/>
          <w:szCs w:val="44"/>
          <w:highlight w:val="none"/>
        </w:rPr>
        <w:br w:type="page" w:clear="all"/>
      </w:r>
      <w:bookmarkStart w:id="163" w:name="_Toc462564139"/>
      <w:r/>
      <w:bookmarkStart w:id="164" w:name="_Toc479757211"/>
      <w:r/>
      <w:bookmarkStart w:id="165" w:name="_Hlt16619350"/>
      <w:r/>
      <w:bookmarkStart w:id="166" w:name="_Toc16938590"/>
      <w:r/>
      <w:bookmarkStart w:id="167" w:name="_Toc20823346"/>
      <w:r/>
      <w:bookmarkStart w:id="168" w:name="_Toc120614244"/>
      <w:r/>
      <w:bookmarkStart w:id="169" w:name="_Hlt16619369"/>
      <w:r>
        <w:rPr>
          <w:rFonts w:hint="eastAsia" w:ascii="宋体" w:hAnsi="宋体" w:eastAsia="宋体" w:cs="宋体"/>
          <w:b/>
          <w:color w:val="auto"/>
          <w:sz w:val="44"/>
          <w:szCs w:val="44"/>
          <w:highlight w:val="none"/>
        </w:rPr>
        <w:t xml:space="preserve">第三章  合同条款</w:t>
      </w:r>
      <w:bookmarkEnd w:id="163"/>
      <w:r/>
      <w:bookmarkEnd w:id="164"/>
      <w:r/>
      <w:bookmarkEnd w:id="165"/>
      <w:r/>
      <w:bookmarkEnd w:id="166"/>
      <w:r/>
      <w:bookmarkEnd w:id="167"/>
      <w:r/>
      <w:bookmarkEnd w:id="168"/>
      <w:r/>
      <w:r/>
    </w:p>
    <w:p>
      <w:pPr>
        <w:pStyle w:val="698"/>
        <w:contextualSpacing/>
        <w:ind w:firstLine="480"/>
        <w:jc w:val="left"/>
        <w:spacing w:line="360" w:lineRule="auto"/>
        <w:rPr>
          <w:rFonts w:hint="eastAsia" w:ascii="宋体" w:hAnsi="宋体" w:eastAsia="宋体" w:cs="宋体"/>
          <w:color w:val="auto"/>
          <w:sz w:val="24"/>
          <w:szCs w:val="24"/>
          <w:highlight w:val="none"/>
          <w:lang w:val="en-US" w:eastAsia="zh-CN"/>
        </w:rPr>
      </w:pPr>
      <w:r/>
      <w:bookmarkStart w:id="170" w:name="EB6d2006462e294de090c16e672cecc3bd"/>
      <w:r/>
      <w:bookmarkEnd w:id="170"/>
      <w:r/>
      <w:bookmarkStart w:id="171" w:name="_Toc120614281"/>
      <w:r>
        <w:rPr>
          <w:rFonts w:hint="eastAsia" w:ascii="宋体" w:hAnsi="宋体" w:eastAsia="宋体" w:cs="宋体"/>
          <w:color w:val="auto"/>
          <w:sz w:val="24"/>
          <w:szCs w:val="24"/>
          <w:highlight w:val="none"/>
        </w:rPr>
        <w:t xml:space="preserve">项目名称：2026-2027年度全市供水水质检测服务</w:t>
      </w:r>
      <w:r>
        <w:rPr>
          <w:rFonts w:hint="eastAsia" w:ascii="宋体" w:hAnsi="宋体" w:eastAsia="宋体" w:cs="宋体"/>
          <w:color w:val="auto"/>
          <w:sz w:val="24"/>
          <w:szCs w:val="24"/>
          <w:highlight w:val="none"/>
          <w:lang w:val="en-US" w:eastAsia="zh-CN"/>
        </w:rPr>
        <w:t xml:space="preserve">项目</w:t>
      </w:r>
      <w:r/>
    </w:p>
    <w:p>
      <w:pPr>
        <w:pStyle w:val="698"/>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hAnsi="宋体" w:cs="宋体"/>
          <w:color w:val="auto"/>
          <w:sz w:val="24"/>
          <w:szCs w:val="24"/>
          <w:highlight w:val="none"/>
          <w:lang w:eastAsia="zh-CN"/>
        </w:rPr>
        <w:t xml:space="preserve">JSZC-320900-HZZZ-G2026-0001</w:t>
      </w:r>
      <w:r>
        <w:rPr>
          <w:rFonts w:hint="eastAsia" w:ascii="宋体" w:hAnsi="宋体" w:eastAsia="宋体" w:cs="宋体"/>
          <w:color w:val="auto"/>
          <w:sz w:val="24"/>
          <w:szCs w:val="24"/>
          <w:highlight w:val="none"/>
        </w:rPr>
        <w:t xml:space="preserve"> </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盐城市住房和城乡建设局</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p>
    <w:p>
      <w:pPr>
        <w:pStyle w:val="698"/>
        <w:contextualSpacing/>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highlight w:val="none"/>
          <w:u w:val="single"/>
        </w:rPr>
        <w:t xml:space="preserve">2026-2027年度全市供水水质检测服务</w:t>
      </w:r>
      <w:r>
        <w:rPr>
          <w:rFonts w:hint="eastAsia" w:ascii="宋体" w:hAnsi="宋体" w:eastAsia="宋体" w:cs="宋体"/>
          <w:color w:val="auto"/>
          <w:sz w:val="24"/>
          <w:highlight w:val="none"/>
          <w:u w:val="single"/>
          <w:lang w:val="en-US" w:eastAsia="zh-CN"/>
        </w:rPr>
        <w:t xml:space="preserve">项目</w:t>
      </w:r>
      <w:r>
        <w:rPr>
          <w:rFonts w:hint="eastAsia" w:ascii="宋体" w:hAnsi="宋体" w:eastAsia="宋体" w:cs="宋体"/>
          <w:color w:val="auto"/>
          <w:sz w:val="24"/>
          <w:szCs w:val="24"/>
          <w:highlight w:val="none"/>
        </w:rPr>
        <w:t xml:space="preserve">采购的结果，签署本合同。</w:t>
      </w:r>
      <w:r/>
    </w:p>
    <w:p>
      <w:pPr>
        <w:pStyle w:val="698"/>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1.1 服务内容：</w:t>
      </w:r>
      <w:r>
        <w:rPr>
          <w:rStyle w:val="897"/>
          <w:rFonts w:hint="eastAsia" w:ascii="宋体" w:hAnsi="宋体" w:eastAsia="宋体" w:cs="宋体"/>
          <w:bCs/>
          <w:color w:val="auto"/>
          <w:highlight w:val="none"/>
        </w:rPr>
        <w:t xml:space="preserve">按规定频率对盐城市水源水、出厂水、管网水、管网末梢水、二次供水进行水质的检测，出具相应的检测报告，并提供</w:t>
      </w:r>
      <w:r>
        <w:rPr>
          <w:rStyle w:val="897"/>
          <w:rFonts w:hint="eastAsia" w:ascii="宋体" w:hAnsi="宋体" w:eastAsia="宋体" w:cs="宋体"/>
          <w:bCs/>
          <w:color w:val="auto"/>
          <w:highlight w:val="none"/>
          <w:lang w:val="en-US" w:eastAsia="zh-CN"/>
        </w:rPr>
        <w:t xml:space="preserve">其他</w:t>
      </w:r>
      <w:r>
        <w:rPr>
          <w:rStyle w:val="897"/>
          <w:rFonts w:hint="eastAsia" w:ascii="宋体" w:hAnsi="宋体" w:eastAsia="宋体" w:cs="宋体"/>
          <w:bCs/>
          <w:color w:val="auto"/>
          <w:highlight w:val="none"/>
        </w:rPr>
        <w:t xml:space="preserve">服务</w:t>
      </w:r>
      <w:r>
        <w:rPr>
          <w:rStyle w:val="897"/>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（详</w:t>
      </w:r>
      <w:r>
        <w:rPr>
          <w:rFonts w:hint="eastAsia" w:ascii="宋体" w:hAnsi="宋体" w:eastAsia="宋体" w:cs="宋体"/>
          <w:color w:val="auto"/>
          <w:highlight w:val="none"/>
          <w:lang w:val="en-US" w:eastAsia="zh-CN"/>
        </w:rPr>
        <w:t xml:space="preserve">见附件</w:t>
      </w:r>
      <w:r>
        <w:rPr>
          <w:rFonts w:hint="eastAsia" w:ascii="宋体" w:hAnsi="宋体" w:eastAsia="宋体" w:cs="宋体"/>
          <w:color w:val="auto"/>
          <w:highlight w:val="none"/>
        </w:rPr>
        <w:t xml:space="preserve">）</w:t>
      </w:r>
      <w:r/>
    </w:p>
    <w:p>
      <w:pPr>
        <w:pStyle w:val="698"/>
        <w:contextualSpacing/>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1.2 服务期限：2026年  月-2027年  月。</w:t>
      </w:r>
      <w:r/>
    </w:p>
    <w:p>
      <w:pPr>
        <w:pStyle w:val="698"/>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_______圆整（__________元）人民币。本合同价款包含所有乙方提供合同约定服务的报酬及乙方提供合同中服务所支出的必要费用，甲方在上述合同价款之外不再向乙方支付其他任何费用。</w:t>
      </w:r>
      <w:r/>
    </w:p>
    <w:p>
      <w:pPr>
        <w:pStyle w:val="698"/>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698"/>
        <w:contextualSpacing/>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3.1乙方应按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文件规定的时间向甲方提供有关技术资料。</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98"/>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四</w:t>
      </w:r>
      <w:r>
        <w:rPr>
          <w:rFonts w:hint="eastAsia" w:ascii="宋体" w:hAnsi="宋体" w:eastAsia="宋体" w:cs="宋体"/>
          <w:b/>
          <w:color w:val="auto"/>
          <w:sz w:val="24"/>
          <w:szCs w:val="24"/>
          <w:highlight w:val="none"/>
        </w:rPr>
        <w:t xml:space="preserve">、保密条款</w:t>
      </w:r>
      <w:r/>
    </w:p>
    <w:p>
      <w:pPr>
        <w:pStyle w:val="698"/>
        <w:contextualSpacing/>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检（监）测涉及的图纸、数据系保密资料，甲方提供的图片、数据以及检（监）测过程中所产生的数据和结果乙方应当履行保密责任，未经甲方许可不得向外泄露，并签订保密协议。</w:t>
      </w:r>
      <w:r/>
    </w:p>
    <w:p>
      <w:pPr>
        <w:pStyle w:val="698"/>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、履约保证金</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乙方交纳人民币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作为本合同的履约保证金（合同金额的10%），履约保证金缴纳形式为转账、支票、汇票、本票或者金融机构、担保机构出具的保函、保险公司保险单等。如乙方在履约期间怠于履行义务或违约，则履约保证金不予返还，同时甲方有权终止合同。</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履约保证金用以约束乙方在合同履行中的行为，弥补合同执行中由于自身行为可能给甲方带来的各种损失。甲方对第三方信用服务机构依据标准规范评定为 AA 级及以上的政府采购供应商（需在签订采购合同前提供信用管理部门备案的第三方信用报告，且信用报告通过“信用盐城网”可查实），免交履约保证金。</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履约保证金的退还</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方式：无息退还至乙方缴纳履约保证金的账户。如为保函，乙方需提供保函至项目终验结束，终验结束后保函自动失效。</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时间：项目终验合格。</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条件：由乙方提出申请，30个工作日内退还履约保证金。</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.2.4</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不予退还情形：除不可抗力情况外，乙方出现下列情形之一的，将视情节决定履约保证金是否不予退还。</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（1）乙方无正当理由拒绝签订合同的，或者在签订合同时向甲方提出附加条件或者更改合同实质性内容要求的；</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（2）乙方不履行与甲方订立的合同的；</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（3）乙方所供货物或服务不符合招标文件规定要求的；</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（4）乙方采取欺骗、弄虚作假方式投标的或与其他投标人串通投标的；</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（5）乙方故意捏造事实或伪造证明材料，进行虚假恶意投诉或反映的。</w:t>
      </w:r>
      <w:r/>
    </w:p>
    <w:p>
      <w:pPr>
        <w:ind w:firstLine="480"/>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.2.5</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逾期退还的违约责任：甲方逾期无故未退还履约保证金的，按中国人民银行同期存款基准利率支付超期资金占用费，但因乙方自身原因导致无法及时退还的除外。</w:t>
      </w:r>
      <w:r/>
    </w:p>
    <w:p>
      <w:pPr>
        <w:pStyle w:val="698"/>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、转包或分包</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本合同范围内服务，应由乙方直接供应，不得转让他人供应；</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 除非得到甲方的书面同意，乙方不得部分分包给他人供应。</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如有转让和未经甲方同意的分包行为，甲方有权给予终止合同。 </w:t>
      </w:r>
      <w:r/>
    </w:p>
    <w:p>
      <w:pPr>
        <w:pStyle w:val="698"/>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、检测要求</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乙方根据附件规定的采样检测内容对各采样点进行水质采样检测，水样采集后必须按项目检测要求</w:t>
      </w:r>
      <w:bookmarkStart w:id="172" w:name="OLE_LINK11"/>
      <w:r>
        <w:rPr>
          <w:rFonts w:hint="eastAsia" w:ascii="宋体" w:hAnsi="宋体" w:eastAsia="宋体" w:cs="宋体"/>
          <w:color w:val="auto"/>
          <w:sz w:val="24"/>
          <w:szCs w:val="24"/>
          <w:highlight w:val="none"/>
        </w:rPr>
        <w:t xml:space="preserve">在规定的时间期限内</w:t>
      </w:r>
      <w:bookmarkEnd w:id="172"/>
      <w:r>
        <w:rPr>
          <w:rFonts w:hint="eastAsia" w:ascii="宋体" w:hAnsi="宋体" w:eastAsia="宋体" w:cs="宋体"/>
          <w:color w:val="auto"/>
          <w:sz w:val="24"/>
          <w:szCs w:val="24"/>
          <w:highlight w:val="none"/>
        </w:rPr>
        <w:t xml:space="preserve">进行检测分析。</w:t>
      </w:r>
      <w:r/>
    </w:p>
    <w:p>
      <w:pPr>
        <w:pStyle w:val="698"/>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乙方提供科学、公正、可靠的检测服务，在规定的时间期限内出具相应的检测报告和水质分析报告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正式提交的报告需要印章齐全。</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.3检测依据。《生活饮用水卫生标准》（GB5749-2022）、城市供水水质标准（CJ/T206-2005）《地表水环境质量标准》（GB3838-2002）</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，所有检测项目所采用的检验方法须为现行有效的国家标准或行业标准方法，其中生活饮用水及水源水检测方法优先采用《生活饮用水标准检验方法》（GB/T 5750）系列，地表水检测方法优先采用生态环境部发布的环境监测分析方法标准（HJ系列），方法适用范围应覆盖相应检测对象（地表水或生活饮用水）。</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现场</w:t>
      </w:r>
      <w:r>
        <w:rPr>
          <w:rFonts w:hint="eastAsia" w:ascii="宋体" w:hAnsi="宋体" w:eastAsia="宋体" w:cs="宋体"/>
          <w:color w:val="auto"/>
          <w:sz w:val="24"/>
          <w:szCs w:val="24"/>
          <w:highlight w:val="none"/>
          <w:lang w:val="en-US" w:eastAsia="zh-CN"/>
        </w:rPr>
        <w:t xml:space="preserve">抽检</w:t>
      </w:r>
      <w:r>
        <w:rPr>
          <w:rFonts w:hint="eastAsia" w:ascii="宋体" w:hAnsi="宋体" w:eastAsia="宋体" w:cs="宋体"/>
          <w:color w:val="auto"/>
          <w:sz w:val="24"/>
          <w:szCs w:val="24"/>
          <w:highlight w:val="none"/>
        </w:rPr>
        <w:t xml:space="preserve">乙方应服从甲方安排，乙方</w:t>
      </w:r>
      <w:r>
        <w:rPr>
          <w:rFonts w:hint="eastAsia" w:ascii="宋体" w:hAnsi="宋体" w:eastAsia="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val="en-US" w:eastAsia="zh-CN"/>
        </w:rPr>
        <w:t xml:space="preserve">提前</w:t>
      </w:r>
      <w:r>
        <w:rPr>
          <w:rFonts w:hint="eastAsia" w:ascii="宋体" w:hAnsi="宋体" w:eastAsia="宋体" w:cs="宋体"/>
          <w:color w:val="auto"/>
          <w:sz w:val="24"/>
          <w:szCs w:val="24"/>
          <w:highlight w:val="none"/>
        </w:rPr>
        <w:t xml:space="preserve">向甲方申报</w:t>
      </w:r>
      <w:r>
        <w:rPr>
          <w:rFonts w:hint="eastAsia" w:ascii="宋体" w:hAnsi="宋体" w:eastAsia="宋体" w:cs="宋体"/>
          <w:color w:val="auto"/>
          <w:sz w:val="24"/>
          <w:szCs w:val="24"/>
          <w:highlight w:val="none"/>
          <w:lang w:val="en-US" w:eastAsia="zh-CN"/>
        </w:rPr>
        <w:t xml:space="preserve">月度</w:t>
      </w:r>
      <w:r>
        <w:rPr>
          <w:rFonts w:hint="eastAsia" w:ascii="宋体" w:hAnsi="宋体" w:eastAsia="宋体" w:cs="宋体"/>
          <w:color w:val="auto"/>
          <w:sz w:val="24"/>
          <w:szCs w:val="24"/>
          <w:highlight w:val="none"/>
        </w:rPr>
        <w:t xml:space="preserve">检测计划。</w:t>
      </w:r>
      <w:r/>
    </w:p>
    <w:p>
      <w:pPr>
        <w:pStyle w:val="698"/>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、交付期、交付方式及交付地点</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交付期：</w:t>
      </w:r>
      <w:r>
        <w:rPr>
          <w:rFonts w:hint="eastAsia" w:ascii="宋体" w:hAnsi="宋体" w:eastAsia="宋体" w:cs="宋体"/>
          <w:color w:val="auto"/>
          <w:sz w:val="24"/>
          <w:szCs w:val="24"/>
          <w:highlight w:val="none"/>
          <w:u w:val="single"/>
        </w:rPr>
        <w:t xml:space="preserve">每月完成采样</w:t>
      </w:r>
      <w:r>
        <w:rPr>
          <w:rFonts w:hint="eastAsia" w:ascii="宋体" w:hAnsi="宋体" w:eastAsia="宋体" w:cs="宋体"/>
          <w:color w:val="auto"/>
          <w:sz w:val="24"/>
          <w:szCs w:val="24"/>
          <w:highlight w:val="none"/>
          <w:u w:val="single"/>
          <w:lang w:val="en-US" w:eastAsia="zh-CN"/>
        </w:rPr>
        <w:t xml:space="preserve">后，次月18日前</w:t>
      </w:r>
      <w:r>
        <w:rPr>
          <w:rFonts w:hint="eastAsia" w:ascii="宋体" w:hAnsi="宋体" w:eastAsia="宋体" w:cs="宋体"/>
          <w:color w:val="auto"/>
          <w:sz w:val="24"/>
          <w:szCs w:val="24"/>
          <w:highlight w:val="none"/>
          <w:u w:val="single"/>
        </w:rPr>
        <w:t xml:space="preserve">提交检测报告；年度分析报告在完成所有检测任务后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60</w:t>
      </w:r>
      <w:r>
        <w:rPr>
          <w:rFonts w:hint="eastAsia" w:ascii="宋体" w:hAnsi="宋体" w:eastAsia="宋体" w:cs="宋体"/>
          <w:color w:val="auto"/>
          <w:sz w:val="24"/>
          <w:szCs w:val="24"/>
          <w:highlight w:val="none"/>
          <w:u w:val="single"/>
        </w:rPr>
        <w:t xml:space="preserve">日历天内提交</w:t>
      </w:r>
      <w:r>
        <w:rPr>
          <w:rFonts w:hint="eastAsia" w:ascii="宋体" w:hAnsi="宋体" w:eastAsia="宋体" w:cs="宋体"/>
          <w:color w:val="auto"/>
          <w:sz w:val="24"/>
          <w:szCs w:val="24"/>
          <w:highlight w:val="none"/>
        </w:rPr>
        <w:t xml:space="preserve">。   </w:t>
      </w:r>
      <w:r/>
    </w:p>
    <w:p>
      <w:pPr>
        <w:pStyle w:val="698"/>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交付方式：</w:t>
      </w:r>
      <w:r>
        <w:rPr>
          <w:rFonts w:hint="eastAsia" w:ascii="宋体" w:hAnsi="宋体" w:eastAsia="宋体" w:cs="宋体"/>
          <w:color w:val="auto"/>
          <w:sz w:val="24"/>
          <w:szCs w:val="24"/>
          <w:highlight w:val="none"/>
          <w:u w:val="single"/>
        </w:rPr>
        <w:t xml:space="preserve">书面检测报告、分析报告一式贰份及电子版</w:t>
      </w:r>
      <w:r>
        <w:rPr>
          <w:rFonts w:hint="eastAsia" w:ascii="宋体" w:hAnsi="宋体" w:eastAsia="宋体" w:cs="宋体"/>
          <w:color w:val="auto"/>
          <w:sz w:val="24"/>
          <w:szCs w:val="24"/>
          <w:highlight w:val="none"/>
        </w:rPr>
        <w:t xml:space="preserve">。</w:t>
      </w:r>
      <w:r/>
    </w:p>
    <w:p>
      <w:pPr>
        <w:pStyle w:val="698"/>
        <w:contextualSpacing/>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交付地点：</w:t>
      </w:r>
      <w:r>
        <w:rPr>
          <w:rFonts w:hint="eastAsia" w:ascii="宋体" w:hAnsi="宋体" w:eastAsia="宋体" w:cs="宋体"/>
          <w:color w:val="auto"/>
          <w:sz w:val="24"/>
          <w:szCs w:val="24"/>
          <w:highlight w:val="none"/>
          <w:u w:val="single"/>
        </w:rPr>
        <w:t xml:space="preserve">盐城市住房和城乡建设局</w:t>
      </w:r>
      <w:r>
        <w:rPr>
          <w:rFonts w:hint="eastAsia" w:ascii="宋体" w:hAnsi="宋体" w:eastAsia="宋体" w:cs="宋体"/>
          <w:color w:val="auto"/>
          <w:sz w:val="24"/>
          <w:szCs w:val="24"/>
          <w:highlight w:val="none"/>
        </w:rPr>
        <w:t xml:space="preserve">。</w:t>
      </w:r>
      <w:r/>
    </w:p>
    <w:p>
      <w:pPr>
        <w:pStyle w:val="698"/>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、合同款支付</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9.1 本合同价款结算原则：本项目为固定</w:t>
      </w:r>
      <w:r>
        <w:rPr>
          <w:rFonts w:hint="eastAsia" w:hAnsi="宋体" w:cs="宋体"/>
          <w:bCs/>
          <w:color w:val="auto"/>
          <w:sz w:val="24"/>
          <w:szCs w:val="24"/>
          <w:highlight w:val="none"/>
          <w:lang w:val="en-US" w:eastAsia="zh-CN" w:bidi="ar-SA"/>
        </w:rPr>
        <w:t xml:space="preserve">单价</w:t>
      </w:r>
      <w:r>
        <w:rPr>
          <w:rFonts w:hint="eastAsia" w:ascii="宋体" w:hAnsi="宋体" w:eastAsia="宋体" w:cs="宋体"/>
          <w:bCs/>
          <w:color w:val="auto"/>
          <w:sz w:val="24"/>
          <w:szCs w:val="24"/>
          <w:highlight w:val="none"/>
          <w:lang w:val="en-US" w:eastAsia="zh-CN" w:bidi="ar-SA"/>
        </w:rPr>
        <w:t xml:space="preserve">合同。</w:t>
      </w:r>
      <w:r>
        <w:rPr>
          <w:rFonts w:hint="eastAsia" w:ascii="宋体" w:hAnsi="宋体" w:eastAsia="宋体" w:cs="宋体"/>
          <w:color w:val="auto"/>
          <w:sz w:val="24"/>
          <w:szCs w:val="24"/>
          <w:highlight w:val="none"/>
        </w:rPr>
        <w:t xml:space="preserve">当采购数量与实际使用数量不一致时，按实际使用量乘以成交单价进行计算，但支付的总价不超过合同金额。</w:t>
      </w:r>
      <w:r/>
    </w:p>
    <w:p>
      <w:pPr>
        <w:pStyle w:val="698"/>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.2付款方式：</w:t>
      </w:r>
      <w:r/>
    </w:p>
    <w:p>
      <w:pPr>
        <w:pStyle w:val="698"/>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合同签订后且收到</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发票后</w:t>
      </w: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个</w:t>
      </w:r>
      <w:r>
        <w:rPr>
          <w:rFonts w:hint="eastAsia" w:hAnsi="宋体" w:cs="宋体"/>
          <w:color w:val="auto"/>
          <w:sz w:val="24"/>
          <w:szCs w:val="24"/>
          <w:highlight w:val="none"/>
          <w:lang w:val="en-US" w:eastAsia="zh-CN"/>
        </w:rPr>
        <w:t xml:space="preserve">工作日</w:t>
      </w:r>
      <w:r>
        <w:rPr>
          <w:rFonts w:hint="eastAsia" w:ascii="宋体" w:hAnsi="宋体" w:eastAsia="宋体" w:cs="宋体"/>
          <w:color w:val="auto"/>
          <w:sz w:val="24"/>
          <w:szCs w:val="24"/>
          <w:highlight w:val="none"/>
        </w:rPr>
        <w:t xml:space="preserve">内支付合同总额</w:t>
      </w: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rPr>
        <w:t xml:space="preserve">0%</w:t>
      </w:r>
      <w:r>
        <w:rPr>
          <w:rFonts w:hint="eastAsia" w:ascii="宋体" w:hAnsi="宋体" w:eastAsia="宋体" w:cs="宋体"/>
          <w:color w:val="auto"/>
          <w:sz w:val="24"/>
          <w:szCs w:val="24"/>
          <w:highlight w:val="none"/>
        </w:rPr>
        <w:t xml:space="preserve">的预付款</w:t>
      </w:r>
      <w:r>
        <w:rPr>
          <w:rFonts w:hint="eastAsia" w:ascii="宋体" w:hAnsi="宋体" w:eastAsia="宋体" w:cs="宋体"/>
          <w:bCs/>
          <w:color w:val="auto"/>
          <w:sz w:val="24"/>
          <w:szCs w:val="24"/>
          <w:highlight w:val="none"/>
        </w:rPr>
        <w:t xml:space="preserve">。</w:t>
      </w:r>
      <w:r/>
    </w:p>
    <w:p>
      <w:pPr>
        <w:pStyle w:val="698"/>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（2）服务期满且乙方完成全部服务内容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经甲方验收合格</w:t>
      </w:r>
      <w:r>
        <w:rPr>
          <w:rFonts w:hint="eastAsia" w:ascii="宋体" w:hAnsi="宋体" w:eastAsia="宋体" w:cs="宋体"/>
          <w:color w:val="auto"/>
          <w:sz w:val="24"/>
          <w:szCs w:val="24"/>
          <w:highlight w:val="none"/>
        </w:rPr>
        <w:t xml:space="preserve">且收到</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发票后</w:t>
      </w: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个</w:t>
      </w:r>
      <w:r>
        <w:rPr>
          <w:rFonts w:hint="eastAsia" w:hAnsi="宋体" w:cs="宋体"/>
          <w:color w:val="auto"/>
          <w:sz w:val="24"/>
          <w:szCs w:val="24"/>
          <w:highlight w:val="none"/>
          <w:lang w:val="en-US" w:eastAsia="zh-CN"/>
        </w:rPr>
        <w:t xml:space="preserve">工作日</w:t>
      </w:r>
      <w:r>
        <w:rPr>
          <w:rFonts w:hint="eastAsia" w:ascii="宋体" w:hAnsi="宋体" w:eastAsia="宋体" w:cs="宋体"/>
          <w:color w:val="auto"/>
          <w:sz w:val="24"/>
          <w:szCs w:val="24"/>
          <w:highlight w:val="none"/>
        </w:rPr>
        <w:t xml:space="preserve">内</w:t>
      </w:r>
      <w:r>
        <w:rPr>
          <w:rFonts w:hint="eastAsia" w:ascii="宋体" w:hAnsi="宋体" w:eastAsia="宋体" w:cs="宋体"/>
          <w:bCs/>
          <w:color w:val="auto"/>
          <w:sz w:val="24"/>
          <w:szCs w:val="24"/>
          <w:highlight w:val="none"/>
        </w:rPr>
        <w:t xml:space="preserve">结清余款。</w:t>
      </w:r>
      <w:r/>
    </w:p>
    <w:p>
      <w:pPr>
        <w:pStyle w:val="698"/>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（3）乙方开户银行名称和账号：</w:t>
      </w:r>
      <w:r/>
    </w:p>
    <w:p>
      <w:pPr>
        <w:pStyle w:val="698"/>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收款单位全称：_______________           </w:t>
      </w:r>
      <w:r/>
    </w:p>
    <w:p>
      <w:pPr>
        <w:pStyle w:val="698"/>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开户银行：_______________       </w:t>
      </w:r>
      <w:r/>
    </w:p>
    <w:p>
      <w:pPr>
        <w:pStyle w:val="698"/>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账号：_______________       </w:t>
      </w:r>
      <w:r>
        <w:rPr>
          <w:rFonts w:hint="eastAsia" w:ascii="宋体" w:hAnsi="宋体" w:eastAsia="宋体" w:cs="宋体"/>
          <w:color w:val="auto"/>
          <w:sz w:val="24"/>
          <w:highlight w:val="none"/>
        </w:rPr>
        <w:t xml:space="preserve">  </w:t>
      </w:r>
      <w:r/>
    </w:p>
    <w:p>
      <w:pPr>
        <w:pStyle w:val="698"/>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lang w:val="en-US" w:eastAsia="zh-CN"/>
        </w:rPr>
        <w:t xml:space="preserve">十</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szCs w:val="24"/>
          <w:highlight w:val="none"/>
        </w:rPr>
        <w:t xml:space="preserve">双方责任和义务</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10.1 </w:t>
      </w:r>
      <w:r>
        <w:rPr>
          <w:rFonts w:hint="eastAsia" w:ascii="宋体" w:hAnsi="宋体" w:eastAsia="宋体" w:cs="宋体"/>
          <w:color w:val="auto"/>
          <w:sz w:val="24"/>
          <w:szCs w:val="24"/>
          <w:highlight w:val="none"/>
        </w:rPr>
        <w:t xml:space="preserve">甲方责任和义务：</w:t>
      </w:r>
      <w:r/>
    </w:p>
    <w:p>
      <w:pPr>
        <w:pStyle w:val="698"/>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甲方应当为乙方履行合同提供必要的支持。</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检测项目与采样点位由甲方指定。</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10.2 </w:t>
      </w:r>
      <w:r>
        <w:rPr>
          <w:rFonts w:hint="eastAsia" w:ascii="宋体" w:hAnsi="宋体" w:eastAsia="宋体" w:cs="宋体"/>
          <w:color w:val="auto"/>
          <w:sz w:val="24"/>
          <w:szCs w:val="24"/>
          <w:highlight w:val="none"/>
        </w:rPr>
        <w:t xml:space="preserve">乙方责任和义务：</w:t>
      </w:r>
      <w:r/>
    </w:p>
    <w:p>
      <w:pPr>
        <w:pStyle w:val="698"/>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lang w:val="en-US" w:eastAsia="zh-CN" w:bidi="ar-SA"/>
        </w:rPr>
        <w:t xml:space="preserve">乙方在履行合同中产生的一切非因甲方过错导致的损失，均由乙方自行承担责任。</w:t>
      </w:r>
      <w:r/>
    </w:p>
    <w:p>
      <w:pPr>
        <w:pStyle w:val="698"/>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乙方对甲方提供的资料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乙方因本项目产生的资料</w:t>
      </w:r>
      <w:r>
        <w:rPr>
          <w:rFonts w:hint="eastAsia" w:ascii="宋体" w:hAnsi="宋体" w:eastAsia="宋体" w:cs="宋体"/>
          <w:color w:val="auto"/>
          <w:sz w:val="24"/>
          <w:szCs w:val="24"/>
          <w:highlight w:val="none"/>
        </w:rPr>
        <w:t xml:space="preserve">有保密义务，需签订保密协议（见附件）。</w:t>
      </w:r>
      <w:r/>
    </w:p>
    <w:p>
      <w:pPr>
        <w:pStyle w:val="698"/>
        <w:contextualSpacing/>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乙方对于有超标情况的检测报告，在检测结果出来后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应立即通知甲方，</w:t>
      </w:r>
      <w:r>
        <w:rPr>
          <w:rFonts w:hint="eastAsia" w:ascii="宋体" w:hAnsi="宋体" w:eastAsia="宋体" w:cs="宋体"/>
          <w:color w:val="auto"/>
          <w:sz w:val="24"/>
          <w:szCs w:val="24"/>
          <w:highlight w:val="none"/>
          <w:lang w:val="en-US" w:eastAsia="zh-CN"/>
        </w:rPr>
        <w:t xml:space="preserve">由甲方判断是否需要复测</w:t>
      </w:r>
      <w:r>
        <w:rPr>
          <w:rFonts w:hint="eastAsia" w:ascii="宋体" w:hAnsi="宋体" w:eastAsia="宋体" w:cs="宋体"/>
          <w:color w:val="auto"/>
          <w:sz w:val="24"/>
          <w:szCs w:val="24"/>
          <w:highlight w:val="none"/>
        </w:rPr>
        <w:t xml:space="preserve">。</w:t>
      </w:r>
      <w:r/>
    </w:p>
    <w:p>
      <w:pPr>
        <w:pStyle w:val="698"/>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、验收</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甲方在合同履行期间，有权对乙方所提供的服务进行监督，组织相关领域专家（专家不得与乙方有关联）依照采购文件要求以及乙方响应文件的承诺对乙方提供的相关服务或交付的工作成果进行年度总体验收，如甲方认为有必要的，视情况开展阶段性验收，乙方须予以配合。</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 乙方所提供的服务的技术规格应与招标文件规定的相一致；若技术性能无特殊说明，则按国家有关部门最新颁布的标准及规范为准。</w:t>
      </w:r>
      <w:r/>
    </w:p>
    <w:p>
      <w:pPr>
        <w:ind w:firstLine="47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 乙方应按照本合同或招投标文件规定的时间和方式向甲方交付服务。</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11.4 乙方交付的服务应当完全符合本合同或者招投标文件所规定的要求。乙方提供的服务不符合招投标文件和合同规定的，甲方有权拒收，由此引起的风险和损失，由乙方承担。</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p>
    <w:p>
      <w:pPr>
        <w:pStyle w:val="698"/>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、违约责任</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甲方无正当理由拒收的，甲方向乙方偿付拒收</w:t>
      </w:r>
      <w:r>
        <w:rPr>
          <w:rFonts w:hint="eastAsia" w:ascii="宋体" w:hAnsi="宋体" w:eastAsia="宋体" w:cs="宋体"/>
          <w:color w:val="auto"/>
          <w:sz w:val="24"/>
          <w:szCs w:val="24"/>
          <w:highlight w:val="none"/>
          <w:lang w:val="en-US" w:eastAsia="zh-CN"/>
        </w:rPr>
        <w:t xml:space="preserve">款项</w:t>
      </w:r>
      <w:r>
        <w:rPr>
          <w:rFonts w:hint="eastAsia" w:ascii="宋体" w:hAnsi="宋体" w:eastAsia="宋体" w:cs="宋体"/>
          <w:color w:val="auto"/>
          <w:sz w:val="24"/>
          <w:szCs w:val="24"/>
          <w:highlight w:val="none"/>
        </w:rPr>
        <w:t xml:space="preserve">总值</w:t>
      </w:r>
      <w:r>
        <w:rPr>
          <w:rFonts w:hint="eastAsia" w:ascii="宋体" w:hAnsi="宋体" w:eastAsia="宋体" w:cs="宋体"/>
          <w:color w:val="auto"/>
          <w:sz w:val="24"/>
          <w:szCs w:val="24"/>
          <w:highlight w:val="none"/>
          <w:lang w:val="en-US" w:eastAsia="zh-CN"/>
        </w:rPr>
        <w:t xml:space="preserve">5%的</w:t>
      </w:r>
      <w:r>
        <w:rPr>
          <w:rFonts w:hint="eastAsia" w:ascii="宋体" w:hAnsi="宋体" w:eastAsia="宋体" w:cs="宋体"/>
          <w:color w:val="auto"/>
          <w:sz w:val="24"/>
          <w:szCs w:val="24"/>
          <w:highlight w:val="none"/>
        </w:rPr>
        <w:t xml:space="preserve">违约金。</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乙方应按合同约定时间出具</w:t>
      </w:r>
      <w:r>
        <w:rPr>
          <w:rFonts w:hint="eastAsia" w:ascii="宋体" w:hAnsi="宋体" w:eastAsia="宋体" w:cs="宋体"/>
          <w:color w:val="auto"/>
          <w:sz w:val="24"/>
          <w:szCs w:val="24"/>
          <w:highlight w:val="none"/>
          <w:lang w:val="en-US" w:eastAsia="zh-CN"/>
        </w:rPr>
        <w:t xml:space="preserve">检测报告</w:t>
      </w:r>
      <w:r>
        <w:rPr>
          <w:rFonts w:hint="eastAsia" w:ascii="宋体" w:hAnsi="宋体" w:eastAsia="宋体" w:cs="宋体"/>
          <w:color w:val="auto"/>
          <w:sz w:val="24"/>
          <w:szCs w:val="24"/>
          <w:highlight w:val="none"/>
        </w:rPr>
        <w:t xml:space="preserve">，每延迟1日交付，扣除该月检测费用的10%，扣完为止；连续</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个月均发生延迟交付的，甲方有权单方解除合同，并依法追究乙方违约责任。</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甲方有权邀请</w:t>
      </w:r>
      <w:bookmarkStart w:id="173" w:name="OLE_LINK17"/>
      <w:r>
        <w:rPr>
          <w:rFonts w:hint="eastAsia" w:ascii="宋体" w:hAnsi="宋体" w:eastAsia="宋体" w:cs="宋体"/>
          <w:color w:val="auto"/>
          <w:sz w:val="24"/>
          <w:szCs w:val="24"/>
          <w:highlight w:val="none"/>
        </w:rPr>
        <w:t xml:space="preserve">相关领域</w:t>
      </w:r>
      <w:bookmarkEnd w:id="173"/>
      <w:r>
        <w:rPr>
          <w:rFonts w:hint="eastAsia" w:ascii="宋体" w:hAnsi="宋体" w:eastAsia="宋体" w:cs="宋体"/>
          <w:color w:val="auto"/>
          <w:sz w:val="24"/>
          <w:szCs w:val="24"/>
          <w:highlight w:val="none"/>
        </w:rPr>
        <w:t xml:space="preserve">专业技术人员对乙方的检测工作进行监督检查。如发现乙方存在违反检测规范、弄虚作假、选择性检测或出具虚假报告等禁止性行为，一经查实，甲方有权单方解除合同，</w:t>
      </w:r>
      <w:r>
        <w:rPr>
          <w:rFonts w:hint="eastAsia" w:ascii="宋体" w:hAnsi="宋体" w:eastAsia="宋体" w:cs="宋体"/>
          <w:color w:val="auto"/>
          <w:sz w:val="24"/>
          <w:szCs w:val="24"/>
          <w:highlight w:val="none"/>
          <w:lang w:val="en-US" w:eastAsia="zh-CN"/>
        </w:rPr>
        <w:t xml:space="preserve">对已经完成且合格的工作量予以按实结算，如预付款超付的，乙方应予以退回并赔偿相应的损失。甲方有权</w:t>
      </w:r>
      <w:r>
        <w:rPr>
          <w:rFonts w:hint="eastAsia" w:ascii="宋体" w:hAnsi="宋体" w:eastAsia="宋体" w:cs="宋体"/>
          <w:color w:val="auto"/>
          <w:sz w:val="24"/>
          <w:szCs w:val="24"/>
          <w:highlight w:val="none"/>
        </w:rPr>
        <w:t xml:space="preserve">将相关情况通报市场监管部门依法处理。</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乙方应在合同约定时限内提交年度分析报告，每延迟</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交付</w:t>
      </w:r>
      <w:r>
        <w:rPr>
          <w:rFonts w:hint="eastAsia" w:ascii="宋体" w:hAnsi="宋体" w:eastAsia="宋体" w:cs="宋体"/>
          <w:color w:val="auto"/>
          <w:sz w:val="24"/>
          <w:szCs w:val="24"/>
          <w:highlight w:val="none"/>
        </w:rPr>
        <w:t xml:space="preserve">，扣除合同总金额的0.5%；延迟超过30个</w:t>
      </w:r>
      <w:r>
        <w:rPr>
          <w:rFonts w:hint="eastAsia" w:ascii="宋体" w:hAnsi="宋体" w:eastAsia="宋体" w:cs="宋体"/>
          <w:color w:val="auto"/>
          <w:sz w:val="24"/>
          <w:szCs w:val="24"/>
          <w:highlight w:val="none"/>
          <w:lang w:val="en-US" w:eastAsia="zh-CN"/>
        </w:rPr>
        <w:t xml:space="preserve">日历天</w:t>
      </w:r>
      <w:r>
        <w:rPr>
          <w:rFonts w:hint="eastAsia" w:ascii="宋体" w:hAnsi="宋体" w:eastAsia="宋体" w:cs="宋体"/>
          <w:color w:val="auto"/>
          <w:sz w:val="24"/>
          <w:szCs w:val="24"/>
          <w:highlight w:val="none"/>
        </w:rPr>
        <w:t xml:space="preserve">仍未提交的，甲方有权扣留履约保证金，并视情节严重程度追究其违约责任。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12.5 若乙方未按要求及时提供招标文“第四章 采购需求”“二服务内容 2．其他服务”规定的服务或服务不满足甲方要求时，乙方应承担相应的违约责任，其中第1项和第6项按合同总价1%承担违约金；第2-5项按合同总价2%承担违约金。若乙方违约情节十分严重的，甲方有权单方解除合同，并追究其违约责任。</w:t>
      </w:r>
      <w:r/>
    </w:p>
    <w:p>
      <w:pPr>
        <w:pStyle w:val="698"/>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、不可抗力事件处理</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在合同有效期内，任何一方因不可抗力事件导致不能履行合同，则合同履行期延长，其延长期与不可抗力影响期相同。</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不可抗力事件发生后，应立即通知对方，并寄送有关权威机构出具的证明。</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不可抗力事件延续120天以上，双方应通过友好协商，确定是否继续履行合同。</w:t>
      </w:r>
      <w:r/>
    </w:p>
    <w:p>
      <w:pPr>
        <w:pStyle w:val="698"/>
        <w:contextualSpacing/>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争议的解决</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4.1 </w:t>
      </w:r>
      <w:r>
        <w:rPr>
          <w:rFonts w:hint="eastAsia" w:ascii="宋体" w:hAnsi="宋体" w:eastAsia="宋体" w:cs="宋体"/>
          <w:color w:val="auto"/>
          <w:sz w:val="24"/>
          <w:szCs w:val="24"/>
          <w:highlight w:val="none"/>
          <w:lang w:val="en-US" w:eastAsia="zh-CN" w:bidi="ar-SA"/>
        </w:rPr>
        <w:t xml:space="preserve">因质量问题发生争议的，应当邀请国家认可的质量检测机构对服务质量进行鉴定。符合质量标准的，鉴定费由甲方承担；不符合质量标准的，鉴定费由乙方承担，并赔偿相应的损失费用。</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14.2 </w:t>
      </w:r>
      <w:r>
        <w:rPr>
          <w:rFonts w:hint="eastAsia" w:ascii="宋体" w:hAnsi="宋体" w:eastAsia="宋体" w:cs="宋体"/>
          <w:color w:val="auto"/>
          <w:sz w:val="24"/>
          <w:szCs w:val="24"/>
          <w:highlight w:val="none"/>
          <w:lang w:val="en-US" w:eastAsia="zh-CN" w:bidi="ar-SA"/>
        </w:rPr>
        <w:t xml:space="preserve">因履行本合同引起的或与本合同有关的争议，甲、乙双方应首先通过友好协商解决，如果协商不能解决争议，可向甲方所在地有管辖权的人民法院提起诉讼。</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14.3 在诉讼期间，本合同应继续履行。</w:t>
      </w:r>
      <w:r/>
    </w:p>
    <w:p>
      <w:pPr>
        <w:pStyle w:val="698"/>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五、知识产权</w:t>
      </w:r>
      <w:r/>
    </w:p>
    <w:p>
      <w:pPr>
        <w:pStyle w:val="698"/>
        <w:contextualSpacing/>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 乙方应保证甲方在使用、接受本合同中产品和服务或其任何一部分时，不受第三方提出侵犯其专利权、版权、商标权和工业设计权等知识产权的起诉。一旦出现侵权，由乙方负全部责任。</w:t>
      </w:r>
      <w:r/>
    </w:p>
    <w:p>
      <w:pPr>
        <w:pStyle w:val="698"/>
        <w:contextualSpacing/>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15.2 本合同履行过程中产生的全部检测数据、检测结果、分析报告及相关技术资料的知识产权归甲方所有。未经甲方书面同意，乙方不得将上述数据、结果、报告及资料用于本合同目的之外的任何用途，亦不得向任何第三方披露、转让或许可使用。</w:t>
      </w:r>
      <w:r/>
    </w:p>
    <w:p>
      <w:pPr>
        <w:pStyle w:val="698"/>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、合同生效及其它</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本合同未尽事宜，遵照《中华人民共和国民法典》有关条文执行。</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本合同正本一式陆份，具有同等法律效力，甲方、乙方各执叁份。</w:t>
      </w:r>
      <w:r/>
    </w:p>
    <w:p>
      <w:pPr>
        <w:pStyle w:val="698"/>
        <w:contextualSpacing/>
        <w:ind w:left="210"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附件：项目服务内容</w:t>
      </w:r>
      <w:r/>
    </w:p>
    <w:p>
      <w:pPr>
        <w:pStyle w:val="698"/>
        <w:contextualSpacing/>
        <w:ind w:left="210"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8"/>
        <w:contextualSpacing/>
        <w:ind w:left="210"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698"/>
        <w:contextualSpacing/>
        <w:ind w:left="210"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698"/>
        <w:contextualSpacing/>
        <w:ind w:left="210"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698"/>
        <w:contextualSpacing/>
        <w:ind w:left="210"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8"/>
        <w:contextualSpacing/>
        <w:ind w:left="210"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                                 经办人：</w:t>
      </w:r>
      <w:r/>
    </w:p>
    <w:p>
      <w:pPr>
        <w:pStyle w:val="698"/>
        <w:contextualSpacing/>
        <w:ind w:left="210"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ind w:firstLine="57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签订日期：      年  月  日</w:t>
      </w:r>
      <w:r/>
    </w:p>
    <w:p>
      <w:pPr>
        <w:pStyle w:val="686"/>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附件：</w:t>
      </w:r>
      <w:r/>
    </w:p>
    <w:p>
      <w:pPr>
        <w:pStyle w:val="686"/>
        <w:ind w:left="0" w:firstLine="0"/>
        <w:jc w:val="cente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 xml:space="preserve">项目服务内容</w:t>
      </w:r>
      <w:r/>
    </w:p>
    <w:p>
      <w:pPr>
        <w:pStyle w:val="686"/>
        <w:ind w:left="0"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1．水质抽检。对</w:t>
      </w:r>
      <w:r>
        <w:rPr>
          <w:rFonts w:hint="eastAsia" w:ascii="宋体" w:hAnsi="宋体" w:eastAsia="宋体" w:cs="宋体"/>
          <w:color w:val="auto"/>
          <w:sz w:val="24"/>
          <w:szCs w:val="24"/>
          <w:highlight w:val="none"/>
          <w:lang w:val="en-US" w:eastAsia="zh-CN"/>
        </w:rPr>
        <w:t xml:space="preserve">全市</w:t>
      </w:r>
      <w:r>
        <w:rPr>
          <w:rFonts w:hint="eastAsia" w:ascii="宋体" w:hAnsi="宋体" w:eastAsia="宋体" w:cs="宋体"/>
          <w:color w:val="auto"/>
          <w:sz w:val="24"/>
          <w:szCs w:val="24"/>
          <w:highlight w:val="none"/>
        </w:rPr>
        <w:t xml:space="preserve">水源水、出厂水、管网水、管网末梢水、二次供水，按月度、季度、年度</w:t>
      </w:r>
      <w:r>
        <w:rPr>
          <w:rFonts w:hint="eastAsia" w:ascii="宋体" w:hAnsi="宋体" w:eastAsia="宋体" w:cs="宋体"/>
          <w:color w:val="auto"/>
          <w:sz w:val="24"/>
          <w:szCs w:val="24"/>
          <w:highlight w:val="none"/>
          <w:lang w:val="en-US" w:eastAsia="zh-CN"/>
        </w:rPr>
        <w:t xml:space="preserve">等频次</w:t>
      </w:r>
      <w:r>
        <w:rPr>
          <w:rFonts w:hint="eastAsia" w:ascii="宋体" w:hAnsi="宋体" w:eastAsia="宋体" w:cs="宋体"/>
          <w:color w:val="auto"/>
          <w:sz w:val="24"/>
          <w:szCs w:val="24"/>
          <w:highlight w:val="none"/>
        </w:rPr>
        <w:t xml:space="preserve">开展</w:t>
      </w:r>
      <w:r>
        <w:rPr>
          <w:rFonts w:hint="eastAsia" w:ascii="宋体" w:hAnsi="宋体" w:eastAsia="宋体" w:cs="宋体"/>
          <w:color w:val="auto"/>
          <w:sz w:val="24"/>
          <w:szCs w:val="24"/>
          <w:highlight w:val="none"/>
          <w:lang w:val="en-US" w:eastAsia="zh-CN"/>
        </w:rPr>
        <w:t xml:space="preserve">监督检测</w:t>
      </w:r>
      <w:r>
        <w:rPr>
          <w:rFonts w:hint="eastAsia" w:ascii="宋体" w:hAnsi="宋体" w:eastAsia="宋体" w:cs="宋体"/>
          <w:color w:val="auto"/>
          <w:sz w:val="24"/>
          <w:szCs w:val="24"/>
          <w:highlight w:val="none"/>
        </w:rPr>
        <w:t xml:space="preserve">，具体检测点位、检测频次、检测指标等信息详见</w:t>
      </w:r>
      <w:r>
        <w:rPr>
          <w:rFonts w:hint="eastAsia" w:ascii="宋体" w:hAnsi="宋体" w:eastAsia="宋体" w:cs="宋体"/>
          <w:color w:val="auto"/>
          <w:sz w:val="24"/>
          <w:szCs w:val="24"/>
          <w:highlight w:val="none"/>
          <w:lang w:val="en-US" w:eastAsia="zh-CN"/>
        </w:rPr>
        <w:t xml:space="preserve">清单</w:t>
      </w:r>
      <w:r>
        <w:rPr>
          <w:rFonts w:hint="eastAsia" w:ascii="宋体" w:hAnsi="宋体" w:eastAsia="宋体" w:cs="宋体"/>
          <w:color w:val="auto"/>
          <w:sz w:val="24"/>
          <w:szCs w:val="24"/>
          <w:highlight w:val="none"/>
        </w:rPr>
        <w:t xml:space="preserve">；</w:t>
      </w:r>
      <w:r/>
    </w:p>
    <w:p>
      <w:pPr>
        <w:pStyle w:val="698"/>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2．其他服务。</w:t>
      </w:r>
      <w:r/>
    </w:p>
    <w:p>
      <w:pPr>
        <w:pStyle w:val="698"/>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（1）对管网水、管网末梢水采样时，同步测量水压。</w:t>
      </w:r>
      <w:r/>
    </w:p>
    <w:p>
      <w:pPr>
        <w:pStyle w:val="698"/>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（2）2027年6月、7月，协助甲方每月随机抽取全市约52个管网末梢水点位，专门检测余氯、浊度、三卤甲烷3项易超标指标，以表格形式汇总数据后，提交甲方用于指导夏季汛期时段水质管控。</w:t>
      </w:r>
      <w:r/>
    </w:p>
    <w:p>
      <w:pPr>
        <w:pStyle w:val="698"/>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（3）对全市制供水企业、盐城粤海水务的水质检测人员开展1次水质检测、制水工艺调整等相关内容的技术培训。</w:t>
      </w:r>
      <w:r/>
    </w:p>
    <w:p>
      <w:pPr>
        <w:pStyle w:val="698"/>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（4）全市范围内（含宝应县里运河氾水水源地）如发生供水水质突发事件，根据甲方指令，第一时间赶赴现场开展水质检测或应急处置技术支撑工作。</w:t>
      </w:r>
      <w:r/>
    </w:p>
    <w:p>
      <w:pPr>
        <w:pStyle w:val="698"/>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结合我市实际，每月对</w:t>
      </w:r>
      <w:r>
        <w:rPr>
          <w:rFonts w:hint="eastAsia" w:ascii="宋体" w:hAnsi="宋体" w:eastAsia="宋体" w:cs="宋体"/>
          <w:color w:val="auto"/>
          <w:sz w:val="24"/>
          <w:szCs w:val="24"/>
          <w:highlight w:val="none"/>
          <w:lang w:val="en-US" w:eastAsia="zh-CN"/>
        </w:rPr>
        <w:t xml:space="preserve">水质</w:t>
      </w:r>
      <w:r>
        <w:rPr>
          <w:rFonts w:hint="eastAsia" w:ascii="宋体" w:hAnsi="宋体" w:eastAsia="宋体" w:cs="宋体"/>
          <w:color w:val="auto"/>
          <w:sz w:val="24"/>
          <w:szCs w:val="24"/>
          <w:highlight w:val="none"/>
        </w:rPr>
        <w:t xml:space="preserve">数据进行汇总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初步分析；对全年</w:t>
      </w:r>
      <w:r>
        <w:rPr>
          <w:rFonts w:hint="eastAsia" w:ascii="宋体" w:hAnsi="宋体" w:eastAsia="宋体" w:cs="宋体"/>
          <w:color w:val="auto"/>
          <w:sz w:val="24"/>
          <w:szCs w:val="24"/>
          <w:highlight w:val="none"/>
        </w:rPr>
        <w:t xml:space="preserve">数据</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rPr>
        <w:t xml:space="preserve">系统分析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形成年度分析</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val="en-US" w:eastAsia="zh-CN"/>
        </w:rPr>
        <w:t xml:space="preserve">。</w:t>
      </w:r>
      <w:r/>
    </w:p>
    <w:p>
      <w:pPr>
        <w:pStyle w:val="698"/>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（6）根据甲方工作需要，提供远程技术支持。</w:t>
      </w:r>
      <w:r/>
    </w:p>
    <w:p>
      <w:pPr>
        <w:pStyle w:val="698"/>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在采样及检测过程中应坚持公开性与公正性原则。样品采集及检测全过程应严格按照检验检测机构资质认定（CMA）质量管理体系要求执行，确保检测结果可追溯。乙方须完整保存采样原始记录、检测原始数据、仪器设备使用记录、检测报告及与检测相关的全部溯源资料，以备甲方或相关监管部门随时核查。甲方在履约验收及后续监督过程中有权随时调阅上述资料，乙方应予以配合提供。相关资料由乙方按CMA相关规定保存至少6年，未经甲方书面同意不得擅自销毁或处置。乙方对所承担的检测指标，按照相关标准要求进行加标回收检测。</w:t>
      </w:r>
      <w:r/>
    </w:p>
    <w:p>
      <w:pPr>
        <w:pStyle w:val="698"/>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698"/>
        <w:contextualSpacing/>
        <w:ind w:firstLine="480"/>
        <w:spacing w:line="360" w:lineRule="auto"/>
        <w:rPr>
          <w:rFonts w:hint="eastAsia" w:ascii="宋体" w:hAnsi="宋体" w:eastAsia="宋体" w:cs="宋体"/>
          <w:color w:val="auto"/>
          <w:sz w:val="24"/>
          <w:szCs w:val="24"/>
          <w:highlight w:val="none"/>
        </w:rPr>
        <w:sectPr>
          <w:footerReference w:type="default" r:id="rId9"/>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3、工作量清单</w:t>
      </w:r>
      <w:r/>
    </w:p>
    <w:tbl>
      <w:tblPr>
        <w:tblStyle w:val="685"/>
        <w:tblW w:w="14746" w:type="dxa"/>
        <w:jc w:val="center"/>
        <w:tblLayout w:type="fixed"/>
        <w:tblCellMar>
          <w:left w:w="108" w:type="dxa"/>
          <w:top w:w="0" w:type="dxa"/>
          <w:right w:w="108" w:type="dxa"/>
          <w:bottom w:w="0" w:type="dxa"/>
        </w:tblCellMar>
        <w:tblLook w:val="04A0" w:firstRow="1" w:lastRow="0" w:firstColumn="1" w:lastColumn="0" w:noHBand="0" w:noVBand="1"/>
      </w:tblPr>
      <w:tblGrid>
        <w:gridCol w:w="1397"/>
        <w:gridCol w:w="947"/>
        <w:gridCol w:w="1120"/>
        <w:gridCol w:w="906"/>
        <w:gridCol w:w="4400"/>
        <w:gridCol w:w="1157"/>
        <w:gridCol w:w="1537"/>
        <w:gridCol w:w="956"/>
        <w:gridCol w:w="1193"/>
        <w:gridCol w:w="1133"/>
      </w:tblGrid>
      <w:tr>
        <w:trPr>
          <w:jc w:val="center"/>
          <w:tblHeader/>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地区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水样</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检测项目</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点位数</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点位名称</w:t>
            </w:r>
            <w:r/>
          </w:p>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color w:val="auto"/>
                <w:sz w:val="22"/>
                <w:szCs w:val="22"/>
                <w:highlight w:val="none"/>
                <w:lang w:bidi="ar"/>
              </w:rPr>
              <w:t xml:space="preserve">（点位根据实际需要可调整）</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频次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（次/年）</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采样时间</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样品数</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单价</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（万元/个）</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金额</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（万元）</w:t>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市水务集团</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直供区</w:t>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水源水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113项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蟒蛇河、通榆河、新水源宝应里运河进水口。</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每年6、7月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蟒蛇河、通榆河、新水源宝应里运河进水口。</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每年1-5月、8-12月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盐龙湖生态净化工程出水口、通榆河预处理工程出水口、新水源各受水点（建湖城南水厂、盐龙湖增压泵站、建湖上冈水厂、射阳明湖水厂、大丰调蓄池）</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出厂水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97项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市区城东水厂、盐龙湖水厂</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市区城东水厂、盐龙湖水厂</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每年1、6、10月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城北片区（张庄镇海棠花园、城北小区）；</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城中片区（北三院、东方花园）；</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城南片区（紫薇花园、中南城瑞城）；</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城东片区（新嘉源人才公寓、景山名门、伯乐达城市御墅）。</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城北片区（东河嘉园）；</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城中片区（荷塘月色）；</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城南片区（钱江绿洲）；</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城东片区（天成苑、蔡尖花园）。</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城北片区（阳光嘉园、振兴嘉园）；</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城中片区（文华名城、东郊新村）；</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城南片区（凤麟府、华夏绿城）；</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城东片区（德惠尚书房东区、高教公寓）。</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盐都区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潘黄水司（富力科创城）；盐龙水司（金樾府）；盐都水司（郭猛、尚庄、秦南、北蒋、葛武、冈中、大冈、滨湖、北龙港、大纵湖、楼王、学富、龙冈、鞍湖、中兴）。</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盐都水司（郭猛、尚庄、秦南、北蒋、葛武、冈中、大冈、滨湖、北龙港、大纵湖、楼王、学富、龙冈、鞍湖、中兴）。</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潘黄水司（东进华都）；</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盐龙水司（尚海滩小区）；</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盐都水司（凤凰城小区）。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亭湖区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亭湖水司（盐东、新兴、青墩、便仓、黄尖、南洋、新洋经济区）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亭湖水司（盐东、新兴、青墩、便仓、黄尖、南洋、新洋经济区）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亭湖水司（东方雅居小区）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盐南高新区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伍佑水司（伍佑镇流量泵房）</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伍佑水司（伍佑镇公馆路1号秋景发艺）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伍佑水司（滨河御景小区）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开发区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步凤水司（步凤镇流量泵房）</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步凤水司（步凤镇步凤供水服务大厅）</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步凤水司（风栖苑小区）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其他县（市、区）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水源水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台市泰东河西溪水源地、泰东河吕港应急水源地；大丰区通榆河刘庄水源地，建湖县西塘河颜单水源地、夏梁河建阳水源地；射阳县射阳河明湖水源地；阜宁县苏北灌溉总渠板湖水源地、通榆河北陈水源地、潮河公兴水源地；滨海县响水县废黄河东坎（运河）水源地、通榆河东坎应急水源地、苏北灌溉总渠蔡桥水源地、淤黄河八滩水源地；响水县通榆河洪圩水源地、响水县滨海县中山河大有（滨淮）水源地</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每年6、7月检测</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出厂水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台南苑水厂；大丰第二水厂、刘庄水厂；建湖城南水厂、上冈水厂；射阳明湖水厂、合德水厂；阜宁城东水厂、新城水厂、凯发水厂；滨海县城水厂、蔡桥水厂、八滩水厂；响水县城水厂、运河水厂、陈家港水厂</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每年1、6、7、10月检测</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16座水厂，每座水厂3个点位</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每年6、7月检测</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16座水厂，每座水厂2个点位</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每年6、7月检测</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东台、大丰、建湖、射阳、阜宁、滨海、响水7个地区，每个地区5个点位。</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每年6、7月检测</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gridSpan w:val="9"/>
            <w:tcBorders>
              <w:top w:val="single" w:color="000000" w:sz="4" w:space="0"/>
              <w:left w:val="single" w:color="000000" w:sz="4" w:space="0"/>
              <w:bottom w:val="single" w:color="000000" w:sz="4" w:space="0"/>
              <w:right w:val="single" w:color="000000" w:sz="4" w:space="0"/>
            </w:tcBorders>
            <w:tcW w:w="13613" w:type="dxa"/>
            <w:vAlign w:val="center"/>
            <w:textDirection w:val="lrTb"/>
            <w:noWrap/>
          </w:tcPr>
          <w:p>
            <w:pPr>
              <w:jc w:val="center"/>
              <w:rPr>
                <w:rFonts w:hint="eastAsia" w:ascii="宋体" w:hAnsi="宋体" w:eastAsia="宋体" w:cs="宋体"/>
                <w:b/>
                <w:color w:val="auto"/>
                <w:sz w:val="22"/>
                <w:szCs w:val="22"/>
                <w:highlight w:val="none"/>
              </w:rPr>
            </w:pPr>
            <w:r>
              <w:rPr>
                <w:rFonts w:hint="eastAsia" w:ascii="宋体" w:hAnsi="宋体" w:eastAsia="宋体" w:cs="宋体"/>
                <w:b/>
                <w:bCs/>
                <w:color w:val="auto"/>
                <w:sz w:val="22"/>
                <w:szCs w:val="22"/>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bl>
    <w:p>
      <w:pP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说明：1.水源水：①33项：GB3838-2002《地表水环境质量标准》中表1、表2项目+高氯酸盐、乙草胺、二甲基异莰醇、</w:t>
      </w:r>
      <w:r>
        <w:rPr>
          <w:rFonts w:hint="eastAsia" w:ascii="宋体" w:hAnsi="宋体" w:cs="宋体"/>
          <w:color w:val="auto"/>
          <w:sz w:val="20"/>
          <w:szCs w:val="20"/>
          <w:highlight w:val="none"/>
          <w:lang w:val="en-US" w:eastAsia="zh-CN"/>
        </w:rPr>
        <w:t xml:space="preserve">土臭素</w:t>
      </w:r>
      <w:r>
        <w:rPr>
          <w:rFonts w:hint="eastAsia" w:ascii="宋体" w:hAnsi="宋体" w:eastAsia="宋体" w:cs="宋体"/>
          <w:color w:val="auto"/>
          <w:sz w:val="20"/>
          <w:szCs w:val="20"/>
          <w:highlight w:val="none"/>
          <w:lang w:val="en-US" w:eastAsia="zh-CN"/>
        </w:rPr>
        <w:t xml:space="preserve">；②113项：GB3838-2002《地表水环境质量标准》中表1、表2、表3项目+高氯酸盐、乙草胺、二甲基异莰醇、</w:t>
      </w:r>
      <w:r>
        <w:rPr>
          <w:rFonts w:hint="eastAsia" w:ascii="宋体" w:hAnsi="宋体" w:cs="宋体"/>
          <w:color w:val="auto"/>
          <w:sz w:val="20"/>
          <w:szCs w:val="20"/>
          <w:highlight w:val="none"/>
          <w:lang w:val="en-US" w:eastAsia="zh-CN"/>
        </w:rPr>
        <w:t xml:space="preserve">土臭素</w:t>
      </w:r>
      <w:r>
        <w:rPr>
          <w:rFonts w:hint="eastAsia" w:ascii="宋体" w:hAnsi="宋体" w:eastAsia="宋体" w:cs="宋体"/>
          <w:color w:val="auto"/>
          <w:sz w:val="20"/>
          <w:szCs w:val="20"/>
          <w:highlight w:val="none"/>
          <w:lang w:val="en-US" w:eastAsia="zh-CN"/>
        </w:rPr>
        <w:t xml:space="preserve">；</w:t>
      </w:r>
      <w:r/>
    </w:p>
    <w:p>
      <w:pPr>
        <w:ind w:firstLine="6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出厂水、管网水、末梢水、二次供水、农村水（农户家中）：①46项：GB5749-2022《生活饮用水卫生标准》表1、表2项目43项+消毒产物指标(二氯甲烷、2,4,6-三氯酚、高氯酸盐)；②49项：GB5749-2022《生活饮用水卫生标准》表1、表2项目43项+消毒产物指标(二氯甲烷、2,4,6-三氯酚、高氯酸盐)+乙草胺、二甲基异莰醇、</w:t>
      </w:r>
      <w:r>
        <w:rPr>
          <w:rFonts w:hint="eastAsia" w:ascii="宋体" w:hAnsi="宋体" w:cs="宋体"/>
          <w:color w:val="auto"/>
          <w:sz w:val="20"/>
          <w:szCs w:val="20"/>
          <w:highlight w:val="none"/>
          <w:lang w:val="en-US" w:eastAsia="zh-CN"/>
        </w:rPr>
        <w:t xml:space="preserve">土臭素</w:t>
      </w:r>
      <w:r>
        <w:rPr>
          <w:rFonts w:hint="eastAsia" w:ascii="宋体" w:hAnsi="宋体" w:eastAsia="宋体" w:cs="宋体"/>
          <w:color w:val="auto"/>
          <w:sz w:val="20"/>
          <w:szCs w:val="20"/>
          <w:highlight w:val="none"/>
          <w:lang w:val="en-US" w:eastAsia="zh-CN"/>
        </w:rPr>
        <w:t xml:space="preserve">；③97项：GB5749-2022《生活饮用水卫生标准》中表1、表2、表3项目；④14项：城市供水水质标准(CJ/T206-2005)管网水质检测指标，浑浊度、色度、臭和味、游离余氯、菌落总数、总大肠菌群、高锰酸盐指数、氨氮、PH值、肉眼可见物、铁、锰+氯化物、三卤甲烷。</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240" w:lineRule="atLeast"/>
        <w:widowControl/>
        <w:rPr>
          <w:rFonts w:hint="eastAsia" w:ascii="宋体" w:hAnsi="宋体" w:eastAsia="宋体" w:cs="宋体"/>
          <w:color w:val="auto"/>
          <w:sz w:val="28"/>
          <w:szCs w:val="28"/>
          <w:highlight w:val="none"/>
        </w:rPr>
        <w:sectPr>
          <w:footnotePr/>
          <w:endnotePr/>
          <w:type w:val="nextPage"/>
          <w:pgSz w:w="16838" w:h="11906" w:orient="landscape"/>
          <w:pgMar w:top="1134" w:right="1134" w:bottom="1134" w:left="1134" w:header="851" w:footer="992" w:gutter="0"/>
          <w:cols w:num="1" w:sep="0" w:space="720" w:equalWidth="1"/>
          <w:docGrid w:linePitch="360"/>
        </w:sectPr>
      </w:pPr>
      <w:r>
        <w:rPr>
          <w:rFonts w:hint="eastAsia" w:ascii="宋体" w:hAnsi="宋体" w:eastAsia="宋体" w:cs="宋体"/>
          <w:color w:val="auto"/>
          <w:sz w:val="28"/>
          <w:szCs w:val="28"/>
          <w:highlight w:val="none"/>
        </w:rPr>
      </w:r>
      <w:r/>
    </w:p>
    <w:p>
      <w:pPr>
        <w:pStyle w:val="698"/>
        <w:contextualSpacing/>
        <w:ind w:firstLine="883"/>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val="en-US" w:eastAsia="zh-CN"/>
        </w:rPr>
        <w:t xml:space="preserve">第四章</w:t>
      </w:r>
      <w:r>
        <w:rPr>
          <w:rFonts w:hint="eastAsia" w:ascii="宋体" w:hAnsi="宋体" w:eastAsia="宋体" w:cs="宋体"/>
          <w:b/>
          <w:color w:val="auto"/>
          <w:sz w:val="44"/>
          <w:szCs w:val="44"/>
          <w:highlight w:val="none"/>
        </w:rPr>
        <w:t xml:space="preserve"> </w:t>
      </w:r>
      <w:r>
        <w:rPr>
          <w:rFonts w:hint="eastAsia" w:ascii="宋体" w:hAnsi="宋体" w:eastAsia="宋体" w:cs="宋体"/>
          <w:b/>
          <w:color w:val="auto"/>
          <w:sz w:val="44"/>
          <w:szCs w:val="44"/>
          <w:highlight w:val="none"/>
          <w:lang w:val="en-US" w:eastAsia="zh-CN"/>
        </w:rPr>
        <w:t xml:space="preserve"> </w:t>
      </w:r>
      <w:r>
        <w:rPr>
          <w:rFonts w:hint="eastAsia" w:ascii="宋体" w:hAnsi="宋体" w:eastAsia="宋体" w:cs="宋体"/>
          <w:b/>
          <w:color w:val="auto"/>
          <w:sz w:val="44"/>
          <w:szCs w:val="44"/>
          <w:highlight w:val="none"/>
        </w:rPr>
        <w:t xml:space="preserve">采购需求</w:t>
      </w:r>
      <w:r/>
    </w:p>
    <w:p>
      <w:pPr>
        <w:pStyle w:val="68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一、项目名称</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2026-2027年度全市供水水质检测服务项目</w:t>
      </w:r>
      <w:r/>
    </w:p>
    <w:p>
      <w:pPr>
        <w:pStyle w:val="68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二、服务内容</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1.水质抽检。对全市水源水、出厂水、管网水、管网末梢水、二次供水，按月度、季度、年度等频次开展监督检测，具体检测点位、检测频次、检测指标等信息详见清单；</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2.其他服务。</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（1）对管网水、管网末梢水采样时，同步测量水压。</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（2）2027年6月、7月，协助甲方每月随机抽取全市约52个管网末梢水点位，专门检测余氯、浊度、三卤甲烷3项易超标指标，以表格形式汇总数据后，提交甲方用于指导夏季汛期时段水质管控。</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（3）对全市制供水企业、盐城粤海水务的水质检测人员开展1次水质检测、制水工艺调整等相关内容的技术培训。   </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（4）全市范围内（含宝应县里运河氾水水源地）如发生供水水质突发事件，根据甲方指令，第一时间赶赴现场开展水质检测或应急处置技术支撑工作。</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（5）结合我市实际，每月对水质数据进行汇总、初步分析；对全年数据进行系统分析，形成年度分析报告。</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（6）根据甲方工作需要，提供远程技术支持。</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在采样及检测过程中应坚持公开性与公正性原则。样品采集及检测全过程应严格按照检验检测机构资质认定（CMA）质量管理体系要求执行，确保检测结果可追溯。乙方须完整保存采样原始记录、检测原始数据、仪器设备使用记录、检测报告及与检测相关的全部溯源资料，以备甲方或相关监管部门随时核查。甲方在履约验收及后续监督过程中有权随时调阅上述资料，乙方应予以配合提供。相关资料由乙方按CMA相关规定保存至少6年，未经甲方书面同意不得擅自销毁或处置。乙方对所承担的检测指标，按照相关标准要求进行加标回收检测。</w:t>
      </w:r>
      <w:r/>
    </w:p>
    <w:p>
      <w:pPr>
        <w:pStyle w:val="698"/>
        <w:numPr>
          <w:ilvl w:val="0"/>
          <w:numId w:val="1"/>
        </w:num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合同服务期。从合同签订之日次月起12个月。</w:t>
      </w:r>
      <w:r/>
    </w:p>
    <w:p>
      <w:pPr>
        <w:pStyle w:val="68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三、购标的对应的中小企业划分标准所属行业</w:t>
      </w:r>
      <w:r/>
    </w:p>
    <w:p>
      <w:pPr>
        <w:pStyle w:val="698"/>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本项目标的所属行业：其他未列明行业。</w:t>
      </w:r>
      <w:r/>
    </w:p>
    <w:p>
      <w:pPr>
        <w:pStyle w:val="68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四、综合实力</w:t>
      </w:r>
      <w:r/>
    </w:p>
    <w:p>
      <w:pPr>
        <w:ind w:firstLine="480"/>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pacing w:val="-1"/>
          <w:sz w:val="24"/>
          <w:szCs w:val="24"/>
          <w:highlight w:val="none"/>
        </w:rPr>
        <w:t xml:space="preserve">拟派项目负责人有水质分析、水处理等相关专业中级工程师及以上职称的优先。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2.拟派项目成员（不含项目负责人）配备检测人员，现场采样人员的优先。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3.实验室有浊度仪、便携式余氯测定仪、pH计、电子分析天平、生物显微镜、细菌培养箱检测设备的优先。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4.实验室有液相质谱仪、液相色谱仪、气相色谱仪、气相质谱联用仪、放射性测量仪、原子吸收仪、离子色谱仪检测设备的优先。</w:t>
      </w:r>
      <w:r/>
    </w:p>
    <w:p>
      <w:pPr>
        <w:pStyle w:val="68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5.投标人自2023年9月1日（含）以来承担过类似项目业绩的优先。</w:t>
      </w:r>
      <w:r/>
    </w:p>
    <w:p>
      <w:pPr>
        <w:pStyle w:val="686"/>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五、服务方案</w:t>
      </w:r>
      <w:r/>
    </w:p>
    <w:p>
      <w:pPr>
        <w:pStyle w:val="6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供应商提供以下方案的优先。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1.本项目的服务工作方案,至少包含①服务期内水质检测工作的总体目标设定、②组织架构及人员配置计划、③检测器具及设备配备计划等3方面内容：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①服务期内水质检测工作的总体目标设定</w:t>
      </w:r>
      <w:r/>
    </w:p>
    <w:p>
      <w:pPr>
        <w:pStyle w:val="69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严格执行现行法律法规、国家及行业相关标准，结合本项目实际,制定切实可行的总体目标，确保检测数据真实、准确、可溯源，主要包含服务承诺、质量可控、报告准确等方面；当水样检测出水质异常时，要及时反馈，有必要时开展复测，并配合主管部门、供水企业完成初步溯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②组织架构及人员配置计划</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结合盐城市实际情况，实行“项目负责人统筹、技术质量双线管控、专业小组分工执行”的三级组织管理架构，全面适配全链条水质检测需求，确保采样、检测、溯源、处置各环节高效衔接，所有岗位人员均授权上岗，具备授权上岗证明率100%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③检测器具及设备配备计划</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结合盐城市实际情况，检测器具及设备配置能满足所有指标检测要求，覆盖现场采样、现场检测、实验室定量分析全流程，所有计量器具和分析仪器均取得国家计量检定或校准证书，在证书有效期内期间核查及使用维护等建立完整的设备档案，并严格按照相关要求对检测设备进行管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2.本项目的采样计划方案,至少包含①采样前准备工作、②现场采样操作规程、③样品唯一性标识及采样记录登记制度等3方面内容：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①采样前准备工作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合盐城市水源、水厂、供水管网点位分布特点，编写采样实施计划，统筹各项前置工作，合理规划采样行车路线，保障水样代表性、完整性，为水质异常预警、复测溯源提供基础，采样前要开展采样任务交底，组织专项岗前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②现场采样操作规程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采样人员授权上岗，采样容器根据检测指标分类选用：微生物检测使用无菌玻璃瓶或市售无菌袋，重金属检测使用聚乙烯瓶，有机物检测使用玻璃瓶。采样前对采样点放水3-5分钟，排尽管网内滞留死水，采样过程严格执行无菌操作，样品采集后4℃冷藏保存，尽快送至实验室，全程做好样品唯一性标识登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③样品唯一性标识及采样记录登记制度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所有水样采用唯一编码标识，标识贯穿采样、流转、检测、留存全流程。采样时同步登记点位、采样时间、环境参数及样品性状等信息，纸质记录</w:t>
      </w:r>
      <w:r>
        <w:rPr>
          <w:rFonts w:hint="eastAsia" w:ascii="宋体" w:hAnsi="宋体" w:eastAsia="宋体" w:cs="宋体"/>
          <w:b/>
          <w:bCs/>
          <w:color w:val="auto"/>
          <w:sz w:val="24"/>
          <w:szCs w:val="24"/>
          <w:highlight w:val="none"/>
        </w:rPr>
        <w:t xml:space="preserve">甲乙双方</w:t>
      </w:r>
      <w:r>
        <w:rPr>
          <w:rFonts w:hint="eastAsia" w:ascii="宋体" w:hAnsi="宋体" w:eastAsia="宋体" w:cs="宋体"/>
          <w:color w:val="auto"/>
          <w:sz w:val="24"/>
          <w:szCs w:val="24"/>
          <w:highlight w:val="none"/>
        </w:rPr>
        <w:t xml:space="preserve">签字确认，确保样品全程可追溯。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3.本项目的质量控制方案,至少包含①检测人员管控措施、②核心检测仪器设备的校准与维护计划、③检测过程质量控制措施、</w:t>
      </w:r>
      <w:r>
        <w:rPr>
          <w:rFonts w:hint="eastAsia" w:ascii="宋体" w:hAnsi="宋体" w:eastAsia="宋体" w:cs="宋体"/>
          <w:strike w:val="0"/>
          <w:color w:val="auto"/>
          <w:sz w:val="24"/>
          <w:szCs w:val="24"/>
          <w:highlight w:val="none"/>
        </w:rPr>
        <w:t xml:space="preserve">④</w:t>
      </w:r>
      <w:r>
        <w:rPr>
          <w:rFonts w:hint="eastAsia" w:ascii="宋体" w:hAnsi="宋体" w:eastAsia="宋体" w:cs="宋体"/>
          <w:color w:val="auto"/>
          <w:sz w:val="24"/>
          <w:szCs w:val="24"/>
          <w:highlight w:val="none"/>
        </w:rPr>
        <w:t xml:space="preserve">盲样比对计划等4方面内容：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①检测人员管控措施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所有做检测、采样、仪器操作的人员，必须先做能力确认，授权上岗。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②核心检测仪器设备的校准与维护计划</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定年度检测器具、检测仪器设备法定计量机构检定、校准方案。依据方案及时进行法定计量机构进行计量检定，在检定有效期内进行期间核查、空白核验及使用维护等，所有设备建立完整使用、维护、校准台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③检测过程质量控制措施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每批次样品同步做空白平行样、加标回收样，平行样占比不低于10%，加标回收率控制在标准规范要求的范围内；检测数据需经复核、审核，原始记录全程可追溯，严禁篡改、伪造检测数据。</w:t>
      </w:r>
      <w:r/>
    </w:p>
    <w:p>
      <w:pPr>
        <w:ind w:firstLine="480"/>
        <w:keepLines w:val="0"/>
        <w:keepNext w:val="0"/>
        <w:pageBreakBefore w:val="0"/>
        <w:spacing w:line="36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④盲样比对计划</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市场监管、住建、</w:t>
      </w:r>
      <w:r>
        <w:rPr>
          <w:rFonts w:hint="eastAsia" w:ascii="宋体" w:hAnsi="宋体" w:eastAsia="宋体" w:cs="宋体"/>
          <w:color w:val="auto"/>
          <w:sz w:val="24"/>
          <w:szCs w:val="24"/>
          <w:highlight w:val="none"/>
          <w:lang w:val="en-US" w:eastAsia="zh-CN"/>
        </w:rPr>
        <w:t xml:space="preserve">生态环境等部门要求，主动参加其</w:t>
      </w:r>
      <w:r>
        <w:rPr>
          <w:rFonts w:hint="eastAsia" w:ascii="宋体" w:hAnsi="宋体" w:eastAsia="宋体" w:cs="宋体"/>
          <w:color w:val="auto"/>
          <w:sz w:val="24"/>
          <w:szCs w:val="24"/>
          <w:highlight w:val="none"/>
        </w:rPr>
        <w:t xml:space="preserve">组织的能力验证，合格率需达到100%，若出现偏差立即暂停对应项目检测，完成方法验证整改后再恢复检测工作。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4.本项目的安全管理方案，至少包含①采样现场安全防护方案、②实验室安全管理制度、③突发事件响应制度等3方面内容：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①制定采样现场安全防护方案。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充分保障采样人员现场安全，</w:t>
      </w:r>
      <w:r>
        <w:rPr>
          <w:rFonts w:hint="eastAsia" w:ascii="宋体" w:hAnsi="宋体" w:eastAsia="宋体" w:cs="宋体"/>
          <w:color w:val="auto"/>
          <w:sz w:val="24"/>
          <w:szCs w:val="24"/>
          <w:highlight w:val="none"/>
          <w:lang w:val="en-US" w:eastAsia="zh-CN"/>
        </w:rPr>
        <w:t xml:space="preserve">制定双人</w:t>
      </w:r>
      <w:r>
        <w:rPr>
          <w:rFonts w:hint="eastAsia" w:ascii="宋体" w:hAnsi="宋体" w:eastAsia="宋体" w:cs="宋体"/>
          <w:color w:val="auto"/>
          <w:sz w:val="24"/>
          <w:szCs w:val="24"/>
          <w:highlight w:val="none"/>
        </w:rPr>
        <w:t xml:space="preserve">采样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安全保护的具体措施。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②制定实验室安全管理制度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规范要求编制实验室安全管理制度，主要包括化学试剂分类存储，强酸、强碱、易制毒试剂执行双人双锁管理制度，实验过程中操作人员穿戴防护服、护目镜、丁腈手套，有机废气通过通风橱集中排放，实验废液分类收集，交由有资质单位合规处置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③制定突发事件响应制度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建立应急值班制度，应急检测车辆、设备、人员随时待命，确保接收到突发情况后1小时内出动。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5.本项目的水质超标指标应对措施，至少包含①不同超标场景的分类处置措施、②应急措施和长效措施等2方面内容：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①不同超标场景的分类处置措施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结合盐城市实际情况，制定不同超标场景的分类处置措施，主要包括微生物类指标超标、高浊度、有机物超标、重金属类指标超标等，措施要有针对性、切实可操作。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②应急措施和长效措施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应急措施‌：建立7×24小时应急响应机制，水质异常立即启动4小时内到场采样、快速检测，24小时完成初步溯源，同步联动供水部门处置，闭环跟踪整改效果。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长效措施‌：构建水质动态监测预警系统，每月开展管网风险排查，定期分析研判水质趋势，强化源头防控，为持续巩固供水安全保障体系提供数据支撑。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6.本项目的服务保障方案，至少包含①技术培训、②供水水质突发事件、③水质数据汇总分析等3方面内容：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①技术培训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根据盐城市实际情况，制定</w:t>
      </w:r>
      <w:r>
        <w:rPr>
          <w:rFonts w:hint="eastAsia" w:ascii="宋体" w:hAnsi="宋体" w:eastAsia="宋体" w:cs="宋体"/>
          <w:color w:val="auto"/>
          <w:sz w:val="24"/>
          <w:szCs w:val="24"/>
          <w:highlight w:val="none"/>
        </w:rPr>
        <w:t xml:space="preserve">对全市制供水企业水质检测人员开展1次水质检测相关内容培训</w:t>
      </w:r>
      <w:r>
        <w:rPr>
          <w:rFonts w:hint="eastAsia" w:ascii="宋体" w:hAnsi="宋体" w:eastAsia="宋体" w:cs="宋体"/>
          <w:color w:val="auto"/>
          <w:sz w:val="24"/>
          <w:szCs w:val="24"/>
          <w:highlight w:val="none"/>
          <w:lang w:val="en-US" w:eastAsia="zh-CN"/>
        </w:rPr>
        <w:t xml:space="preserve">的方案</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②供水水质突发事件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根据盐城市实际情况，制定</w:t>
      </w:r>
      <w:r>
        <w:rPr>
          <w:rFonts w:hint="eastAsia" w:ascii="宋体" w:hAnsi="宋体" w:eastAsia="宋体" w:cs="宋体"/>
          <w:color w:val="auto"/>
          <w:sz w:val="24"/>
          <w:szCs w:val="24"/>
          <w:highlight w:val="none"/>
        </w:rPr>
        <w:t xml:space="preserve">全市范围内（含宝应县里运河氾水水源地）如发生供水水质突发事件，根据甲方指令，第一时间赶赴现场开展水质检测或应急处置技术支撑工作</w:t>
      </w:r>
      <w:r>
        <w:rPr>
          <w:rFonts w:hint="eastAsia" w:ascii="宋体" w:hAnsi="宋体" w:eastAsia="宋体" w:cs="宋体"/>
          <w:color w:val="auto"/>
          <w:sz w:val="24"/>
          <w:szCs w:val="24"/>
          <w:highlight w:val="none"/>
          <w:lang w:val="en-US" w:eastAsia="zh-CN"/>
        </w:rPr>
        <w:t xml:space="preserve">的方案</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③水质数据汇总分析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根据盐城市实际情况，制定</w:t>
      </w:r>
      <w:r>
        <w:rPr>
          <w:rFonts w:hint="eastAsia" w:ascii="宋体" w:hAnsi="宋体" w:eastAsia="宋体" w:cs="宋体"/>
          <w:color w:val="auto"/>
          <w:sz w:val="24"/>
          <w:szCs w:val="24"/>
          <w:highlight w:val="none"/>
        </w:rPr>
        <w:t xml:space="preserve">每月对水质数据进行汇总</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初步分析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每年</w:t>
      </w:r>
      <w:r>
        <w:rPr>
          <w:rFonts w:hint="eastAsia" w:ascii="宋体" w:hAnsi="宋体" w:eastAsia="宋体" w:cs="宋体"/>
          <w:color w:val="auto"/>
          <w:sz w:val="24"/>
          <w:szCs w:val="24"/>
          <w:highlight w:val="none"/>
        </w:rPr>
        <w:t xml:space="preserve">对全年数据进行统计</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系统分析，</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形成年度分析报告</w:t>
      </w:r>
      <w:r>
        <w:rPr>
          <w:rFonts w:hint="eastAsia" w:ascii="宋体" w:hAnsi="宋体" w:eastAsia="宋体" w:cs="宋体"/>
          <w:color w:val="auto"/>
          <w:sz w:val="24"/>
          <w:szCs w:val="24"/>
          <w:highlight w:val="none"/>
          <w:lang w:val="en-US" w:eastAsia="zh-CN"/>
        </w:rPr>
        <w:t xml:space="preserve">的方案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86"/>
        <w:rPr>
          <w:rFonts w:hint="eastAsia" w:ascii="宋体" w:hAnsi="宋体" w:eastAsia="宋体" w:cs="宋体"/>
          <w:color w:val="auto"/>
          <w:sz w:val="24"/>
          <w:szCs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r>
      <w:r/>
    </w:p>
    <w:p>
      <w:pPr>
        <w:pStyle w:val="698"/>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eastAsia="zh-CN"/>
        </w:rPr>
        <w:t xml:space="preserve">、工作量清单</w:t>
      </w:r>
      <w:r/>
    </w:p>
    <w:tbl>
      <w:tblPr>
        <w:tblStyle w:val="685"/>
        <w:tblW w:w="14746" w:type="dxa"/>
        <w:jc w:val="center"/>
        <w:tblLayout w:type="fixed"/>
        <w:tblCellMar>
          <w:left w:w="108" w:type="dxa"/>
          <w:top w:w="0" w:type="dxa"/>
          <w:right w:w="108" w:type="dxa"/>
          <w:bottom w:w="0" w:type="dxa"/>
        </w:tblCellMar>
        <w:tblLook w:val="04A0" w:firstRow="1" w:lastRow="0" w:firstColumn="1" w:lastColumn="0" w:noHBand="0" w:noVBand="1"/>
      </w:tblPr>
      <w:tblGrid>
        <w:gridCol w:w="1397"/>
        <w:gridCol w:w="947"/>
        <w:gridCol w:w="1120"/>
        <w:gridCol w:w="906"/>
        <w:gridCol w:w="4400"/>
        <w:gridCol w:w="1157"/>
        <w:gridCol w:w="1537"/>
        <w:gridCol w:w="956"/>
        <w:gridCol w:w="1193"/>
        <w:gridCol w:w="1133"/>
      </w:tblGrid>
      <w:tr>
        <w:trPr>
          <w:jc w:val="center"/>
          <w:tblHeader/>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地区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水样</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检测项目</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点位数</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点位名称</w:t>
            </w:r>
            <w:r/>
          </w:p>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color w:val="auto"/>
                <w:sz w:val="22"/>
                <w:szCs w:val="22"/>
                <w:highlight w:val="none"/>
                <w:lang w:bidi="ar"/>
              </w:rPr>
              <w:t xml:space="preserve">（点位根据实际需要可调整）</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频次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（次/年）</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采样时间</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样品数</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单价</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（万元/个）</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金额</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（万元）</w:t>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市水务集团</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直供区</w:t>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水源水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113项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蟒蛇河、通榆河、新水源宝应里运河进水口。</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每年6、7月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蟒蛇河、通榆河、新水源宝应里运河进水口。</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每年1-5月、8-12月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盐龙湖生态净化工程出水口、通榆河预处理工程出水口、新水源各受水点（建湖城南水厂、盐龙湖增压泵站、建湖上冈水厂、射阳明湖水厂、大丰调蓄池）</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出厂水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97项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市区城东水厂、盐龙湖水厂</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市区城东水厂、盐龙湖水厂</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每年1、6、10月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城北片区（张庄镇海棠花园、城北小区）；</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城中片区（北三院、东方花园）；</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城南片区（紫薇花园、中南城瑞城）；</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城东片区（新嘉源人才公寓、景山名门、伯乐达城市御墅）。</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城北片区（东河嘉园）；</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城中片区（荷塘月色）；</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城南片区（钱江绿洲）；</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城东片区（天成苑、蔡尖花园）。</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城北片区（阳光嘉园、振兴嘉园）；</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城中片区（文华名城、东郊新村）；</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城南片区（凤麟府、华夏绿城）；</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城东片区（德惠尚书房东区、高教公寓）。</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盐都区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潘黄水司（富力科创城）；盐龙水司（金樾府）；盐都水司（郭猛、尚庄、秦南、北蒋、葛武、冈中、大冈、滨湖、北龙港、大纵湖、楼王、学富、龙冈、鞍湖、中兴）。</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盐都水司（郭猛、尚庄、秦南、北蒋、葛武、冈中、大冈、滨湖、北龙港、大纵湖、楼王、学富、龙冈、鞍湖、中兴）。</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潘黄水司（东进华都）；</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盐龙水司（尚海滩小区）；</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盐都水司（凤凰城小区）。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亭湖区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亭湖水司（盐东、新兴、青墩、便仓、黄尖、南洋、新洋经济区）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亭湖水司（盐东、新兴、青墩、便仓、黄尖、南洋、新洋经济区）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亭湖水司（东方雅居小区）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盐南高新区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伍佑水司（伍佑镇流量泵房）</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伍佑水司（伍佑镇公馆路1号秋景发艺）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伍佑水司（滨河御景小区）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开发区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步凤水司（步凤镇流量泵房）</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步凤水司（步凤镇步凤供水服务大厅）</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步凤水司（风栖苑小区）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其他县（市、区）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水源水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台市泰东河西溪水源地、泰东河吕港应急水源地；大丰区通榆河刘庄水源地，建湖县西塘河颜单水源地、夏梁河建阳水源地；射阳县射阳河明湖水源地；阜宁县苏北灌溉总渠板湖水源地、通榆河北陈水源地、潮河公兴水源地；滨海县响水县废黄河东坎（运河）水源地、通榆河东坎应急水源地、苏北灌溉总渠蔡桥水源地、淤黄河八滩水源地；响水县通榆河洪圩水源地、响水县滨海县中山河大有（滨淮）水源地</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每年6、7月检测</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出厂水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台南苑水厂；大丰第二水厂、刘庄水厂；建湖城南水厂、上冈水厂；射阳明湖水厂、合德水厂；阜宁城东水厂、新城水厂、凯发水厂；滨海县城水厂、蔡桥水厂、八滩水厂；响水县城水厂、运河水厂、陈家港水厂</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每年1、6、7、10月检测</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16座水厂，每座水厂3个点位</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每年6、7月检测</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16座水厂，每座水厂2个点位</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每年6、7月检测</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东台、大丰、建湖、射阳、阜宁、滨海、响水7个地区，每个地区5个点位。</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每年6、7月检测</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gridSpan w:val="9"/>
            <w:tcBorders>
              <w:top w:val="single" w:color="000000" w:sz="4" w:space="0"/>
              <w:left w:val="single" w:color="000000" w:sz="4" w:space="0"/>
              <w:bottom w:val="single" w:color="000000" w:sz="4" w:space="0"/>
              <w:right w:val="single" w:color="000000" w:sz="4" w:space="0"/>
            </w:tcBorders>
            <w:tcW w:w="13613" w:type="dxa"/>
            <w:vAlign w:val="center"/>
            <w:textDirection w:val="lrTb"/>
            <w:noWrap/>
          </w:tcPr>
          <w:p>
            <w:pPr>
              <w:jc w:val="center"/>
              <w:rPr>
                <w:rFonts w:hint="eastAsia" w:ascii="宋体" w:hAnsi="宋体" w:eastAsia="宋体" w:cs="宋体"/>
                <w:b/>
                <w:color w:val="auto"/>
                <w:sz w:val="22"/>
                <w:szCs w:val="22"/>
                <w:highlight w:val="none"/>
              </w:rPr>
            </w:pPr>
            <w:r>
              <w:rPr>
                <w:rFonts w:hint="eastAsia" w:ascii="宋体" w:hAnsi="宋体" w:eastAsia="宋体" w:cs="宋体"/>
                <w:b/>
                <w:bCs/>
                <w:color w:val="auto"/>
                <w:sz w:val="22"/>
                <w:szCs w:val="22"/>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bl>
    <w:p>
      <w:pP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说明：1.水源水：①33项：GB3838-2002《地表水环境质量标准》中表1、表2项目+高氯酸盐、乙草胺、二甲基异莰醇、</w:t>
      </w:r>
      <w:r>
        <w:rPr>
          <w:rFonts w:hint="eastAsia" w:ascii="宋体" w:hAnsi="宋体" w:cs="宋体"/>
          <w:color w:val="auto"/>
          <w:sz w:val="20"/>
          <w:szCs w:val="20"/>
          <w:highlight w:val="none"/>
          <w:lang w:val="en-US" w:eastAsia="zh-CN"/>
        </w:rPr>
        <w:t xml:space="preserve">土臭素</w:t>
      </w:r>
      <w:r>
        <w:rPr>
          <w:rFonts w:hint="eastAsia" w:ascii="宋体" w:hAnsi="宋体" w:eastAsia="宋体" w:cs="宋体"/>
          <w:color w:val="auto"/>
          <w:sz w:val="20"/>
          <w:szCs w:val="20"/>
          <w:highlight w:val="none"/>
          <w:lang w:val="en-US" w:eastAsia="zh-CN"/>
        </w:rPr>
        <w:t xml:space="preserve">；②113项：GB3838-2002《地表水环境质量标准》中表1、表2、表3项目+高氯酸盐、乙草胺、二甲基异莰醇、</w:t>
      </w:r>
      <w:r>
        <w:rPr>
          <w:rFonts w:hint="eastAsia" w:ascii="宋体" w:hAnsi="宋体" w:cs="宋体"/>
          <w:color w:val="auto"/>
          <w:sz w:val="20"/>
          <w:szCs w:val="20"/>
          <w:highlight w:val="none"/>
          <w:lang w:val="en-US" w:eastAsia="zh-CN"/>
        </w:rPr>
        <w:t xml:space="preserve">土臭素</w:t>
      </w:r>
      <w:r>
        <w:rPr>
          <w:rFonts w:hint="eastAsia" w:ascii="宋体" w:hAnsi="宋体" w:eastAsia="宋体" w:cs="宋体"/>
          <w:color w:val="auto"/>
          <w:sz w:val="20"/>
          <w:szCs w:val="20"/>
          <w:highlight w:val="none"/>
          <w:lang w:val="en-US" w:eastAsia="zh-CN"/>
        </w:rPr>
        <w:t xml:space="preserve">；</w:t>
      </w:r>
      <w:r/>
    </w:p>
    <w:p>
      <w:pPr>
        <w:ind w:firstLine="6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出厂水、管网水、末梢水、二次供水、农村水（农户家中）：①46项：GB5749-2022《生活饮用水卫生标准》表1、表2项目43项+消毒产物指标(二氯甲烷、2,4,6-三氯酚、高氯酸盐)；②49项：GB5749-2022《生活饮用水卫生标准》表1、表2项目43项+消毒产物指标(二氯甲烷、2,4,6-三氯酚、高氯酸盐)+乙草胺、二甲基异莰醇、</w:t>
      </w:r>
      <w:r>
        <w:rPr>
          <w:rFonts w:hint="eastAsia" w:ascii="宋体" w:hAnsi="宋体" w:cs="宋体"/>
          <w:color w:val="auto"/>
          <w:sz w:val="20"/>
          <w:szCs w:val="20"/>
          <w:highlight w:val="none"/>
          <w:lang w:val="en-US" w:eastAsia="zh-CN"/>
        </w:rPr>
        <w:t xml:space="preserve">土臭素</w:t>
      </w:r>
      <w:r>
        <w:rPr>
          <w:rFonts w:hint="eastAsia" w:ascii="宋体" w:hAnsi="宋体" w:eastAsia="宋体" w:cs="宋体"/>
          <w:color w:val="auto"/>
          <w:sz w:val="20"/>
          <w:szCs w:val="20"/>
          <w:highlight w:val="none"/>
          <w:lang w:val="en-US" w:eastAsia="zh-CN"/>
        </w:rPr>
        <w:t xml:space="preserve">；③97项：GB5749-2022《生活饮用水卫生标准》中表1、表2、表3项目；④14项：城市供水水质标准(CJ/T206-2005)管网水质检测指标，浑浊度、色度、臭和味、游离余氯、菌落总数、总大肠菌群、高锰酸盐指数、氨氮、PH值、肉眼可见物、铁、锰+氯化物、三卤甲烷。</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240" w:lineRule="atLeast"/>
        <w:widowControl/>
        <w:rPr>
          <w:rFonts w:hint="eastAsia" w:ascii="宋体" w:hAnsi="宋体" w:eastAsia="宋体" w:cs="宋体"/>
          <w:color w:val="auto"/>
          <w:sz w:val="28"/>
          <w:szCs w:val="28"/>
          <w:highlight w:val="none"/>
        </w:rPr>
        <w:sectPr>
          <w:footnotePr/>
          <w:endnotePr/>
          <w:type w:val="continuous"/>
          <w:pgSz w:w="16838" w:h="11906" w:orient="landscape"/>
          <w:pgMar w:top="1134" w:right="1134" w:bottom="1134" w:left="1134" w:header="851" w:footer="992" w:gutter="0"/>
          <w:cols w:num="1" w:sep="0" w:space="720" w:equalWidth="1"/>
          <w:docGrid w:linePitch="360"/>
        </w:sect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第五章 评</w:t>
      </w:r>
      <w:r>
        <w:rPr>
          <w:rFonts w:hint="eastAsia" w:ascii="宋体" w:hAnsi="宋体" w:eastAsia="宋体" w:cs="宋体"/>
          <w:b/>
          <w:color w:val="auto"/>
          <w:sz w:val="44"/>
          <w:szCs w:val="44"/>
          <w:highlight w:val="none"/>
        </w:rPr>
        <w:t xml:space="preserve">标方法与评标标准</w:t>
      </w:r>
      <w:r/>
    </w:p>
    <w:p>
      <w:pPr>
        <w:pStyle w:val="713"/>
        <w:jc w:val="both"/>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highlight w:val="none"/>
        </w:rPr>
        <w:t xml:space="preserve">一、定标原则</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本项目采用</w:t>
      </w:r>
      <w:r>
        <w:rPr>
          <w:rFonts w:hint="eastAsia" w:ascii="宋体" w:hAnsi="宋体" w:eastAsia="宋体" w:cs="宋体"/>
          <w:color w:val="auto"/>
          <w:sz w:val="24"/>
          <w:szCs w:val="20"/>
          <w:highlight w:val="none"/>
          <w:u w:val="single"/>
        </w:rPr>
        <w:t xml:space="preserve"> 综合评分 </w:t>
      </w:r>
      <w:r>
        <w:rPr>
          <w:rFonts w:hint="eastAsia" w:ascii="宋体" w:hAnsi="宋体" w:eastAsia="宋体" w:cs="宋体"/>
          <w:color w:val="auto"/>
          <w:sz w:val="24"/>
          <w:szCs w:val="20"/>
          <w:highlight w:val="none"/>
        </w:rPr>
        <w:t xml:space="preserve">法。评标结果按评审后得分由高到低顺序排列。得分相同的，</w:t>
      </w:r>
      <w:bookmarkStart w:id="174" w:name="OLE_LINK77"/>
      <w:r>
        <w:rPr>
          <w:rFonts w:hint="eastAsia" w:ascii="宋体" w:hAnsi="宋体" w:eastAsia="宋体" w:cs="宋体"/>
          <w:color w:val="auto"/>
          <w:sz w:val="24"/>
          <w:szCs w:val="20"/>
          <w:highlight w:val="none"/>
        </w:rPr>
        <w:t xml:space="preserve">按投标报价由低到高顺序排列</w:t>
      </w:r>
      <w:bookmarkEnd w:id="174"/>
      <w:r>
        <w:rPr>
          <w:rFonts w:hint="eastAsia" w:ascii="宋体" w:hAnsi="宋体" w:eastAsia="宋体" w:cs="宋体"/>
          <w:color w:val="auto"/>
          <w:sz w:val="24"/>
          <w:szCs w:val="20"/>
          <w:highlight w:val="none"/>
        </w:rPr>
        <w:t xml:space="preserve">。评审得分且投标报价相同的，按技术方案分由高到低顺序排列。上述仍不能确定的，由评标委员会组织通过抽签的方式确定中标候选人的排序。投标文件满足招标文件全部实质性要求，且按照评审因素的量化指标评审得分排名第一的投标人为中标候选人。本项目确定排名第一的中标候选人为中标人，如依法取消其中标资格的，直接重新招标。</w:t>
      </w:r>
      <w:r/>
    </w:p>
    <w:p>
      <w:pPr>
        <w:pStyle w:val="713"/>
        <w:ind w:firstLine="44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1.小微型企业价格扣除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（1）本项目不专门面向中小企业采购，对提供小型和微型企业服务给予20%的扣除价格，用扣除后的价格参与评审。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（2）供应商需按照采购文件的要求提供相应的《企业声明函》。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（3）企业标准请参照《关于印发中小企业划型标准规定的通知》（工信部联企业〔2011〕300号）文件规定自行填写。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2.残疾人福利单位价格扣除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（1）本项目对残疾人福利性单位视同小型、微型企业，给予20%的价格扣除，用扣除后的价格参与评审。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（2）残疾人福利单位标准请参照《关于促进残疾人就业政府采购政策的通知》（财库〔2017〕141号），需提供《残疾人福利性单位声明函》。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3.监狱和戒毒企业价格扣除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（1）本项目对监狱和戒毒企业（简称监狱企业）视同小型、微型企业，给予20%的价格扣除，用扣除后的价格参与评审。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5.符合本采购文件优先采购 “环境标志产品”或“节能产品”的；必须提供“环境标志产品”或“节能产品”证明，否则不予认可。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环境标志产品是指列入财政部、环境保护部最新公布的《环境标志产品政府采购清单》内的产品；节能产品是指列入财政部、国家发展改革委最新公布的《节能产品政府采购清单》内的产品。鼓励节能及环保政策以投标（响应）主要（核心）产品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6.本文件中采购的商品包装要求应按照《关于印发〈商品包装政府采购需求标准（试行）〉〈快递包装政府采购需求标准（试行）〉的通知》（财办库〔2020〕123 号）执行。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注：1</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若供应商提供虚假资料，一经查实取消其中标候选人资格，并向相关主管部门汇报。</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rPr>
        <w:t xml:space="preserve">中标单位不得转包、分包，如果发现有转包、分包情况，则取消其中标候选人资格，并向相关主管部门汇报。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rPr>
        <w:t xml:space="preserve">采购标的的所属行业为</w:t>
      </w:r>
      <w:r>
        <w:rPr>
          <w:rFonts w:hint="eastAsia" w:ascii="宋体" w:hAnsi="宋体" w:eastAsia="宋体" w:cs="宋体"/>
          <w:b/>
          <w:bCs/>
          <w:color w:val="auto"/>
          <w:sz w:val="24"/>
          <w:szCs w:val="24"/>
          <w:highlight w:val="none"/>
          <w:u w:val="single"/>
          <w:lang w:val="en-US" w:eastAsia="zh-CN"/>
        </w:rPr>
        <w:t xml:space="preserve">其他未列明行业，</w:t>
      </w:r>
      <w:r>
        <w:rPr>
          <w:rFonts w:hint="eastAsia" w:ascii="宋体" w:hAnsi="宋体" w:eastAsia="宋体" w:cs="宋体"/>
          <w:b/>
          <w:bCs/>
          <w:color w:val="auto"/>
          <w:sz w:val="24"/>
          <w:highlight w:val="none"/>
        </w:rPr>
        <w:t xml:space="preserve">根据《工业和信息化部、国家统计局、国家发展和改革委员会、财政部关于印发中小企业划型标准规定的通知》（工信部联企业〔2011〕300号）规定的划分标准填写。</w:t>
      </w:r>
      <w:r/>
    </w:p>
    <w:p>
      <w:pPr>
        <w:pStyle w:val="713"/>
        <w:ind w:firstLine="482"/>
        <w:spacing w:before="120" w:beforeAutospacing="0" w:after="12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二、评标方法与评标标准</w:t>
      </w:r>
      <w:r/>
    </w:p>
    <w:tbl>
      <w:tblPr>
        <w:tblStyle w:val="901"/>
        <w:tblW w:w="1025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06"/>
        <w:gridCol w:w="928"/>
        <w:gridCol w:w="964"/>
        <w:gridCol w:w="6775"/>
        <w:gridCol w:w="680"/>
      </w:tblGrid>
      <w:tr>
        <w:trPr>
          <w:jc w:val="center"/>
          <w:trHeight w:val="0"/>
          <w:tblHeader/>
        </w:trPr>
        <w:tc>
          <w:tcPr>
            <w:gridSpan w:val="2"/>
            <w:tcW w:w="18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评分项</w:t>
            </w:r>
            <w:r/>
          </w:p>
        </w:tc>
        <w:tc>
          <w:tcPr>
            <w:tcW w:w="9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标准分</w:t>
            </w:r>
            <w:r/>
          </w:p>
        </w:tc>
        <w:tc>
          <w:tcPr>
            <w:tcW w:w="67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内容</w:t>
            </w:r>
            <w:r/>
          </w:p>
        </w:tc>
        <w:tc>
          <w:tcPr>
            <w:tcW w:w="68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 xml:space="preserve">得分</w:t>
            </w:r>
            <w:r/>
          </w:p>
        </w:tc>
      </w:tr>
      <w:tr>
        <w:trPr>
          <w:jc w:val="center"/>
          <w:trHeight w:val="1631"/>
        </w:trPr>
        <w:tc>
          <w:tcPr>
            <w:gridSpan w:val="2"/>
            <w:tcW w:w="18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价格分（</w:t>
            </w:r>
            <w:r>
              <w:rPr>
                <w:rFonts w:hint="eastAsia" w:ascii="宋体" w:hAnsi="宋体" w:eastAsia="宋体" w:cs="宋体"/>
                <w:b/>
                <w:bCs/>
                <w:color w:val="auto"/>
                <w:sz w:val="22"/>
                <w:szCs w:val="22"/>
                <w:highlight w:val="none"/>
                <w:lang w:val="en-US" w:eastAsia="zh-CN" w:bidi="ar"/>
              </w:rPr>
              <w:t xml:space="preserve">2</w:t>
            </w:r>
            <w:r>
              <w:rPr>
                <w:rFonts w:hint="eastAsia" w:ascii="宋体" w:hAnsi="宋体" w:eastAsia="宋体" w:cs="宋体"/>
                <w:b/>
                <w:bCs/>
                <w:color w:val="auto"/>
                <w:sz w:val="22"/>
                <w:szCs w:val="22"/>
                <w:highlight w:val="none"/>
                <w:lang w:eastAsia="zh-CN" w:bidi="ar"/>
              </w:rPr>
              <w:t xml:space="preserve">0</w:t>
            </w:r>
            <w:r>
              <w:rPr>
                <w:rFonts w:hint="eastAsia" w:ascii="宋体" w:hAnsi="宋体" w:eastAsia="宋体" w:cs="宋体"/>
                <w:b/>
                <w:bCs/>
                <w:color w:val="auto"/>
                <w:sz w:val="22"/>
                <w:szCs w:val="22"/>
                <w:highlight w:val="none"/>
                <w:lang w:bidi="ar"/>
              </w:rPr>
              <w:t xml:space="preserve">分）</w:t>
            </w:r>
            <w:r/>
          </w:p>
        </w:tc>
        <w:tc>
          <w:tcPr>
            <w:tcW w:w="9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val="en-US" w:eastAsia="zh-CN" w:bidi="ar"/>
              </w:rPr>
              <w:t xml:space="preserve">2</w:t>
            </w:r>
            <w:r>
              <w:rPr>
                <w:rFonts w:hint="eastAsia" w:ascii="宋体" w:hAnsi="宋体" w:eastAsia="宋体" w:cs="宋体"/>
                <w:b/>
                <w:bCs/>
                <w:color w:val="auto"/>
                <w:sz w:val="22"/>
                <w:szCs w:val="22"/>
                <w:highlight w:val="none"/>
                <w:lang w:bidi="ar"/>
              </w:rPr>
              <w:t xml:space="preserve">0</w:t>
            </w:r>
            <w:r/>
          </w:p>
        </w:tc>
        <w:tc>
          <w:tcPr>
            <w:tcW w:w="6775" w:type="dxa"/>
            <w:vAlign w:val="center"/>
            <w:textDirection w:val="lrTb"/>
            <w:noWrap w:val="false"/>
          </w:tcPr>
          <w:p>
            <w:pPr>
              <w:pStyle w:val="902"/>
              <w:ind w:left="0" w:right="0" w:firstLine="0"/>
              <w:jc w:val="both"/>
              <w:keepLines w:val="0"/>
              <w:keepNext w:val="0"/>
              <w:pageBreakBefore w:val="0"/>
              <w:spacing w:line="240" w:lineRule="auto"/>
              <w:widowControl w:val="off"/>
              <w:rPr>
                <w:rFonts w:hint="eastAsia" w:ascii="宋体" w:hAnsi="宋体" w:eastAsia="宋体" w:cs="宋体"/>
                <w:color w:val="auto"/>
                <w:spacing w:val="-1"/>
                <w:sz w:val="22"/>
                <w:szCs w:val="22"/>
                <w:highlight w:val="none"/>
                <w:lang w:val="en-US" w:eastAsia="zh-CN"/>
              </w:rPr>
            </w:pPr>
            <w:r>
              <w:rPr>
                <w:rFonts w:hint="eastAsia" w:ascii="宋体" w:hAnsi="宋体" w:eastAsia="宋体" w:cs="宋体"/>
                <w:color w:val="auto"/>
                <w:spacing w:val="-1"/>
                <w:sz w:val="22"/>
                <w:szCs w:val="22"/>
                <w:highlight w:val="none"/>
                <w:lang w:eastAsia="zh-CN"/>
              </w:rPr>
              <w:t xml:space="preserve">所有通过评审的有效投标报价的最低报价为评标基准价，得满分</w:t>
            </w:r>
            <w:r>
              <w:rPr>
                <w:rFonts w:hint="eastAsia" w:ascii="宋体" w:hAnsi="宋体" w:eastAsia="宋体" w:cs="宋体"/>
                <w:color w:val="auto"/>
                <w:spacing w:val="-1"/>
                <w:sz w:val="22"/>
                <w:szCs w:val="22"/>
                <w:highlight w:val="none"/>
                <w:lang w:val="en-US" w:eastAsia="zh-CN"/>
              </w:rPr>
              <w:t xml:space="preserve">20</w:t>
            </w:r>
            <w:r>
              <w:rPr>
                <w:rFonts w:hint="eastAsia" w:ascii="宋体" w:hAnsi="宋体" w:eastAsia="宋体" w:cs="宋体"/>
                <w:color w:val="auto"/>
                <w:spacing w:val="-1"/>
                <w:sz w:val="22"/>
                <w:szCs w:val="22"/>
                <w:highlight w:val="none"/>
                <w:lang w:eastAsia="zh-CN"/>
              </w:rPr>
              <w:t xml:space="preserve">分，其他投标报价得分＝（评标基准价/投标报价）*</w:t>
            </w:r>
            <w:r>
              <w:rPr>
                <w:rFonts w:hint="eastAsia" w:ascii="宋体" w:hAnsi="宋体" w:eastAsia="宋体" w:cs="宋体"/>
                <w:color w:val="auto"/>
                <w:spacing w:val="-1"/>
                <w:sz w:val="22"/>
                <w:szCs w:val="22"/>
                <w:highlight w:val="none"/>
                <w:lang w:val="en-US" w:eastAsia="zh-CN"/>
              </w:rPr>
              <w:t xml:space="preserve">20</w:t>
            </w:r>
            <w:r/>
          </w:p>
          <w:p>
            <w:pPr>
              <w:pStyle w:val="902"/>
              <w:ind w:left="0" w:right="0" w:firstLine="0"/>
              <w:jc w:val="both"/>
              <w:keepLines w:val="0"/>
              <w:keepNext w:val="0"/>
              <w:pageBreakBefore w:val="0"/>
              <w:spacing w:line="240" w:lineRule="auto"/>
              <w:widowControl w:val="off"/>
              <w:rPr>
                <w:rFonts w:hint="eastAsia" w:ascii="宋体" w:hAnsi="宋体" w:eastAsia="宋体" w:cs="宋体"/>
                <w:color w:val="auto"/>
                <w:spacing w:val="-1"/>
                <w:sz w:val="22"/>
                <w:szCs w:val="22"/>
                <w:highlight w:val="none"/>
                <w:lang w:val="en-US" w:eastAsia="zh-CN"/>
              </w:rPr>
            </w:pPr>
            <w:r>
              <w:rPr>
                <w:rFonts w:hint="eastAsia" w:ascii="宋体" w:hAnsi="宋体" w:eastAsia="宋体" w:cs="宋体"/>
                <w:color w:val="auto"/>
                <w:sz w:val="22"/>
                <w:szCs w:val="21"/>
                <w:highlight w:val="none"/>
                <w:lang w:eastAsia="zh-CN"/>
              </w:rPr>
              <w:t xml:space="preserve">注：因落实政府采购政策需进行价格扣除的，以扣除后的价格计算评标基准价和</w:t>
            </w:r>
            <w:r>
              <w:rPr>
                <w:rFonts w:hint="eastAsia" w:ascii="宋体" w:hAnsi="宋体" w:eastAsia="宋体" w:cs="宋体"/>
                <w:color w:val="auto"/>
                <w:sz w:val="22"/>
                <w:szCs w:val="21"/>
                <w:highlight w:val="none"/>
                <w:lang w:val="en-US" w:eastAsia="zh-CN"/>
              </w:rPr>
              <w:t xml:space="preserve">响应</w:t>
            </w:r>
            <w:r>
              <w:rPr>
                <w:rFonts w:hint="eastAsia" w:ascii="宋体" w:hAnsi="宋体" w:eastAsia="宋体" w:cs="宋体"/>
                <w:color w:val="auto"/>
                <w:sz w:val="22"/>
                <w:szCs w:val="21"/>
                <w:highlight w:val="none"/>
                <w:lang w:eastAsia="zh-CN"/>
              </w:rPr>
              <w:t xml:space="preserve">报价。</w:t>
            </w:r>
            <w:r/>
          </w:p>
        </w:tc>
        <w:tc>
          <w:tcPr>
            <w:tcW w:w="680" w:type="dxa"/>
            <w:vAlign w:val="center"/>
            <w:textDirection w:val="lrTb"/>
            <w:noWrap w:val="false"/>
          </w:tcPr>
          <w:p>
            <w:pPr>
              <w:pStyle w:val="902"/>
              <w:ind w:left="0" w:right="0" w:firstLine="0"/>
              <w:jc w:val="left"/>
              <w:keepLines w:val="0"/>
              <w:keepNext w:val="0"/>
              <w:pageBreakBefore w:val="0"/>
              <w:spacing w:line="240" w:lineRule="auto"/>
              <w:widowControl w:val="off"/>
              <w:rPr>
                <w:rFonts w:hint="eastAsia" w:ascii="宋体" w:hAnsi="宋体" w:eastAsia="宋体" w:cs="宋体"/>
                <w:color w:val="auto"/>
                <w:spacing w:val="-1"/>
                <w:sz w:val="22"/>
                <w:szCs w:val="22"/>
                <w:highlight w:val="none"/>
                <w:lang w:eastAsia="zh-CN"/>
              </w:rPr>
            </w:pPr>
            <w:r>
              <w:rPr>
                <w:rFonts w:hint="eastAsia" w:ascii="宋体" w:hAnsi="宋体" w:eastAsia="宋体" w:cs="宋体"/>
                <w:color w:val="auto"/>
                <w:spacing w:val="-1"/>
                <w:sz w:val="22"/>
                <w:szCs w:val="22"/>
                <w:highlight w:val="none"/>
                <w:lang w:eastAsia="zh-CN"/>
              </w:rPr>
            </w:r>
            <w:r/>
          </w:p>
        </w:tc>
      </w:tr>
      <w:tr>
        <w:trPr>
          <w:jc w:val="center"/>
          <w:trHeight w:val="1901"/>
        </w:trPr>
        <w:tc>
          <w:tcPr>
            <w:tcW w:w="90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商务评分项（</w:t>
            </w:r>
            <w:r>
              <w:rPr>
                <w:rFonts w:hint="eastAsia" w:ascii="宋体" w:hAnsi="宋体" w:eastAsia="宋体" w:cs="宋体"/>
                <w:b/>
                <w:bCs/>
                <w:color w:val="auto"/>
                <w:sz w:val="22"/>
                <w:szCs w:val="22"/>
                <w:highlight w:val="none"/>
                <w:lang w:val="en-US" w:eastAsia="zh-CN" w:bidi="ar"/>
              </w:rPr>
              <w:t xml:space="preserve">35</w:t>
            </w:r>
            <w:r>
              <w:rPr>
                <w:rFonts w:hint="eastAsia" w:ascii="宋体" w:hAnsi="宋体" w:eastAsia="宋体" w:cs="宋体"/>
                <w:b/>
                <w:bCs/>
                <w:color w:val="auto"/>
                <w:sz w:val="22"/>
                <w:szCs w:val="22"/>
                <w:highlight w:val="none"/>
                <w:lang w:bidi="ar"/>
              </w:rPr>
              <w:t xml:space="preserve">分）</w:t>
            </w:r>
            <w:r/>
          </w:p>
        </w:tc>
        <w:tc>
          <w:tcPr>
            <w:tcBorders>
              <w:bottom w:val="single" w:color="auto" w:sz="4" w:space="0"/>
            </w:tcBorders>
            <w:tcW w:w="9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项目负责人</w:t>
            </w:r>
            <w:r/>
          </w:p>
        </w:tc>
        <w:tc>
          <w:tcPr>
            <w:tcBorders>
              <w:bottom w:val="single" w:color="auto" w:sz="4" w:space="0"/>
            </w:tcBorders>
            <w:tcW w:w="9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zh-CN" w:bidi="ar"/>
              </w:rPr>
            </w:pPr>
            <w:r>
              <w:rPr>
                <w:rFonts w:hint="eastAsia" w:ascii="宋体" w:hAnsi="宋体" w:cs="宋体"/>
                <w:b/>
                <w:bCs/>
                <w:color w:val="auto"/>
                <w:sz w:val="22"/>
                <w:szCs w:val="22"/>
                <w:highlight w:val="none"/>
                <w:lang w:val="en-US" w:eastAsia="zh-CN" w:bidi="ar"/>
              </w:rPr>
              <w:t xml:space="preserve">3</w:t>
            </w:r>
            <w:r/>
          </w:p>
        </w:tc>
        <w:tc>
          <w:tcPr>
            <w:tcBorders>
              <w:bottom w:val="single" w:color="auto" w:sz="4" w:space="0"/>
            </w:tcBorders>
            <w:tcW w:w="6775" w:type="dxa"/>
            <w:vAlign w:val="center"/>
            <w:textDirection w:val="lrTb"/>
            <w:noWrap w:val="false"/>
          </w:tcPr>
          <w:p>
            <w:pPr>
              <w:numPr>
                <w:ilvl w:val="0"/>
                <w:numId w:val="0"/>
              </w:numPr>
              <w:ind w:left="0" w:right="0" w:firstLine="0"/>
              <w:jc w:val="left"/>
              <w:spacing w:before="0" w:after="0" w:line="240" w:lineRule="auto"/>
              <w:rPr>
                <w:rFonts w:hint="eastAsia" w:ascii="宋体" w:hAnsi="宋体" w:eastAsia="宋体" w:cs="宋体"/>
                <w:color w:val="auto"/>
                <w:spacing w:val="-1"/>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2"/>
                <w:szCs w:val="22"/>
                <w:highlight w:val="none"/>
                <w:lang w:val="en-US" w:eastAsia="zh-CN" w:bidi="ar-SA"/>
              </w:rPr>
              <w:t xml:space="preserve">拟派项目负责人有水质分析、水处理等相关专业高级工程师及以上职称的得</w:t>
            </w:r>
            <w:r>
              <w:rPr>
                <w:rFonts w:hint="eastAsia" w:ascii="宋体" w:hAnsi="宋体" w:cs="宋体"/>
                <w:color w:val="auto"/>
                <w:spacing w:val="-1"/>
                <w:sz w:val="22"/>
                <w:szCs w:val="22"/>
                <w:highlight w:val="none"/>
                <w:lang w:val="en-US" w:eastAsia="zh-CN" w:bidi="ar-SA"/>
              </w:rPr>
              <w:t xml:space="preserve">3</w:t>
            </w:r>
            <w:r>
              <w:rPr>
                <w:rFonts w:hint="eastAsia" w:ascii="宋体" w:hAnsi="宋体" w:eastAsia="宋体" w:cs="宋体"/>
                <w:color w:val="auto"/>
                <w:spacing w:val="-1"/>
                <w:sz w:val="22"/>
                <w:szCs w:val="22"/>
                <w:highlight w:val="none"/>
                <w:lang w:val="en-US" w:eastAsia="zh-CN" w:bidi="ar-SA"/>
              </w:rPr>
              <w:t xml:space="preserve">分；有水质分析、水处理等相关专业中级工程师职称的得2分，其他不得分。</w:t>
            </w:r>
            <w:r/>
          </w:p>
          <w:p>
            <w:pPr>
              <w:numPr>
                <w:ilvl w:val="0"/>
                <w:numId w:val="0"/>
              </w:numPr>
              <w:ind w:left="0" w:right="0" w:firstLine="0"/>
              <w:jc w:val="left"/>
              <w:spacing w:before="0" w:after="0" w:line="240" w:lineRule="auto"/>
              <w:rPr>
                <w:rFonts w:hint="eastAsia" w:ascii="宋体" w:hAnsi="宋体" w:eastAsia="宋体" w:cs="宋体"/>
                <w:color w:val="auto"/>
                <w:spacing w:val="-1"/>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2"/>
                <w:szCs w:val="22"/>
                <w:highlight w:val="none"/>
                <w:lang w:val="en-US" w:eastAsia="zh-CN" w:bidi="ar-SA"/>
              </w:rPr>
              <w:t xml:space="preserve">注：提供职称证书及其在职证明材料，并加盖投标人单位公章，资料提供不全或无法证明的不得分。</w:t>
            </w:r>
            <w:r/>
          </w:p>
        </w:tc>
        <w:tc>
          <w:tcPr>
            <w:tcBorders>
              <w:bottom w:val="single" w:color="auto" w:sz="4" w:space="0"/>
            </w:tcBorders>
            <w:tcW w:w="680" w:type="dxa"/>
            <w:vAlign w:val="center"/>
            <w:textDirection w:val="lrTb"/>
            <w:noWrap w:val="false"/>
          </w:tcPr>
          <w:p>
            <w:pPr>
              <w:pStyle w:val="902"/>
              <w:ind w:left="0" w:right="0" w:firstLine="0"/>
              <w:jc w:val="center"/>
              <w:keepLines w:val="0"/>
              <w:keepNext w:val="0"/>
              <w:pageBreakBefore w:val="0"/>
              <w:spacing w:line="240" w:lineRule="auto"/>
              <w:widowControl w:val="off"/>
              <w:rPr>
                <w:rFonts w:hint="eastAsia" w:ascii="宋体" w:hAnsi="宋体" w:eastAsia="宋体" w:cs="宋体"/>
                <w:color w:val="auto"/>
                <w:spacing w:val="-1"/>
                <w:sz w:val="22"/>
                <w:szCs w:val="22"/>
                <w:highlight w:val="none"/>
                <w:lang w:eastAsia="zh-CN"/>
              </w:rPr>
            </w:pPr>
            <w:r>
              <w:rPr>
                <w:rFonts w:hint="eastAsia" w:ascii="宋体" w:hAnsi="宋体" w:eastAsia="宋体" w:cs="宋体"/>
                <w:color w:val="auto"/>
                <w:spacing w:val="-1"/>
                <w:sz w:val="22"/>
                <w:szCs w:val="22"/>
                <w:highlight w:val="none"/>
                <w:lang w:eastAsia="zh-CN"/>
              </w:rPr>
            </w:r>
            <w:r/>
          </w:p>
        </w:tc>
      </w:tr>
      <w:tr>
        <w:trPr>
          <w:jc w:val="center"/>
          <w:trHeight w:val="1720"/>
        </w:trPr>
        <w:tc>
          <w:tcPr>
            <w:tcW w:w="9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r>
            <w:r/>
          </w:p>
        </w:tc>
        <w:tc>
          <w:tcPr>
            <w:tcBorders>
              <w:top w:val="single" w:color="auto" w:sz="4" w:space="0"/>
            </w:tcBorders>
            <w:tcW w:w="9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项目组成员</w:t>
            </w:r>
            <w:r/>
          </w:p>
        </w:tc>
        <w:tc>
          <w:tcPr>
            <w:tcBorders>
              <w:top w:val="single" w:color="auto" w:sz="4" w:space="0"/>
            </w:tcBorders>
            <w:tcW w:w="9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 xml:space="preserve">9</w:t>
            </w:r>
            <w:r/>
          </w:p>
        </w:tc>
        <w:tc>
          <w:tcPr>
            <w:tcBorders>
              <w:top w:val="single" w:color="auto" w:sz="4" w:space="0"/>
            </w:tcBorders>
            <w:tcW w:w="6775" w:type="dxa"/>
            <w:vAlign w:val="center"/>
            <w:textDirection w:val="lrTb"/>
            <w:noWrap w:val="false"/>
          </w:tcPr>
          <w:p>
            <w:pPr>
              <w:numPr>
                <w:ilvl w:val="0"/>
                <w:numId w:val="0"/>
              </w:numPr>
              <w:ind w:left="0" w:right="0" w:firstLine="0"/>
              <w:jc w:val="left"/>
              <w:spacing w:before="0" w:after="0" w:line="240" w:lineRule="auto"/>
              <w:rPr>
                <w:rFonts w:hint="eastAsia" w:ascii="宋体" w:hAnsi="宋体" w:eastAsia="宋体" w:cs="宋体"/>
                <w:color w:val="auto"/>
                <w:spacing w:val="-1"/>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2"/>
                <w:szCs w:val="22"/>
                <w:highlight w:val="none"/>
                <w:lang w:val="en-US" w:eastAsia="zh-CN" w:bidi="ar-SA"/>
              </w:rPr>
              <w:t xml:space="preserve">拟派项目成员（不含项目负责人）应至少配备检测人员5人，现场采样人员4人。满足要求得9分,每少1人扣1分 ,扣完为止。</w:t>
            </w:r>
            <w:r/>
          </w:p>
          <w:p>
            <w:pPr>
              <w:numPr>
                <w:ilvl w:val="0"/>
                <w:numId w:val="0"/>
              </w:numPr>
              <w:ind w:left="0" w:right="0" w:firstLine="0"/>
              <w:jc w:val="left"/>
              <w:spacing w:before="0" w:after="0" w:line="240" w:lineRule="auto"/>
              <w:rPr>
                <w:rFonts w:hint="eastAsia" w:ascii="宋体" w:hAnsi="宋体" w:eastAsia="宋体" w:cs="宋体"/>
                <w:color w:val="auto"/>
                <w:spacing w:val="-1"/>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2"/>
                <w:szCs w:val="22"/>
                <w:highlight w:val="none"/>
                <w:lang w:val="en-US" w:eastAsia="zh-CN" w:bidi="ar-SA"/>
              </w:rPr>
              <w:t xml:space="preserve">注：人员一人一岗，提供人员的在职证明材料，并加盖投标人单位公章，资料提供不全或无法证明的不得分。</w:t>
            </w:r>
            <w:r/>
          </w:p>
        </w:tc>
        <w:tc>
          <w:tcPr>
            <w:tcBorders>
              <w:top w:val="single" w:color="auto" w:sz="4" w:space="0"/>
            </w:tcBorders>
            <w:tcW w:w="680" w:type="dxa"/>
            <w:vAlign w:val="center"/>
            <w:textDirection w:val="lrTb"/>
            <w:noWrap w:val="false"/>
          </w:tcPr>
          <w:p>
            <w:pPr>
              <w:pStyle w:val="902"/>
              <w:numPr>
                <w:ilvl w:val="0"/>
                <w:numId w:val="0"/>
              </w:numPr>
              <w:ind w:left="0" w:right="0" w:firstLine="0"/>
              <w:jc w:val="center"/>
              <w:keepLines w:val="0"/>
              <w:keepNext w:val="0"/>
              <w:pageBreakBefore w:val="0"/>
              <w:spacing w:line="240" w:lineRule="auto"/>
              <w:widowControl w:val="off"/>
              <w:rPr>
                <w:rFonts w:hint="eastAsia" w:ascii="宋体" w:hAnsi="宋体" w:eastAsia="宋体" w:cs="宋体"/>
                <w:color w:val="auto"/>
                <w:spacing w:val="-1"/>
                <w:sz w:val="22"/>
                <w:szCs w:val="22"/>
                <w:highlight w:val="none"/>
                <w:lang w:val="en-US" w:eastAsia="zh-CN" w:bidi="ar-SA"/>
              </w:rPr>
            </w:pPr>
            <w:r>
              <w:rPr>
                <w:rFonts w:hint="eastAsia" w:ascii="宋体" w:hAnsi="宋体" w:eastAsia="宋体" w:cs="宋体"/>
                <w:color w:val="auto"/>
                <w:spacing w:val="-1"/>
                <w:sz w:val="22"/>
                <w:szCs w:val="22"/>
                <w:highlight w:val="none"/>
                <w:lang w:val="en-US" w:eastAsia="zh-CN" w:bidi="ar-SA"/>
              </w:rPr>
            </w:r>
            <w:r/>
          </w:p>
        </w:tc>
      </w:tr>
      <w:tr>
        <w:trPr>
          <w:jc w:val="center"/>
          <w:trHeight w:val="574"/>
        </w:trPr>
        <w:tc>
          <w:tcPr>
            <w:tcW w:w="9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r>
            <w:r/>
          </w:p>
        </w:tc>
        <w:tc>
          <w:tcPr>
            <w:tcW w:w="9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zh-CN" w:bidi="ar"/>
              </w:rPr>
            </w:pPr>
            <w:r>
              <w:rPr>
                <w:rFonts w:hint="eastAsia" w:ascii="宋体" w:hAnsi="宋体" w:eastAsia="宋体" w:cs="宋体"/>
                <w:b/>
                <w:bCs/>
                <w:color w:val="auto"/>
                <w:sz w:val="22"/>
                <w:szCs w:val="22"/>
                <w:highlight w:val="none"/>
                <w:lang w:eastAsia="zh-CN" w:bidi="ar"/>
              </w:rPr>
              <w:t xml:space="preserve">拟投入项目设备</w:t>
            </w:r>
            <w:r/>
          </w:p>
        </w:tc>
        <w:tc>
          <w:tcPr>
            <w:tcW w:w="9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zh-CN" w:bidi="ar"/>
              </w:rPr>
            </w:pPr>
            <w:r>
              <w:rPr>
                <w:rFonts w:hint="eastAsia" w:ascii="宋体" w:hAnsi="宋体" w:eastAsia="宋体" w:cs="宋体"/>
                <w:b/>
                <w:bCs/>
                <w:color w:val="auto"/>
                <w:sz w:val="22"/>
                <w:szCs w:val="22"/>
                <w:highlight w:val="none"/>
                <w:lang w:val="en-US" w:eastAsia="zh-CN" w:bidi="ar"/>
              </w:rPr>
              <w:t xml:space="preserve">1</w:t>
            </w:r>
            <w:r>
              <w:rPr>
                <w:rFonts w:hint="eastAsia" w:ascii="宋体" w:hAnsi="宋体" w:cs="宋体"/>
                <w:b/>
                <w:bCs/>
                <w:color w:val="auto"/>
                <w:sz w:val="22"/>
                <w:szCs w:val="22"/>
                <w:highlight w:val="none"/>
                <w:lang w:val="en-US" w:eastAsia="zh-CN" w:bidi="ar"/>
              </w:rPr>
              <w:t xml:space="preserve">3</w:t>
            </w:r>
            <w:r/>
          </w:p>
        </w:tc>
        <w:tc>
          <w:tcPr>
            <w:tcW w:w="6775" w:type="dxa"/>
            <w:vAlign w:val="center"/>
            <w:textDirection w:val="lrTb"/>
            <w:noWrap w:val="false"/>
          </w:tcPr>
          <w:p>
            <w:pPr>
              <w:pStyle w:val="902"/>
              <w:ind w:left="0" w:right="0" w:firstLine="0"/>
              <w:jc w:val="left"/>
              <w:keepLines w:val="0"/>
              <w:keepNext w:val="0"/>
              <w:pageBreakBefore w:val="0"/>
              <w:spacing w:line="240" w:lineRule="auto"/>
              <w:widowControl w:val="off"/>
              <w:rPr>
                <w:rFonts w:hint="eastAsia" w:ascii="宋体" w:hAnsi="宋体" w:eastAsia="宋体" w:cs="宋体"/>
                <w:b w:val="0"/>
                <w:bCs w:val="0"/>
                <w:color w:val="auto"/>
                <w:spacing w:val="-2"/>
                <w:sz w:val="22"/>
                <w:szCs w:val="22"/>
                <w:highlight w:val="none"/>
                <w:lang w:eastAsia="zh-CN"/>
              </w:rPr>
            </w:pPr>
            <w:r>
              <w:rPr>
                <w:rFonts w:hint="eastAsia" w:ascii="宋体" w:hAnsi="宋体" w:eastAsia="宋体" w:cs="宋体"/>
                <w:color w:val="auto"/>
                <w:spacing w:val="-2"/>
                <w:sz w:val="22"/>
                <w:szCs w:val="22"/>
                <w:highlight w:val="none"/>
                <w:lang w:eastAsia="zh-CN"/>
              </w:rPr>
              <w:t xml:space="preserve">1.</w:t>
            </w:r>
            <w:r>
              <w:rPr>
                <w:rFonts w:hint="eastAsia" w:ascii="宋体" w:hAnsi="宋体" w:eastAsia="宋体" w:cs="宋体"/>
                <w:b w:val="0"/>
                <w:bCs w:val="0"/>
                <w:color w:val="auto"/>
                <w:spacing w:val="-2"/>
                <w:sz w:val="22"/>
                <w:szCs w:val="22"/>
                <w:highlight w:val="none"/>
                <w:lang w:eastAsia="zh-CN"/>
              </w:rPr>
              <w:t xml:space="preserve">常规仪器设备配置情况：实验室有浊度仪、便携式余氯测定仪、pH计、电子分析天平、生物显微镜、细菌培养箱检测设备，</w:t>
            </w:r>
            <w:r>
              <w:rPr>
                <w:rFonts w:hint="eastAsia" w:ascii="宋体" w:hAnsi="宋体" w:eastAsia="宋体" w:cs="宋体"/>
                <w:b w:val="0"/>
                <w:bCs w:val="0"/>
                <w:color w:val="auto"/>
                <w:spacing w:val="-2"/>
                <w:sz w:val="22"/>
                <w:szCs w:val="22"/>
                <w:highlight w:val="none"/>
                <w:lang w:val="en-US" w:eastAsia="zh-CN"/>
              </w:rPr>
              <w:t xml:space="preserve">有一个得1分，最高得6分</w:t>
            </w:r>
            <w:r>
              <w:rPr>
                <w:rFonts w:hint="eastAsia" w:ascii="宋体" w:hAnsi="宋体" w:eastAsia="宋体" w:cs="宋体"/>
                <w:b w:val="0"/>
                <w:bCs w:val="0"/>
                <w:color w:val="auto"/>
                <w:spacing w:val="-2"/>
                <w:sz w:val="22"/>
                <w:szCs w:val="22"/>
                <w:highlight w:val="none"/>
                <w:lang w:eastAsia="zh-CN"/>
              </w:rPr>
              <w:t xml:space="preserve">。</w:t>
            </w:r>
            <w:r/>
          </w:p>
          <w:p>
            <w:pPr>
              <w:pStyle w:val="902"/>
              <w:ind w:left="0" w:right="0" w:firstLine="0"/>
              <w:jc w:val="left"/>
              <w:keepLines w:val="0"/>
              <w:keepNext w:val="0"/>
              <w:pageBreakBefore w:val="0"/>
              <w:spacing w:line="240" w:lineRule="auto"/>
              <w:widowControl w:val="off"/>
              <w:rPr>
                <w:rFonts w:hint="eastAsia" w:ascii="宋体" w:hAnsi="宋体" w:eastAsia="宋体" w:cs="宋体"/>
                <w:b w:val="0"/>
                <w:bCs w:val="0"/>
                <w:color w:val="auto"/>
                <w:spacing w:val="-2"/>
                <w:sz w:val="22"/>
                <w:szCs w:val="22"/>
                <w:highlight w:val="none"/>
                <w:lang w:eastAsia="zh-CN"/>
              </w:rPr>
            </w:pPr>
            <w:r>
              <w:rPr>
                <w:rFonts w:hint="eastAsia" w:ascii="宋体" w:hAnsi="宋体" w:eastAsia="宋体" w:cs="宋体"/>
                <w:b w:val="0"/>
                <w:bCs w:val="0"/>
                <w:color w:val="auto"/>
                <w:spacing w:val="-2"/>
                <w:sz w:val="22"/>
                <w:szCs w:val="22"/>
                <w:highlight w:val="none"/>
                <w:lang w:eastAsia="zh-CN"/>
              </w:rPr>
              <w:t xml:space="preserve">2.大型仪器配置情况：实验室有液相质谱仪、液相色谱仪、气相色谱仪、气相质谱联用仪、放射性测量仪、原子吸收仪、离子色谱仪检测设备，</w:t>
            </w:r>
            <w:r>
              <w:rPr>
                <w:rFonts w:hint="eastAsia" w:ascii="宋体" w:hAnsi="宋体" w:eastAsia="宋体" w:cs="宋体"/>
                <w:b w:val="0"/>
                <w:bCs w:val="0"/>
                <w:color w:val="auto"/>
                <w:spacing w:val="-2"/>
                <w:sz w:val="22"/>
                <w:szCs w:val="22"/>
                <w:highlight w:val="none"/>
                <w:lang w:val="en-US" w:eastAsia="zh-CN"/>
              </w:rPr>
              <w:t xml:space="preserve">有一个得1分，最高得7分</w:t>
            </w:r>
            <w:r>
              <w:rPr>
                <w:rFonts w:hint="eastAsia" w:ascii="宋体" w:hAnsi="宋体" w:eastAsia="宋体" w:cs="宋体"/>
                <w:b w:val="0"/>
                <w:bCs w:val="0"/>
                <w:color w:val="auto"/>
                <w:spacing w:val="-2"/>
                <w:sz w:val="22"/>
                <w:szCs w:val="22"/>
                <w:highlight w:val="none"/>
                <w:lang w:eastAsia="zh-CN"/>
              </w:rPr>
              <w:t xml:space="preserve">。</w:t>
            </w:r>
            <w:r/>
          </w:p>
          <w:p>
            <w:pPr>
              <w:pStyle w:val="902"/>
              <w:ind w:left="0" w:right="0" w:firstLine="0"/>
              <w:jc w:val="left"/>
              <w:keepLines w:val="0"/>
              <w:keepNext w:val="0"/>
              <w:pageBreakBefore w:val="0"/>
              <w:spacing w:line="240" w:lineRule="auto"/>
              <w:widowControl w:val="off"/>
              <w:rPr>
                <w:rFonts w:hint="eastAsia" w:ascii="宋体" w:hAnsi="宋体" w:eastAsia="宋体" w:cs="宋体"/>
                <w:b w:val="0"/>
                <w:bCs w:val="0"/>
                <w:color w:val="auto"/>
                <w:spacing w:val="-2"/>
                <w:sz w:val="22"/>
                <w:szCs w:val="22"/>
                <w:highlight w:val="none"/>
                <w:lang w:eastAsia="zh-CN"/>
              </w:rPr>
            </w:pPr>
            <w:r>
              <w:rPr>
                <w:rFonts w:hint="eastAsia" w:ascii="宋体" w:hAnsi="宋体" w:eastAsia="宋体" w:cs="宋体"/>
                <w:b w:val="0"/>
                <w:bCs w:val="0"/>
                <w:color w:val="auto"/>
                <w:spacing w:val="-2"/>
                <w:sz w:val="22"/>
                <w:szCs w:val="22"/>
                <w:highlight w:val="none"/>
                <w:lang w:eastAsia="zh-CN"/>
              </w:rPr>
              <w:t xml:space="preserve">注：1、如以上设备为投标人自有设备的，投标时提供相关设备购买发票或采购合同的扫描件。</w:t>
            </w:r>
            <w:r/>
          </w:p>
          <w:p>
            <w:pPr>
              <w:pStyle w:val="902"/>
              <w:ind w:left="0" w:right="0" w:firstLine="0"/>
              <w:jc w:val="left"/>
              <w:keepLines w:val="0"/>
              <w:keepNext w:val="0"/>
              <w:pageBreakBefore w:val="0"/>
              <w:spacing w:line="240" w:lineRule="auto"/>
              <w:widowControl w:val="off"/>
              <w:rPr>
                <w:rFonts w:hint="eastAsia" w:ascii="宋体" w:hAnsi="宋体" w:eastAsia="宋体" w:cs="宋体"/>
                <w:b w:val="0"/>
                <w:bCs w:val="0"/>
                <w:color w:val="auto"/>
                <w:spacing w:val="-2"/>
                <w:sz w:val="22"/>
                <w:szCs w:val="22"/>
                <w:highlight w:val="none"/>
                <w:lang w:eastAsia="zh-CN"/>
              </w:rPr>
            </w:pPr>
            <w:r>
              <w:rPr>
                <w:rFonts w:hint="eastAsia" w:ascii="宋体" w:hAnsi="宋体" w:eastAsia="宋体" w:cs="宋体"/>
                <w:b w:val="0"/>
                <w:bCs w:val="0"/>
                <w:color w:val="auto"/>
                <w:spacing w:val="-2"/>
                <w:sz w:val="22"/>
                <w:szCs w:val="22"/>
                <w:highlight w:val="none"/>
                <w:lang w:eastAsia="zh-CN"/>
              </w:rPr>
              <w:t xml:space="preserve">2、如以上设备为投标人租赁的，投标时提供相关设备租赁合同扫描件。</w:t>
            </w:r>
            <w:r/>
          </w:p>
          <w:p>
            <w:pPr>
              <w:pStyle w:val="902"/>
              <w:ind w:left="0" w:right="0" w:firstLine="0"/>
              <w:jc w:val="left"/>
              <w:keepLines w:val="0"/>
              <w:keepNext w:val="0"/>
              <w:pageBreakBefore w:val="0"/>
              <w:spacing w:line="240" w:lineRule="auto"/>
              <w:widowControl w:val="off"/>
              <w:rPr>
                <w:rFonts w:hint="eastAsia" w:ascii="宋体" w:hAnsi="宋体" w:eastAsia="宋体" w:cs="宋体"/>
                <w:b w:val="0"/>
                <w:bCs w:val="0"/>
                <w:color w:val="auto"/>
                <w:spacing w:val="-2"/>
                <w:sz w:val="22"/>
                <w:szCs w:val="22"/>
                <w:highlight w:val="none"/>
                <w:lang w:eastAsia="zh-CN"/>
              </w:rPr>
            </w:pPr>
            <w:r>
              <w:rPr>
                <w:rFonts w:hint="eastAsia" w:ascii="宋体" w:hAnsi="宋体" w:eastAsia="宋体" w:cs="宋体"/>
                <w:b w:val="0"/>
                <w:bCs w:val="0"/>
                <w:color w:val="auto"/>
                <w:spacing w:val="-2"/>
                <w:sz w:val="22"/>
                <w:szCs w:val="22"/>
                <w:highlight w:val="none"/>
                <w:lang w:eastAsia="zh-CN"/>
              </w:rPr>
              <w:t xml:space="preserve">3、如投标人承诺中标后提供以上设备的，投标时提供承诺函（格式自拟，承诺中标后提供以上设备供本项目使用）。</w:t>
            </w:r>
            <w:r/>
          </w:p>
          <w:p>
            <w:pPr>
              <w:pStyle w:val="902"/>
              <w:ind w:left="0" w:right="0" w:firstLine="0"/>
              <w:jc w:val="left"/>
              <w:keepLines w:val="0"/>
              <w:keepNext w:val="0"/>
              <w:pageBreakBefore w:val="0"/>
              <w:spacing w:line="240" w:lineRule="auto"/>
              <w:widowControl w:val="off"/>
              <w:rPr>
                <w:rFonts w:hint="eastAsia" w:ascii="宋体" w:hAnsi="宋体" w:eastAsia="宋体" w:cs="宋体"/>
                <w:b w:val="0"/>
                <w:bCs w:val="0"/>
                <w:color w:val="auto"/>
                <w:spacing w:val="-2"/>
                <w:sz w:val="22"/>
                <w:szCs w:val="22"/>
                <w:highlight w:val="none"/>
                <w:lang w:eastAsia="zh-CN"/>
              </w:rPr>
            </w:pPr>
            <w:r>
              <w:rPr>
                <w:rFonts w:hint="eastAsia" w:ascii="宋体" w:hAnsi="宋体" w:eastAsia="宋体" w:cs="宋体"/>
                <w:b w:val="0"/>
                <w:bCs w:val="0"/>
                <w:color w:val="auto"/>
                <w:spacing w:val="-2"/>
                <w:sz w:val="22"/>
                <w:szCs w:val="22"/>
                <w:highlight w:val="none"/>
                <w:lang w:eastAsia="zh-CN"/>
              </w:rPr>
              <w:t xml:space="preserve">投标人需满足上述三种情形之一，并按上述要求提供相关资料，否则不予计分。</w:t>
            </w:r>
            <w:r/>
          </w:p>
        </w:tc>
        <w:tc>
          <w:tcPr>
            <w:tcW w:w="680" w:type="dxa"/>
            <w:vAlign w:val="center"/>
            <w:textDirection w:val="lrTb"/>
            <w:noWrap w:val="false"/>
          </w:tcPr>
          <w:p>
            <w:pPr>
              <w:pStyle w:val="902"/>
              <w:ind w:left="0" w:right="0" w:firstLine="0"/>
              <w:jc w:val="center"/>
              <w:keepLines w:val="0"/>
              <w:keepNext w:val="0"/>
              <w:pageBreakBefore w:val="0"/>
              <w:spacing w:line="240" w:lineRule="auto"/>
              <w:widowControl w:val="off"/>
              <w:rPr>
                <w:rFonts w:hint="eastAsia" w:ascii="宋体" w:hAnsi="宋体" w:eastAsia="宋体" w:cs="宋体"/>
                <w:b w:val="0"/>
                <w:bCs w:val="0"/>
                <w:color w:val="auto"/>
                <w:spacing w:val="-2"/>
                <w:sz w:val="22"/>
                <w:szCs w:val="22"/>
                <w:highlight w:val="none"/>
                <w:lang w:eastAsia="zh-CN"/>
              </w:rPr>
            </w:pPr>
            <w:r>
              <w:rPr>
                <w:rFonts w:hint="eastAsia" w:ascii="宋体" w:hAnsi="宋体" w:eastAsia="宋体" w:cs="宋体"/>
                <w:b w:val="0"/>
                <w:bCs w:val="0"/>
                <w:color w:val="auto"/>
                <w:spacing w:val="-2"/>
                <w:sz w:val="22"/>
                <w:szCs w:val="22"/>
                <w:highlight w:val="none"/>
                <w:lang w:eastAsia="zh-CN"/>
              </w:rPr>
            </w:r>
            <w:r/>
          </w:p>
        </w:tc>
      </w:tr>
      <w:tr>
        <w:trPr>
          <w:jc w:val="center"/>
          <w:trHeight w:val="1889"/>
        </w:trPr>
        <w:tc>
          <w:tcPr>
            <w:tcW w:w="9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r>
            <w:r/>
          </w:p>
        </w:tc>
        <w:tc>
          <w:tcPr>
            <w:tcW w:w="928"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eastAsia="zh-CN" w:bidi="ar"/>
              </w:rPr>
              <w:t xml:space="preserve">企业业绩</w:t>
            </w:r>
            <w:r/>
          </w:p>
        </w:tc>
        <w:tc>
          <w:tcPr>
            <w:tcW w:w="9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zh-CN" w:bidi="ar"/>
              </w:rPr>
            </w:pPr>
            <w:r>
              <w:rPr>
                <w:rFonts w:hint="eastAsia" w:ascii="宋体" w:hAnsi="宋体" w:eastAsia="宋体" w:cs="宋体"/>
                <w:b/>
                <w:bCs/>
                <w:color w:val="auto"/>
                <w:sz w:val="22"/>
                <w:szCs w:val="22"/>
                <w:highlight w:val="none"/>
                <w:lang w:eastAsia="zh-CN" w:bidi="ar"/>
              </w:rPr>
              <w:t xml:space="preserve">10</w:t>
            </w:r>
            <w:r/>
          </w:p>
        </w:tc>
        <w:tc>
          <w:tcPr>
            <w:tcW w:w="6775" w:type="dxa"/>
            <w:vAlign w:val="center"/>
            <w:textDirection w:val="lrTb"/>
            <w:noWrap w:val="false"/>
          </w:tcPr>
          <w:p>
            <w:pPr>
              <w:pStyle w:val="902"/>
              <w:ind w:left="0" w:right="0" w:firstLine="0"/>
              <w:jc w:val="left"/>
              <w:keepLines w:val="0"/>
              <w:keepNext w:val="0"/>
              <w:pageBreakBefore w:val="0"/>
              <w:spacing w:line="240" w:lineRule="auto"/>
              <w:widowControl w:val="off"/>
              <w:rPr>
                <w:rFonts w:hint="eastAsia" w:ascii="宋体" w:hAnsi="宋体" w:eastAsia="宋体" w:cs="宋体"/>
                <w:color w:val="auto"/>
                <w:spacing w:val="-2"/>
                <w:sz w:val="22"/>
                <w:szCs w:val="22"/>
                <w:highlight w:val="none"/>
                <w:lang w:eastAsia="zh-CN"/>
              </w:rPr>
            </w:pPr>
            <w:r>
              <w:rPr>
                <w:rFonts w:hint="eastAsia" w:ascii="宋体" w:hAnsi="宋体" w:eastAsia="宋体" w:cs="宋体"/>
                <w:color w:val="auto"/>
                <w:spacing w:val="-2"/>
                <w:sz w:val="22"/>
                <w:szCs w:val="22"/>
                <w:highlight w:val="none"/>
                <w:lang w:eastAsia="zh-CN"/>
              </w:rPr>
              <w:t xml:space="preserve">投标人</w:t>
            </w:r>
            <w:r>
              <w:rPr>
                <w:rFonts w:hint="eastAsia" w:ascii="宋体" w:hAnsi="宋体" w:eastAsia="宋体" w:cs="宋体"/>
                <w:color w:val="auto"/>
                <w:spacing w:val="-2"/>
                <w:sz w:val="22"/>
                <w:szCs w:val="22"/>
                <w:highlight w:val="none"/>
                <w:lang w:val="en-US" w:eastAsia="zh-CN"/>
              </w:rPr>
              <w:t xml:space="preserve">自</w:t>
            </w:r>
            <w:r>
              <w:rPr>
                <w:rFonts w:hint="eastAsia" w:ascii="宋体" w:hAnsi="宋体" w:eastAsia="宋体" w:cs="宋体"/>
                <w:color w:val="auto"/>
                <w:spacing w:val="-2"/>
                <w:sz w:val="22"/>
                <w:szCs w:val="22"/>
                <w:highlight w:val="none"/>
                <w:lang w:eastAsia="zh-CN"/>
              </w:rPr>
              <w:t xml:space="preserve">202</w:t>
            </w:r>
            <w:r>
              <w:rPr>
                <w:rFonts w:hint="eastAsia" w:ascii="宋体" w:hAnsi="宋体" w:eastAsia="宋体" w:cs="宋体"/>
                <w:color w:val="auto"/>
                <w:spacing w:val="-2"/>
                <w:sz w:val="22"/>
                <w:szCs w:val="22"/>
                <w:highlight w:val="none"/>
                <w:lang w:val="en-US" w:eastAsia="zh-CN"/>
              </w:rPr>
              <w:t xml:space="preserve">3</w:t>
            </w:r>
            <w:r>
              <w:rPr>
                <w:rFonts w:hint="eastAsia" w:ascii="宋体" w:hAnsi="宋体" w:eastAsia="宋体" w:cs="宋体"/>
                <w:color w:val="auto"/>
                <w:spacing w:val="-2"/>
                <w:sz w:val="22"/>
                <w:szCs w:val="22"/>
                <w:highlight w:val="none"/>
                <w:lang w:eastAsia="zh-CN"/>
              </w:rPr>
              <w:t xml:space="preserve">年</w:t>
            </w:r>
            <w:r>
              <w:rPr>
                <w:rFonts w:hint="eastAsia" w:ascii="宋体" w:hAnsi="宋体" w:eastAsia="宋体" w:cs="宋体"/>
                <w:color w:val="auto"/>
                <w:spacing w:val="-2"/>
                <w:sz w:val="22"/>
                <w:szCs w:val="22"/>
                <w:highlight w:val="none"/>
                <w:lang w:val="en-US" w:eastAsia="zh-CN"/>
              </w:rPr>
              <w:t xml:space="preserve">9</w:t>
            </w:r>
            <w:r>
              <w:rPr>
                <w:rFonts w:hint="eastAsia" w:ascii="宋体" w:hAnsi="宋体" w:eastAsia="宋体" w:cs="宋体"/>
                <w:color w:val="auto"/>
                <w:spacing w:val="-2"/>
                <w:sz w:val="22"/>
                <w:szCs w:val="22"/>
                <w:highlight w:val="none"/>
                <w:lang w:eastAsia="zh-CN"/>
              </w:rPr>
              <w:t xml:space="preserve">月</w:t>
            </w:r>
            <w:r>
              <w:rPr>
                <w:rFonts w:hint="eastAsia" w:ascii="宋体" w:hAnsi="宋体" w:eastAsia="宋体" w:cs="宋体"/>
                <w:color w:val="auto"/>
                <w:spacing w:val="-2"/>
                <w:sz w:val="22"/>
                <w:szCs w:val="22"/>
                <w:highlight w:val="none"/>
                <w:lang w:val="en-US" w:eastAsia="zh-CN"/>
              </w:rPr>
              <w:t xml:space="preserve">1日</w:t>
            </w:r>
            <w:r>
              <w:rPr>
                <w:rFonts w:hint="eastAsia" w:ascii="宋体" w:hAnsi="宋体" w:eastAsia="宋体" w:cs="宋体"/>
                <w:color w:val="auto"/>
                <w:spacing w:val="-2"/>
                <w:sz w:val="22"/>
                <w:szCs w:val="22"/>
                <w:highlight w:val="none"/>
                <w:lang w:eastAsia="zh-CN"/>
              </w:rPr>
              <w:t xml:space="preserve">（</w:t>
            </w:r>
            <w:r>
              <w:rPr>
                <w:rFonts w:hint="eastAsia" w:ascii="宋体" w:hAnsi="宋体" w:eastAsia="宋体" w:cs="宋体"/>
                <w:color w:val="auto"/>
                <w:spacing w:val="-2"/>
                <w:sz w:val="22"/>
                <w:szCs w:val="22"/>
                <w:highlight w:val="none"/>
                <w:lang w:val="en-US" w:eastAsia="zh-CN"/>
              </w:rPr>
              <w:t xml:space="preserve">含</w:t>
            </w:r>
            <w:r>
              <w:rPr>
                <w:rFonts w:hint="eastAsia" w:ascii="宋体" w:hAnsi="宋体" w:eastAsia="宋体" w:cs="宋体"/>
                <w:color w:val="auto"/>
                <w:spacing w:val="-2"/>
                <w:sz w:val="22"/>
                <w:szCs w:val="22"/>
                <w:highlight w:val="none"/>
                <w:lang w:eastAsia="zh-CN"/>
              </w:rPr>
              <w:t xml:space="preserve">）以来</w:t>
            </w:r>
            <w:r>
              <w:rPr>
                <w:rFonts w:hint="eastAsia" w:ascii="宋体" w:hAnsi="宋体" w:eastAsia="宋体" w:cs="宋体"/>
                <w:color w:val="auto"/>
                <w:spacing w:val="-2"/>
                <w:sz w:val="22"/>
                <w:szCs w:val="22"/>
                <w:highlight w:val="none"/>
                <w:lang w:val="en-US" w:eastAsia="zh-CN"/>
              </w:rPr>
              <w:t xml:space="preserve">承担过类似项目</w:t>
            </w:r>
            <w:r>
              <w:rPr>
                <w:rFonts w:hint="eastAsia" w:ascii="宋体" w:hAnsi="宋体" w:eastAsia="宋体" w:cs="宋体"/>
                <w:color w:val="auto"/>
                <w:spacing w:val="-2"/>
                <w:sz w:val="22"/>
                <w:szCs w:val="22"/>
                <w:highlight w:val="none"/>
                <w:lang w:eastAsia="zh-CN"/>
              </w:rPr>
              <w:t xml:space="preserve">业绩（</w:t>
            </w:r>
            <w:r>
              <w:rPr>
                <w:rFonts w:hint="eastAsia" w:ascii="宋体" w:hAnsi="宋体" w:eastAsia="宋体" w:cs="宋体"/>
                <w:color w:val="auto"/>
                <w:spacing w:val="-2"/>
                <w:sz w:val="22"/>
                <w:szCs w:val="22"/>
                <w:highlight w:val="none"/>
                <w:lang w:val="en-US" w:eastAsia="zh-CN"/>
              </w:rPr>
              <w:t xml:space="preserve">以合同签订时间为准</w:t>
            </w:r>
            <w:r>
              <w:rPr>
                <w:rFonts w:hint="eastAsia" w:ascii="宋体" w:hAnsi="宋体" w:eastAsia="宋体" w:cs="宋体"/>
                <w:color w:val="auto"/>
                <w:spacing w:val="-2"/>
                <w:sz w:val="22"/>
                <w:szCs w:val="22"/>
                <w:highlight w:val="none"/>
                <w:lang w:eastAsia="zh-CN"/>
              </w:rPr>
              <w:t xml:space="preserve">），有一个得</w:t>
            </w:r>
            <w:r>
              <w:rPr>
                <w:rFonts w:hint="eastAsia" w:ascii="宋体" w:hAnsi="宋体" w:eastAsia="宋体" w:cs="宋体"/>
                <w:color w:val="auto"/>
                <w:spacing w:val="-2"/>
                <w:sz w:val="22"/>
                <w:szCs w:val="22"/>
                <w:highlight w:val="none"/>
                <w:lang w:val="en-US" w:eastAsia="zh-CN"/>
              </w:rPr>
              <w:t xml:space="preserve">5</w:t>
            </w:r>
            <w:r>
              <w:rPr>
                <w:rFonts w:hint="eastAsia" w:ascii="宋体" w:hAnsi="宋体" w:eastAsia="宋体" w:cs="宋体"/>
                <w:color w:val="auto"/>
                <w:spacing w:val="-2"/>
                <w:sz w:val="22"/>
                <w:szCs w:val="22"/>
                <w:highlight w:val="none"/>
                <w:lang w:eastAsia="zh-CN"/>
              </w:rPr>
              <w:t xml:space="preserve">分（最高</w:t>
            </w:r>
            <w:r>
              <w:rPr>
                <w:rFonts w:hint="eastAsia" w:ascii="宋体" w:hAnsi="宋体" w:eastAsia="宋体" w:cs="宋体"/>
                <w:color w:val="auto"/>
                <w:spacing w:val="-2"/>
                <w:sz w:val="22"/>
                <w:szCs w:val="22"/>
                <w:highlight w:val="none"/>
                <w:lang w:val="en-US" w:eastAsia="zh-CN"/>
              </w:rPr>
              <w:t xml:space="preserve">10</w:t>
            </w:r>
            <w:r>
              <w:rPr>
                <w:rFonts w:hint="eastAsia" w:ascii="宋体" w:hAnsi="宋体" w:eastAsia="宋体" w:cs="宋体"/>
                <w:color w:val="auto"/>
                <w:spacing w:val="-2"/>
                <w:sz w:val="22"/>
                <w:szCs w:val="22"/>
                <w:highlight w:val="none"/>
                <w:lang w:eastAsia="zh-CN"/>
              </w:rPr>
              <w:t xml:space="preserve">分）。</w:t>
            </w:r>
            <w:r/>
          </w:p>
          <w:p>
            <w:pPr>
              <w:pStyle w:val="902"/>
              <w:ind w:left="0" w:right="0" w:firstLine="0"/>
              <w:jc w:val="left"/>
              <w:keepLines w:val="0"/>
              <w:keepNext w:val="0"/>
              <w:pageBreakBefore w:val="0"/>
              <w:spacing w:line="240" w:lineRule="auto"/>
              <w:widowControl w:val="off"/>
              <w:rPr>
                <w:rFonts w:hint="eastAsia" w:ascii="宋体" w:hAnsi="宋体" w:eastAsia="宋体" w:cs="宋体"/>
                <w:color w:val="auto"/>
                <w:spacing w:val="-2"/>
                <w:sz w:val="22"/>
                <w:szCs w:val="22"/>
                <w:highlight w:val="none"/>
                <w:lang w:eastAsia="zh-CN"/>
              </w:rPr>
            </w:pPr>
            <w:r>
              <w:rPr>
                <w:rFonts w:hint="eastAsia" w:ascii="宋体" w:hAnsi="宋体" w:eastAsia="宋体" w:cs="宋体"/>
                <w:color w:val="auto"/>
                <w:spacing w:val="-2"/>
                <w:sz w:val="22"/>
                <w:szCs w:val="22"/>
                <w:highlight w:val="none"/>
                <w:lang w:eastAsia="zh-CN"/>
              </w:rPr>
              <w:t xml:space="preserve">注：须提供合同</w:t>
            </w:r>
            <w:r>
              <w:rPr>
                <w:rFonts w:hint="eastAsia" w:ascii="宋体" w:hAnsi="宋体" w:eastAsia="宋体" w:cs="宋体"/>
                <w:color w:val="auto"/>
                <w:spacing w:val="-2"/>
                <w:sz w:val="22"/>
                <w:szCs w:val="22"/>
                <w:highlight w:val="none"/>
                <w:lang w:val="en-US" w:eastAsia="zh-CN"/>
              </w:rPr>
              <w:t xml:space="preserve">扫描</w:t>
            </w:r>
            <w:r>
              <w:rPr>
                <w:rFonts w:hint="eastAsia" w:ascii="宋体" w:hAnsi="宋体" w:eastAsia="宋体" w:cs="宋体"/>
                <w:color w:val="auto"/>
                <w:spacing w:val="-2"/>
                <w:sz w:val="22"/>
                <w:szCs w:val="22"/>
                <w:highlight w:val="none"/>
                <w:lang w:eastAsia="zh-CN"/>
              </w:rPr>
              <w:t xml:space="preserve">件（如合同不能体现相关内容的，须补充</w:t>
            </w:r>
            <w:r>
              <w:rPr>
                <w:rFonts w:hint="eastAsia" w:ascii="宋体" w:hAnsi="宋体" w:eastAsia="宋体" w:cs="宋体"/>
                <w:color w:val="auto"/>
                <w:spacing w:val="-2"/>
                <w:sz w:val="22"/>
                <w:szCs w:val="22"/>
                <w:highlight w:val="none"/>
                <w:lang w:val="en-US" w:eastAsia="zh-CN"/>
              </w:rPr>
              <w:t xml:space="preserve">委托人</w:t>
            </w:r>
            <w:r>
              <w:rPr>
                <w:rFonts w:hint="eastAsia" w:ascii="宋体" w:hAnsi="宋体" w:eastAsia="宋体" w:cs="宋体"/>
                <w:color w:val="auto"/>
                <w:spacing w:val="-2"/>
                <w:sz w:val="22"/>
                <w:szCs w:val="22"/>
                <w:highlight w:val="none"/>
                <w:lang w:eastAsia="zh-CN"/>
              </w:rPr>
              <w:t xml:space="preserve">提供</w:t>
            </w:r>
            <w:r>
              <w:rPr>
                <w:rFonts w:hint="eastAsia" w:ascii="宋体" w:hAnsi="宋体" w:eastAsia="宋体" w:cs="宋体"/>
                <w:color w:val="auto"/>
                <w:spacing w:val="-2"/>
                <w:sz w:val="22"/>
                <w:szCs w:val="22"/>
                <w:highlight w:val="none"/>
                <w:lang w:val="en-US" w:eastAsia="zh-CN"/>
              </w:rPr>
              <w:t xml:space="preserve">的</w:t>
            </w:r>
            <w:r>
              <w:rPr>
                <w:rFonts w:hint="eastAsia" w:ascii="宋体" w:hAnsi="宋体" w:eastAsia="宋体" w:cs="宋体"/>
                <w:color w:val="auto"/>
                <w:spacing w:val="-2"/>
                <w:sz w:val="22"/>
                <w:szCs w:val="22"/>
                <w:highlight w:val="none"/>
                <w:lang w:eastAsia="zh-CN"/>
              </w:rPr>
              <w:t xml:space="preserve">证明文件），并加盖投标人单位公章，资料提供不全或无法证明的不得分。</w:t>
            </w:r>
            <w:r/>
          </w:p>
        </w:tc>
        <w:tc>
          <w:tcPr>
            <w:tcW w:w="680" w:type="dxa"/>
            <w:vAlign w:val="center"/>
            <w:textDirection w:val="lrTb"/>
            <w:noWrap w:val="false"/>
          </w:tcPr>
          <w:p>
            <w:pPr>
              <w:pStyle w:val="902"/>
              <w:ind w:left="0" w:right="0" w:firstLine="0"/>
              <w:jc w:val="center"/>
              <w:keepLines w:val="0"/>
              <w:keepNext w:val="0"/>
              <w:pageBreakBefore w:val="0"/>
              <w:spacing w:line="240" w:lineRule="auto"/>
              <w:widowControl w:val="off"/>
              <w:rPr>
                <w:rFonts w:hint="eastAsia" w:ascii="宋体" w:hAnsi="宋体" w:eastAsia="宋体" w:cs="宋体"/>
                <w:color w:val="auto"/>
                <w:spacing w:val="-2"/>
                <w:sz w:val="22"/>
                <w:szCs w:val="22"/>
                <w:highlight w:val="none"/>
                <w:lang w:eastAsia="zh-CN"/>
              </w:rPr>
            </w:pPr>
            <w:r>
              <w:rPr>
                <w:rFonts w:hint="eastAsia" w:ascii="宋体" w:hAnsi="宋体" w:eastAsia="宋体" w:cs="宋体"/>
                <w:color w:val="auto"/>
                <w:spacing w:val="-2"/>
                <w:sz w:val="22"/>
                <w:szCs w:val="22"/>
                <w:highlight w:val="none"/>
                <w:lang w:eastAsia="zh-CN"/>
              </w:rPr>
            </w:r>
            <w:r/>
          </w:p>
        </w:tc>
      </w:tr>
      <w:tr>
        <w:trPr>
          <w:jc w:val="center"/>
          <w:trHeight w:val="1683"/>
        </w:trPr>
        <w:tc>
          <w:tcPr>
            <w:tcW w:w="90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技术评分项（</w:t>
            </w:r>
            <w:r>
              <w:rPr>
                <w:rFonts w:hint="eastAsia" w:ascii="宋体" w:hAnsi="宋体" w:eastAsia="宋体" w:cs="宋体"/>
                <w:b/>
                <w:bCs/>
                <w:color w:val="auto"/>
                <w:sz w:val="22"/>
                <w:szCs w:val="22"/>
                <w:highlight w:val="none"/>
                <w:lang w:val="en-US" w:eastAsia="zh-CN" w:bidi="ar"/>
              </w:rPr>
              <w:t xml:space="preserve">45</w:t>
            </w:r>
            <w:r>
              <w:rPr>
                <w:rFonts w:hint="eastAsia" w:ascii="宋体" w:hAnsi="宋体" w:eastAsia="宋体" w:cs="宋体"/>
                <w:b/>
                <w:bCs/>
                <w:color w:val="auto"/>
                <w:sz w:val="22"/>
                <w:szCs w:val="22"/>
                <w:highlight w:val="none"/>
                <w:lang w:bidi="ar"/>
              </w:rPr>
              <w:t xml:space="preserve">分）</w:t>
            </w:r>
            <w:r/>
          </w:p>
        </w:tc>
        <w:tc>
          <w:tcPr>
            <w:tcW w:w="928"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技术方案</w:t>
            </w:r>
            <w:r/>
          </w:p>
        </w:tc>
        <w:tc>
          <w:tcPr>
            <w:tcW w:w="9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zh-CN" w:bidi="ar"/>
              </w:rPr>
            </w:pPr>
            <w:r>
              <w:rPr>
                <w:rFonts w:hint="eastAsia" w:ascii="宋体" w:hAnsi="宋体" w:eastAsia="宋体" w:cs="宋体"/>
                <w:b/>
                <w:bCs/>
                <w:color w:val="auto"/>
                <w:sz w:val="22"/>
                <w:szCs w:val="22"/>
                <w:highlight w:val="none"/>
                <w:lang w:val="en-US" w:eastAsia="zh-CN" w:bidi="ar"/>
              </w:rPr>
              <w:t xml:space="preserve">45</w:t>
            </w:r>
            <w:r/>
          </w:p>
        </w:tc>
        <w:tc>
          <w:tcPr>
            <w:tcW w:w="6775" w:type="dxa"/>
            <w:vAlign w:val="center"/>
            <w:textDirection w:val="lrTb"/>
            <w:noWrap w:val="false"/>
          </w:tcPr>
          <w:p>
            <w:pPr>
              <w:pStyle w:val="902"/>
              <w:ind w:left="0" w:right="0" w:firstLine="0"/>
              <w:jc w:val="left"/>
              <w:spacing w:before="1" w:line="240" w:lineRule="auto"/>
              <w:rPr>
                <w:rFonts w:hint="eastAsia" w:ascii="宋体" w:hAnsi="宋体" w:eastAsia="宋体" w:cs="宋体"/>
                <w:color w:val="auto"/>
                <w:spacing w:val="-3"/>
                <w:sz w:val="22"/>
                <w:szCs w:val="22"/>
                <w:highlight w:val="none"/>
                <w:lang w:val="en-US" w:eastAsia="zh-CN"/>
              </w:rPr>
            </w:pPr>
            <w:r>
              <w:rPr>
                <w:rFonts w:hint="eastAsia" w:ascii="宋体" w:hAnsi="宋体" w:eastAsia="宋体" w:cs="宋体"/>
                <w:color w:val="auto"/>
                <w:spacing w:val="-3"/>
                <w:sz w:val="22"/>
                <w:szCs w:val="22"/>
                <w:highlight w:val="none"/>
                <w:lang w:val="en-US" w:eastAsia="zh-CN"/>
              </w:rPr>
              <w:t xml:space="preserve">1.根据供应商提供的</w:t>
            </w:r>
            <w:r>
              <w:rPr>
                <w:rFonts w:hint="eastAsia" w:ascii="宋体" w:hAnsi="宋体" w:eastAsia="宋体" w:cs="宋体"/>
                <w:color w:val="auto"/>
                <w:spacing w:val="-3"/>
                <w:sz w:val="22"/>
                <w:szCs w:val="22"/>
                <w:highlight w:val="none"/>
                <w:lang w:eastAsia="zh-CN"/>
              </w:rPr>
              <w:t xml:space="preserve">本项目的服务工作方案</w:t>
            </w:r>
            <w:r>
              <w:rPr>
                <w:rFonts w:hint="eastAsia" w:ascii="宋体" w:hAnsi="宋体" w:eastAsia="宋体" w:cs="宋体"/>
                <w:color w:val="auto"/>
                <w:spacing w:val="-3"/>
                <w:sz w:val="22"/>
                <w:szCs w:val="22"/>
                <w:highlight w:val="none"/>
                <w:lang w:val="en-US" w:eastAsia="zh-CN"/>
              </w:rPr>
              <w:t xml:space="preserve">评分（9分）。方案至少包括①服务期内水质检测工作的总体目标设定、②</w:t>
            </w:r>
            <w:r>
              <w:rPr>
                <w:rFonts w:hint="eastAsia" w:ascii="宋体" w:hAnsi="宋体" w:eastAsia="宋体" w:cs="宋体"/>
                <w:color w:val="auto"/>
                <w:spacing w:val="-3"/>
                <w:sz w:val="22"/>
                <w:szCs w:val="22"/>
                <w:highlight w:val="none"/>
                <w:lang w:eastAsia="zh-CN"/>
              </w:rPr>
              <w:t xml:space="preserve">组织架构及人员配置计划</w:t>
            </w:r>
            <w:r>
              <w:rPr>
                <w:rStyle w:val="897"/>
                <w:rFonts w:hint="eastAsia" w:ascii="宋体" w:hAnsi="宋体" w:eastAsia="宋体" w:cs="宋体"/>
                <w:bCs/>
                <w:color w:val="auto"/>
                <w:sz w:val="22"/>
                <w:szCs w:val="22"/>
                <w:highlight w:val="none"/>
                <w:lang w:val="en-US" w:eastAsia="zh-CN"/>
              </w:rPr>
              <w:t xml:space="preserve">、③检测器具及设备配备计划</w:t>
            </w:r>
            <w:r>
              <w:rPr>
                <w:rFonts w:hint="eastAsia" w:ascii="宋体" w:hAnsi="宋体" w:eastAsia="宋体" w:cs="宋体"/>
                <w:color w:val="auto"/>
                <w:spacing w:val="-3"/>
                <w:sz w:val="22"/>
                <w:szCs w:val="22"/>
                <w:highlight w:val="none"/>
                <w:lang w:val="en-US" w:eastAsia="zh-CN"/>
              </w:rPr>
              <w:t xml:space="preserve">等内容。</w:t>
            </w:r>
            <w:r/>
          </w:p>
          <w:p>
            <w:pPr>
              <w:pStyle w:val="902"/>
              <w:ind w:left="0" w:right="0" w:firstLine="0"/>
              <w:jc w:val="left"/>
              <w:spacing w:before="1" w:line="240" w:lineRule="auto"/>
              <w:rPr>
                <w:rFonts w:hint="eastAsia" w:ascii="宋体" w:hAnsi="宋体" w:eastAsia="宋体" w:cs="宋体"/>
                <w:color w:val="auto"/>
                <w:spacing w:val="-3"/>
                <w:sz w:val="22"/>
                <w:szCs w:val="22"/>
                <w:highlight w:val="none"/>
                <w:lang w:val="en-US" w:eastAsia="zh-CN"/>
              </w:rPr>
            </w:pPr>
            <w:r>
              <w:rPr>
                <w:rFonts w:hint="eastAsia" w:ascii="宋体" w:hAnsi="宋体" w:eastAsia="宋体" w:cs="宋体"/>
                <w:color w:val="auto"/>
                <w:spacing w:val="-3"/>
                <w:sz w:val="22"/>
                <w:szCs w:val="22"/>
                <w:highlight w:val="none"/>
                <w:lang w:val="en-US" w:eastAsia="zh-CN"/>
              </w:rPr>
              <w:t xml:space="preserve">以上方案内容完整的得9分，每有一项内容缺失的扣3分；每有一处存在缺陷（缺陷是指不适用于本项目，表述前后不一致或内容矛盾，语句有歧义，仅有框架或标题，涉及的规范及标准错误，套用其他项目内容等任意一种情形）扣1分，直至该项分值3分扣完为止，不提供本项不得分。</w:t>
            </w:r>
            <w:r/>
          </w:p>
          <w:p>
            <w:pPr>
              <w:pStyle w:val="902"/>
              <w:ind w:left="0" w:right="0" w:firstLine="0"/>
              <w:jc w:val="left"/>
              <w:spacing w:before="1" w:line="240" w:lineRule="auto"/>
              <w:rPr>
                <w:rFonts w:hint="eastAsia" w:ascii="宋体" w:hAnsi="宋体" w:eastAsia="宋体" w:cs="宋体"/>
                <w:color w:val="auto"/>
                <w:spacing w:val="-3"/>
                <w:sz w:val="22"/>
                <w:szCs w:val="22"/>
                <w:highlight w:val="none"/>
                <w:lang w:val="en-US" w:eastAsia="zh-CN"/>
              </w:rPr>
            </w:pPr>
            <w:r>
              <w:rPr>
                <w:rFonts w:hint="eastAsia" w:ascii="宋体" w:hAnsi="宋体" w:eastAsia="宋体" w:cs="宋体"/>
                <w:color w:val="auto"/>
                <w:spacing w:val="-3"/>
                <w:sz w:val="22"/>
                <w:szCs w:val="22"/>
                <w:highlight w:val="none"/>
                <w:lang w:val="en-US" w:eastAsia="zh-CN"/>
              </w:rPr>
              <w:t xml:space="preserve">2.根据供应商提供的采样计划方案评分（6分）。方案至少包括①</w:t>
            </w:r>
            <w:r>
              <w:rPr>
                <w:rStyle w:val="897"/>
                <w:rFonts w:hint="eastAsia" w:ascii="宋体" w:hAnsi="宋体" w:eastAsia="宋体" w:cs="宋体"/>
                <w:bCs/>
                <w:color w:val="auto"/>
                <w:sz w:val="22"/>
                <w:szCs w:val="22"/>
                <w:highlight w:val="none"/>
                <w:lang w:val="en-US" w:eastAsia="zh-CN"/>
              </w:rPr>
              <w:t xml:space="preserve">采样前准备工作</w:t>
            </w:r>
            <w:r>
              <w:rPr>
                <w:rFonts w:hint="eastAsia" w:ascii="宋体" w:hAnsi="宋体" w:eastAsia="宋体" w:cs="宋体"/>
                <w:color w:val="auto"/>
                <w:spacing w:val="-3"/>
                <w:sz w:val="22"/>
                <w:szCs w:val="22"/>
                <w:highlight w:val="none"/>
                <w:lang w:val="en-US" w:eastAsia="zh-CN"/>
              </w:rPr>
              <w:t xml:space="preserve">、②</w:t>
            </w:r>
            <w:r>
              <w:rPr>
                <w:rStyle w:val="897"/>
                <w:rFonts w:hint="eastAsia" w:ascii="宋体" w:hAnsi="宋体" w:eastAsia="宋体" w:cs="宋体"/>
                <w:bCs/>
                <w:color w:val="auto"/>
                <w:sz w:val="22"/>
                <w:szCs w:val="22"/>
                <w:highlight w:val="none"/>
                <w:lang w:val="en-US" w:eastAsia="zh-CN"/>
              </w:rPr>
              <w:t xml:space="preserve">现场采样操作规程、③样品唯一性标识及采样记录登记制度</w:t>
            </w:r>
            <w:r>
              <w:rPr>
                <w:rFonts w:hint="eastAsia" w:ascii="宋体" w:hAnsi="宋体" w:eastAsia="宋体" w:cs="宋体"/>
                <w:color w:val="auto"/>
                <w:spacing w:val="-3"/>
                <w:sz w:val="22"/>
                <w:szCs w:val="22"/>
                <w:highlight w:val="none"/>
                <w:lang w:val="en-US" w:eastAsia="zh-CN"/>
              </w:rPr>
              <w:t xml:space="preserve">等内容。</w:t>
            </w:r>
            <w:r/>
          </w:p>
          <w:p>
            <w:pPr>
              <w:pStyle w:val="902"/>
              <w:ind w:left="0" w:right="0" w:firstLine="0"/>
              <w:jc w:val="left"/>
              <w:spacing w:before="1" w:line="240" w:lineRule="auto"/>
              <w:rPr>
                <w:rFonts w:hint="eastAsia" w:ascii="宋体" w:hAnsi="宋体" w:eastAsia="宋体" w:cs="宋体"/>
                <w:color w:val="auto"/>
                <w:spacing w:val="-3"/>
                <w:sz w:val="22"/>
                <w:szCs w:val="22"/>
                <w:highlight w:val="none"/>
                <w:lang w:val="en-US" w:eastAsia="zh-CN"/>
              </w:rPr>
            </w:pPr>
            <w:r>
              <w:rPr>
                <w:rFonts w:hint="eastAsia" w:ascii="宋体" w:hAnsi="宋体" w:eastAsia="宋体" w:cs="宋体"/>
                <w:color w:val="auto"/>
                <w:spacing w:val="-3"/>
                <w:sz w:val="22"/>
                <w:szCs w:val="22"/>
                <w:highlight w:val="none"/>
                <w:lang w:val="en-US" w:eastAsia="zh-CN"/>
              </w:rPr>
              <w:t xml:space="preserve">以上方案内容完整的得6分，每有一项内容缺失的扣2分；每有一处存在缺陷（缺陷是指不适用于本项目，表述前后不一致或内容矛盾，语句有歧义，仅有框架或标题，涉及的规范及标准错误，套用其他项目内容等任意一种情形）扣1分，直至该项分值2分扣完为止，不提供本项不得分。</w:t>
            </w:r>
            <w:r/>
          </w:p>
          <w:p>
            <w:pPr>
              <w:pStyle w:val="902"/>
              <w:ind w:left="0" w:right="0" w:firstLine="0"/>
              <w:jc w:val="left"/>
              <w:spacing w:before="1" w:line="240" w:lineRule="auto"/>
              <w:rPr>
                <w:rFonts w:hint="eastAsia" w:ascii="宋体" w:hAnsi="宋体" w:eastAsia="宋体" w:cs="宋体"/>
                <w:color w:val="auto"/>
                <w:spacing w:val="-3"/>
                <w:sz w:val="22"/>
                <w:szCs w:val="22"/>
                <w:highlight w:val="none"/>
                <w:lang w:eastAsia="zh-CN"/>
              </w:rPr>
            </w:pPr>
            <w:r>
              <w:rPr>
                <w:rFonts w:hint="eastAsia" w:ascii="宋体" w:hAnsi="宋体" w:eastAsia="宋体" w:cs="宋体"/>
                <w:color w:val="auto"/>
                <w:spacing w:val="-3"/>
                <w:sz w:val="22"/>
                <w:szCs w:val="22"/>
                <w:highlight w:val="none"/>
                <w:lang w:val="en-US" w:eastAsia="zh-CN"/>
              </w:rPr>
              <w:t xml:space="preserve">3.</w:t>
            </w:r>
            <w:r>
              <w:rPr>
                <w:rFonts w:hint="eastAsia" w:ascii="宋体" w:hAnsi="宋体" w:eastAsia="宋体" w:cs="宋体"/>
                <w:color w:val="auto"/>
                <w:spacing w:val="-3"/>
                <w:sz w:val="22"/>
                <w:szCs w:val="22"/>
                <w:highlight w:val="none"/>
                <w:lang w:eastAsia="zh-CN"/>
              </w:rPr>
              <w:t xml:space="preserve">根据供应商提供的质量控制方案评分</w:t>
            </w:r>
            <w:r>
              <w:rPr>
                <w:rFonts w:hint="eastAsia" w:ascii="宋体" w:hAnsi="宋体" w:eastAsia="宋体" w:cs="宋体"/>
                <w:color w:val="auto"/>
                <w:spacing w:val="-3"/>
                <w:sz w:val="22"/>
                <w:szCs w:val="22"/>
                <w:highlight w:val="none"/>
                <w:lang w:val="en-US" w:eastAsia="zh-CN"/>
              </w:rPr>
              <w:t xml:space="preserve">（12分）</w:t>
            </w:r>
            <w:r>
              <w:rPr>
                <w:rFonts w:hint="eastAsia" w:ascii="宋体" w:hAnsi="宋体" w:eastAsia="宋体" w:cs="宋体"/>
                <w:color w:val="auto"/>
                <w:spacing w:val="-3"/>
                <w:sz w:val="22"/>
                <w:szCs w:val="22"/>
                <w:highlight w:val="none"/>
                <w:lang w:eastAsia="zh-CN"/>
              </w:rPr>
              <w:t xml:space="preserve">。方案至少包括</w:t>
            </w:r>
            <w:r>
              <w:rPr>
                <w:rFonts w:hint="eastAsia" w:ascii="宋体" w:hAnsi="宋体" w:eastAsia="宋体" w:cs="宋体"/>
                <w:color w:val="auto"/>
                <w:spacing w:val="-3"/>
                <w:sz w:val="22"/>
                <w:szCs w:val="22"/>
                <w:highlight w:val="none"/>
                <w:lang w:val="en-US" w:eastAsia="zh-CN"/>
              </w:rPr>
              <w:t xml:space="preserve">①</w:t>
            </w:r>
            <w:r>
              <w:rPr>
                <w:rStyle w:val="897"/>
                <w:rFonts w:hint="eastAsia" w:ascii="宋体" w:hAnsi="宋体" w:eastAsia="宋体" w:cs="宋体"/>
                <w:bCs/>
                <w:color w:val="auto"/>
                <w:sz w:val="22"/>
                <w:szCs w:val="22"/>
                <w:highlight w:val="none"/>
                <w:lang w:val="en-US" w:eastAsia="zh-CN"/>
              </w:rPr>
              <w:t xml:space="preserve">检测人员管控措施</w:t>
            </w:r>
            <w:r>
              <w:rPr>
                <w:rFonts w:hint="eastAsia" w:ascii="宋体" w:hAnsi="宋体" w:eastAsia="宋体" w:cs="宋体"/>
                <w:color w:val="auto"/>
                <w:spacing w:val="-3"/>
                <w:sz w:val="22"/>
                <w:szCs w:val="22"/>
                <w:highlight w:val="none"/>
                <w:lang w:val="en-US" w:eastAsia="zh-CN"/>
              </w:rPr>
              <w:t xml:space="preserve">、②</w:t>
            </w:r>
            <w:r>
              <w:rPr>
                <w:rFonts w:hint="eastAsia" w:ascii="宋体" w:hAnsi="宋体" w:eastAsia="宋体" w:cs="宋体"/>
                <w:color w:val="auto"/>
                <w:spacing w:val="-3"/>
                <w:sz w:val="22"/>
                <w:szCs w:val="22"/>
                <w:highlight w:val="none"/>
                <w:lang w:eastAsia="zh-CN"/>
              </w:rPr>
              <w:t xml:space="preserve">核心检测仪器设备的校准与维护计划</w:t>
            </w:r>
            <w:r>
              <w:rPr>
                <w:rFonts w:hint="eastAsia" w:ascii="宋体" w:hAnsi="宋体" w:eastAsia="宋体" w:cs="宋体"/>
                <w:color w:val="auto"/>
                <w:spacing w:val="-3"/>
                <w:sz w:val="22"/>
                <w:szCs w:val="22"/>
                <w:highlight w:val="none"/>
                <w:lang w:val="en-US" w:eastAsia="zh-CN"/>
              </w:rPr>
              <w:t xml:space="preserve">、③</w:t>
            </w:r>
            <w:r>
              <w:rPr>
                <w:rFonts w:hint="eastAsia" w:ascii="宋体" w:hAnsi="宋体" w:eastAsia="宋体" w:cs="宋体"/>
                <w:color w:val="auto"/>
                <w:spacing w:val="-3"/>
                <w:sz w:val="22"/>
                <w:szCs w:val="22"/>
                <w:highlight w:val="none"/>
                <w:lang w:eastAsia="zh-CN"/>
              </w:rPr>
              <w:t xml:space="preserve">检测过程质量控制措施</w:t>
            </w:r>
            <w:r>
              <w:rPr>
                <w:rFonts w:hint="eastAsia" w:ascii="宋体" w:hAnsi="宋体" w:eastAsia="宋体" w:cs="宋体"/>
                <w:color w:val="auto"/>
                <w:spacing w:val="-3"/>
                <w:sz w:val="22"/>
                <w:szCs w:val="22"/>
                <w:highlight w:val="none"/>
                <w:lang w:val="en-US" w:eastAsia="zh-CN"/>
              </w:rPr>
              <w:t xml:space="preserve">、④</w:t>
            </w:r>
            <w:r>
              <w:rPr>
                <w:rFonts w:hint="eastAsia" w:ascii="宋体" w:hAnsi="宋体" w:eastAsia="宋体" w:cs="宋体"/>
                <w:color w:val="auto"/>
                <w:spacing w:val="-3"/>
                <w:sz w:val="22"/>
                <w:szCs w:val="22"/>
                <w:highlight w:val="none"/>
                <w:lang w:eastAsia="zh-CN"/>
              </w:rPr>
              <w:t xml:space="preserve">盲样比对计划等</w:t>
            </w:r>
            <w:r>
              <w:rPr>
                <w:rFonts w:hint="eastAsia" w:ascii="宋体" w:hAnsi="宋体" w:eastAsia="宋体" w:cs="宋体"/>
                <w:color w:val="auto"/>
                <w:spacing w:val="-3"/>
                <w:sz w:val="22"/>
                <w:szCs w:val="22"/>
                <w:highlight w:val="none"/>
                <w:lang w:val="en-US" w:eastAsia="zh-CN"/>
              </w:rPr>
              <w:t xml:space="preserve">内容</w:t>
            </w:r>
            <w:r>
              <w:rPr>
                <w:rFonts w:hint="eastAsia" w:ascii="宋体" w:hAnsi="宋体" w:eastAsia="宋体" w:cs="宋体"/>
                <w:color w:val="auto"/>
                <w:spacing w:val="-3"/>
                <w:sz w:val="22"/>
                <w:szCs w:val="22"/>
                <w:highlight w:val="none"/>
                <w:lang w:eastAsia="zh-CN"/>
              </w:rPr>
              <w:t xml:space="preserve">。</w:t>
            </w:r>
            <w:r/>
          </w:p>
          <w:p>
            <w:pPr>
              <w:pStyle w:val="902"/>
              <w:ind w:left="0" w:right="0" w:firstLine="0"/>
              <w:jc w:val="left"/>
              <w:spacing w:before="1" w:line="240" w:lineRule="auto"/>
              <w:rPr>
                <w:rFonts w:hint="eastAsia" w:ascii="宋体" w:hAnsi="宋体" w:eastAsia="宋体" w:cs="宋体"/>
                <w:color w:val="auto"/>
                <w:spacing w:val="-3"/>
                <w:sz w:val="22"/>
                <w:szCs w:val="22"/>
                <w:highlight w:val="none"/>
                <w:lang w:val="en-US" w:eastAsia="zh-CN"/>
              </w:rPr>
            </w:pPr>
            <w:r>
              <w:rPr>
                <w:rFonts w:hint="eastAsia" w:ascii="宋体" w:hAnsi="宋体" w:eastAsia="宋体" w:cs="宋体"/>
                <w:color w:val="auto"/>
                <w:spacing w:val="-3"/>
                <w:sz w:val="22"/>
                <w:szCs w:val="22"/>
                <w:highlight w:val="none"/>
                <w:lang w:val="en-US" w:eastAsia="zh-CN"/>
              </w:rPr>
              <w:t xml:space="preserve">以上方案内容完整的得12分，每有一项内容缺失的扣3分；每有一处存在缺陷（缺陷是指不适用于本项目，表述前后不一致或内容矛盾，语句有歧义，仅有框架或标题，涉及的规范及标准错误，套用其他项目内容等任意一种情形）扣1分，直至该项分值3分扣完为止，不提供本项不得分。</w:t>
            </w:r>
            <w:r/>
          </w:p>
          <w:p>
            <w:pPr>
              <w:pStyle w:val="902"/>
              <w:ind w:left="0" w:right="0" w:firstLine="0"/>
              <w:jc w:val="left"/>
              <w:spacing w:before="1" w:line="240" w:lineRule="auto"/>
              <w:rPr>
                <w:rFonts w:hint="eastAsia" w:ascii="宋体" w:hAnsi="宋体" w:eastAsia="宋体" w:cs="宋体"/>
                <w:color w:val="auto"/>
                <w:spacing w:val="-3"/>
                <w:sz w:val="22"/>
                <w:szCs w:val="22"/>
                <w:highlight w:val="none"/>
                <w:lang w:val="en-US" w:eastAsia="zh-CN"/>
              </w:rPr>
            </w:pPr>
            <w:r>
              <w:rPr>
                <w:rFonts w:hint="eastAsia" w:ascii="宋体" w:hAnsi="宋体" w:eastAsia="宋体" w:cs="宋体"/>
                <w:color w:val="auto"/>
                <w:spacing w:val="-3"/>
                <w:sz w:val="22"/>
                <w:szCs w:val="22"/>
                <w:highlight w:val="none"/>
                <w:lang w:val="en-US" w:eastAsia="zh-CN"/>
              </w:rPr>
              <w:t xml:space="preserve">4.</w:t>
            </w:r>
            <w:r>
              <w:rPr>
                <w:rFonts w:hint="eastAsia" w:ascii="宋体" w:hAnsi="宋体" w:eastAsia="宋体" w:cs="宋体"/>
                <w:color w:val="auto"/>
                <w:spacing w:val="-3"/>
                <w:sz w:val="22"/>
                <w:szCs w:val="22"/>
                <w:highlight w:val="none"/>
                <w:lang w:eastAsia="zh-CN"/>
              </w:rPr>
              <w:t xml:space="preserve">根据供应商提供的</w:t>
            </w:r>
            <w:r>
              <w:rPr>
                <w:rFonts w:hint="eastAsia" w:ascii="宋体" w:hAnsi="宋体" w:eastAsia="宋体" w:cs="宋体"/>
                <w:color w:val="auto"/>
                <w:spacing w:val="-1"/>
                <w:sz w:val="22"/>
                <w:szCs w:val="22"/>
                <w:highlight w:val="none"/>
                <w:lang w:eastAsia="zh-CN"/>
              </w:rPr>
              <w:t xml:space="preserve">安全</w:t>
            </w:r>
            <w:r>
              <w:rPr>
                <w:rFonts w:hint="eastAsia" w:ascii="宋体" w:hAnsi="宋体" w:eastAsia="宋体" w:cs="宋体"/>
                <w:color w:val="auto"/>
                <w:sz w:val="22"/>
                <w:szCs w:val="22"/>
                <w:highlight w:val="none"/>
                <w:lang w:eastAsia="zh-CN"/>
              </w:rPr>
              <w:t xml:space="preserve">管理</w:t>
            </w:r>
            <w:r>
              <w:rPr>
                <w:rFonts w:hint="eastAsia" w:ascii="宋体" w:hAnsi="宋体" w:eastAsia="宋体" w:cs="宋体"/>
                <w:color w:val="auto"/>
                <w:spacing w:val="-3"/>
                <w:sz w:val="22"/>
                <w:szCs w:val="22"/>
                <w:highlight w:val="none"/>
                <w:lang w:eastAsia="zh-CN"/>
              </w:rPr>
              <w:t xml:space="preserve">方案评分</w:t>
            </w:r>
            <w:r>
              <w:rPr>
                <w:rFonts w:hint="eastAsia" w:ascii="宋体" w:hAnsi="宋体" w:eastAsia="宋体" w:cs="宋体"/>
                <w:color w:val="auto"/>
                <w:spacing w:val="-3"/>
                <w:sz w:val="22"/>
                <w:szCs w:val="22"/>
                <w:highlight w:val="none"/>
                <w:lang w:val="en-US" w:eastAsia="zh-CN"/>
              </w:rPr>
              <w:t xml:space="preserve">（6分）</w:t>
            </w:r>
            <w:r>
              <w:rPr>
                <w:rFonts w:hint="eastAsia" w:ascii="宋体" w:hAnsi="宋体" w:eastAsia="宋体" w:cs="宋体"/>
                <w:color w:val="auto"/>
                <w:spacing w:val="-3"/>
                <w:sz w:val="22"/>
                <w:szCs w:val="22"/>
                <w:highlight w:val="none"/>
                <w:lang w:eastAsia="zh-CN"/>
              </w:rPr>
              <w:t xml:space="preserve">。方案至少包括</w:t>
            </w:r>
            <w:r>
              <w:rPr>
                <w:rFonts w:hint="eastAsia" w:ascii="宋体" w:hAnsi="宋体" w:eastAsia="宋体" w:cs="宋体"/>
                <w:color w:val="auto"/>
                <w:spacing w:val="-3"/>
                <w:sz w:val="22"/>
                <w:szCs w:val="22"/>
                <w:highlight w:val="none"/>
                <w:lang w:val="en-US" w:eastAsia="zh-CN"/>
              </w:rPr>
              <w:t xml:space="preserve">①</w:t>
            </w:r>
            <w:r>
              <w:rPr>
                <w:rFonts w:hint="eastAsia" w:ascii="宋体" w:hAnsi="宋体" w:eastAsia="宋体" w:cs="宋体"/>
                <w:color w:val="auto"/>
                <w:spacing w:val="-3"/>
                <w:sz w:val="22"/>
                <w:szCs w:val="22"/>
                <w:highlight w:val="none"/>
                <w:lang w:eastAsia="zh-CN"/>
              </w:rPr>
              <w:t xml:space="preserve">采样现场安全防护措施</w:t>
            </w:r>
            <w:r>
              <w:rPr>
                <w:rFonts w:hint="eastAsia" w:ascii="宋体" w:hAnsi="宋体" w:eastAsia="宋体" w:cs="宋体"/>
                <w:color w:val="auto"/>
                <w:spacing w:val="-3"/>
                <w:sz w:val="22"/>
                <w:szCs w:val="22"/>
                <w:highlight w:val="none"/>
                <w:lang w:val="en-US" w:eastAsia="zh-CN"/>
              </w:rPr>
              <w:t xml:space="preserve">、②</w:t>
            </w:r>
            <w:r>
              <w:rPr>
                <w:rFonts w:hint="eastAsia" w:ascii="宋体" w:hAnsi="宋体" w:eastAsia="宋体" w:cs="宋体"/>
                <w:color w:val="auto"/>
                <w:spacing w:val="-3"/>
                <w:sz w:val="22"/>
                <w:szCs w:val="22"/>
                <w:highlight w:val="none"/>
                <w:lang w:eastAsia="zh-CN"/>
              </w:rPr>
              <w:t xml:space="preserve">实验室安全管理制度</w:t>
            </w:r>
            <w:r>
              <w:rPr>
                <w:rFonts w:hint="eastAsia" w:ascii="宋体" w:hAnsi="宋体" w:eastAsia="宋体" w:cs="宋体"/>
                <w:color w:val="auto"/>
                <w:spacing w:val="-3"/>
                <w:sz w:val="22"/>
                <w:szCs w:val="22"/>
                <w:highlight w:val="none"/>
                <w:lang w:val="en-US" w:eastAsia="zh-CN"/>
              </w:rPr>
              <w:t xml:space="preserve">、③</w:t>
            </w:r>
            <w:r>
              <w:rPr>
                <w:rFonts w:hint="eastAsia" w:ascii="宋体" w:hAnsi="宋体" w:eastAsia="宋体" w:cs="宋体"/>
                <w:color w:val="auto"/>
                <w:spacing w:val="-3"/>
                <w:sz w:val="22"/>
                <w:szCs w:val="22"/>
                <w:highlight w:val="none"/>
                <w:lang w:eastAsia="zh-CN"/>
              </w:rPr>
              <w:t xml:space="preserve">突发事件响应制度等</w:t>
            </w:r>
            <w:r>
              <w:rPr>
                <w:rFonts w:hint="eastAsia" w:ascii="宋体" w:hAnsi="宋体" w:eastAsia="宋体" w:cs="宋体"/>
                <w:color w:val="auto"/>
                <w:spacing w:val="-3"/>
                <w:sz w:val="22"/>
                <w:szCs w:val="22"/>
                <w:highlight w:val="none"/>
                <w:lang w:val="en-US" w:eastAsia="zh-CN"/>
              </w:rPr>
              <w:t xml:space="preserve">内容</w:t>
            </w:r>
            <w:r>
              <w:rPr>
                <w:rFonts w:hint="eastAsia" w:ascii="宋体" w:hAnsi="宋体" w:eastAsia="宋体" w:cs="宋体"/>
                <w:color w:val="auto"/>
                <w:spacing w:val="-3"/>
                <w:sz w:val="22"/>
                <w:szCs w:val="22"/>
                <w:highlight w:val="none"/>
                <w:lang w:eastAsia="zh-CN"/>
              </w:rPr>
              <w:t xml:space="preserve">。</w:t>
            </w:r>
            <w:r/>
          </w:p>
          <w:p>
            <w:pPr>
              <w:pStyle w:val="902"/>
              <w:ind w:left="0" w:right="0" w:firstLine="0"/>
              <w:jc w:val="left"/>
              <w:spacing w:before="1" w:line="240" w:lineRule="auto"/>
              <w:rPr>
                <w:rFonts w:hint="eastAsia" w:ascii="宋体" w:hAnsi="宋体" w:eastAsia="宋体" w:cs="宋体"/>
                <w:color w:val="auto"/>
                <w:spacing w:val="-3"/>
                <w:sz w:val="22"/>
                <w:szCs w:val="22"/>
                <w:highlight w:val="none"/>
                <w:lang w:val="en-US" w:eastAsia="zh-CN"/>
              </w:rPr>
            </w:pPr>
            <w:r>
              <w:rPr>
                <w:rFonts w:hint="eastAsia" w:ascii="宋体" w:hAnsi="宋体" w:eastAsia="宋体" w:cs="宋体"/>
                <w:color w:val="auto"/>
                <w:spacing w:val="-3"/>
                <w:sz w:val="22"/>
                <w:szCs w:val="22"/>
                <w:highlight w:val="none"/>
                <w:lang w:val="en-US" w:eastAsia="zh-CN"/>
              </w:rPr>
              <w:t xml:space="preserve">以上方案内容完整的得6分，每有一项内容缺失的扣2分；每有一处存在缺陷（缺陷是指不适用于本项目，表述前后不一致或内容矛盾，语句有歧义，仅有框架或标题，涉及的规范及标准错误，套用其他项目内容等任意一种情形）扣1分，直至该项分值2分扣完为止，不提供本项不得分。</w:t>
            </w:r>
            <w:r/>
          </w:p>
          <w:p>
            <w:pPr>
              <w:pStyle w:val="902"/>
              <w:ind w:left="0" w:right="0" w:firstLine="0"/>
              <w:jc w:val="left"/>
              <w:spacing w:before="1" w:line="240" w:lineRule="auto"/>
              <w:rPr>
                <w:rFonts w:hint="eastAsia" w:ascii="宋体" w:hAnsi="宋体" w:eastAsia="宋体" w:cs="宋体"/>
                <w:color w:val="auto"/>
                <w:spacing w:val="-3"/>
                <w:sz w:val="22"/>
                <w:szCs w:val="22"/>
                <w:highlight w:val="none"/>
                <w:lang w:val="en-US" w:eastAsia="zh-CN"/>
              </w:rPr>
            </w:pPr>
            <w:r>
              <w:rPr>
                <w:rFonts w:hint="eastAsia" w:ascii="宋体" w:hAnsi="宋体" w:eastAsia="宋体" w:cs="宋体"/>
                <w:color w:val="auto"/>
                <w:spacing w:val="-3"/>
                <w:sz w:val="22"/>
                <w:szCs w:val="22"/>
                <w:highlight w:val="none"/>
                <w:lang w:val="en-US" w:eastAsia="zh-CN"/>
              </w:rPr>
              <w:t xml:space="preserve">5.</w:t>
            </w:r>
            <w:r>
              <w:rPr>
                <w:rFonts w:hint="eastAsia" w:ascii="宋体" w:hAnsi="宋体" w:eastAsia="宋体" w:cs="宋体"/>
                <w:color w:val="auto"/>
                <w:spacing w:val="-3"/>
                <w:sz w:val="22"/>
                <w:szCs w:val="22"/>
                <w:highlight w:val="none"/>
                <w:lang w:eastAsia="zh-CN"/>
              </w:rPr>
              <w:t xml:space="preserve">根据供应商提供的</w:t>
            </w:r>
            <w:r>
              <w:rPr>
                <w:rFonts w:hint="eastAsia" w:ascii="宋体" w:hAnsi="宋体" w:eastAsia="宋体" w:cs="宋体"/>
                <w:color w:val="auto"/>
                <w:spacing w:val="-3"/>
                <w:sz w:val="22"/>
                <w:szCs w:val="22"/>
                <w:highlight w:val="none"/>
                <w:lang w:val="en-US" w:eastAsia="zh-CN"/>
              </w:rPr>
              <w:t xml:space="preserve">水质超标指标</w:t>
            </w:r>
            <w:r>
              <w:rPr>
                <w:rFonts w:hint="eastAsia" w:ascii="宋体" w:hAnsi="宋体" w:eastAsia="宋体" w:cs="宋体"/>
                <w:color w:val="auto"/>
                <w:spacing w:val="-3"/>
                <w:sz w:val="22"/>
                <w:szCs w:val="22"/>
                <w:highlight w:val="none"/>
                <w:lang w:eastAsia="zh-CN"/>
              </w:rPr>
              <w:t xml:space="preserve">应对</w:t>
            </w:r>
            <w:r>
              <w:rPr>
                <w:rFonts w:hint="eastAsia" w:ascii="宋体" w:hAnsi="宋体" w:eastAsia="宋体" w:cs="宋体"/>
                <w:color w:val="auto"/>
                <w:spacing w:val="-3"/>
                <w:sz w:val="22"/>
                <w:szCs w:val="22"/>
                <w:highlight w:val="none"/>
                <w:lang w:val="en-US" w:eastAsia="zh-CN"/>
              </w:rPr>
              <w:t xml:space="preserve">措施</w:t>
            </w:r>
            <w:r>
              <w:rPr>
                <w:rFonts w:hint="eastAsia" w:ascii="宋体" w:hAnsi="宋体" w:eastAsia="宋体" w:cs="宋体"/>
                <w:color w:val="auto"/>
                <w:spacing w:val="-3"/>
                <w:sz w:val="22"/>
                <w:szCs w:val="22"/>
                <w:highlight w:val="none"/>
                <w:lang w:eastAsia="zh-CN"/>
              </w:rPr>
              <w:t xml:space="preserve">评分</w:t>
            </w:r>
            <w:r>
              <w:rPr>
                <w:rFonts w:hint="eastAsia" w:ascii="宋体" w:hAnsi="宋体" w:eastAsia="宋体" w:cs="宋体"/>
                <w:color w:val="auto"/>
                <w:spacing w:val="-3"/>
                <w:sz w:val="22"/>
                <w:szCs w:val="22"/>
                <w:highlight w:val="none"/>
                <w:lang w:val="en-US" w:eastAsia="zh-CN"/>
              </w:rPr>
              <w:t xml:space="preserve">（6分）</w:t>
            </w:r>
            <w:r>
              <w:rPr>
                <w:rFonts w:hint="eastAsia" w:ascii="宋体" w:hAnsi="宋体" w:eastAsia="宋体" w:cs="宋体"/>
                <w:color w:val="auto"/>
                <w:spacing w:val="-3"/>
                <w:sz w:val="22"/>
                <w:szCs w:val="22"/>
                <w:highlight w:val="none"/>
                <w:lang w:eastAsia="zh-CN"/>
              </w:rPr>
              <w:t xml:space="preserve">。方案至少包括</w:t>
            </w:r>
            <w:r>
              <w:rPr>
                <w:rFonts w:hint="eastAsia" w:ascii="宋体" w:hAnsi="宋体" w:eastAsia="宋体" w:cs="宋体"/>
                <w:color w:val="auto"/>
                <w:spacing w:val="-3"/>
                <w:sz w:val="22"/>
                <w:szCs w:val="22"/>
                <w:highlight w:val="none"/>
                <w:lang w:val="en-US" w:eastAsia="zh-CN"/>
              </w:rPr>
              <w:t xml:space="preserve">①</w:t>
            </w:r>
            <w:r>
              <w:rPr>
                <w:rFonts w:hint="eastAsia" w:ascii="宋体" w:hAnsi="宋体" w:eastAsia="宋体" w:cs="宋体"/>
                <w:color w:val="auto"/>
                <w:spacing w:val="-3"/>
                <w:sz w:val="22"/>
                <w:szCs w:val="22"/>
                <w:highlight w:val="none"/>
                <w:lang w:eastAsia="zh-CN"/>
              </w:rPr>
              <w:t xml:space="preserve">不同超标场景的分类处置措施</w:t>
            </w:r>
            <w:r>
              <w:rPr>
                <w:rFonts w:hint="eastAsia" w:ascii="宋体" w:hAnsi="宋体" w:eastAsia="宋体" w:cs="宋体"/>
                <w:color w:val="auto"/>
                <w:spacing w:val="-3"/>
                <w:sz w:val="22"/>
                <w:szCs w:val="22"/>
                <w:highlight w:val="none"/>
                <w:lang w:val="en-US" w:eastAsia="zh-CN"/>
              </w:rPr>
              <w:t xml:space="preserve">、②应急措施和</w:t>
            </w:r>
            <w:r>
              <w:rPr>
                <w:rFonts w:hint="eastAsia" w:ascii="宋体" w:hAnsi="宋体" w:eastAsia="宋体" w:cs="宋体"/>
                <w:color w:val="auto"/>
                <w:spacing w:val="-3"/>
                <w:sz w:val="22"/>
                <w:szCs w:val="22"/>
                <w:highlight w:val="none"/>
                <w:lang w:eastAsia="zh-CN"/>
              </w:rPr>
              <w:t xml:space="preserve">长效</w:t>
            </w:r>
            <w:r>
              <w:rPr>
                <w:rFonts w:hint="eastAsia" w:ascii="宋体" w:hAnsi="宋体" w:eastAsia="宋体" w:cs="宋体"/>
                <w:color w:val="auto"/>
                <w:spacing w:val="-3"/>
                <w:sz w:val="22"/>
                <w:szCs w:val="22"/>
                <w:highlight w:val="none"/>
                <w:lang w:val="en-US" w:eastAsia="zh-CN"/>
              </w:rPr>
              <w:t xml:space="preserve">措施</w:t>
            </w:r>
            <w:r>
              <w:rPr>
                <w:rFonts w:hint="eastAsia" w:ascii="宋体" w:hAnsi="宋体" w:eastAsia="宋体" w:cs="宋体"/>
                <w:color w:val="auto"/>
                <w:spacing w:val="-3"/>
                <w:sz w:val="22"/>
                <w:szCs w:val="22"/>
                <w:highlight w:val="none"/>
                <w:lang w:eastAsia="zh-CN"/>
              </w:rPr>
              <w:t xml:space="preserve">等</w:t>
            </w:r>
            <w:r>
              <w:rPr>
                <w:rFonts w:hint="eastAsia" w:ascii="宋体" w:hAnsi="宋体" w:eastAsia="宋体" w:cs="宋体"/>
                <w:color w:val="auto"/>
                <w:spacing w:val="-3"/>
                <w:sz w:val="22"/>
                <w:szCs w:val="22"/>
                <w:highlight w:val="none"/>
                <w:lang w:val="en-US" w:eastAsia="zh-CN"/>
              </w:rPr>
              <w:t xml:space="preserve">内容</w:t>
            </w:r>
            <w:r>
              <w:rPr>
                <w:rFonts w:hint="eastAsia" w:ascii="宋体" w:hAnsi="宋体" w:eastAsia="宋体" w:cs="宋体"/>
                <w:color w:val="auto"/>
                <w:spacing w:val="-3"/>
                <w:sz w:val="22"/>
                <w:szCs w:val="22"/>
                <w:highlight w:val="none"/>
                <w:lang w:eastAsia="zh-CN"/>
              </w:rPr>
              <w:t xml:space="preserve">。</w:t>
            </w:r>
            <w:r/>
          </w:p>
          <w:p>
            <w:pPr>
              <w:pStyle w:val="902"/>
              <w:ind w:left="0" w:right="0" w:firstLine="0"/>
              <w:jc w:val="left"/>
              <w:spacing w:before="1" w:line="240" w:lineRule="auto"/>
              <w:rPr>
                <w:rFonts w:hint="eastAsia" w:ascii="宋体" w:hAnsi="宋体" w:eastAsia="宋体" w:cs="宋体"/>
                <w:color w:val="auto"/>
                <w:spacing w:val="-3"/>
                <w:sz w:val="22"/>
                <w:szCs w:val="22"/>
                <w:highlight w:val="none"/>
                <w:lang w:val="en-US" w:eastAsia="zh-CN"/>
              </w:rPr>
            </w:pPr>
            <w:r>
              <w:rPr>
                <w:rFonts w:hint="eastAsia" w:ascii="宋体" w:hAnsi="宋体" w:eastAsia="宋体" w:cs="宋体"/>
                <w:color w:val="auto"/>
                <w:spacing w:val="-3"/>
                <w:sz w:val="22"/>
                <w:szCs w:val="22"/>
                <w:highlight w:val="none"/>
                <w:lang w:val="en-US" w:eastAsia="zh-CN"/>
              </w:rPr>
              <w:t xml:space="preserve">以上方案内容完整的得6分，每有一项内容缺失的扣3分；每有一处存在缺陷（缺陷是指不适用于本项目，表述前后不一致或内容矛盾，语句有歧义，仅有框架或标题，涉及的规范及标准错误，套用其他项目内容等任意一种情形）扣1分，直至该项分值3分扣完为止，不提供本项不得分。</w:t>
            </w:r>
            <w:r/>
          </w:p>
          <w:p>
            <w:pPr>
              <w:pStyle w:val="902"/>
              <w:ind w:left="0" w:right="0" w:firstLine="0"/>
              <w:jc w:val="left"/>
              <w:spacing w:before="1" w:line="240" w:lineRule="auto"/>
              <w:rPr>
                <w:rFonts w:hint="eastAsia" w:ascii="宋体" w:hAnsi="宋体" w:eastAsia="宋体" w:cs="宋体"/>
                <w:color w:val="auto"/>
                <w:spacing w:val="-3"/>
                <w:sz w:val="22"/>
                <w:szCs w:val="22"/>
                <w:highlight w:val="none"/>
                <w:lang w:eastAsia="zh-CN"/>
              </w:rPr>
            </w:pPr>
            <w:r>
              <w:rPr>
                <w:rFonts w:hint="eastAsia" w:ascii="宋体" w:hAnsi="宋体" w:eastAsia="宋体" w:cs="宋体"/>
                <w:color w:val="auto"/>
                <w:spacing w:val="-3"/>
                <w:sz w:val="22"/>
                <w:szCs w:val="22"/>
                <w:highlight w:val="none"/>
                <w:lang w:val="en-US" w:eastAsia="zh-CN"/>
              </w:rPr>
              <w:t xml:space="preserve">6.</w:t>
            </w:r>
            <w:r>
              <w:rPr>
                <w:rFonts w:hint="eastAsia" w:ascii="宋体" w:hAnsi="宋体" w:eastAsia="宋体" w:cs="宋体"/>
                <w:color w:val="auto"/>
                <w:spacing w:val="-3"/>
                <w:sz w:val="22"/>
                <w:szCs w:val="22"/>
                <w:highlight w:val="none"/>
                <w:lang w:eastAsia="zh-CN"/>
              </w:rPr>
              <w:t xml:space="preserve">根据供应商提供的</w:t>
            </w:r>
            <w:r>
              <w:rPr>
                <w:rFonts w:hint="eastAsia" w:ascii="宋体" w:hAnsi="宋体" w:eastAsia="宋体" w:cs="宋体"/>
                <w:color w:val="auto"/>
                <w:sz w:val="22"/>
                <w:szCs w:val="22"/>
                <w:highlight w:val="none"/>
                <w:lang w:val="en-US" w:eastAsia="zh-CN"/>
              </w:rPr>
              <w:t xml:space="preserve">服务保障方案</w:t>
            </w:r>
            <w:r>
              <w:rPr>
                <w:rFonts w:hint="eastAsia" w:ascii="宋体" w:hAnsi="宋体" w:eastAsia="宋体" w:cs="宋体"/>
                <w:color w:val="auto"/>
                <w:spacing w:val="-3"/>
                <w:sz w:val="22"/>
                <w:szCs w:val="22"/>
                <w:highlight w:val="none"/>
                <w:lang w:eastAsia="zh-CN"/>
              </w:rPr>
              <w:t xml:space="preserve">评分</w:t>
            </w:r>
            <w:r>
              <w:rPr>
                <w:rFonts w:hint="eastAsia" w:ascii="宋体" w:hAnsi="宋体" w:eastAsia="宋体" w:cs="宋体"/>
                <w:color w:val="auto"/>
                <w:spacing w:val="-3"/>
                <w:sz w:val="22"/>
                <w:szCs w:val="22"/>
                <w:highlight w:val="none"/>
                <w:lang w:val="en-US" w:eastAsia="zh-CN"/>
              </w:rPr>
              <w:t xml:space="preserve">（6分）</w:t>
            </w:r>
            <w:r>
              <w:rPr>
                <w:rFonts w:hint="eastAsia" w:ascii="宋体" w:hAnsi="宋体" w:eastAsia="宋体" w:cs="宋体"/>
                <w:color w:val="auto"/>
                <w:spacing w:val="-3"/>
                <w:sz w:val="22"/>
                <w:szCs w:val="22"/>
                <w:highlight w:val="none"/>
                <w:lang w:eastAsia="zh-CN"/>
              </w:rPr>
              <w:t xml:space="preserve">。方案至少包括</w:t>
            </w:r>
            <w:r>
              <w:rPr>
                <w:rFonts w:hint="eastAsia" w:ascii="宋体" w:hAnsi="宋体" w:eastAsia="宋体" w:cs="宋体"/>
                <w:color w:val="auto"/>
                <w:spacing w:val="-3"/>
                <w:sz w:val="22"/>
                <w:szCs w:val="22"/>
                <w:highlight w:val="none"/>
                <w:lang w:val="en-US" w:eastAsia="zh-CN"/>
              </w:rPr>
              <w:t xml:space="preserve">①技术培训、②供水水质突发事件、③水质数据汇总分析等内容</w:t>
            </w:r>
            <w:r>
              <w:rPr>
                <w:rFonts w:hint="eastAsia" w:ascii="宋体" w:hAnsi="宋体" w:eastAsia="宋体" w:cs="宋体"/>
                <w:color w:val="auto"/>
                <w:spacing w:val="-3"/>
                <w:sz w:val="22"/>
                <w:szCs w:val="22"/>
                <w:highlight w:val="none"/>
                <w:lang w:eastAsia="zh-CN"/>
              </w:rPr>
              <w:t xml:space="preserve">等</w:t>
            </w:r>
            <w:r>
              <w:rPr>
                <w:rFonts w:hint="eastAsia" w:ascii="宋体" w:hAnsi="宋体" w:eastAsia="宋体" w:cs="宋体"/>
                <w:color w:val="auto"/>
                <w:spacing w:val="-3"/>
                <w:sz w:val="22"/>
                <w:szCs w:val="22"/>
                <w:highlight w:val="none"/>
                <w:lang w:val="en-US" w:eastAsia="zh-CN"/>
              </w:rPr>
              <w:t xml:space="preserve">内容</w:t>
            </w:r>
            <w:r>
              <w:rPr>
                <w:rFonts w:hint="eastAsia" w:ascii="宋体" w:hAnsi="宋体" w:eastAsia="宋体" w:cs="宋体"/>
                <w:color w:val="auto"/>
                <w:spacing w:val="-3"/>
                <w:sz w:val="22"/>
                <w:szCs w:val="22"/>
                <w:highlight w:val="none"/>
                <w:lang w:eastAsia="zh-CN"/>
              </w:rPr>
              <w:t xml:space="preserve">。</w:t>
            </w:r>
            <w:r/>
          </w:p>
          <w:p>
            <w:pPr>
              <w:pStyle w:val="902"/>
              <w:ind w:left="0" w:right="0" w:firstLine="0"/>
              <w:jc w:val="left"/>
              <w:spacing w:before="1" w:line="240" w:lineRule="auto"/>
              <w:rPr>
                <w:rFonts w:hint="eastAsia" w:ascii="宋体" w:hAnsi="宋体" w:eastAsia="宋体" w:cs="宋体"/>
                <w:color w:val="auto"/>
                <w:spacing w:val="-3"/>
                <w:sz w:val="22"/>
                <w:szCs w:val="22"/>
                <w:highlight w:val="none"/>
                <w:lang w:eastAsia="zh-CN"/>
              </w:rPr>
            </w:pPr>
            <w:r>
              <w:rPr>
                <w:rFonts w:hint="eastAsia" w:ascii="宋体" w:hAnsi="宋体" w:eastAsia="宋体" w:cs="宋体"/>
                <w:color w:val="auto"/>
                <w:spacing w:val="-3"/>
                <w:sz w:val="22"/>
                <w:szCs w:val="22"/>
                <w:highlight w:val="none"/>
                <w:lang w:val="en-US" w:eastAsia="zh-CN"/>
              </w:rPr>
              <w:t xml:space="preserve">以上方案内容完整的得6分，每有一项内容缺失的扣2分；每有一处存在缺陷（缺陷是指不适用于本项目，表述前后不一致或内容矛盾，语句有歧义，仅有框架或标题，涉及的规范及标准错误，套用其他项目内容等任意一种情形）扣1分，直至该项分值2分扣完为止，不提供本项不得分。</w:t>
            </w:r>
            <w:r/>
          </w:p>
        </w:tc>
        <w:tc>
          <w:tcPr>
            <w:tcW w:w="680" w:type="dxa"/>
            <w:vAlign w:val="center"/>
            <w:textDirection w:val="lrTb"/>
            <w:noWrap w:val="false"/>
          </w:tcPr>
          <w:p>
            <w:pPr>
              <w:pStyle w:val="902"/>
              <w:ind w:left="0" w:right="0" w:firstLine="0"/>
              <w:jc w:val="center"/>
              <w:keepLines w:val="0"/>
              <w:keepNext w:val="0"/>
              <w:pageBreakBefore w:val="0"/>
              <w:spacing w:line="240" w:lineRule="auto"/>
              <w:widowControl w:val="off"/>
              <w:rPr>
                <w:rFonts w:hint="eastAsia" w:ascii="宋体" w:hAnsi="宋体" w:eastAsia="宋体" w:cs="宋体"/>
                <w:color w:val="auto"/>
                <w:spacing w:val="-3"/>
                <w:sz w:val="22"/>
                <w:szCs w:val="22"/>
                <w:highlight w:val="none"/>
                <w:lang w:eastAsia="zh-CN"/>
              </w:rPr>
            </w:pPr>
            <w:r>
              <w:rPr>
                <w:rFonts w:hint="eastAsia" w:ascii="宋体" w:hAnsi="宋体" w:eastAsia="宋体" w:cs="宋体"/>
                <w:color w:val="auto"/>
                <w:spacing w:val="-3"/>
                <w:sz w:val="22"/>
                <w:szCs w:val="22"/>
                <w:highlight w:val="none"/>
                <w:lang w:eastAsia="zh-CN"/>
              </w:rPr>
            </w:r>
            <w:r/>
          </w:p>
        </w:tc>
      </w:tr>
      <w:tr>
        <w:trPr>
          <w:jc w:val="center"/>
          <w:trHeight w:val="501"/>
        </w:trPr>
        <w:tc>
          <w:tcPr>
            <w:gridSpan w:val="4"/>
            <w:tcW w:w="9573" w:type="dxa"/>
            <w:vAlign w:val="center"/>
            <w:textDirection w:val="lrTb"/>
            <w:noWrap w:val="false"/>
          </w:tcPr>
          <w:p>
            <w:pPr>
              <w:pStyle w:val="902"/>
              <w:ind w:left="0" w:right="0" w:firstLine="0"/>
              <w:jc w:val="center"/>
              <w:keepLines w:val="0"/>
              <w:keepNext w:val="0"/>
              <w:pageBreakBefore w:val="0"/>
              <w:spacing w:line="240" w:lineRule="auto"/>
              <w:widowControl w:val="off"/>
              <w:rPr>
                <w:rFonts w:hint="eastAsia" w:ascii="宋体" w:hAnsi="宋体" w:eastAsia="宋体" w:cs="宋体"/>
                <w:b/>
                <w:color w:val="auto"/>
                <w:spacing w:val="-3"/>
                <w:sz w:val="22"/>
                <w:szCs w:val="22"/>
                <w:highlight w:val="none"/>
                <w:lang w:val="en-US" w:eastAsia="zh-CN"/>
              </w:rPr>
            </w:pPr>
            <w:r>
              <w:rPr>
                <w:rFonts w:hint="eastAsia" w:ascii="宋体" w:hAnsi="宋体" w:eastAsia="宋体" w:cs="宋体"/>
                <w:b/>
                <w:bCs/>
                <w:color w:val="auto"/>
                <w:spacing w:val="-3"/>
                <w:sz w:val="22"/>
                <w:szCs w:val="22"/>
                <w:highlight w:val="none"/>
                <w:lang w:val="en-US" w:eastAsia="zh-CN"/>
              </w:rPr>
              <w:t xml:space="preserve">总分</w:t>
            </w:r>
            <w:r/>
          </w:p>
        </w:tc>
        <w:tc>
          <w:tcPr>
            <w:tcW w:w="680" w:type="dxa"/>
            <w:vAlign w:val="center"/>
            <w:textDirection w:val="lrTb"/>
            <w:noWrap w:val="false"/>
          </w:tcPr>
          <w:p>
            <w:pPr>
              <w:pStyle w:val="902"/>
              <w:ind w:left="0" w:right="0" w:firstLine="0"/>
              <w:jc w:val="left"/>
              <w:keepLines w:val="0"/>
              <w:keepNext w:val="0"/>
              <w:pageBreakBefore w:val="0"/>
              <w:spacing w:line="240" w:lineRule="auto"/>
              <w:widowControl w:val="off"/>
              <w:rPr>
                <w:rFonts w:hint="eastAsia" w:ascii="宋体" w:hAnsi="宋体" w:eastAsia="宋体" w:cs="宋体"/>
                <w:b/>
                <w:color w:val="auto"/>
                <w:spacing w:val="-3"/>
                <w:sz w:val="22"/>
                <w:szCs w:val="22"/>
                <w:highlight w:val="none"/>
                <w:lang w:eastAsia="zh-CN"/>
              </w:rPr>
            </w:pPr>
            <w:r>
              <w:rPr>
                <w:rFonts w:hint="eastAsia" w:ascii="宋体" w:hAnsi="宋体" w:eastAsia="宋体" w:cs="宋体"/>
                <w:b/>
                <w:color w:val="auto"/>
                <w:spacing w:val="-3"/>
                <w:sz w:val="22"/>
                <w:szCs w:val="22"/>
                <w:highlight w:val="none"/>
                <w:lang w:eastAsia="zh-CN"/>
              </w:rPr>
            </w:r>
            <w:r/>
          </w:p>
        </w:tc>
      </w:tr>
    </w:tbl>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第六章 响应文件格式</w:t>
      </w:r>
      <w:r/>
    </w:p>
    <w:p>
      <w:pPr>
        <w:pStyle w:val="713"/>
        <w:jc w:val="both"/>
        <w:spacing w:beforeAutospacing="0" w:afterAutospacing="0" w:line="360" w:lineRule="auto"/>
        <w:rPr>
          <w:rFonts w:hint="eastAsia" w:ascii="宋体" w:hAnsi="宋体" w:eastAsia="宋体" w:cs="宋体"/>
          <w:b/>
          <w:color w:val="auto"/>
          <w:sz w:val="72"/>
          <w:szCs w:val="72"/>
          <w:highlight w:val="none"/>
        </w:rPr>
      </w:pPr>
      <w:r/>
      <w:bookmarkStart w:id="175" w:name="_Toc49090576"/>
      <w:r/>
      <w:bookmarkEnd w:id="175"/>
      <w:r/>
      <w:bookmarkStart w:id="176" w:name="_Toc120614282"/>
      <w:r/>
      <w:bookmarkEnd w:id="176"/>
      <w:r/>
      <w:bookmarkStart w:id="177" w:name="_Toc26554094"/>
      <w:r/>
      <w:bookmarkStart w:id="178" w:name="_Hlt26955039"/>
      <w:r/>
      <w:bookmarkStart w:id="179" w:name="_Hlt26671244"/>
      <w:r/>
      <w:r/>
    </w:p>
    <w:p>
      <w:pPr>
        <w:pStyle w:val="713"/>
        <w:jc w:val="center"/>
        <w:spacing w:beforeAutospacing="0" w:afterAutospacing="0"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响  应  文  件</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108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13"/>
        <w:ind w:firstLine="108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   （加盖CA电子公章）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投标文件目录</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left="480"/>
        <w:jc w:val="both"/>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一、法人或者其他组织的营业执照等证明文件，自然人的身份证明</w:t>
      </w:r>
      <w:r/>
    </w:p>
    <w:p>
      <w:pPr>
        <w:pStyle w:val="713"/>
        <w:ind w:left="480"/>
        <w:jc w:val="both"/>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二、上一年度的财务状况报告（投标人成立不满一年无需提供）</w:t>
      </w:r>
      <w:r/>
    </w:p>
    <w:p>
      <w:pPr>
        <w:pStyle w:val="713"/>
        <w:ind w:left="480"/>
        <w:jc w:val="both"/>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三、具备履行合同所必需的设备和专业技术能力的书面声明</w:t>
      </w:r>
      <w:r/>
    </w:p>
    <w:p>
      <w:pPr>
        <w:pStyle w:val="713"/>
        <w:ind w:left="480"/>
        <w:jc w:val="both"/>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四、依法缴纳税收和社会保障资金的相关材料（提供提交投标文件截止时间前一</w:t>
      </w:r>
      <w:r/>
    </w:p>
    <w:p>
      <w:pPr>
        <w:pStyle w:val="713"/>
        <w:jc w:val="both"/>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年内至少一个月依法缴纳税收及缴纳社会保障资金的证明材料。投标人依法享受缓缴、免缴税收、社会保障资金的提供证明材料。）</w:t>
      </w:r>
      <w:r/>
    </w:p>
    <w:p>
      <w:pPr>
        <w:pStyle w:val="713"/>
        <w:ind w:firstLine="480"/>
        <w:jc w:val="both"/>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五、参加政府采购活动前 3 年内在经营活动中没有重大违法记录的书面声明</w:t>
      </w:r>
      <w:r/>
    </w:p>
    <w:p>
      <w:pPr>
        <w:pStyle w:val="713"/>
        <w:ind w:firstLine="480"/>
        <w:jc w:val="both"/>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六、特定资格要求的证明文件（如果本项目设置特定资格要求，则需要提供）</w:t>
      </w:r>
      <w:r/>
    </w:p>
    <w:p>
      <w:pPr>
        <w:pStyle w:val="713"/>
        <w:ind w:firstLine="480"/>
        <w:jc w:val="both"/>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七、法人授权书</w:t>
      </w:r>
      <w:r/>
    </w:p>
    <w:p>
      <w:pPr>
        <w:pStyle w:val="713"/>
        <w:ind w:firstLine="480"/>
        <w:jc w:val="both"/>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八、投标函</w:t>
      </w:r>
      <w:r/>
    </w:p>
    <w:p>
      <w:pPr>
        <w:pStyle w:val="713"/>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九、中小</w:t>
      </w:r>
      <w:r>
        <w:rPr>
          <w:rFonts w:hint="eastAsia" w:ascii="宋体" w:hAnsi="宋体" w:cs="宋体"/>
          <w:iCs/>
          <w:color w:val="auto"/>
          <w:highlight w:val="none"/>
          <w:lang w:val="en-US" w:eastAsia="zh-CN"/>
        </w:rPr>
        <w:t xml:space="preserve">微</w:t>
      </w:r>
      <w:r>
        <w:rPr>
          <w:rFonts w:hint="eastAsia" w:ascii="宋体" w:hAnsi="宋体" w:eastAsia="宋体" w:cs="宋体"/>
          <w:iCs/>
          <w:color w:val="auto"/>
          <w:highlight w:val="none"/>
        </w:rPr>
        <w:t xml:space="preserve">企业声明函</w:t>
      </w:r>
      <w:r/>
    </w:p>
    <w:p>
      <w:pPr>
        <w:pStyle w:val="713"/>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十、残疾人福利性单位声明函</w:t>
      </w:r>
      <w:r/>
    </w:p>
    <w:p>
      <w:pPr>
        <w:pStyle w:val="713"/>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十一、分项报价表</w:t>
      </w:r>
      <w:r/>
    </w:p>
    <w:p>
      <w:pPr>
        <w:pStyle w:val="713"/>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二</w:t>
      </w:r>
      <w:r>
        <w:rPr>
          <w:rFonts w:hint="eastAsia" w:ascii="宋体" w:hAnsi="宋体" w:eastAsia="宋体" w:cs="宋体"/>
          <w:iCs/>
          <w:color w:val="auto"/>
          <w:highlight w:val="none"/>
        </w:rPr>
        <w:t xml:space="preserve">、技术要求响应及偏离表</w:t>
      </w:r>
      <w:r/>
    </w:p>
    <w:p>
      <w:pPr>
        <w:pStyle w:val="713"/>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eastAsia="zh-CN"/>
        </w:rPr>
        <w:t xml:space="preserve">三</w:t>
      </w:r>
      <w:r>
        <w:rPr>
          <w:rFonts w:hint="eastAsia" w:ascii="宋体" w:hAnsi="宋体" w:eastAsia="宋体" w:cs="宋体"/>
          <w:iCs/>
          <w:color w:val="auto"/>
          <w:highlight w:val="none"/>
        </w:rPr>
        <w:t xml:space="preserve">、商务要求响应及偏离表</w:t>
      </w:r>
      <w:r/>
    </w:p>
    <w:p>
      <w:pPr>
        <w:pStyle w:val="713"/>
        <w:ind w:firstLine="480"/>
        <w:jc w:val="both"/>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十</w:t>
      </w:r>
      <w:r>
        <w:rPr>
          <w:rFonts w:hint="eastAsia" w:ascii="宋体" w:hAnsi="宋体" w:eastAsia="宋体" w:cs="宋体"/>
          <w:i/>
          <w:color w:val="auto"/>
          <w:highlight w:val="none"/>
          <w:u w:val="single"/>
          <w:lang w:eastAsia="zh-CN"/>
        </w:rPr>
        <w:t xml:space="preserve">四</w:t>
      </w:r>
      <w:r>
        <w:rPr>
          <w:rFonts w:hint="eastAsia" w:ascii="宋体" w:hAnsi="宋体" w:eastAsia="宋体" w:cs="宋体"/>
          <w:i/>
          <w:color w:val="auto"/>
          <w:highlight w:val="none"/>
          <w:u w:val="single"/>
        </w:rPr>
        <w:t xml:space="preserve">、开标一览表</w:t>
      </w:r>
      <w:r/>
    </w:p>
    <w:p>
      <w:pPr>
        <w:ind w:firstLine="480"/>
        <w:spacing w:line="360" w:lineRule="auto"/>
        <w:widowControl/>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十</w:t>
      </w:r>
      <w:r>
        <w:rPr>
          <w:rFonts w:hint="eastAsia" w:ascii="宋体" w:hAnsi="宋体" w:eastAsia="宋体" w:cs="宋体"/>
          <w:iCs/>
          <w:color w:val="auto"/>
          <w:sz w:val="24"/>
          <w:highlight w:val="none"/>
          <w:lang w:eastAsia="zh-CN"/>
        </w:rPr>
        <w:t xml:space="preserve">五</w:t>
      </w:r>
      <w:r>
        <w:rPr>
          <w:rFonts w:hint="eastAsia" w:ascii="宋体" w:hAnsi="宋体" w:eastAsia="宋体" w:cs="宋体"/>
          <w:iCs/>
          <w:color w:val="auto"/>
          <w:sz w:val="24"/>
          <w:highlight w:val="none"/>
        </w:rPr>
        <w:t xml:space="preserve">、</w:t>
      </w:r>
      <w:r>
        <w:rPr>
          <w:rFonts w:hint="eastAsia" w:ascii="宋体" w:hAnsi="宋体" w:eastAsia="宋体" w:cs="宋体"/>
          <w:color w:val="auto"/>
          <w:sz w:val="24"/>
          <w:highlight w:val="none"/>
        </w:rPr>
        <w:t xml:space="preserve">项目实施方案、项目售后服务方案、项目培训方案</w:t>
      </w:r>
      <w:r/>
    </w:p>
    <w:p>
      <w:pPr>
        <w:pStyle w:val="713"/>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eastAsia="zh-CN"/>
        </w:rPr>
        <w:t xml:space="preserve">六</w:t>
      </w:r>
      <w:r>
        <w:rPr>
          <w:rFonts w:hint="eastAsia" w:ascii="宋体" w:hAnsi="宋体" w:eastAsia="宋体" w:cs="宋体"/>
          <w:iCs/>
          <w:color w:val="auto"/>
          <w:highlight w:val="none"/>
        </w:rPr>
        <w:t xml:space="preserve">、盐城市政府采购事前信用承诺书</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特别提示：电子投标文件制作时建议将本项目投标文件“封面”上传至“目录”项内。</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br w:type="page" w:clear="all"/>
      </w: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713"/>
        <w:jc w:val="both"/>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二、上一年度的财务状况报告</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iCs/>
          <w:color w:val="auto"/>
          <w:highlight w:val="none"/>
        </w:rPr>
        <w:t xml:space="preserve">（投标人成立不满一年无需提供）</w:t>
      </w:r>
      <w:r/>
    </w:p>
    <w:p>
      <w:pPr>
        <w:pStyle w:val="713"/>
        <w:jc w:val="both"/>
        <w:spacing w:beforeAutospacing="0" w:afterAutospacing="0" w:line="56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13"/>
        <w:jc w:val="both"/>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三、具备履行合同所必需的设备和专业技术能力的书面声明</w:t>
      </w:r>
      <w:r/>
    </w:p>
    <w:p>
      <w:pPr>
        <w:pStyle w:val="713"/>
        <w:ind w:firstLine="492"/>
        <w:jc w:val="both"/>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13"/>
        <w:ind w:firstLine="492"/>
        <w:jc w:val="both"/>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13"/>
        <w:ind w:right="1560" w:firstLine="624"/>
        <w:jc w:val="center"/>
        <w:spacing w:beforeAutospacing="0" w:afterAutospacing="0" w:line="360" w:lineRule="auto"/>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供应商全称（加盖CA电子公章）：</w:t>
      </w:r>
      <w:r/>
    </w:p>
    <w:p>
      <w:pPr>
        <w:pStyle w:val="713"/>
        <w:jc w:val="both"/>
        <w:spacing w:beforeAutospacing="0" w:afterAutospacing="0" w:line="360" w:lineRule="auto"/>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t xml:space="preserve">                      日  期：</w:t>
      </w:r>
      <w:r/>
    </w:p>
    <w:p>
      <w:pPr>
        <w:pStyle w:val="713"/>
        <w:jc w:val="both"/>
        <w:spacing w:beforeAutospacing="0" w:afterAutospacing="0" w:line="360" w:lineRule="auto"/>
        <w:rPr>
          <w:rFonts w:hint="eastAsia" w:ascii="宋体" w:hAnsi="宋体" w:eastAsia="宋体" w:cs="宋体"/>
          <w:i/>
          <w:color w:val="auto"/>
          <w:sz w:val="32"/>
          <w:szCs w:val="32"/>
          <w:highlight w:val="none"/>
          <w:u w:val="single"/>
        </w:rPr>
        <w:outlineLvl w:val="1"/>
      </w:pPr>
      <w:r>
        <w:rPr>
          <w:rFonts w:hint="eastAsia" w:ascii="宋体" w:hAnsi="宋体" w:eastAsia="宋体" w:cs="宋体"/>
          <w:i/>
          <w:color w:val="auto"/>
          <w:sz w:val="32"/>
          <w:szCs w:val="32"/>
          <w:highlight w:val="none"/>
          <w:u w:val="single"/>
        </w:rPr>
      </w:r>
      <w:r/>
    </w:p>
    <w:p>
      <w:pPr>
        <w:pStyle w:val="713"/>
        <w:jc w:val="both"/>
        <w:spacing w:beforeAutospacing="0" w:afterAutospacing="0" w:line="360" w:lineRule="auto"/>
        <w:rPr>
          <w:rFonts w:hint="eastAsia"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四、依法缴纳税收和社会保障资金的相关材料</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13"/>
        <w:jc w:val="both"/>
        <w:spacing w:beforeAutospacing="0" w:afterAutospacing="0" w:line="360" w:lineRule="auto"/>
        <w:rPr>
          <w:rFonts w:hint="eastAsia"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br w:type="page" w:clear="all"/>
      </w: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713"/>
        <w:ind w:firstLine="309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3"/>
        <w:ind w:right="1560" w:firstLine="624"/>
        <w:jc w:val="center"/>
        <w:spacing w:beforeAutospacing="0" w:afterAutospacing="0" w:line="360" w:lineRule="auto"/>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供应商全称（加盖CA电子公章）：</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713"/>
        <w:spacing w:beforeAutospacing="0" w:afterAutospacing="0" w:line="360" w:lineRule="auto"/>
        <w:rPr>
          <w:rFonts w:hint="eastAsia" w:ascii="宋体" w:hAnsi="宋体" w:eastAsia="宋体" w:cs="宋体"/>
          <w:i/>
          <w:color w:val="auto"/>
          <w:sz w:val="32"/>
          <w:szCs w:val="32"/>
          <w:highlight w:val="none"/>
          <w:u w:val="single"/>
        </w:rPr>
        <w:outlineLvl w:val="1"/>
      </w:pPr>
      <w:r>
        <w:rPr>
          <w:rFonts w:hint="eastAsia" w:ascii="宋体" w:hAnsi="宋体" w:eastAsia="宋体" w:cs="宋体"/>
          <w:i/>
          <w:color w:val="auto"/>
          <w:sz w:val="32"/>
          <w:szCs w:val="32"/>
          <w:highlight w:val="none"/>
          <w:u w:val="single"/>
        </w:rPr>
      </w:r>
      <w:r/>
    </w:p>
    <w:p>
      <w:pPr>
        <w:pStyle w:val="713"/>
        <w:spacing w:beforeAutospacing="0" w:afterAutospacing="0" w:line="360" w:lineRule="auto"/>
        <w:rPr>
          <w:rFonts w:hint="eastAsia"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六、特定资格要求的证明文件</w:t>
      </w:r>
      <w:r/>
    </w:p>
    <w:p>
      <w:pPr>
        <w:pStyle w:val="713"/>
        <w:ind w:firstLine="480"/>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bookmarkStart w:id="180" w:name="_Toc120614284"/>
      <w:r>
        <w:rPr>
          <w:rFonts w:hint="eastAsia" w:ascii="宋体" w:hAnsi="宋体" w:eastAsia="宋体" w:cs="宋体"/>
          <w:i/>
          <w:color w:val="auto"/>
          <w:sz w:val="32"/>
          <w:szCs w:val="32"/>
          <w:highlight w:val="none"/>
          <w:u w:val="single"/>
        </w:rPr>
        <w:br w:type="page" w:clear="all"/>
      </w:r>
      <w:r>
        <w:rPr>
          <w:rFonts w:hint="eastAsia" w:ascii="宋体" w:hAnsi="宋体" w:eastAsia="宋体" w:cs="宋体"/>
          <w:i/>
          <w:color w:val="auto"/>
          <w:sz w:val="32"/>
          <w:szCs w:val="32"/>
          <w:highlight w:val="none"/>
          <w:u w:val="single"/>
        </w:rPr>
        <w:t xml:space="preserve">七、法人授权书</w:t>
      </w:r>
      <w:r/>
    </w:p>
    <w:p>
      <w:pPr>
        <w:pStyle w:val="713"/>
        <w:ind w:firstLine="480"/>
        <w:jc w:val="both"/>
        <w:spacing w:line="360" w:lineRule="auto"/>
        <w:widowControl/>
        <w:rPr>
          <w:rFonts w:hint="eastAsia" w:ascii="宋体" w:hAnsi="宋体" w:eastAsia="宋体" w:cs="宋体"/>
          <w:color w:val="auto"/>
          <w:highlight w:val="none"/>
        </w:rPr>
      </w:pPr>
      <w:r/>
      <w:bookmarkStart w:id="181" w:name="_Hlt26671380"/>
      <w:r/>
      <w:bookmarkStart w:id="182" w:name="_格式3__银行出具的资信证明"/>
      <w:r/>
      <w:bookmarkStart w:id="183" w:name="_Hlt26955070"/>
      <w:r>
        <w:rPr>
          <w:rFonts w:hint="eastAsia" w:ascii="宋体" w:hAnsi="宋体" w:eastAsia="宋体" w:cs="宋体"/>
          <w:color w:val="auto"/>
          <w:highlight w:val="none"/>
        </w:rPr>
        <w:t xml:space="preserve">本授权书声明：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（供应商名称）授权</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（被授权人的姓名）为我方就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采购活动的合法代理人，以本单位名义全权处理一切与该项目采购有关的事务。</w:t>
      </w:r>
      <w:r/>
    </w:p>
    <w:p>
      <w:pPr>
        <w:pStyle w:val="893"/>
        <w:ind w:firstLine="480"/>
        <w:jc w:val="both"/>
        <w:spacing w:beforeAutospacing="0" w:afterAutospacing="0" w:line="360" w:lineRule="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893"/>
        <w:ind w:firstLine="480"/>
        <w:jc w:val="both"/>
        <w:spacing w:beforeAutospacing="0" w:afterAutospacing="0" w:line="360" w:lineRule="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893"/>
        <w:ind w:firstLine="480"/>
        <w:jc w:val="both"/>
        <w:spacing w:beforeAutospacing="0" w:afterAutospacing="0" w:line="360" w:lineRule="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w:t>
      </w:r>
      <w:r>
        <w:rPr>
          <w:rFonts w:hint="eastAsia" w:ascii="宋体" w:hAnsi="宋体" w:eastAsia="宋体" w:cs="宋体"/>
          <w:color w:val="auto"/>
          <w:highlight w:val="none"/>
          <w:u w:val="single"/>
        </w:rPr>
        <w:t xml:space="preserve">         （手机）       </w:t>
      </w:r>
      <w:r/>
    </w:p>
    <w:p>
      <w:pPr>
        <w:pStyle w:val="893"/>
        <w:ind w:firstLine="480"/>
        <w:jc w:val="both"/>
        <w:spacing w:beforeAutospacing="0" w:afterAutospacing="0" w:line="360" w:lineRule="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      （加盖CA电子公章）      </w:t>
      </w:r>
      <w:r/>
    </w:p>
    <w:p>
      <w:pPr>
        <w:pStyle w:val="893"/>
        <w:ind w:firstLine="480"/>
        <w:jc w:val="both"/>
        <w:spacing w:beforeAutospacing="0" w:afterAutospacing="0" w:line="360" w:lineRule="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713"/>
        <w:ind w:firstLine="480"/>
        <w:jc w:val="both"/>
        <w:spacing w:beforeAutospacing="0" w:afterAutospacing="0" w:line="360" w:lineRule="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法定代表人及被授权人身份证复印件：</w:t>
      </w:r>
      <w:r/>
    </w:p>
    <w:p>
      <w:pPr>
        <w:pStyle w:val="713"/>
        <w:ind w:firstLine="3390"/>
        <w:jc w:val="both"/>
        <w:keepLines/>
        <w:keepNext/>
        <w:spacing w:before="260" w:beforeAutospacing="0" w:after="26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w:t>
      </w:r>
      <w:r/>
    </w:p>
    <w:p>
      <w:pPr>
        <w:jc w:val="center"/>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i/>
          <w:color w:val="auto"/>
          <w:sz w:val="32"/>
          <w:szCs w:val="32"/>
          <w:highlight w:val="none"/>
          <w:u w:val="single"/>
        </w:rPr>
        <w:t xml:space="preserve">八、投标函</w:t>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bCs/>
          <w:color w:val="auto"/>
          <w:highlight w:val="none"/>
          <w:u w:val="single"/>
        </w:rPr>
        <w:t xml:space="preserve">盐城市住房和城乡建设局</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cs="宋体"/>
          <w:color w:val="auto"/>
          <w:highlight w:val="none"/>
          <w:u w:val="single"/>
          <w:lang w:eastAsia="zh-CN"/>
        </w:rPr>
        <w:t xml:space="preserve">JSZC-320900-HZZZ-G2026-0001</w:t>
      </w:r>
      <w:r>
        <w:rPr>
          <w:rFonts w:hint="eastAsia" w:ascii="宋体" w:hAnsi="宋体" w:eastAsia="宋体" w:cs="宋体"/>
          <w:color w:val="auto"/>
          <w:highlight w:val="none"/>
        </w:rPr>
        <w:t xml:space="preserve">号招标文件，正式授权下述签名人_________________（姓名）代表我方______________（投标人的名称），全权处理本次项目投标的有关事宜。</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据此函，__________签名人兹宣布同意如下：</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13"/>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6.一旦我方中标，我方将根据招标文件的规定，严格履行合同的责任和义务，并保证在招标文件规定的时间内完成项目，交付买方验收、使用。</w:t>
      </w:r>
      <w:r/>
    </w:p>
    <w:p>
      <w:pPr>
        <w:pStyle w:val="713"/>
        <w:ind w:left="42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713"/>
        <w:ind w:left="420"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713"/>
        <w:ind w:left="420"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713"/>
        <w:ind w:left="420"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713"/>
        <w:ind w:left="420"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713"/>
        <w:ind w:left="420"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713"/>
        <w:ind w:left="420"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713"/>
        <w:ind w:left="420"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713"/>
        <w:ind w:firstLine="240"/>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240"/>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outlineLvl w:val="1"/>
      </w:pPr>
      <w:r>
        <w:rPr>
          <w:rFonts w:hint="eastAsia" w:ascii="宋体" w:hAnsi="宋体" w:eastAsia="宋体" w:cs="宋体"/>
          <w:b/>
          <w:color w:val="auto"/>
          <w:sz w:val="32"/>
          <w:szCs w:val="32"/>
          <w:highlight w:val="none"/>
        </w:rPr>
        <w:br w:type="page" w:clear="all"/>
      </w:r>
      <w:r/>
    </w:p>
    <w:p>
      <w:pPr>
        <w:pStyle w:val="713"/>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中小微企业声明函（服务类项目）（采购包号：**）</w:t>
      </w:r>
      <w:r/>
    </w:p>
    <w:p>
      <w:pPr>
        <w:pStyle w:val="713"/>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p>
    <w:p>
      <w:pPr>
        <w:pStyle w:val="71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71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71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71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13"/>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13"/>
        <w:ind w:right="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3"/>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企业名称（加盖CA电子公章）：</w:t>
      </w:r>
      <w:r/>
    </w:p>
    <w:p>
      <w:pPr>
        <w:pStyle w:val="713"/>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日期：___年____月____日 </w:t>
      </w:r>
      <w:r/>
    </w:p>
    <w:p>
      <w:pPr>
        <w:pStyle w:val="713"/>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3"/>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713"/>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713"/>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360" w:lineRule="auto"/>
        <w:rPr>
          <w:rFonts w:hint="eastAsia" w:ascii="宋体" w:hAnsi="宋体" w:eastAsia="宋体" w:cs="宋体"/>
          <w:i/>
          <w:color w:val="auto"/>
          <w:sz w:val="32"/>
          <w:szCs w:val="32"/>
          <w:highlight w:val="none"/>
          <w:u w:val="single"/>
        </w:rPr>
      </w:pPr>
      <w:r>
        <w:rPr>
          <w:rFonts w:hint="eastAsia" w:ascii="宋体" w:hAnsi="宋体" w:eastAsia="宋体" w:cs="宋体"/>
          <w:color w:val="auto"/>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713"/>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残疾人福利性单位声明函（服务类项目）（采购包号：**）</w:t>
      </w:r>
      <w:r/>
    </w:p>
    <w:p>
      <w:pPr>
        <w:pStyle w:val="713"/>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项目（项目名称）（采购包号：**）采购活动由本单位提供服务。</w:t>
      </w:r>
      <w:r/>
    </w:p>
    <w:p>
      <w:pPr>
        <w:pStyle w:val="7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7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7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1.专门面向中小微型企业采购的项目，供应商为残疾人福利性单位并提供服务的必须提供此声明函，否则将不能通过资格审查。</w:t>
      </w:r>
      <w:r/>
    </w:p>
    <w:p>
      <w:pPr>
        <w:pStyle w:val="7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2.非专门面向中小微型企业采购的项目，供应商如不提供此声明函，价格将不做相应扣除。</w:t>
      </w:r>
      <w:r/>
    </w:p>
    <w:p>
      <w:pPr>
        <w:pStyle w:val="713"/>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3.中标/成交供应商为残疾人福利性单位的，此声明函将随中标/成交结果同时公告，接受社会监督</w:t>
      </w:r>
      <w:r/>
    </w:p>
    <w:p>
      <w:pPr>
        <w:pStyle w:val="713"/>
        <w:ind w:left="0" w:firstLine="624"/>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3"/>
        <w:ind w:left="0" w:right="1559" w:firstLine="624"/>
        <w:jc w:val="center"/>
        <w:keepLines w:val="0"/>
        <w:keepNext w:val="0"/>
        <w:spacing w:before="0" w:beforeAutospacing="0" w:after="0" w:afterAutospacing="0" w:line="360" w:lineRule="auto"/>
        <w:widowControl w:val="off"/>
        <w:tabs>
          <w:tab w:val="left" w:pos="4864"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auto"/>
          <w:sz w:val="30"/>
          <w:szCs w:val="30"/>
          <w:highlight w:val="none"/>
        </w:rPr>
        <w:t xml:space="preserve">             </w:t>
      </w:r>
      <w:r>
        <w:rPr>
          <w:rFonts w:hint="eastAsia" w:ascii="宋体" w:hAnsi="宋体" w:eastAsia="宋体" w:cs="宋体"/>
          <w:color w:val="auto"/>
          <w:sz w:val="24"/>
          <w:szCs w:val="24"/>
          <w:highlight w:val="none"/>
        </w:rPr>
        <w:t xml:space="preserve">    供应商全称（加盖CA电子公章）：</w:t>
      </w:r>
      <w:r/>
    </w:p>
    <w:p>
      <w:pPr>
        <w:pStyle w:val="713"/>
        <w:ind w:right="1560" w:firstLine="480"/>
        <w:jc w:val="center"/>
        <w:spacing w:beforeAutospacing="0" w:afterAutospacing="0" w:line="360" w:lineRule="auto"/>
        <w:tabs>
          <w:tab w:val="left" w:pos="4864"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shd w:val="clear" w:color="auto" w:fill="ffffff"/>
        </w:rPr>
        <w:t xml:space="preserve">日期：___年____月____日</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color w:val="auto"/>
          <w:highlight w:val="none"/>
        </w:rPr>
        <w:sectPr>
          <w:footnotePr/>
          <w:endnotePr/>
          <w:type w:val="continuous"/>
          <w:pgSz w:w="11906" w:h="16838" w:orient="portrait"/>
          <w:pgMar w:top="1134" w:right="1134" w:bottom="1134" w:left="1134" w:header="851" w:footer="992" w:gutter="0"/>
          <w:cols w:num="1" w:sep="0" w:space="720" w:equalWidth="1"/>
          <w:docGrid w:linePitch="360"/>
        </w:sectPr>
        <w:outlineLvl w:val="1"/>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一</w:t>
      </w:r>
      <w:r>
        <w:rPr>
          <w:rFonts w:hint="eastAsia" w:ascii="宋体" w:hAnsi="宋体" w:eastAsia="宋体" w:cs="宋体"/>
          <w:b/>
          <w:color w:val="auto"/>
          <w:sz w:val="32"/>
          <w:szCs w:val="32"/>
          <w:highlight w:val="none"/>
        </w:rPr>
        <w:t xml:space="preserve">、分项报价表</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项目名称：2026-2027年度全市供水水质检测服务</w:t>
      </w:r>
      <w:r/>
    </w:p>
    <w:tbl>
      <w:tblPr>
        <w:tblStyle w:val="685"/>
        <w:tblW w:w="14746" w:type="dxa"/>
        <w:jc w:val="center"/>
        <w:tblLayout w:type="fixed"/>
        <w:tblCellMar>
          <w:left w:w="108" w:type="dxa"/>
          <w:top w:w="0" w:type="dxa"/>
          <w:right w:w="108" w:type="dxa"/>
          <w:bottom w:w="0" w:type="dxa"/>
        </w:tblCellMar>
        <w:tblLook w:val="04A0" w:firstRow="1" w:lastRow="0" w:firstColumn="1" w:lastColumn="0" w:noHBand="0" w:noVBand="1"/>
      </w:tblPr>
      <w:tblGrid>
        <w:gridCol w:w="1397"/>
        <w:gridCol w:w="947"/>
        <w:gridCol w:w="1120"/>
        <w:gridCol w:w="906"/>
        <w:gridCol w:w="4584"/>
        <w:gridCol w:w="1080"/>
        <w:gridCol w:w="1430"/>
        <w:gridCol w:w="956"/>
        <w:gridCol w:w="1193"/>
        <w:gridCol w:w="1133"/>
      </w:tblGrid>
      <w:tr>
        <w:trPr>
          <w:jc w:val="center"/>
          <w:tblHeader/>
        </w:trPr>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地区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水样</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检测项目</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点位数</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点位名称</w:t>
            </w:r>
            <w:r/>
          </w:p>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color w:val="auto"/>
                <w:sz w:val="22"/>
                <w:szCs w:val="22"/>
                <w:highlight w:val="none"/>
                <w:lang w:bidi="ar"/>
              </w:rPr>
              <w:t xml:space="preserve">（点位根据实际需要可调整）</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频次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（次/年）</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采样时间</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样品数</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单价</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（万元/个）</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金额</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（万元）</w:t>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市水务集团</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直供区</w:t>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水源水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113项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蟒蛇河、通榆河、新水源宝应里运河进水口。</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每年6、7月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蟒蛇河、通榆河、新水源宝应里运河进水口。</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每年1-5月、8-12月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盐龙湖生态净化工程出水口、通榆河预处理工程出水口、新水源各受水点（建湖城南水厂、盐龙湖增压泵站、建湖上冈水厂、射阳明湖水厂、大丰调蓄池）</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出厂水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97项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市区城东水厂、盐龙湖水厂</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市区城东水厂、盐龙湖水厂</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每年1、6、10月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城北片区（张庄镇海棠花园、城北小区）；</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城中片区（北三院、东方花园）；</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城南片区（紫薇花园、中南城瑞城）；</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城东片区（新嘉源人才公寓、景山名门、伯乐达城市御墅）。</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城北片区（东河嘉园）；</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城中片区（荷塘月色）；</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城南片区（钱江绿洲）；</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城东片区（天成苑、蔡尖花园）。</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城北片区（阳光嘉园、振兴嘉园）；</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城中片区（文华名城、东郊新村）；</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城南片区（凤麟府、华夏绿城）；</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城东片区（德惠尚书房东区、高教公寓）。</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盐都区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潘黄水司（富力科创城）；盐龙水司（金樾府）；盐都水司（郭猛、尚庄、秦南、北蒋、葛武、冈中、大冈、滨湖、北龙港、大纵湖、楼王、学富、龙冈、鞍湖、中兴）。</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盐都水司（郭猛、尚庄、秦南、北蒋、葛武、冈中、大冈、滨湖、北龙港、大纵湖、楼王、学富、龙冈、鞍湖、中兴）。</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潘黄水司（东进华都）；</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盐龙水司（尚海滩小区）；</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盐都水司（凤凰城小区）。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亭湖区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亭湖水司（盐东、新兴、青墩、便仓、黄尖、南洋、新洋经济区）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亭湖水司（盐东、新兴、青墩、便仓、黄尖、南洋、新洋经济区）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亭湖水司（东方雅居小区）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盐南高新区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伍佑水司（伍佑镇流量泵房）</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伍佑水司（伍佑镇公馆路1号秋景发艺）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伍佑水司（滨河御景小区）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开发区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步凤水司（步凤镇流量泵房）</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步凤水司（步凤镇步凤供水服务大厅）</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每年1、7月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步凤水司（风栖苑小区）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每年1、4、7、10月</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其他县（市、区）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水源水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台市泰东河西溪水源地、泰东河吕港应急水源地；大丰区通榆河刘庄水源地，建湖县西塘河颜单水源地、夏梁河建阳水源地；射阳县射阳河明湖水源地；阜宁县苏北灌溉总渠板湖水源地、通榆河北陈水源地、潮河公兴水源地；滨海县响水县废黄河东坎（运河）水源地、通榆河东坎应急水源地、苏北灌溉总渠蔡桥水源地、淤黄河八滩水源地；响水县通榆河洪圩水源地、响水县滨海县中山河大有（滨淮）水源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每年6、7月检测</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出厂水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台南苑水厂；大丰第二水厂、刘庄水厂；建湖城南水厂、上冈水厂；射阳明湖水厂、合德水厂；阜宁城东水厂、新城水厂、凯发水厂；滨海县城水厂、蔡桥水厂、八滩水厂；响水县城水厂、运河水厂、陈家港水厂</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每年1、6、7、10月检测</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管网水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16座水厂，每座水厂3个点位</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每年6、7月检测</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管网</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末梢水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16座水厂，每座水厂2个点位</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每年6、7月检测</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二次</w:t>
            </w:r>
            <w:r/>
          </w:p>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供水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14项</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584"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东台、大丰、建湖、射阳、阜宁、滨海、响水7个地区，每个地区5个点位。</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每年6、7月检测</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righ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gridSpan w:val="9"/>
            <w:tcBorders>
              <w:top w:val="single" w:color="000000" w:sz="4" w:space="0"/>
              <w:left w:val="single" w:color="000000" w:sz="4" w:space="0"/>
              <w:bottom w:val="single" w:color="000000" w:sz="4" w:space="0"/>
              <w:right w:val="single" w:color="000000" w:sz="4" w:space="0"/>
            </w:tcBorders>
            <w:tcW w:w="13613" w:type="dxa"/>
            <w:vAlign w:val="center"/>
            <w:textDirection w:val="lrTb"/>
            <w:noWrap/>
          </w:tcPr>
          <w:p>
            <w:pPr>
              <w:jc w:val="center"/>
              <w:rPr>
                <w:rFonts w:hint="eastAsia" w:ascii="宋体" w:hAnsi="宋体" w:eastAsia="宋体" w:cs="宋体"/>
                <w:b/>
                <w:color w:val="auto"/>
                <w:sz w:val="22"/>
                <w:szCs w:val="22"/>
                <w:highlight w:val="none"/>
              </w:rPr>
            </w:pPr>
            <w:r>
              <w:rPr>
                <w:rFonts w:hint="eastAsia" w:ascii="宋体" w:hAnsi="宋体" w:eastAsia="宋体" w:cs="宋体"/>
                <w:b/>
                <w:bCs/>
                <w:color w:val="auto"/>
                <w:sz w:val="22"/>
                <w:szCs w:val="22"/>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Pr>
        <w:tc>
          <w:tcPr>
            <w:gridSpan w:val="9"/>
            <w:tcBorders>
              <w:top w:val="single" w:color="000000" w:sz="4" w:space="0"/>
              <w:left w:val="single" w:color="000000" w:sz="4" w:space="0"/>
              <w:bottom w:val="single" w:color="000000" w:sz="4" w:space="0"/>
              <w:right w:val="single" w:color="000000" w:sz="4" w:space="0"/>
            </w:tcBorders>
            <w:tcW w:w="13613" w:type="dxa"/>
            <w:vAlign w:val="center"/>
            <w:textDirection w:val="lrTb"/>
            <w:noWrap/>
          </w:tcPr>
          <w:p>
            <w:pPr>
              <w:jc w:val="center"/>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bl>
    <w:p>
      <w:pPr>
        <w:jc w:val="left"/>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rPr>
        <w:t xml:space="preserve">说明:</w:t>
      </w:r>
      <w:r/>
    </w:p>
    <w:p>
      <w:pPr>
        <w:ind w:firstLine="482"/>
        <w:jc w:val="left"/>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（一）水质抽检</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1.水源水：</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①33项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GB3838-2002《地表水环境质量标准》中表1、表2项目+高氯酸盐、乙草胺、二甲基异莰醇、</w:t>
      </w:r>
      <w:r>
        <w:rPr>
          <w:rFonts w:hint="eastAsia" w:ascii="宋体" w:hAnsi="宋体" w:eastAsia="宋体" w:cs="宋体"/>
          <w:color w:val="auto"/>
          <w:sz w:val="24"/>
          <w:szCs w:val="24"/>
          <w:highlight w:val="none"/>
          <w:lang w:eastAsia="zh-CN"/>
        </w:rPr>
        <w:t xml:space="preserve">土臭素</w:t>
      </w:r>
      <w:r>
        <w:rPr>
          <w:rFonts w:hint="eastAsia" w:ascii="宋体" w:hAnsi="宋体" w:eastAsia="宋体" w:cs="宋体"/>
          <w:color w:val="auto"/>
          <w:sz w:val="24"/>
          <w:szCs w:val="24"/>
          <w:highlight w:val="none"/>
        </w:rPr>
        <w:t xml:space="preserve">；</w:t>
      </w:r>
      <w:r/>
    </w:p>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113项：GB3838-2002《地表水环境质量标准》中表1、表2、表3项目+高氯酸盐、乙草胺、二甲基异莰醇、</w:t>
      </w:r>
      <w:r>
        <w:rPr>
          <w:rFonts w:hint="eastAsia" w:ascii="宋体" w:hAnsi="宋体" w:eastAsia="宋体" w:cs="宋体"/>
          <w:color w:val="auto"/>
          <w:sz w:val="24"/>
          <w:szCs w:val="24"/>
          <w:highlight w:val="none"/>
          <w:lang w:eastAsia="zh-CN"/>
        </w:rPr>
        <w:t xml:space="preserve">土臭素</w:t>
      </w:r>
      <w:r>
        <w:rPr>
          <w:rFonts w:hint="eastAsia" w:ascii="宋体" w:hAnsi="宋体" w:eastAsia="宋体" w:cs="宋体"/>
          <w:color w:val="auto"/>
          <w:sz w:val="24"/>
          <w:szCs w:val="24"/>
          <w:highlight w:val="none"/>
        </w:rPr>
        <w:t xml:space="preserve">；</w:t>
      </w:r>
      <w:r/>
    </w:p>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2.出厂水、管网水、末梢水、二次供水、农村水(农户家中)：</w:t>
      </w:r>
      <w:r/>
    </w:p>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①46项：GB5749-2022《生活饮用水卫生标准》表1、表2项目43项+消毒产物指标(二氯甲烷、2,4,6-三氯酚、高氯酸盐)；</w:t>
      </w:r>
      <w:r/>
    </w:p>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②49项：GB5749-2022《生活饮用水卫生标准》表1、表2项目43项+消毒产物指标(二氯甲烷、2,4,6-三氯酚、高氯酸盐)+乙草胺、二甲基异莰醇、</w:t>
      </w:r>
      <w:r>
        <w:rPr>
          <w:rFonts w:hint="eastAsia" w:ascii="宋体" w:hAnsi="宋体" w:eastAsia="宋体" w:cs="宋体"/>
          <w:color w:val="auto"/>
          <w:sz w:val="24"/>
          <w:szCs w:val="24"/>
          <w:highlight w:val="none"/>
          <w:lang w:eastAsia="zh-CN"/>
        </w:rPr>
        <w:t xml:space="preserve">土臭素</w:t>
      </w:r>
      <w:r>
        <w:rPr>
          <w:rFonts w:hint="eastAsia" w:ascii="宋体" w:hAnsi="宋体" w:eastAsia="宋体" w:cs="宋体"/>
          <w:color w:val="auto"/>
          <w:sz w:val="24"/>
          <w:szCs w:val="24"/>
          <w:highlight w:val="none"/>
        </w:rPr>
        <w:t xml:space="preserve">；</w:t>
      </w:r>
      <w:r/>
    </w:p>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③97项：GB5749-2022《生活饮用水卫生标准》中表1、表2、表3项目；</w:t>
      </w:r>
      <w:r/>
    </w:p>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14项：城市供水水质标准(CJ/T206-2005)管网水质检测指标，浑浊度、色度、臭和味、游离余氯、菌落总数、总大肠菌群、高锰酸盐指数、氨氮、PH值、肉眼可见物、铁、锰+氯化物、三卤甲烷。</w:t>
      </w:r>
      <w:r/>
    </w:p>
    <w:p>
      <w:pPr>
        <w:ind w:firstLine="482"/>
        <w:jc w:val="left"/>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（二）其他服务。</w:t>
      </w:r>
      <w:r/>
    </w:p>
    <w:p>
      <w:pPr>
        <w:ind w:firstLine="480"/>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（1）对管网水、管网末梢水采样时，同步测量水压。</w:t>
      </w:r>
      <w:r/>
    </w:p>
    <w:p>
      <w:pPr>
        <w:ind w:firstLine="480"/>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（2）2027年6月、7月，协助甲方每月随机抽取全市约52个管网末梢水点位，专门检测余氯、浊度、三卤甲烷3项易超标指标，以表格形式汇总数据后，提交甲方用于指导夏季汛期时段水质管控。</w:t>
      </w:r>
      <w:r/>
    </w:p>
    <w:p>
      <w:pPr>
        <w:ind w:firstLine="480"/>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（3）对全市制供水企业、盐城粤海水务的水质检测人员开展1次水质检测、制水工艺调整等相关内容的技术培训。   </w:t>
      </w:r>
      <w:r/>
    </w:p>
    <w:p>
      <w:pPr>
        <w:ind w:firstLine="480"/>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（4）全市范围内（含宝应县里运河氾水水源地）如发生供水水质突发事件，根据甲方指令，第一时间赶赴现场开展水质检测或应急处置技术支撑工作。</w:t>
      </w:r>
      <w:r/>
    </w:p>
    <w:p>
      <w:pPr>
        <w:ind w:firstLine="480"/>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结合我市实际，每月对</w:t>
      </w:r>
      <w:r>
        <w:rPr>
          <w:rFonts w:hint="eastAsia" w:ascii="宋体" w:hAnsi="宋体" w:eastAsia="宋体" w:cs="宋体"/>
          <w:color w:val="auto"/>
          <w:sz w:val="24"/>
          <w:szCs w:val="24"/>
          <w:highlight w:val="none"/>
          <w:lang w:val="en-US" w:eastAsia="zh-CN" w:bidi="ar"/>
        </w:rPr>
        <w:t xml:space="preserve">水质</w:t>
      </w:r>
      <w:r>
        <w:rPr>
          <w:rFonts w:hint="eastAsia" w:ascii="宋体" w:hAnsi="宋体" w:eastAsia="宋体" w:cs="宋体"/>
          <w:color w:val="auto"/>
          <w:sz w:val="24"/>
          <w:szCs w:val="24"/>
          <w:highlight w:val="none"/>
          <w:lang w:bidi="ar"/>
        </w:rPr>
        <w:t xml:space="preserve">数据进行汇总</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初步分析；对全年</w:t>
      </w:r>
      <w:r>
        <w:rPr>
          <w:rFonts w:hint="eastAsia" w:ascii="宋体" w:hAnsi="宋体" w:eastAsia="宋体" w:cs="宋体"/>
          <w:color w:val="auto"/>
          <w:sz w:val="24"/>
          <w:szCs w:val="24"/>
          <w:highlight w:val="none"/>
          <w:lang w:bidi="ar"/>
        </w:rPr>
        <w:t xml:space="preserve">数据</w:t>
      </w:r>
      <w:r>
        <w:rPr>
          <w:rFonts w:hint="eastAsia" w:ascii="宋体" w:hAnsi="宋体" w:eastAsia="宋体" w:cs="宋体"/>
          <w:color w:val="auto"/>
          <w:sz w:val="24"/>
          <w:szCs w:val="24"/>
          <w:highlight w:val="none"/>
          <w:lang w:val="en-US" w:eastAsia="zh-CN" w:bidi="ar"/>
        </w:rPr>
        <w:t xml:space="preserve">进行</w:t>
      </w:r>
      <w:r>
        <w:rPr>
          <w:rFonts w:hint="eastAsia" w:ascii="宋体" w:hAnsi="宋体" w:eastAsia="宋体" w:cs="宋体"/>
          <w:color w:val="auto"/>
          <w:sz w:val="24"/>
          <w:szCs w:val="24"/>
          <w:highlight w:val="none"/>
          <w:lang w:bidi="ar"/>
        </w:rPr>
        <w:t xml:space="preserve">系统分析</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形成年度分析</w:t>
      </w:r>
      <w:r>
        <w:rPr>
          <w:rFonts w:hint="eastAsia" w:ascii="宋体" w:hAnsi="宋体" w:eastAsia="宋体" w:cs="宋体"/>
          <w:color w:val="auto"/>
          <w:sz w:val="24"/>
          <w:szCs w:val="24"/>
          <w:highlight w:val="none"/>
          <w:lang w:bidi="ar"/>
        </w:rPr>
        <w:t xml:space="preserve">报告</w:t>
      </w:r>
      <w:r>
        <w:rPr>
          <w:rFonts w:hint="eastAsia" w:ascii="宋体" w:hAnsi="宋体" w:eastAsia="宋体" w:cs="宋体"/>
          <w:color w:val="auto"/>
          <w:sz w:val="24"/>
          <w:szCs w:val="24"/>
          <w:highlight w:val="none"/>
          <w:lang w:val="en-US" w:eastAsia="zh-CN" w:bidi="ar"/>
        </w:rPr>
        <w:t xml:space="preserve">。</w:t>
      </w:r>
      <w:r/>
    </w:p>
    <w:p>
      <w:pPr>
        <w:ind w:firstLine="480"/>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（6）根据甲方工作需要，提供远程技术支持。</w:t>
      </w:r>
      <w:r/>
    </w:p>
    <w:p>
      <w:pPr>
        <w:pStyle w:val="698"/>
        <w:contextualSpacing/>
        <w:ind w:firstLine="480"/>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在采样及检测过程中应坚持公开性与公正性原则。样品采集及检测全过程应严格按照检验检测机构资质认定（CMA）质量管理体系要求执行，确保检测结果可追溯。乙方须完整保存采样原始记录、检测原始数据、仪器设备使用记录、检测报告及与检测相关的全部溯源资料，以备甲方或相关监管部门随时核查。甲方在履约验收及后续监督过程中有权随时调阅上述资料，乙方应予以配合提供。相关资料由乙方按CMA相关规定保存至少6年，未经甲方书面同意不得擅自销毁或处置。乙方对所承担的检测指标，按照相关标准要求进行加标回收检测。</w:t>
      </w:r>
      <w:r/>
    </w:p>
    <w:p>
      <w:pPr>
        <w:ind w:firstLine="482"/>
        <w:jc w:val="left"/>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val="en-US" w:eastAsia="zh-CN" w:bidi="ar"/>
        </w:rPr>
        <w:t xml:space="preserve">（三）合同服务期。</w:t>
      </w:r>
      <w:r>
        <w:rPr>
          <w:rFonts w:hint="eastAsia" w:ascii="宋体" w:hAnsi="宋体" w:eastAsia="宋体" w:cs="宋体"/>
          <w:color w:val="auto"/>
          <w:sz w:val="24"/>
          <w:szCs w:val="24"/>
          <w:highlight w:val="none"/>
          <w:lang w:bidi="ar"/>
        </w:rPr>
        <w:t xml:space="preserve">从合同签订之日次月起12个月。</w:t>
      </w:r>
      <w:r/>
    </w:p>
    <w:p>
      <w:pPr>
        <w:pStyle w:val="90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pStyle w:val="900"/>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1.投标报价采用总承包方式，“投标总报价”应包括采购人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val="en-US" w:eastAsia="zh-CN"/>
        </w:rPr>
        <w:t xml:space="preserve">及分项报价表</w:t>
      </w:r>
      <w:r>
        <w:rPr>
          <w:rFonts w:hint="eastAsia" w:ascii="宋体" w:hAnsi="宋体" w:eastAsia="宋体" w:cs="宋体"/>
          <w:color w:val="auto"/>
          <w:sz w:val="24"/>
          <w:szCs w:val="24"/>
          <w:highlight w:val="none"/>
        </w:rPr>
        <w:t xml:space="preserve">的服务（包含与服务相关的货物）价格、质量保证费用、培训费用等，项目在指定地点、环境交付、安装、调试、验收所需费用和所有相关税金费用及为完成整个项目所产生的其他所有费用，招标文件另有规定的除外。</w:t>
      </w:r>
      <w:r/>
    </w:p>
    <w:p>
      <w:pPr>
        <w:pStyle w:val="900"/>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2.“投标分项报价表”中“投标总报价”数额应当与“开标一览表”中“投标总报价”数额一致。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供应商（加盖CA电子公章）：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法定代表人或委托代理人（签名或签章）：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rPr>
          <w:rFonts w:hint="eastAsia" w:ascii="宋体" w:hAnsi="宋体" w:eastAsia="宋体" w:cs="宋体"/>
          <w:color w:val="auto"/>
          <w:sz w:val="28"/>
          <w:szCs w:val="28"/>
          <w:highlight w:val="none"/>
        </w:rPr>
        <w:sectPr>
          <w:footnotePr/>
          <w:endnotePr/>
          <w:type w:val="continuous"/>
          <w:pgSz w:w="16838" w:h="11906" w:orient="landscape"/>
          <w:pgMar w:top="1134" w:right="1134" w:bottom="1134" w:left="1134" w:header="851" w:footer="992" w:gutter="0"/>
          <w:cols w:num="1" w:sep="0" w:space="720" w:equalWidth="1"/>
          <w:docGrid w:linePitch="360"/>
        </w:sectPr>
      </w:pPr>
      <w:r>
        <w:rPr>
          <w:rFonts w:hint="eastAsia" w:ascii="宋体" w:hAnsi="宋体" w:eastAsia="宋体" w:cs="宋体"/>
          <w:color w:val="auto"/>
          <w:sz w:val="28"/>
          <w:szCs w:val="28"/>
          <w:highlight w:val="none"/>
        </w:rPr>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、技术要求响应及偏离表</w:t>
      </w:r>
      <w:r/>
    </w:p>
    <w:tbl>
      <w:tblPr>
        <w:tblStyle w:val="685"/>
        <w:tblpPr w:horzAnchor="page" w:tblpX="1630" w:vertAnchor="text" w:tblpY="39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9"/>
      </w:tblGrid>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c>
          <w:tcPr>
            <w:tcW w:w="1519"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证明材料</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19"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820"/>
        </w:trPr>
        <w:tc>
          <w:tcPr>
            <w:tcW w:w="971"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006"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bl>
    <w:p>
      <w:pPr>
        <w:pStyle w:val="90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注：行数不够，可自行添加。</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560" w:firstLine="3840"/>
        <w:jc w:val="left"/>
        <w:spacing w:line="360" w:lineRule="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单位名称（加盖CA电子公章）：</w:t>
      </w:r>
      <w:r/>
    </w:p>
    <w:p>
      <w:pPr>
        <w:ind w:right="1560" w:firstLine="624"/>
        <w:jc w:val="center"/>
        <w:spacing w:line="360" w:lineRule="auto"/>
        <w:tabs>
          <w:tab w:val="left" w:pos="4860" w:leader="none"/>
        </w:tabs>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713"/>
        <w:jc w:val="center"/>
        <w:spacing w:beforeAutospacing="0" w:afterAutospacing="0" w:line="360" w:lineRule="auto"/>
        <w:rPr>
          <w:rFonts w:hint="eastAsia" w:ascii="宋体" w:hAnsi="宋体" w:eastAsia="宋体" w:cs="宋体"/>
          <w:b/>
          <w:color w:val="auto"/>
          <w:sz w:val="32"/>
          <w:szCs w:val="32"/>
          <w:highlight w:val="none"/>
        </w:rPr>
        <w:outlineLvl w:val="1"/>
      </w:pPr>
      <w:r>
        <w:rPr>
          <w:rFonts w:hint="eastAsia" w:ascii="宋体" w:hAnsi="宋体" w:eastAsia="宋体" w:cs="宋体"/>
          <w:color w:val="auto"/>
          <w:sz w:val="28"/>
          <w:szCs w:val="28"/>
          <w:highlight w:val="none"/>
        </w:rPr>
        <w:t xml:space="preserve">                                 年 月  日</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spacing w:line="360" w:lineRule="auto"/>
        <w:rPr>
          <w:rFonts w:hint="eastAsia" w:ascii="宋体" w:hAnsi="宋体" w:eastAsia="宋体" w:cs="宋体"/>
          <w:b/>
          <w:color w:val="auto"/>
          <w:sz w:val="32"/>
          <w:szCs w:val="32"/>
          <w:highlight w:val="none"/>
        </w:rPr>
      </w:pPr>
      <w:r/>
      <w:bookmarkStart w:id="184" w:name="_Hlt26955054"/>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eastAsia="zh-CN"/>
        </w:rPr>
        <w:t xml:space="preserve">三</w:t>
      </w:r>
      <w:r>
        <w:rPr>
          <w:rFonts w:hint="eastAsia" w:ascii="宋体" w:hAnsi="宋体" w:eastAsia="宋体" w:cs="宋体"/>
          <w:b/>
          <w:color w:val="auto"/>
          <w:sz w:val="32"/>
          <w:szCs w:val="32"/>
          <w:highlight w:val="none"/>
        </w:rPr>
        <w:t xml:space="preserve">、商务要求响应及偏离表</w:t>
      </w:r>
      <w:r/>
    </w:p>
    <w:tbl>
      <w:tblPr>
        <w:tblStyle w:val="685"/>
        <w:tblW w:w="937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92"/>
        <w:gridCol w:w="2306"/>
        <w:gridCol w:w="2455"/>
        <w:gridCol w:w="2928"/>
        <w:gridCol w:w="1097"/>
      </w:tblGrid>
      <w:tr>
        <w:trPr>
          <w:tblCellSpacing w:w="0" w:type="dxa"/>
          <w:trHeight w:val="1063"/>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证明</w:t>
            </w:r>
            <w:r/>
          </w:p>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材料</w:t>
            </w:r>
            <w:r/>
          </w:p>
        </w:tc>
      </w:tr>
      <w:tr>
        <w:trPr>
          <w:tblCellSpacing w:w="0" w:type="dxa"/>
          <w:trHeight w:val="122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报价要求</w:t>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（响应或不响应）</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合同履约期限</w:t>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验收标准</w:t>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违约责任</w:t>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713"/>
              <w:jc w:val="center"/>
              <w:spacing w:beforeAutospacing="0" w:afterAutospacing="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tc>
      </w:tr>
    </w:tbl>
    <w:p>
      <w:pPr>
        <w:pStyle w:val="713"/>
        <w:jc w:val="both"/>
        <w:spacing w:beforeAutospacing="0" w:afterAutospacing="0" w:line="360" w:lineRule="auto"/>
        <w:rPr>
          <w:rFonts w:hint="eastAsia" w:ascii="宋体" w:hAnsi="宋体" w:eastAsia="宋体" w:cs="宋体"/>
          <w:bCs/>
          <w:color w:val="auto"/>
          <w:highlight w:val="none"/>
        </w:rPr>
      </w:pPr>
      <w:r/>
      <w:bookmarkStart w:id="185" w:name="_Toc462564146"/>
      <w:r/>
      <w:bookmarkStart w:id="186" w:name="_Hlt26609389"/>
      <w:r/>
      <w:bookmarkStart w:id="187" w:name="_格式2__法定代表人授权书"/>
      <w:r/>
      <w:bookmarkStart w:id="188" w:name="_Hlt26671374"/>
      <w:r/>
      <w:bookmarkStart w:id="189" w:name="_Hlt26955066"/>
      <w:r>
        <w:rPr>
          <w:rFonts w:hint="eastAsia" w:ascii="宋体" w:hAnsi="宋体" w:eastAsia="宋体" w:cs="宋体"/>
          <w:bCs/>
          <w:color w:val="auto"/>
          <w:highlight w:val="none"/>
        </w:rPr>
        <w:t xml:space="preserve">注： 行数不够，可自行添加。</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right="1560" w:firstLine="420"/>
        <w:jc w:val="center"/>
        <w:spacing w:line="360" w:lineRule="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单位名称（加盖CA电子公章）：</w:t>
      </w:r>
      <w:r/>
    </w:p>
    <w:p>
      <w:pPr>
        <w:ind w:right="1560" w:firstLine="624"/>
        <w:jc w:val="center"/>
        <w:spacing w:line="360" w:lineRule="auto"/>
        <w:tabs>
          <w:tab w:val="left" w:pos="4860" w:leader="none"/>
        </w:tabs>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560"/>
        <w:jc w:val="center"/>
        <w:spacing w:line="360" w:lineRule="auto"/>
        <w:rPr>
          <w:rFonts w:hint="eastAsia" w:ascii="宋体" w:hAnsi="宋体" w:eastAsia="宋体" w:cs="宋体"/>
          <w:bCs/>
          <w:color w:val="auto"/>
          <w:sz w:val="32"/>
          <w:szCs w:val="32"/>
          <w:highlight w:val="none"/>
        </w:rPr>
      </w:pPr>
      <w:r>
        <w:rPr>
          <w:rFonts w:hint="eastAsia" w:ascii="宋体" w:hAnsi="宋体" w:eastAsia="宋体" w:cs="宋体"/>
          <w:color w:val="auto"/>
          <w:sz w:val="28"/>
          <w:szCs w:val="28"/>
          <w:highlight w:val="none"/>
        </w:rPr>
        <w:t xml:space="preserve">                         年 月  日</w:t>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 </w:t>
      </w:r>
      <w:r>
        <w:rPr>
          <w:rFonts w:hint="eastAsia" w:ascii="宋体" w:hAnsi="宋体" w:eastAsia="宋体" w:cs="宋体"/>
          <w:b/>
          <w:i/>
          <w:color w:val="auto"/>
          <w:sz w:val="32"/>
          <w:szCs w:val="32"/>
          <w:highlight w:val="none"/>
          <w:u w:val="single"/>
        </w:rPr>
        <w:t xml:space="preserve">十</w:t>
      </w:r>
      <w:r>
        <w:rPr>
          <w:rFonts w:hint="eastAsia" w:ascii="宋体" w:hAnsi="宋体" w:eastAsia="宋体" w:cs="宋体"/>
          <w:b/>
          <w:i/>
          <w:color w:val="auto"/>
          <w:sz w:val="32"/>
          <w:szCs w:val="32"/>
          <w:highlight w:val="none"/>
          <w:u w:val="single"/>
          <w:lang w:eastAsia="zh-CN"/>
        </w:rPr>
        <w:t xml:space="preserve">四</w:t>
      </w:r>
      <w:r>
        <w:rPr>
          <w:rFonts w:hint="eastAsia" w:ascii="宋体" w:hAnsi="宋体" w:eastAsia="宋体" w:cs="宋体"/>
          <w:b/>
          <w:i/>
          <w:color w:val="auto"/>
          <w:sz w:val="32"/>
          <w:szCs w:val="32"/>
          <w:highlight w:val="none"/>
          <w:u w:val="single"/>
        </w:rPr>
        <w:t xml:space="preserve">、开标一览表</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ind w:firstLine="482"/>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项目名称：2026-2027年度全市供水水质检测服务</w:t>
      </w:r>
      <w:r>
        <w:rPr>
          <w:rFonts w:hint="eastAsia" w:ascii="宋体" w:hAnsi="宋体" w:eastAsia="宋体" w:cs="宋体"/>
          <w:color w:val="auto"/>
          <w:highlight w:val="none"/>
          <w:lang w:val="en-US" w:eastAsia="zh-CN"/>
        </w:rPr>
        <w:t xml:space="preserve">项目</w:t>
      </w:r>
      <w:r/>
    </w:p>
    <w:p>
      <w:pPr>
        <w:pStyle w:val="713"/>
        <w:ind w:firstLine="482"/>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cs="宋体"/>
          <w:color w:val="auto"/>
          <w:highlight w:val="none"/>
          <w:lang w:eastAsia="zh-CN"/>
        </w:rPr>
        <w:t xml:space="preserve">JSZC-320900-HZZZ-G2026-0001</w:t>
      </w:r>
      <w:r/>
    </w:p>
    <w:p>
      <w:pPr>
        <w:pStyle w:val="713"/>
        <w:ind w:firstLine="48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85"/>
        <w:tblW w:w="5000"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4579"/>
        <w:gridCol w:w="2107"/>
        <w:gridCol w:w="2938"/>
      </w:tblGrid>
      <w:tr>
        <w:trPr>
          <w:tblCellSpacing w:w="15" w:type="dxa"/>
        </w:trPr>
        <w:tc>
          <w:tcPr>
            <w:tcW w:w="2361" w:type="pct"/>
            <w:vAlign w:val="center"/>
            <w:textDirection w:val="lrTb"/>
            <w:noWrap/>
          </w:tcPr>
          <w:p>
            <w:pPr>
              <w:pStyle w:val="713"/>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W w:w="1082" w:type="pct"/>
            <w:vAlign w:val="center"/>
            <w:textDirection w:val="lrTb"/>
            <w:noWrap/>
          </w:tcPr>
          <w:p>
            <w:pPr>
              <w:pStyle w:val="713"/>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项目内容</w:t>
            </w:r>
            <w:r/>
          </w:p>
        </w:tc>
        <w:tc>
          <w:tcPr>
            <w:tcW w:w="1490" w:type="pct"/>
            <w:vAlign w:val="center"/>
            <w:textDirection w:val="lrTb"/>
            <w:noWrap/>
          </w:tcPr>
          <w:p>
            <w:pPr>
              <w:pStyle w:val="713"/>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总价（小写）</w:t>
            </w:r>
            <w:r/>
          </w:p>
        </w:tc>
      </w:tr>
      <w:tr>
        <w:trPr>
          <w:tblCellSpacing w:w="15" w:type="dxa"/>
        </w:trPr>
        <w:tc>
          <w:tcPr>
            <w:tcW w:w="2361" w:type="pct"/>
            <w:vAlign w:val="center"/>
            <w:textDirection w:val="lrTb"/>
            <w:noWrap/>
          </w:tcPr>
          <w:p>
            <w:pPr>
              <w:pStyle w:val="713"/>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2026-2027年度全市供水水质检测服务</w:t>
            </w:r>
            <w:r/>
          </w:p>
        </w:tc>
        <w:tc>
          <w:tcPr>
            <w:tcW w:w="1082" w:type="pct"/>
            <w:vAlign w:val="center"/>
            <w:textDirection w:val="lrTb"/>
            <w:noWrap/>
          </w:tcPr>
          <w:p>
            <w:pPr>
              <w:pStyle w:val="713"/>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详见投标文件</w:t>
            </w:r>
            <w:r/>
          </w:p>
        </w:tc>
        <w:tc>
          <w:tcPr>
            <w:tcW w:w="1490" w:type="pct"/>
            <w:vAlign w:val="center"/>
            <w:textDirection w:val="lrTb"/>
            <w:noWrap/>
          </w:tcPr>
          <w:p>
            <w:pPr>
              <w:pStyle w:val="713"/>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元</w:t>
            </w:r>
            <w:r/>
          </w:p>
        </w:tc>
      </w:tr>
      <w:tr>
        <w:trPr>
          <w:tblCellSpacing w:w="15" w:type="dxa"/>
        </w:trPr>
        <w:tc>
          <w:tcPr>
            <w:tcW w:w="2361" w:type="pct"/>
            <w:vAlign w:val="center"/>
            <w:textDirection w:val="lrTb"/>
            <w:noWrap/>
          </w:tcPr>
          <w:p>
            <w:pPr>
              <w:pStyle w:val="713"/>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总价（大写）：</w:t>
            </w:r>
            <w:r/>
          </w:p>
        </w:tc>
        <w:tc>
          <w:tcPr>
            <w:gridSpan w:val="2"/>
            <w:tcW w:w="2589" w:type="pct"/>
            <w:vAlign w:val="center"/>
            <w:textDirection w:val="lrTb"/>
            <w:noWrap/>
          </w:tcPr>
          <w:p>
            <w:pPr>
              <w:pStyle w:val="713"/>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金额大写  </w:t>
            </w:r>
            <w:r/>
          </w:p>
        </w:tc>
      </w:tr>
    </w:tbl>
    <w:p>
      <w:pPr>
        <w:pStyle w:val="713"/>
        <w:ind w:firstLine="48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投标人公章：（电子签章）</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ind w:firstLine="480"/>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3"/>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3"/>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before="50" w:after="5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eastAsia="zh-CN"/>
        </w:rPr>
        <w:t xml:space="preserve">五</w:t>
      </w:r>
      <w:r>
        <w:rPr>
          <w:rFonts w:hint="eastAsia" w:ascii="宋体" w:hAnsi="宋体" w:eastAsia="宋体" w:cs="宋体"/>
          <w:color w:val="auto"/>
          <w:sz w:val="32"/>
          <w:szCs w:val="32"/>
          <w:highlight w:val="none"/>
        </w:rPr>
        <w:t xml:space="preserve">、项目实施方案、售后方案及其它</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eastAsia="zh-CN"/>
        </w:rPr>
        <w:t xml:space="preserve">六</w:t>
      </w:r>
      <w:r>
        <w:rPr>
          <w:rFonts w:hint="eastAsia" w:ascii="宋体" w:hAnsi="宋体" w:eastAsia="宋体" w:cs="宋体"/>
          <w:color w:val="auto"/>
          <w:sz w:val="32"/>
          <w:szCs w:val="32"/>
          <w:highlight w:val="none"/>
        </w:rPr>
        <w:t xml:space="preserve">、盐城市政府采购事前信用承诺书</w:t>
      </w:r>
      <w:r/>
    </w:p>
    <w:p>
      <w:pPr>
        <w:ind w:firstLine="64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（四）严格遵守即时信息公示规定，及时维护和更新盐城市政府采购网中与本单位相关的信息；</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（八）本人已认真阅读了上述承诺，并向本单位员工做了宣传教育。</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法定代表人签名或盖章：</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center"/>
        <w:spacing w:before="50" w:after="50" w:line="360" w:lineRule="auto"/>
        <w:widowControl/>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r>
      <w:r/>
    </w:p>
    <w:p>
      <w:pPr>
        <w:pStyle w:val="713"/>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bookmarkEnd w:id="6"/>
      <w:r/>
      <w:bookmarkEnd w:id="51"/>
      <w:r/>
      <w:bookmarkEnd w:id="98"/>
      <w:r/>
      <w:bookmarkEnd w:id="99"/>
      <w:r/>
      <w:bookmarkEnd w:id="100"/>
      <w:r/>
      <w:bookmarkEnd w:id="101"/>
      <w:r/>
      <w:bookmarkEnd w:id="102"/>
      <w:r/>
      <w:bookmarkEnd w:id="103"/>
      <w:r/>
      <w:bookmarkEnd w:id="104"/>
      <w:r/>
      <w:bookmarkEnd w:id="105"/>
      <w:r/>
      <w:bookmarkEnd w:id="114"/>
      <w:r/>
      <w:bookmarkEnd w:id="115"/>
      <w:r/>
      <w:bookmarkEnd w:id="122"/>
      <w:r/>
      <w:bookmarkEnd w:id="169"/>
      <w:r/>
      <w:bookmarkEnd w:id="171"/>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
    </w:p>
    <w:p>
      <w:pPr>
        <w:pStyle w:val="713"/>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3"/>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质疑函范本</w:t>
      </w:r>
      <w:r/>
    </w:p>
    <w:p>
      <w:pPr>
        <w:pStyle w:val="713"/>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签名（签章）：                 公章：               日期：    </w:t>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13"/>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3"/>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3"/>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3"/>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3"/>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3"/>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6.质疑供应商为自然人的，质疑函应由本人签名；质疑供应商为法人或者其他组织的，质疑函应由法定代表人、主要负责人，或者其授权代表签名或者盖章，并加盖公章。</w:t>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continuous"/>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仿宋_GBK">
    <w:panose1 w:val="020B0503020202020204"/>
  </w:font>
  <w:font w:name="Wingdings">
    <w:panose1 w:val="05000000000000000000"/>
  </w:font>
  <w:font w:name="华文楷体">
    <w:panose1 w:val="02010600040101010101"/>
  </w:font>
  <w:font w:name="Symbol">
    <w:panose1 w:val="05050102010706020507"/>
  </w:font>
  <w:font w:name="方正仿宋_GB2312">
    <w:panose1 w:val="020B0503020202020204"/>
  </w:font>
  <w:font w:name="Courier New">
    <w:panose1 w:val="02070309020205020404"/>
  </w:font>
  <w:font w:name="等线">
    <w:panose1 w:val="02010600030101010101"/>
  </w:font>
  <w:font w:name="方正楷体_GB2312">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next w:val="686"/>
    <w:uiPriority w:val="0"/>
    <w:qFormat/>
    <w:pPr>
      <w:jc w:val="both"/>
      <w:widowControl w:val="off"/>
    </w:pPr>
    <w:rPr>
      <w:rFonts w:ascii="Calibri" w:hAnsi="Calibri" w:eastAsia="宋体" w:cs="Times New Roman"/>
      <w:sz w:val="21"/>
      <w:szCs w:val="24"/>
      <w:lang w:val="en-US" w:eastAsia="zh-CN" w:bidi="ar-SA"/>
    </w:rPr>
  </w:style>
  <w:style w:type="paragraph" w:styleId="675">
    <w:name w:val="Heading 1"/>
    <w:basedOn w:val="674"/>
    <w:next w:val="674"/>
    <w:link w:val="722"/>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uiPriority w:val="0"/>
    <w:qFormat/>
    <w:pPr>
      <w:jc w:val="left"/>
      <w:spacing w:beforeAutospacing="1" w:afterAutospacing="1"/>
      <w:outlineLvl w:val="1"/>
    </w:pPr>
    <w:rPr>
      <w:rFonts w:hint="eastAsia" w:ascii="宋体" w:hAnsi="宋体"/>
      <w:b/>
      <w:bCs/>
      <w:sz w:val="36"/>
      <w:szCs w:val="36"/>
    </w:rPr>
  </w:style>
  <w:style w:type="paragraph" w:styleId="677">
    <w:name w:val="Heading 3"/>
    <w:basedOn w:val="674"/>
    <w:next w:val="674"/>
    <w:uiPriority w:val="0"/>
    <w:qFormat/>
    <w:pPr>
      <w:keepLines/>
      <w:keepNext/>
      <w:spacing w:before="260" w:after="260" w:line="416" w:lineRule="auto"/>
      <w:outlineLvl w:val="2"/>
    </w:pPr>
    <w:rPr>
      <w:b/>
      <w:bCs/>
      <w:sz w:val="32"/>
      <w:szCs w:val="32"/>
    </w:rPr>
  </w:style>
  <w:style w:type="paragraph" w:styleId="678">
    <w:name w:val="Heading 4"/>
    <w:basedOn w:val="674"/>
    <w:next w:val="674"/>
    <w:link w:val="723"/>
    <w:uiPriority w:val="9"/>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24"/>
    <w:uiPriority w:val="9"/>
    <w:qFormat/>
    <w:pPr>
      <w:keepLines/>
      <w:keepNext/>
      <w:spacing w:before="320" w:after="200"/>
      <w:outlineLvl w:val="4"/>
    </w:pPr>
    <w:rPr>
      <w:rFonts w:ascii="Arial" w:hAnsi="Arial" w:eastAsia="Arial" w:cs="Arial"/>
      <w:b/>
      <w:bCs/>
      <w:sz w:val="24"/>
    </w:rPr>
  </w:style>
  <w:style w:type="paragraph" w:styleId="680">
    <w:name w:val="Heading 6"/>
    <w:basedOn w:val="674"/>
    <w:next w:val="674"/>
    <w:link w:val="725"/>
    <w:uiPriority w:val="9"/>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26"/>
    <w:uiPriority w:val="9"/>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27"/>
    <w:uiPriority w:val="9"/>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28"/>
    <w:uiPriority w:val="9"/>
    <w:qFormat/>
    <w:pPr>
      <w:keepLines/>
      <w:keepNext/>
      <w:spacing w:before="320" w:after="200"/>
      <w:outlineLvl w:val="8"/>
    </w:pPr>
    <w:rPr>
      <w:rFonts w:ascii="Arial" w:hAnsi="Arial" w:eastAsia="Arial" w:cs="Arial"/>
      <w:i/>
      <w:iCs/>
      <w:szCs w:val="21"/>
    </w:rPr>
  </w:style>
  <w:style w:type="character" w:styleId="684" w:default="1">
    <w:name w:val="Default Paragraph Font"/>
    <w:uiPriority w:val="1"/>
    <w:unhideWhenUsed/>
    <w:qFormat/>
  </w:style>
  <w:style w:type="table" w:styleId="685" w:default="1">
    <w:name w:val="Normal Table"/>
    <w:uiPriority w:val="99"/>
    <w:unhideWhenUsed/>
    <w:qFormat/>
    <w:tblPr>
      <w:tblCellMar>
        <w:left w:w="108" w:type="dxa"/>
        <w:top w:w="0" w:type="dxa"/>
        <w:right w:w="108" w:type="dxa"/>
        <w:bottom w:w="0" w:type="dxa"/>
      </w:tblCellMar>
    </w:tblPr>
  </w:style>
  <w:style w:type="paragraph" w:styleId="686">
    <w:name w:val="Block Text"/>
    <w:basedOn w:val="674"/>
    <w:uiPriority w:val="99"/>
    <w:qFormat/>
    <w:pPr>
      <w:ind w:left="1440" w:right="1440"/>
      <w:spacing w:after="120"/>
      <w:tabs>
        <w:tab w:val="left" w:pos="9000" w:leader="none"/>
      </w:tabs>
    </w:pPr>
  </w:style>
  <w:style w:type="paragraph" w:styleId="687">
    <w:name w:val="toc 7"/>
    <w:basedOn w:val="674"/>
    <w:next w:val="674"/>
    <w:uiPriority w:val="39"/>
    <w:unhideWhenUsed/>
    <w:qFormat/>
    <w:pPr>
      <w:ind w:left="1701"/>
      <w:spacing w:after="57"/>
    </w:pPr>
  </w:style>
  <w:style w:type="paragraph" w:styleId="688">
    <w:name w:val="table of authorities"/>
    <w:basedOn w:val="674"/>
    <w:next w:val="674"/>
    <w:uiPriority w:val="99"/>
    <w:unhideWhenUsed/>
    <w:qFormat/>
    <w:pPr>
      <w:ind w:left="200"/>
      <w:spacing w:before="100" w:beforeAutospacing="1" w:after="100" w:afterAutospacing="1"/>
    </w:pPr>
    <w:rPr>
      <w:rFonts w:cs="Calibri"/>
    </w:rPr>
  </w:style>
  <w:style w:type="paragraph" w:styleId="689">
    <w:name w:val="Normal Indent"/>
    <w:basedOn w:val="674"/>
    <w:uiPriority w:val="0"/>
    <w:qFormat/>
    <w:pPr>
      <w:ind w:firstLine="420"/>
    </w:pPr>
  </w:style>
  <w:style w:type="paragraph" w:styleId="690">
    <w:name w:val="Caption"/>
    <w:basedOn w:val="674"/>
    <w:next w:val="674"/>
    <w:uiPriority w:val="35"/>
    <w:qFormat/>
    <w:pPr>
      <w:spacing w:line="276" w:lineRule="auto"/>
    </w:pPr>
    <w:rPr>
      <w:b/>
      <w:bCs/>
      <w:color w:val="5b9bd5"/>
      <w:sz w:val="18"/>
      <w:szCs w:val="18"/>
    </w:rPr>
  </w:style>
  <w:style w:type="paragraph" w:styleId="691">
    <w:name w:val="annotation text"/>
    <w:basedOn w:val="674"/>
    <w:uiPriority w:val="0"/>
    <w:qFormat/>
    <w:pPr>
      <w:jc w:val="left"/>
    </w:pPr>
  </w:style>
  <w:style w:type="paragraph" w:styleId="692">
    <w:name w:val="Body Text"/>
    <w:basedOn w:val="674"/>
    <w:next w:val="674"/>
    <w:uiPriority w:val="0"/>
    <w:unhideWhenUsed/>
    <w:qFormat/>
    <w:pPr>
      <w:spacing w:after="120"/>
    </w:pPr>
    <w:rPr>
      <w:szCs w:val="22"/>
    </w:rPr>
  </w:style>
  <w:style w:type="paragraph" w:styleId="693">
    <w:name w:val="Body Text Indent"/>
    <w:basedOn w:val="674"/>
    <w:next w:val="694"/>
    <w:uiPriority w:val="0"/>
    <w:qFormat/>
    <w:pPr>
      <w:ind w:firstLine="645"/>
    </w:pPr>
    <w:rPr>
      <w:rFonts w:ascii="方正楷体_GB2312" w:eastAsia="方正楷体_GB2312"/>
      <w:sz w:val="32"/>
      <w:szCs w:val="32"/>
    </w:rPr>
  </w:style>
  <w:style w:type="paragraph" w:styleId="694">
    <w:name w:val="envelope return"/>
    <w:basedOn w:val="674"/>
    <w:uiPriority w:val="99"/>
    <w:qFormat/>
    <w:rPr>
      <w:rFonts w:ascii="Arial" w:hAnsi="Arial" w:cs="Arial"/>
    </w:rPr>
  </w:style>
  <w:style w:type="paragraph" w:styleId="695">
    <w:name w:val="index 4"/>
    <w:basedOn w:val="674"/>
    <w:next w:val="674"/>
    <w:uiPriority w:val="99"/>
    <w:unhideWhenUsed/>
    <w:qFormat/>
    <w:pPr>
      <w:ind w:left="600"/>
    </w:pPr>
  </w:style>
  <w:style w:type="paragraph" w:styleId="696">
    <w:name w:val="toc 5"/>
    <w:basedOn w:val="674"/>
    <w:next w:val="674"/>
    <w:uiPriority w:val="39"/>
    <w:unhideWhenUsed/>
    <w:qFormat/>
    <w:pPr>
      <w:ind w:left="1134"/>
      <w:spacing w:after="57"/>
    </w:pPr>
  </w:style>
  <w:style w:type="paragraph" w:styleId="697">
    <w:name w:val="toc 3"/>
    <w:basedOn w:val="674"/>
    <w:next w:val="674"/>
    <w:uiPriority w:val="39"/>
    <w:unhideWhenUsed/>
    <w:qFormat/>
    <w:pPr>
      <w:ind w:left="567"/>
      <w:spacing w:after="57"/>
    </w:pPr>
  </w:style>
  <w:style w:type="paragraph" w:styleId="698">
    <w:name w:val="Plain Text"/>
    <w:basedOn w:val="674"/>
    <w:next w:val="674"/>
    <w:uiPriority w:val="0"/>
    <w:unhideWhenUsed/>
    <w:qFormat/>
    <w:rPr>
      <w:rFonts w:ascii="宋体" w:hAnsi="Courier New" w:cs="Courier New"/>
      <w:szCs w:val="21"/>
    </w:rPr>
  </w:style>
  <w:style w:type="paragraph" w:styleId="699">
    <w:name w:val="toc 8"/>
    <w:basedOn w:val="674"/>
    <w:next w:val="674"/>
    <w:uiPriority w:val="39"/>
    <w:unhideWhenUsed/>
    <w:qFormat/>
    <w:pPr>
      <w:ind w:left="1984"/>
      <w:spacing w:after="57"/>
    </w:pPr>
  </w:style>
  <w:style w:type="paragraph" w:styleId="700">
    <w:name w:val="endnote text"/>
    <w:basedOn w:val="674"/>
    <w:link w:val="729"/>
    <w:uiPriority w:val="99"/>
    <w:unhideWhenUsed/>
    <w:qFormat/>
    <w:rPr>
      <w:sz w:val="20"/>
    </w:rPr>
  </w:style>
  <w:style w:type="paragraph" w:styleId="701">
    <w:name w:val="Footer"/>
    <w:basedOn w:val="674"/>
    <w:link w:val="730"/>
    <w:uiPriority w:val="0"/>
    <w:qFormat/>
    <w:pPr>
      <w:jc w:val="left"/>
      <w:tabs>
        <w:tab w:val="center" w:pos="4153" w:leader="none"/>
        <w:tab w:val="right" w:pos="8306" w:leader="none"/>
      </w:tabs>
    </w:pPr>
    <w:rPr>
      <w:sz w:val="18"/>
      <w:szCs w:val="18"/>
    </w:rPr>
  </w:style>
  <w:style w:type="paragraph" w:styleId="702">
    <w:name w:val="Header"/>
    <w:basedOn w:val="674"/>
    <w:link w:val="731"/>
    <w:uiPriority w:val="0"/>
    <w:qFormat/>
    <w:pPr>
      <w:jc w:val="center"/>
      <w:tabs>
        <w:tab w:val="center" w:pos="4153" w:leader="none"/>
        <w:tab w:val="right" w:pos="8306" w:leader="none"/>
      </w:tabs>
      <w:pBdr>
        <w:bottom w:val="single" w:color="auto" w:sz="6" w:space="1"/>
      </w:pBdr>
    </w:pPr>
    <w:rPr>
      <w:sz w:val="18"/>
      <w:szCs w:val="18"/>
    </w:rPr>
  </w:style>
  <w:style w:type="paragraph" w:styleId="703">
    <w:name w:val="toc 1"/>
    <w:basedOn w:val="674"/>
    <w:next w:val="674"/>
    <w:uiPriority w:val="39"/>
    <w:unhideWhenUsed/>
    <w:qFormat/>
    <w:pPr>
      <w:spacing w:after="57"/>
    </w:pPr>
  </w:style>
  <w:style w:type="paragraph" w:styleId="704">
    <w:name w:val="toc 4"/>
    <w:basedOn w:val="674"/>
    <w:next w:val="674"/>
    <w:uiPriority w:val="39"/>
    <w:unhideWhenUsed/>
    <w:qFormat/>
    <w:pPr>
      <w:ind w:left="850"/>
      <w:spacing w:after="57"/>
    </w:pPr>
  </w:style>
  <w:style w:type="paragraph" w:styleId="705">
    <w:name w:val="Subtitle"/>
    <w:basedOn w:val="674"/>
    <w:next w:val="674"/>
    <w:link w:val="732"/>
    <w:uiPriority w:val="11"/>
    <w:qFormat/>
    <w:pPr>
      <w:spacing w:before="200" w:after="200"/>
    </w:pPr>
    <w:rPr>
      <w:sz w:val="24"/>
    </w:rPr>
  </w:style>
  <w:style w:type="paragraph" w:styleId="706">
    <w:name w:val="List"/>
    <w:basedOn w:val="674"/>
    <w:uiPriority w:val="0"/>
    <w:qFormat/>
    <w:pPr>
      <w:ind w:left="200" w:hanging="200"/>
    </w:pPr>
  </w:style>
  <w:style w:type="paragraph" w:styleId="707">
    <w:name w:val="footnote text"/>
    <w:basedOn w:val="674"/>
    <w:link w:val="733"/>
    <w:uiPriority w:val="99"/>
    <w:unhideWhenUsed/>
    <w:qFormat/>
    <w:pPr>
      <w:spacing w:after="40"/>
    </w:pPr>
    <w:rPr>
      <w:sz w:val="18"/>
    </w:rPr>
  </w:style>
  <w:style w:type="paragraph" w:styleId="708">
    <w:name w:val="toc 6"/>
    <w:basedOn w:val="674"/>
    <w:next w:val="674"/>
    <w:uiPriority w:val="39"/>
    <w:unhideWhenUsed/>
    <w:qFormat/>
    <w:pPr>
      <w:ind w:left="1417"/>
      <w:spacing w:after="57"/>
    </w:pPr>
  </w:style>
  <w:style w:type="paragraph" w:styleId="709">
    <w:name w:val="table of figures"/>
    <w:basedOn w:val="674"/>
    <w:next w:val="674"/>
    <w:uiPriority w:val="99"/>
    <w:unhideWhenUsed/>
    <w:qFormat/>
  </w:style>
  <w:style w:type="paragraph" w:styleId="710">
    <w:name w:val="toc 2"/>
    <w:basedOn w:val="674"/>
    <w:next w:val="674"/>
    <w:uiPriority w:val="39"/>
    <w:unhideWhenUsed/>
    <w:qFormat/>
    <w:pPr>
      <w:ind w:left="283"/>
      <w:spacing w:after="57"/>
    </w:pPr>
  </w:style>
  <w:style w:type="paragraph" w:styleId="711">
    <w:name w:val="toc 9"/>
    <w:basedOn w:val="674"/>
    <w:next w:val="674"/>
    <w:uiPriority w:val="39"/>
    <w:unhideWhenUsed/>
    <w:qFormat/>
    <w:pPr>
      <w:ind w:left="2268"/>
      <w:spacing w:after="57"/>
    </w:pPr>
  </w:style>
  <w:style w:type="paragraph" w:styleId="712">
    <w:name w:val="Body Text 2"/>
    <w:basedOn w:val="674"/>
    <w:uiPriority w:val="0"/>
    <w:qFormat/>
    <w:pPr>
      <w:jc w:val="center"/>
      <w:widowControl/>
    </w:pPr>
    <w:rPr>
      <w:rFonts w:ascii="方正楷体_GB2312" w:eastAsia="方正楷体_GB2312"/>
      <w:sz w:val="28"/>
      <w:szCs w:val="28"/>
    </w:rPr>
  </w:style>
  <w:style w:type="paragraph" w:styleId="713">
    <w:name w:val="Normal (Web)"/>
    <w:basedOn w:val="674"/>
    <w:uiPriority w:val="0"/>
    <w:qFormat/>
    <w:pPr>
      <w:jc w:val="left"/>
      <w:spacing w:beforeAutospacing="1" w:afterAutospacing="1"/>
    </w:pPr>
    <w:rPr>
      <w:sz w:val="24"/>
    </w:rPr>
  </w:style>
  <w:style w:type="paragraph" w:styleId="714">
    <w:name w:val="Title"/>
    <w:basedOn w:val="674"/>
    <w:next w:val="674"/>
    <w:link w:val="734"/>
    <w:uiPriority w:val="10"/>
    <w:qFormat/>
    <w:pPr>
      <w:contextualSpacing/>
      <w:spacing w:before="300" w:after="200"/>
    </w:pPr>
    <w:rPr>
      <w:sz w:val="48"/>
      <w:szCs w:val="48"/>
    </w:rPr>
  </w:style>
  <w:style w:type="paragraph" w:styleId="715">
    <w:name w:val="Body Text First Indent"/>
    <w:basedOn w:val="674"/>
    <w:next w:val="674"/>
    <w:uiPriority w:val="0"/>
    <w:qFormat/>
    <w:pPr>
      <w:ind w:firstLine="200"/>
      <w:spacing w:line="360" w:lineRule="auto"/>
    </w:pPr>
    <w:rPr>
      <w:rFonts w:ascii="方正仿宋_GB2312" w:hAnsi="Times New Roman" w:eastAsia="方正仿宋_GB2312"/>
      <w:sz w:val="30"/>
      <w:szCs w:val="30"/>
    </w:rPr>
  </w:style>
  <w:style w:type="paragraph" w:styleId="716">
    <w:name w:val="Body Text First Indent 2"/>
    <w:basedOn w:val="693"/>
    <w:next w:val="710"/>
    <w:uiPriority w:val="0"/>
    <w:qFormat/>
    <w:pPr>
      <w:ind w:left="420" w:firstLine="420"/>
      <w:spacing w:after="120"/>
    </w:pPr>
    <w:rPr>
      <w:sz w:val="21"/>
    </w:rPr>
  </w:style>
  <w:style w:type="table" w:styleId="717">
    <w:name w:val="Table Grid"/>
    <w:basedOn w:val="6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Strong"/>
    <w:basedOn w:val="684"/>
    <w:uiPriority w:val="0"/>
    <w:qFormat/>
    <w:rPr>
      <w:b/>
    </w:rPr>
  </w:style>
  <w:style w:type="character" w:styleId="719">
    <w:name w:val="endnote reference"/>
    <w:basedOn w:val="684"/>
    <w:uiPriority w:val="99"/>
    <w:unhideWhenUsed/>
    <w:qFormat/>
    <w:rPr>
      <w:vertAlign w:val="superscript"/>
    </w:rPr>
  </w:style>
  <w:style w:type="character" w:styleId="720">
    <w:name w:val="Hyperlink"/>
    <w:uiPriority w:val="99"/>
    <w:unhideWhenUsed/>
    <w:qFormat/>
    <w:rPr>
      <w:color w:val="0563c1"/>
      <w:u w:val="single"/>
    </w:rPr>
  </w:style>
  <w:style w:type="character" w:styleId="721">
    <w:name w:val="footnote reference"/>
    <w:basedOn w:val="684"/>
    <w:uiPriority w:val="99"/>
    <w:unhideWhenUsed/>
    <w:qFormat/>
    <w:rPr>
      <w:vertAlign w:val="superscript"/>
    </w:rPr>
  </w:style>
  <w:style w:type="character" w:styleId="722" w:customStyle="1">
    <w:name w:val="标题 1 字符"/>
    <w:basedOn w:val="684"/>
    <w:link w:val="675"/>
    <w:uiPriority w:val="9"/>
    <w:qFormat/>
    <w:rPr>
      <w:rFonts w:ascii="Arial" w:hAnsi="Arial" w:eastAsia="Arial" w:cs="Arial"/>
      <w:sz w:val="40"/>
      <w:szCs w:val="40"/>
    </w:rPr>
  </w:style>
  <w:style w:type="character" w:styleId="723" w:customStyle="1">
    <w:name w:val="标题 4 字符"/>
    <w:basedOn w:val="684"/>
    <w:link w:val="678"/>
    <w:uiPriority w:val="9"/>
    <w:qFormat/>
    <w:rPr>
      <w:rFonts w:ascii="Arial" w:hAnsi="Arial" w:eastAsia="Arial" w:cs="Arial"/>
      <w:b/>
      <w:bCs/>
      <w:sz w:val="26"/>
      <w:szCs w:val="26"/>
    </w:rPr>
  </w:style>
  <w:style w:type="character" w:styleId="724" w:customStyle="1">
    <w:name w:val="标题 5 字符"/>
    <w:basedOn w:val="684"/>
    <w:link w:val="679"/>
    <w:uiPriority w:val="9"/>
    <w:qFormat/>
    <w:rPr>
      <w:rFonts w:ascii="Arial" w:hAnsi="Arial" w:eastAsia="Arial" w:cs="Arial"/>
      <w:b/>
      <w:bCs/>
      <w:sz w:val="24"/>
      <w:szCs w:val="24"/>
    </w:rPr>
  </w:style>
  <w:style w:type="character" w:styleId="725" w:customStyle="1">
    <w:name w:val="标题 6 字符"/>
    <w:basedOn w:val="684"/>
    <w:link w:val="680"/>
    <w:uiPriority w:val="9"/>
    <w:qFormat/>
    <w:rPr>
      <w:rFonts w:ascii="Arial" w:hAnsi="Arial" w:eastAsia="Arial" w:cs="Arial"/>
      <w:b/>
      <w:bCs/>
      <w:sz w:val="22"/>
      <w:szCs w:val="22"/>
    </w:rPr>
  </w:style>
  <w:style w:type="character" w:styleId="726" w:customStyle="1">
    <w:name w:val="标题 7 字符"/>
    <w:basedOn w:val="684"/>
    <w:link w:val="681"/>
    <w:uiPriority w:val="9"/>
    <w:qFormat/>
    <w:rPr>
      <w:rFonts w:ascii="Arial" w:hAnsi="Arial" w:eastAsia="Arial" w:cs="Arial"/>
      <w:b/>
      <w:bCs/>
      <w:i/>
      <w:iCs/>
      <w:sz w:val="22"/>
      <w:szCs w:val="22"/>
    </w:rPr>
  </w:style>
  <w:style w:type="character" w:styleId="727" w:customStyle="1">
    <w:name w:val="标题 8 字符"/>
    <w:basedOn w:val="684"/>
    <w:link w:val="682"/>
    <w:uiPriority w:val="9"/>
    <w:qFormat/>
    <w:rPr>
      <w:rFonts w:ascii="Arial" w:hAnsi="Arial" w:eastAsia="Arial" w:cs="Arial"/>
      <w:i/>
      <w:iCs/>
      <w:sz w:val="22"/>
      <w:szCs w:val="22"/>
    </w:rPr>
  </w:style>
  <w:style w:type="character" w:styleId="728" w:customStyle="1">
    <w:name w:val="标题 9 字符"/>
    <w:basedOn w:val="684"/>
    <w:link w:val="683"/>
    <w:uiPriority w:val="9"/>
    <w:qFormat/>
    <w:rPr>
      <w:rFonts w:ascii="Arial" w:hAnsi="Arial" w:eastAsia="Arial" w:cs="Arial"/>
      <w:i/>
      <w:iCs/>
      <w:sz w:val="21"/>
      <w:szCs w:val="21"/>
    </w:rPr>
  </w:style>
  <w:style w:type="character" w:styleId="729" w:customStyle="1">
    <w:name w:val="尾注文本 字符"/>
    <w:link w:val="700"/>
    <w:uiPriority w:val="99"/>
    <w:qFormat/>
    <w:rPr>
      <w:sz w:val="20"/>
    </w:rPr>
  </w:style>
  <w:style w:type="character" w:styleId="730" w:customStyle="1">
    <w:name w:val="页脚 字符"/>
    <w:basedOn w:val="684"/>
    <w:link w:val="701"/>
    <w:uiPriority w:val="0"/>
    <w:qFormat/>
    <w:rPr>
      <w:rFonts w:ascii="Calibri" w:hAnsi="Calibri" w:eastAsia="宋体" w:cs="Times New Roman"/>
      <w:sz w:val="18"/>
      <w:szCs w:val="18"/>
    </w:rPr>
  </w:style>
  <w:style w:type="character" w:styleId="731" w:customStyle="1">
    <w:name w:val="页眉 字符"/>
    <w:basedOn w:val="684"/>
    <w:link w:val="702"/>
    <w:uiPriority w:val="0"/>
    <w:qFormat/>
    <w:rPr>
      <w:rFonts w:ascii="Calibri" w:hAnsi="Calibri" w:eastAsia="宋体" w:cs="Times New Roman"/>
      <w:sz w:val="18"/>
      <w:szCs w:val="18"/>
    </w:rPr>
  </w:style>
  <w:style w:type="character" w:styleId="732" w:customStyle="1">
    <w:name w:val="副标题 字符"/>
    <w:basedOn w:val="684"/>
    <w:link w:val="705"/>
    <w:uiPriority w:val="11"/>
    <w:qFormat/>
    <w:rPr>
      <w:sz w:val="24"/>
      <w:szCs w:val="24"/>
    </w:rPr>
  </w:style>
  <w:style w:type="character" w:styleId="733" w:customStyle="1">
    <w:name w:val="脚注文本 字符"/>
    <w:link w:val="707"/>
    <w:uiPriority w:val="99"/>
    <w:qFormat/>
    <w:rPr>
      <w:sz w:val="18"/>
    </w:rPr>
  </w:style>
  <w:style w:type="character" w:styleId="734" w:customStyle="1">
    <w:name w:val="标题 字符"/>
    <w:basedOn w:val="684"/>
    <w:link w:val="714"/>
    <w:uiPriority w:val="10"/>
    <w:qFormat/>
    <w:rPr>
      <w:sz w:val="48"/>
      <w:szCs w:val="48"/>
    </w:rPr>
  </w:style>
  <w:style w:type="character" w:styleId="735" w:customStyle="1">
    <w:name w:val="Heading 1 Char"/>
    <w:basedOn w:val="684"/>
    <w:uiPriority w:val="9"/>
    <w:qFormat/>
    <w:rPr>
      <w:rFonts w:ascii="Arial" w:hAnsi="Arial" w:eastAsia="Arial" w:cs="Arial"/>
      <w:sz w:val="40"/>
      <w:szCs w:val="40"/>
    </w:rPr>
  </w:style>
  <w:style w:type="character" w:styleId="736" w:customStyle="1">
    <w:name w:val="Heading 4 Char"/>
    <w:basedOn w:val="684"/>
    <w:uiPriority w:val="9"/>
    <w:qFormat/>
    <w:rPr>
      <w:rFonts w:ascii="Arial" w:hAnsi="Arial" w:eastAsia="Arial" w:cs="Arial"/>
      <w:b/>
      <w:bCs/>
      <w:sz w:val="26"/>
      <w:szCs w:val="26"/>
    </w:rPr>
  </w:style>
  <w:style w:type="character" w:styleId="737" w:customStyle="1">
    <w:name w:val="Heading 5 Char"/>
    <w:basedOn w:val="684"/>
    <w:uiPriority w:val="9"/>
    <w:qFormat/>
    <w:rPr>
      <w:rFonts w:ascii="Arial" w:hAnsi="Arial" w:eastAsia="Arial" w:cs="Arial"/>
      <w:b/>
      <w:bCs/>
      <w:sz w:val="24"/>
      <w:szCs w:val="24"/>
    </w:rPr>
  </w:style>
  <w:style w:type="character" w:styleId="738" w:customStyle="1">
    <w:name w:val="Heading 6 Char"/>
    <w:basedOn w:val="684"/>
    <w:uiPriority w:val="9"/>
    <w:qFormat/>
    <w:rPr>
      <w:rFonts w:ascii="Arial" w:hAnsi="Arial" w:eastAsia="Arial" w:cs="Arial"/>
      <w:b/>
      <w:bCs/>
      <w:sz w:val="22"/>
      <w:szCs w:val="22"/>
    </w:rPr>
  </w:style>
  <w:style w:type="character" w:styleId="739" w:customStyle="1">
    <w:name w:val="Heading 7 Char"/>
    <w:basedOn w:val="684"/>
    <w:uiPriority w:val="9"/>
    <w:qFormat/>
    <w:rPr>
      <w:rFonts w:ascii="Arial" w:hAnsi="Arial" w:eastAsia="Arial" w:cs="Arial"/>
      <w:b/>
      <w:bCs/>
      <w:i/>
      <w:iCs/>
      <w:sz w:val="22"/>
      <w:szCs w:val="22"/>
    </w:rPr>
  </w:style>
  <w:style w:type="character" w:styleId="740" w:customStyle="1">
    <w:name w:val="Heading 8 Char"/>
    <w:basedOn w:val="684"/>
    <w:uiPriority w:val="9"/>
    <w:qFormat/>
    <w:rPr>
      <w:rFonts w:ascii="Arial" w:hAnsi="Arial" w:eastAsia="Arial" w:cs="Arial"/>
      <w:i/>
      <w:iCs/>
      <w:sz w:val="22"/>
      <w:szCs w:val="22"/>
    </w:rPr>
  </w:style>
  <w:style w:type="character" w:styleId="741" w:customStyle="1">
    <w:name w:val="Heading 9 Char"/>
    <w:basedOn w:val="684"/>
    <w:uiPriority w:val="9"/>
    <w:qFormat/>
    <w:rPr>
      <w:rFonts w:ascii="Arial" w:hAnsi="Arial" w:eastAsia="Arial" w:cs="Arial"/>
      <w:i/>
      <w:iCs/>
      <w:sz w:val="21"/>
      <w:szCs w:val="21"/>
    </w:rPr>
  </w:style>
  <w:style w:type="character" w:styleId="742" w:customStyle="1">
    <w:name w:val="Title Char"/>
    <w:basedOn w:val="684"/>
    <w:uiPriority w:val="10"/>
    <w:qFormat/>
    <w:rPr>
      <w:sz w:val="48"/>
      <w:szCs w:val="48"/>
    </w:rPr>
  </w:style>
  <w:style w:type="character" w:styleId="743" w:customStyle="1">
    <w:name w:val="Subtitle Char"/>
    <w:basedOn w:val="684"/>
    <w:uiPriority w:val="11"/>
    <w:qFormat/>
    <w:rPr>
      <w:sz w:val="24"/>
      <w:szCs w:val="24"/>
    </w:rPr>
  </w:style>
  <w:style w:type="character" w:styleId="744" w:customStyle="1">
    <w:name w:val="Quote Char"/>
    <w:uiPriority w:val="29"/>
    <w:qFormat/>
    <w:rPr>
      <w:i/>
    </w:rPr>
  </w:style>
  <w:style w:type="character" w:styleId="745" w:customStyle="1">
    <w:name w:val="Intense Quote Char"/>
    <w:uiPriority w:val="30"/>
    <w:qFormat/>
    <w:rPr>
      <w:i/>
    </w:rPr>
  </w:style>
  <w:style w:type="character" w:styleId="746" w:customStyle="1">
    <w:name w:val="Footnote Text Char"/>
    <w:uiPriority w:val="99"/>
    <w:qFormat/>
    <w:rPr>
      <w:sz w:val="18"/>
    </w:rPr>
  </w:style>
  <w:style w:type="character" w:styleId="747" w:customStyle="1">
    <w:name w:val="Endnote Text Char"/>
    <w:uiPriority w:val="99"/>
    <w:qFormat/>
    <w:rPr>
      <w:sz w:val="20"/>
    </w:rPr>
  </w:style>
  <w:style w:type="paragraph" w:styleId="748" w:customStyle="1">
    <w:name w:val="TOC Heading"/>
    <w:uiPriority w:val="39"/>
    <w:unhideWhenUsed/>
    <w:qFormat/>
    <w:rPr>
      <w:rFonts w:ascii="Times New Roman" w:hAnsi="Times New Roman" w:eastAsia="宋体" w:cs="Times New Roman"/>
      <w:lang w:val="en-US" w:eastAsia="zh-CN" w:bidi="ar-SA"/>
    </w:rPr>
  </w:style>
  <w:style w:type="character" w:styleId="749" w:customStyle="1">
    <w:name w:val="Heading 2 Char"/>
    <w:basedOn w:val="684"/>
    <w:uiPriority w:val="9"/>
    <w:qFormat/>
    <w:rPr>
      <w:rFonts w:ascii="Arial" w:hAnsi="Arial" w:eastAsia="Arial" w:cs="Arial"/>
      <w:sz w:val="34"/>
    </w:rPr>
  </w:style>
  <w:style w:type="character" w:styleId="750" w:customStyle="1">
    <w:name w:val="Heading 3 Char"/>
    <w:basedOn w:val="684"/>
    <w:uiPriority w:val="9"/>
    <w:qFormat/>
    <w:rPr>
      <w:rFonts w:ascii="Arial" w:hAnsi="Arial" w:eastAsia="Arial" w:cs="Arial"/>
      <w:sz w:val="30"/>
      <w:szCs w:val="30"/>
    </w:rPr>
  </w:style>
  <w:style w:type="paragraph" w:styleId="751">
    <w:name w:val="List Paragraph"/>
    <w:basedOn w:val="674"/>
    <w:uiPriority w:val="34"/>
    <w:qFormat/>
    <w:pPr>
      <w:contextualSpacing/>
      <w:ind w:left="720"/>
    </w:pPr>
  </w:style>
  <w:style w:type="paragraph" w:styleId="752">
    <w:name w:val="No Spacing"/>
    <w:uiPriority w:val="1"/>
    <w:qFormat/>
    <w:rPr>
      <w:rFonts w:ascii="Times New Roman" w:hAnsi="Times New Roman" w:eastAsia="宋体" w:cs="Times New Roman"/>
      <w:lang w:val="en-US" w:eastAsia="zh-CN" w:bidi="ar-SA"/>
    </w:rPr>
  </w:style>
  <w:style w:type="paragraph" w:styleId="753">
    <w:name w:val="Quote"/>
    <w:basedOn w:val="674"/>
    <w:next w:val="674"/>
    <w:link w:val="754"/>
    <w:uiPriority w:val="29"/>
    <w:qFormat/>
    <w:pPr>
      <w:ind w:left="720" w:right="720"/>
    </w:pPr>
    <w:rPr>
      <w:i/>
    </w:rPr>
  </w:style>
  <w:style w:type="character" w:styleId="754" w:customStyle="1">
    <w:name w:val="引用 字符"/>
    <w:link w:val="753"/>
    <w:uiPriority w:val="29"/>
    <w:qFormat/>
    <w:rPr>
      <w:i/>
    </w:rPr>
  </w:style>
  <w:style w:type="paragraph" w:styleId="755">
    <w:name w:val="Intense Quote"/>
    <w:basedOn w:val="674"/>
    <w:next w:val="674"/>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明显引用 字符"/>
    <w:link w:val="755"/>
    <w:uiPriority w:val="30"/>
    <w:qFormat/>
    <w:rPr>
      <w:i/>
    </w:rPr>
  </w:style>
  <w:style w:type="character" w:styleId="757" w:customStyle="1">
    <w:name w:val="Header Char"/>
    <w:basedOn w:val="684"/>
    <w:uiPriority w:val="99"/>
    <w:qFormat/>
  </w:style>
  <w:style w:type="character" w:styleId="758" w:customStyle="1">
    <w:name w:val="Footer Char"/>
    <w:basedOn w:val="684"/>
    <w:uiPriority w:val="99"/>
    <w:qFormat/>
  </w:style>
  <w:style w:type="character" w:styleId="759" w:customStyle="1">
    <w:name w:val="Caption Char"/>
    <w:uiPriority w:val="99"/>
    <w:qFormat/>
  </w:style>
  <w:style w:type="table" w:styleId="760" w:customStyle="1">
    <w:name w:val="Table Grid Light"/>
    <w:basedOn w:val="68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761" w:customStyle="1">
    <w:name w:val="Plain Table 1"/>
    <w:basedOn w:val="68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Symbol" w:hAnsi="Symbol"/>
        <w:b/>
        <w:color w:val="404040"/>
        <w:sz w:val="22"/>
      </w:rPr>
    </w:tblStylePr>
    <w:tblStylePr w:type="firstRow">
      <w:rPr>
        <w:rFonts w:ascii="Symbol" w:hAnsi="Symbol"/>
        <w:b/>
        <w:color w:val="404040"/>
        <w:sz w:val="22"/>
      </w:rPr>
    </w:tblStylePr>
    <w:tblStylePr w:type="lastCol">
      <w:rPr>
        <w:rFonts w:ascii="Symbol" w:hAnsi="Symbol"/>
        <w:b/>
        <w:color w:val="404040"/>
        <w:sz w:val="22"/>
      </w:rPr>
    </w:tblStylePr>
    <w:tblStylePr w:type="lastRow">
      <w:rPr>
        <w:rFonts w:ascii="Symbol" w:hAnsi="Symbol"/>
        <w:b/>
        <w:color w:val="404040"/>
        <w:sz w:val="22"/>
      </w:rPr>
    </w:tblStylePr>
  </w:style>
  <w:style w:type="table" w:styleId="762" w:customStyle="1">
    <w:name w:val="Plain Table 2"/>
    <w:basedOn w:val="68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Symbol" w:hAnsi="Symbol"/>
        <w:b/>
        <w:color w:val="404040"/>
        <w:sz w:val="22"/>
      </w:rPr>
    </w:tblStylePr>
    <w:tblStylePr w:type="firstRow">
      <w:rPr>
        <w:rFonts w:ascii="Symbol" w:hAnsi="Symbol"/>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b/>
        <w:color w:val="404040"/>
        <w:sz w:val="22"/>
      </w:rPr>
    </w:tblStylePr>
    <w:tblStylePr w:type="lastRow">
      <w:rPr>
        <w:rFonts w:ascii="Symbol" w:hAnsi="Symbol"/>
        <w:b/>
        <w:color w:val="404040"/>
        <w:sz w:val="22"/>
      </w:rPr>
    </w:tblStylePr>
  </w:style>
  <w:style w:type="table" w:styleId="763" w:customStyle="1">
    <w:name w:val="Plain Table 3"/>
    <w:basedOn w:val="685"/>
    <w:uiPriority w:val="99"/>
    <w:qFormat/>
    <w:tblPr/>
    <w:tblStylePr w:type="band1Horz">
      <w:rPr>
        <w:rFonts w:ascii="Symbol" w:hAnsi="Symbol"/>
        <w:color w:val="404040"/>
        <w:sz w:val="22"/>
      </w:rPr>
      <w:tcPr>
        <w:shd w:val="clear" w:color="f1f1f1" w:fill="f1f1f1"/>
      </w:tcPr>
    </w:tblStylePr>
    <w:tblStylePr w:type="band1Vert">
      <w:rPr>
        <w:rFonts w:ascii="Symbol" w:hAnsi="Symbo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685"/>
    <w:uiPriority w:val="99"/>
    <w:qFormat/>
    <w:tblPr/>
    <w:tblStylePr w:type="band1Horz">
      <w:rPr>
        <w:rFonts w:ascii="Symbol" w:hAnsi="Symbol"/>
        <w:color w:val="404040"/>
        <w:sz w:val="22"/>
      </w:rPr>
      <w:tcPr>
        <w:shd w:val="clear" w:color="f1f1f1" w:fill="f1f1f1"/>
      </w:tcPr>
    </w:tblStylePr>
    <w:tblStylePr w:type="band1Vert">
      <w:rPr>
        <w:rFonts w:ascii="Symbol" w:hAnsi="Symbo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685"/>
    <w:uiPriority w:val="99"/>
    <w:qFormat/>
    <w:tblPr/>
    <w:tblStylePr w:type="band1Horz">
      <w:rPr>
        <w:rFonts w:ascii="Symbol" w:hAnsi="Symbol"/>
        <w:color w:val="404040"/>
        <w:sz w:val="22"/>
      </w:rPr>
      <w:tcPr>
        <w:shd w:val="clear" w:color="f1f1f1" w:fill="f1f1f1"/>
      </w:tcPr>
    </w:tblStylePr>
    <w:tblStylePr w:type="band1Vert">
      <w:rPr>
        <w:rFonts w:ascii="Symbol" w:hAnsi="Symbo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6" w:customStyle="1">
    <w:name w:val="Grid Table 1 Light"/>
    <w:basedOn w:val="68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Symbol" w:hAnsi="Symbo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7" w:customStyle="1">
    <w:name w:val="Grid Table 1 Light - Accent 1"/>
    <w:basedOn w:val="68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Symbol" w:hAnsi="Symbol"/>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FC4E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8" w:customStyle="1">
    <w:name w:val="Grid Table 1 Light - Accent 2"/>
    <w:basedOn w:val="68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Symbol" w:hAnsi="Symbol"/>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4B38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9" w:customStyle="1">
    <w:name w:val="Grid Table 1 Light - Accent 3"/>
    <w:basedOn w:val="68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Symbol" w:hAnsi="Symbol"/>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ACACA"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0" w:customStyle="1">
    <w:name w:val="Grid Table 1 Light - Accent 4"/>
    <w:basedOn w:val="68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Symbol" w:hAnsi="Symbol"/>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FDA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1" w:customStyle="1">
    <w:name w:val="Grid Table 1 Light - Accent 5"/>
    <w:basedOn w:val="68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Symbol" w:hAnsi="Symbol"/>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1ACDC"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2" w:customStyle="1">
    <w:name w:val="Grid Table 1 Light - Accent 6"/>
    <w:basedOn w:val="68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Symbol" w:hAnsi="Symbol"/>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AAD19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3" w:customStyle="1">
    <w:name w:val="Grid Table 2"/>
    <w:basedOn w:val="685"/>
    <w:uiPriority w:val="99"/>
    <w:qFormat/>
    <w:tblPr>
      <w:tblBorders>
        <w:bottom w:val="single" w:color="696969" w:sz="4" w:space="0"/>
        <w:insideH w:val="single" w:color="696969" w:sz="4" w:space="0"/>
        <w:insideV w:val="single" w:color="696969" w:sz="4" w:space="0"/>
      </w:tblBorders>
    </w:tblPr>
    <w:tblStylePr w:type="band1Horz">
      <w:rPr>
        <w:rFonts w:ascii="Symbol" w:hAnsi="Symbol"/>
        <w:color w:val="404040"/>
        <w:sz w:val="22"/>
      </w:rPr>
      <w:tcPr>
        <w:shd w:val="clear" w:color="cacaca" w:fill="cacaca"/>
      </w:tcPr>
    </w:tblStylePr>
    <w:tblStylePr w:type="band1Vert">
      <w:rPr>
        <w:rFonts w:ascii="Symbol" w:hAnsi="Symbo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2 - Accent 1"/>
    <w:basedOn w:val="685"/>
    <w:uiPriority w:val="99"/>
    <w:qFormat/>
    <w:tblPr>
      <w:tblBorders>
        <w:bottom w:val="single" w:color="68A3D8" w:sz="4" w:space="0"/>
        <w:insideH w:val="single" w:color="68A3D8" w:sz="4" w:space="0"/>
        <w:insideV w:val="single" w:color="68A3D8" w:sz="4" w:space="0"/>
      </w:tblBorders>
    </w:tblPr>
    <w:tblStylePr w:type="band1Horz">
      <w:rPr>
        <w:rFonts w:ascii="Symbol" w:hAnsi="Symbol"/>
        <w:color w:val="404040"/>
        <w:sz w:val="22"/>
      </w:rPr>
      <w:tcPr>
        <w:shd w:val="clear" w:color="ddeaf6" w:fill="ddeaf6"/>
      </w:tcPr>
    </w:tblStylePr>
    <w:tblStylePr w:type="band1Vert">
      <w:rPr>
        <w:rFonts w:ascii="Symbol" w:hAnsi="Symbo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single" w:color="68A3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2 - Accent 2"/>
    <w:basedOn w:val="685"/>
    <w:uiPriority w:val="99"/>
    <w:qFormat/>
    <w:tblPr>
      <w:tblBorders>
        <w:bottom w:val="single" w:color="F4B285" w:sz="4" w:space="0"/>
        <w:insideH w:val="single" w:color="F4B285" w:sz="4" w:space="0"/>
        <w:insideV w:val="single" w:color="F4B285" w:sz="4" w:space="0"/>
      </w:tblBorders>
    </w:tblPr>
    <w:tblStylePr w:type="band1Horz">
      <w:rPr>
        <w:rFonts w:ascii="Symbol" w:hAnsi="Symbol"/>
        <w:color w:val="404040"/>
        <w:sz w:val="22"/>
      </w:rPr>
      <w:tcPr>
        <w:shd w:val="clear" w:color="fbe5d6" w:fill="fbe5d6"/>
      </w:tcPr>
    </w:tblStylePr>
    <w:tblStylePr w:type="band1Vert">
      <w:rPr>
        <w:rFonts w:ascii="Symbol" w:hAnsi="Symbo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2 - Accent 3"/>
    <w:basedOn w:val="685"/>
    <w:uiPriority w:val="99"/>
    <w:qFormat/>
    <w:tblPr>
      <w:tblBorders>
        <w:bottom w:val="single" w:color="A5A5A5" w:sz="4" w:space="0"/>
        <w:insideH w:val="single" w:color="A5A5A5" w:sz="4" w:space="0"/>
        <w:insideV w:val="single" w:color="A5A5A5" w:sz="4" w:space="0"/>
      </w:tblBorders>
    </w:tblPr>
    <w:tblStylePr w:type="band1Horz">
      <w:rPr>
        <w:rFonts w:ascii="Symbol" w:hAnsi="Symbol"/>
        <w:color w:val="404040"/>
        <w:sz w:val="22"/>
      </w:rPr>
      <w:tcPr>
        <w:shd w:val="clear" w:color="ececec" w:fill="ececec"/>
      </w:tcPr>
    </w:tblStylePr>
    <w:tblStylePr w:type="band1Vert">
      <w:rPr>
        <w:rFonts w:ascii="Symbol" w:hAnsi="Symbo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single" w:color="A5A5A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Grid Table 2 - Accent 4"/>
    <w:basedOn w:val="685"/>
    <w:uiPriority w:val="99"/>
    <w:qFormat/>
    <w:tblPr>
      <w:tblBorders>
        <w:bottom w:val="single" w:color="FFD864" w:sz="4" w:space="0"/>
        <w:insideH w:val="single" w:color="FFD864" w:sz="4" w:space="0"/>
        <w:insideV w:val="single" w:color="FFD864" w:sz="4" w:space="0"/>
      </w:tblBorders>
    </w:tblPr>
    <w:tblStylePr w:type="band1Horz">
      <w:rPr>
        <w:rFonts w:ascii="Symbol" w:hAnsi="Symbol"/>
        <w:color w:val="404040"/>
        <w:sz w:val="22"/>
      </w:rPr>
      <w:tcPr>
        <w:shd w:val="clear" w:color="fef2ca" w:fill="fef2ca"/>
      </w:tcPr>
    </w:tblStylePr>
    <w:tblStylePr w:type="band1Vert">
      <w:rPr>
        <w:rFonts w:ascii="Symbol" w:hAnsi="Symbo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Grid Table 2 - Accent 5"/>
    <w:basedOn w:val="685"/>
    <w:uiPriority w:val="99"/>
    <w:qFormat/>
    <w:tblPr>
      <w:tblBorders>
        <w:bottom w:val="single" w:color="4472C4" w:sz="4" w:space="0"/>
        <w:insideH w:val="single" w:color="4472C4" w:sz="4" w:space="0"/>
        <w:insideV w:val="single" w:color="4472C4" w:sz="4" w:space="0"/>
      </w:tblBorders>
    </w:tblPr>
    <w:tblStylePr w:type="band1Horz">
      <w:rPr>
        <w:rFonts w:ascii="Symbol" w:hAnsi="Symbol"/>
        <w:color w:val="404040"/>
        <w:sz w:val="22"/>
      </w:rPr>
      <w:tcPr>
        <w:shd w:val="clear" w:color="d8e2f2" w:fill="d8e2f2"/>
      </w:tcPr>
    </w:tblStylePr>
    <w:tblStylePr w:type="band1Vert">
      <w:rPr>
        <w:rFonts w:ascii="Symbol" w:hAnsi="Symbo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single" w:color="4472C4"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Grid Table 2 - Accent 6"/>
    <w:basedOn w:val="685"/>
    <w:uiPriority w:val="99"/>
    <w:qFormat/>
    <w:tblPr>
      <w:tblBorders>
        <w:bottom w:val="single" w:color="70AD47" w:sz="4" w:space="0"/>
        <w:insideH w:val="single" w:color="70AD47" w:sz="4" w:space="0"/>
        <w:insideV w:val="single" w:color="70AD47" w:sz="4" w:space="0"/>
      </w:tblBorders>
    </w:tblPr>
    <w:tblStylePr w:type="band1Horz">
      <w:rPr>
        <w:rFonts w:ascii="Symbol" w:hAnsi="Symbol"/>
        <w:color w:val="404040"/>
        <w:sz w:val="22"/>
      </w:rPr>
      <w:tcPr>
        <w:shd w:val="clear" w:color="e1efd8" w:fill="e1efd8"/>
      </w:tcPr>
    </w:tblStylePr>
    <w:tblStylePr w:type="band1Vert">
      <w:rPr>
        <w:rFonts w:ascii="Symbol" w:hAnsi="Symbo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single" w:color="70AD47"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Grid Table 3"/>
    <w:basedOn w:val="685"/>
    <w:uiPriority w:val="99"/>
    <w:qFormat/>
    <w:tblPr>
      <w:tblBorders>
        <w:bottom w:val="single" w:color="696969" w:sz="4" w:space="0"/>
        <w:insideH w:val="single" w:color="696969" w:sz="4" w:space="0"/>
        <w:insideV w:val="single" w:color="696969" w:sz="4" w:space="0"/>
      </w:tblBorders>
    </w:tblPr>
    <w:tblStylePr w:type="band1Horz">
      <w:rPr>
        <w:rFonts w:ascii="Symbol" w:hAnsi="Symbol"/>
        <w:color w:val="404040"/>
        <w:sz w:val="22"/>
      </w:rPr>
      <w:tcPr>
        <w:shd w:val="clear" w:color="cacaca" w:fill="cacaca"/>
      </w:tcPr>
    </w:tblStylePr>
    <w:tblStylePr w:type="band1Vert">
      <w:rPr>
        <w:rFonts w:ascii="Symbol" w:hAnsi="Symbo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3 - Accent 1"/>
    <w:basedOn w:val="685"/>
    <w:uiPriority w:val="99"/>
    <w:qFormat/>
    <w:tblPr>
      <w:tblBorders>
        <w:bottom w:val="single" w:color="68A3D8" w:sz="4" w:space="0"/>
        <w:insideH w:val="single" w:color="68A3D8" w:sz="4" w:space="0"/>
        <w:insideV w:val="single" w:color="68A3D8" w:sz="4" w:space="0"/>
      </w:tblBorders>
    </w:tblPr>
    <w:tblStylePr w:type="band1Horz">
      <w:rPr>
        <w:rFonts w:ascii="Symbol" w:hAnsi="Symbol"/>
        <w:color w:val="404040"/>
        <w:sz w:val="22"/>
      </w:rPr>
      <w:tcPr>
        <w:shd w:val="clear" w:color="ddeaf6" w:fill="ddeaf6"/>
      </w:tcPr>
    </w:tblStylePr>
    <w:tblStylePr w:type="band1Vert">
      <w:rPr>
        <w:rFonts w:ascii="Symbol" w:hAnsi="Symbo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Grid Table 3 - Accent 2"/>
    <w:basedOn w:val="685"/>
    <w:uiPriority w:val="99"/>
    <w:qFormat/>
    <w:tblPr>
      <w:tblBorders>
        <w:bottom w:val="single" w:color="F4B285" w:sz="4" w:space="0"/>
        <w:insideH w:val="single" w:color="F4B285" w:sz="4" w:space="0"/>
        <w:insideV w:val="single" w:color="F4B285" w:sz="4" w:space="0"/>
      </w:tblBorders>
    </w:tblPr>
    <w:tblStylePr w:type="band1Horz">
      <w:rPr>
        <w:rFonts w:ascii="Symbol" w:hAnsi="Symbol"/>
        <w:color w:val="404040"/>
        <w:sz w:val="22"/>
      </w:rPr>
      <w:tcPr>
        <w:shd w:val="clear" w:color="fbe5d6" w:fill="fbe5d6"/>
      </w:tcPr>
    </w:tblStylePr>
    <w:tblStylePr w:type="band1Vert">
      <w:rPr>
        <w:rFonts w:ascii="Symbol" w:hAnsi="Symbo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Grid Table 3 - Accent 3"/>
    <w:basedOn w:val="685"/>
    <w:uiPriority w:val="99"/>
    <w:qFormat/>
    <w:tblPr>
      <w:tblBorders>
        <w:bottom w:val="single" w:color="A5A5A5" w:sz="4" w:space="0"/>
        <w:insideH w:val="single" w:color="A5A5A5" w:sz="4" w:space="0"/>
        <w:insideV w:val="single" w:color="A5A5A5" w:sz="4" w:space="0"/>
      </w:tblBorders>
    </w:tblPr>
    <w:tblStylePr w:type="band1Horz">
      <w:rPr>
        <w:rFonts w:ascii="Symbol" w:hAnsi="Symbol"/>
        <w:color w:val="404040"/>
        <w:sz w:val="22"/>
      </w:rPr>
      <w:tcPr>
        <w:shd w:val="clear" w:color="ececec" w:fill="ececec"/>
      </w:tcPr>
    </w:tblStylePr>
    <w:tblStylePr w:type="band1Vert">
      <w:rPr>
        <w:rFonts w:ascii="Symbol" w:hAnsi="Symbo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Grid Table 3 - Accent 4"/>
    <w:basedOn w:val="685"/>
    <w:uiPriority w:val="99"/>
    <w:qFormat/>
    <w:tblPr>
      <w:tblBorders>
        <w:bottom w:val="single" w:color="FFD864" w:sz="4" w:space="0"/>
        <w:insideH w:val="single" w:color="FFD864" w:sz="4" w:space="0"/>
        <w:insideV w:val="single" w:color="FFD864" w:sz="4" w:space="0"/>
      </w:tblBorders>
    </w:tblPr>
    <w:tblStylePr w:type="band1Horz">
      <w:rPr>
        <w:rFonts w:ascii="Symbol" w:hAnsi="Symbol"/>
        <w:color w:val="404040"/>
        <w:sz w:val="22"/>
      </w:rPr>
      <w:tcPr>
        <w:shd w:val="clear" w:color="fef2ca" w:fill="fef2ca"/>
      </w:tcPr>
    </w:tblStylePr>
    <w:tblStylePr w:type="band1Vert">
      <w:rPr>
        <w:rFonts w:ascii="Symbol" w:hAnsi="Symbo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3 - Accent 5"/>
    <w:basedOn w:val="685"/>
    <w:uiPriority w:val="99"/>
    <w:qFormat/>
    <w:tblPr>
      <w:tblBorders>
        <w:bottom w:val="single" w:color="4472C4" w:sz="4" w:space="0"/>
        <w:insideH w:val="single" w:color="4472C4" w:sz="4" w:space="0"/>
        <w:insideV w:val="single" w:color="4472C4" w:sz="4" w:space="0"/>
      </w:tblBorders>
    </w:tblPr>
    <w:tblStylePr w:type="band1Horz">
      <w:rPr>
        <w:rFonts w:ascii="Symbol" w:hAnsi="Symbol"/>
        <w:color w:val="404040"/>
        <w:sz w:val="22"/>
      </w:rPr>
      <w:tcPr>
        <w:shd w:val="clear" w:color="d8e2f2" w:fill="d8e2f2"/>
      </w:tcPr>
    </w:tblStylePr>
    <w:tblStylePr w:type="band1Vert">
      <w:rPr>
        <w:rFonts w:ascii="Symbol" w:hAnsi="Symbo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Grid Table 3 - Accent 6"/>
    <w:basedOn w:val="685"/>
    <w:uiPriority w:val="99"/>
    <w:qFormat/>
    <w:tblPr>
      <w:tblBorders>
        <w:bottom w:val="single" w:color="70AD47" w:sz="4" w:space="0"/>
        <w:insideH w:val="single" w:color="70AD47" w:sz="4" w:space="0"/>
        <w:insideV w:val="single" w:color="70AD47" w:sz="4" w:space="0"/>
      </w:tblBorders>
    </w:tblPr>
    <w:tblStylePr w:type="band1Horz">
      <w:rPr>
        <w:rFonts w:ascii="Symbol" w:hAnsi="Symbol"/>
        <w:color w:val="404040"/>
        <w:sz w:val="22"/>
      </w:rPr>
      <w:tcPr>
        <w:shd w:val="clear" w:color="e1efd8" w:fill="e1efd8"/>
      </w:tcPr>
    </w:tblStylePr>
    <w:tblStylePr w:type="band1Vert">
      <w:rPr>
        <w:rFonts w:ascii="Symbol" w:hAnsi="Symbo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Grid Table 4"/>
    <w:basedOn w:val="68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Symbol" w:hAnsi="Symbol"/>
        <w:color w:val="404040"/>
        <w:sz w:val="22"/>
      </w:rPr>
      <w:tcPr>
        <w:shd w:val="clear" w:color="cacaca" w:fill="cacaca"/>
      </w:tcPr>
    </w:tblStylePr>
    <w:tblStylePr w:type="band1Vert">
      <w:rPr>
        <w:rFonts w:ascii="Symbol" w:hAnsi="Symbol"/>
        <w:color w:val="404040"/>
        <w:sz w:val="22"/>
      </w:rPr>
      <w:tcPr>
        <w:shd w:val="clear" w:color="cacaca" w:fill="cacaca"/>
      </w:tcPr>
    </w:tblStylePr>
    <w:tblStylePr w:type="firstCol">
      <w:rPr>
        <w:b/>
        <w:color w:val="404040"/>
      </w:rPr>
    </w:tblStylePr>
    <w:tblStylePr w:type="firstRow">
      <w:rPr>
        <w:rFonts w:ascii="Symbol" w:hAnsi="Symbo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Grid Table 4 - Accent 1"/>
    <w:basedOn w:val="685"/>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Symbol" w:hAnsi="Symbol"/>
        <w:color w:val="404040"/>
        <w:sz w:val="22"/>
      </w:rPr>
      <w:tcPr>
        <w:shd w:val="clear" w:color="deebf6" w:fill="deebf6"/>
      </w:tcPr>
    </w:tblStylePr>
    <w:tblStylePr w:type="band1Vert">
      <w:rPr>
        <w:rFonts w:ascii="Symbol" w:hAnsi="Symbol"/>
        <w:color w:val="404040"/>
        <w:sz w:val="22"/>
      </w:rPr>
      <w:tcPr>
        <w:shd w:val="clear" w:color="deebf6" w:fill="deebf6"/>
      </w:tcPr>
    </w:tblStylePr>
    <w:tblStylePr w:type="firstCol">
      <w:rPr>
        <w:b/>
        <w:color w:val="404040"/>
      </w:rPr>
    </w:tblStylePr>
    <w:tblStylePr w:type="firstRow">
      <w:rPr>
        <w:rFonts w:ascii="Symbol" w:hAnsi="Symbol"/>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4 - Accent 2"/>
    <w:basedOn w:val="685"/>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Symbol" w:hAnsi="Symbol"/>
        <w:color w:val="404040"/>
        <w:sz w:val="22"/>
      </w:rPr>
      <w:tcPr>
        <w:shd w:val="clear" w:color="fbe5d6" w:fill="fbe5d6"/>
      </w:tcPr>
    </w:tblStylePr>
    <w:tblStylePr w:type="band1Vert">
      <w:rPr>
        <w:rFonts w:ascii="Symbol" w:hAnsi="Symbol"/>
        <w:color w:val="404040"/>
        <w:sz w:val="22"/>
      </w:rPr>
      <w:tcPr>
        <w:shd w:val="clear" w:color="fbe5d6" w:fill="fbe5d6"/>
      </w:tcPr>
    </w:tblStylePr>
    <w:tblStylePr w:type="firstCol">
      <w:rPr>
        <w:b/>
        <w:color w:val="404040"/>
      </w:rPr>
    </w:tblStylePr>
    <w:tblStylePr w:type="firstRow">
      <w:rPr>
        <w:rFonts w:ascii="Symbol" w:hAnsi="Symbol"/>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4 - Accent 3"/>
    <w:basedOn w:val="685"/>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Symbol" w:hAnsi="Symbol"/>
        <w:color w:val="404040"/>
        <w:sz w:val="22"/>
      </w:rPr>
      <w:tcPr>
        <w:shd w:val="clear" w:color="ececec" w:fill="ececec"/>
      </w:tcPr>
    </w:tblStylePr>
    <w:tblStylePr w:type="band1Vert">
      <w:rPr>
        <w:rFonts w:ascii="Symbol" w:hAnsi="Symbol"/>
        <w:color w:val="404040"/>
        <w:sz w:val="22"/>
      </w:rPr>
      <w:tcPr>
        <w:shd w:val="clear" w:color="ececec" w:fill="ececec"/>
      </w:tcPr>
    </w:tblStylePr>
    <w:tblStylePr w:type="firstCol">
      <w:rPr>
        <w:b/>
        <w:color w:val="404040"/>
      </w:rPr>
    </w:tblStylePr>
    <w:tblStylePr w:type="firstRow">
      <w:rPr>
        <w:rFonts w:ascii="Symbol" w:hAnsi="Symbol"/>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4 - Accent 4"/>
    <w:basedOn w:val="685"/>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Symbol" w:hAnsi="Symbol"/>
        <w:color w:val="404040"/>
        <w:sz w:val="22"/>
      </w:rPr>
      <w:tcPr>
        <w:shd w:val="clear" w:color="fef2ca" w:fill="fef2ca"/>
      </w:tcPr>
    </w:tblStylePr>
    <w:tblStylePr w:type="band1Vert">
      <w:rPr>
        <w:rFonts w:ascii="Symbol" w:hAnsi="Symbol"/>
        <w:color w:val="404040"/>
        <w:sz w:val="22"/>
      </w:rPr>
      <w:tcPr>
        <w:shd w:val="clear" w:color="fef2ca" w:fill="fef2ca"/>
      </w:tcPr>
    </w:tblStylePr>
    <w:tblStylePr w:type="firstCol">
      <w:rPr>
        <w:b/>
        <w:color w:val="404040"/>
      </w:rPr>
    </w:tblStylePr>
    <w:tblStylePr w:type="firstRow">
      <w:rPr>
        <w:rFonts w:ascii="Symbol" w:hAnsi="Symbol"/>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4 - Accent 5"/>
    <w:basedOn w:val="685"/>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Symbol" w:hAnsi="Symbol"/>
        <w:color w:val="404040"/>
        <w:sz w:val="22"/>
      </w:rPr>
      <w:tcPr>
        <w:shd w:val="clear" w:color="d8e2f2" w:fill="d8e2f2"/>
      </w:tcPr>
    </w:tblStylePr>
    <w:tblStylePr w:type="band1Vert">
      <w:rPr>
        <w:rFonts w:ascii="Symbol" w:hAnsi="Symbol"/>
        <w:color w:val="404040"/>
        <w:sz w:val="22"/>
      </w:rPr>
      <w:tcPr>
        <w:shd w:val="clear" w:color="d8e2f2" w:fill="d8e2f2"/>
      </w:tcPr>
    </w:tblStylePr>
    <w:tblStylePr w:type="firstCol">
      <w:rPr>
        <w:b/>
        <w:color w:val="404040"/>
      </w:rPr>
    </w:tblStylePr>
    <w:tblStylePr w:type="firstRow">
      <w:rPr>
        <w:rFonts w:ascii="Symbol" w:hAnsi="Symbol"/>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4 - Accent 6"/>
    <w:basedOn w:val="685"/>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Symbol" w:hAnsi="Symbol"/>
        <w:color w:val="404040"/>
        <w:sz w:val="22"/>
      </w:rPr>
      <w:tcPr>
        <w:shd w:val="clear" w:color="e1efd8" w:fill="e1efd8"/>
      </w:tcPr>
    </w:tblStylePr>
    <w:tblStylePr w:type="band1Vert">
      <w:rPr>
        <w:rFonts w:ascii="Symbol" w:hAnsi="Symbol"/>
        <w:color w:val="404040"/>
        <w:sz w:val="22"/>
      </w:rPr>
      <w:tcPr>
        <w:shd w:val="clear" w:color="e1efd8" w:fill="e1efd8"/>
      </w:tcPr>
    </w:tblStylePr>
    <w:tblStylePr w:type="firstCol">
      <w:rPr>
        <w:b/>
        <w:color w:val="404040"/>
      </w:rPr>
    </w:tblStylePr>
    <w:tblStylePr w:type="firstRow">
      <w:rPr>
        <w:rFonts w:ascii="Symbol" w:hAnsi="Symbol"/>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5 Dark"/>
    <w:basedOn w:val="6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Symbol" w:hAnsi="Symbol"/>
        <w:b/>
        <w:color w:val="ffffff"/>
        <w:sz w:val="22"/>
      </w:rPr>
      <w:tcPr>
        <w:shd w:val="clear" w:color="000000" w:fill="000000"/>
      </w:tcPr>
    </w:tblStylePr>
    <w:tblStylePr w:type="firstRow">
      <w:rPr>
        <w:rFonts w:ascii="Symbol" w:hAnsi="Symbol"/>
        <w:b/>
        <w:color w:val="ffffff"/>
        <w:sz w:val="22"/>
      </w:rPr>
      <w:tcPr>
        <w:shd w:val="clear" w:color="000000" w:fill="000000"/>
      </w:tcPr>
    </w:tblStylePr>
    <w:tblStylePr w:type="lastCol">
      <w:rPr>
        <w:rFonts w:ascii="Symbol" w:hAnsi="Symbol"/>
        <w:b/>
        <w:color w:val="ffffff"/>
        <w:sz w:val="22"/>
      </w:rPr>
      <w:tcPr>
        <w:shd w:val="clear" w:color="000000" w:fill="000000"/>
      </w:tcPr>
    </w:tblStylePr>
    <w:tblStylePr w:type="lastRow">
      <w:rPr>
        <w:rFonts w:ascii="Symbol" w:hAnsi="Symbo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5 Dark- Accent 1"/>
    <w:basedOn w:val="6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Symbol" w:hAnsi="Symbol"/>
        <w:b/>
        <w:color w:val="ffffff"/>
        <w:sz w:val="22"/>
      </w:rPr>
      <w:tcPr>
        <w:shd w:val="clear" w:color="5b9bd5" w:fill="5b9bd5"/>
      </w:tcPr>
    </w:tblStylePr>
    <w:tblStylePr w:type="firstRow">
      <w:rPr>
        <w:rFonts w:ascii="Symbol" w:hAnsi="Symbol"/>
        <w:b/>
        <w:color w:val="ffffff"/>
        <w:sz w:val="22"/>
      </w:rPr>
      <w:tcPr>
        <w:shd w:val="clear" w:color="5b9bd5" w:fill="5b9bd5"/>
      </w:tcPr>
    </w:tblStylePr>
    <w:tblStylePr w:type="lastCol">
      <w:rPr>
        <w:rFonts w:ascii="Symbol" w:hAnsi="Symbol"/>
        <w:b/>
        <w:color w:val="ffffff"/>
        <w:sz w:val="22"/>
      </w:rPr>
      <w:tcPr>
        <w:shd w:val="clear" w:color="5b9bd5" w:fill="5b9bd5"/>
      </w:tcPr>
    </w:tblStylePr>
    <w:tblStylePr w:type="lastRow">
      <w:rPr>
        <w:rFonts w:ascii="Symbol" w:hAnsi="Symbol"/>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5 Dark - Accent 2"/>
    <w:basedOn w:val="6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Symbol" w:hAnsi="Symbol"/>
        <w:b/>
        <w:color w:val="ffffff"/>
        <w:sz w:val="22"/>
      </w:rPr>
      <w:tcPr>
        <w:shd w:val="clear" w:color="ed7d31" w:fill="ed7d31"/>
      </w:tcPr>
    </w:tblStylePr>
    <w:tblStylePr w:type="firstRow">
      <w:rPr>
        <w:rFonts w:ascii="Symbol" w:hAnsi="Symbol"/>
        <w:b/>
        <w:color w:val="ffffff"/>
        <w:sz w:val="22"/>
      </w:rPr>
      <w:tcPr>
        <w:shd w:val="clear" w:color="ed7d31" w:fill="ed7d31"/>
      </w:tcPr>
    </w:tblStylePr>
    <w:tblStylePr w:type="lastCol">
      <w:rPr>
        <w:rFonts w:ascii="Symbol" w:hAnsi="Symbol"/>
        <w:b/>
        <w:color w:val="ffffff"/>
        <w:sz w:val="22"/>
      </w:rPr>
      <w:tcPr>
        <w:shd w:val="clear" w:color="ed7d31" w:fill="ed7d31"/>
      </w:tcPr>
    </w:tblStylePr>
    <w:tblStylePr w:type="lastRow">
      <w:rPr>
        <w:rFonts w:ascii="Symbol" w:hAnsi="Symbol"/>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5 Dark - Accent 3"/>
    <w:basedOn w:val="6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Symbol" w:hAnsi="Symbol"/>
        <w:b/>
        <w:color w:val="ffffff"/>
        <w:sz w:val="22"/>
      </w:rPr>
      <w:tcPr>
        <w:shd w:val="clear" w:color="a5a5a5" w:fill="a5a5a5"/>
      </w:tcPr>
    </w:tblStylePr>
    <w:tblStylePr w:type="firstRow">
      <w:rPr>
        <w:rFonts w:ascii="Symbol" w:hAnsi="Symbol"/>
        <w:b/>
        <w:color w:val="ffffff"/>
        <w:sz w:val="22"/>
      </w:rPr>
      <w:tcPr>
        <w:shd w:val="clear" w:color="a5a5a5" w:fill="a5a5a5"/>
      </w:tcPr>
    </w:tblStylePr>
    <w:tblStylePr w:type="lastCol">
      <w:rPr>
        <w:rFonts w:ascii="Symbol" w:hAnsi="Symbol"/>
        <w:b/>
        <w:color w:val="ffffff"/>
        <w:sz w:val="22"/>
      </w:rPr>
      <w:tcPr>
        <w:shd w:val="clear" w:color="a5a5a5" w:fill="a5a5a5"/>
      </w:tcPr>
    </w:tblStylePr>
    <w:tblStylePr w:type="lastRow">
      <w:rPr>
        <w:rFonts w:ascii="Symbol" w:hAnsi="Symbol"/>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5 Dark- Accent 4"/>
    <w:basedOn w:val="6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Symbol" w:hAnsi="Symbol"/>
        <w:b/>
        <w:color w:val="ffffff"/>
        <w:sz w:val="22"/>
      </w:rPr>
      <w:tcPr>
        <w:shd w:val="clear" w:color="ffc000" w:fill="ffc000"/>
      </w:tcPr>
    </w:tblStylePr>
    <w:tblStylePr w:type="firstRow">
      <w:rPr>
        <w:rFonts w:ascii="Symbol" w:hAnsi="Symbol"/>
        <w:b/>
        <w:color w:val="ffffff"/>
        <w:sz w:val="22"/>
      </w:rPr>
      <w:tcPr>
        <w:shd w:val="clear" w:color="ffc000" w:fill="ffc000"/>
      </w:tcPr>
    </w:tblStylePr>
    <w:tblStylePr w:type="lastCol">
      <w:rPr>
        <w:rFonts w:ascii="Symbol" w:hAnsi="Symbol"/>
        <w:b/>
        <w:color w:val="ffffff"/>
        <w:sz w:val="22"/>
      </w:rPr>
      <w:tcPr>
        <w:shd w:val="clear" w:color="ffc000" w:fill="ffc000"/>
      </w:tcPr>
    </w:tblStylePr>
    <w:tblStylePr w:type="lastRow">
      <w:rPr>
        <w:rFonts w:ascii="Symbol" w:hAnsi="Symbol"/>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5 Dark - Accent 5"/>
    <w:basedOn w:val="6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Symbol" w:hAnsi="Symbol"/>
        <w:b/>
        <w:color w:val="ffffff"/>
        <w:sz w:val="22"/>
      </w:rPr>
      <w:tcPr>
        <w:shd w:val="clear" w:color="4472c4" w:fill="4472c4"/>
      </w:tcPr>
    </w:tblStylePr>
    <w:tblStylePr w:type="firstRow">
      <w:rPr>
        <w:rFonts w:ascii="Symbol" w:hAnsi="Symbol"/>
        <w:b/>
        <w:color w:val="ffffff"/>
        <w:sz w:val="22"/>
      </w:rPr>
      <w:tcPr>
        <w:shd w:val="clear" w:color="4472c4" w:fill="4472c4"/>
      </w:tcPr>
    </w:tblStylePr>
    <w:tblStylePr w:type="lastCol">
      <w:rPr>
        <w:rFonts w:ascii="Symbol" w:hAnsi="Symbol"/>
        <w:b/>
        <w:color w:val="ffffff"/>
        <w:sz w:val="22"/>
      </w:rPr>
      <w:tcPr>
        <w:shd w:val="clear" w:color="4472c4" w:fill="4472c4"/>
      </w:tcPr>
    </w:tblStylePr>
    <w:tblStylePr w:type="lastRow">
      <w:rPr>
        <w:rFonts w:ascii="Symbol" w:hAnsi="Symbol"/>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Grid Table 5 Dark - Accent 6"/>
    <w:basedOn w:val="6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Symbol" w:hAnsi="Symbol"/>
        <w:b/>
        <w:color w:val="ffffff"/>
        <w:sz w:val="22"/>
      </w:rPr>
      <w:tcPr>
        <w:shd w:val="clear" w:color="70ad47" w:fill="70ad47"/>
      </w:tcPr>
    </w:tblStylePr>
    <w:tblStylePr w:type="firstRow">
      <w:rPr>
        <w:rFonts w:ascii="Symbol" w:hAnsi="Symbol"/>
        <w:b/>
        <w:color w:val="ffffff"/>
        <w:sz w:val="22"/>
      </w:rPr>
      <w:tcPr>
        <w:shd w:val="clear" w:color="70ad47" w:fill="70ad47"/>
      </w:tcPr>
    </w:tblStylePr>
    <w:tblStylePr w:type="lastCol">
      <w:rPr>
        <w:rFonts w:ascii="Symbol" w:hAnsi="Symbol"/>
        <w:b/>
        <w:color w:val="ffffff"/>
        <w:sz w:val="22"/>
      </w:rPr>
      <w:tcPr>
        <w:shd w:val="clear" w:color="70ad47" w:fill="70ad47"/>
      </w:tcPr>
    </w:tblStylePr>
    <w:tblStylePr w:type="lastRow">
      <w:rPr>
        <w:rFonts w:ascii="Symbol" w:hAnsi="Symbol"/>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Grid Table 6 Colorful"/>
    <w:basedOn w:val="68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Symbol" w:hAnsi="Symbol"/>
        <w:color w:val="7e7e7e"/>
        <w:sz w:val="22"/>
      </w:rPr>
      <w:tcPr>
        <w:shd w:val="clear" w:color="cacaca" w:fill="cacaca"/>
      </w:tcPr>
    </w:tblStylePr>
    <w:tblStylePr w:type="band1Vert">
      <w:tcPr>
        <w:shd w:val="clear" w:color="cacaca" w:fill="cacaca"/>
      </w:tcPr>
    </w:tblStylePr>
    <w:tblStylePr w:type="band2Horz">
      <w:rPr>
        <w:rFonts w:ascii="Symbol" w:hAnsi="Symbol"/>
        <w:color w:val="7e7e7e"/>
        <w:sz w:val="22"/>
      </w:rPr>
    </w:tblStylePr>
    <w:tblStylePr w:type="firstCol">
      <w:rPr>
        <w:b/>
        <w:color w:val="7e7e7e"/>
      </w:rPr>
    </w:tblStylePr>
    <w:tblStylePr w:type="firstRow">
      <w:rPr>
        <w:b/>
        <w:color w:val="7e7e7e"/>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802" w:customStyle="1">
    <w:name w:val="Grid Table 6 Colorful - Accent 1"/>
    <w:basedOn w:val="685"/>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Symbol" w:hAnsi="Symbol"/>
        <w:color w:val="accce9"/>
        <w:sz w:val="22"/>
      </w:rPr>
      <w:tcPr>
        <w:shd w:val="clear" w:color="ddeaf6" w:fill="ddeaf6"/>
      </w:tcPr>
    </w:tblStylePr>
    <w:tblStylePr w:type="band1Vert">
      <w:tcPr>
        <w:shd w:val="clear" w:color="ddeaf6" w:fill="ddeaf6"/>
      </w:tcPr>
    </w:tblStylePr>
    <w:tblStylePr w:type="band2Horz">
      <w:rPr>
        <w:rFonts w:ascii="Symbol" w:hAnsi="Symbol"/>
        <w:color w:val="accce9"/>
        <w:sz w:val="22"/>
      </w:rPr>
    </w:tblStylePr>
    <w:tblStylePr w:type="firstCol">
      <w:rPr>
        <w:b/>
        <w:color w:val="accce9"/>
      </w:rPr>
    </w:tblStylePr>
    <w:tblStylePr w:type="firstRow">
      <w:rPr>
        <w:b/>
        <w:color w:val="accce9"/>
      </w:rPr>
      <w:tcPr>
        <w:tcBorders>
          <w:top w:val="none" w:color="000000" w:sz="4" w:space="0"/>
          <w:left w:val="single" w:color="ACCCE9" w:sz="12" w:space="0"/>
          <w:bottom w:val="none" w:color="000000" w:sz="4" w:space="0"/>
          <w:right w:val="none" w:color="000000" w:sz="4" w:space="0"/>
          <w:insideH w:val="none" w:color="000000" w:sz="4" w:space="0"/>
          <w:insideV w:val="none" w:color="000000" w:sz="4" w:space="0"/>
        </w:tcBorders>
      </w:tcPr>
    </w:tblStylePr>
    <w:tblStylePr w:type="lastCol">
      <w:rPr>
        <w:b/>
        <w:color w:val="accce9"/>
      </w:rPr>
    </w:tblStylePr>
    <w:tblStylePr w:type="lastRow">
      <w:rPr>
        <w:b/>
        <w:color w:val="accce9"/>
      </w:rPr>
    </w:tblStylePr>
  </w:style>
  <w:style w:type="table" w:styleId="803" w:customStyle="1">
    <w:name w:val="Grid Table 6 Colorful - Accent 2"/>
    <w:basedOn w:val="685"/>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Symbol" w:hAnsi="Symbol"/>
        <w:color w:val="f4b285"/>
        <w:sz w:val="22"/>
      </w:rPr>
      <w:tcPr>
        <w:shd w:val="clear" w:color="fbe5d6" w:fill="fbe5d6"/>
      </w:tcPr>
    </w:tblStylePr>
    <w:tblStylePr w:type="band1Vert">
      <w:tcPr>
        <w:shd w:val="clear" w:color="fbe5d6" w:fill="fbe5d6"/>
      </w:tcPr>
    </w:tblStylePr>
    <w:tblStylePr w:type="band2Horz">
      <w:rPr>
        <w:rFonts w:ascii="Symbol" w:hAnsi="Symbol"/>
        <w:color w:val="f4b285"/>
        <w:sz w:val="22"/>
      </w:rPr>
    </w:tblStylePr>
    <w:tblStylePr w:type="firstCol">
      <w:rPr>
        <w:b/>
        <w:color w:val="f4b285"/>
      </w:rPr>
    </w:tblStylePr>
    <w:tblStylePr w:type="firstRow">
      <w:rPr>
        <w:b/>
        <w:color w:val="f4b285"/>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804" w:customStyle="1">
    <w:name w:val="Grid Table 6 Colorful - Accent 3"/>
    <w:basedOn w:val="685"/>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Symbol" w:hAnsi="Symbol"/>
        <w:color w:val="a5a5a5"/>
        <w:sz w:val="22"/>
      </w:rPr>
      <w:tcPr>
        <w:shd w:val="clear" w:color="ececec" w:fill="ececec"/>
      </w:tcPr>
    </w:tblStylePr>
    <w:tblStylePr w:type="band1Vert">
      <w:tcPr>
        <w:shd w:val="clear" w:color="ececec" w:fill="ececec"/>
      </w:tcPr>
    </w:tblStylePr>
    <w:tblStylePr w:type="band2Horz">
      <w:rPr>
        <w:rFonts w:ascii="Symbol" w:hAnsi="Symbol"/>
        <w:color w:val="a5a5a5"/>
        <w:sz w:val="22"/>
      </w:rPr>
    </w:tblStylePr>
    <w:tblStylePr w:type="firstCol">
      <w:rPr>
        <w:b/>
        <w:color w:val="a5a5a5"/>
      </w:rPr>
    </w:tblStylePr>
    <w:tblStylePr w:type="firstRow">
      <w:rPr>
        <w:b/>
        <w:color w:val="a5a5a5"/>
      </w:rPr>
      <w:tcPr>
        <w:tcBorders>
          <w:top w:val="none" w:color="000000" w:sz="4" w:space="0"/>
          <w:left w:val="single" w:color="A5A5A5" w:sz="12" w:space="0"/>
          <w:bottom w:val="none" w:color="000000" w:sz="4"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805" w:customStyle="1">
    <w:name w:val="Grid Table 6 Colorful - Accent 4"/>
    <w:basedOn w:val="685"/>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Symbol" w:hAnsi="Symbol"/>
        <w:color w:val="ffd965"/>
        <w:sz w:val="22"/>
      </w:rPr>
      <w:tcPr>
        <w:shd w:val="clear" w:color="fef2ca" w:fill="fef2ca"/>
      </w:tcPr>
    </w:tblStylePr>
    <w:tblStylePr w:type="band1Vert">
      <w:tcPr>
        <w:shd w:val="clear" w:color="fef2ca" w:fill="fef2ca"/>
      </w:tcPr>
    </w:tblStylePr>
    <w:tblStylePr w:type="band2Horz">
      <w:rPr>
        <w:rFonts w:ascii="Symbol" w:hAnsi="Symbol"/>
        <w:color w:val="ffd965"/>
        <w:sz w:val="22"/>
      </w:rPr>
    </w:tblStylePr>
    <w:tblStylePr w:type="firstCol">
      <w:rPr>
        <w:b/>
        <w:color w:val="ffd965"/>
      </w:rPr>
    </w:tblStylePr>
    <w:tblStylePr w:type="firstRow">
      <w:rPr>
        <w:b/>
        <w:color w:val="ffd965"/>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806" w:customStyle="1">
    <w:name w:val="Grid Table 6 Colorful - Accent 5"/>
    <w:basedOn w:val="685"/>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Symbol" w:hAnsi="Symbol"/>
        <w:color w:val="244174"/>
        <w:sz w:val="22"/>
      </w:rPr>
      <w:tcPr>
        <w:shd w:val="clear" w:color="d8e2f2" w:fill="d8e2f2"/>
      </w:tcPr>
    </w:tblStylePr>
    <w:tblStylePr w:type="band1Vert">
      <w:tcPr>
        <w:shd w:val="clear" w:color="d8e2f2" w:fill="d8e2f2"/>
      </w:tcPr>
    </w:tblStylePr>
    <w:tblStylePr w:type="band2Horz">
      <w:rPr>
        <w:rFonts w:ascii="Symbol" w:hAnsi="Symbol"/>
        <w:color w:val="244174"/>
        <w:sz w:val="22"/>
      </w:rPr>
    </w:tblStylePr>
    <w:tblStylePr w:type="firstCol">
      <w:rPr>
        <w:b/>
        <w:color w:val="244174"/>
      </w:rPr>
    </w:tblStylePr>
    <w:tblStylePr w:type="firstRow">
      <w:rPr>
        <w:b/>
        <w:color w:val="244174"/>
      </w:rPr>
      <w:tcPr>
        <w:tcBorders>
          <w:top w:val="none" w:color="000000" w:sz="4" w:space="0"/>
          <w:left w:val="single" w:color="4472C4" w:sz="12" w:space="0"/>
          <w:bottom w:val="none" w:color="000000" w:sz="4"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807" w:customStyle="1">
    <w:name w:val="Grid Table 6 Colorful - Accent 6"/>
    <w:basedOn w:val="685"/>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Symbol" w:hAnsi="Symbol"/>
        <w:color w:val="244174"/>
        <w:sz w:val="22"/>
      </w:rPr>
      <w:tcPr>
        <w:shd w:val="clear" w:color="e1efd8" w:fill="e1efd8"/>
      </w:tcPr>
    </w:tblStylePr>
    <w:tblStylePr w:type="band1Vert">
      <w:tcPr>
        <w:shd w:val="clear" w:color="e1efd8" w:fill="e1efd8"/>
      </w:tcPr>
    </w:tblStylePr>
    <w:tblStylePr w:type="band2Horz">
      <w:rPr>
        <w:rFonts w:ascii="Symbol" w:hAnsi="Symbol"/>
        <w:color w:val="244174"/>
        <w:sz w:val="22"/>
      </w:rPr>
    </w:tblStylePr>
    <w:tblStylePr w:type="firstCol">
      <w:rPr>
        <w:b/>
        <w:color w:val="244174"/>
      </w:rPr>
    </w:tblStylePr>
    <w:tblStylePr w:type="firstRow">
      <w:rPr>
        <w:b/>
        <w:color w:val="244174"/>
      </w:rPr>
      <w:tcPr>
        <w:tcBorders>
          <w:top w:val="none" w:color="000000" w:sz="4" w:space="0"/>
          <w:left w:val="single" w:color="70AD47" w:sz="12" w:space="0"/>
          <w:bottom w:val="none" w:color="000000" w:sz="4"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808" w:customStyle="1">
    <w:name w:val="Grid Table 7 Colorful"/>
    <w:basedOn w:val="685"/>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Symbol" w:hAnsi="Symbol"/>
        <w:color w:val="7e7e7e"/>
        <w:sz w:val="22"/>
      </w:rPr>
      <w:tcPr>
        <w:shd w:val="clear" w:color="f1f1f1" w:fill="f1f1f1"/>
      </w:tcPr>
    </w:tblStylePr>
    <w:tblStylePr w:type="band1Vert">
      <w:tcPr>
        <w:shd w:val="clear" w:color="f1f1f1" w:fill="f1f1f1"/>
      </w:tcPr>
    </w:tblStylePr>
    <w:tblStylePr w:type="band2Horz">
      <w:rPr>
        <w:rFonts w:ascii="Symbol" w:hAnsi="Symbol"/>
        <w:color w:val="7e7e7e"/>
        <w:sz w:val="22"/>
      </w:rPr>
    </w:tblStylePr>
    <w:tblStylePr w:type="firstCol">
      <w:rPr>
        <w:rFonts w:ascii="Symbol" w:hAnsi="Symbo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Symbol" w:hAnsi="Symbol"/>
        <w:b/>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Symbol" w:hAnsi="Symbol"/>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7 Colorful - Accent 1"/>
    <w:basedOn w:val="685"/>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Symbol" w:hAnsi="Symbol"/>
        <w:color w:val="accce9"/>
        <w:sz w:val="22"/>
      </w:rPr>
      <w:tcPr>
        <w:shd w:val="clear" w:color="ddeaf6" w:fill="ddeaf6"/>
      </w:tcPr>
    </w:tblStylePr>
    <w:tblStylePr w:type="band1Vert">
      <w:tcPr>
        <w:shd w:val="clear" w:color="ddeaf6" w:fill="ddeaf6"/>
      </w:tcPr>
    </w:tblStylePr>
    <w:tblStylePr w:type="band2Horz">
      <w:rPr>
        <w:rFonts w:ascii="Symbol" w:hAnsi="Symbol"/>
        <w:color w:val="accce9"/>
        <w:sz w:val="22"/>
      </w:rPr>
    </w:tblStylePr>
    <w:tblStylePr w:type="firstCol">
      <w:rPr>
        <w:rFonts w:ascii="Symbol" w:hAnsi="Symbol"/>
        <w:i/>
        <w:color w:val="accce9"/>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Symbol" w:hAnsi="Symbol"/>
        <w:b/>
        <w:color w:val="accce9"/>
        <w:sz w:val="22"/>
      </w:rPr>
      <w:tcPr>
        <w:shd w:val="clear" w:color="ffffff" w:fill="ffffff"/>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accce9"/>
        <w:sz w:val="22"/>
      </w:rPr>
      <w:tcPr>
        <w:shd w:val="clear" w:color="ffffff" w:fill="auto"/>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Row">
      <w:rPr>
        <w:rFonts w:ascii="Symbol" w:hAnsi="Symbol"/>
        <w:b/>
        <w:color w:val="accce9"/>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7 Colorful - Accent 2"/>
    <w:basedOn w:val="685"/>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Symbol" w:hAnsi="Symbol"/>
        <w:color w:val="f4b285"/>
        <w:sz w:val="22"/>
      </w:rPr>
      <w:tcPr>
        <w:shd w:val="clear" w:color="fbe5d6" w:fill="fbe5d6"/>
      </w:tcPr>
    </w:tblStylePr>
    <w:tblStylePr w:type="band1Vert">
      <w:tcPr>
        <w:shd w:val="clear" w:color="fbe5d6" w:fill="fbe5d6"/>
      </w:tcPr>
    </w:tblStylePr>
    <w:tblStylePr w:type="band2Horz">
      <w:rPr>
        <w:rFonts w:ascii="Symbol" w:hAnsi="Symbol"/>
        <w:color w:val="f4b285"/>
        <w:sz w:val="22"/>
      </w:rPr>
    </w:tblStylePr>
    <w:tblStylePr w:type="firstCol">
      <w:rPr>
        <w:rFonts w:ascii="Symbol" w:hAnsi="Symbo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Symbol" w:hAnsi="Symbol"/>
        <w:b/>
        <w:color w:val="f4b285"/>
        <w:sz w:val="22"/>
      </w:rPr>
      <w:tcPr>
        <w:shd w:val="clear" w:color="ffffff" w:fill="ffffff"/>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f4b285"/>
        <w:sz w:val="22"/>
      </w:rPr>
      <w:tcPr>
        <w:shd w:val="clear" w:color="ffffff" w:fill="auto"/>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Row">
      <w:rPr>
        <w:rFonts w:ascii="Symbol" w:hAnsi="Symbol"/>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7 Colorful - Accent 3"/>
    <w:basedOn w:val="685"/>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Symbol" w:hAnsi="Symbol"/>
        <w:color w:val="a5a5a5"/>
        <w:sz w:val="22"/>
      </w:rPr>
      <w:tcPr>
        <w:shd w:val="clear" w:color="ececec" w:fill="ececec"/>
      </w:tcPr>
    </w:tblStylePr>
    <w:tblStylePr w:type="band1Vert">
      <w:tcPr>
        <w:shd w:val="clear" w:color="ececec" w:fill="ececec"/>
      </w:tcPr>
    </w:tblStylePr>
    <w:tblStylePr w:type="band2Horz">
      <w:rPr>
        <w:rFonts w:ascii="Symbol" w:hAnsi="Symbol"/>
        <w:color w:val="a5a5a5"/>
        <w:sz w:val="22"/>
      </w:rPr>
    </w:tblStylePr>
    <w:tblStylePr w:type="firstCol">
      <w:rPr>
        <w:rFonts w:ascii="Symbol" w:hAnsi="Symbo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Symbol" w:hAnsi="Symbol"/>
        <w:b/>
        <w:color w:val="a5a5a5"/>
        <w:sz w:val="22"/>
      </w:rPr>
      <w:tcPr>
        <w:shd w:val="clear" w:color="ffffff" w:fill="ffffff"/>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a5a5a5"/>
        <w:sz w:val="22"/>
      </w:rPr>
      <w:tcPr>
        <w:shd w:val="clear" w:color="ffffff" w:fill="auto"/>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Row">
      <w:rPr>
        <w:rFonts w:ascii="Symbol" w:hAnsi="Symbol"/>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7 Colorful - Accent 4"/>
    <w:basedOn w:val="685"/>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Symbol" w:hAnsi="Symbol"/>
        <w:color w:val="ffd965"/>
        <w:sz w:val="22"/>
      </w:rPr>
      <w:tcPr>
        <w:shd w:val="clear" w:color="fef2ca" w:fill="fef2ca"/>
      </w:tcPr>
    </w:tblStylePr>
    <w:tblStylePr w:type="band1Vert">
      <w:tcPr>
        <w:shd w:val="clear" w:color="fef2ca" w:fill="fef2ca"/>
      </w:tcPr>
    </w:tblStylePr>
    <w:tblStylePr w:type="band2Horz">
      <w:rPr>
        <w:rFonts w:ascii="Symbol" w:hAnsi="Symbol"/>
        <w:color w:val="ffd965"/>
        <w:sz w:val="22"/>
      </w:rPr>
    </w:tblStylePr>
    <w:tblStylePr w:type="firstCol">
      <w:rPr>
        <w:rFonts w:ascii="Symbol" w:hAnsi="Symbo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Symbol" w:hAnsi="Symbol"/>
        <w:b/>
        <w:color w:val="ffd965"/>
        <w:sz w:val="22"/>
      </w:rPr>
      <w:tcPr>
        <w:shd w:val="clear" w:color="ffffff" w:fill="ffffff"/>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ffd965"/>
        <w:sz w:val="22"/>
      </w:rPr>
      <w:tcPr>
        <w:shd w:val="clear" w:color="ffffff" w:fill="auto"/>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Row">
      <w:rPr>
        <w:rFonts w:ascii="Symbol" w:hAnsi="Symbol"/>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7 Colorful - Accent 5"/>
    <w:basedOn w:val="685"/>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Symbol" w:hAnsi="Symbol"/>
        <w:color w:val="244174"/>
        <w:sz w:val="22"/>
      </w:rPr>
      <w:tcPr>
        <w:shd w:val="clear" w:color="d8e2f2" w:fill="d8e2f2"/>
      </w:tcPr>
    </w:tblStylePr>
    <w:tblStylePr w:type="band1Vert">
      <w:tcPr>
        <w:shd w:val="clear" w:color="d8e2f2" w:fill="d8e2f2"/>
      </w:tcPr>
    </w:tblStylePr>
    <w:tblStylePr w:type="band2Horz">
      <w:rPr>
        <w:rFonts w:ascii="Symbol" w:hAnsi="Symbol"/>
        <w:color w:val="244174"/>
        <w:sz w:val="22"/>
      </w:rPr>
    </w:tblStylePr>
    <w:tblStylePr w:type="firstCol">
      <w:rPr>
        <w:rFonts w:ascii="Symbol" w:hAnsi="Symbo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Symbol" w:hAnsi="Symbol"/>
        <w:b/>
        <w:color w:val="244174"/>
        <w:sz w:val="22"/>
      </w:rPr>
      <w:tcPr>
        <w:shd w:val="clear" w:color="ffffff" w:fill="ffffff"/>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244174"/>
        <w:sz w:val="22"/>
      </w:rPr>
      <w:tcPr>
        <w:shd w:val="clear" w:color="ffffff" w:fill="auto"/>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Row">
      <w:rPr>
        <w:rFonts w:ascii="Symbol" w:hAnsi="Symbol"/>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Grid Table 7 Colorful - Accent 6"/>
    <w:basedOn w:val="685"/>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Symbol" w:hAnsi="Symbol"/>
        <w:color w:val="416429"/>
        <w:sz w:val="22"/>
      </w:rPr>
      <w:tcPr>
        <w:shd w:val="clear" w:color="e1efd8" w:fill="e1efd8"/>
      </w:tcPr>
    </w:tblStylePr>
    <w:tblStylePr w:type="band1Vert">
      <w:tcPr>
        <w:shd w:val="clear" w:color="e1efd8" w:fill="e1efd8"/>
      </w:tcPr>
    </w:tblStylePr>
    <w:tblStylePr w:type="band2Horz">
      <w:rPr>
        <w:rFonts w:ascii="Symbol" w:hAnsi="Symbol"/>
        <w:color w:val="416429"/>
        <w:sz w:val="22"/>
      </w:rPr>
    </w:tblStylePr>
    <w:tblStylePr w:type="firstCol">
      <w:rPr>
        <w:rFonts w:ascii="Symbol" w:hAnsi="Symbo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Symbol" w:hAnsi="Symbol"/>
        <w:b/>
        <w:color w:val="416429"/>
        <w:sz w:val="22"/>
      </w:rPr>
      <w:tcPr>
        <w:shd w:val="clear" w:color="ffffff" w:fill="ffffff"/>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416429"/>
        <w:sz w:val="22"/>
      </w:rPr>
      <w:tcPr>
        <w:shd w:val="clear" w:color="ffffff" w:fill="auto"/>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Row">
      <w:rPr>
        <w:rFonts w:ascii="Symbol" w:hAnsi="Symbol"/>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List Table 1 Light"/>
    <w:basedOn w:val="685"/>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List Table 1 Light - Accent 1"/>
    <w:basedOn w:val="685"/>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List Table 1 Light - Accent 2"/>
    <w:basedOn w:val="685"/>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single" w:color="ED7D31"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List Table 1 Light - Accent 3"/>
    <w:basedOn w:val="685"/>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List Table 1 Light - Accent 4"/>
    <w:basedOn w:val="685"/>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single" w:color="FFC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List Table 1 Light - Accent 5"/>
    <w:basedOn w:val="685"/>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single" w:color="4472C4"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List Table 1 Light - Accent 6"/>
    <w:basedOn w:val="685"/>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single" w:color="70AD47"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List Table 2"/>
    <w:basedOn w:val="685"/>
    <w:uiPriority w:val="99"/>
    <w:qFormat/>
    <w:tblPr>
      <w:tblBorders>
        <w:top w:val="single" w:color="6E6E6E" w:sz="4" w:space="0"/>
        <w:bottom w:val="single" w:color="6E6E6E" w:sz="4" w:space="0"/>
        <w:insideH w:val="single" w:color="6E6E6E" w:sz="4" w:space="0"/>
      </w:tblBorders>
    </w:tblPr>
    <w:tblStylePr w:type="band1Horz">
      <w:rPr>
        <w:rFonts w:ascii="Symbol" w:hAnsi="Symbol"/>
        <w:color w:val="404040"/>
        <w:sz w:val="22"/>
      </w:rPr>
      <w:tcPr>
        <w:shd w:val="clear" w:color="bebebe" w:fill="bebebe"/>
      </w:tcPr>
    </w:tblStylePr>
    <w:tblStylePr w:type="band1Vert">
      <w:rPr>
        <w:rFonts w:ascii="Symbol" w:hAnsi="Symbol"/>
        <w:color w:val="404040"/>
        <w:sz w:val="22"/>
      </w:rPr>
      <w:tcPr>
        <w:shd w:val="clear" w:color="bebebe" w:fill="bebebe"/>
      </w:tcPr>
    </w:tblStylePr>
    <w:tblStylePr w:type="firstCol">
      <w:rPr>
        <w:rFonts w:ascii="Symbol" w:hAnsi="Symbol"/>
        <w:b/>
        <w:color w:val="404040"/>
        <w:sz w:val="22"/>
      </w:rPr>
    </w:tblStylePr>
    <w:tblStylePr w:type="firstRow">
      <w:rPr>
        <w:rFonts w:ascii="Symbol" w:hAnsi="Symbol"/>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b/>
        <w:color w:val="404040"/>
        <w:sz w:val="22"/>
      </w:rPr>
    </w:tblStylePr>
    <w:tblStylePr w:type="lastRow">
      <w:rPr>
        <w:rFonts w:ascii="Symbol" w:hAnsi="Symbol"/>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823" w:customStyle="1">
    <w:name w:val="List Table 2 - Accent 1"/>
    <w:basedOn w:val="685"/>
    <w:uiPriority w:val="99"/>
    <w:qFormat/>
    <w:tblPr>
      <w:tblBorders>
        <w:top w:val="single" w:color="A2C6E7" w:sz="4" w:space="0"/>
        <w:bottom w:val="single" w:color="A2C6E7" w:sz="4" w:space="0"/>
        <w:insideH w:val="single" w:color="A2C6E7" w:sz="4" w:space="0"/>
      </w:tblBorders>
    </w:tblPr>
    <w:tblStylePr w:type="band1Horz">
      <w:rPr>
        <w:rFonts w:ascii="Symbol" w:hAnsi="Symbol"/>
        <w:color w:val="404040"/>
        <w:sz w:val="22"/>
      </w:rPr>
      <w:tcPr>
        <w:shd w:val="clear" w:color="d5e5f4" w:fill="d5e5f4"/>
      </w:tcPr>
    </w:tblStylePr>
    <w:tblStylePr w:type="band1Vert">
      <w:rPr>
        <w:rFonts w:ascii="Symbol" w:hAnsi="Symbol"/>
        <w:color w:val="404040"/>
        <w:sz w:val="22"/>
      </w:rPr>
      <w:tcPr>
        <w:shd w:val="clear" w:color="d5e5f4" w:fill="d5e5f4"/>
      </w:tcPr>
    </w:tblStylePr>
    <w:tblStylePr w:type="firstCol">
      <w:rPr>
        <w:rFonts w:ascii="Symbol" w:hAnsi="Symbol"/>
        <w:b/>
        <w:color w:val="404040"/>
        <w:sz w:val="22"/>
      </w:rPr>
    </w:tblStylePr>
    <w:tblStylePr w:type="firstRow">
      <w:rPr>
        <w:rFonts w:ascii="Symbol" w:hAnsi="Symbol"/>
        <w:b/>
        <w:color w:val="404040"/>
        <w:sz w:val="22"/>
      </w:rPr>
      <w:tcPr>
        <w:tcBorders>
          <w:top w:val="single" w:color="A2C6E7" w:sz="4" w:space="0"/>
          <w:left w:val="single" w:color="A2C6E7"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b/>
        <w:color w:val="404040"/>
        <w:sz w:val="22"/>
      </w:rPr>
    </w:tblStylePr>
    <w:tblStylePr w:type="lastRow">
      <w:rPr>
        <w:rFonts w:ascii="Symbol" w:hAnsi="Symbol"/>
        <w:b/>
        <w:color w:val="404040"/>
        <w:sz w:val="22"/>
      </w:rPr>
      <w:tcPr>
        <w:tcBorders>
          <w:top w:val="single" w:color="A2C6E7" w:sz="4" w:space="0"/>
          <w:left w:val="single" w:color="A2C6E7" w:sz="4" w:space="0"/>
          <w:bottom w:val="none" w:color="000000" w:sz="4" w:space="0"/>
          <w:right w:val="none" w:color="000000" w:sz="4" w:space="0"/>
          <w:insideH w:val="none" w:color="000000" w:sz="4" w:space="0"/>
          <w:insideV w:val="none" w:color="000000" w:sz="4" w:space="0"/>
        </w:tcBorders>
      </w:tcPr>
    </w:tblStylePr>
  </w:style>
  <w:style w:type="table" w:styleId="824" w:customStyle="1">
    <w:name w:val="List Table 2 - Accent 2"/>
    <w:basedOn w:val="685"/>
    <w:uiPriority w:val="99"/>
    <w:qFormat/>
    <w:tblPr>
      <w:tblBorders>
        <w:top w:val="single" w:color="F4B58A" w:sz="4" w:space="0"/>
        <w:bottom w:val="single" w:color="F4B58A" w:sz="4" w:space="0"/>
        <w:insideH w:val="single" w:color="F4B58A" w:sz="4" w:space="0"/>
      </w:tblBorders>
    </w:tblPr>
    <w:tblStylePr w:type="band1Horz">
      <w:rPr>
        <w:rFonts w:ascii="Symbol" w:hAnsi="Symbol"/>
        <w:color w:val="404040"/>
        <w:sz w:val="22"/>
      </w:rPr>
      <w:tcPr>
        <w:shd w:val="clear" w:color="fadecb" w:fill="fadecb"/>
      </w:tcPr>
    </w:tblStylePr>
    <w:tblStylePr w:type="band1Vert">
      <w:rPr>
        <w:rFonts w:ascii="Symbol" w:hAnsi="Symbol"/>
        <w:color w:val="404040"/>
        <w:sz w:val="22"/>
      </w:rPr>
      <w:tcPr>
        <w:shd w:val="clear" w:color="fadecb" w:fill="fadecb"/>
      </w:tcPr>
    </w:tblStylePr>
    <w:tblStylePr w:type="firstCol">
      <w:rPr>
        <w:rFonts w:ascii="Symbol" w:hAnsi="Symbol"/>
        <w:b/>
        <w:color w:val="404040"/>
        <w:sz w:val="22"/>
      </w:rPr>
    </w:tblStylePr>
    <w:tblStylePr w:type="firstRow">
      <w:rPr>
        <w:rFonts w:ascii="Symbol" w:hAnsi="Symbol"/>
        <w:b/>
        <w:color w:val="404040"/>
        <w:sz w:val="22"/>
      </w:rPr>
      <w:tcPr>
        <w:tcBorders>
          <w:top w:val="single" w:color="F4B58A" w:sz="4" w:space="0"/>
          <w:left w:val="single" w:color="F4B58A"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b/>
        <w:color w:val="404040"/>
        <w:sz w:val="22"/>
      </w:rPr>
    </w:tblStylePr>
    <w:tblStylePr w:type="lastRow">
      <w:rPr>
        <w:rFonts w:ascii="Symbol" w:hAnsi="Symbol"/>
        <w:b/>
        <w:color w:val="404040"/>
        <w:sz w:val="22"/>
      </w:rPr>
      <w:tcPr>
        <w:tcBorders>
          <w:top w:val="single" w:color="F4B58A" w:sz="4" w:space="0"/>
          <w:left w:val="single" w:color="F4B58A" w:sz="4" w:space="0"/>
          <w:bottom w:val="none" w:color="000000" w:sz="4" w:space="0"/>
          <w:right w:val="none" w:color="000000" w:sz="4" w:space="0"/>
          <w:insideH w:val="none" w:color="000000" w:sz="4" w:space="0"/>
          <w:insideV w:val="none" w:color="000000" w:sz="4" w:space="0"/>
        </w:tcBorders>
      </w:tcPr>
    </w:tblStylePr>
  </w:style>
  <w:style w:type="table" w:styleId="825" w:customStyle="1">
    <w:name w:val="List Table 2 - Accent 3"/>
    <w:basedOn w:val="685"/>
    <w:uiPriority w:val="99"/>
    <w:qFormat/>
    <w:tblPr>
      <w:tblBorders>
        <w:top w:val="single" w:color="CCCCCC" w:sz="4" w:space="0"/>
        <w:bottom w:val="single" w:color="CCCCCC" w:sz="4" w:space="0"/>
        <w:insideH w:val="single" w:color="CCCCCC" w:sz="4" w:space="0"/>
      </w:tblBorders>
    </w:tblPr>
    <w:tblStylePr w:type="band1Horz">
      <w:rPr>
        <w:rFonts w:ascii="Symbol" w:hAnsi="Symbol"/>
        <w:color w:val="404040"/>
        <w:sz w:val="22"/>
      </w:rPr>
      <w:tcPr>
        <w:shd w:val="clear" w:color="e8e8e8" w:fill="e8e8e8"/>
      </w:tcPr>
    </w:tblStylePr>
    <w:tblStylePr w:type="band1Vert">
      <w:rPr>
        <w:rFonts w:ascii="Symbol" w:hAnsi="Symbol"/>
        <w:color w:val="404040"/>
        <w:sz w:val="22"/>
      </w:rPr>
      <w:tcPr>
        <w:shd w:val="clear" w:color="e8e8e8" w:fill="e8e8e8"/>
      </w:tcPr>
    </w:tblStylePr>
    <w:tblStylePr w:type="firstCol">
      <w:rPr>
        <w:rFonts w:ascii="Symbol" w:hAnsi="Symbol"/>
        <w:b/>
        <w:color w:val="404040"/>
        <w:sz w:val="22"/>
      </w:rPr>
    </w:tblStylePr>
    <w:tblStylePr w:type="firstRow">
      <w:rPr>
        <w:rFonts w:ascii="Symbol" w:hAnsi="Symbol"/>
        <w:b/>
        <w:color w:val="404040"/>
        <w:sz w:val="22"/>
      </w:rPr>
      <w:tcPr>
        <w:tcBorders>
          <w:top w:val="single" w:color="CCCCCC" w:sz="4" w:space="0"/>
          <w:left w:val="single" w:color="CCCCCC"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b/>
        <w:color w:val="404040"/>
        <w:sz w:val="22"/>
      </w:rPr>
    </w:tblStylePr>
    <w:tblStylePr w:type="lastRow">
      <w:rPr>
        <w:rFonts w:ascii="Symbol" w:hAnsi="Symbol"/>
        <w:b/>
        <w:color w:val="404040"/>
        <w:sz w:val="22"/>
      </w:rPr>
      <w:tcPr>
        <w:tcBorders>
          <w:top w:val="single" w:color="CCCCCC" w:sz="4" w:space="0"/>
          <w:left w:val="single" w:color="CCCCCC" w:sz="4" w:space="0"/>
          <w:bottom w:val="none" w:color="000000" w:sz="4" w:space="0"/>
          <w:right w:val="none" w:color="000000" w:sz="4" w:space="0"/>
          <w:insideH w:val="none" w:color="000000" w:sz="4" w:space="0"/>
          <w:insideV w:val="none" w:color="000000" w:sz="4" w:space="0"/>
        </w:tcBorders>
      </w:tcPr>
    </w:tblStylePr>
  </w:style>
  <w:style w:type="table" w:styleId="826" w:customStyle="1">
    <w:name w:val="List Table 2 - Accent 4"/>
    <w:basedOn w:val="685"/>
    <w:uiPriority w:val="99"/>
    <w:qFormat/>
    <w:tblPr>
      <w:tblBorders>
        <w:top w:val="single" w:color="FFDB6E" w:sz="4" w:space="0"/>
        <w:bottom w:val="single" w:color="FFDB6E" w:sz="4" w:space="0"/>
        <w:insideH w:val="single" w:color="FFDB6E" w:sz="4" w:space="0"/>
      </w:tblBorders>
    </w:tblPr>
    <w:tblStylePr w:type="band1Horz">
      <w:rPr>
        <w:rFonts w:ascii="Symbol" w:hAnsi="Symbol"/>
        <w:color w:val="404040"/>
        <w:sz w:val="22"/>
      </w:rPr>
      <w:tcPr>
        <w:shd w:val="clear" w:color="ffefbe" w:fill="ffefbe"/>
      </w:tcPr>
    </w:tblStylePr>
    <w:tblStylePr w:type="band1Vert">
      <w:rPr>
        <w:rFonts w:ascii="Symbol" w:hAnsi="Symbol"/>
        <w:color w:val="404040"/>
        <w:sz w:val="22"/>
      </w:rPr>
      <w:tcPr>
        <w:shd w:val="clear" w:color="ffefbe" w:fill="ffefbe"/>
      </w:tcPr>
    </w:tblStylePr>
    <w:tblStylePr w:type="firstCol">
      <w:rPr>
        <w:rFonts w:ascii="Symbol" w:hAnsi="Symbol"/>
        <w:b/>
        <w:color w:val="404040"/>
        <w:sz w:val="22"/>
      </w:rPr>
    </w:tblStylePr>
    <w:tblStylePr w:type="firstRow">
      <w:rPr>
        <w:rFonts w:ascii="Symbol" w:hAnsi="Symbol"/>
        <w:b/>
        <w:color w:val="404040"/>
        <w:sz w:val="22"/>
      </w:rPr>
      <w:tcPr>
        <w:tcBorders>
          <w:top w:val="single" w:color="FFDB6E" w:sz="4" w:space="0"/>
          <w:left w:val="single" w:color="FFDB6E"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b/>
        <w:color w:val="404040"/>
        <w:sz w:val="22"/>
      </w:rPr>
    </w:tblStylePr>
    <w:tblStylePr w:type="lastRow">
      <w:rPr>
        <w:rFonts w:ascii="Symbol" w:hAnsi="Symbol"/>
        <w:b/>
        <w:color w:val="404040"/>
        <w:sz w:val="22"/>
      </w:rPr>
      <w:tcPr>
        <w:tcBorders>
          <w:top w:val="single" w:color="FFDB6E" w:sz="4" w:space="0"/>
          <w:left w:val="single" w:color="FFDB6E" w:sz="4" w:space="0"/>
          <w:bottom w:val="none" w:color="000000" w:sz="4" w:space="0"/>
          <w:right w:val="none" w:color="000000" w:sz="4" w:space="0"/>
          <w:insideH w:val="none" w:color="000000" w:sz="4" w:space="0"/>
          <w:insideV w:val="none" w:color="000000" w:sz="4" w:space="0"/>
        </w:tcBorders>
      </w:tcPr>
    </w:tblStylePr>
  </w:style>
  <w:style w:type="table" w:styleId="827" w:customStyle="1">
    <w:name w:val="List Table 2 - Accent 5"/>
    <w:basedOn w:val="685"/>
    <w:uiPriority w:val="99"/>
    <w:qFormat/>
    <w:tblPr>
      <w:tblBorders>
        <w:top w:val="single" w:color="95AFDD" w:sz="4" w:space="0"/>
        <w:bottom w:val="single" w:color="95AFDD" w:sz="4" w:space="0"/>
        <w:insideH w:val="single" w:color="95AFDD" w:sz="4" w:space="0"/>
      </w:tblBorders>
    </w:tblPr>
    <w:tblStylePr w:type="band1Horz">
      <w:rPr>
        <w:rFonts w:ascii="Symbol" w:hAnsi="Symbol"/>
        <w:color w:val="404040"/>
        <w:sz w:val="22"/>
      </w:rPr>
      <w:tcPr>
        <w:shd w:val="clear" w:color="d0dbf0" w:fill="d0dbf0"/>
      </w:tcPr>
    </w:tblStylePr>
    <w:tblStylePr w:type="band1Vert">
      <w:rPr>
        <w:rFonts w:ascii="Symbol" w:hAnsi="Symbol"/>
        <w:color w:val="404040"/>
        <w:sz w:val="22"/>
      </w:rPr>
      <w:tcPr>
        <w:shd w:val="clear" w:color="d0dbf0" w:fill="d0dbf0"/>
      </w:tcPr>
    </w:tblStylePr>
    <w:tblStylePr w:type="firstCol">
      <w:rPr>
        <w:rFonts w:ascii="Symbol" w:hAnsi="Symbol"/>
        <w:b/>
        <w:color w:val="404040"/>
        <w:sz w:val="22"/>
      </w:rPr>
    </w:tblStylePr>
    <w:tblStylePr w:type="firstRow">
      <w:rPr>
        <w:rFonts w:ascii="Symbol" w:hAnsi="Symbol"/>
        <w:b/>
        <w:color w:val="404040"/>
        <w:sz w:val="22"/>
      </w:rPr>
      <w:tcPr>
        <w:tcBorders>
          <w:top w:val="single" w:color="95AFDD"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b/>
        <w:color w:val="404040"/>
        <w:sz w:val="22"/>
      </w:rPr>
    </w:tblStylePr>
    <w:tblStylePr w:type="lastRow">
      <w:rPr>
        <w:rFonts w:ascii="Symbol" w:hAnsi="Symbol"/>
        <w:b/>
        <w:color w:val="404040"/>
        <w:sz w:val="22"/>
      </w:rPr>
      <w:tcPr>
        <w:tcBorders>
          <w:top w:val="single" w:color="95AFDD" w:sz="4" w:space="0"/>
          <w:left w:val="single" w:color="95AFDD" w:sz="4" w:space="0"/>
          <w:bottom w:val="none" w:color="000000" w:sz="4" w:space="0"/>
          <w:right w:val="none" w:color="000000" w:sz="4" w:space="0"/>
          <w:insideH w:val="none" w:color="000000" w:sz="4" w:space="0"/>
          <w:insideV w:val="none" w:color="000000" w:sz="4" w:space="0"/>
        </w:tcBorders>
      </w:tcPr>
    </w:tblStylePr>
  </w:style>
  <w:style w:type="table" w:styleId="828" w:customStyle="1">
    <w:name w:val="List Table 2 - Accent 6"/>
    <w:basedOn w:val="685"/>
    <w:uiPriority w:val="99"/>
    <w:qFormat/>
    <w:tblPr>
      <w:tblBorders>
        <w:top w:val="single" w:color="ADD394" w:sz="4" w:space="0"/>
        <w:bottom w:val="single" w:color="ADD394" w:sz="4" w:space="0"/>
        <w:insideH w:val="single" w:color="ADD394" w:sz="4" w:space="0"/>
      </w:tblBorders>
    </w:tblPr>
    <w:tblStylePr w:type="band1Horz">
      <w:rPr>
        <w:rFonts w:ascii="Symbol" w:hAnsi="Symbol"/>
        <w:color w:val="404040"/>
        <w:sz w:val="22"/>
      </w:rPr>
      <w:tcPr>
        <w:shd w:val="clear" w:color="daebcf" w:fill="daebcf"/>
      </w:tcPr>
    </w:tblStylePr>
    <w:tblStylePr w:type="band1Vert">
      <w:rPr>
        <w:rFonts w:ascii="Symbol" w:hAnsi="Symbol"/>
        <w:color w:val="404040"/>
        <w:sz w:val="22"/>
      </w:rPr>
      <w:tcPr>
        <w:shd w:val="clear" w:color="daebcf" w:fill="daebcf"/>
      </w:tcPr>
    </w:tblStylePr>
    <w:tblStylePr w:type="firstCol">
      <w:rPr>
        <w:rFonts w:ascii="Symbol" w:hAnsi="Symbol"/>
        <w:b/>
        <w:color w:val="404040"/>
        <w:sz w:val="22"/>
      </w:rPr>
    </w:tblStylePr>
    <w:tblStylePr w:type="firstRow">
      <w:rPr>
        <w:rFonts w:ascii="Symbol" w:hAnsi="Symbol"/>
        <w:b/>
        <w:color w:val="404040"/>
        <w:sz w:val="22"/>
      </w:rPr>
      <w:tcPr>
        <w:tcBorders>
          <w:top w:val="single" w:color="ADD394"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b/>
        <w:color w:val="404040"/>
        <w:sz w:val="22"/>
      </w:rPr>
    </w:tblStylePr>
    <w:tblStylePr w:type="lastRow">
      <w:rPr>
        <w:rFonts w:ascii="Symbol" w:hAnsi="Symbol"/>
        <w:b/>
        <w:color w:val="404040"/>
        <w:sz w:val="22"/>
      </w:rPr>
      <w:tcPr>
        <w:tcBorders>
          <w:top w:val="single" w:color="ADD394" w:sz="4" w:space="0"/>
          <w:left w:val="single" w:color="ADD394" w:sz="4" w:space="0"/>
          <w:bottom w:val="none" w:color="000000" w:sz="4" w:space="0"/>
          <w:right w:val="none" w:color="000000" w:sz="4" w:space="0"/>
          <w:insideH w:val="none" w:color="000000" w:sz="4" w:space="0"/>
          <w:insideV w:val="none" w:color="000000" w:sz="4" w:space="0"/>
        </w:tcBorders>
      </w:tcPr>
    </w:tblStylePr>
  </w:style>
  <w:style w:type="table" w:styleId="829" w:customStyle="1">
    <w:name w:val="List Table 3"/>
    <w:basedOn w:val="68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Symbol" w:hAnsi="Symbol"/>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Symbol" w:hAnsi="Symbol"/>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Symbol" w:hAnsi="Symbol"/>
        <w:b/>
        <w:color w:val="ffffff"/>
        <w:sz w:val="22"/>
      </w:rPr>
      <w:tcPr>
        <w:shd w:val="clear" w:color="000000" w:fill="000000"/>
      </w:tcPr>
    </w:tblStylePr>
    <w:tblStylePr w:type="lastCol">
      <w:rPr>
        <w:b/>
        <w:color w:val="404040"/>
      </w:rPr>
    </w:tblStylePr>
    <w:tblStylePr w:type="lastRow">
      <w:rPr>
        <w:b/>
        <w:color w:val="404040"/>
      </w:rPr>
    </w:tblStylePr>
  </w:style>
  <w:style w:type="table" w:styleId="830" w:customStyle="1">
    <w:name w:val="List Table 3 - Accent 1"/>
    <w:basedOn w:val="685"/>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Symbol" w:hAnsi="Symbol"/>
        <w:color w:val="404040"/>
        <w:sz w:val="22"/>
      </w:rPr>
      <w:tcPr>
        <w:tcBorders>
          <w:top w:val="single" w:color="5B9BD5" w:sz="4" w:space="0"/>
          <w:left w:val="single" w:color="5B9BD5" w:sz="4" w:space="0"/>
          <w:bottom w:val="none" w:color="000000" w:sz="4" w:space="0"/>
          <w:right w:val="none" w:color="000000" w:sz="4" w:space="0"/>
          <w:insideH w:val="none" w:color="000000" w:sz="4" w:space="0"/>
          <w:insideV w:val="none" w:color="000000" w:sz="4" w:space="0"/>
        </w:tcBorders>
      </w:tcPr>
    </w:tblStylePr>
    <w:tblStylePr w:type="band1Vert">
      <w:rPr>
        <w:rFonts w:ascii="Symbol" w:hAnsi="Symbol"/>
        <w:color w:val="404040"/>
        <w:sz w:val="22"/>
      </w:rPr>
      <w:tcPr>
        <w:tcBorders>
          <w:top w:val="none" w:color="000000" w:sz="4" w:space="0"/>
          <w:left w:val="none" w:color="000000" w:sz="4" w:space="0"/>
          <w:bottom w:val="single" w:color="5B9BD5"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Symbol" w:hAnsi="Symbol"/>
        <w:b/>
        <w:color w:val="ffffff"/>
        <w:sz w:val="22"/>
      </w:rPr>
      <w:tcPr>
        <w:shd w:val="clear" w:color="5b9bd5" w:fill="5b9bd5"/>
      </w:tcPr>
    </w:tblStylePr>
    <w:tblStylePr w:type="lastCol">
      <w:rPr>
        <w:b/>
        <w:color w:val="404040"/>
      </w:rPr>
    </w:tblStylePr>
    <w:tblStylePr w:type="lastRow">
      <w:rPr>
        <w:b/>
        <w:color w:val="404040"/>
      </w:rPr>
    </w:tblStylePr>
  </w:style>
  <w:style w:type="table" w:styleId="831" w:customStyle="1">
    <w:name w:val="List Table 3 - Accent 2"/>
    <w:basedOn w:val="685"/>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Symbol" w:hAnsi="Symbol"/>
        <w:color w:val="404040"/>
        <w:sz w:val="22"/>
      </w:rPr>
      <w:tcPr>
        <w:tcBorders>
          <w:top w:val="single" w:color="F4B285" w:sz="4" w:space="0"/>
          <w:left w:val="single" w:color="F4B285" w:sz="4" w:space="0"/>
          <w:bottom w:val="none" w:color="000000" w:sz="4" w:space="0"/>
          <w:right w:val="none" w:color="000000" w:sz="4" w:space="0"/>
          <w:insideH w:val="none" w:color="000000" w:sz="4" w:space="0"/>
          <w:insideV w:val="none" w:color="000000" w:sz="4" w:space="0"/>
        </w:tcBorders>
      </w:tcPr>
    </w:tblStylePr>
    <w:tblStylePr w:type="band1Vert">
      <w:rPr>
        <w:rFonts w:ascii="Symbol" w:hAnsi="Symbol"/>
        <w:color w:val="404040"/>
        <w:sz w:val="22"/>
      </w:rPr>
      <w:tcPr>
        <w:tcBorders>
          <w:top w:val="none" w:color="000000" w:sz="4" w:space="0"/>
          <w:left w:val="none" w:color="000000" w:sz="4" w:space="0"/>
          <w:bottom w:val="single" w:color="F4B285"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Symbol" w:hAnsi="Symbol"/>
        <w:b/>
        <w:color w:val="ffffff"/>
        <w:sz w:val="22"/>
      </w:rPr>
      <w:tcPr>
        <w:shd w:val="clear" w:color="f4b285" w:fill="f4b285"/>
      </w:tcPr>
    </w:tblStylePr>
    <w:tblStylePr w:type="lastCol">
      <w:rPr>
        <w:b/>
        <w:color w:val="404040"/>
      </w:rPr>
    </w:tblStylePr>
    <w:tblStylePr w:type="lastRow">
      <w:rPr>
        <w:b/>
        <w:color w:val="404040"/>
      </w:rPr>
    </w:tblStylePr>
  </w:style>
  <w:style w:type="table" w:styleId="832" w:customStyle="1">
    <w:name w:val="List Table 3 - Accent 3"/>
    <w:basedOn w:val="685"/>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Symbol" w:hAnsi="Symbol"/>
        <w:color w:val="404040"/>
        <w:sz w:val="22"/>
      </w:rPr>
      <w:tcPr>
        <w:tcBorders>
          <w:top w:val="single" w:color="C9C9C9" w:sz="4" w:space="0"/>
          <w:left w:val="single" w:color="C9C9C9" w:sz="4" w:space="0"/>
          <w:bottom w:val="none" w:color="000000" w:sz="4" w:space="0"/>
          <w:right w:val="none" w:color="000000" w:sz="4" w:space="0"/>
          <w:insideH w:val="none" w:color="000000" w:sz="4" w:space="0"/>
          <w:insideV w:val="none" w:color="000000" w:sz="4" w:space="0"/>
        </w:tcBorders>
      </w:tcPr>
    </w:tblStylePr>
    <w:tblStylePr w:type="band1Vert">
      <w:rPr>
        <w:rFonts w:ascii="Symbol" w:hAnsi="Symbol"/>
        <w:color w:val="404040"/>
        <w:sz w:val="22"/>
      </w:rPr>
      <w:tcPr>
        <w:tcBorders>
          <w:top w:val="none" w:color="000000" w:sz="4" w:space="0"/>
          <w:left w:val="none" w:color="000000" w:sz="4" w:space="0"/>
          <w:bottom w:val="single" w:color="C9C9C9"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Symbol" w:hAnsi="Symbol"/>
        <w:b/>
        <w:color w:val="ffffff"/>
        <w:sz w:val="22"/>
      </w:rPr>
      <w:tcPr>
        <w:shd w:val="clear" w:color="c9c9c9" w:fill="c9c9c9"/>
      </w:tcPr>
    </w:tblStylePr>
    <w:tblStylePr w:type="lastCol">
      <w:rPr>
        <w:b/>
        <w:color w:val="404040"/>
      </w:rPr>
    </w:tblStylePr>
    <w:tblStylePr w:type="lastRow">
      <w:rPr>
        <w:b/>
        <w:color w:val="404040"/>
      </w:rPr>
    </w:tblStylePr>
  </w:style>
  <w:style w:type="table" w:styleId="833" w:customStyle="1">
    <w:name w:val="List Table 3 - Accent 4"/>
    <w:basedOn w:val="685"/>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Symbol" w:hAnsi="Symbol"/>
        <w:color w:val="404040"/>
        <w:sz w:val="22"/>
      </w:rPr>
      <w:tcPr>
        <w:tcBorders>
          <w:top w:val="single" w:color="FFD864" w:sz="4" w:space="0"/>
          <w:left w:val="single" w:color="FFD864" w:sz="4" w:space="0"/>
          <w:bottom w:val="none" w:color="000000" w:sz="4" w:space="0"/>
          <w:right w:val="none" w:color="000000" w:sz="4" w:space="0"/>
          <w:insideH w:val="none" w:color="000000" w:sz="4" w:space="0"/>
          <w:insideV w:val="none" w:color="000000" w:sz="4" w:space="0"/>
        </w:tcBorders>
      </w:tcPr>
    </w:tblStylePr>
    <w:tblStylePr w:type="band1Vert">
      <w:rPr>
        <w:rFonts w:ascii="Symbol" w:hAnsi="Symbol"/>
        <w:color w:val="404040"/>
        <w:sz w:val="22"/>
      </w:rPr>
      <w:tcPr>
        <w:tcBorders>
          <w:top w:val="none" w:color="000000" w:sz="4" w:space="0"/>
          <w:left w:val="none" w:color="000000" w:sz="4" w:space="0"/>
          <w:bottom w:val="single" w:color="FFD864"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Symbol" w:hAnsi="Symbol"/>
        <w:b/>
        <w:color w:val="ffffff"/>
        <w:sz w:val="22"/>
      </w:rPr>
      <w:tcPr>
        <w:shd w:val="clear" w:color="ffd864" w:fill="ffd864"/>
      </w:tcPr>
    </w:tblStylePr>
    <w:tblStylePr w:type="lastCol">
      <w:rPr>
        <w:b/>
        <w:color w:val="404040"/>
      </w:rPr>
    </w:tblStylePr>
    <w:tblStylePr w:type="lastRow">
      <w:rPr>
        <w:b/>
        <w:color w:val="404040"/>
      </w:rPr>
    </w:tblStylePr>
  </w:style>
  <w:style w:type="table" w:styleId="834" w:customStyle="1">
    <w:name w:val="List Table 3 - Accent 5"/>
    <w:basedOn w:val="685"/>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Symbol" w:hAnsi="Symbol"/>
        <w:color w:val="404040"/>
        <w:sz w:val="22"/>
      </w:rPr>
      <w:tcPr>
        <w:tcBorders>
          <w:top w:val="single" w:color="8EA9DB" w:sz="4" w:space="0"/>
          <w:left w:val="single" w:color="8EA9DB" w:sz="4" w:space="0"/>
          <w:bottom w:val="none" w:color="000000" w:sz="4" w:space="0"/>
          <w:right w:val="none" w:color="000000" w:sz="4" w:space="0"/>
          <w:insideH w:val="none" w:color="000000" w:sz="4" w:space="0"/>
          <w:insideV w:val="none" w:color="000000" w:sz="4" w:space="0"/>
        </w:tcBorders>
      </w:tcPr>
    </w:tblStylePr>
    <w:tblStylePr w:type="band1Vert">
      <w:rPr>
        <w:rFonts w:ascii="Symbol" w:hAnsi="Symbol"/>
        <w:color w:val="404040"/>
        <w:sz w:val="22"/>
      </w:rPr>
      <w:tcPr>
        <w:tcBorders>
          <w:top w:val="none" w:color="000000" w:sz="4" w:space="0"/>
          <w:left w:val="none" w:color="000000" w:sz="4" w:space="0"/>
          <w:bottom w:val="single" w:color="8EA9DB"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Symbol" w:hAnsi="Symbol"/>
        <w:b/>
        <w:color w:val="ffffff"/>
        <w:sz w:val="22"/>
      </w:rPr>
      <w:tcPr>
        <w:shd w:val="clear" w:color="8ea9db" w:fill="8ea9db"/>
      </w:tcPr>
    </w:tblStylePr>
    <w:tblStylePr w:type="lastCol">
      <w:rPr>
        <w:b/>
        <w:color w:val="404040"/>
      </w:rPr>
    </w:tblStylePr>
    <w:tblStylePr w:type="lastRow">
      <w:rPr>
        <w:b/>
        <w:color w:val="404040"/>
      </w:rPr>
    </w:tblStylePr>
  </w:style>
  <w:style w:type="table" w:styleId="835" w:customStyle="1">
    <w:name w:val="List Table 3 - Accent 6"/>
    <w:basedOn w:val="685"/>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Symbol" w:hAnsi="Symbol"/>
        <w:color w:val="404040"/>
        <w:sz w:val="22"/>
      </w:rPr>
      <w:tcPr>
        <w:tcBorders>
          <w:top w:val="single" w:color="A9D08E" w:sz="4" w:space="0"/>
          <w:left w:val="single" w:color="A9D08E" w:sz="4" w:space="0"/>
          <w:bottom w:val="none" w:color="000000" w:sz="4" w:space="0"/>
          <w:right w:val="none" w:color="000000" w:sz="4" w:space="0"/>
          <w:insideH w:val="none" w:color="000000" w:sz="4" w:space="0"/>
          <w:insideV w:val="none" w:color="000000" w:sz="4" w:space="0"/>
        </w:tcBorders>
      </w:tcPr>
    </w:tblStylePr>
    <w:tblStylePr w:type="band1Vert">
      <w:rPr>
        <w:rFonts w:ascii="Symbol" w:hAnsi="Symbol"/>
        <w:color w:val="404040"/>
        <w:sz w:val="22"/>
      </w:rPr>
      <w:tcPr>
        <w:tcBorders>
          <w:top w:val="none" w:color="000000" w:sz="4" w:space="0"/>
          <w:left w:val="none" w:color="000000" w:sz="4" w:space="0"/>
          <w:bottom w:val="single" w:color="A9D08E"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Symbol" w:hAnsi="Symbol"/>
        <w:b/>
        <w:color w:val="ffffff"/>
        <w:sz w:val="22"/>
      </w:rPr>
      <w:tcPr>
        <w:shd w:val="clear" w:color="a9d08e" w:fill="a9d08e"/>
      </w:tcPr>
    </w:tblStylePr>
    <w:tblStylePr w:type="lastCol">
      <w:rPr>
        <w:b/>
        <w:color w:val="404040"/>
      </w:rPr>
    </w:tblStylePr>
    <w:tblStylePr w:type="lastRow">
      <w:rPr>
        <w:b/>
        <w:color w:val="404040"/>
      </w:rPr>
    </w:tblStylePr>
  </w:style>
  <w:style w:type="table" w:styleId="836" w:customStyle="1">
    <w:name w:val="List Table 4"/>
    <w:basedOn w:val="68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Symbol" w:hAnsi="Symbol"/>
        <w:color w:val="404040"/>
        <w:sz w:val="22"/>
      </w:rPr>
      <w:tcPr>
        <w:shd w:val="clear" w:color="bebebe" w:fill="bebebe"/>
      </w:tcPr>
    </w:tblStylePr>
    <w:tblStylePr w:type="band1Vert">
      <w:rPr>
        <w:rFonts w:ascii="Symbol" w:hAnsi="Symbol"/>
        <w:color w:val="404040"/>
        <w:sz w:val="22"/>
      </w:rPr>
      <w:tcPr>
        <w:shd w:val="clear" w:color="bebebe" w:fill="bebebe"/>
      </w:tcPr>
    </w:tblStylePr>
    <w:tblStylePr w:type="firstCol">
      <w:rPr>
        <w:b/>
        <w:color w:val="404040"/>
      </w:rPr>
    </w:tblStylePr>
    <w:tblStylePr w:type="firstRow">
      <w:rPr>
        <w:rFonts w:ascii="Symbol" w:hAnsi="Symbol"/>
        <w:b/>
        <w:color w:val="ffffff"/>
        <w:sz w:val="22"/>
      </w:rPr>
      <w:tcPr>
        <w:shd w:val="clear" w:color="000000" w:fill="000000"/>
      </w:tcPr>
    </w:tblStylePr>
    <w:tblStylePr w:type="lastCol">
      <w:rPr>
        <w:b/>
        <w:color w:val="404040"/>
      </w:rPr>
    </w:tblStylePr>
    <w:tblStylePr w:type="lastRow">
      <w:rPr>
        <w:b/>
        <w:color w:val="404040"/>
      </w:rPr>
    </w:tblStylePr>
  </w:style>
  <w:style w:type="table" w:styleId="837" w:customStyle="1">
    <w:name w:val="List Table 4 - Accent 1"/>
    <w:basedOn w:val="685"/>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Symbol" w:hAnsi="Symbol"/>
        <w:color w:val="404040"/>
        <w:sz w:val="22"/>
      </w:rPr>
      <w:tcPr>
        <w:shd w:val="clear" w:color="d5e5f4" w:fill="d5e5f4"/>
      </w:tcPr>
    </w:tblStylePr>
    <w:tblStylePr w:type="band1Vert">
      <w:rPr>
        <w:rFonts w:ascii="Symbol" w:hAnsi="Symbol"/>
        <w:color w:val="404040"/>
        <w:sz w:val="22"/>
      </w:rPr>
      <w:tcPr>
        <w:shd w:val="clear" w:color="d5e5f4" w:fill="d5e5f4"/>
      </w:tcPr>
    </w:tblStylePr>
    <w:tblStylePr w:type="firstCol">
      <w:rPr>
        <w:b/>
        <w:color w:val="404040"/>
      </w:rPr>
    </w:tblStylePr>
    <w:tblStylePr w:type="firstRow">
      <w:rPr>
        <w:rFonts w:ascii="Symbol" w:hAnsi="Symbol"/>
        <w:b/>
        <w:color w:val="ffffff"/>
        <w:sz w:val="22"/>
      </w:rPr>
      <w:tcPr>
        <w:shd w:val="clear" w:color="5b9bd5" w:fill="5b9bd5"/>
      </w:tcPr>
    </w:tblStylePr>
    <w:tblStylePr w:type="lastCol">
      <w:rPr>
        <w:b/>
        <w:color w:val="404040"/>
      </w:rPr>
    </w:tblStylePr>
    <w:tblStylePr w:type="lastRow">
      <w:rPr>
        <w:b/>
        <w:color w:val="404040"/>
      </w:rPr>
    </w:tblStylePr>
  </w:style>
  <w:style w:type="table" w:styleId="838" w:customStyle="1">
    <w:name w:val="List Table 4 - Accent 2"/>
    <w:basedOn w:val="685"/>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Symbol" w:hAnsi="Symbol"/>
        <w:color w:val="404040"/>
        <w:sz w:val="22"/>
      </w:rPr>
      <w:tcPr>
        <w:shd w:val="clear" w:color="fadecb" w:fill="fadecb"/>
      </w:tcPr>
    </w:tblStylePr>
    <w:tblStylePr w:type="band1Vert">
      <w:rPr>
        <w:rFonts w:ascii="Symbol" w:hAnsi="Symbol"/>
        <w:color w:val="404040"/>
        <w:sz w:val="22"/>
      </w:rPr>
      <w:tcPr>
        <w:shd w:val="clear" w:color="fadecb" w:fill="fadecb"/>
      </w:tcPr>
    </w:tblStylePr>
    <w:tblStylePr w:type="firstCol">
      <w:rPr>
        <w:b/>
        <w:color w:val="404040"/>
      </w:rPr>
    </w:tblStylePr>
    <w:tblStylePr w:type="firstRow">
      <w:rPr>
        <w:rFonts w:ascii="Symbol" w:hAnsi="Symbol"/>
        <w:b/>
        <w:color w:val="ffffff"/>
        <w:sz w:val="22"/>
      </w:rPr>
      <w:tcPr>
        <w:shd w:val="clear" w:color="ed7d31" w:fill="ed7d31"/>
      </w:tcPr>
    </w:tblStylePr>
    <w:tblStylePr w:type="lastCol">
      <w:rPr>
        <w:b/>
        <w:color w:val="404040"/>
      </w:rPr>
    </w:tblStylePr>
    <w:tblStylePr w:type="lastRow">
      <w:rPr>
        <w:b/>
        <w:color w:val="404040"/>
      </w:rPr>
    </w:tblStylePr>
  </w:style>
  <w:style w:type="table" w:styleId="839" w:customStyle="1">
    <w:name w:val="List Table 4 - Accent 3"/>
    <w:basedOn w:val="685"/>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Symbol" w:hAnsi="Symbol"/>
        <w:color w:val="404040"/>
        <w:sz w:val="22"/>
      </w:rPr>
      <w:tcPr>
        <w:shd w:val="clear" w:color="e8e8e8" w:fill="e8e8e8"/>
      </w:tcPr>
    </w:tblStylePr>
    <w:tblStylePr w:type="band1Vert">
      <w:rPr>
        <w:rFonts w:ascii="Symbol" w:hAnsi="Symbol"/>
        <w:color w:val="404040"/>
        <w:sz w:val="22"/>
      </w:rPr>
      <w:tcPr>
        <w:shd w:val="clear" w:color="e8e8e8" w:fill="e8e8e8"/>
      </w:tcPr>
    </w:tblStylePr>
    <w:tblStylePr w:type="firstCol">
      <w:rPr>
        <w:b/>
        <w:color w:val="404040"/>
      </w:rPr>
    </w:tblStylePr>
    <w:tblStylePr w:type="firstRow">
      <w:rPr>
        <w:rFonts w:ascii="Symbol" w:hAnsi="Symbol"/>
        <w:b/>
        <w:color w:val="ffffff"/>
        <w:sz w:val="22"/>
      </w:rPr>
      <w:tcPr>
        <w:shd w:val="clear" w:color="a5a5a5" w:fill="a5a5a5"/>
      </w:tcPr>
    </w:tblStylePr>
    <w:tblStylePr w:type="lastCol">
      <w:rPr>
        <w:b/>
        <w:color w:val="404040"/>
      </w:rPr>
    </w:tblStylePr>
    <w:tblStylePr w:type="lastRow">
      <w:rPr>
        <w:b/>
        <w:color w:val="404040"/>
      </w:rPr>
    </w:tblStylePr>
  </w:style>
  <w:style w:type="table" w:styleId="840" w:customStyle="1">
    <w:name w:val="List Table 4 - Accent 4"/>
    <w:basedOn w:val="685"/>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Symbol" w:hAnsi="Symbol"/>
        <w:color w:val="404040"/>
        <w:sz w:val="22"/>
      </w:rPr>
      <w:tcPr>
        <w:shd w:val="clear" w:color="ffefbe" w:fill="ffefbe"/>
      </w:tcPr>
    </w:tblStylePr>
    <w:tblStylePr w:type="band1Vert">
      <w:rPr>
        <w:rFonts w:ascii="Symbol" w:hAnsi="Symbol"/>
        <w:color w:val="404040"/>
        <w:sz w:val="22"/>
      </w:rPr>
      <w:tcPr>
        <w:shd w:val="clear" w:color="ffefbe" w:fill="ffefbe"/>
      </w:tcPr>
    </w:tblStylePr>
    <w:tblStylePr w:type="firstCol">
      <w:rPr>
        <w:b/>
        <w:color w:val="404040"/>
      </w:rPr>
    </w:tblStylePr>
    <w:tblStylePr w:type="firstRow">
      <w:rPr>
        <w:rFonts w:ascii="Symbol" w:hAnsi="Symbol"/>
        <w:b/>
        <w:color w:val="ffffff"/>
        <w:sz w:val="22"/>
      </w:rPr>
      <w:tcPr>
        <w:shd w:val="clear" w:color="ffc000" w:fill="ffc000"/>
      </w:tcPr>
    </w:tblStylePr>
    <w:tblStylePr w:type="lastCol">
      <w:rPr>
        <w:b/>
        <w:color w:val="404040"/>
      </w:rPr>
    </w:tblStylePr>
    <w:tblStylePr w:type="lastRow">
      <w:rPr>
        <w:b/>
        <w:color w:val="404040"/>
      </w:rPr>
    </w:tblStylePr>
  </w:style>
  <w:style w:type="table" w:styleId="841" w:customStyle="1">
    <w:name w:val="List Table 4 - Accent 5"/>
    <w:basedOn w:val="685"/>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Symbol" w:hAnsi="Symbol"/>
        <w:color w:val="404040"/>
        <w:sz w:val="22"/>
      </w:rPr>
      <w:tcPr>
        <w:shd w:val="clear" w:color="d0dbf0" w:fill="d0dbf0"/>
      </w:tcPr>
    </w:tblStylePr>
    <w:tblStylePr w:type="band1Vert">
      <w:rPr>
        <w:rFonts w:ascii="Symbol" w:hAnsi="Symbol"/>
        <w:color w:val="404040"/>
        <w:sz w:val="22"/>
      </w:rPr>
      <w:tcPr>
        <w:shd w:val="clear" w:color="d0dbf0" w:fill="d0dbf0"/>
      </w:tcPr>
    </w:tblStylePr>
    <w:tblStylePr w:type="firstCol">
      <w:rPr>
        <w:b/>
        <w:color w:val="404040"/>
      </w:rPr>
    </w:tblStylePr>
    <w:tblStylePr w:type="firstRow">
      <w:rPr>
        <w:rFonts w:ascii="Symbol" w:hAnsi="Symbol"/>
        <w:b/>
        <w:color w:val="ffffff"/>
        <w:sz w:val="22"/>
      </w:rPr>
      <w:tcPr>
        <w:shd w:val="clear" w:color="4472c4" w:fill="4472c4"/>
      </w:tcPr>
    </w:tblStylePr>
    <w:tblStylePr w:type="lastCol">
      <w:rPr>
        <w:b/>
        <w:color w:val="404040"/>
      </w:rPr>
    </w:tblStylePr>
    <w:tblStylePr w:type="lastRow">
      <w:rPr>
        <w:b/>
        <w:color w:val="404040"/>
      </w:rPr>
    </w:tblStylePr>
  </w:style>
  <w:style w:type="table" w:styleId="842" w:customStyle="1">
    <w:name w:val="List Table 4 - Accent 6"/>
    <w:basedOn w:val="685"/>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Symbol" w:hAnsi="Symbol"/>
        <w:color w:val="404040"/>
        <w:sz w:val="22"/>
      </w:rPr>
      <w:tcPr>
        <w:shd w:val="clear" w:color="daebcf" w:fill="daebcf"/>
      </w:tcPr>
    </w:tblStylePr>
    <w:tblStylePr w:type="band1Vert">
      <w:rPr>
        <w:rFonts w:ascii="Symbol" w:hAnsi="Symbol"/>
        <w:color w:val="404040"/>
        <w:sz w:val="22"/>
      </w:rPr>
      <w:tcPr>
        <w:shd w:val="clear" w:color="daebcf" w:fill="daebcf"/>
      </w:tcPr>
    </w:tblStylePr>
    <w:tblStylePr w:type="firstCol">
      <w:rPr>
        <w:b/>
        <w:color w:val="404040"/>
      </w:rPr>
    </w:tblStylePr>
    <w:tblStylePr w:type="firstRow">
      <w:rPr>
        <w:rFonts w:ascii="Symbol" w:hAnsi="Symbol"/>
        <w:b/>
        <w:color w:val="ffffff"/>
        <w:sz w:val="22"/>
      </w:rPr>
      <w:tcPr>
        <w:shd w:val="clear" w:color="70ad47" w:fill="70ad47"/>
      </w:tcPr>
    </w:tblStylePr>
    <w:tblStylePr w:type="lastCol">
      <w:rPr>
        <w:b/>
        <w:color w:val="404040"/>
      </w:rPr>
    </w:tblStylePr>
    <w:tblStylePr w:type="lastRow">
      <w:rPr>
        <w:b/>
        <w:color w:val="404040"/>
      </w:rPr>
    </w:tblStylePr>
  </w:style>
  <w:style w:type="table" w:styleId="843" w:customStyle="1">
    <w:name w:val="List Table 5 Dark"/>
    <w:basedOn w:val="685"/>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Symbol" w:hAnsi="Symbol"/>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Symbol" w:hAnsi="Symbol"/>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Symbol" w:hAnsi="Symbol"/>
        <w:b/>
        <w:color w:val="ffffff"/>
        <w:sz w:val="22"/>
      </w:rPr>
    </w:tblStylePr>
  </w:style>
  <w:style w:type="table" w:styleId="844" w:customStyle="1">
    <w:name w:val="List Table 5 Dark - Accent 1"/>
    <w:basedOn w:val="685"/>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Symbol" w:hAnsi="Symbol"/>
        <w:b/>
        <w:color w:val="ffffff"/>
        <w:sz w:val="22"/>
      </w:rPr>
      <w:tcPr>
        <w:tcBorders>
          <w:top w:val="none" w:color="000000" w:sz="4" w:space="0"/>
          <w:left w:val="none" w:color="000000" w:sz="4" w:space="0"/>
          <w:bottom w:val="single" w:color="5B9BD5" w:sz="32" w:space="0"/>
          <w:right w:val="single" w:color="FFFFFF" w:sz="4" w:space="0"/>
          <w:insideH w:val="none" w:color="000000" w:sz="4" w:space="0"/>
          <w:insideV w:val="none" w:color="000000" w:sz="4" w:space="0"/>
        </w:tcBorders>
      </w:tcPr>
    </w:tblStylePr>
    <w:tblStylePr w:type="firstRow">
      <w:rPr>
        <w:rFonts w:ascii="Symbol" w:hAnsi="Symbol"/>
        <w:b/>
        <w:color w:val="ffffff"/>
        <w:sz w:val="22"/>
      </w:rPr>
      <w:tcPr>
        <w:shd w:val="clear" w:color="5b9bd5" w:fill="5b9bd5"/>
        <w:tcBorders>
          <w:top w:val="single" w:color="5B9BD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5B9BD5" w:sz="32" w:space="0"/>
          <w:insideH w:val="none" w:color="000000" w:sz="4" w:space="0"/>
          <w:insideV w:val="none" w:color="000000" w:sz="4" w:space="0"/>
        </w:tcBorders>
      </w:tcPr>
    </w:tblStylePr>
    <w:tblStylePr w:type="lastRow">
      <w:rPr>
        <w:rFonts w:ascii="Symbol" w:hAnsi="Symbol"/>
        <w:b/>
        <w:color w:val="ffffff"/>
        <w:sz w:val="22"/>
      </w:rPr>
    </w:tblStylePr>
  </w:style>
  <w:style w:type="table" w:styleId="845" w:customStyle="1">
    <w:name w:val="List Table 5 Dark - Accent 2"/>
    <w:basedOn w:val="685"/>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Symbol" w:hAnsi="Symbol"/>
        <w:b/>
        <w:color w:val="ffffff"/>
        <w:sz w:val="22"/>
      </w:rPr>
      <w:tcPr>
        <w:tcBorders>
          <w:top w:val="none" w:color="000000" w:sz="4" w:space="0"/>
          <w:left w:val="none" w:color="000000" w:sz="4" w:space="0"/>
          <w:bottom w:val="single" w:color="F4B285" w:sz="32" w:space="0"/>
          <w:right w:val="single" w:color="FFFFFF" w:sz="4" w:space="0"/>
          <w:insideH w:val="none" w:color="000000" w:sz="4" w:space="0"/>
          <w:insideV w:val="none" w:color="000000" w:sz="4" w:space="0"/>
        </w:tcBorders>
      </w:tcPr>
    </w:tblStylePr>
    <w:tblStylePr w:type="firstRow">
      <w:rPr>
        <w:rFonts w:ascii="Symbol" w:hAnsi="Symbol"/>
        <w:b/>
        <w:color w:val="ffffff"/>
        <w:sz w:val="22"/>
      </w:rPr>
      <w:tcPr>
        <w:shd w:val="clear" w:color="f4b285" w:fill="f4b285"/>
        <w:tcBorders>
          <w:top w:val="single" w:color="F4B28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4B285" w:sz="32" w:space="0"/>
          <w:insideH w:val="none" w:color="000000" w:sz="4" w:space="0"/>
          <w:insideV w:val="none" w:color="000000" w:sz="4" w:space="0"/>
        </w:tcBorders>
      </w:tcPr>
    </w:tblStylePr>
    <w:tblStylePr w:type="lastRow">
      <w:rPr>
        <w:rFonts w:ascii="Symbol" w:hAnsi="Symbol"/>
        <w:b/>
        <w:color w:val="ffffff"/>
        <w:sz w:val="22"/>
      </w:rPr>
    </w:tblStylePr>
  </w:style>
  <w:style w:type="table" w:styleId="846" w:customStyle="1">
    <w:name w:val="List Table 5 Dark - Accent 3"/>
    <w:basedOn w:val="685"/>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Symbol" w:hAnsi="Symbol"/>
        <w:b/>
        <w:color w:val="ffffff"/>
        <w:sz w:val="22"/>
      </w:rPr>
      <w:tcPr>
        <w:tcBorders>
          <w:top w:val="none" w:color="000000" w:sz="4" w:space="0"/>
          <w:left w:val="none" w:color="000000" w:sz="4" w:space="0"/>
          <w:bottom w:val="single" w:color="C9C9C9" w:sz="32" w:space="0"/>
          <w:right w:val="single" w:color="FFFFFF" w:sz="4" w:space="0"/>
          <w:insideH w:val="none" w:color="000000" w:sz="4" w:space="0"/>
          <w:insideV w:val="none" w:color="000000" w:sz="4" w:space="0"/>
        </w:tcBorders>
      </w:tcPr>
    </w:tblStylePr>
    <w:tblStylePr w:type="firstRow">
      <w:rPr>
        <w:rFonts w:ascii="Symbol" w:hAnsi="Symbol"/>
        <w:b/>
        <w:color w:val="ffffff"/>
        <w:sz w:val="22"/>
      </w:rPr>
      <w:tcPr>
        <w:shd w:val="clear" w:color="c9c9c9" w:fill="c9c9c9"/>
        <w:tcBorders>
          <w:top w:val="single" w:color="C9C9C9"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9C9C9" w:sz="32" w:space="0"/>
          <w:insideH w:val="none" w:color="000000" w:sz="4" w:space="0"/>
          <w:insideV w:val="none" w:color="000000" w:sz="4" w:space="0"/>
        </w:tcBorders>
      </w:tcPr>
    </w:tblStylePr>
    <w:tblStylePr w:type="lastRow">
      <w:rPr>
        <w:rFonts w:ascii="Symbol" w:hAnsi="Symbol"/>
        <w:b/>
        <w:color w:val="ffffff"/>
        <w:sz w:val="22"/>
      </w:rPr>
    </w:tblStylePr>
  </w:style>
  <w:style w:type="table" w:styleId="847" w:customStyle="1">
    <w:name w:val="List Table 5 Dark - Accent 4"/>
    <w:basedOn w:val="685"/>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Symbol" w:hAnsi="Symbol"/>
        <w:b/>
        <w:color w:val="ffffff"/>
        <w:sz w:val="22"/>
      </w:rPr>
      <w:tcPr>
        <w:tcBorders>
          <w:top w:val="none" w:color="000000" w:sz="4" w:space="0"/>
          <w:left w:val="none" w:color="000000" w:sz="4" w:space="0"/>
          <w:bottom w:val="single" w:color="FFD864" w:sz="32" w:space="0"/>
          <w:right w:val="single" w:color="FFFFFF" w:sz="4" w:space="0"/>
          <w:insideH w:val="none" w:color="000000" w:sz="4" w:space="0"/>
          <w:insideV w:val="none" w:color="000000" w:sz="4" w:space="0"/>
        </w:tcBorders>
      </w:tcPr>
    </w:tblStylePr>
    <w:tblStylePr w:type="firstRow">
      <w:rPr>
        <w:rFonts w:ascii="Symbol" w:hAnsi="Symbol"/>
        <w:b/>
        <w:color w:val="ffffff"/>
        <w:sz w:val="22"/>
      </w:rPr>
      <w:tcPr>
        <w:shd w:val="clear" w:color="ffd864" w:fill="ffd864"/>
        <w:tcBorders>
          <w:top w:val="single" w:color="FFD864"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FD864" w:sz="32" w:space="0"/>
          <w:insideH w:val="none" w:color="000000" w:sz="4" w:space="0"/>
          <w:insideV w:val="none" w:color="000000" w:sz="4" w:space="0"/>
        </w:tcBorders>
      </w:tcPr>
    </w:tblStylePr>
    <w:tblStylePr w:type="lastRow">
      <w:rPr>
        <w:rFonts w:ascii="Symbol" w:hAnsi="Symbol"/>
        <w:b/>
        <w:color w:val="ffffff"/>
        <w:sz w:val="22"/>
      </w:rPr>
    </w:tblStylePr>
  </w:style>
  <w:style w:type="table" w:styleId="848" w:customStyle="1">
    <w:name w:val="List Table 5 Dark - Accent 5"/>
    <w:basedOn w:val="685"/>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Symbol" w:hAnsi="Symbol"/>
        <w:b/>
        <w:color w:val="ffffff"/>
        <w:sz w:val="22"/>
      </w:rPr>
      <w:tcPr>
        <w:tcBorders>
          <w:top w:val="none" w:color="000000" w:sz="4" w:space="0"/>
          <w:left w:val="none" w:color="000000" w:sz="4" w:space="0"/>
          <w:bottom w:val="single" w:color="8EA9DB" w:sz="32" w:space="0"/>
          <w:right w:val="single" w:color="FFFFFF" w:sz="4" w:space="0"/>
          <w:insideH w:val="none" w:color="000000" w:sz="4" w:space="0"/>
          <w:insideV w:val="none" w:color="000000" w:sz="4" w:space="0"/>
        </w:tcBorders>
      </w:tcPr>
    </w:tblStylePr>
    <w:tblStylePr w:type="firstRow">
      <w:rPr>
        <w:rFonts w:ascii="Symbol" w:hAnsi="Symbol"/>
        <w:b/>
        <w:color w:val="ffffff"/>
        <w:sz w:val="22"/>
      </w:rPr>
      <w:tcPr>
        <w:shd w:val="clear" w:color="8ea9db" w:fill="8ea9db"/>
        <w:tcBorders>
          <w:top w:val="single" w:color="8EA9DB"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8EA9DB" w:sz="32" w:space="0"/>
          <w:insideH w:val="none" w:color="000000" w:sz="4" w:space="0"/>
          <w:insideV w:val="none" w:color="000000" w:sz="4" w:space="0"/>
        </w:tcBorders>
      </w:tcPr>
    </w:tblStylePr>
    <w:tblStylePr w:type="lastRow">
      <w:rPr>
        <w:rFonts w:ascii="Symbol" w:hAnsi="Symbol"/>
        <w:b/>
        <w:color w:val="ffffff"/>
        <w:sz w:val="22"/>
      </w:rPr>
    </w:tblStylePr>
  </w:style>
  <w:style w:type="table" w:styleId="849" w:customStyle="1">
    <w:name w:val="List Table 5 Dark - Accent 6"/>
    <w:basedOn w:val="685"/>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Symbol" w:hAnsi="Symbol"/>
        <w:b/>
        <w:color w:val="ffffff"/>
        <w:sz w:val="22"/>
      </w:rPr>
      <w:tcPr>
        <w:tcBorders>
          <w:top w:val="none" w:color="000000" w:sz="4" w:space="0"/>
          <w:left w:val="none" w:color="000000" w:sz="4" w:space="0"/>
          <w:bottom w:val="single" w:color="A9D08E" w:sz="32" w:space="0"/>
          <w:right w:val="single" w:color="FFFFFF" w:sz="4" w:space="0"/>
          <w:insideH w:val="none" w:color="000000" w:sz="4" w:space="0"/>
          <w:insideV w:val="none" w:color="000000" w:sz="4" w:space="0"/>
        </w:tcBorders>
      </w:tcPr>
    </w:tblStylePr>
    <w:tblStylePr w:type="firstRow">
      <w:rPr>
        <w:rFonts w:ascii="Symbol" w:hAnsi="Symbol"/>
        <w:b/>
        <w:color w:val="ffffff"/>
        <w:sz w:val="22"/>
      </w:rPr>
      <w:tcPr>
        <w:shd w:val="clear" w:color="a9d08e" w:fill="a9d08e"/>
        <w:tcBorders>
          <w:top w:val="single" w:color="A9D08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A9D08E" w:sz="32" w:space="0"/>
          <w:insideH w:val="none" w:color="000000" w:sz="4" w:space="0"/>
          <w:insideV w:val="none" w:color="000000" w:sz="4" w:space="0"/>
        </w:tcBorders>
      </w:tcPr>
    </w:tblStylePr>
    <w:tblStylePr w:type="lastRow">
      <w:rPr>
        <w:rFonts w:ascii="Symbol" w:hAnsi="Symbol"/>
        <w:b/>
        <w:color w:val="ffffff"/>
        <w:sz w:val="22"/>
      </w:rPr>
    </w:tblStylePr>
  </w:style>
  <w:style w:type="table" w:styleId="850" w:customStyle="1">
    <w:name w:val="List Table 6 Colorful"/>
    <w:basedOn w:val="685"/>
    <w:uiPriority w:val="99"/>
    <w:qFormat/>
    <w:tblPr>
      <w:tblBorders>
        <w:top w:val="single" w:color="7E7E7E" w:sz="4" w:space="0"/>
        <w:bottom w:val="single" w:color="7E7E7E" w:sz="4" w:space="0"/>
      </w:tblBorders>
    </w:tblPr>
    <w:tblStylePr w:type="band1Horz">
      <w:rPr>
        <w:rFonts w:ascii="Symbol" w:hAnsi="Symbol"/>
        <w:color w:val="000000"/>
        <w:sz w:val="22"/>
      </w:rPr>
      <w:tcPr>
        <w:shd w:val="clear" w:color="bebebe" w:fill="bebebe"/>
      </w:tcPr>
    </w:tblStylePr>
    <w:tblStylePr w:type="band1Vert">
      <w:tcPr>
        <w:shd w:val="clear" w:color="bebebe" w:fill="bebebe"/>
      </w:tcPr>
    </w:tblStylePr>
    <w:tblStylePr w:type="band2Horz">
      <w:rPr>
        <w:rFonts w:ascii="Symbol" w:hAnsi="Symbol"/>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List Table 6 Colorful - Accent 1"/>
    <w:basedOn w:val="685"/>
    <w:uiPriority w:val="99"/>
    <w:qFormat/>
    <w:tblPr>
      <w:tblBorders>
        <w:top w:val="single" w:color="5B9BD5" w:sz="4" w:space="0"/>
        <w:bottom w:val="single" w:color="5B9BD5" w:sz="4" w:space="0"/>
      </w:tblBorders>
    </w:tblPr>
    <w:tblStylePr w:type="band1Horz">
      <w:rPr>
        <w:rFonts w:ascii="Symbol" w:hAnsi="Symbol"/>
        <w:color w:val="235a8c"/>
        <w:sz w:val="22"/>
      </w:rPr>
      <w:tcPr>
        <w:shd w:val="clear" w:color="d5e5f4" w:fill="d5e5f4"/>
      </w:tcPr>
    </w:tblStylePr>
    <w:tblStylePr w:type="band1Vert">
      <w:tcPr>
        <w:shd w:val="clear" w:color="d5e5f4" w:fill="d5e5f4"/>
      </w:tcPr>
    </w:tblStylePr>
    <w:tblStylePr w:type="band2Horz">
      <w:rPr>
        <w:rFonts w:ascii="Symbol" w:hAnsi="Symbol"/>
        <w:color w:val="235a8c"/>
        <w:sz w:val="22"/>
      </w:rPr>
    </w:tblStylePr>
    <w:tblStylePr w:type="firstCol">
      <w:rPr>
        <w:b/>
        <w:color w:val="235a8c"/>
      </w:rPr>
    </w:tblStylePr>
    <w:tblStylePr w:type="firstRow">
      <w:rPr>
        <w:b/>
        <w:color w:val="235a8c"/>
      </w:rPr>
      <w:tcPr>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6 Colorful - Accent 2"/>
    <w:basedOn w:val="685"/>
    <w:uiPriority w:val="99"/>
    <w:qFormat/>
    <w:tblPr>
      <w:tblBorders>
        <w:top w:val="single" w:color="F4B285" w:sz="4" w:space="0"/>
        <w:bottom w:val="single" w:color="F4B285" w:sz="4" w:space="0"/>
      </w:tblBorders>
    </w:tblPr>
    <w:tblStylePr w:type="band1Horz">
      <w:rPr>
        <w:rFonts w:ascii="Symbol" w:hAnsi="Symbol"/>
        <w:color w:val="f4b285"/>
        <w:sz w:val="22"/>
      </w:rPr>
      <w:tcPr>
        <w:shd w:val="clear" w:color="fadecb" w:fill="fadecb"/>
      </w:tcPr>
    </w:tblStylePr>
    <w:tblStylePr w:type="band1Vert">
      <w:tcPr>
        <w:shd w:val="clear" w:color="fadecb" w:fill="fadecb"/>
      </w:tcPr>
    </w:tblStylePr>
    <w:tblStylePr w:type="band2Horz">
      <w:rPr>
        <w:rFonts w:ascii="Symbol" w:hAnsi="Symbol"/>
        <w:color w:val="f4b285"/>
        <w:sz w:val="22"/>
      </w:rPr>
    </w:tblStylePr>
    <w:tblStylePr w:type="firstCol">
      <w:rPr>
        <w:b/>
        <w:color w:val="f4b285"/>
      </w:rPr>
    </w:tblStylePr>
    <w:tblStylePr w:type="firstRow">
      <w:rPr>
        <w:b/>
        <w:color w:val="f4b285"/>
      </w:rPr>
      <w:tcPr>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List Table 6 Colorful - Accent 3"/>
    <w:basedOn w:val="685"/>
    <w:uiPriority w:val="99"/>
    <w:qFormat/>
    <w:tblPr>
      <w:tblBorders>
        <w:top w:val="single" w:color="C9C9C9" w:sz="4" w:space="0"/>
        <w:bottom w:val="single" w:color="C9C9C9" w:sz="4" w:space="0"/>
      </w:tblBorders>
    </w:tblPr>
    <w:tblStylePr w:type="band1Horz">
      <w:rPr>
        <w:rFonts w:ascii="Symbol" w:hAnsi="Symbol"/>
        <w:color w:val="c8c8c8"/>
        <w:sz w:val="22"/>
      </w:rPr>
      <w:tcPr>
        <w:shd w:val="clear" w:color="e8e8e8" w:fill="e8e8e8"/>
      </w:tcPr>
    </w:tblStylePr>
    <w:tblStylePr w:type="band1Vert">
      <w:tcPr>
        <w:shd w:val="clear" w:color="e8e8e8" w:fill="e8e8e8"/>
      </w:tcPr>
    </w:tblStylePr>
    <w:tblStylePr w:type="band2Horz">
      <w:rPr>
        <w:rFonts w:ascii="Symbol" w:hAnsi="Symbol"/>
        <w:color w:val="c8c8c8"/>
        <w:sz w:val="22"/>
      </w:rPr>
    </w:tblStylePr>
    <w:tblStylePr w:type="firstCol">
      <w:rPr>
        <w:b/>
        <w:color w:val="c8c8c8"/>
      </w:rPr>
    </w:tblStylePr>
    <w:tblStylePr w:type="firstRow">
      <w:rPr>
        <w:b/>
        <w:color w:val="c8c8c8"/>
      </w:rPr>
      <w:tcPr>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6 Colorful - Accent 4"/>
    <w:basedOn w:val="685"/>
    <w:uiPriority w:val="99"/>
    <w:qFormat/>
    <w:tblPr>
      <w:tblBorders>
        <w:top w:val="single" w:color="FFD864" w:sz="4" w:space="0"/>
        <w:bottom w:val="single" w:color="FFD864" w:sz="4" w:space="0"/>
      </w:tblBorders>
    </w:tblPr>
    <w:tblStylePr w:type="band1Horz">
      <w:rPr>
        <w:rFonts w:ascii="Symbol" w:hAnsi="Symbol"/>
        <w:color w:val="ffd965"/>
        <w:sz w:val="22"/>
      </w:rPr>
      <w:tcPr>
        <w:shd w:val="clear" w:color="ffefbe" w:fill="ffefbe"/>
      </w:tcPr>
    </w:tblStylePr>
    <w:tblStylePr w:type="band1Vert">
      <w:tcPr>
        <w:shd w:val="clear" w:color="ffefbe" w:fill="ffefbe"/>
      </w:tcPr>
    </w:tblStylePr>
    <w:tblStylePr w:type="band2Horz">
      <w:rPr>
        <w:rFonts w:ascii="Symbol" w:hAnsi="Symbol"/>
        <w:color w:val="ffd965"/>
        <w:sz w:val="22"/>
      </w:rPr>
    </w:tblStylePr>
    <w:tblStylePr w:type="firstCol">
      <w:rPr>
        <w:b/>
        <w:color w:val="ffd965"/>
      </w:rPr>
    </w:tblStylePr>
    <w:tblStylePr w:type="firstRow">
      <w:rPr>
        <w:b/>
        <w:color w:val="ffd965"/>
      </w:rPr>
      <w:tcPr>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6 Colorful - Accent 5"/>
    <w:basedOn w:val="685"/>
    <w:uiPriority w:val="99"/>
    <w:qFormat/>
    <w:tblPr>
      <w:tblBorders>
        <w:top w:val="single" w:color="8EA9DB" w:sz="4" w:space="0"/>
        <w:bottom w:val="single" w:color="8EA9DB" w:sz="4" w:space="0"/>
      </w:tblBorders>
    </w:tblPr>
    <w:tblStylePr w:type="band1Horz">
      <w:rPr>
        <w:rFonts w:ascii="Symbol" w:hAnsi="Symbol"/>
        <w:color w:val="8eaadb"/>
        <w:sz w:val="22"/>
      </w:rPr>
      <w:tcPr>
        <w:shd w:val="clear" w:color="d0dbf0" w:fill="d0dbf0"/>
      </w:tcPr>
    </w:tblStylePr>
    <w:tblStylePr w:type="band1Vert">
      <w:tcPr>
        <w:shd w:val="clear" w:color="d0dbf0" w:fill="d0dbf0"/>
      </w:tcPr>
    </w:tblStylePr>
    <w:tblStylePr w:type="band2Horz">
      <w:rPr>
        <w:rFonts w:ascii="Symbol" w:hAnsi="Symbol"/>
        <w:color w:val="8eaadb"/>
        <w:sz w:val="22"/>
      </w:rPr>
    </w:tblStylePr>
    <w:tblStylePr w:type="firstCol">
      <w:rPr>
        <w:b/>
        <w:color w:val="8eaadb"/>
      </w:rPr>
    </w:tblStylePr>
    <w:tblStylePr w:type="firstRow">
      <w:rPr>
        <w:b/>
        <w:color w:val="8eaadb"/>
      </w:rPr>
      <w:tcPr>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List Table 6 Colorful - Accent 6"/>
    <w:basedOn w:val="685"/>
    <w:uiPriority w:val="99"/>
    <w:qFormat/>
    <w:tblPr>
      <w:tblBorders>
        <w:top w:val="single" w:color="A9D08E" w:sz="4" w:space="0"/>
        <w:bottom w:val="single" w:color="A9D08E" w:sz="4" w:space="0"/>
      </w:tblBorders>
    </w:tblPr>
    <w:tblStylePr w:type="band1Horz">
      <w:rPr>
        <w:rFonts w:ascii="Symbol" w:hAnsi="Symbol"/>
        <w:color w:val="a8d08d"/>
        <w:sz w:val="22"/>
      </w:rPr>
      <w:tcPr>
        <w:shd w:val="clear" w:color="daebcf" w:fill="daebcf"/>
      </w:tcPr>
    </w:tblStylePr>
    <w:tblStylePr w:type="band1Vert">
      <w:tcPr>
        <w:shd w:val="clear" w:color="daebcf" w:fill="daebcf"/>
      </w:tcPr>
    </w:tblStylePr>
    <w:tblStylePr w:type="band2Horz">
      <w:rPr>
        <w:rFonts w:ascii="Symbol" w:hAnsi="Symbol"/>
        <w:color w:val="a8d08d"/>
        <w:sz w:val="22"/>
      </w:rPr>
    </w:tblStylePr>
    <w:tblStylePr w:type="firstCol">
      <w:rPr>
        <w:b/>
        <w:color w:val="a8d08d"/>
      </w:rPr>
    </w:tblStylePr>
    <w:tblStylePr w:type="firstRow">
      <w:rPr>
        <w:b/>
        <w:color w:val="a8d08d"/>
      </w:rPr>
      <w:tcPr>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List Table 7 Colorful"/>
    <w:basedOn w:val="685"/>
    <w:uiPriority w:val="99"/>
    <w:qFormat/>
    <w:tblPr>
      <w:tblBorders>
        <w:right w:val="single" w:color="7E7E7E" w:sz="4" w:space="0"/>
      </w:tblBorders>
    </w:tblPr>
    <w:tblStylePr w:type="band1Horz">
      <w:rPr>
        <w:rFonts w:ascii="Symbol" w:hAnsi="Symbol"/>
        <w:color w:val="7e7e7e"/>
        <w:sz w:val="22"/>
      </w:rPr>
      <w:tcPr>
        <w:shd w:val="clear" w:color="bebebe" w:fill="bebebe"/>
      </w:tcPr>
    </w:tblStylePr>
    <w:tblStylePr w:type="band1Vert">
      <w:tcPr>
        <w:shd w:val="clear" w:color="bebebe" w:fill="bebebe"/>
      </w:tcPr>
    </w:tblStylePr>
    <w:tblStylePr w:type="band2Horz">
      <w:rPr>
        <w:rFonts w:ascii="Symbol" w:hAnsi="Symbol"/>
        <w:color w:val="7e7e7e"/>
        <w:sz w:val="22"/>
      </w:rPr>
    </w:tblStylePr>
    <w:tblStylePr w:type="firstCol">
      <w:rPr>
        <w:rFonts w:ascii="Symbol" w:hAnsi="Symbo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Symbol" w:hAnsi="Symbol"/>
        <w:i/>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Symbol" w:hAnsi="Symbol"/>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List Table 7 Colorful - Accent 1"/>
    <w:basedOn w:val="685"/>
    <w:uiPriority w:val="99"/>
    <w:qFormat/>
    <w:tblPr>
      <w:tblBorders>
        <w:right w:val="single" w:color="5B9BD5" w:sz="4" w:space="0"/>
      </w:tblBorders>
    </w:tblPr>
    <w:tblStylePr w:type="band1Horz">
      <w:rPr>
        <w:rFonts w:ascii="Symbol" w:hAnsi="Symbol"/>
        <w:color w:val="235a8c"/>
        <w:sz w:val="22"/>
      </w:rPr>
      <w:tcPr>
        <w:shd w:val="clear" w:color="d5e5f4" w:fill="d5e5f4"/>
      </w:tcPr>
    </w:tblStylePr>
    <w:tblStylePr w:type="band1Vert">
      <w:tcPr>
        <w:shd w:val="clear" w:color="d5e5f4" w:fill="d5e5f4"/>
      </w:tcPr>
    </w:tblStylePr>
    <w:tblStylePr w:type="band2Horz">
      <w:rPr>
        <w:rFonts w:ascii="Symbol" w:hAnsi="Symbol"/>
        <w:color w:val="235a8c"/>
        <w:sz w:val="22"/>
      </w:rPr>
    </w:tblStylePr>
    <w:tblStylePr w:type="firstCol">
      <w:rPr>
        <w:rFonts w:ascii="Symbol" w:hAnsi="Symbol"/>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Symbol" w:hAnsi="Symbol"/>
        <w:i/>
        <w:color w:val="235a8c"/>
        <w:sz w:val="22"/>
      </w:rPr>
      <w:tcPr>
        <w:shd w:val="clear" w:color="ffffff" w:fill="ffffff"/>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235a8c"/>
        <w:sz w:val="22"/>
      </w:rPr>
      <w:tcPr>
        <w:shd w:val="clear" w:color="ffffff" w:fill="auto"/>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Row">
      <w:rPr>
        <w:rFonts w:ascii="Symbol" w:hAnsi="Symbol"/>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List Table 7 Colorful - Accent 2"/>
    <w:basedOn w:val="685"/>
    <w:uiPriority w:val="99"/>
    <w:qFormat/>
    <w:tblPr>
      <w:tblBorders>
        <w:right w:val="single" w:color="F4B285" w:sz="4" w:space="0"/>
      </w:tblBorders>
    </w:tblPr>
    <w:tblStylePr w:type="band1Horz">
      <w:rPr>
        <w:rFonts w:ascii="Symbol" w:hAnsi="Symbol"/>
        <w:color w:val="f4b285"/>
        <w:sz w:val="22"/>
      </w:rPr>
      <w:tcPr>
        <w:shd w:val="clear" w:color="fadecb" w:fill="fadecb"/>
      </w:tcPr>
    </w:tblStylePr>
    <w:tblStylePr w:type="band1Vert">
      <w:tcPr>
        <w:shd w:val="clear" w:color="fadecb" w:fill="fadecb"/>
      </w:tcPr>
    </w:tblStylePr>
    <w:tblStylePr w:type="band2Horz">
      <w:rPr>
        <w:rFonts w:ascii="Symbol" w:hAnsi="Symbol"/>
        <w:color w:val="f4b285"/>
        <w:sz w:val="22"/>
      </w:rPr>
    </w:tblStylePr>
    <w:tblStylePr w:type="firstCol">
      <w:rPr>
        <w:rFonts w:ascii="Symbol" w:hAnsi="Symbo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Symbol" w:hAnsi="Symbol"/>
        <w:i/>
        <w:color w:val="f4b285"/>
        <w:sz w:val="22"/>
      </w:rPr>
      <w:tcPr>
        <w:shd w:val="clear" w:color="ffffff" w:fill="ffffff"/>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f4b285"/>
        <w:sz w:val="22"/>
      </w:rPr>
      <w:tcPr>
        <w:shd w:val="clear" w:color="ffffff" w:fill="auto"/>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Row">
      <w:rPr>
        <w:rFonts w:ascii="Symbol" w:hAnsi="Symbol"/>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List Table 7 Colorful - Accent 3"/>
    <w:basedOn w:val="685"/>
    <w:uiPriority w:val="99"/>
    <w:qFormat/>
    <w:tblPr>
      <w:tblBorders>
        <w:right w:val="single" w:color="C9C9C9" w:sz="4" w:space="0"/>
      </w:tblBorders>
    </w:tblPr>
    <w:tblStylePr w:type="band1Horz">
      <w:rPr>
        <w:rFonts w:ascii="Symbol" w:hAnsi="Symbol"/>
        <w:color w:val="c8c8c8"/>
        <w:sz w:val="22"/>
      </w:rPr>
      <w:tcPr>
        <w:shd w:val="clear" w:color="e8e8e8" w:fill="e8e8e8"/>
      </w:tcPr>
    </w:tblStylePr>
    <w:tblStylePr w:type="band1Vert">
      <w:tcPr>
        <w:shd w:val="clear" w:color="e8e8e8" w:fill="e8e8e8"/>
      </w:tcPr>
    </w:tblStylePr>
    <w:tblStylePr w:type="band2Horz">
      <w:rPr>
        <w:rFonts w:ascii="Symbol" w:hAnsi="Symbol"/>
        <w:color w:val="c8c8c8"/>
        <w:sz w:val="22"/>
      </w:rPr>
    </w:tblStylePr>
    <w:tblStylePr w:type="firstCol">
      <w:rPr>
        <w:rFonts w:ascii="Symbol" w:hAnsi="Symbol"/>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Symbol" w:hAnsi="Symbol"/>
        <w:i/>
        <w:color w:val="c8c8c8"/>
        <w:sz w:val="22"/>
      </w:rPr>
      <w:tcPr>
        <w:shd w:val="clear" w:color="ffffff" w:fill="ffffff"/>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c8c8c8"/>
        <w:sz w:val="22"/>
      </w:rPr>
      <w:tcPr>
        <w:shd w:val="clear" w:color="ffffff" w:fill="auto"/>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Row">
      <w:rPr>
        <w:rFonts w:ascii="Symbol" w:hAnsi="Symbol"/>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List Table 7 Colorful - Accent 4"/>
    <w:basedOn w:val="685"/>
    <w:uiPriority w:val="99"/>
    <w:qFormat/>
    <w:tblPr>
      <w:tblBorders>
        <w:right w:val="single" w:color="FFD864" w:sz="4" w:space="0"/>
      </w:tblBorders>
    </w:tblPr>
    <w:tblStylePr w:type="band1Horz">
      <w:rPr>
        <w:rFonts w:ascii="Symbol" w:hAnsi="Symbol"/>
        <w:color w:val="ffd965"/>
        <w:sz w:val="22"/>
      </w:rPr>
      <w:tcPr>
        <w:shd w:val="clear" w:color="ffefbe" w:fill="ffefbe"/>
      </w:tcPr>
    </w:tblStylePr>
    <w:tblStylePr w:type="band1Vert">
      <w:tcPr>
        <w:shd w:val="clear" w:color="ffefbe" w:fill="ffefbe"/>
      </w:tcPr>
    </w:tblStylePr>
    <w:tblStylePr w:type="band2Horz">
      <w:rPr>
        <w:rFonts w:ascii="Symbol" w:hAnsi="Symbol"/>
        <w:color w:val="ffd965"/>
        <w:sz w:val="22"/>
      </w:rPr>
    </w:tblStylePr>
    <w:tblStylePr w:type="firstCol">
      <w:rPr>
        <w:rFonts w:ascii="Symbol" w:hAnsi="Symbo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Symbol" w:hAnsi="Symbol"/>
        <w:i/>
        <w:color w:val="ffd965"/>
        <w:sz w:val="22"/>
      </w:rPr>
      <w:tcPr>
        <w:shd w:val="clear" w:color="ffffff" w:fill="ffffff"/>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ffd965"/>
        <w:sz w:val="22"/>
      </w:rPr>
      <w:tcPr>
        <w:shd w:val="clear" w:color="ffffff" w:fill="auto"/>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Row">
      <w:rPr>
        <w:rFonts w:ascii="Symbol" w:hAnsi="Symbol"/>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List Table 7 Colorful - Accent 5"/>
    <w:basedOn w:val="685"/>
    <w:uiPriority w:val="99"/>
    <w:qFormat/>
    <w:tblPr>
      <w:tblBorders>
        <w:right w:val="single" w:color="8EA9DB" w:sz="4" w:space="0"/>
      </w:tblBorders>
    </w:tblPr>
    <w:tblStylePr w:type="band1Horz">
      <w:rPr>
        <w:rFonts w:ascii="Symbol" w:hAnsi="Symbol"/>
        <w:color w:val="8eaadb"/>
        <w:sz w:val="22"/>
      </w:rPr>
      <w:tcPr>
        <w:shd w:val="clear" w:color="d0dbf0" w:fill="d0dbf0"/>
      </w:tcPr>
    </w:tblStylePr>
    <w:tblStylePr w:type="band1Vert">
      <w:tcPr>
        <w:shd w:val="clear" w:color="d0dbf0" w:fill="d0dbf0"/>
      </w:tcPr>
    </w:tblStylePr>
    <w:tblStylePr w:type="band2Horz">
      <w:rPr>
        <w:rFonts w:ascii="Symbol" w:hAnsi="Symbol"/>
        <w:color w:val="8eaadb"/>
        <w:sz w:val="22"/>
      </w:rPr>
    </w:tblStylePr>
    <w:tblStylePr w:type="firstCol">
      <w:rPr>
        <w:rFonts w:ascii="Symbol" w:hAnsi="Symbo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Symbol" w:hAnsi="Symbol"/>
        <w:i/>
        <w:color w:val="8eaadb"/>
        <w:sz w:val="22"/>
      </w:rPr>
      <w:tcPr>
        <w:shd w:val="clear" w:color="ffffff" w:fill="ffffff"/>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8eaadb"/>
        <w:sz w:val="22"/>
      </w:rPr>
      <w:tcPr>
        <w:shd w:val="clear" w:color="ffffff" w:fill="auto"/>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Row">
      <w:rPr>
        <w:rFonts w:ascii="Symbol" w:hAnsi="Symbol"/>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List Table 7 Colorful - Accent 6"/>
    <w:basedOn w:val="685"/>
    <w:uiPriority w:val="99"/>
    <w:qFormat/>
    <w:tblPr>
      <w:tblBorders>
        <w:right w:val="single" w:color="A9D08E" w:sz="4" w:space="0"/>
      </w:tblBorders>
    </w:tblPr>
    <w:tblStylePr w:type="band1Horz">
      <w:rPr>
        <w:rFonts w:ascii="Symbol" w:hAnsi="Symbol"/>
        <w:color w:val="a8d08d"/>
        <w:sz w:val="22"/>
      </w:rPr>
      <w:tcPr>
        <w:shd w:val="clear" w:color="daebcf" w:fill="daebcf"/>
      </w:tcPr>
    </w:tblStylePr>
    <w:tblStylePr w:type="band1Vert">
      <w:tcPr>
        <w:shd w:val="clear" w:color="daebcf" w:fill="daebcf"/>
      </w:tcPr>
    </w:tblStylePr>
    <w:tblStylePr w:type="band2Horz">
      <w:rPr>
        <w:rFonts w:ascii="Symbol" w:hAnsi="Symbol"/>
        <w:color w:val="a8d08d"/>
        <w:sz w:val="22"/>
      </w:rPr>
    </w:tblStylePr>
    <w:tblStylePr w:type="firstCol">
      <w:rPr>
        <w:rFonts w:ascii="Symbol" w:hAnsi="Symbo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Symbol" w:hAnsi="Symbol"/>
        <w:i/>
        <w:color w:val="a8d08d"/>
        <w:sz w:val="22"/>
      </w:rPr>
      <w:tcPr>
        <w:shd w:val="clear" w:color="ffffff" w:fill="ffffff"/>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a8d08d"/>
        <w:sz w:val="22"/>
      </w:rPr>
      <w:tcPr>
        <w:shd w:val="clear" w:color="ffffff" w:fill="auto"/>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Row">
      <w:rPr>
        <w:rFonts w:ascii="Symbol" w:hAnsi="Symbol"/>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Lined - Accent"/>
    <w:basedOn w:val="685"/>
    <w:uiPriority w:val="99"/>
    <w:qFormat/>
    <w:rPr>
      <w:color w:val="404040"/>
    </w:rPr>
    <w:tblPr/>
    <w:tblStylePr w:type="band1Horz">
      <w:rPr>
        <w:rFonts w:ascii="Symbol" w:hAnsi="Symbol"/>
        <w:color w:val="404040"/>
        <w:sz w:val="22"/>
      </w:rPr>
    </w:tblStylePr>
    <w:tblStylePr w:type="band1Vert">
      <w:rPr>
        <w:rFonts w:ascii="Symbol" w:hAnsi="Symbol"/>
        <w:color w:val="404040"/>
        <w:sz w:val="22"/>
      </w:rPr>
    </w:tblStylePr>
    <w:tblStylePr w:type="band2Horz">
      <w:rPr>
        <w:rFonts w:ascii="Symbol" w:hAnsi="Symbol"/>
        <w:color w:val="404040"/>
        <w:sz w:val="22"/>
      </w:rPr>
      <w:tcPr>
        <w:shd w:val="clear" w:color="f1f1f1" w:fill="f1f1f1"/>
      </w:tcPr>
    </w:tblStylePr>
    <w:tblStylePr w:type="band2Vert">
      <w:rPr>
        <w:rFonts w:ascii="Symbol" w:hAnsi="Symbol"/>
        <w:color w:val="404040"/>
        <w:sz w:val="22"/>
      </w:rPr>
      <w:tcPr>
        <w:shd w:val="clear" w:color="f1f1f1" w:fill="f1f1f1"/>
      </w:tcPr>
    </w:tblStylePr>
    <w:tblStylePr w:type="firstCol">
      <w:rPr>
        <w:rFonts w:ascii="Symbol" w:hAnsi="Symbol"/>
        <w:color w:val="f2f2f2"/>
        <w:sz w:val="22"/>
      </w:rPr>
      <w:tcPr>
        <w:shd w:val="clear" w:color="7e7e7e" w:fill="7e7e7e"/>
      </w:tcPr>
    </w:tblStylePr>
    <w:tblStylePr w:type="firstRow">
      <w:rPr>
        <w:rFonts w:ascii="Symbol" w:hAnsi="Symbol"/>
        <w:color w:val="f2f2f2"/>
        <w:sz w:val="22"/>
      </w:rPr>
      <w:tcPr>
        <w:shd w:val="clear" w:color="7e7e7e" w:fill="7e7e7e"/>
      </w:tcPr>
    </w:tblStylePr>
    <w:tblStylePr w:type="lastCol">
      <w:rPr>
        <w:rFonts w:ascii="Symbol" w:hAnsi="Symbol"/>
        <w:color w:val="f2f2f2"/>
        <w:sz w:val="22"/>
      </w:rPr>
      <w:tcPr>
        <w:shd w:val="clear" w:color="7e7e7e" w:fill="7e7e7e"/>
      </w:tcPr>
    </w:tblStylePr>
    <w:tblStylePr w:type="lastRow">
      <w:rPr>
        <w:rFonts w:ascii="Symbol" w:hAnsi="Symbol"/>
        <w:color w:val="f2f2f2"/>
        <w:sz w:val="22"/>
      </w:rPr>
      <w:tcPr>
        <w:shd w:val="clear" w:color="7e7e7e" w:fill="7e7e7e"/>
      </w:tcPr>
    </w:tblStylePr>
  </w:style>
  <w:style w:type="table" w:styleId="865" w:customStyle="1">
    <w:name w:val="Lined - Accent 1"/>
    <w:basedOn w:val="685"/>
    <w:uiPriority w:val="99"/>
    <w:qFormat/>
    <w:rPr>
      <w:color w:val="404040"/>
    </w:rPr>
    <w:tblPr/>
    <w:tblStylePr w:type="band1Horz">
      <w:rPr>
        <w:rFonts w:ascii="Symbol" w:hAnsi="Symbol"/>
        <w:color w:val="404040"/>
        <w:sz w:val="22"/>
      </w:rPr>
    </w:tblStylePr>
    <w:tblStylePr w:type="band1Vert">
      <w:rPr>
        <w:rFonts w:ascii="Symbol" w:hAnsi="Symbol"/>
        <w:color w:val="404040"/>
        <w:sz w:val="22"/>
      </w:rPr>
    </w:tblStylePr>
    <w:tblStylePr w:type="band2Horz">
      <w:rPr>
        <w:rFonts w:ascii="Symbol" w:hAnsi="Symbol"/>
        <w:color w:val="404040"/>
        <w:sz w:val="22"/>
      </w:rPr>
      <w:tcPr>
        <w:shd w:val="clear" w:color="cbdff1" w:fill="cbdff1"/>
      </w:tcPr>
    </w:tblStylePr>
    <w:tblStylePr w:type="band2Vert">
      <w:rPr>
        <w:rFonts w:ascii="Symbol" w:hAnsi="Symbol"/>
        <w:color w:val="404040"/>
        <w:sz w:val="22"/>
      </w:rPr>
      <w:tcPr>
        <w:shd w:val="clear" w:color="cbdff1" w:fill="cbdff1"/>
      </w:tcPr>
    </w:tblStylePr>
    <w:tblStylePr w:type="firstCol">
      <w:rPr>
        <w:rFonts w:ascii="Symbol" w:hAnsi="Symbol"/>
        <w:color w:val="f2f2f2"/>
        <w:sz w:val="22"/>
      </w:rPr>
      <w:tcPr>
        <w:shd w:val="clear" w:color="68a3d8" w:fill="68a3d8"/>
      </w:tcPr>
    </w:tblStylePr>
    <w:tblStylePr w:type="firstRow">
      <w:rPr>
        <w:rFonts w:ascii="Symbol" w:hAnsi="Symbol"/>
        <w:color w:val="f2f2f2"/>
        <w:sz w:val="22"/>
      </w:rPr>
      <w:tcPr>
        <w:shd w:val="clear" w:color="68a3d8" w:fill="68a3d8"/>
      </w:tcPr>
    </w:tblStylePr>
    <w:tblStylePr w:type="lastCol">
      <w:rPr>
        <w:rFonts w:ascii="Symbol" w:hAnsi="Symbol"/>
        <w:color w:val="f2f2f2"/>
        <w:sz w:val="22"/>
      </w:rPr>
      <w:tcPr>
        <w:shd w:val="clear" w:color="68a3d8" w:fill="68a3d8"/>
      </w:tcPr>
    </w:tblStylePr>
    <w:tblStylePr w:type="lastRow">
      <w:rPr>
        <w:rFonts w:ascii="Symbol" w:hAnsi="Symbol"/>
        <w:color w:val="f2f2f2"/>
        <w:sz w:val="22"/>
      </w:rPr>
      <w:tcPr>
        <w:shd w:val="clear" w:color="68a3d8" w:fill="68a3d8"/>
      </w:tcPr>
    </w:tblStylePr>
  </w:style>
  <w:style w:type="table" w:styleId="866" w:customStyle="1">
    <w:name w:val="Lined - Accent 2"/>
    <w:basedOn w:val="685"/>
    <w:uiPriority w:val="99"/>
    <w:qFormat/>
    <w:rPr>
      <w:color w:val="404040"/>
    </w:rPr>
    <w:tblPr/>
    <w:tblStylePr w:type="band1Horz">
      <w:rPr>
        <w:rFonts w:ascii="Symbol" w:hAnsi="Symbol"/>
        <w:color w:val="404040"/>
        <w:sz w:val="22"/>
      </w:rPr>
    </w:tblStylePr>
    <w:tblStylePr w:type="band1Vert">
      <w:rPr>
        <w:rFonts w:ascii="Symbol" w:hAnsi="Symbol"/>
        <w:color w:val="404040"/>
        <w:sz w:val="22"/>
      </w:rPr>
    </w:tblStylePr>
    <w:tblStylePr w:type="band2Horz">
      <w:rPr>
        <w:rFonts w:ascii="Symbol" w:hAnsi="Symbol"/>
        <w:color w:val="404040"/>
        <w:sz w:val="22"/>
      </w:rPr>
      <w:tcPr>
        <w:shd w:val="clear" w:color="fbe5d6" w:fill="fbe5d6"/>
      </w:tcPr>
    </w:tblStylePr>
    <w:tblStylePr w:type="band2Vert">
      <w:rPr>
        <w:rFonts w:ascii="Symbol" w:hAnsi="Symbol"/>
        <w:color w:val="404040"/>
        <w:sz w:val="22"/>
      </w:rPr>
      <w:tcPr>
        <w:shd w:val="clear" w:color="fbe5d6" w:fill="fbe5d6"/>
      </w:tcPr>
    </w:tblStylePr>
    <w:tblStylePr w:type="firstCol">
      <w:rPr>
        <w:rFonts w:ascii="Symbol" w:hAnsi="Symbol"/>
        <w:color w:val="f2f2f2"/>
        <w:sz w:val="22"/>
      </w:rPr>
      <w:tcPr>
        <w:shd w:val="clear" w:color="f4b285" w:fill="f4b285"/>
      </w:tcPr>
    </w:tblStylePr>
    <w:tblStylePr w:type="firstRow">
      <w:rPr>
        <w:rFonts w:ascii="Symbol" w:hAnsi="Symbol"/>
        <w:color w:val="f2f2f2"/>
        <w:sz w:val="22"/>
      </w:rPr>
      <w:tcPr>
        <w:shd w:val="clear" w:color="f4b285" w:fill="f4b285"/>
      </w:tcPr>
    </w:tblStylePr>
    <w:tblStylePr w:type="lastCol">
      <w:rPr>
        <w:rFonts w:ascii="Symbol" w:hAnsi="Symbol"/>
        <w:color w:val="f2f2f2"/>
        <w:sz w:val="22"/>
      </w:rPr>
      <w:tcPr>
        <w:shd w:val="clear" w:color="f4b285" w:fill="f4b285"/>
      </w:tcPr>
    </w:tblStylePr>
    <w:tblStylePr w:type="lastRow">
      <w:rPr>
        <w:rFonts w:ascii="Symbol" w:hAnsi="Symbol"/>
        <w:color w:val="f2f2f2"/>
        <w:sz w:val="22"/>
      </w:rPr>
      <w:tcPr>
        <w:shd w:val="clear" w:color="f4b285" w:fill="f4b285"/>
      </w:tcPr>
    </w:tblStylePr>
  </w:style>
  <w:style w:type="table" w:styleId="867" w:customStyle="1">
    <w:name w:val="Lined - Accent 3"/>
    <w:basedOn w:val="685"/>
    <w:uiPriority w:val="99"/>
    <w:qFormat/>
    <w:rPr>
      <w:color w:val="404040"/>
    </w:rPr>
    <w:tblPr/>
    <w:tblStylePr w:type="band1Horz">
      <w:rPr>
        <w:rFonts w:ascii="Symbol" w:hAnsi="Symbol"/>
        <w:color w:val="404040"/>
        <w:sz w:val="22"/>
      </w:rPr>
    </w:tblStylePr>
    <w:tblStylePr w:type="band1Vert">
      <w:rPr>
        <w:rFonts w:ascii="Symbol" w:hAnsi="Symbol"/>
        <w:color w:val="404040"/>
        <w:sz w:val="22"/>
      </w:rPr>
    </w:tblStylePr>
    <w:tblStylePr w:type="band2Horz">
      <w:rPr>
        <w:rFonts w:ascii="Symbol" w:hAnsi="Symbol"/>
        <w:color w:val="404040"/>
        <w:sz w:val="22"/>
      </w:rPr>
      <w:tcPr>
        <w:shd w:val="clear" w:color="ececec" w:fill="ececec"/>
      </w:tcPr>
    </w:tblStylePr>
    <w:tblStylePr w:type="band2Vert">
      <w:rPr>
        <w:rFonts w:ascii="Symbol" w:hAnsi="Symbol"/>
        <w:color w:val="404040"/>
        <w:sz w:val="22"/>
      </w:rPr>
      <w:tcPr>
        <w:shd w:val="clear" w:color="ececec" w:fill="ececec"/>
      </w:tcPr>
    </w:tblStylePr>
    <w:tblStylePr w:type="firstCol">
      <w:rPr>
        <w:rFonts w:ascii="Symbol" w:hAnsi="Symbol"/>
        <w:color w:val="f2f2f2"/>
        <w:sz w:val="22"/>
      </w:rPr>
      <w:tcPr>
        <w:shd w:val="clear" w:color="a5a5a5" w:fill="a5a5a5"/>
      </w:tcPr>
    </w:tblStylePr>
    <w:tblStylePr w:type="firstRow">
      <w:rPr>
        <w:rFonts w:ascii="Symbol" w:hAnsi="Symbol"/>
        <w:color w:val="f2f2f2"/>
        <w:sz w:val="22"/>
      </w:rPr>
      <w:tcPr>
        <w:shd w:val="clear" w:color="a5a5a5" w:fill="a5a5a5"/>
      </w:tcPr>
    </w:tblStylePr>
    <w:tblStylePr w:type="lastCol">
      <w:rPr>
        <w:rFonts w:ascii="Symbol" w:hAnsi="Symbol"/>
        <w:color w:val="f2f2f2"/>
        <w:sz w:val="22"/>
      </w:rPr>
      <w:tcPr>
        <w:shd w:val="clear" w:color="a5a5a5" w:fill="a5a5a5"/>
      </w:tcPr>
    </w:tblStylePr>
    <w:tblStylePr w:type="lastRow">
      <w:rPr>
        <w:rFonts w:ascii="Symbol" w:hAnsi="Symbol"/>
        <w:color w:val="f2f2f2"/>
        <w:sz w:val="22"/>
      </w:rPr>
      <w:tcPr>
        <w:shd w:val="clear" w:color="a5a5a5" w:fill="a5a5a5"/>
      </w:tcPr>
    </w:tblStylePr>
  </w:style>
  <w:style w:type="table" w:styleId="868" w:customStyle="1">
    <w:name w:val="Lined - Accent 4"/>
    <w:basedOn w:val="685"/>
    <w:uiPriority w:val="99"/>
    <w:qFormat/>
    <w:rPr>
      <w:color w:val="404040"/>
    </w:rPr>
    <w:tblPr/>
    <w:tblStylePr w:type="band1Horz">
      <w:rPr>
        <w:rFonts w:ascii="Symbol" w:hAnsi="Symbol"/>
        <w:color w:val="404040"/>
        <w:sz w:val="22"/>
      </w:rPr>
    </w:tblStylePr>
    <w:tblStylePr w:type="band1Vert">
      <w:rPr>
        <w:rFonts w:ascii="Symbol" w:hAnsi="Symbol"/>
        <w:color w:val="404040"/>
        <w:sz w:val="22"/>
      </w:rPr>
    </w:tblStylePr>
    <w:tblStylePr w:type="band2Horz">
      <w:rPr>
        <w:rFonts w:ascii="Symbol" w:hAnsi="Symbol"/>
        <w:color w:val="404040"/>
        <w:sz w:val="22"/>
      </w:rPr>
      <w:tcPr>
        <w:shd w:val="clear" w:color="fef2ca" w:fill="fef2ca"/>
      </w:tcPr>
    </w:tblStylePr>
    <w:tblStylePr w:type="band2Vert">
      <w:rPr>
        <w:rFonts w:ascii="Symbol" w:hAnsi="Symbol"/>
        <w:color w:val="404040"/>
        <w:sz w:val="22"/>
      </w:rPr>
      <w:tcPr>
        <w:shd w:val="clear" w:color="fef2ca" w:fill="fef2ca"/>
      </w:tcPr>
    </w:tblStylePr>
    <w:tblStylePr w:type="firstCol">
      <w:rPr>
        <w:rFonts w:ascii="Symbol" w:hAnsi="Symbol"/>
        <w:color w:val="f2f2f2"/>
        <w:sz w:val="22"/>
      </w:rPr>
      <w:tcPr>
        <w:shd w:val="clear" w:color="ffd864" w:fill="ffd864"/>
      </w:tcPr>
    </w:tblStylePr>
    <w:tblStylePr w:type="firstRow">
      <w:rPr>
        <w:rFonts w:ascii="Symbol" w:hAnsi="Symbol"/>
        <w:color w:val="f2f2f2"/>
        <w:sz w:val="22"/>
      </w:rPr>
      <w:tcPr>
        <w:shd w:val="clear" w:color="ffd864" w:fill="ffd864"/>
      </w:tcPr>
    </w:tblStylePr>
    <w:tblStylePr w:type="lastCol">
      <w:rPr>
        <w:rFonts w:ascii="Symbol" w:hAnsi="Symbol"/>
        <w:color w:val="f2f2f2"/>
        <w:sz w:val="22"/>
      </w:rPr>
      <w:tcPr>
        <w:shd w:val="clear" w:color="ffd864" w:fill="ffd864"/>
      </w:tcPr>
    </w:tblStylePr>
    <w:tblStylePr w:type="lastRow">
      <w:rPr>
        <w:rFonts w:ascii="Symbol" w:hAnsi="Symbol"/>
        <w:color w:val="f2f2f2"/>
        <w:sz w:val="22"/>
      </w:rPr>
      <w:tcPr>
        <w:shd w:val="clear" w:color="ffd864" w:fill="ffd864"/>
      </w:tcPr>
    </w:tblStylePr>
  </w:style>
  <w:style w:type="table" w:styleId="869" w:customStyle="1">
    <w:name w:val="Lined - Accent 5"/>
    <w:basedOn w:val="685"/>
    <w:uiPriority w:val="99"/>
    <w:qFormat/>
    <w:rPr>
      <w:color w:val="404040"/>
    </w:rPr>
    <w:tblPr/>
    <w:tblStylePr w:type="band1Horz">
      <w:rPr>
        <w:rFonts w:ascii="Symbol" w:hAnsi="Symbol"/>
        <w:color w:val="404040"/>
        <w:sz w:val="22"/>
      </w:rPr>
    </w:tblStylePr>
    <w:tblStylePr w:type="band1Vert">
      <w:rPr>
        <w:rFonts w:ascii="Symbol" w:hAnsi="Symbol"/>
        <w:color w:val="404040"/>
        <w:sz w:val="22"/>
      </w:rPr>
    </w:tblStylePr>
    <w:tblStylePr w:type="band2Horz">
      <w:rPr>
        <w:rFonts w:ascii="Symbol" w:hAnsi="Symbol"/>
        <w:color w:val="404040"/>
        <w:sz w:val="22"/>
      </w:rPr>
      <w:tcPr>
        <w:shd w:val="clear" w:color="d8e2f2" w:fill="d8e2f2"/>
      </w:tcPr>
    </w:tblStylePr>
    <w:tblStylePr w:type="band2Vert">
      <w:rPr>
        <w:rFonts w:ascii="Symbol" w:hAnsi="Symbol"/>
        <w:color w:val="404040"/>
        <w:sz w:val="22"/>
      </w:rPr>
      <w:tcPr>
        <w:shd w:val="clear" w:color="d8e2f2" w:fill="d8e2f2"/>
      </w:tcPr>
    </w:tblStylePr>
    <w:tblStylePr w:type="firstCol">
      <w:rPr>
        <w:rFonts w:ascii="Symbol" w:hAnsi="Symbol"/>
        <w:color w:val="f2f2f2"/>
        <w:sz w:val="22"/>
      </w:rPr>
      <w:tcPr>
        <w:shd w:val="clear" w:color="4472c4" w:fill="4472c4"/>
      </w:tcPr>
    </w:tblStylePr>
    <w:tblStylePr w:type="firstRow">
      <w:rPr>
        <w:rFonts w:ascii="Symbol" w:hAnsi="Symbol"/>
        <w:color w:val="f2f2f2"/>
        <w:sz w:val="22"/>
      </w:rPr>
      <w:tcPr>
        <w:shd w:val="clear" w:color="4472c4" w:fill="4472c4"/>
      </w:tcPr>
    </w:tblStylePr>
    <w:tblStylePr w:type="lastCol">
      <w:rPr>
        <w:rFonts w:ascii="Symbol" w:hAnsi="Symbol"/>
        <w:color w:val="f2f2f2"/>
        <w:sz w:val="22"/>
      </w:rPr>
      <w:tcPr>
        <w:shd w:val="clear" w:color="4472c4" w:fill="4472c4"/>
      </w:tcPr>
    </w:tblStylePr>
    <w:tblStylePr w:type="lastRow">
      <w:rPr>
        <w:rFonts w:ascii="Symbol" w:hAnsi="Symbol"/>
        <w:color w:val="f2f2f2"/>
        <w:sz w:val="22"/>
      </w:rPr>
      <w:tcPr>
        <w:shd w:val="clear" w:color="4472c4" w:fill="4472c4"/>
      </w:tcPr>
    </w:tblStylePr>
  </w:style>
  <w:style w:type="table" w:styleId="870" w:customStyle="1">
    <w:name w:val="Lined - Accent 6"/>
    <w:basedOn w:val="685"/>
    <w:uiPriority w:val="99"/>
    <w:qFormat/>
    <w:rPr>
      <w:color w:val="404040"/>
    </w:rPr>
    <w:tblPr/>
    <w:tblStylePr w:type="band1Horz">
      <w:rPr>
        <w:rFonts w:ascii="Symbol" w:hAnsi="Symbol"/>
        <w:color w:val="404040"/>
        <w:sz w:val="22"/>
      </w:rPr>
    </w:tblStylePr>
    <w:tblStylePr w:type="band1Vert">
      <w:rPr>
        <w:rFonts w:ascii="Symbol" w:hAnsi="Symbol"/>
        <w:color w:val="404040"/>
        <w:sz w:val="22"/>
      </w:rPr>
    </w:tblStylePr>
    <w:tblStylePr w:type="band2Horz">
      <w:rPr>
        <w:rFonts w:ascii="Symbol" w:hAnsi="Symbol"/>
        <w:color w:val="404040"/>
        <w:sz w:val="22"/>
      </w:rPr>
      <w:tcPr>
        <w:shd w:val="clear" w:color="e1efd8" w:fill="e1efd8"/>
      </w:tcPr>
    </w:tblStylePr>
    <w:tblStylePr w:type="band2Vert">
      <w:rPr>
        <w:rFonts w:ascii="Symbol" w:hAnsi="Symbol"/>
        <w:color w:val="404040"/>
        <w:sz w:val="22"/>
      </w:rPr>
      <w:tcPr>
        <w:shd w:val="clear" w:color="e1efd8" w:fill="e1efd8"/>
      </w:tcPr>
    </w:tblStylePr>
    <w:tblStylePr w:type="firstCol">
      <w:rPr>
        <w:rFonts w:ascii="Symbol" w:hAnsi="Symbol"/>
        <w:color w:val="f2f2f2"/>
        <w:sz w:val="22"/>
      </w:rPr>
      <w:tcPr>
        <w:shd w:val="clear" w:color="70ad47" w:fill="70ad47"/>
      </w:tcPr>
    </w:tblStylePr>
    <w:tblStylePr w:type="firstRow">
      <w:rPr>
        <w:rFonts w:ascii="Symbol" w:hAnsi="Symbol"/>
        <w:color w:val="f2f2f2"/>
        <w:sz w:val="22"/>
      </w:rPr>
      <w:tcPr>
        <w:shd w:val="clear" w:color="70ad47" w:fill="70ad47"/>
      </w:tcPr>
    </w:tblStylePr>
    <w:tblStylePr w:type="lastCol">
      <w:rPr>
        <w:rFonts w:ascii="Symbol" w:hAnsi="Symbol"/>
        <w:color w:val="f2f2f2"/>
        <w:sz w:val="22"/>
      </w:rPr>
      <w:tcPr>
        <w:shd w:val="clear" w:color="70ad47" w:fill="70ad47"/>
      </w:tcPr>
    </w:tblStylePr>
    <w:tblStylePr w:type="lastRow">
      <w:rPr>
        <w:rFonts w:ascii="Symbol" w:hAnsi="Symbol"/>
        <w:color w:val="f2f2f2"/>
        <w:sz w:val="22"/>
      </w:rPr>
      <w:tcPr>
        <w:shd w:val="clear" w:color="70ad47" w:fill="70ad47"/>
      </w:tcPr>
    </w:tblStylePr>
  </w:style>
  <w:style w:type="table" w:styleId="871" w:customStyle="1">
    <w:name w:val="Bordered &amp; Lined - Accent"/>
    <w:basedOn w:val="685"/>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Symbol" w:hAnsi="Symbol"/>
        <w:color w:val="404040"/>
        <w:sz w:val="22"/>
      </w:rPr>
    </w:tblStylePr>
    <w:tblStylePr w:type="band1Vert">
      <w:rPr>
        <w:rFonts w:ascii="Symbol" w:hAnsi="Symbol"/>
        <w:color w:val="404040"/>
        <w:sz w:val="22"/>
      </w:rPr>
    </w:tblStylePr>
    <w:tblStylePr w:type="band2Horz">
      <w:rPr>
        <w:rFonts w:ascii="Symbol" w:hAnsi="Symbol"/>
        <w:color w:val="404040"/>
        <w:sz w:val="22"/>
      </w:rPr>
      <w:tcPr>
        <w:shd w:val="clear" w:color="f1f1f1" w:fill="f1f1f1"/>
      </w:tcPr>
    </w:tblStylePr>
    <w:tblStylePr w:type="band2Vert">
      <w:rPr>
        <w:rFonts w:ascii="Symbol" w:hAnsi="Symbol"/>
        <w:color w:val="404040"/>
        <w:sz w:val="22"/>
      </w:rPr>
      <w:tcPr>
        <w:shd w:val="clear" w:color="f1f1f1" w:fill="f1f1f1"/>
      </w:tcPr>
    </w:tblStylePr>
    <w:tblStylePr w:type="firstCol">
      <w:rPr>
        <w:rFonts w:ascii="Symbol" w:hAnsi="Symbol"/>
        <w:color w:val="f2f2f2"/>
        <w:sz w:val="22"/>
      </w:rPr>
      <w:tcPr>
        <w:shd w:val="clear" w:color="7e7e7e" w:fill="7e7e7e"/>
      </w:tcPr>
    </w:tblStylePr>
    <w:tblStylePr w:type="firstRow">
      <w:rPr>
        <w:rFonts w:ascii="Symbol" w:hAnsi="Symbol"/>
        <w:color w:val="f2f2f2"/>
        <w:sz w:val="22"/>
      </w:rPr>
      <w:tcPr>
        <w:shd w:val="clear" w:color="7e7e7e" w:fill="7e7e7e"/>
      </w:tcPr>
    </w:tblStylePr>
    <w:tblStylePr w:type="lastCol">
      <w:rPr>
        <w:rFonts w:ascii="Symbol" w:hAnsi="Symbol"/>
        <w:color w:val="f2f2f2"/>
        <w:sz w:val="22"/>
      </w:rPr>
      <w:tcPr>
        <w:shd w:val="clear" w:color="7e7e7e" w:fill="7e7e7e"/>
      </w:tcPr>
    </w:tblStylePr>
    <w:tblStylePr w:type="lastRow">
      <w:rPr>
        <w:rFonts w:ascii="Symbol" w:hAnsi="Symbol"/>
        <w:color w:val="f2f2f2"/>
        <w:sz w:val="22"/>
      </w:rPr>
      <w:tcPr>
        <w:shd w:val="clear" w:color="7e7e7e" w:fill="7e7e7e"/>
      </w:tcPr>
    </w:tblStylePr>
  </w:style>
  <w:style w:type="table" w:styleId="872" w:customStyle="1">
    <w:name w:val="Bordered &amp; Lined - Accent 1"/>
    <w:basedOn w:val="685"/>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Symbol" w:hAnsi="Symbol"/>
        <w:color w:val="404040"/>
        <w:sz w:val="22"/>
      </w:rPr>
    </w:tblStylePr>
    <w:tblStylePr w:type="band1Vert">
      <w:rPr>
        <w:rFonts w:ascii="Symbol" w:hAnsi="Symbol"/>
        <w:color w:val="404040"/>
        <w:sz w:val="22"/>
      </w:rPr>
    </w:tblStylePr>
    <w:tblStylePr w:type="band2Horz">
      <w:rPr>
        <w:rFonts w:ascii="Symbol" w:hAnsi="Symbol"/>
        <w:color w:val="404040"/>
        <w:sz w:val="22"/>
      </w:rPr>
      <w:tcPr>
        <w:shd w:val="clear" w:color="cbdff1" w:fill="cbdff1"/>
      </w:tcPr>
    </w:tblStylePr>
    <w:tblStylePr w:type="band2Vert">
      <w:rPr>
        <w:rFonts w:ascii="Symbol" w:hAnsi="Symbol"/>
        <w:color w:val="404040"/>
        <w:sz w:val="22"/>
      </w:rPr>
      <w:tcPr>
        <w:shd w:val="clear" w:color="cbdff1" w:fill="cbdff1"/>
      </w:tcPr>
    </w:tblStylePr>
    <w:tblStylePr w:type="firstCol">
      <w:rPr>
        <w:rFonts w:ascii="Symbol" w:hAnsi="Symbol"/>
        <w:color w:val="f2f2f2"/>
        <w:sz w:val="22"/>
      </w:rPr>
      <w:tcPr>
        <w:shd w:val="clear" w:color="68a3d8" w:fill="68a3d8"/>
      </w:tcPr>
    </w:tblStylePr>
    <w:tblStylePr w:type="firstRow">
      <w:rPr>
        <w:rFonts w:ascii="Symbol" w:hAnsi="Symbol"/>
        <w:color w:val="f2f2f2"/>
        <w:sz w:val="22"/>
      </w:rPr>
      <w:tcPr>
        <w:shd w:val="clear" w:color="68a3d8" w:fill="68a3d8"/>
      </w:tcPr>
    </w:tblStylePr>
    <w:tblStylePr w:type="lastCol">
      <w:rPr>
        <w:rFonts w:ascii="Symbol" w:hAnsi="Symbol"/>
        <w:color w:val="f2f2f2"/>
        <w:sz w:val="22"/>
      </w:rPr>
      <w:tcPr>
        <w:shd w:val="clear" w:color="68a3d8" w:fill="68a3d8"/>
      </w:tcPr>
    </w:tblStylePr>
    <w:tblStylePr w:type="lastRow">
      <w:rPr>
        <w:rFonts w:ascii="Symbol" w:hAnsi="Symbol"/>
        <w:color w:val="f2f2f2"/>
        <w:sz w:val="22"/>
      </w:rPr>
      <w:tcPr>
        <w:shd w:val="clear" w:color="68a3d8" w:fill="68a3d8"/>
      </w:tcPr>
    </w:tblStylePr>
  </w:style>
  <w:style w:type="table" w:styleId="873" w:customStyle="1">
    <w:name w:val="Bordered &amp; Lined - Accent 2"/>
    <w:basedOn w:val="685"/>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Symbol" w:hAnsi="Symbol"/>
        <w:color w:val="404040"/>
        <w:sz w:val="22"/>
      </w:rPr>
    </w:tblStylePr>
    <w:tblStylePr w:type="band1Vert">
      <w:rPr>
        <w:rFonts w:ascii="Symbol" w:hAnsi="Symbol"/>
        <w:color w:val="404040"/>
        <w:sz w:val="22"/>
      </w:rPr>
    </w:tblStylePr>
    <w:tblStylePr w:type="band2Horz">
      <w:rPr>
        <w:rFonts w:ascii="Symbol" w:hAnsi="Symbol"/>
        <w:color w:val="404040"/>
        <w:sz w:val="22"/>
      </w:rPr>
      <w:tcPr>
        <w:shd w:val="clear" w:color="fbe5d6" w:fill="fbe5d6"/>
      </w:tcPr>
    </w:tblStylePr>
    <w:tblStylePr w:type="band2Vert">
      <w:rPr>
        <w:rFonts w:ascii="Symbol" w:hAnsi="Symbol"/>
        <w:color w:val="404040"/>
        <w:sz w:val="22"/>
      </w:rPr>
      <w:tcPr>
        <w:shd w:val="clear" w:color="fbe5d6" w:fill="fbe5d6"/>
      </w:tcPr>
    </w:tblStylePr>
    <w:tblStylePr w:type="firstCol">
      <w:rPr>
        <w:rFonts w:ascii="Symbol" w:hAnsi="Symbol"/>
        <w:color w:val="f2f2f2"/>
        <w:sz w:val="22"/>
      </w:rPr>
      <w:tcPr>
        <w:shd w:val="clear" w:color="f4b285" w:fill="f4b285"/>
      </w:tcPr>
    </w:tblStylePr>
    <w:tblStylePr w:type="firstRow">
      <w:rPr>
        <w:rFonts w:ascii="Symbol" w:hAnsi="Symbol"/>
        <w:color w:val="f2f2f2"/>
        <w:sz w:val="22"/>
      </w:rPr>
      <w:tcPr>
        <w:shd w:val="clear" w:color="f4b285" w:fill="f4b285"/>
      </w:tcPr>
    </w:tblStylePr>
    <w:tblStylePr w:type="lastCol">
      <w:rPr>
        <w:rFonts w:ascii="Symbol" w:hAnsi="Symbol"/>
        <w:color w:val="f2f2f2"/>
        <w:sz w:val="22"/>
      </w:rPr>
      <w:tcPr>
        <w:shd w:val="clear" w:color="f4b285" w:fill="f4b285"/>
      </w:tcPr>
    </w:tblStylePr>
    <w:tblStylePr w:type="lastRow">
      <w:rPr>
        <w:rFonts w:ascii="Symbol" w:hAnsi="Symbol"/>
        <w:color w:val="f2f2f2"/>
        <w:sz w:val="22"/>
      </w:rPr>
      <w:tcPr>
        <w:shd w:val="clear" w:color="f4b285" w:fill="f4b285"/>
      </w:tcPr>
    </w:tblStylePr>
  </w:style>
  <w:style w:type="table" w:styleId="874" w:customStyle="1">
    <w:name w:val="Bordered &amp; Lined - Accent 3"/>
    <w:basedOn w:val="685"/>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Symbol" w:hAnsi="Symbol"/>
        <w:color w:val="404040"/>
        <w:sz w:val="22"/>
      </w:rPr>
    </w:tblStylePr>
    <w:tblStylePr w:type="band1Vert">
      <w:rPr>
        <w:rFonts w:ascii="Symbol" w:hAnsi="Symbol"/>
        <w:color w:val="404040"/>
        <w:sz w:val="22"/>
      </w:rPr>
    </w:tblStylePr>
    <w:tblStylePr w:type="band2Horz">
      <w:rPr>
        <w:rFonts w:ascii="Symbol" w:hAnsi="Symbol"/>
        <w:color w:val="404040"/>
        <w:sz w:val="22"/>
      </w:rPr>
      <w:tcPr>
        <w:shd w:val="clear" w:color="ececec" w:fill="ececec"/>
      </w:tcPr>
    </w:tblStylePr>
    <w:tblStylePr w:type="band2Vert">
      <w:rPr>
        <w:rFonts w:ascii="Symbol" w:hAnsi="Symbol"/>
        <w:color w:val="404040"/>
        <w:sz w:val="22"/>
      </w:rPr>
      <w:tcPr>
        <w:shd w:val="clear" w:color="ececec" w:fill="ececec"/>
      </w:tcPr>
    </w:tblStylePr>
    <w:tblStylePr w:type="firstCol">
      <w:rPr>
        <w:rFonts w:ascii="Symbol" w:hAnsi="Symbol"/>
        <w:color w:val="f2f2f2"/>
        <w:sz w:val="22"/>
      </w:rPr>
      <w:tcPr>
        <w:shd w:val="clear" w:color="a5a5a5" w:fill="a5a5a5"/>
      </w:tcPr>
    </w:tblStylePr>
    <w:tblStylePr w:type="firstRow">
      <w:rPr>
        <w:rFonts w:ascii="Symbol" w:hAnsi="Symbol"/>
        <w:color w:val="f2f2f2"/>
        <w:sz w:val="22"/>
      </w:rPr>
      <w:tcPr>
        <w:shd w:val="clear" w:color="a5a5a5" w:fill="a5a5a5"/>
      </w:tcPr>
    </w:tblStylePr>
    <w:tblStylePr w:type="lastCol">
      <w:rPr>
        <w:rFonts w:ascii="Symbol" w:hAnsi="Symbol"/>
        <w:color w:val="f2f2f2"/>
        <w:sz w:val="22"/>
      </w:rPr>
      <w:tcPr>
        <w:shd w:val="clear" w:color="a5a5a5" w:fill="a5a5a5"/>
      </w:tcPr>
    </w:tblStylePr>
    <w:tblStylePr w:type="lastRow">
      <w:rPr>
        <w:rFonts w:ascii="Symbol" w:hAnsi="Symbol"/>
        <w:color w:val="f2f2f2"/>
        <w:sz w:val="22"/>
      </w:rPr>
      <w:tcPr>
        <w:shd w:val="clear" w:color="a5a5a5" w:fill="a5a5a5"/>
      </w:tcPr>
    </w:tblStylePr>
  </w:style>
  <w:style w:type="table" w:styleId="875" w:customStyle="1">
    <w:name w:val="Bordered &amp; Lined - Accent 4"/>
    <w:basedOn w:val="685"/>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Symbol" w:hAnsi="Symbol"/>
        <w:color w:val="404040"/>
        <w:sz w:val="22"/>
      </w:rPr>
    </w:tblStylePr>
    <w:tblStylePr w:type="band1Vert">
      <w:rPr>
        <w:rFonts w:ascii="Symbol" w:hAnsi="Symbol"/>
        <w:color w:val="404040"/>
        <w:sz w:val="22"/>
      </w:rPr>
    </w:tblStylePr>
    <w:tblStylePr w:type="band2Horz">
      <w:rPr>
        <w:rFonts w:ascii="Symbol" w:hAnsi="Symbol"/>
        <w:color w:val="404040"/>
        <w:sz w:val="22"/>
      </w:rPr>
      <w:tcPr>
        <w:shd w:val="clear" w:color="fef2ca" w:fill="fef2ca"/>
      </w:tcPr>
    </w:tblStylePr>
    <w:tblStylePr w:type="band2Vert">
      <w:rPr>
        <w:rFonts w:ascii="Symbol" w:hAnsi="Symbol"/>
        <w:color w:val="404040"/>
        <w:sz w:val="22"/>
      </w:rPr>
      <w:tcPr>
        <w:shd w:val="clear" w:color="fef2ca" w:fill="fef2ca"/>
      </w:tcPr>
    </w:tblStylePr>
    <w:tblStylePr w:type="firstCol">
      <w:rPr>
        <w:rFonts w:ascii="Symbol" w:hAnsi="Symbol"/>
        <w:color w:val="f2f2f2"/>
        <w:sz w:val="22"/>
      </w:rPr>
      <w:tcPr>
        <w:shd w:val="clear" w:color="ffd864" w:fill="ffd864"/>
      </w:tcPr>
    </w:tblStylePr>
    <w:tblStylePr w:type="firstRow">
      <w:rPr>
        <w:rFonts w:ascii="Symbol" w:hAnsi="Symbol"/>
        <w:color w:val="f2f2f2"/>
        <w:sz w:val="22"/>
      </w:rPr>
      <w:tcPr>
        <w:shd w:val="clear" w:color="ffd864" w:fill="ffd864"/>
      </w:tcPr>
    </w:tblStylePr>
    <w:tblStylePr w:type="lastCol">
      <w:rPr>
        <w:rFonts w:ascii="Symbol" w:hAnsi="Symbol"/>
        <w:color w:val="f2f2f2"/>
        <w:sz w:val="22"/>
      </w:rPr>
      <w:tcPr>
        <w:shd w:val="clear" w:color="ffd864" w:fill="ffd864"/>
      </w:tcPr>
    </w:tblStylePr>
    <w:tblStylePr w:type="lastRow">
      <w:rPr>
        <w:rFonts w:ascii="Symbol" w:hAnsi="Symbol"/>
        <w:color w:val="f2f2f2"/>
        <w:sz w:val="22"/>
      </w:rPr>
      <w:tcPr>
        <w:shd w:val="clear" w:color="ffd864" w:fill="ffd864"/>
      </w:tcPr>
    </w:tblStylePr>
  </w:style>
  <w:style w:type="table" w:styleId="876" w:customStyle="1">
    <w:name w:val="Bordered &amp; Lined - Accent 5"/>
    <w:basedOn w:val="685"/>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Symbol" w:hAnsi="Symbol"/>
        <w:color w:val="404040"/>
        <w:sz w:val="22"/>
      </w:rPr>
    </w:tblStylePr>
    <w:tblStylePr w:type="band1Vert">
      <w:rPr>
        <w:rFonts w:ascii="Symbol" w:hAnsi="Symbol"/>
        <w:color w:val="404040"/>
        <w:sz w:val="22"/>
      </w:rPr>
    </w:tblStylePr>
    <w:tblStylePr w:type="band2Horz">
      <w:rPr>
        <w:rFonts w:ascii="Symbol" w:hAnsi="Symbol"/>
        <w:color w:val="404040"/>
        <w:sz w:val="22"/>
      </w:rPr>
      <w:tcPr>
        <w:shd w:val="clear" w:color="d8e2f2" w:fill="d8e2f2"/>
      </w:tcPr>
    </w:tblStylePr>
    <w:tblStylePr w:type="band2Vert">
      <w:rPr>
        <w:rFonts w:ascii="Symbol" w:hAnsi="Symbol"/>
        <w:color w:val="404040"/>
        <w:sz w:val="22"/>
      </w:rPr>
      <w:tcPr>
        <w:shd w:val="clear" w:color="d8e2f2" w:fill="d8e2f2"/>
      </w:tcPr>
    </w:tblStylePr>
    <w:tblStylePr w:type="firstCol">
      <w:rPr>
        <w:rFonts w:ascii="Symbol" w:hAnsi="Symbol"/>
        <w:color w:val="f2f2f2"/>
        <w:sz w:val="22"/>
      </w:rPr>
      <w:tcPr>
        <w:shd w:val="clear" w:color="4472c4" w:fill="4472c4"/>
      </w:tcPr>
    </w:tblStylePr>
    <w:tblStylePr w:type="firstRow">
      <w:rPr>
        <w:rFonts w:ascii="Symbol" w:hAnsi="Symbol"/>
        <w:color w:val="f2f2f2"/>
        <w:sz w:val="22"/>
      </w:rPr>
      <w:tcPr>
        <w:shd w:val="clear" w:color="4472c4" w:fill="4472c4"/>
      </w:tcPr>
    </w:tblStylePr>
    <w:tblStylePr w:type="lastCol">
      <w:rPr>
        <w:rFonts w:ascii="Symbol" w:hAnsi="Symbol"/>
        <w:color w:val="f2f2f2"/>
        <w:sz w:val="22"/>
      </w:rPr>
      <w:tcPr>
        <w:shd w:val="clear" w:color="4472c4" w:fill="4472c4"/>
      </w:tcPr>
    </w:tblStylePr>
    <w:tblStylePr w:type="lastRow">
      <w:rPr>
        <w:rFonts w:ascii="Symbol" w:hAnsi="Symbol"/>
        <w:color w:val="f2f2f2"/>
        <w:sz w:val="22"/>
      </w:rPr>
      <w:tcPr>
        <w:shd w:val="clear" w:color="4472c4" w:fill="4472c4"/>
      </w:tcPr>
    </w:tblStylePr>
  </w:style>
  <w:style w:type="table" w:styleId="877" w:customStyle="1">
    <w:name w:val="Bordered &amp; Lined - Accent 6"/>
    <w:basedOn w:val="685"/>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Symbol" w:hAnsi="Symbol"/>
        <w:color w:val="404040"/>
        <w:sz w:val="22"/>
      </w:rPr>
    </w:tblStylePr>
    <w:tblStylePr w:type="band1Vert">
      <w:rPr>
        <w:rFonts w:ascii="Symbol" w:hAnsi="Symbol"/>
        <w:color w:val="404040"/>
        <w:sz w:val="22"/>
      </w:rPr>
    </w:tblStylePr>
    <w:tblStylePr w:type="band2Horz">
      <w:rPr>
        <w:rFonts w:ascii="Symbol" w:hAnsi="Symbol"/>
        <w:color w:val="404040"/>
        <w:sz w:val="22"/>
      </w:rPr>
      <w:tcPr>
        <w:shd w:val="clear" w:color="e1efd8" w:fill="e1efd8"/>
      </w:tcPr>
    </w:tblStylePr>
    <w:tblStylePr w:type="band2Vert">
      <w:rPr>
        <w:rFonts w:ascii="Symbol" w:hAnsi="Symbol"/>
        <w:color w:val="404040"/>
        <w:sz w:val="22"/>
      </w:rPr>
      <w:tcPr>
        <w:shd w:val="clear" w:color="e1efd8" w:fill="e1efd8"/>
      </w:tcPr>
    </w:tblStylePr>
    <w:tblStylePr w:type="firstCol">
      <w:rPr>
        <w:rFonts w:ascii="Symbol" w:hAnsi="Symbol"/>
        <w:color w:val="f2f2f2"/>
        <w:sz w:val="22"/>
      </w:rPr>
      <w:tcPr>
        <w:shd w:val="clear" w:color="70ad47" w:fill="70ad47"/>
      </w:tcPr>
    </w:tblStylePr>
    <w:tblStylePr w:type="firstRow">
      <w:rPr>
        <w:rFonts w:ascii="Symbol" w:hAnsi="Symbol"/>
        <w:color w:val="f2f2f2"/>
        <w:sz w:val="22"/>
      </w:rPr>
      <w:tcPr>
        <w:shd w:val="clear" w:color="70ad47" w:fill="70ad47"/>
      </w:tcPr>
    </w:tblStylePr>
    <w:tblStylePr w:type="lastCol">
      <w:rPr>
        <w:rFonts w:ascii="Symbol" w:hAnsi="Symbol"/>
        <w:color w:val="f2f2f2"/>
        <w:sz w:val="22"/>
      </w:rPr>
      <w:tcPr>
        <w:shd w:val="clear" w:color="70ad47" w:fill="70ad47"/>
      </w:tcPr>
    </w:tblStylePr>
    <w:tblStylePr w:type="lastRow">
      <w:rPr>
        <w:rFonts w:ascii="Symbol" w:hAnsi="Symbol"/>
        <w:color w:val="f2f2f2"/>
        <w:sz w:val="22"/>
      </w:rPr>
      <w:tcPr>
        <w:shd w:val="clear" w:color="70ad47" w:fill="70ad47"/>
      </w:tcPr>
    </w:tblStylePr>
  </w:style>
  <w:style w:type="table" w:styleId="878" w:customStyle="1">
    <w:name w:val="Bordered"/>
    <w:basedOn w:val="685"/>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Symbol" w:hAnsi="Symbo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Symbol" w:hAnsi="Symbol"/>
        <w:color w:val="404040"/>
        <w:sz w:val="22"/>
      </w:rPr>
    </w:tblStylePr>
    <w:tblStylePr w:type="firstRow">
      <w:rPr>
        <w:rFonts w:ascii="Symbol" w:hAnsi="Symbo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Symbol" w:hAnsi="Symbo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Symbol" w:hAnsi="Symbo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Bordered - Accent 1"/>
    <w:basedOn w:val="68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Symbol" w:hAnsi="Symbol"/>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Symbol" w:hAnsi="Symbol"/>
        <w:color w:val="404040"/>
        <w:sz w:val="22"/>
      </w:rPr>
    </w:tblStylePr>
    <w:tblStylePr w:type="firstRow">
      <w:rPr>
        <w:rFonts w:ascii="Symbol" w:hAnsi="Symbol"/>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Col">
      <w:rPr>
        <w:rFonts w:ascii="Symbol" w:hAnsi="Symbol"/>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Row">
      <w:rPr>
        <w:rFonts w:ascii="Symbol" w:hAnsi="Symbol"/>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Bordered - Accent 2"/>
    <w:basedOn w:val="68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Symbol" w:hAnsi="Symbol"/>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Symbol" w:hAnsi="Symbol"/>
        <w:color w:val="404040"/>
        <w:sz w:val="22"/>
      </w:rPr>
    </w:tblStylePr>
    <w:tblStylePr w:type="firstRow">
      <w:rPr>
        <w:rFonts w:ascii="Symbol" w:hAnsi="Symbol"/>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Col">
      <w:rPr>
        <w:rFonts w:ascii="Symbol" w:hAnsi="Symbol"/>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Row">
      <w:rPr>
        <w:rFonts w:ascii="Symbol" w:hAnsi="Symbol"/>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Bordered - Accent 3"/>
    <w:basedOn w:val="68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Symbol" w:hAnsi="Symbol"/>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Symbol" w:hAnsi="Symbol"/>
        <w:color w:val="404040"/>
        <w:sz w:val="22"/>
      </w:rPr>
    </w:tblStylePr>
    <w:tblStylePr w:type="firstRow">
      <w:rPr>
        <w:rFonts w:ascii="Symbol" w:hAnsi="Symbol"/>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Col">
      <w:rPr>
        <w:rFonts w:ascii="Symbol" w:hAnsi="Symbol"/>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Row">
      <w:rPr>
        <w:rFonts w:ascii="Symbol" w:hAnsi="Symbol"/>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Bordered - Accent 4"/>
    <w:basedOn w:val="68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Symbol" w:hAnsi="Symbol"/>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Symbol" w:hAnsi="Symbol"/>
        <w:color w:val="404040"/>
        <w:sz w:val="22"/>
      </w:rPr>
    </w:tblStylePr>
    <w:tblStylePr w:type="firstRow">
      <w:rPr>
        <w:rFonts w:ascii="Symbol" w:hAnsi="Symbol"/>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Col">
      <w:rPr>
        <w:rFonts w:ascii="Symbol" w:hAnsi="Symbol"/>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Row">
      <w:rPr>
        <w:rFonts w:ascii="Symbol" w:hAnsi="Symbol"/>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Bordered - Accent 5"/>
    <w:basedOn w:val="68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Symbol" w:hAnsi="Symbol"/>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Symbol" w:hAnsi="Symbol"/>
        <w:color w:val="404040"/>
        <w:sz w:val="22"/>
      </w:rPr>
    </w:tblStylePr>
    <w:tblStylePr w:type="firstRow">
      <w:rPr>
        <w:rFonts w:ascii="Symbol" w:hAnsi="Symbol"/>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Col">
      <w:rPr>
        <w:rFonts w:ascii="Symbol" w:hAnsi="Symbol"/>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Row">
      <w:rPr>
        <w:rFonts w:ascii="Symbol" w:hAnsi="Symbol"/>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Bordered - Accent 6"/>
    <w:basedOn w:val="68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Symbol" w:hAnsi="Symbol"/>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Symbol" w:hAnsi="Symbol"/>
        <w:color w:val="404040"/>
        <w:sz w:val="22"/>
      </w:rPr>
    </w:tblStylePr>
    <w:tblStylePr w:type="firstRow">
      <w:rPr>
        <w:rFonts w:ascii="Symbol" w:hAnsi="Symbol"/>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Col">
      <w:rPr>
        <w:rFonts w:ascii="Symbol" w:hAnsi="Symbol"/>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Row">
      <w:rPr>
        <w:rFonts w:ascii="Symbol" w:hAnsi="Symbol"/>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85" w:customStyle="1">
    <w:name w:val="TOC 标题1"/>
    <w:uiPriority w:val="39"/>
    <w:unhideWhenUsed/>
    <w:qFormat/>
    <w:rPr>
      <w:rFonts w:ascii="Times New Roman" w:hAnsi="Times New Roman" w:eastAsia="宋体" w:cs="Times New Roman"/>
      <w:lang w:val="en-US" w:eastAsia="zh-CN" w:bidi="ar-SA"/>
    </w:rPr>
  </w:style>
  <w:style w:type="paragraph" w:styleId="886" w:customStyle="1">
    <w:name w:val="Default"/>
    <w:basedOn w:val="674"/>
    <w:uiPriority w:val="0"/>
    <w:semiHidden/>
    <w:qFormat/>
    <w:pPr>
      <w:jc w:val="left"/>
    </w:pPr>
    <w:rPr>
      <w:rFonts w:ascii="宋体" w:cs="宋体"/>
      <w:color w:val="000000"/>
      <w:sz w:val="24"/>
    </w:rPr>
  </w:style>
  <w:style w:type="paragraph" w:styleId="88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88" w:customStyle="1">
    <w:name w:val="页脚1"/>
    <w:basedOn w:val="674"/>
    <w:uiPriority w:val="99"/>
    <w:unhideWhenUsed/>
    <w:qFormat/>
    <w:pPr>
      <w:jc w:val="left"/>
      <w:tabs>
        <w:tab w:val="center" w:pos="4153" w:leader="none"/>
        <w:tab w:val="right" w:pos="8306" w:leader="none"/>
      </w:tabs>
    </w:pPr>
    <w:rPr>
      <w:sz w:val="18"/>
      <w:szCs w:val="18"/>
    </w:rPr>
  </w:style>
  <w:style w:type="paragraph" w:styleId="889" w:customStyle="1">
    <w:name w:val="普通正文"/>
    <w:basedOn w:val="674"/>
    <w:uiPriority w:val="0"/>
    <w:qFormat/>
    <w:pPr>
      <w:ind w:firstLine="480"/>
      <w:jc w:val="left"/>
      <w:spacing w:before="120" w:after="120" w:line="360" w:lineRule="auto"/>
    </w:pPr>
    <w:rPr>
      <w:rFonts w:ascii="Arial" w:hAnsi="Arial" w:eastAsia="等线" w:cs="Arial"/>
      <w:sz w:val="24"/>
    </w:rPr>
  </w:style>
  <w:style w:type="paragraph" w:styleId="890" w:customStyle="1">
    <w:name w:val="正文首行缩进 21"/>
    <w:basedOn w:val="891"/>
    <w:uiPriority w:val="0"/>
    <w:qFormat/>
    <w:pPr>
      <w:ind w:firstLine="420"/>
    </w:pPr>
  </w:style>
  <w:style w:type="paragraph" w:styleId="891" w:customStyle="1">
    <w:name w:val="正文文本缩进1"/>
    <w:basedOn w:val="674"/>
    <w:uiPriority w:val="0"/>
    <w:qFormat/>
    <w:pPr>
      <w:ind w:left="420"/>
      <w:spacing w:after="120"/>
    </w:pPr>
  </w:style>
  <w:style w:type="paragraph" w:styleId="892" w:customStyle="1">
    <w:name w:val="文本块1"/>
    <w:basedOn w:val="674"/>
    <w:uiPriority w:val="99"/>
    <w:qFormat/>
    <w:pPr>
      <w:ind w:left="1440" w:right="1440"/>
      <w:spacing w:after="120"/>
      <w:tabs>
        <w:tab w:val="left" w:pos="9000" w:leader="none"/>
      </w:tabs>
    </w:pPr>
    <w:rPr>
      <w:rFonts w:ascii="Times New Roman" w:hAnsi="Times New Roman"/>
    </w:rPr>
  </w:style>
  <w:style w:type="paragraph" w:styleId="893" w:customStyle="1">
    <w:name w:val="普通(网站)1"/>
    <w:basedOn w:val="674"/>
    <w:uiPriority w:val="0"/>
    <w:unhideWhenUsed/>
    <w:qFormat/>
    <w:pPr>
      <w:jc w:val="left"/>
      <w:spacing w:before="100" w:beforeAutospacing="1" w:after="100" w:afterAutospacing="1"/>
      <w:widowControl/>
    </w:pPr>
    <w:rPr>
      <w:rFonts w:ascii="宋体" w:hAnsi="宋体" w:cs="宋体"/>
      <w:sz w:val="24"/>
    </w:rPr>
  </w:style>
  <w:style w:type="paragraph" w:styleId="894" w:customStyle="1">
    <w:name w:val="me-正文"/>
    <w:basedOn w:val="674"/>
    <w:uiPriority w:val="0"/>
    <w:qFormat/>
    <w:pPr>
      <w:ind w:firstLine="200"/>
      <w:spacing w:line="579" w:lineRule="exact"/>
    </w:pPr>
    <w:rPr>
      <w:rFonts w:ascii="Times New Roman" w:hAnsi="Times New Roman" w:eastAsia="方正仿宋_GBK"/>
      <w:sz w:val="32"/>
    </w:rPr>
  </w:style>
  <w:style w:type="paragraph" w:styleId="895" w:customStyle="1">
    <w:name w:val="列出段落1"/>
    <w:basedOn w:val="674"/>
    <w:uiPriority w:val="0"/>
    <w:qFormat/>
    <w:pPr>
      <w:contextualSpacing/>
      <w:ind w:left="720"/>
      <w:widowControl/>
    </w:pPr>
    <w:rPr>
      <w:sz w:val="24"/>
      <w:lang w:eastAsia="en-US" w:bidi="en-US"/>
    </w:rPr>
  </w:style>
  <w:style w:type="paragraph" w:styleId="896" w:customStyle="1">
    <w:name w:val="Table Paragraph"/>
    <w:basedOn w:val="674"/>
    <w:uiPriority w:val="1"/>
    <w:unhideWhenUsed/>
    <w:qFormat/>
    <w:rPr>
      <w:sz w:val="24"/>
    </w:rPr>
  </w:style>
  <w:style w:type="character" w:styleId="897" w:customStyle="1">
    <w:name w:val="NormalCharacter"/>
    <w:uiPriority w:val="0"/>
    <w:qFormat/>
    <w:rPr>
      <w:rFonts w:ascii="Times New Roman" w:hAnsi="Times New Roman" w:eastAsia="宋体" w:cs="Times New Roman"/>
    </w:rPr>
  </w:style>
  <w:style w:type="paragraph" w:styleId="898" w:customStyle="1">
    <w:name w:val="BodyText"/>
    <w:basedOn w:val="674"/>
    <w:next w:val="899"/>
    <w:uiPriority w:val="0"/>
    <w:qFormat/>
    <w:rPr>
      <w:rFonts w:ascii="方正楷体_GB2312" w:hAnsi="Arial" w:eastAsia="方正楷体_GB2312"/>
      <w:sz w:val="28"/>
      <w:szCs w:val="28"/>
    </w:rPr>
  </w:style>
  <w:style w:type="paragraph" w:styleId="899" w:customStyle="1">
    <w:name w:val="BodyText2"/>
    <w:basedOn w:val="674"/>
    <w:uiPriority w:val="0"/>
    <w:qFormat/>
    <w:pPr>
      <w:jc w:val="center"/>
    </w:pPr>
    <w:rPr>
      <w:rFonts w:ascii="方正楷体_GB2312" w:eastAsia="方正楷体_GB2312"/>
      <w:sz w:val="28"/>
      <w:szCs w:val="28"/>
    </w:rPr>
  </w:style>
  <w:style w:type="paragraph" w:styleId="900" w:customStyle="1">
    <w:name w:val="普通(网站)12"/>
    <w:basedOn w:val="674"/>
    <w:uiPriority w:val="0"/>
    <w:qFormat/>
    <w:pPr>
      <w:jc w:val="left"/>
      <w:spacing w:before="120" w:after="120" w:line="0" w:lineRule="atLeast"/>
    </w:pPr>
    <w:rPr>
      <w:rFonts w:ascii="Times New Roman" w:hAnsi="Times New Roman" w:eastAsia="方正仿宋_GB2312"/>
      <w:sz w:val="32"/>
      <w:szCs w:val="32"/>
    </w:rPr>
  </w:style>
  <w:style w:type="table" w:styleId="901" w:customStyle="1">
    <w:name w:val="Table Normal"/>
    <w:uiPriority w:val="0"/>
    <w:unhideWhenUsed/>
    <w:qFormat/>
    <w:tblPr>
      <w:tblCellMar>
        <w:left w:w="0" w:type="dxa"/>
        <w:top w:w="0" w:type="dxa"/>
        <w:right w:w="0" w:type="dxa"/>
        <w:bottom w:w="0" w:type="dxa"/>
      </w:tblCellMar>
    </w:tblPr>
  </w:style>
  <w:style w:type="paragraph" w:styleId="902" w:customStyle="1">
    <w:name w:val="Table Text"/>
    <w:basedOn w:val="674"/>
    <w:uiPriority w:val="0"/>
    <w:semiHidden/>
    <w:qFormat/>
    <w:rPr>
      <w:rFonts w:ascii="方正仿宋_GBK" w:hAnsi="方正仿宋_GBK" w:eastAsia="方正仿宋_GBK" w:cs="方正仿宋_GBK"/>
      <w:szCs w:val="21"/>
      <w:lang w:eastAsia="en-US"/>
    </w:rPr>
  </w:style>
  <w:style w:type="character" w:styleId="903" w:customStyle="1">
    <w:name w:val="15"/>
    <w:basedOn w:val="684"/>
    <w:uiPriority w:val="0"/>
    <w:qFormat/>
    <w:rPr>
      <w:rFonts w:hint="eastAsia" w:ascii="宋体" w:hAnsi="宋体" w:eastAsia="宋体"/>
      <w:color w:val="000000"/>
      <w:sz w:val="21"/>
      <w:szCs w:val="21"/>
    </w:rPr>
  </w:style>
  <w:style w:type="character" w:styleId="904" w:customStyle="1">
    <w:name w:val="16"/>
    <w:basedOn w:val="684"/>
    <w:uiPriority w:val="0"/>
    <w:qFormat/>
    <w:rPr>
      <w:rFonts w:hint="default" w:ascii="Times New Roman" w:hAnsi="Times New Roman" w:cs="Times New Roman"/>
      <w:color w:val="000000"/>
      <w:sz w:val="21"/>
      <w:szCs w:val="21"/>
    </w:rPr>
  </w:style>
  <w:style w:type="character" w:styleId="905" w:customStyle="1">
    <w:name w:val="17"/>
    <w:basedOn w:val="684"/>
    <w:uiPriority w:val="0"/>
    <w:qFormat/>
    <w:rPr>
      <w:rFonts w:hint="default" w:ascii="Times New Roman" w:hAnsi="Times New Roman" w:cs="Times New Roman"/>
      <w:color w:val="000000"/>
      <w:sz w:val="21"/>
      <w:szCs w:val="21"/>
    </w:rPr>
  </w:style>
  <w:style w:type="character" w:styleId="906" w:customStyle="1">
    <w:name w:val="18"/>
    <w:basedOn w:val="684"/>
    <w:uiPriority w:val="0"/>
    <w:qFormat/>
    <w:rPr>
      <w:rFonts w:hint="default" w:ascii="Times New Roman" w:hAnsi="Times New Roman" w:cs="Times New Roman"/>
      <w:color w:val="000000"/>
      <w:sz w:val="21"/>
      <w:szCs w:val="21"/>
    </w:rPr>
  </w:style>
  <w:style w:type="character" w:styleId="907" w:customStyle="1">
    <w:name w:val="19"/>
    <w:basedOn w:val="684"/>
    <w:uiPriority w:val="0"/>
    <w:qFormat/>
    <w:rPr>
      <w:rFonts w:hint="default" w:ascii="Times New Roman" w:hAnsi="Times New Roman" w:cs="Times New Roman"/>
      <w:color w:val="ff0000"/>
      <w:sz w:val="21"/>
      <w:szCs w:val="21"/>
    </w:rPr>
  </w:style>
  <w:style w:type="character" w:styleId="908" w:customStyle="1">
    <w:name w:val="20"/>
    <w:basedOn w:val="684"/>
    <w:uiPriority w:val="0"/>
    <w:qFormat/>
    <w:rPr>
      <w:rFonts w:hint="default" w:ascii="Courier New" w:hAnsi="Courier New" w:cs="Courier New"/>
      <w:color w:val="000000"/>
      <w:sz w:val="21"/>
      <w:szCs w:val="21"/>
    </w:rPr>
  </w:style>
  <w:style w:type="character" w:styleId="909" w:customStyle="1">
    <w:name w:val="21"/>
    <w:basedOn w:val="684"/>
    <w:uiPriority w:val="0"/>
    <w:qFormat/>
    <w:rPr>
      <w:rFonts w:hint="eastAsia" w:ascii="方正仿宋_GBK" w:eastAsia="方正仿宋_GBK"/>
      <w:color w:val="000000"/>
      <w:sz w:val="21"/>
      <w:szCs w:val="21"/>
    </w:rPr>
  </w:style>
  <w:style w:type="character" w:styleId="910" w:customStyle="1">
    <w:name w:val="22"/>
    <w:basedOn w:val="684"/>
    <w:uiPriority w:val="0"/>
    <w:qFormat/>
    <w:rPr>
      <w:rFonts w:hint="default" w:ascii="Times New Roman" w:hAnsi="Times New Roman" w:cs="Times New Roman"/>
      <w:color w:val="ff0000"/>
      <w:sz w:val="21"/>
      <w:szCs w:val="21"/>
    </w:rPr>
  </w:style>
  <w:style w:type="character" w:styleId="911" w:customStyle="1">
    <w:name w:val="23"/>
    <w:basedOn w:val="684"/>
    <w:uiPriority w:val="0"/>
    <w:qFormat/>
    <w:rPr>
      <w:rFonts w:hint="eastAsia" w:ascii="宋体" w:hAnsi="宋体" w:eastAsia="宋体"/>
      <w:color w:val="ff0000"/>
      <w:sz w:val="21"/>
      <w:szCs w:val="21"/>
    </w:rPr>
  </w:style>
  <w:style w:type="paragraph" w:styleId="912" w:customStyle="1">
    <w:name w:val="正文缩进1"/>
    <w:basedOn w:val="674"/>
    <w:uiPriority w:val="0"/>
    <w:qFormat/>
    <w:pPr>
      <w:ind w:firstLine="420"/>
    </w:pPr>
    <w:rPr>
      <w:rFonts w:ascii="Times New Roman" w:hAnsi="Times New Roman"/>
      <w:sz w:val="20"/>
      <w:szCs w:val="21"/>
    </w:rPr>
  </w:style>
  <w:style w:type="paragraph" w:styleId="913" w:customStyle="1">
    <w:name w:val="纯文本1"/>
    <w:basedOn w:val="674"/>
    <w:uiPriority w:val="0"/>
    <w:qFormat/>
    <w:rPr>
      <w:rFonts w:ascii="宋体" w:hAnsi="Courier New" w:cs="Courier New"/>
    </w:rPr>
  </w:style>
  <w:style w:type="numbering" w:styleId="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cp:lastModifiedBy>
  <cp:revision>21</cp:revision>
  <dcterms:created xsi:type="dcterms:W3CDTF">2026-07-29T10:21:00Z</dcterms:created>
  <dcterms:modified xsi:type="dcterms:W3CDTF">2026-10-23T01:09:02Z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52297A41A9A045A19546F0407BD13EC8_13</vt:lpwstr>
  </property>
  <property fmtid="{D5CDD505-2E9C-101B-9397-08002B2CF9AE}" pid="4" name="KSOTemplateDocerSaveRecord">
    <vt:lpwstr>eyJoZGlkIjoiZGYyNzRiYzg5NzQ4OTFlOWFlYTY0MTQ4Mjk1ODAyMDYiLCJ1c2VySWQiOiI4MzQwMDQ5MjQifQ==</vt:lpwstr>
  </property>
</Properties>
</file>