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jc w:val="left"/>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spacing w:line="48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项目名称：连云港师范学院应用化学专业物理化学实验室</w:t>
      </w:r>
      <w:r/>
    </w:p>
    <w:p>
      <w:pPr>
        <w:ind w:firstLine="1606"/>
        <w:spacing w:line="48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建设项目</w:t>
      </w:r>
      <w:r/>
    </w:p>
    <w:p>
      <w:pPr>
        <w:spacing w:line="480" w:lineRule="auto"/>
        <w:rPr>
          <w:rFonts w:ascii="黑体" w:hAnsi="Arial" w:eastAsia="宋体" w:cs="Times New Roman"/>
          <w:b/>
          <w:color w:val="000000"/>
          <w:sz w:val="44"/>
          <w:szCs w:val="21"/>
          <w:highlight w:val="none"/>
        </w:rPr>
      </w:pPr>
      <w:r>
        <w:rPr>
          <w:rFonts w:hint="eastAsia" w:ascii="Arial" w:hAnsi="Arial" w:eastAsia="宋体" w:cs="Times New Roman"/>
          <w:b/>
          <w:bCs/>
          <w:sz w:val="32"/>
          <w:szCs w:val="24"/>
          <w:highlight w:val="none"/>
        </w:rPr>
        <w:t xml:space="preserve">项目编号：</w:t>
      </w:r>
      <w:r>
        <w:rPr>
          <w:rFonts w:hint="eastAsia" w:ascii="宋体" w:hAnsi="宋体" w:eastAsia="宋体" w:cs="宋体"/>
          <w:b/>
          <w:bCs/>
          <w:color w:val="000000"/>
          <w:sz w:val="32"/>
          <w:szCs w:val="24"/>
          <w:highlight w:val="none"/>
        </w:rPr>
        <w:t xml:space="preserve">JSZC-320700-JSZR-G2026-0067</w:t>
      </w:r>
      <w:r>
        <w:rPr>
          <w:rFonts w:hint="eastAsia" w:ascii="Arial" w:hAnsi="Arial" w:eastAsia="宋体" w:cs="Times New Roman"/>
          <w:b/>
          <w:bCs/>
          <w:sz w:val="32"/>
          <w:szCs w:val="24"/>
          <w:highlight w:val="none"/>
        </w:rPr>
        <w:t xml:space="preserve"> </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left"/>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ind w:firstLine="912"/>
        <w:spacing w:line="600" w:lineRule="auto"/>
        <w:rPr>
          <w:rFonts w:ascii="宋体" w:hAnsi="宋体" w:eastAsia="宋体" w:cs="Times New Roman"/>
          <w:bCs/>
          <w:sz w:val="32"/>
          <w:szCs w:val="32"/>
          <w:highlight w:val="none"/>
        </w:rPr>
      </w:pPr>
      <w:r>
        <w:rPr>
          <w:rFonts w:hint="eastAsia" w:ascii="宋体" w:hAnsi="宋体" w:eastAsia="宋体" w:cs="Times New Roman"/>
          <w:bCs/>
          <w:sz w:val="32"/>
          <w:szCs w:val="32"/>
          <w:highlight w:val="none"/>
        </w:rPr>
        <w:t xml:space="preserve">采   购   人：连云港师范学院</w:t>
      </w:r>
      <w:r/>
    </w:p>
    <w:p>
      <w:pPr>
        <w:ind w:firstLine="912"/>
        <w:spacing w:line="600" w:lineRule="auto"/>
        <w:rPr>
          <w:rFonts w:ascii="宋体" w:hAnsi="宋体" w:eastAsia="宋体" w:cs="Times New Roman"/>
          <w:bCs/>
          <w:sz w:val="32"/>
          <w:szCs w:val="32"/>
          <w:highlight w:val="none"/>
        </w:rPr>
      </w:pPr>
      <w:r>
        <w:rPr>
          <w:rFonts w:hint="eastAsia" w:ascii="宋体" w:hAnsi="宋体" w:eastAsia="宋体" w:cs="Times New Roman"/>
          <w:bCs/>
          <w:sz w:val="32"/>
          <w:szCs w:val="32"/>
          <w:highlight w:val="none"/>
        </w:rPr>
        <w:t xml:space="preserve">采购代理机构：江苏中瑞建设项目管理有限公司</w:t>
      </w:r>
      <w:r/>
    </w:p>
    <w:p>
      <w:pPr>
        <w:jc w:val="center"/>
        <w:spacing w:before="120" w:after="120" w:line="600" w:lineRule="auto"/>
        <w:rPr>
          <w:rFonts w:ascii="Arial" w:hAnsi="Arial" w:eastAsia="宋体" w:cs="Times New Roman"/>
          <w:b/>
          <w:bCs/>
          <w:sz w:val="32"/>
          <w:szCs w:val="24"/>
          <w:highlight w:val="none"/>
        </w:rPr>
      </w:pPr>
      <w:r>
        <w:rPr>
          <w:rFonts w:hint="eastAsia" w:ascii="宋体" w:hAnsi="宋体" w:eastAsia="宋体" w:cs="宋体"/>
          <w:bCs/>
          <w:sz w:val="32"/>
          <w:szCs w:val="32"/>
          <w:highlight w:val="none"/>
        </w:rPr>
        <w:t xml:space="preserve">2026年9月</w:t>
      </w:r>
      <w:r/>
    </w:p>
    <w:p>
      <w:pPr>
        <w:spacing w:before="120" w:after="120" w:line="480" w:lineRule="auto"/>
        <w:rPr>
          <w:rFonts w:asciiTheme="minorEastAsia" w:hAnsiTheme="minorEastAsia"/>
          <w:sz w:val="24"/>
          <w:highlight w:val="none"/>
        </w:rPr>
      </w:pPr>
      <w:r>
        <w:rPr>
          <w:highlight w:val="none"/>
        </w:rPr>
        <w:br w:type="page" w:clear="all"/>
      </w:r>
      <w:r>
        <w:rPr>
          <w:rFonts w:asciiTheme="minorEastAsia" w:hAnsiTheme="minorEastAsia"/>
          <w:sz w:val="24"/>
          <w:highlight w:val="none"/>
        </w:rPr>
        <w:fldChar w:fldCharType="begin"/>
      </w:r>
      <w:r>
        <w:rPr>
          <w:rFonts w:asciiTheme="minorEastAsia" w:hAnsiTheme="minorEastAsia"/>
          <w:sz w:val="24"/>
          <w:highlight w:val="none"/>
        </w:rPr>
        <w:instrText xml:space="preserve"> TOC \o "1-1" \u </w:instrText>
      </w:r>
      <w:r>
        <w:rPr>
          <w:rFonts w:asciiTheme="minorEastAsia" w:hAnsiTheme="minorEastAsia"/>
          <w:sz w:val="24"/>
          <w:highlight w:val="none"/>
        </w:rPr>
        <w:fldChar w:fldCharType="separate"/>
      </w:r>
      <w:r/>
    </w:p>
    <w:p>
      <w:pPr>
        <w:pStyle w:val="653"/>
        <w:rPr>
          <w:b w:val="0"/>
          <w:highlight w:val="none"/>
        </w:rPr>
      </w:pPr>
      <w:r>
        <w:rPr>
          <w:rFonts w:hint="eastAsia"/>
          <w:b w:val="0"/>
          <w:highlight w:val="none"/>
        </w:rPr>
        <w:t xml:space="preserve">目  录</w:t>
      </w:r>
      <w:r/>
    </w:p>
    <w:p>
      <w:pPr>
        <w:pStyle w:val="653"/>
        <w:rPr>
          <w:highlight w:val="none"/>
        </w:rPr>
      </w:pPr>
      <w:r>
        <w:rPr>
          <w:highlight w:val="none"/>
        </w:rPr>
      </w:r>
      <w:r/>
    </w:p>
    <w:p>
      <w:pPr>
        <w:pStyle w:val="653"/>
        <w:rPr>
          <w:b w:val="0"/>
          <w:sz w:val="32"/>
          <w:highlight w:val="none"/>
        </w:rPr>
      </w:pPr>
      <w:r>
        <w:rPr>
          <w:rFonts w:hint="eastAsia"/>
          <w:b w:val="0"/>
          <w:sz w:val="32"/>
          <w:highlight w:val="none"/>
        </w:rPr>
        <w:t xml:space="preserve">第一章</w:t>
      </w:r>
      <w:r>
        <w:rPr>
          <w:b w:val="0"/>
          <w:sz w:val="32"/>
          <w:highlight w:val="none"/>
        </w:rPr>
        <w:t xml:space="preserve">  </w:t>
      </w:r>
      <w:r>
        <w:rPr>
          <w:rFonts w:hint="eastAsia"/>
          <w:b w:val="0"/>
          <w:sz w:val="32"/>
          <w:highlight w:val="none"/>
        </w:rPr>
        <w:t xml:space="preserve">投标邀请.....................................................................</w:t>
      </w:r>
      <w:r>
        <w:rPr>
          <w:b w:val="0"/>
          <w:sz w:val="32"/>
          <w:highlight w:val="none"/>
        </w:rPr>
        <w:fldChar w:fldCharType="begin"/>
      </w:r>
      <w:r>
        <w:rPr>
          <w:b w:val="0"/>
          <w:sz w:val="32"/>
          <w:highlight w:val="none"/>
        </w:rPr>
        <w:instrText xml:space="preserve"> PAGEREF _Toc163482573 \h </w:instrText>
      </w:r>
      <w:r>
        <w:rPr>
          <w:b w:val="0"/>
          <w:sz w:val="32"/>
          <w:highlight w:val="none"/>
        </w:rPr>
        <w:fldChar w:fldCharType="separate"/>
      </w:r>
      <w:r>
        <w:rPr>
          <w:b w:val="0"/>
          <w:sz w:val="32"/>
          <w:highlight w:val="none"/>
        </w:rPr>
        <w:t xml:space="preserve">1</w:t>
      </w:r>
      <w:r>
        <w:rPr>
          <w:b w:val="0"/>
          <w:sz w:val="32"/>
          <w:highlight w:val="none"/>
        </w:rPr>
        <w:fldChar w:fldCharType="end"/>
      </w:r>
      <w:r/>
    </w:p>
    <w:p>
      <w:pPr>
        <w:pStyle w:val="653"/>
        <w:rPr>
          <w:b w:val="0"/>
          <w:sz w:val="32"/>
          <w:highlight w:val="none"/>
        </w:rPr>
      </w:pPr>
      <w:r>
        <w:rPr>
          <w:rFonts w:hint="eastAsia"/>
          <w:b w:val="0"/>
          <w:sz w:val="32"/>
          <w:highlight w:val="none"/>
        </w:rPr>
        <w:t xml:space="preserve">第二章</w:t>
      </w:r>
      <w:r>
        <w:rPr>
          <w:b w:val="0"/>
          <w:sz w:val="32"/>
          <w:highlight w:val="none"/>
        </w:rPr>
        <w:t xml:space="preserve">  </w:t>
      </w:r>
      <w:r>
        <w:rPr>
          <w:rFonts w:hint="eastAsia"/>
          <w:b w:val="0"/>
          <w:sz w:val="32"/>
          <w:highlight w:val="none"/>
        </w:rPr>
        <w:t xml:space="preserve">投标人须知.................................................................</w:t>
      </w:r>
      <w:r>
        <w:rPr>
          <w:b w:val="0"/>
          <w:sz w:val="32"/>
          <w:highlight w:val="none"/>
        </w:rPr>
        <w:fldChar w:fldCharType="begin"/>
      </w:r>
      <w:r>
        <w:rPr>
          <w:b w:val="0"/>
          <w:sz w:val="32"/>
          <w:highlight w:val="none"/>
        </w:rPr>
        <w:instrText xml:space="preserve"> PAGEREF _Toc163482574 \h </w:instrText>
      </w:r>
      <w:r>
        <w:rPr>
          <w:b w:val="0"/>
          <w:sz w:val="32"/>
          <w:highlight w:val="none"/>
        </w:rPr>
        <w:fldChar w:fldCharType="separate"/>
      </w:r>
      <w:r>
        <w:rPr>
          <w:b w:val="0"/>
          <w:sz w:val="32"/>
          <w:highlight w:val="none"/>
        </w:rPr>
        <w:t xml:space="preserve">4</w:t>
      </w:r>
      <w:r>
        <w:rPr>
          <w:b w:val="0"/>
          <w:sz w:val="32"/>
          <w:highlight w:val="none"/>
        </w:rPr>
        <w:fldChar w:fldCharType="end"/>
      </w:r>
      <w:r/>
    </w:p>
    <w:p>
      <w:pPr>
        <w:pStyle w:val="653"/>
        <w:rPr>
          <w:b w:val="0"/>
          <w:sz w:val="32"/>
          <w:highlight w:val="none"/>
        </w:rPr>
      </w:pPr>
      <w:r>
        <w:rPr>
          <w:rFonts w:hint="eastAsia"/>
          <w:b w:val="0"/>
          <w:sz w:val="32"/>
          <w:highlight w:val="none"/>
        </w:rPr>
        <w:t xml:space="preserve">第三章</w:t>
      </w:r>
      <w:r>
        <w:rPr>
          <w:b w:val="0"/>
          <w:sz w:val="32"/>
          <w:highlight w:val="none"/>
        </w:rPr>
        <w:t xml:space="preserve">  </w:t>
      </w:r>
      <w:r>
        <w:rPr>
          <w:rFonts w:hint="eastAsia"/>
          <w:b w:val="0"/>
          <w:sz w:val="32"/>
          <w:highlight w:val="none"/>
        </w:rPr>
        <w:t xml:space="preserve">合同文本...................................................................</w:t>
      </w:r>
      <w:r>
        <w:rPr>
          <w:b w:val="0"/>
          <w:sz w:val="32"/>
          <w:highlight w:val="none"/>
        </w:rPr>
        <w:fldChar w:fldCharType="begin"/>
      </w:r>
      <w:r>
        <w:rPr>
          <w:b w:val="0"/>
          <w:sz w:val="32"/>
          <w:highlight w:val="none"/>
        </w:rPr>
        <w:instrText xml:space="preserve"> PAGEREF _Toc163482575 \h </w:instrText>
      </w:r>
      <w:r>
        <w:rPr>
          <w:b w:val="0"/>
          <w:sz w:val="32"/>
          <w:highlight w:val="none"/>
        </w:rPr>
        <w:fldChar w:fldCharType="separate"/>
      </w:r>
      <w:r>
        <w:rPr>
          <w:b w:val="0"/>
          <w:sz w:val="32"/>
          <w:highlight w:val="none"/>
        </w:rPr>
        <w:t xml:space="preserve">23</w:t>
      </w:r>
      <w:r>
        <w:rPr>
          <w:b w:val="0"/>
          <w:sz w:val="32"/>
          <w:highlight w:val="none"/>
        </w:rPr>
        <w:fldChar w:fldCharType="end"/>
      </w:r>
      <w:r/>
    </w:p>
    <w:p>
      <w:pPr>
        <w:pStyle w:val="653"/>
        <w:rPr>
          <w:b w:val="0"/>
          <w:sz w:val="32"/>
          <w:highlight w:val="none"/>
        </w:rPr>
      </w:pPr>
      <w:r>
        <w:rPr>
          <w:rFonts w:hint="eastAsia"/>
          <w:b w:val="0"/>
          <w:sz w:val="32"/>
          <w:highlight w:val="none"/>
        </w:rPr>
        <w:t xml:space="preserve">第四章</w:t>
      </w:r>
      <w:r>
        <w:rPr>
          <w:b w:val="0"/>
          <w:sz w:val="32"/>
          <w:highlight w:val="none"/>
        </w:rPr>
        <w:t xml:space="preserve">  </w:t>
      </w:r>
      <w:r>
        <w:rPr>
          <w:rFonts w:hint="eastAsia"/>
          <w:b w:val="0"/>
          <w:sz w:val="32"/>
          <w:highlight w:val="none"/>
        </w:rPr>
        <w:t xml:space="preserve">采购需求...................................................................</w:t>
      </w:r>
      <w:r>
        <w:rPr>
          <w:b w:val="0"/>
          <w:sz w:val="32"/>
          <w:highlight w:val="none"/>
        </w:rPr>
        <w:fldChar w:fldCharType="begin"/>
      </w:r>
      <w:r>
        <w:rPr>
          <w:b w:val="0"/>
          <w:sz w:val="32"/>
          <w:highlight w:val="none"/>
        </w:rPr>
        <w:instrText xml:space="preserve"> PAGEREF _Toc163482576 \h </w:instrText>
      </w:r>
      <w:r>
        <w:rPr>
          <w:b w:val="0"/>
          <w:sz w:val="32"/>
          <w:highlight w:val="none"/>
        </w:rPr>
        <w:fldChar w:fldCharType="separate"/>
      </w:r>
      <w:r>
        <w:rPr>
          <w:b w:val="0"/>
          <w:sz w:val="32"/>
          <w:highlight w:val="none"/>
        </w:rPr>
        <w:t xml:space="preserve">29</w:t>
      </w:r>
      <w:r>
        <w:rPr>
          <w:b w:val="0"/>
          <w:sz w:val="32"/>
          <w:highlight w:val="none"/>
        </w:rPr>
        <w:fldChar w:fldCharType="end"/>
      </w:r>
      <w:r/>
    </w:p>
    <w:p>
      <w:pPr>
        <w:pStyle w:val="653"/>
        <w:rPr>
          <w:b w:val="0"/>
          <w:sz w:val="32"/>
          <w:highlight w:val="none"/>
        </w:rPr>
      </w:pPr>
      <w:r>
        <w:rPr>
          <w:rFonts w:hint="eastAsia"/>
          <w:b w:val="0"/>
          <w:sz w:val="32"/>
          <w:highlight w:val="none"/>
        </w:rPr>
        <w:t xml:space="preserve">第五章</w:t>
      </w:r>
      <w:r>
        <w:rPr>
          <w:b w:val="0"/>
          <w:sz w:val="32"/>
          <w:highlight w:val="none"/>
        </w:rPr>
        <w:t xml:space="preserve">  </w:t>
      </w:r>
      <w:r>
        <w:rPr>
          <w:rFonts w:hint="eastAsia"/>
          <w:b w:val="0"/>
          <w:sz w:val="32"/>
          <w:highlight w:val="none"/>
        </w:rPr>
        <w:t xml:space="preserve">评标方法与评标标准...............................................</w:t>
      </w:r>
      <w:r>
        <w:rPr>
          <w:b w:val="0"/>
          <w:sz w:val="32"/>
          <w:highlight w:val="none"/>
        </w:rPr>
        <w:fldChar w:fldCharType="begin"/>
      </w:r>
      <w:r>
        <w:rPr>
          <w:b w:val="0"/>
          <w:sz w:val="32"/>
          <w:highlight w:val="none"/>
        </w:rPr>
        <w:instrText xml:space="preserve"> PAGEREF _Toc163482577 \h </w:instrText>
      </w:r>
      <w:r>
        <w:rPr>
          <w:b w:val="0"/>
          <w:sz w:val="32"/>
          <w:highlight w:val="none"/>
        </w:rPr>
        <w:fldChar w:fldCharType="separate"/>
      </w:r>
      <w:r>
        <w:rPr>
          <w:b w:val="0"/>
          <w:sz w:val="32"/>
          <w:highlight w:val="none"/>
        </w:rPr>
        <w:t xml:space="preserve">51</w:t>
      </w:r>
      <w:r>
        <w:rPr>
          <w:b w:val="0"/>
          <w:sz w:val="32"/>
          <w:highlight w:val="none"/>
        </w:rPr>
        <w:fldChar w:fldCharType="end"/>
      </w:r>
      <w:r/>
    </w:p>
    <w:p>
      <w:pPr>
        <w:pStyle w:val="653"/>
        <w:rPr>
          <w:b w:val="0"/>
          <w:sz w:val="32"/>
          <w:highlight w:val="none"/>
        </w:rPr>
      </w:pPr>
      <w:r>
        <w:rPr>
          <w:rFonts w:hint="eastAsia"/>
          <w:b w:val="0"/>
          <w:sz w:val="32"/>
          <w:highlight w:val="none"/>
        </w:rPr>
        <w:t xml:space="preserve">第六章</w:t>
      </w:r>
      <w:r>
        <w:rPr>
          <w:b w:val="0"/>
          <w:sz w:val="32"/>
          <w:highlight w:val="none"/>
        </w:rPr>
        <w:t xml:space="preserve">  </w:t>
      </w:r>
      <w:r>
        <w:rPr>
          <w:rFonts w:hint="eastAsia"/>
          <w:b w:val="0"/>
          <w:sz w:val="32"/>
          <w:highlight w:val="none"/>
        </w:rPr>
        <w:t xml:space="preserve">投标文件格式...........................................................</w:t>
      </w:r>
      <w:r>
        <w:rPr>
          <w:b w:val="0"/>
          <w:sz w:val="32"/>
          <w:highlight w:val="none"/>
        </w:rPr>
        <w:fldChar w:fldCharType="begin"/>
      </w:r>
      <w:r>
        <w:rPr>
          <w:b w:val="0"/>
          <w:sz w:val="32"/>
          <w:highlight w:val="none"/>
        </w:rPr>
        <w:instrText xml:space="preserve"> PAGEREF _Toc163482578 \h </w:instrText>
      </w:r>
      <w:r>
        <w:rPr>
          <w:b w:val="0"/>
          <w:sz w:val="32"/>
          <w:highlight w:val="none"/>
        </w:rPr>
        <w:fldChar w:fldCharType="separate"/>
      </w:r>
      <w:r>
        <w:rPr>
          <w:b w:val="0"/>
          <w:sz w:val="32"/>
          <w:highlight w:val="none"/>
        </w:rPr>
        <w:t xml:space="preserve">55</w:t>
      </w:r>
      <w:r>
        <w:rPr>
          <w:b w:val="0"/>
          <w:sz w:val="32"/>
          <w:highlight w:val="none"/>
        </w:rPr>
        <w:fldChar w:fldCharType="end"/>
      </w:r>
      <w:r/>
    </w:p>
    <w:p>
      <w:pPr>
        <w:jc w:val="left"/>
        <w:spacing w:line="480" w:lineRule="auto"/>
        <w:widowControl/>
        <w:rPr>
          <w:rFonts w:asciiTheme="minorEastAsia" w:hAnsiTheme="minorEastAsia"/>
          <w:sz w:val="24"/>
          <w:highlight w:val="none"/>
        </w:rPr>
      </w:pPr>
      <w:r>
        <w:rPr>
          <w:rFonts w:asciiTheme="minorEastAsia" w:hAnsiTheme="minorEastAsia"/>
          <w:sz w:val="24"/>
          <w:highlight w:val="none"/>
        </w:rPr>
        <w:fldChar w:fldCharType="end"/>
      </w:r>
      <w:r>
        <w:rPr>
          <w:rFonts w:asciiTheme="minorEastAsia" w:hAnsiTheme="minorEastAsia"/>
          <w:sz w:val="24"/>
          <w:highlight w:val="none"/>
        </w:rPr>
        <w:br w:type="page" w:clear="all"/>
      </w:r>
      <w:r/>
    </w:p>
    <w:p>
      <w:pPr>
        <w:pStyle w:val="638"/>
        <w:jc w:val="center"/>
        <w:spacing w:before="156" w:after="156" w:line="360" w:lineRule="auto"/>
        <w:rPr>
          <w:rFonts w:ascii="黑体" w:hAnsi="黑体" w:eastAsia="黑体"/>
          <w:b w:val="0"/>
          <w:highlight w:val="none"/>
        </w:rPr>
      </w:pPr>
      <w:r/>
      <w:bookmarkStart w:id="0" w:name="_Toc163482573"/>
      <w:r>
        <w:rPr>
          <w:rFonts w:hint="eastAsia" w:ascii="黑体" w:hAnsi="黑体" w:eastAsia="黑体"/>
          <w:b w:val="0"/>
          <w:highlight w:val="none"/>
        </w:rPr>
        <w:t xml:space="preserve">第一章  投标邀请</w:t>
      </w:r>
      <w:bookmarkEnd w:id="0"/>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受连云港师范学院的委托，江苏中瑞建设项目管理有限公司就连云港师范学院应用化学专业物理化学实验室建设项目（项目编号JSZC-320700-JSZR-G2026-0067）进行公开招标采购，欢迎符合条件的供应商投标。</w:t>
      </w:r>
      <w:r/>
    </w:p>
    <w:tbl>
      <w:tblPr>
        <w:tblStyle w:val="6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8"/>
      </w:tblGrid>
      <w:tr>
        <w:trPr/>
        <w:tc>
          <w:tcPr>
            <w:tcW w:w="8271" w:type="dxa"/>
            <w:textDirection w:val="lrTb"/>
            <w:noWrap w:val="false"/>
          </w:tcPr>
          <w:p>
            <w:pPr>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440" w:lineRule="exact"/>
              <w:rPr>
                <w:rFonts w:asciiTheme="minorEastAsia" w:hAnsiTheme="minorEastAsia"/>
                <w:sz w:val="24"/>
                <w:szCs w:val="24"/>
                <w:highlight w:val="none"/>
              </w:rPr>
            </w:pPr>
            <w:r>
              <w:rPr>
                <w:rFonts w:hint="eastAsia" w:asciiTheme="minorEastAsia" w:hAnsiTheme="minorEastAsia"/>
                <w:b/>
                <w:sz w:val="24"/>
                <w:szCs w:val="24"/>
                <w:highlight w:val="none"/>
                <w:u w:val="single"/>
              </w:rPr>
              <w:t xml:space="preserve">连云港师范学院应用化学专业物理化学实验室建设项目</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2026年10月12日10:30:00</w:t>
            </w:r>
            <w:r>
              <w:rPr>
                <w:rFonts w:hint="eastAsia" w:asciiTheme="minorEastAsia" w:hAnsiTheme="minorEastAsia"/>
                <w:sz w:val="24"/>
                <w:szCs w:val="24"/>
                <w:highlight w:val="none"/>
                <w:u w:val="single"/>
              </w:rPr>
              <w:t xml:space="preserve">（北京时间）</w:t>
            </w:r>
            <w:r>
              <w:rPr>
                <w:rFonts w:hint="eastAsia" w:asciiTheme="minorEastAsia" w:hAnsiTheme="minorEastAsia"/>
                <w:sz w:val="24"/>
                <w:szCs w:val="24"/>
                <w:highlight w:val="none"/>
              </w:rPr>
              <w:t xml:space="preserve">前递交（上传）投标文件。</w:t>
            </w:r>
            <w:r/>
          </w:p>
        </w:tc>
      </w:tr>
    </w:tbl>
    <w:p>
      <w:pPr>
        <w:pStyle w:val="639"/>
        <w:spacing w:before="0" w:after="0" w:line="44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一、项目基本情况</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项目编号：JSZC-320700-JSZR-G2026-0067 </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项目名称：连云港师范学院应用化学专业物理化学实验室建设项目</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p>
    <w:p>
      <w:pPr>
        <w:ind w:firstLine="480"/>
        <w:spacing w:line="440" w:lineRule="exact"/>
        <w:rPr>
          <w:rFonts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预算金额：人民币190万元</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最高限价：人民币190万元，报价超出最高限价的按无效响应处理；</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需求：拟建设物理化学实验室，围绕化学动力学、电化学、热力学、表面与胶体化学及结构化学，拟采购万分之一电子天平、电化学工作站、差示扫描量热仪、纳米粒度及Zeta电位分析仪系统、激光粒度分析仪系统、全谱电感耦合等离子体原子发射光谱仪等设备，具体要求详见采购需求。</w:t>
      </w:r>
      <w:r/>
    </w:p>
    <w:p>
      <w:pPr>
        <w:ind w:firstLine="482"/>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合同履行期限：合同签订后30日内（投标人应保证在要求时间内完成全部货物的供货、安装、调试和培训工作）。</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质量：符合国家标准、行业规范和合同等相关文件的要求。</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本项目不接受联合体投标。</w:t>
      </w:r>
      <w:r/>
    </w:p>
    <w:p>
      <w:pPr>
        <w:pStyle w:val="639"/>
        <w:spacing w:before="0" w:after="0" w:line="44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二、申请人的资格要求</w:t>
      </w:r>
      <w:r/>
    </w:p>
    <w:p>
      <w:pPr>
        <w:ind w:firstLine="24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（一）满足《中华人民共和国政府采购法》第二十二条规定，并提供下列材料：</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1.法人或者其他组织的营业执照等证明文件，自然人的身份证明；</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2.具有良好的商业信誉和健全的财务会计制度；</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3.依法缴纳税收和社会保障资金的相关材料；</w:t>
      </w:r>
      <w:r/>
    </w:p>
    <w:p>
      <w:pPr>
        <w:ind w:firstLine="482"/>
        <w:jc w:val="left"/>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根据连财购〔2023〕4号文件精神，2、3项可以提供《财务状况报告及税收、社会保障资金缴纳情况承诺函》，详见投标文件格式。</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4.具备履行合同所必需的设备和专业技术能力的声明及证明材料；</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5.参加政府采购活动前3年内在经营活动中没有重大违法记录的书面声明。</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6.法律、行政法规规定的其他条件。（如有，请按要求提供）</w:t>
      </w:r>
      <w:r/>
    </w:p>
    <w:p>
      <w:pPr>
        <w:ind w:firstLine="480"/>
        <w:jc w:val="left"/>
        <w:spacing w:line="440" w:lineRule="exact"/>
        <w:rPr>
          <w:rFonts w:asciiTheme="minorEastAsia" w:hAnsiTheme="minorEastAsia"/>
          <w:sz w:val="24"/>
          <w:szCs w:val="24"/>
          <w:highlight w:val="none"/>
        </w:rPr>
      </w:pPr>
      <w:r>
        <w:rPr>
          <w:rFonts w:hint="eastAsia" w:cs="Times New Roman" w:asciiTheme="minorEastAsia" w:hAnsiTheme="minorEastAsia"/>
          <w:sz w:val="24"/>
          <w:szCs w:val="24"/>
          <w:highlight w:val="none"/>
        </w:rPr>
        <w:t xml:space="preserve">7.资格审查现场查询信用中国网</w:t>
      </w:r>
      <w:r>
        <w:rPr>
          <w:rFonts w:hint="eastAsia" w:asciiTheme="minorEastAsia" w:hAnsiTheme="minorEastAsia"/>
          <w:sz w:val="24"/>
          <w:szCs w:val="24"/>
          <w:highlight w:val="none"/>
        </w:rPr>
        <w:t xml:space="preserve">，投标人被</w:t>
      </w:r>
      <w:r>
        <w:rPr>
          <w:rFonts w:hint="eastAsia" w:cs="Times New Roman" w:asciiTheme="minorEastAsia" w:hAnsiTheme="minorEastAsia"/>
          <w:sz w:val="24"/>
          <w:szCs w:val="24"/>
          <w:highlight w:val="none"/>
        </w:rPr>
        <w:t xml:space="preserve">列入失信被执行人、</w:t>
      </w:r>
      <w:r>
        <w:rPr>
          <w:rFonts w:cs="Times New Roman" w:asciiTheme="minorEastAsia" w:hAnsiTheme="minorEastAsia"/>
          <w:sz w:val="24"/>
          <w:szCs w:val="24"/>
          <w:highlight w:val="none"/>
        </w:rPr>
        <w:t xml:space="preserve">税收违法黑名单</w:t>
      </w:r>
      <w:r>
        <w:rPr>
          <w:rFonts w:hint="eastAsia" w:cs="Times New Roman" w:asciiTheme="minorEastAsia" w:hAnsiTheme="minorEastAsia"/>
          <w:sz w:val="24"/>
          <w:szCs w:val="24"/>
          <w:highlight w:val="none"/>
        </w:rPr>
        <w:t xml:space="preserve">、政府采</w:t>
      </w:r>
      <w:r>
        <w:rPr>
          <w:rFonts w:hint="eastAsia" w:asciiTheme="minorEastAsia" w:hAnsiTheme="minorEastAsia"/>
          <w:sz w:val="24"/>
          <w:szCs w:val="24"/>
          <w:highlight w:val="none"/>
        </w:rPr>
        <w:t xml:space="preserve">购严重违法失信行为记录名单及具有其他不符合《中华人民共和国政府采购法》第二十二条规定情形的，拒绝其参与政府采购活动。（投标文件中无需提供证明材料）</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8.本项目不接受进口产品（进口产品是指通过中国海关报关验放进入中国境内且产自关境外的产品）投标，中标后不允许分包或转包。</w:t>
      </w:r>
      <w:r/>
    </w:p>
    <w:p>
      <w:pPr>
        <w:ind w:firstLine="24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二）落实政府采购政策需满足的资格要求：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w:t>
      </w:r>
      <w:r/>
    </w:p>
    <w:p>
      <w:pPr>
        <w:ind w:firstLine="24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p>
    <w:p>
      <w:pPr>
        <w:pStyle w:val="639"/>
        <w:spacing w:before="0" w:after="0" w:line="44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三、获取招标文件</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时间：自招标公告发布之日起至2026年09月28日（北京时间）</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jc w:val="left"/>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639"/>
        <w:spacing w:before="0" w:after="0" w:line="44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提交投标文件截止时间：2026年10月12日</w:t>
      </w:r>
      <w:r>
        <w:rPr>
          <w:rFonts w:hint="eastAsia" w:asciiTheme="minorEastAsia" w:hAnsiTheme="minorEastAsia"/>
          <w:b/>
          <w:sz w:val="24"/>
          <w:szCs w:val="24"/>
          <w:highlight w:val="none"/>
        </w:rPr>
        <w:t xml:space="preserve">10:30:00</w:t>
      </w:r>
      <w:r>
        <w:rPr>
          <w:rFonts w:hint="eastAsia" w:asciiTheme="minorEastAsia" w:hAnsiTheme="minorEastAsia"/>
          <w:sz w:val="24"/>
          <w:szCs w:val="24"/>
          <w:highlight w:val="none"/>
        </w:rPr>
        <w:t xml:space="preserve">（北京时间）</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开标时间：2026年10月12日</w:t>
      </w:r>
      <w:r>
        <w:rPr>
          <w:rFonts w:hint="eastAsia" w:asciiTheme="minorEastAsia" w:hAnsiTheme="minorEastAsia"/>
          <w:b/>
          <w:sz w:val="24"/>
          <w:szCs w:val="24"/>
          <w:highlight w:val="none"/>
        </w:rPr>
        <w:t xml:space="preserve">10:30:00</w:t>
      </w:r>
      <w:r>
        <w:rPr>
          <w:rFonts w:hint="eastAsia" w:asciiTheme="minorEastAsia" w:hAnsiTheme="minorEastAsia"/>
          <w:sz w:val="24"/>
          <w:szCs w:val="24"/>
          <w:highlight w:val="none"/>
        </w:rPr>
        <w:t xml:space="preserve">（北京时间）</w:t>
      </w:r>
      <w:r/>
    </w:p>
    <w:p>
      <w:pPr>
        <w:ind w:firstLine="480"/>
        <w:spacing w:line="440" w:lineRule="exact"/>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p>
    <w:p>
      <w:pPr>
        <w:pStyle w:val="639"/>
        <w:spacing w:before="0" w:after="0" w:line="44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五、公告期限</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自本公告发布之日起5个工作日。</w:t>
      </w:r>
      <w:r/>
    </w:p>
    <w:p>
      <w:pPr>
        <w:pStyle w:val="639"/>
        <w:spacing w:before="0" w:after="0" w:line="44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六、其他补充事宜</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1.本次招标不收取投标保证金。</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2.本招标文件中斜体且有下划线部分为实质性要求和条件，投标人须逐条做出满足实质性要求和条件的响应，否则将按无效响应处理。</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highlight w:val="none"/>
        </w:rPr>
        <w:t xml:space="preserve">或者</w:t>
      </w:r>
      <w:r>
        <w:rPr>
          <w:rFonts w:hint="eastAsia" w:asciiTheme="minorEastAsia" w:hAnsiTheme="minorEastAsia"/>
          <w:sz w:val="24"/>
          <w:szCs w:val="24"/>
          <w:highlight w:val="none"/>
        </w:rPr>
        <w:t xml:space="preserve">提交失误，由此造成的一切损失由投标人自行承担。</w:t>
      </w:r>
      <w:r/>
    </w:p>
    <w:p>
      <w:pPr>
        <w:ind w:firstLine="480"/>
        <w:spacing w:line="440" w:lineRule="exact"/>
        <w:rPr>
          <w:highlight w:val="none"/>
        </w:rPr>
      </w:pPr>
      <w:r>
        <w:rPr>
          <w:rFonts w:hint="eastAsia" w:asciiTheme="minorEastAsia" w:hAnsiTheme="minorEastAsia"/>
          <w:sz w:val="24"/>
          <w:szCs w:val="24"/>
          <w:highlight w:val="none"/>
        </w:rPr>
        <w:t xml:space="preserve">4.根据江苏省</w:t>
      </w:r>
      <w:r>
        <w:rPr>
          <w:rFonts w:hint="eastAsia" w:asciiTheme="minorEastAsia" w:hAnsiTheme="minorEastAsia"/>
          <w:sz w:val="24"/>
          <w:szCs w:val="24"/>
          <w:highlight w:val="none"/>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39"/>
        <w:spacing w:before="0" w:after="0" w:line="44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七、对本次招标提出询问，请按以下方式联系</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名称：连云港师范学院</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地址：连云港市海州区圣湖路28号</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联系方式： </w:t>
      </w:r>
      <w:r>
        <w:rPr>
          <w:rFonts w:asciiTheme="minorEastAsia" w:hAnsiTheme="minorEastAsia"/>
          <w:sz w:val="24"/>
          <w:szCs w:val="24"/>
          <w:highlight w:val="none"/>
        </w:rPr>
        <w:t xml:space="preserve">18896512730</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称：江苏中瑞建设项目管理有限公司</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址：连云港市海州区朝阳东路32-6号东盛阳光大厦A座502</w:t>
      </w:r>
      <w:r/>
    </w:p>
    <w:p>
      <w:pPr>
        <w:ind w:firstLine="480"/>
        <w:spacing w:line="440" w:lineRule="exact"/>
        <w:rPr>
          <w:rFonts w:cs="Times New Roman" w:asciiTheme="minorEastAsia" w:hAnsiTheme="minorEastAsia"/>
          <w:sz w:val="24"/>
          <w:szCs w:val="24"/>
          <w:highlight w:val="none"/>
        </w:rPr>
      </w:pPr>
      <w:r>
        <w:rPr>
          <w:rFonts w:hint="eastAsia" w:asciiTheme="minorEastAsia" w:hAnsiTheme="minorEastAsia"/>
          <w:sz w:val="24"/>
          <w:szCs w:val="24"/>
          <w:highlight w:val="none"/>
        </w:rPr>
        <w:t xml:space="preserve">联系方式：张工 18936586917</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项目联系人：王贞凯</w:t>
      </w:r>
      <w:r/>
    </w:p>
    <w:p>
      <w:pPr>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电      话：18896512730</w:t>
      </w:r>
      <w:r/>
    </w:p>
    <w:p>
      <w:pPr>
        <w:ind w:firstLine="480"/>
        <w:spacing w:line="500" w:lineRule="exact"/>
        <w:rPr>
          <w:rFonts w:asciiTheme="minorEastAsia" w:hAnsiTheme="minorEastAsia"/>
          <w:sz w:val="24"/>
          <w:szCs w:val="2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sz w:val="24"/>
          <w:szCs w:val="24"/>
          <w:highlight w:val="none"/>
        </w:rPr>
      </w:r>
      <w:r/>
    </w:p>
    <w:p>
      <w:pPr>
        <w:pStyle w:val="638"/>
        <w:jc w:val="center"/>
        <w:spacing w:before="156" w:after="156" w:line="360" w:lineRule="auto"/>
        <w:rPr>
          <w:rFonts w:ascii="黑体" w:hAnsi="黑体" w:eastAsia="黑体"/>
          <w:b w:val="0"/>
          <w:highlight w:val="none"/>
        </w:rPr>
      </w:pPr>
      <w:r/>
      <w:bookmarkStart w:id="1" w:name="_Toc163482574"/>
      <w:r>
        <w:rPr>
          <w:rFonts w:hint="eastAsia" w:ascii="黑体" w:hAnsi="黑体" w:eastAsia="黑体"/>
          <w:b w:val="0"/>
          <w:highlight w:val="none"/>
        </w:rPr>
        <w:t xml:space="preserve">第二章  投标人须知</w:t>
      </w:r>
      <w:bookmarkEnd w:id="1"/>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一、总则</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1.招标方式</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2.合格的投标人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 满足招标公告中供应商的资格要求的规定。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 满足本招标文件全部实质性要求和条件的规定。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3.适用法律</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4.投标费用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4.1 投标人应自行承担所有与参加投标有关的费用，无论投标过程中的做法和结果如何，采购人、采购代理机构在任何情况下均无义务和责任承担这些费用。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4.2 本项目招标代理费按苏招协（2022）002号文标准的30.5%计取（包含全部费用），以上费用由中标人在领取中标通知书时一次性支付，投标人须将此部分费用综合考虑在报价中，不得单列。</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5.招标文件的约束力</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5.1 投标人一旦参加本项目采购活动，即被认为接受了本招标文件的规定和约束。</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二、招标文件</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6.招标文件构成</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6.1 招标文件由以下部分组成：</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请仔细检查招标文件是否齐全，如有缺漏请立即与采购代理机构联系解决。</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7.招标文件的澄清</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7.1 任何要求对招标文件进行澄清的投标人，应在投标截止期十日前按招标公告中的通讯地址，以书面形式通知采购人或者采购代理机构。</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8.招标文件的修改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8.1 在投标截止时间前，采购人和采购代理机构可以对招标文件进行修改。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8.2 采购人和采购代理机构有权按照法定的要求推迟投标截止日期和开标日期。</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8.3 招标文件的修改将在江苏政府采购网公布，补充文件将作为招标文件的组成部分，并对投标人具有约束力。</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三、投标文件的编制</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9.投标文件编写注意事项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10.投标文件的语言及度量衡单位</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10.2 除技术性能另有规定外，投标文件所使用的度量衡单位，均须采用国家法定计量单位。</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11.投标文件构成</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12.证明投标人及投标标的符合招标文件规定的文件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13.投标分项报价表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（1）投标的货物总价；</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（2）货物的标准附件、备品备件、专用工具、运输、装卸等各种费用；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（3）必要的保险费用和各项税金；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（4）投标总价要求包含安装维保费用。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13.2 投标人应根据投标报价要求在投标分项报价表中列明各项投标单价、总价等，未全部列示的作无效响应处理。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13.3 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14.技术要求响应及偏离表、商务要求响应及偏离表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14.2 投标人可在投标文件中提供认为需要的其他技术文件或说明。</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15.服务承诺、培训计划、人员安排及其他</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15.2 投标人需根据招标文件要求提供培训计划、人员安排等。</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16.投标函和开标一览表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17.投标有效期</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17.1 投标有效期为招标文件规定的开标之日后六十（60）天。投标有效期比规定短的将被视为未实质性响应招标文件而予以拒绝。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四、投标文件的递交</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18.电子投标文件的递交</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19.投标截止时间</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19.2 采购人和采购代理机构可以按照规定，通过修改招标文件酌情延长投标截止日期，在此情况下，投标人的所有权利和义务以及投标人受制的截止日期均应以延长后新的截止日期为准。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20.投标文件的拒收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20.1 采购代理机构拒绝接收在其规定的投标截止时间后递交（上传）的任何投标文件。</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21.投标文件的撤回和修改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21.1 投标文件的撤回</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投标人撤回电子投标文件的，则认为其不再参与本项目投标活动。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21.2 投标文件的修改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21.2.2 在投标截止时间之后，投标人不得对其电子投标文件做任何修改。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21.3 在投标截止时间至招标文件中规定的投标有效期满之间的这段时间内，投标人不得撤回其投标。</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五、开标与评标</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22.开标</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22.1 采购代理机构将在招标公告中规定的时间和地点组织公开开标。投标人应当按时参加开标活动，并在“苏采云”系统规定的时间内对投标文件进行解密。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22.2 开标仪式由采购代理机构组织。“苏采云”系统将自动对项目进行开标，并宣布各投标人名称和投标价格。</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22.5 投标人未参加开标的，视同认可开标结果。</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23.评标委员会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23.1 开标后，采购代理机构将组织评委会进行评标。</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24.评标过程的保密与公正</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24.1 凡是与审查、澄清、评价和比较投标的有关资料以及授标建议等，采购人、评审专家、采购代理机构均不得向投标人或与评标无关的其他人员透露。</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24.3 采购代理机构和评委会不向未中标的投标人解释未中标原因，也不公布评标过程中的相关细节。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25.投标文件的澄清</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评委会并非对每个投标人都做澄清、说明或者补正要求。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26.对投标文件的初审</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 投标文件初审分为资格审查和符合性审查。</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26.1.3政府采购异常低价审查：</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1.投标报价低于全部通过符合性审查供应商投标报价平均值50%的，即投标报价＜全部通过符合性审查供应商投标报价平均值×50%；</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2.投标报价低于通过符合性审查的次低报价供应商投标报价50%的，即投标报价＜通过符合性审查的次低报价供应商投标报价×50%；</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3.投标报价低于采购项目最高限价45%的，即投标报价＜采购项目最高限价×45%；</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相关法律法规对供应商报价有规定的，从其规定。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应随投标文件一并提交相关书面说明及必要的证明材料的，在评审现场不再重复提交。</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采购代理机构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26.7 投标人在开、评标全过程中应保持通讯畅通，及时登录“苏采云”系统查阅、答复相关信息，并安排专人与采购代理机构及评委会联系。</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27.无效投标条款和废标条款</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27.1 无效投标条款</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（1）投标人未按照招标文件要求递交（上传）电子投标文件的。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（3）投标人不具备招标文件中规定的资格要求的。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（5）投标人提交两个（含两个）以上不同的投标报价的。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（6）投标人的报价超过了采购预算或者最高限价的。</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（10）投标人未通过符合性审查的。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（11）投标文件含有采购人不能接受的附加条件的。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（12）投标文件未按照招标文件要求加盖公章（CA电子公章）的。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（13）其他法律、法规及本招标文件规定的属于无效投标的情形。</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27.2 有下列情形之一的，视为投标人串通投标，投标无效：</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（1）不同投标人的投标文件由同一单位或者个人编制。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（2）不同投标人委托同一单位或者个人办理投标事宜。</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（3）不同投标人的投标文件载明的项目管理成员或者联系人员为同一人。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（4）不同投标人的投标文件异常一致或者投标报价呈规律性差异。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27.3 废标条款</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（1）因“苏采云”系统故障原因造成开标不成功的。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（2）评委会认定招标文件存在歧义、重大缺陷导致评审工作无法进行的。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（4）出现影响采购公正的违法、违规行为的。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（5）因重大变故，采购任务取消的。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六、定标</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28.确定中标单位</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28.1 中标候选人的选取原则和数量详见招标文件第五章规定。 </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28.2 采购人应根据评委会推荐的中标候选人确定中标人。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28.3 采购代理机构将在江苏政府采购网发布中标公告，公告期限为1个工作日。</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（1）提供虚假材料谋取中标、成交的。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（2）采取不正当手段诋毁、排挤其他供应商的。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（3）与采购人、其他供应商或者采购代理机构恶意串通的。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（4）向采购人、采购代理机构行贿或者提供其他不正当利益的。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（5）在招标采购过程中与采购人进行协商谈判的。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（6）属于本文件规定的无效条件，但在评标过程中又未被评委会发现的。</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29.中标通知书</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647"/>
        <w:rPr>
          <w:highlight w:val="none"/>
        </w:rPr>
      </w:pPr>
      <w:r>
        <w:rPr>
          <w:rFonts w:hint="eastAsia" w:hAnsi="宋体" w:eastAsia="宋体" w:cs="宋体"/>
          <w:szCs w:val="24"/>
          <w:highlight w:val="none"/>
        </w:rPr>
        <w:t xml:space="preserve">29.3 中标人应在中标后七个工作日内，向采购人和采购代理机构提供一正三副与电子投标文件一致的纸质打印胶装投标文件，封面、骑缝需加盖公章。</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七、授予合同</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30.履约保证金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30.5 本项目履约保证金要求详见招标文件第四章 采购需求。</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31.合同签订及合同标的的追加</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highlight w:val="none"/>
        </w:rPr>
      </w:pPr>
      <w:r>
        <w:rPr>
          <w:rFonts w:hint="eastAsia" w:ascii="宋体" w:hAnsi="宋体" w:eastAsia="宋体" w:cs="宋体"/>
          <w:sz w:val="24"/>
          <w:szCs w:val="24"/>
          <w:highlight w:val="none"/>
        </w:rPr>
        <w:t xml:space="preserve">31.4</w:t>
      </w:r>
      <w:r>
        <w:rPr>
          <w:rFonts w:hint="eastAsia"/>
          <w:sz w:val="24"/>
          <w:szCs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32.政府采购履约资金扶持政策</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32.1 中标人可凭政府采购合同办理融资贷款，详情请见江苏政府采购网“政采贷”专栏。</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八、询问与质疑</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33.询问</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34.质疑提出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34.1 提出质疑的供应商应当是参与所质疑项目采购活动的供应商。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（7）必要的证明材料；</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35.质疑函的受理和答复</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35.3 对不符合质疑要求的，采购人、采购代理机构有权要求其补充必要的证明材料，质疑供应商未在法定的时间内提供补充必要的证明材料的，视同放弃质疑。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35.4 以下情形的质疑不予受理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（1）内容不符合《政府采购质疑和投诉办法》第十二条规定的质疑。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（2）超出政府采购法定期限的质疑。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（3）以传真、电子邮件等方式递交的非原件形式的质疑。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35.5 采购人、采购代理机构依法受理的质疑，将按照政府采购有关规定，在法定期限内答复。</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36.质疑处理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36.1 质疑供应商未按照法定程序进行质疑投诉的，视为一般失信行为。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36.2 质疑供应商不配合或者采取不正当手段干扰政府采购质疑、投诉处理工作的，视为一般失信行为。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36.3 质疑供应商投诉受理期间，就同一事项多头举报，干扰财政部门投诉处理的，视为一般失信行为。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36.4 质疑供应商在全国范围12个月内三次以上质疑查无实据的，视为一般失信行为。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36.6 质疑供应商在全国范围12个月内三次以上投诉查无实据的，视为严重失信行为。</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36.7 未尽事宜，依照有关法律、法规执行。</w:t>
      </w:r>
      <w:r/>
    </w:p>
    <w:p>
      <w:pPr>
        <w:pStyle w:val="639"/>
        <w:spacing w:before="0" w:after="0" w:line="500" w:lineRule="exact"/>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九、政府采购政策功能</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37.促进中小企业发展</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37.2 参加本项目政府采购活动的供应商应当提供的材料： </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（1）投标人为中型企业、小型企业、微型企业的，提供《中小企业声明函》（第六章 投标文件格式）。</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37.3 享受扶持政策获得政府采购合同的，小微企业不得将合同分包给大中型企业，中型企业不得将合同分包给大型企业。</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38.采购本国产品的支持政策</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38.5政府采购中的本国产品标准及其他未尽事宜详见《国务院办公厅关于在政府采购中实施本国产品标准及相关政策的通知》（国办发〔2025〕34号）。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39.支持绿色发展</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40.政府采购需求标准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40.1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638"/>
        <w:jc w:val="center"/>
        <w:spacing w:before="156" w:after="156" w:line="360" w:lineRule="auto"/>
        <w:rPr>
          <w:rFonts w:ascii="黑体" w:hAnsi="黑体" w:eastAsia="黑体"/>
          <w:b w:val="0"/>
          <w:highlight w:val="none"/>
        </w:rPr>
      </w:pPr>
      <w:r/>
      <w:bookmarkStart w:id="2" w:name="_Toc163482575"/>
      <w:r>
        <w:rPr>
          <w:rFonts w:hint="eastAsia" w:ascii="黑体" w:hAnsi="黑体" w:eastAsia="黑体"/>
          <w:b w:val="0"/>
          <w:highlight w:val="none"/>
        </w:rPr>
        <w:t xml:space="preserve">第三章  合同文本</w:t>
      </w:r>
      <w:bookmarkEnd w:id="2"/>
      <w:r/>
      <w:r/>
    </w:p>
    <w:p>
      <w:pPr>
        <w:ind w:firstLine="0"/>
        <w:spacing w:line="360" w:lineRule="auto"/>
        <w:rPr>
          <w:rFonts w:ascii="宋体" w:hAnsi="宋体" w:eastAsia="宋体" w:cs="宋体"/>
          <w:sz w:val="44"/>
          <w:szCs w:val="24"/>
          <w:highlight w:val="none"/>
        </w:rPr>
      </w:pPr>
      <w:r>
        <w:rPr>
          <w:rFonts w:ascii="宋体" w:hAnsi="宋体" w:eastAsia="宋体" w:cs="宋体"/>
          <w:sz w:val="44"/>
          <w:szCs w:val="24"/>
          <w:highlight w:val="none"/>
        </w:rPr>
      </w:r>
      <w:r/>
    </w:p>
    <w:p>
      <w:pPr>
        <w:jc w:val="center"/>
        <w:spacing w:line="360" w:lineRule="auto"/>
        <w:rPr>
          <w:rFonts w:ascii="宋体" w:hAnsi="宋体" w:eastAsia="宋体" w:cs="Times New Roman"/>
          <w:b/>
          <w:bCs/>
          <w:sz w:val="52"/>
          <w:szCs w:val="24"/>
          <w:highlight w:val="none"/>
        </w:rPr>
      </w:pPr>
      <w:r>
        <w:rPr>
          <w:rFonts w:hint="eastAsia" w:ascii="宋体" w:hAnsi="宋体" w:eastAsia="宋体" w:cs="Times New Roman"/>
          <w:b/>
          <w:bCs/>
          <w:sz w:val="52"/>
          <w:szCs w:val="24"/>
          <w:highlight w:val="none"/>
        </w:rPr>
        <w:t xml:space="preserve">连 云 港 市 政 府 采 购</w:t>
      </w:r>
      <w:r/>
    </w:p>
    <w:p>
      <w:pPr>
        <w:pStyle w:val="641"/>
        <w:numPr>
          <w:ilvl w:val="3"/>
          <w:numId w:val="0"/>
        </w:numPr>
        <w:ind w:left="200"/>
        <w:rPr>
          <w:highlight w:val="none"/>
        </w:rPr>
      </w:pPr>
      <w:r>
        <w:rPr>
          <w:highlight w:val="none"/>
        </w:rPr>
      </w:r>
      <w:r/>
    </w:p>
    <w:p>
      <w:pPr>
        <w:ind w:firstLine="420"/>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firstLine="883"/>
        <w:jc w:val="center"/>
        <w:spacing w:line="360" w:lineRule="auto"/>
        <w:rPr>
          <w:rFonts w:ascii="宋体" w:hAnsi="宋体" w:eastAsia="宋体" w:cs="Times New Roman"/>
          <w:b/>
          <w:bCs/>
          <w:sz w:val="44"/>
          <w:szCs w:val="24"/>
          <w:highlight w:val="none"/>
        </w:rPr>
      </w:pPr>
      <w:r>
        <w:rPr>
          <w:rFonts w:hint="eastAsia" w:ascii="宋体" w:hAnsi="宋体" w:eastAsia="宋体" w:cs="Times New Roman"/>
          <w:b/>
          <w:bCs/>
          <w:sz w:val="44"/>
          <w:szCs w:val="24"/>
          <w:highlight w:val="none"/>
          <w:u w:val="single"/>
        </w:rPr>
        <w:t xml:space="preserve">                    </w:t>
      </w:r>
      <w:r>
        <w:rPr>
          <w:rFonts w:hint="eastAsia" w:ascii="宋体" w:hAnsi="宋体" w:eastAsia="宋体" w:cs="Times New Roman"/>
          <w:b/>
          <w:bCs/>
          <w:sz w:val="44"/>
          <w:szCs w:val="24"/>
          <w:highlight w:val="none"/>
        </w:rPr>
        <w:t xml:space="preserve">合同</w:t>
      </w:r>
      <w:r/>
    </w:p>
    <w:p>
      <w:pPr>
        <w:ind w:firstLine="420"/>
        <w:spacing w:line="360" w:lineRule="auto"/>
        <w:rPr>
          <w:rFonts w:ascii="宋体" w:hAnsi="宋体" w:eastAsia="宋体" w:cs="Times New Roman"/>
          <w:szCs w:val="24"/>
          <w:highlight w:val="none"/>
        </w:rPr>
      </w:pPr>
      <w:r>
        <w:rPr>
          <w:rFonts w:ascii="宋体" w:hAnsi="宋体" w:eastAsia="宋体" w:cs="Times New Roman"/>
          <w:szCs w:val="24"/>
          <w:highlight w:val="none"/>
        </w:rPr>
      </w:r>
      <w:r/>
    </w:p>
    <w:p>
      <w:pPr>
        <w:ind w:firstLine="3507"/>
        <w:spacing w:line="360" w:lineRule="auto"/>
        <w:rPr>
          <w:rFonts w:ascii="宋体" w:hAnsi="宋体" w:eastAsia="宋体" w:cs="Times New Roman"/>
          <w:b/>
          <w:bCs/>
          <w:sz w:val="44"/>
          <w:szCs w:val="24"/>
          <w:highlight w:val="none"/>
        </w:rPr>
      </w:pPr>
      <w:r>
        <w:rPr>
          <w:rFonts w:ascii="宋体" w:hAnsi="宋体" w:eastAsia="宋体" w:cs="Times New Roman"/>
          <w:b/>
          <w:bCs/>
          <w:sz w:val="44"/>
          <w:szCs w:val="24"/>
          <w:highlight w:val="none"/>
        </w:rPr>
      </w:r>
      <w:r/>
    </w:p>
    <w:p>
      <w:pPr>
        <w:ind w:firstLine="3507"/>
        <w:spacing w:line="360" w:lineRule="auto"/>
        <w:rPr>
          <w:rFonts w:ascii="宋体" w:hAnsi="宋体" w:eastAsia="宋体" w:cs="Times New Roman"/>
          <w:b/>
          <w:bCs/>
          <w:sz w:val="44"/>
          <w:szCs w:val="24"/>
          <w:highlight w:val="none"/>
        </w:rPr>
      </w:pPr>
      <w:r>
        <w:rPr>
          <w:rFonts w:ascii="宋体" w:hAnsi="宋体" w:eastAsia="宋体" w:cs="Times New Roman"/>
          <w:b/>
          <w:bCs/>
          <w:sz w:val="44"/>
          <w:szCs w:val="24"/>
          <w:highlight w:val="none"/>
        </w:rPr>
      </w:r>
      <w:r/>
    </w:p>
    <w:p>
      <w:pPr>
        <w:ind w:firstLine="3507"/>
        <w:spacing w:line="360" w:lineRule="auto"/>
        <w:rPr>
          <w:rFonts w:ascii="宋体" w:hAnsi="宋体" w:eastAsia="宋体" w:cs="Times New Roman"/>
          <w:b/>
          <w:bCs/>
          <w:sz w:val="44"/>
          <w:szCs w:val="24"/>
          <w:highlight w:val="none"/>
        </w:rPr>
      </w:pPr>
      <w:r>
        <w:rPr>
          <w:rFonts w:ascii="宋体" w:hAnsi="宋体" w:eastAsia="宋体" w:cs="Times New Roman"/>
          <w:b/>
          <w:bCs/>
          <w:sz w:val="44"/>
          <w:szCs w:val="24"/>
          <w:highlight w:val="none"/>
        </w:rPr>
      </w:r>
      <w:r/>
    </w:p>
    <w:p>
      <w:pPr>
        <w:ind w:firstLine="1802"/>
        <w:spacing w:line="360" w:lineRule="auto"/>
        <w:rPr>
          <w:rFonts w:ascii="宋体" w:hAnsi="宋体" w:eastAsia="宋体" w:cs="Times New Roman"/>
          <w:b/>
          <w:bCs/>
          <w:sz w:val="44"/>
          <w:szCs w:val="44"/>
          <w:highlight w:val="none"/>
        </w:rPr>
      </w:pPr>
      <w:r>
        <w:rPr>
          <w:rFonts w:hint="eastAsia" w:ascii="宋体" w:hAnsi="宋体" w:eastAsia="宋体" w:cs="Times New Roman"/>
          <w:b/>
          <w:bCs/>
          <w:sz w:val="44"/>
          <w:szCs w:val="44"/>
          <w:highlight w:val="none"/>
        </w:rPr>
        <w:t xml:space="preserve">合同编号：</w:t>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pStyle w:val="648"/>
        <w:ind w:left="1470" w:right="1470"/>
        <w:rPr>
          <w:rFonts w:ascii="宋体" w:hAnsi="宋体" w:eastAsia="宋体" w:cs="Times New Roman"/>
          <w:sz w:val="44"/>
          <w:szCs w:val="24"/>
          <w:highlight w:val="none"/>
        </w:rPr>
      </w:pPr>
      <w:r>
        <w:rPr>
          <w:rFonts w:ascii="宋体" w:hAnsi="宋体" w:eastAsia="宋体" w:cs="Times New Roman"/>
          <w:sz w:val="44"/>
          <w:szCs w:val="24"/>
          <w:highlight w:val="none"/>
        </w:rPr>
      </w:r>
      <w:r/>
    </w:p>
    <w:p>
      <w:pPr>
        <w:rPr>
          <w:highlight w:val="none"/>
        </w:rPr>
      </w:pPr>
      <w:r>
        <w:rPr>
          <w:highlight w:val="none"/>
        </w:rPr>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880"/>
        <w:spacing w:line="360" w:lineRule="auto"/>
        <w:rPr>
          <w:rFonts w:ascii="宋体" w:hAnsi="宋体" w:eastAsia="宋体" w:cs="Times New Roman"/>
          <w:sz w:val="44"/>
          <w:szCs w:val="24"/>
          <w:highlight w:val="none"/>
        </w:rPr>
      </w:pPr>
      <w:r>
        <w:rPr>
          <w:rFonts w:ascii="宋体" w:hAnsi="宋体" w:eastAsia="宋体" w:cs="Times New Roman"/>
          <w:sz w:val="44"/>
          <w:szCs w:val="24"/>
          <w:highlight w:val="none"/>
        </w:rPr>
      </w:r>
      <w:r/>
    </w:p>
    <w:p>
      <w:pPr>
        <w:ind w:firstLine="1758"/>
        <w:spacing w:line="360" w:lineRule="auto"/>
        <w:rPr>
          <w:rFonts w:ascii="宋体" w:hAnsi="宋体" w:eastAsia="宋体" w:cs="Times New Roman"/>
          <w:b/>
          <w:bCs/>
          <w:sz w:val="44"/>
          <w:szCs w:val="24"/>
          <w:highlight w:val="none"/>
        </w:rPr>
      </w:pPr>
      <w:r>
        <w:rPr>
          <w:rFonts w:hint="eastAsia" w:ascii="宋体" w:hAnsi="宋体" w:eastAsia="宋体" w:cs="Times New Roman"/>
          <w:b/>
          <w:bCs/>
          <w:sz w:val="44"/>
          <w:szCs w:val="24"/>
          <w:highlight w:val="none"/>
        </w:rPr>
        <w:t xml:space="preserve">采购人：</w:t>
      </w:r>
      <w:r/>
    </w:p>
    <w:p>
      <w:pPr>
        <w:ind w:firstLine="1758"/>
        <w:spacing w:line="360" w:lineRule="auto"/>
        <w:rPr>
          <w:rFonts w:ascii="宋体" w:hAnsi="宋体" w:eastAsia="宋体" w:cs="Times New Roman"/>
          <w:b/>
          <w:bCs/>
          <w:sz w:val="44"/>
          <w:szCs w:val="24"/>
          <w:highlight w:val="none"/>
        </w:rPr>
      </w:pPr>
      <w:r>
        <w:rPr>
          <w:rFonts w:hint="eastAsia" w:ascii="宋体" w:hAnsi="宋体" w:eastAsia="宋体" w:cs="Times New Roman"/>
          <w:b/>
          <w:bCs/>
          <w:sz w:val="44"/>
          <w:szCs w:val="24"/>
          <w:highlight w:val="none"/>
        </w:rPr>
        <w:t xml:space="preserve">中标人：</w:t>
      </w:r>
      <w:r/>
    </w:p>
    <w:p>
      <w:pPr>
        <w:rPr>
          <w:rFonts w:ascii="Calibri" w:hAnsi="Calibri" w:eastAsia="宋体" w:cs="Times New Roman"/>
          <w:sz w:val="24"/>
          <w:szCs w:val="24"/>
          <w:highlight w:val="none"/>
        </w:rPr>
      </w:pPr>
      <w:r>
        <w:rPr>
          <w:rFonts w:ascii="Calibri" w:hAnsi="Calibri" w:eastAsia="宋体" w:cs="Times New Roman"/>
          <w:sz w:val="24"/>
          <w:szCs w:val="24"/>
          <w:highlight w:val="none"/>
        </w:rPr>
      </w:r>
      <w:r/>
    </w:p>
    <w:p>
      <w:pPr>
        <w:pStyle w:val="648"/>
        <w:ind w:left="0" w:right="1470"/>
        <w:rPr>
          <w:highlight w:val="none"/>
        </w:rPr>
      </w:pPr>
      <w:r>
        <w:rPr>
          <w:highlight w:val="none"/>
        </w:rPr>
      </w:r>
      <w:r/>
    </w:p>
    <w:p>
      <w:pPr>
        <w:ind w:left="359" w:firstLine="227"/>
        <w:jc w:val="center"/>
        <w:spacing w:line="360" w:lineRule="auto"/>
        <w:rPr>
          <w:rFonts w:ascii="宋体" w:hAnsi="宋体" w:eastAsia="宋体" w:cs="Times New Roman"/>
          <w:sz w:val="32"/>
          <w:szCs w:val="32"/>
          <w:highlight w:val="none"/>
        </w:rPr>
      </w:pPr>
      <w:r>
        <w:rPr>
          <w:rFonts w:hint="eastAsia" w:ascii="宋体" w:hAnsi="宋体" w:eastAsia="宋体" w:cs="Times New Roman"/>
          <w:sz w:val="32"/>
          <w:szCs w:val="32"/>
          <w:highlight w:val="none"/>
        </w:rPr>
        <w:t xml:space="preserve">目  录</w:t>
      </w:r>
      <w:r/>
    </w:p>
    <w:p>
      <w:pPr>
        <w:ind w:left="359" w:firstLine="198"/>
        <w:spacing w:line="360" w:lineRule="auto"/>
        <w:tabs>
          <w:tab w:val="left" w:pos="1170" w:leader="none"/>
        </w:tabs>
        <w:rPr>
          <w:rFonts w:ascii="宋体" w:hAnsi="宋体" w:eastAsia="宋体" w:cs="Times New Roman"/>
          <w:sz w:val="28"/>
          <w:szCs w:val="24"/>
          <w:highlight w:val="none"/>
        </w:rPr>
      </w:pPr>
      <w:r>
        <w:rPr>
          <w:rFonts w:ascii="宋体" w:hAnsi="宋体" w:eastAsia="宋体" w:cs="Times New Roman"/>
          <w:sz w:val="28"/>
          <w:szCs w:val="24"/>
          <w:highlight w:val="none"/>
        </w:rPr>
        <w:tab/>
      </w:r>
      <w:r/>
    </w:p>
    <w:p>
      <w:pPr>
        <w:numPr>
          <w:ilvl w:val="0"/>
          <w:numId w:val="2"/>
        </w:numPr>
        <w:ind w:left="357"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合同书</w:t>
      </w:r>
      <w:r/>
    </w:p>
    <w:p>
      <w:pPr>
        <w:numPr>
          <w:ilvl w:val="0"/>
          <w:numId w:val="2"/>
        </w:numPr>
        <w:ind w:left="357"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中标通知书</w:t>
      </w:r>
      <w:r/>
    </w:p>
    <w:p>
      <w:pPr>
        <w:numPr>
          <w:ilvl w:val="0"/>
          <w:numId w:val="2"/>
        </w:numPr>
        <w:ind w:left="357"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履约保证金交纳证明</w:t>
      </w:r>
      <w:r/>
    </w:p>
    <w:p>
      <w:pPr>
        <w:numPr>
          <w:ilvl w:val="0"/>
          <w:numId w:val="2"/>
        </w:numPr>
        <w:ind w:left="357"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招标文件项目需求</w:t>
      </w:r>
      <w:r/>
    </w:p>
    <w:p>
      <w:pPr>
        <w:numPr>
          <w:ilvl w:val="0"/>
          <w:numId w:val="2"/>
        </w:numPr>
        <w:ind w:left="357"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项目更改及补充文件</w:t>
      </w:r>
      <w:r/>
    </w:p>
    <w:p>
      <w:pPr>
        <w:numPr>
          <w:ilvl w:val="0"/>
          <w:numId w:val="2"/>
        </w:numPr>
        <w:ind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投标报价表</w:t>
      </w:r>
      <w:r/>
    </w:p>
    <w:p>
      <w:pPr>
        <w:numPr>
          <w:ilvl w:val="0"/>
          <w:numId w:val="2"/>
        </w:numPr>
        <w:ind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商务条款偏离表、技术规格偏离表</w:t>
      </w:r>
      <w:r/>
    </w:p>
    <w:p>
      <w:pPr>
        <w:numPr>
          <w:ilvl w:val="0"/>
          <w:numId w:val="2"/>
        </w:numPr>
        <w:ind w:firstLine="560"/>
        <w:spacing w:line="360" w:lineRule="auto"/>
        <w:rPr>
          <w:rFonts w:ascii="宋体" w:hAnsi="宋体" w:eastAsia="宋体" w:cs="Times New Roman"/>
          <w:sz w:val="28"/>
          <w:szCs w:val="24"/>
          <w:highlight w:val="none"/>
        </w:rPr>
      </w:pPr>
      <w:r>
        <w:rPr>
          <w:rFonts w:hint="eastAsia" w:ascii="宋体" w:hAnsi="宋体" w:eastAsia="宋体" w:cs="Times New Roman"/>
          <w:sz w:val="28"/>
          <w:szCs w:val="24"/>
          <w:highlight w:val="none"/>
        </w:rPr>
        <w:t xml:space="preserve">中标供应商澄清函</w:t>
      </w:r>
      <w:r/>
    </w:p>
    <w:p>
      <w:pPr>
        <w:jc w:val="center"/>
        <w:spacing w:line="560" w:lineRule="exact"/>
        <w:rPr>
          <w:rFonts w:ascii="宋体" w:hAnsi="宋体" w:eastAsia="宋体" w:cs="Times New Roman"/>
          <w:b/>
          <w:sz w:val="32"/>
          <w:szCs w:val="20"/>
          <w:highlight w:val="none"/>
        </w:rPr>
      </w:pPr>
      <w:r>
        <w:rPr>
          <w:rFonts w:ascii="Times New Roman" w:hAnsi="Times New Roman" w:eastAsia="宋体" w:cs="Times New Roman"/>
          <w:sz w:val="28"/>
          <w:szCs w:val="24"/>
          <w:highlight w:val="none"/>
        </w:rPr>
        <w:br w:type="page" w:clear="all"/>
      </w:r>
      <w:r>
        <w:rPr>
          <w:rFonts w:hint="eastAsia" w:ascii="Times New Roman" w:hAnsi="Times New Roman" w:eastAsia="宋体" w:cs="Times New Roman"/>
          <w:b/>
          <w:sz w:val="32"/>
          <w:szCs w:val="32"/>
          <w:highlight w:val="none"/>
        </w:rPr>
        <w:t xml:space="preserve">连云港市政府采购合同</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甲方：（买方）连云港师范学院</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w:t>
      </w:r>
      <w:r>
        <w:rPr>
          <w:rFonts w:ascii="宋体" w:hAnsi="宋体" w:eastAsia="宋体" w:cs="Times New Roman"/>
          <w:sz w:val="24"/>
          <w:szCs w:val="24"/>
          <w:highlight w:val="none"/>
        </w:rPr>
        <w:t xml:space="preserve">（卖方）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   </w:t>
      </w:r>
      <w:r/>
    </w:p>
    <w:p>
      <w:pPr>
        <w:ind w:firstLine="480"/>
        <w:spacing w:line="440" w:lineRule="exact"/>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甲、乙双方根据</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rPr>
          <w:rFonts w:hint="eastAsia" w:ascii="宋体" w:hAnsi="宋体" w:eastAsia="宋体" w:cs="Times New Roman"/>
          <w:i/>
          <w:iCs/>
          <w:sz w:val="24"/>
          <w:szCs w:val="24"/>
          <w:highlight w:val="none"/>
          <w:u w:val="single"/>
        </w:rPr>
        <w:t xml:space="preserve">    </w:t>
      </w:r>
      <w:r>
        <w:rPr>
          <w:rFonts w:ascii="宋体" w:hAnsi="宋体" w:eastAsia="宋体" w:cs="Times New Roman"/>
          <w:sz w:val="24"/>
          <w:szCs w:val="24"/>
          <w:highlight w:val="none"/>
        </w:rPr>
        <w:t xml:space="preserve">项目（标段编号：</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的采购结果</w:t>
      </w:r>
      <w:r>
        <w:rPr>
          <w:rFonts w:ascii="宋体" w:hAnsi="宋体" w:eastAsia="宋体" w:cs="Times New Roman"/>
          <w:sz w:val="24"/>
          <w:szCs w:val="24"/>
          <w:highlight w:val="none"/>
        </w:rPr>
        <w:t xml:space="preserve">，签订本合同。</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一、货物内容</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 货物名称：</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 型号规格：</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1.3 技术参数：</w:t>
      </w:r>
      <w:r/>
    </w:p>
    <w:p>
      <w:pPr>
        <w:ind w:firstLine="480"/>
        <w:spacing w:line="440" w:lineRule="exact"/>
        <w:rPr>
          <w:rFonts w:ascii="Times New Roman" w:hAnsi="宋体" w:eastAsia="宋体" w:cs="Times New Roman"/>
          <w:b/>
          <w:sz w:val="24"/>
          <w:szCs w:val="24"/>
          <w:highlight w:val="none"/>
        </w:rPr>
      </w:pPr>
      <w:r>
        <w:rPr>
          <w:rFonts w:hint="eastAsia" w:ascii="Times New Roman" w:hAnsi="Times New Roman" w:eastAsia="宋体" w:cs="Times New Roman"/>
          <w:sz w:val="24"/>
          <w:szCs w:val="24"/>
          <w:highlight w:val="none"/>
        </w:rPr>
        <w:t xml:space="preserve">1.4 数量（单位）：</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二、合同金额</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2.1 本合同金额为（大写）：</w:t>
      </w:r>
      <w:r>
        <w:rPr>
          <w:rFonts w:ascii="Times New Roman" w:hAnsi="Times New Roman" w:eastAsia="宋体" w:cs="Times New Roman"/>
          <w:sz w:val="24"/>
          <w:szCs w:val="24"/>
          <w:highlight w:val="none"/>
        </w:rPr>
        <w:t xml:space="preserve">_______________</w:t>
      </w:r>
      <w:r>
        <w:rPr>
          <w:rFonts w:hint="eastAsia" w:ascii="Times New Roman" w:hAnsi="Times New Roman" w:eastAsia="宋体" w:cs="Times New Roman"/>
          <w:sz w:val="24"/>
          <w:szCs w:val="24"/>
          <w:highlight w:val="none"/>
        </w:rPr>
        <w:t xml:space="preserve">元（¥</w:t>
      </w:r>
      <w:r>
        <w:rPr>
          <w:rFonts w:ascii="Times New Roman" w:hAnsi="Times New Roman" w:eastAsia="宋体" w:cs="Times New Roman"/>
          <w:sz w:val="24"/>
          <w:szCs w:val="24"/>
          <w:highlight w:val="none"/>
        </w:rPr>
        <w:t xml:space="preserve">_____________</w:t>
      </w:r>
      <w:r>
        <w:rPr>
          <w:rFonts w:hint="eastAsia" w:ascii="Times New Roman" w:hAnsi="Times New Roman" w:eastAsia="宋体" w:cs="Times New Roman"/>
          <w:sz w:val="24"/>
          <w:szCs w:val="24"/>
          <w:highlight w:val="none"/>
        </w:rPr>
        <w:t xml:space="preserve">）人民币。</w:t>
      </w:r>
      <w:r/>
    </w:p>
    <w:p>
      <w:pPr>
        <w:ind w:firstLine="480"/>
        <w:spacing w:line="440" w:lineRule="exact"/>
        <w:rPr>
          <w:rFonts w:ascii="Times New Roman" w:hAnsi="宋体" w:eastAsia="宋体" w:cs="Times New Roman"/>
          <w:sz w:val="24"/>
          <w:szCs w:val="24"/>
          <w:highlight w:val="none"/>
        </w:rPr>
      </w:pPr>
      <w:r>
        <w:rPr>
          <w:rFonts w:hint="eastAsia" w:ascii="Times New Roman" w:hAnsi="Times New Roman" w:eastAsia="宋体" w:cs="Times New Roman"/>
          <w:sz w:val="24"/>
          <w:szCs w:val="24"/>
          <w:highlight w:val="none"/>
        </w:rPr>
        <w:t xml:space="preserve">（详见投标报价表）</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三、技术资料</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3.1 乙方应按招标文件规定的时间向甲方提供使用货物的有关技术资料。</w:t>
      </w:r>
      <w:r/>
    </w:p>
    <w:p>
      <w:pPr>
        <w:ind w:firstLine="480"/>
        <w:spacing w:line="440" w:lineRule="exact"/>
        <w:rPr>
          <w:rFonts w:ascii="Times New Roman" w:hAnsi="宋体" w:eastAsia="宋体" w:cs="Times New Roman"/>
          <w:sz w:val="24"/>
          <w:szCs w:val="24"/>
          <w:highlight w:val="none"/>
        </w:rPr>
      </w:pPr>
      <w:r>
        <w:rPr>
          <w:rFonts w:hint="eastAsia" w:ascii="Times New Roman" w:hAnsi="Times New Roman" w:eastAsia="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四、知识产权</w:t>
      </w:r>
      <w:r/>
    </w:p>
    <w:p>
      <w:pPr>
        <w:ind w:firstLine="480"/>
        <w:spacing w:line="440" w:lineRule="exact"/>
        <w:rPr>
          <w:rFonts w:ascii="Times New Roman" w:hAnsi="宋体" w:eastAsia="宋体" w:cs="Times New Roman"/>
          <w:sz w:val="24"/>
          <w:szCs w:val="24"/>
          <w:highlight w:val="none"/>
        </w:rPr>
      </w:pPr>
      <w:r>
        <w:rPr>
          <w:rFonts w:hint="eastAsia" w:ascii="Times New Roman" w:hAnsi="宋体" w:eastAsia="宋体" w:cs="Times New Roman"/>
          <w:sz w:val="24"/>
          <w:szCs w:val="24"/>
          <w:highlight w:val="none"/>
        </w:rPr>
        <w:t xml:space="preserve">4.1 乙方应保证所提供的货物或其任何一部分均不会侵犯任何第三方的专利权、商标权或著作权</w:t>
      </w:r>
      <w:r>
        <w:rPr>
          <w:rFonts w:hint="eastAsia" w:ascii="Times New Roman" w:hAnsi="宋体" w:eastAsia="宋体" w:cs="Times New Roman"/>
          <w:b/>
          <w:bCs/>
          <w:sz w:val="24"/>
          <w:szCs w:val="24"/>
          <w:highlight w:val="none"/>
        </w:rPr>
        <w:t xml:space="preserve">。</w:t>
      </w:r>
      <w:r/>
    </w:p>
    <w:p>
      <w:pPr>
        <w:ind w:firstLine="482"/>
        <w:spacing w:line="440" w:lineRule="exact"/>
        <w:rPr>
          <w:rFonts w:ascii="宋体" w:hAnsi="宋体" w:eastAsia="宋体" w:cs="Times New Roman"/>
          <w:sz w:val="24"/>
          <w:szCs w:val="24"/>
          <w:highlight w:val="none"/>
          <w:u w:val="single"/>
        </w:rPr>
      </w:pPr>
      <w:r>
        <w:rPr>
          <w:rFonts w:hint="eastAsia" w:ascii="宋体" w:hAnsi="宋体" w:eastAsia="宋体" w:cs="Times New Roman"/>
          <w:b/>
          <w:sz w:val="24"/>
          <w:szCs w:val="24"/>
          <w:highlight w:val="none"/>
        </w:rPr>
        <w:t xml:space="preserve">五、无产权瑕疵条款</w:t>
      </w:r>
      <w:r/>
    </w:p>
    <w:p>
      <w:pPr>
        <w:ind w:firstLine="480"/>
        <w:spacing w:line="440" w:lineRule="exact"/>
        <w:rPr>
          <w:rFonts w:ascii="Times New Roman" w:hAnsi="宋体" w:eastAsia="宋体" w:cs="Times New Roman"/>
          <w:b/>
          <w:sz w:val="24"/>
          <w:szCs w:val="24"/>
          <w:highlight w:val="none"/>
        </w:rPr>
      </w:pPr>
      <w:r>
        <w:rPr>
          <w:rFonts w:hint="eastAsia" w:ascii="Times New Roman" w:hAnsi="Times New Roman" w:eastAsia="宋体" w:cs="Times New Roman"/>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六、履约保证金：</w:t>
      </w:r>
      <w:r>
        <w:rPr>
          <w:rFonts w:hint="eastAsia" w:ascii="Times New Roman" w:hAnsi="Times New Roman" w:eastAsia="宋体" w:cs="Times New Roman"/>
          <w:bCs/>
          <w:sz w:val="24"/>
          <w:szCs w:val="24"/>
          <w:highlight w:val="none"/>
          <w:u w:val="single"/>
        </w:rPr>
        <w:t xml:space="preserve">  无 </w:t>
      </w:r>
      <w:r>
        <w:rPr>
          <w:rFonts w:hint="eastAsia" w:ascii="Times New Roman" w:hAnsi="Times New Roman" w:eastAsia="宋体" w:cs="Times New Roman"/>
          <w:b/>
          <w:bCs/>
          <w:sz w:val="24"/>
          <w:szCs w:val="24"/>
          <w:highlight w:val="none"/>
        </w:rPr>
        <w:t xml:space="preserve"> </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七、质保期</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7.1 质保期</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年（自交货验收合格之日起计）。</w:t>
      </w:r>
      <w:r/>
    </w:p>
    <w:p>
      <w:pPr>
        <w:ind w:firstLine="480"/>
        <w:spacing w:line="440" w:lineRule="exact"/>
        <w:rPr>
          <w:rFonts w:ascii="Times New Roman" w:hAnsi="Times New Roman" w:eastAsia="宋体" w:cs="Times New Roman"/>
          <w:b/>
          <w:bCs/>
          <w:sz w:val="24"/>
          <w:szCs w:val="24"/>
          <w:highlight w:val="none"/>
        </w:rPr>
      </w:pPr>
      <w:r>
        <w:rPr>
          <w:rFonts w:hint="eastAsia"/>
          <w:sz w:val="24"/>
          <w:highlight w:val="none"/>
        </w:rPr>
        <w:t xml:space="preserve">7.2 质保金</w:t>
      </w:r>
      <w:r>
        <w:rPr>
          <w:rFonts w:hint="eastAsia"/>
          <w:sz w:val="24"/>
          <w:highlight w:val="none"/>
          <w:u w:val="single"/>
        </w:rPr>
        <w:t xml:space="preserve"> </w:t>
      </w:r>
      <w:r>
        <w:rPr>
          <w:rFonts w:hint="eastAsia" w:ascii="Times New Roman" w:hAnsi="Times New Roman" w:eastAsia="宋体" w:cs="Times New Roman"/>
          <w:bCs/>
          <w:sz w:val="24"/>
          <w:szCs w:val="24"/>
          <w:highlight w:val="none"/>
          <w:u w:val="single"/>
        </w:rPr>
        <w:t xml:space="preserve">  无 </w:t>
      </w:r>
      <w:r>
        <w:rPr>
          <w:rFonts w:hint="eastAsia"/>
          <w:sz w:val="24"/>
          <w:highlight w:val="none"/>
          <w:u w:val="single"/>
        </w:rPr>
        <w:t xml:space="preserve"> </w:t>
      </w:r>
      <w:r>
        <w:rPr>
          <w:rFonts w:hint="eastAsia"/>
          <w:sz w:val="24"/>
          <w:highlight w:val="none"/>
        </w:rPr>
        <w:t xml:space="preserve">。</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八、交货期、交货方式及交货地点</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8.1 交货期：</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8.2 交货方式：</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w:t>
      </w:r>
      <w:r/>
    </w:p>
    <w:p>
      <w:pPr>
        <w:ind w:firstLine="480"/>
        <w:spacing w:line="440" w:lineRule="exact"/>
        <w:rPr>
          <w:rFonts w:ascii="Times New Roman" w:hAnsi="宋体" w:eastAsia="宋体" w:cs="Times New Roman"/>
          <w:b/>
          <w:sz w:val="24"/>
          <w:szCs w:val="24"/>
          <w:highlight w:val="none"/>
        </w:rPr>
      </w:pPr>
      <w:r>
        <w:rPr>
          <w:rFonts w:hint="eastAsia" w:ascii="Times New Roman" w:hAnsi="Times New Roman" w:eastAsia="宋体" w:cs="Times New Roman"/>
          <w:sz w:val="24"/>
          <w:szCs w:val="24"/>
          <w:highlight w:val="none"/>
        </w:rPr>
        <w:t xml:space="preserve">8.3 交货地点：</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九、合同款支付</w:t>
      </w:r>
      <w:r/>
    </w:p>
    <w:p>
      <w:pPr>
        <w:ind w:firstLine="480"/>
        <w:spacing w:line="48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9.1付款方式：</w:t>
      </w:r>
      <w:r>
        <w:rPr>
          <w:rFonts w:hint="eastAsia" w:ascii="Times New Roman" w:hAnsi="Times New Roman" w:eastAsia="宋体" w:cs="Times New Roman"/>
          <w:i/>
          <w:iCs/>
          <w:sz w:val="24"/>
          <w:szCs w:val="21"/>
          <w:highlight w:val="none"/>
          <w:u w:val="single"/>
        </w:rPr>
        <w:t xml:space="preserve">合同签订后，货到，安装、调试、人员培训及验收合格后，支付合同金额的100%。每次支付前，中标单位均应出具正规发票</w:t>
      </w:r>
      <w:r>
        <w:rPr>
          <w:rFonts w:hint="eastAsia" w:ascii="Times New Roman" w:hAnsi="Times New Roman" w:eastAsia="宋体" w:cs="Times New Roman"/>
          <w:sz w:val="24"/>
          <w:szCs w:val="24"/>
          <w:highlight w:val="none"/>
        </w:rPr>
        <w:t xml:space="preserve">。</w:t>
      </w:r>
      <w:r/>
    </w:p>
    <w:p>
      <w:pPr>
        <w:ind w:firstLine="480"/>
        <w:spacing w:line="440" w:lineRule="exact"/>
        <w:rPr>
          <w:rFonts w:ascii="Times New Roman" w:hAnsi="宋体" w:eastAsia="宋体" w:cs="Times New Roman"/>
          <w:bCs/>
          <w:sz w:val="24"/>
          <w:szCs w:val="24"/>
          <w:highlight w:val="none"/>
        </w:rPr>
      </w:pPr>
      <w:r>
        <w:rPr>
          <w:rFonts w:hint="eastAsia" w:ascii="Times New Roman" w:hAnsi="Times New Roman" w:eastAsia="宋体" w:cs="Times New Roman"/>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十、质量保证及售后服务</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10.1 乙方应按招标文件规定的货物性能、技术要求、质量标准向甲方提供未经使用的全新产品。</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（1）更换：由乙方承担所发生的全部费用。</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（2）贬值处理：由甲乙双方合议定价。</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（3）退货处理：乙方应退还甲方支付的合同款，同时应承担该货物的直接费用（运输、保险、检验、合同款利息及银行手续费等）。</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10.3 测试要求：乙方安装后现场测试，提供测试报告，甲方验收签字确认。</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十一、调试和验收</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11.3 甲方对乙方提供的货物在使用前进行调试时，乙方需负责安装并培训甲方的使用操作人员，并协助甲方一起调试，直到符合技术要求，甲方才做最终验收。</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11.4 验收时乙方必须在现场，验收完毕后作出验收结果报告；安装调试费用由中标供应商负责。</w:t>
      </w:r>
      <w:r/>
    </w:p>
    <w:p>
      <w:pPr>
        <w:ind w:firstLine="480"/>
        <w:spacing w:line="440" w:lineRule="exact"/>
        <w:rPr>
          <w:rFonts w:ascii="Times New Roman" w:hAnsi="宋体" w:eastAsia="宋体" w:cs="Times New Roman"/>
          <w:b/>
          <w:sz w:val="24"/>
          <w:szCs w:val="24"/>
          <w:highlight w:val="none"/>
        </w:rPr>
      </w:pPr>
      <w:r>
        <w:rPr>
          <w:rFonts w:hint="eastAsia" w:ascii="Times New Roman" w:hAnsi="Times New Roman" w:eastAsia="宋体" w:cs="Times New Roman"/>
          <w:sz w:val="24"/>
          <w:szCs w:val="24"/>
          <w:highlight w:val="none"/>
        </w:rPr>
        <w:t xml:space="preserve">11.5 对技术复杂的项目，甲方可组织有关部门和专家进行验收，并出具验收报告，相关费用由甲乙双方协商解决。</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十二、货物包装、发运及运输</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12.1 乙方应在货物发运前对其进行满足运输距离、防潮、防震、防锈和防破损装卸等要求包装，以保证货物安全运达甲方指定地点。</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12.2 使用说明书、质量检验证明书、随配附件和工具以及清单一并附于货物内。</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12.3 乙方在货物发运手续办理完毕后24小时内或货到甲方48小时前通知甲方，以准备接货。</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12.4 货物在交付甲方前发生的风险均由乙方负责。</w:t>
      </w:r>
      <w:r/>
    </w:p>
    <w:p>
      <w:pPr>
        <w:ind w:firstLine="480"/>
        <w:spacing w:line="440" w:lineRule="exact"/>
        <w:rPr>
          <w:rFonts w:ascii="Times New Roman" w:hAnsi="宋体" w:eastAsia="宋体" w:cs="Times New Roman"/>
          <w:b/>
          <w:sz w:val="24"/>
          <w:szCs w:val="24"/>
          <w:highlight w:val="none"/>
        </w:rPr>
      </w:pPr>
      <w:r>
        <w:rPr>
          <w:rFonts w:hint="eastAsia" w:ascii="Times New Roman" w:hAnsi="Times New Roman" w:eastAsia="宋体" w:cs="Times New Roman"/>
          <w:sz w:val="24"/>
          <w:szCs w:val="24"/>
          <w:highlight w:val="none"/>
        </w:rPr>
        <w:t xml:space="preserve">12.5 货物在规定的交付期限内由乙方送达甲方指定的地点视为交付，乙方同时需通知甲方货物已送达。</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十三、违约责任</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13.1 甲方无正当理由拒收货物的，甲方向乙方偿付拒收合同款总值的百分之五违约金。</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13.2 甲方无故逾期验收和办理合同款支付手续的，甲方应按逾期付款总额每日千分之五向乙方支付违约金。</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十四、不可抗力事件处理</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14.1 在合同有效期内，任何一方因不可抗力事件导致不能履行合同，则合同履行期可延长，其延长期与不可抗力影响期相同。</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14.2 不可抗力事件发生后，应立即通知对方，并寄送有关权威机构出具的证明。</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14.3 不可抗力事件延续120天以上，双方应通过友好协商，确定是否继续履行合同。</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十五、争议解决</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15.1 双方在执行合同中所发生的一切争议，应通过协商解决。如协商不成，按下列第</w:t>
      </w:r>
      <w:r>
        <w:rPr>
          <w:rFonts w:hint="eastAsia" w:ascii="Times New Roman" w:hAnsi="Times New Roman" w:eastAsia="宋体" w:cs="Times New Roman"/>
          <w:sz w:val="24"/>
          <w:szCs w:val="24"/>
          <w:highlight w:val="none"/>
          <w:u w:val="single"/>
        </w:rPr>
        <w:t xml:space="preserve">（2）</w:t>
      </w:r>
      <w:r>
        <w:rPr>
          <w:rFonts w:hint="eastAsia" w:ascii="Times New Roman" w:hAnsi="Times New Roman" w:eastAsia="宋体" w:cs="Times New Roman"/>
          <w:sz w:val="24"/>
          <w:szCs w:val="24"/>
          <w:highlight w:val="none"/>
        </w:rPr>
        <w:t xml:space="preserve">种方式解决：</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（1）向连云港仲裁委员会申请仲裁。</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（2）向合同签订地法院起诉，合同签订地在此约定为连云港市。</w:t>
      </w:r>
      <w:r/>
    </w:p>
    <w:p>
      <w:pPr>
        <w:ind w:firstLine="482"/>
        <w:spacing w:line="440" w:lineRule="exact"/>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十六、合同生效及其它</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16.1 合同经双方法定代表人或授权委托代理人签字并加盖单位公章后生效。</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16.2 下述合同附件为本合同不可分割的部分并与本合同具有同等效力：</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（1）供货清单和分项价格表</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（2）技术规格</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（3）乙方报价函的内容及其澄清内容</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（4）其他与本合同相关的资料</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（5）本合同适用的特殊条款</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16.3 本合同未尽事宜，遵照《中华人民共和国民法典》有关条文执行。</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16.4 本合同一式五份，具有同等法律效力，甲乙双方各执二份，采购人报一份至政府采购监督管理部门。</w:t>
      </w:r>
      <w:r/>
    </w:p>
    <w:p>
      <w:pPr>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                                  乙方：                     </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地址：                     </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法定代表人：               </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委托代理人：           </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                     </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传真：                                  传真：                     </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r/>
      <w:bookmarkStart w:id="3" w:name="_Toc163482576"/>
      <w:r/>
      <w:r/>
      <w:r>
        <w:rPr>
          <w:rFonts w:ascii="宋体" w:hAnsi="宋体" w:eastAsia="宋体" w:cs="Times New Roman"/>
          <w:sz w:val="24"/>
          <w:szCs w:val="24"/>
          <w:highlight w:val="none"/>
        </w:rPr>
      </w:r>
    </w:p>
    <w:p>
      <w:pPr>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638"/>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第四章  采购需求</w:t>
      </w:r>
      <w:bookmarkEnd w:id="3"/>
      <w:r/>
      <w:r/>
    </w:p>
    <w:p>
      <w:pPr>
        <w:ind w:firstLine="482"/>
        <w:jc w:val="left"/>
        <w:spacing w:line="500" w:lineRule="exact"/>
        <w:rPr>
          <w:rFonts w:ascii="Calibri" w:hAnsi="Calibri" w:eastAsia="宋体" w:cs="Times New Roman"/>
          <w:b/>
          <w:sz w:val="24"/>
          <w:szCs w:val="24"/>
          <w:highlight w:val="none"/>
        </w:rPr>
      </w:pPr>
      <w:r>
        <w:rPr>
          <w:rFonts w:hint="eastAsia" w:ascii="Calibri" w:hAnsi="Calibri" w:eastAsia="宋体" w:cs="Times New Roman"/>
          <w:b/>
          <w:sz w:val="24"/>
          <w:szCs w:val="24"/>
          <w:highlight w:val="none"/>
        </w:rPr>
        <w:t xml:space="preserve">说明：本项目属性为货物，采购标的对应的中小企业划分标准所属行业为</w:t>
      </w:r>
      <w:r>
        <w:rPr>
          <w:rFonts w:hint="eastAsia" w:ascii="Calibri" w:hAnsi="Calibri" w:eastAsia="宋体" w:cs="Times New Roman"/>
          <w:b/>
          <w:sz w:val="24"/>
          <w:szCs w:val="24"/>
          <w:highlight w:val="none"/>
          <w:u w:val="single"/>
        </w:rPr>
        <w:t xml:space="preserve"> 工业</w:t>
      </w:r>
      <w:r>
        <w:rPr>
          <w:rFonts w:hint="eastAsia" w:ascii="Calibri" w:hAnsi="Calibri" w:eastAsia="宋体" w:cs="Times New Roman"/>
          <w:b/>
          <w:sz w:val="24"/>
          <w:szCs w:val="24"/>
          <w:highlight w:val="none"/>
        </w:rPr>
        <w:t xml:space="preserve">。</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1.根据《政府采购需求管理办法》等有关规定，采购人确定采购需求。</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
          <w:bCs/>
          <w:sz w:val="24"/>
          <w:szCs w:val="24"/>
          <w:highlight w:val="none"/>
        </w:rPr>
        <w:t xml:space="preserve">本招标文件中斜体且有下划线部分为实质性要求和条件</w:t>
      </w:r>
      <w:r>
        <w:rPr>
          <w:rFonts w:hint="eastAsia" w:ascii="宋体" w:hAnsi="宋体" w:eastAsia="宋体" w:cs="Times New Roman"/>
          <w:sz w:val="24"/>
          <w:szCs w:val="24"/>
          <w:highlight w:val="none"/>
        </w:rPr>
        <w:t xml:space="preserve">，由采购人根据实际情况设置，投标人必须逐条明确作出满足实质性要求和条件的响应，否则将按无效投标处理。</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3.根</w:t>
      </w:r>
      <w:r>
        <w:rPr>
          <w:rFonts w:hint="eastAsia" w:ascii="宋体" w:hAnsi="宋体" w:eastAsia="宋体" w:cs="Times New Roman"/>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jc w:val="left"/>
        <w:spacing w:line="500" w:lineRule="exact"/>
        <w:rPr>
          <w:b/>
          <w:bCs/>
          <w:highlight w:val="none"/>
        </w:rPr>
      </w:pPr>
      <w:r>
        <w:rPr>
          <w:rFonts w:hint="eastAsia" w:ascii="宋体" w:hAnsi="宋体" w:eastAsia="宋体" w:cs="Times New Roman"/>
          <w:b/>
          <w:bCs/>
          <w:sz w:val="24"/>
          <w:szCs w:val="24"/>
          <w:highlight w:val="none"/>
        </w:rPr>
        <w:t xml:space="preserve">本项目核心产品为：</w:t>
      </w:r>
      <w:r>
        <w:rPr>
          <w:rFonts w:hint="eastAsia" w:ascii="宋体" w:hAnsi="宋体" w:eastAsia="宋体" w:cs="宋体"/>
          <w:sz w:val="24"/>
          <w:szCs w:val="24"/>
          <w:highlight w:val="none"/>
          <w:u w:val="single"/>
        </w:rPr>
        <w:t xml:space="preserve"> </w:t>
      </w:r>
      <w:r>
        <w:rPr>
          <w:rFonts w:ascii="宋体" w:hAnsi="宋体" w:eastAsia="宋体" w:cs="宋体"/>
          <w:b/>
          <w:bCs/>
          <w:sz w:val="24"/>
          <w:szCs w:val="24"/>
          <w:highlight w:val="none"/>
          <w:u w:val="single"/>
        </w:rPr>
        <w:t xml:space="preserve">全谱电感耦合等离子体原子发射光谱仪</w:t>
      </w:r>
      <w:r>
        <w:rPr>
          <w:rFonts w:hint="eastAsia" w:ascii="宋体" w:hAnsi="宋体" w:eastAsia="宋体" w:cs="宋体"/>
          <w:sz w:val="24"/>
          <w:szCs w:val="24"/>
          <w:highlight w:val="none"/>
        </w:rPr>
        <w:t xml:space="preserve"> </w:t>
      </w:r>
      <w:r>
        <w:rPr>
          <w:rFonts w:hint="eastAsia" w:ascii="宋体" w:hAnsi="宋体" w:eastAsia="宋体" w:cs="Times New Roman"/>
          <w:b/>
          <w:bCs/>
          <w:sz w:val="24"/>
          <w:szCs w:val="24"/>
          <w:highlight w:val="none"/>
        </w:rPr>
        <w:t xml:space="preserve">。</w:t>
      </w:r>
      <w:r/>
    </w:p>
    <w:p>
      <w:pPr>
        <w:spacing w:line="480" w:lineRule="exact"/>
        <w:rPr>
          <w:rFonts w:ascii="黑体" w:hAnsi="黑体" w:eastAsia="黑体" w:cs="Times New Roman"/>
          <w:b/>
          <w:sz w:val="24"/>
          <w:szCs w:val="24"/>
          <w:highlight w:val="none"/>
        </w:rPr>
      </w:pPr>
      <w:r>
        <w:rPr>
          <w:rFonts w:hint="eastAsia" w:ascii="黑体" w:hAnsi="黑体" w:eastAsia="黑体" w:cs="Times New Roman"/>
          <w:b/>
          <w:sz w:val="24"/>
          <w:szCs w:val="24"/>
          <w:highlight w:val="none"/>
        </w:rPr>
        <w:t xml:space="preserve">一、项目概况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本次拟建设的物理化学实验室，是支撑制药工程</w:t>
      </w:r>
      <w:r>
        <w:rPr>
          <w:rFonts w:hint="eastAsia" w:ascii="宋体" w:hAnsi="宋体" w:eastAsia="宋体" w:cs="宋体"/>
          <w:sz w:val="24"/>
          <w:szCs w:val="24"/>
          <w:highlight w:val="none"/>
        </w:rPr>
        <w:t xml:space="preserve">、应用化学两个本科专业建设、落实国家教学质量标准的必要举措，具有基础性、强制性和不可替代性。物理化学实验教学环节是本科人才培养质量标准中的刚性规定，直接关系到学生对核心理论的理解与实践能力的培养。实验室将严格对标国家标准，夯实基础，围绕热力学、物性相变、化学动力学、电化学及高分子物性五大核心模块，系统配置先进的仪器设备，通过更新升级实验室环境与设施，消除安全隐患，打造一个安全、开放、创新的实验环境，为开展综合性、设计性实验提供条件。同时将鼓励创新，依托先进设备，将科研反哺教学，引导学生积极探索前沿科学问题。</w:t>
      </w:r>
      <w:r/>
    </w:p>
    <w:p>
      <w:pPr>
        <w:spacing w:line="480" w:lineRule="exact"/>
        <w:rPr>
          <w:rFonts w:ascii="黑体" w:hAnsi="黑体" w:eastAsia="黑体" w:cs="Times New Roman"/>
          <w:b/>
          <w:sz w:val="24"/>
          <w:szCs w:val="24"/>
          <w:highlight w:val="none"/>
        </w:rPr>
      </w:pPr>
      <w:r>
        <w:rPr>
          <w:rFonts w:hint="eastAsia" w:ascii="黑体" w:hAnsi="黑体" w:eastAsia="黑体" w:cs="Times New Roman"/>
          <w:b/>
          <w:sz w:val="24"/>
          <w:szCs w:val="24"/>
          <w:highlight w:val="none"/>
        </w:rPr>
        <w:t xml:space="preserve">二、采购需求</w:t>
      </w:r>
      <w:r/>
    </w:p>
    <w:tbl>
      <w:tblPr>
        <w:tblStyle w:val="643"/>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217"/>
        <w:gridCol w:w="5682"/>
        <w:gridCol w:w="680"/>
        <w:gridCol w:w="653"/>
      </w:tblGrid>
      <w:tr>
        <w:trPr>
          <w:jc w:val="center"/>
          <w:trHeight w:val="499"/>
        </w:trPr>
        <w:tc>
          <w:tcPr>
            <w:tcW w:w="644" w:type="dxa"/>
            <w:vAlign w:val="center"/>
            <w:textDirection w:val="lrTb"/>
            <w:noWrap w:val="false"/>
          </w:tcPr>
          <w:p>
            <w:pPr>
              <w:jc w:val="center"/>
              <w:spacing w:line="360" w:lineRule="exact"/>
              <w:rPr>
                <w:rFonts w:ascii="Times New Roman" w:hAnsi="Times New Roman" w:eastAsia="宋体" w:cs="Times New Roman"/>
                <w:b/>
                <w:bCs/>
                <w:szCs w:val="24"/>
                <w:highlight w:val="none"/>
              </w:rPr>
            </w:pPr>
            <w:r>
              <w:rPr>
                <w:rFonts w:ascii="Times New Roman" w:hAnsi="Times New Roman" w:eastAsia="宋体" w:cs="Times New Roman"/>
                <w:b/>
                <w:bCs/>
                <w:szCs w:val="24"/>
                <w:highlight w:val="none"/>
              </w:rPr>
              <w:t xml:space="preserve">序号</w:t>
            </w:r>
            <w:r/>
          </w:p>
        </w:tc>
        <w:tc>
          <w:tcPr>
            <w:tcW w:w="1217" w:type="dxa"/>
            <w:vAlign w:val="center"/>
            <w:textDirection w:val="lrTb"/>
            <w:noWrap w:val="false"/>
          </w:tcPr>
          <w:p>
            <w:pPr>
              <w:jc w:val="center"/>
              <w:spacing w:line="360" w:lineRule="exact"/>
              <w:rPr>
                <w:rFonts w:ascii="Times New Roman" w:hAnsi="Times New Roman" w:eastAsia="宋体" w:cs="Times New Roman"/>
                <w:b/>
                <w:bCs/>
                <w:szCs w:val="24"/>
                <w:highlight w:val="none"/>
              </w:rPr>
            </w:pPr>
            <w:r>
              <w:rPr>
                <w:rFonts w:ascii="Times New Roman" w:hAnsi="Times New Roman" w:eastAsia="宋体" w:cs="Times New Roman"/>
                <w:b/>
                <w:bCs/>
                <w:szCs w:val="24"/>
                <w:highlight w:val="none"/>
              </w:rPr>
              <w:t xml:space="preserve">名称</w:t>
            </w:r>
            <w:r/>
          </w:p>
        </w:tc>
        <w:tc>
          <w:tcPr>
            <w:tcW w:w="5682" w:type="dxa"/>
            <w:vAlign w:val="center"/>
            <w:textDirection w:val="lrTb"/>
            <w:noWrap w:val="false"/>
          </w:tcPr>
          <w:p>
            <w:pPr>
              <w:jc w:val="center"/>
              <w:spacing w:line="360" w:lineRule="exac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参数</w:t>
            </w:r>
            <w:r/>
          </w:p>
        </w:tc>
        <w:tc>
          <w:tcPr>
            <w:tcW w:w="680" w:type="dxa"/>
            <w:vAlign w:val="center"/>
            <w:textDirection w:val="lrTb"/>
            <w:noWrap w:val="false"/>
          </w:tcPr>
          <w:p>
            <w:pPr>
              <w:jc w:val="center"/>
              <w:spacing w:line="360" w:lineRule="exact"/>
              <w:rPr>
                <w:rFonts w:ascii="Times New Roman" w:hAnsi="Times New Roman" w:eastAsia="宋体" w:cs="Times New Roman"/>
                <w:b/>
                <w:bCs/>
                <w:szCs w:val="24"/>
                <w:highlight w:val="none"/>
              </w:rPr>
            </w:pPr>
            <w:r>
              <w:rPr>
                <w:rFonts w:ascii="Times New Roman" w:hAnsi="Times New Roman" w:eastAsia="宋体" w:cs="Times New Roman"/>
                <w:b/>
                <w:bCs/>
                <w:szCs w:val="24"/>
                <w:highlight w:val="none"/>
              </w:rPr>
              <w:t xml:space="preserve">单位</w:t>
            </w:r>
            <w:r/>
          </w:p>
        </w:tc>
        <w:tc>
          <w:tcPr>
            <w:tcW w:w="653" w:type="dxa"/>
            <w:vAlign w:val="center"/>
            <w:textDirection w:val="lrTb"/>
            <w:noWrap w:val="false"/>
          </w:tcPr>
          <w:p>
            <w:pPr>
              <w:jc w:val="center"/>
              <w:spacing w:line="360" w:lineRule="exact"/>
              <w:rPr>
                <w:rFonts w:ascii="Times New Roman" w:hAnsi="Times New Roman" w:eastAsia="宋体" w:cs="Times New Roman"/>
                <w:b/>
                <w:bCs/>
                <w:szCs w:val="24"/>
                <w:highlight w:val="none"/>
              </w:rPr>
            </w:pPr>
            <w:r>
              <w:rPr>
                <w:rFonts w:ascii="Times New Roman" w:hAnsi="Times New Roman" w:eastAsia="宋体" w:cs="Times New Roman"/>
                <w:b/>
                <w:bCs/>
                <w:szCs w:val="24"/>
                <w:highlight w:val="none"/>
              </w:rPr>
              <w:t xml:space="preserve">数量</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紫外可见分光光度计</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（1）需带有USB接口，大容量内存可以储存超过30条浓度曲线；</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（2）需支持微机测量系统，T - A转换精度高，并有自动调0％T和调100％T，浓度因子设定、浓度直读；</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（3）显示器不小于7英寸彩色触摸屏；</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（4）测光方式：单光束；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（5）单色器：交叉C</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T；</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（6）焦距：焦距不小于160mm；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w:t>
            </w:r>
            <w:r>
              <w:rPr>
                <w:rFonts w:hint="eastAsia" w:ascii="Times New Roman" w:hAnsi="Times New Roman" w:eastAsia="宋体" w:cs="Times New Roman"/>
                <w:szCs w:val="21"/>
                <w:highlight w:val="none"/>
              </w:rPr>
              <w:t xml:space="preserve">光</w:t>
            </w:r>
            <w:r>
              <w:rPr>
                <w:rFonts w:ascii="Times New Roman" w:hAnsi="Times New Roman" w:eastAsia="宋体" w:cs="Times New Roman"/>
                <w:szCs w:val="21"/>
                <w:highlight w:val="none"/>
              </w:rPr>
              <w:t xml:space="preserve">栅：</w:t>
            </w:r>
            <w:r>
              <w:rPr>
                <w:rFonts w:hint="eastAsia" w:ascii="Times New Roman" w:hAnsi="Times New Roman" w:eastAsia="宋体" w:cs="Times New Roman"/>
                <w:szCs w:val="21"/>
                <w:highlight w:val="none"/>
              </w:rPr>
              <w:t xml:space="preserve">光</w:t>
            </w:r>
            <w:r>
              <w:rPr>
                <w:rFonts w:ascii="Times New Roman" w:hAnsi="Times New Roman" w:eastAsia="宋体" w:cs="Times New Roman"/>
                <w:szCs w:val="21"/>
                <w:highlight w:val="none"/>
              </w:rPr>
              <w:t xml:space="preserve">栅不小于1200 线/mm；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（8）光谱带宽：≤2nm；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（9）波长范围：200 ~ 1000nm；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（10）波长准确度：±2nm；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（11）波长重复性：≤1nm；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（12）光源切换波长：光源切换波长不小于340nm ；</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（13）杂散光： ≤0.1% T </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在220nm处，以NaI测定</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在360</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nm处，以NaNO</w:t>
            </w:r>
            <w:r>
              <w:rPr>
                <w:rFonts w:ascii="Times New Roman" w:hAnsi="Times New Roman" w:eastAsia="宋体" w:cs="Times New Roman"/>
                <w:szCs w:val="21"/>
                <w:highlight w:val="none"/>
                <w:vertAlign w:val="subscript"/>
              </w:rPr>
              <w:t xml:space="preserve">2</w:t>
            </w:r>
            <w:r>
              <w:rPr>
                <w:rFonts w:ascii="Times New Roman" w:hAnsi="Times New Roman" w:eastAsia="宋体" w:cs="Times New Roman"/>
                <w:szCs w:val="21"/>
                <w:highlight w:val="none"/>
              </w:rPr>
              <w:t xml:space="preserve">测定</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（14）需支持动力学时间扫描、时间设置、多种语言切换等功能；</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（15）</w:t>
            </w:r>
            <w:r>
              <w:rPr>
                <w:rFonts w:hint="eastAsia" w:ascii="Times New Roman" w:hAnsi="Times New Roman" w:eastAsia="宋体" w:cs="Times New Roman"/>
                <w:szCs w:val="21"/>
                <w:highlight w:val="none"/>
              </w:rPr>
              <w:t xml:space="preserve">每</w:t>
            </w:r>
            <w:r>
              <w:rPr>
                <w:rFonts w:ascii="Times New Roman" w:hAnsi="Times New Roman" w:eastAsia="宋体" w:cs="Times New Roman"/>
                <w:szCs w:val="21"/>
                <w:highlight w:val="none"/>
              </w:rPr>
              <w:t xml:space="preserve">台设备配备1套比色皿。</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恒温搅拌器</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（1）加热功率和搅拌速度，无级可调</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（2）带不锈钢温度计支架和搅拌子</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（3）搅拌容量：</w:t>
            </w:r>
            <w:r>
              <w:rPr>
                <w:rFonts w:hint="eastAsia" w:ascii="Times New Roman" w:hAnsi="Times New Roman" w:eastAsia="宋体" w:cs="Times New Roman"/>
                <w:szCs w:val="21"/>
                <w:highlight w:val="none"/>
              </w:rPr>
              <w:t xml:space="preserve">15</w:t>
            </w:r>
            <w:r>
              <w:rPr>
                <w:rFonts w:ascii="Times New Roman" w:hAnsi="Times New Roman" w:eastAsia="宋体" w:cs="Times New Roman"/>
                <w:szCs w:val="21"/>
                <w:highlight w:val="none"/>
              </w:rPr>
              <w:t xml:space="preserve">00-</w:t>
            </w:r>
            <w:r>
              <w:rPr>
                <w:rFonts w:hint="eastAsia" w:ascii="Times New Roman" w:hAnsi="Times New Roman" w:eastAsia="宋体" w:cs="Times New Roman"/>
                <w:szCs w:val="21"/>
                <w:highlight w:val="none"/>
              </w:rPr>
              <w:t xml:space="preserve">25</w:t>
            </w:r>
            <w:r>
              <w:rPr>
                <w:rFonts w:ascii="Times New Roman" w:hAnsi="Times New Roman" w:eastAsia="宋体" w:cs="Times New Roman"/>
                <w:szCs w:val="21"/>
                <w:highlight w:val="none"/>
              </w:rPr>
              <w:t xml:space="preserve">00 mL</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（4）调速范围：100~2000 rpm</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（5）加热功率：</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0.18 </w:t>
            </w:r>
            <w:r>
              <w:rPr>
                <w:rFonts w:hint="eastAsia" w:ascii="Times New Roman" w:hAnsi="Times New Roman" w:eastAsia="宋体" w:cs="Times New Roman"/>
                <w:szCs w:val="21"/>
                <w:highlight w:val="none"/>
              </w:rPr>
              <w:t xml:space="preserve">k</w:t>
            </w:r>
            <w:r>
              <w:rPr>
                <w:rFonts w:ascii="Times New Roman" w:hAnsi="Times New Roman" w:eastAsia="宋体" w:cs="Times New Roman"/>
                <w:szCs w:val="21"/>
                <w:highlight w:val="none"/>
              </w:rPr>
              <w:t xml:space="preserve">W</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（6）最高温度：</w:t>
            </w:r>
            <w:r>
              <w:rPr>
                <w:rFonts w:hint="eastAsia" w:ascii="Times New Roman" w:hAnsi="Times New Roman" w:eastAsia="宋体" w:cs="Times New Roman"/>
                <w:szCs w:val="21"/>
                <w:highlight w:val="none"/>
              </w:rPr>
              <w:t xml:space="preserve">不低于350</w:t>
            </w:r>
            <w:r>
              <w:rPr>
                <w:rFonts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（7）外装：陶瓷涂层</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24</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万分之一电子天平</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（1）显示屏清晰直观，有中文操作提示，标配USB和RS232通讯接口，通讯便利</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（2）最大秤量：</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220g</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（3）可读性：0.1mg</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（4）铝压铸金属基座，塑料外壳，可拆卸不锈钢秤盘，玻璃风罩，下挂式秤钩，防盗锁，保护罩，防尘罩</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（5）最小称量值</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USP, 0.1%，典型值</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：≤200 mg</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（6）秤盘结构：不锈钢</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（7）稳定时间：不超过2 s</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（8）用户可调节环境参数和亮度、自动去皮、自动变暗、可设置量程校准点、软件锁定和重置菜单；可调节通讯设置和数据打印选项；用户可自定义项目名和用户ID、软件过载/欠载指示、稳定指示</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（9）测量单位：克拉；定制；谷物；克；两（中国香港）；千克；毫克；牛顿；盎司；盎司（金衡制）；本尼威特；磅；两（新加坡）；两（中国台湾）</w:t>
            </w:r>
            <w:r>
              <w:rPr>
                <w:rFonts w:hint="eastAsia" w:ascii="Times New Roman" w:hAnsi="Times New Roman" w:eastAsia="宋体" w:cs="Times New Roman"/>
                <w:szCs w:val="21"/>
                <w:highlight w:val="none"/>
              </w:rPr>
              <w:t xml:space="preserve">等；</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（10）工作环境：10°C</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30°C，80%RH，非冷凝； 5℃-40℃下保证开机正常</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4</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电化学工作站（配备输出装置）</w:t>
            </w:r>
            <w:r/>
          </w:p>
        </w:tc>
        <w:tc>
          <w:tcPr>
            <w:tcW w:w="5682" w:type="dxa"/>
            <w:vAlign w:val="center"/>
            <w:textDirection w:val="lrTb"/>
            <w:noWrap w:val="false"/>
          </w:tcPr>
          <w:p>
            <w:pP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电化学分析仪满足的功能测试：循环伏安法（CV）、线性扫描伏安法（LSV）、阶梯波伏安法（SCV）、Tafel图（TAFEL）、计时电流法（CA）、计时电量法（CC）、差分脉冲伏安法（DPV）、常规脉冲伏安法（NPV）、方波伏安法（SWV）、交流（含相敏）伏安法（ACV）、二次谐波交流（相敏）伏安法（SHACV）、电流-时间曲线（i-t）、控制电位电解库仑法（BE）、流体力学调制伏安法（HMV）、扫描</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阶跃混合方法（SSF）、多电位阶跃方法（STEP）、交流阻抗测量（IMP）、交流阻抗-时间测量（IMPT）、交流阻抗-电位测量（IMPE）、开路电压-时间曲线（OCPT）、RDE控制（0-10V输出）、任意反应机理CV模拟器、交流阻抗数字模拟器和拟合程序（需提供证明功能界面截图，要求内容能体现满足此参数要求）。</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（2）硬件参数指标</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恒电位仪/双恒电位仪</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零阻电流计</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2，3，4电极结构</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浮动地线或实地</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两个通道最大电位范围：±10 V</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最大电流：±250 mA 连续（两个通道电流之和）</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±300 mA 峰值</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槽压：±13 V</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恒电位仪上升时间：小于</w:t>
            </w:r>
            <w:r>
              <w:rPr>
                <w:rFonts w:hint="eastAsia" w:ascii="Times New Roman" w:hAnsi="Times New Roman" w:eastAsia="宋体" w:cs="Times New Roman"/>
                <w:szCs w:val="21"/>
                <w:highlight w:val="none"/>
              </w:rPr>
              <w:t xml:space="preserve">等于</w:t>
            </w:r>
            <w:r>
              <w:rPr>
                <w:rFonts w:ascii="Times New Roman" w:hAnsi="Times New Roman" w:eastAsia="宋体" w:cs="Times New Roman"/>
                <w:szCs w:val="21"/>
                <w:highlight w:val="none"/>
              </w:rPr>
              <w:t xml:space="preserve"> 1 μs</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恒电位仪带宽（-3分贝）：1 MHz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所加电位范围：±10 mV, ±50 mV, ±100 mV, ±650 mV, ±3.276 V, ±6.553 V, ±10 V</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所加电位分辨率：电位范围的0.0015%</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所加电位准确度：±1 mV，±满量程的0.01%</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所加电位噪声：&lt; 10 μV 均方根植</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测量电流范围：±10 pA 至 ±0.25 A，12量程</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测量电流分辨率：电流量程的0.0015%，最低0.3 fA</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电流测量准确度：电流灵敏度1e-3A/V至1e-7A/V时为0.2%，其他范围为1%</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输入偏置电流：&lt; 10 pA</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恒电流仪</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恒电流范围：0.3 nA – 250 mA</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所加电流分辨率：电流范围的0.03%</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测量电位范围：±0.025 V, ±0.1 V, ±0.25 V, ±1 V, ±2.5 V, ±10 V</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测量电位分辨率：测量范围的0.0015%</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所加电流准确度：±20pA，电流3e-7A至 3e-3A时为0.3%，其他范围为1%</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Electrometer: 电位计</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参比电极输入阻抗：1e12 欧姆</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参比电极输入带宽：10 MHz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参比电极输入偏置电流：≤10 pA @ 25°C</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实验参数</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CV和LSV扫描速度：0.000001V/s至10,000 V/s，双通道同步扫描及采样至10,000 V/s</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扫描时的电位增量：≤0.1 mV（当扫速为 1,000 V/s时）</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CA和CC的脉冲宽度：0.0001至1000 sec</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CA的最小采样间隔：≤0.4 ms，双通道同步</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CC的最小采样间隔：≤0.4 ms</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CC模拟积分器</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DPV和NPV的脉冲宽度：0.001 至 10 sec</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SWV频率：1 Hz至100 kHz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i-t 的最小采样间隔：≤0.4ms，双通道同步</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ACV频率范围：0.1 Hz至10 kHz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SHACV频率范围：0.1 Hz至5 kHz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FTACV频率范围：0.1Hz至50Hz，可同时获取基波，二次谐波，三次谐波，四次谐波，五次谐波，六次谐波的ACV数据</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交流阻抗：0.00001Hz至3 MHz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交流阻抗波形幅度：0.00001 V至0.7 V均方根值</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其他特点</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自动或手动iR降补偿（正反馈和电流中断法）</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电流测量偏置：满量程，16位分辨，0.003% 准确度</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电位测量偏置：±10V，16位分辨，0.003% 准确度</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外部电位输入</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电位和电流的模拟输出</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可控电位滤波器的截止频率：1.5 MHz, 150 KHz, 15 KHz, 1.5 KHz, 150 Hz, 15 Hz, 1.5 Hz, 0.15 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可控信号滤波器的截止频率：1.5 MHz, 150 KHz, 15 KHz, 1.5 KHz, 150 Hz, 15 Hz, 1.5 Hz, 0.15 Hz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旋转电极控制电压输出：0-10V 对用于 0-10000 rpm的转速，16位分辨，0.003% 准确度，需要某些旋转电极装置才能工作</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通过宏命令可以控制数字输入输出线</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内闪存储器可迅速更新程序</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USB口数据通讯</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电解池控制：通氮，搅拌，敲击（需要特殊电解池系统）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CV数字模拟器和拟合器。用户定义反应机理或预定义反应机理</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交流阻抗模拟器和拟合器</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最大数据长度：256K-16,384K 点可选择</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6.配套装备</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每台</w:t>
            </w:r>
            <w:r>
              <w:rPr>
                <w:rFonts w:ascii="Times New Roman" w:hAnsi="Times New Roman" w:eastAsia="宋体" w:cs="Times New Roman"/>
                <w:szCs w:val="21"/>
                <w:highlight w:val="none"/>
              </w:rPr>
              <w:t xml:space="preserve">含电极架、玻璃电解杯、电极帽</w:t>
            </w:r>
            <w:r>
              <w:rPr>
                <w:rFonts w:hint="eastAsia" w:ascii="Times New Roman" w:hAnsi="Times New Roman" w:eastAsia="宋体" w:cs="Times New Roman"/>
                <w:szCs w:val="21"/>
                <w:highlight w:val="none"/>
              </w:rPr>
              <w:t xml:space="preserve">各2套</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t xml:space="preserve">增配</w:t>
            </w:r>
            <w:r>
              <w:rPr>
                <w:rFonts w:ascii="Times New Roman" w:hAnsi="Times New Roman" w:eastAsia="宋体" w:cs="Times New Roman"/>
                <w:szCs w:val="21"/>
                <w:highlight w:val="none"/>
              </w:rPr>
              <w:t xml:space="preserve">饱和甘汞电极</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Ag/AgC</w:t>
            </w:r>
            <w:r>
              <w:rPr>
                <w:rFonts w:hint="eastAsia" w:ascii="Times New Roman" w:hAnsi="Times New Roman" w:eastAsia="宋体" w:cs="Times New Roman"/>
                <w:szCs w:val="21"/>
                <w:highlight w:val="none"/>
              </w:rPr>
              <w:t xml:space="preserve">L（</w:t>
            </w:r>
            <w:r>
              <w:rPr>
                <w:rFonts w:ascii="Times New Roman" w:hAnsi="Times New Roman" w:eastAsia="宋体" w:cs="Times New Roman"/>
                <w:szCs w:val="21"/>
                <w:highlight w:val="none"/>
              </w:rPr>
              <w:t xml:space="preserve">银/氯化银</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参比电极</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2mm直径铂盘电极</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铂丝对电极</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参比电极室</w:t>
            </w:r>
            <w:r>
              <w:rPr>
                <w:rFonts w:hint="eastAsia" w:ascii="Times New Roman" w:hAnsi="Times New Roman" w:eastAsia="宋体" w:cs="Times New Roman"/>
                <w:szCs w:val="21"/>
                <w:highlight w:val="none"/>
              </w:rPr>
              <w:t xml:space="preserve">各4套。</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t xml:space="preserve">控制终端</w:t>
            </w:r>
            <w:r>
              <w:rPr>
                <w:rFonts w:ascii="Times New Roman" w:hAnsi="Times New Roman" w:eastAsia="宋体" w:cs="Times New Roman"/>
                <w:szCs w:val="21"/>
                <w:highlight w:val="none"/>
              </w:rPr>
              <w:t xml:space="preserve">：x86架构处理器，核心线程≥12核20线程，最高睿频≥4.0GHz；内存≥16G，固态硬盘≥1T，显示器≥23.8英寸。</w:t>
            </w:r>
            <w:r/>
          </w:p>
        </w:tc>
        <w:tc>
          <w:tcPr>
            <w:tcW w:w="680"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5</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电动势测量仪</w:t>
            </w:r>
            <w:r/>
          </w:p>
        </w:tc>
        <w:tc>
          <w:tcPr>
            <w:shd w:val="clear" w:color="auto" w:fill="auto"/>
            <w:tcW w:w="5682" w:type="dxa"/>
            <w:vAlign w:val="center"/>
            <w:textDirection w:val="lrTb"/>
            <w:noWrap w:val="false"/>
          </w:tcPr>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电动势直接显示</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2.电动势、温度、倒计时、锁定值液晶同时显示</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3.测量范围：0~±2400.00mv</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4.精度：优于0.005%FS</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5.分辨率：低于0.01mv</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6.电源电压：220V±10％</w:t>
            </w:r>
            <w:r>
              <w:rPr>
                <w:rFonts w:hint="eastAsia" w:ascii="Times New Roman" w:hAnsi="Times New Roman" w:eastAsia="宋体" w:cs="Times New Roman"/>
                <w:szCs w:val="21"/>
                <w:highlight w:val="none"/>
                <w:lang w:bidi="ar"/>
              </w:rPr>
              <w:t xml:space="preserve">，</w:t>
            </w:r>
            <w:r>
              <w:rPr>
                <w:rFonts w:ascii="Times New Roman" w:hAnsi="Times New Roman" w:eastAsia="宋体" w:cs="Times New Roman"/>
                <w:szCs w:val="21"/>
                <w:highlight w:val="none"/>
                <w:lang w:bidi="ar"/>
              </w:rPr>
              <w:t xml:space="preserve">50Hz</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7</w:t>
            </w:r>
            <w:r>
              <w:rPr>
                <w:rFonts w:ascii="Times New Roman" w:hAnsi="Times New Roman" w:eastAsia="宋体" w:cs="Times New Roman"/>
                <w:szCs w:val="21"/>
                <w:highlight w:val="none"/>
                <w:lang w:bidi="ar"/>
              </w:rPr>
              <w:t xml:space="preserve">.USB数据接口，提供专用计算机记录软件</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bidi="ar"/>
              </w:rPr>
              <w:t xml:space="preserve">8</w:t>
            </w:r>
            <w:r>
              <w:rPr>
                <w:rFonts w:ascii="Times New Roman" w:hAnsi="Times New Roman" w:eastAsia="宋体" w:cs="Times New Roman"/>
                <w:szCs w:val="21"/>
                <w:highlight w:val="none"/>
                <w:lang w:bidi="ar"/>
              </w:rPr>
              <w:t xml:space="preserve">.</w:t>
            </w:r>
            <w:r>
              <w:rPr>
                <w:rFonts w:hint="eastAsia" w:ascii="Times New Roman" w:hAnsi="Times New Roman" w:eastAsia="宋体" w:cs="Times New Roman"/>
                <w:szCs w:val="21"/>
                <w:highlight w:val="none"/>
                <w:lang w:bidi="ar"/>
              </w:rPr>
              <w:t xml:space="preserve">除仪器自身外，每台设备增配1</w:t>
            </w:r>
            <w:r>
              <w:rPr>
                <w:rFonts w:ascii="Times New Roman" w:hAnsi="Times New Roman" w:eastAsia="宋体" w:cs="Times New Roman"/>
                <w:szCs w:val="21"/>
                <w:highlight w:val="none"/>
                <w:lang w:bidi="ar"/>
              </w:rPr>
              <w:t xml:space="preserve">套电极（含银电极，铂电极，饱和甘汞电极，盐桥玻璃管，H型电池及支架）</w:t>
            </w:r>
            <w:r>
              <w:rPr>
                <w:rFonts w:hint="eastAsia" w:ascii="Times New Roman" w:hAnsi="Times New Roman" w:eastAsia="宋体" w:cs="Times New Roman"/>
                <w:szCs w:val="21"/>
                <w:highlight w:val="none"/>
                <w:lang w:bidi="ar"/>
              </w:rPr>
              <w:t xml:space="preserve">，红黑连接线10对。</w:t>
            </w:r>
            <w:r/>
          </w:p>
        </w:tc>
        <w:tc>
          <w:tcPr>
            <w:tcW w:w="680"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台</w:t>
            </w:r>
            <w:r/>
          </w:p>
        </w:tc>
        <w:tc>
          <w:tcPr>
            <w:tcW w:w="653"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bidi="ar"/>
              </w:rPr>
              <w:t xml:space="preserve">8</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6</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台式pH计</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（1）采用高清液晶屏幕，显示清晰；</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（2）支持中英文；</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（3）两种分辨率可选：pH支持0.01pH和0.1pH，mV支持0.1mV和1mV</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（4）温度单位可选：℃和℉；</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（5）支持开机自诊断、自动关机、断电保护和恢复出厂设置等功能；</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（6）支持固件升级功能，允许功能扩展和个性化要求；</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（7）支持IP54防护等级；</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8</w:t>
            </w:r>
            <w:r>
              <w:rPr>
                <w:rFonts w:ascii="Times New Roman" w:hAnsi="Times New Roman" w:eastAsia="宋体" w:cs="Times New Roman"/>
                <w:szCs w:val="21"/>
                <w:highlight w:val="none"/>
              </w:rPr>
              <w:t xml:space="preserve">）智能检测、自动识别</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智能判别终点，支持自动读数、定时读数、定时间隔读数、手动读数</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9</w:t>
            </w:r>
            <w:r>
              <w:rPr>
                <w:rFonts w:ascii="Times New Roman" w:hAnsi="Times New Roman" w:eastAsia="宋体" w:cs="Times New Roman"/>
                <w:szCs w:val="21"/>
                <w:highlight w:val="none"/>
              </w:rPr>
              <w:t xml:space="preserve">）数据管理，信息追溯</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10</w:t>
            </w:r>
            <w:r>
              <w:rPr>
                <w:rFonts w:ascii="Times New Roman" w:hAnsi="Times New Roman" w:eastAsia="宋体" w:cs="Times New Roman"/>
                <w:szCs w:val="21"/>
                <w:highlight w:val="none"/>
              </w:rPr>
              <w:t xml:space="preserve">）电极接口</w:t>
            </w:r>
            <w:r>
              <w:rPr>
                <w:rFonts w:hint="eastAsia" w:ascii="Times New Roman" w:hAnsi="Times New Roman" w:eastAsia="宋体" w:cs="Times New Roman"/>
                <w:szCs w:val="21"/>
                <w:highlight w:val="none"/>
              </w:rPr>
              <w:t xml:space="preserve">至少</w:t>
            </w:r>
            <w:r>
              <w:rPr>
                <w:rFonts w:ascii="Times New Roman" w:hAnsi="Times New Roman" w:eastAsia="宋体" w:cs="Times New Roman"/>
                <w:szCs w:val="21"/>
                <w:highlight w:val="none"/>
              </w:rPr>
              <w:t xml:space="preserve">有三个，分别是pH电极、参比电极、温度电极</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1</w:t>
            </w:r>
            <w:r>
              <w:rPr>
                <w:rFonts w:ascii="Times New Roman" w:hAnsi="Times New Roman" w:eastAsia="宋体" w:cs="Times New Roman"/>
                <w:szCs w:val="21"/>
                <w:highlight w:val="none"/>
              </w:rPr>
              <w:t xml:space="preserve">）PC端操作软件，可同步数据，测量数据</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（12）每台设备</w:t>
            </w:r>
            <w:r>
              <w:rPr>
                <w:rFonts w:ascii="Times New Roman" w:hAnsi="Times New Roman" w:eastAsia="宋体" w:cs="Times New Roman"/>
                <w:szCs w:val="21"/>
                <w:highlight w:val="none"/>
              </w:rPr>
              <w:t xml:space="preserve">标配三复合pH电极、电极支架、防尘罩和校准缓冲溶液各一套</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7</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台式电导率仪</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（1）高清液晶屏幕，显示清晰</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（2）支持中英文</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（3）温度单位可选：℃和℉</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（4）参比温度20℃或25℃可选</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（5）支持开机自诊断，自动关机，断电保护和恢复出厂设置、恢复默认参数等功能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（6）支持固件升级功能，允许功能扩展和个性化要求</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（7）支持IP54防护等级</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w:t>
            </w:r>
            <w:r>
              <w:rPr>
                <w:rFonts w:hint="eastAsia" w:ascii="Times New Roman" w:hAnsi="Times New Roman" w:eastAsia="宋体" w:cs="Times New Roman"/>
                <w:szCs w:val="21"/>
                <w:highlight w:val="none"/>
              </w:rPr>
              <w:t xml:space="preserve">每台设备</w:t>
            </w:r>
            <w:r>
              <w:rPr>
                <w:rFonts w:ascii="Times New Roman" w:hAnsi="Times New Roman" w:eastAsia="宋体" w:cs="Times New Roman"/>
                <w:szCs w:val="21"/>
                <w:highlight w:val="none"/>
              </w:rPr>
              <w:t xml:space="preserve">标配复合电导电极、电极支架、防尘罩和校准溶液</w:t>
            </w:r>
            <w:r>
              <w:rPr>
                <w:rFonts w:hint="eastAsia" w:ascii="Times New Roman" w:hAnsi="Times New Roman" w:eastAsia="宋体" w:cs="Times New Roman"/>
                <w:szCs w:val="21"/>
                <w:highlight w:val="none"/>
              </w:rPr>
              <w:t xml:space="preserve">各一套。</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8</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自动电位滴定仪</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（1）彩色触摸电容屏，导航式操作；实时显示测试方法、滴定曲线和测量结果</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（2）采用阀门滴定管一体化设计，直接更换，有效避免干扰，支持10mL、20mL等多种规格滴定管</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（3）滴定管路采用耐酸碱、耐高氯酸、耐有机试剂腐蚀的材料，可进行非水滴定</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（4）支持上搅拌器和下搅拌器</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i/>
                <w:iCs/>
                <w:szCs w:val="21"/>
                <w:highlight w:val="none"/>
                <w:u w:val="single"/>
              </w:rPr>
            </w:pPr>
            <w:r>
              <w:rPr>
                <w:rFonts w:ascii="Times New Roman" w:hAnsi="Times New Roman" w:eastAsia="宋体" w:cs="Times New Roman"/>
                <w:i/>
                <w:iCs/>
                <w:szCs w:val="21"/>
                <w:highlight w:val="none"/>
                <w:u w:val="single"/>
              </w:rPr>
              <w:t xml:space="preserve">（5）支持动态滴定、等量滴定、预设终点滴定、恒pH滴定、空白滴定和手动滴定等多种滴定模式（需提供证明功能界面截图，要求内容能体现满足此参数要求）</w:t>
            </w:r>
            <w:r>
              <w:rPr>
                <w:rFonts w:hint="eastAsia" w:ascii="Times New Roman" w:hAnsi="Times New Roman" w:eastAsia="宋体" w:cs="Times New Roman"/>
                <w:i/>
                <w:iCs/>
                <w:szCs w:val="21"/>
                <w:highlight w:val="none"/>
                <w:u w:val="singl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（6）支持酸碱滴定、非水相酸碱滴定、氧化还原滴定、沉淀滴定和络合滴定等多种滴定方法</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（7）支持滴定剂管理</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1~7种</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（8）支持 pH 电极标定，最多3 点标定，自动识别 GB、DIN、NIST 标液</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（9）具有公式编辑器功能，直接显示计算结果</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（10）符合GLP规范，支持数据存储1000 套、查阅、删除、分析、传输和打印</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（11）支持用户管理</w:t>
            </w:r>
            <w:r>
              <w:rPr>
                <w:rFonts w:hint="eastAsia" w:ascii="Times New Roman" w:hAnsi="Times New Roman" w:eastAsia="宋体" w:cs="Times New Roman"/>
                <w:szCs w:val="21"/>
                <w:highlight w:val="none"/>
              </w:rPr>
              <w:t xml:space="preserve">至少</w:t>
            </w:r>
            <w:r>
              <w:rPr>
                <w:rFonts w:ascii="Times New Roman" w:hAnsi="Times New Roman" w:eastAsia="宋体" w:cs="Times New Roman"/>
                <w:szCs w:val="21"/>
                <w:highlight w:val="none"/>
              </w:rPr>
              <w:t xml:space="preserve">8个，支持密码管理</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（12）支持中／英文两种操作语言；支持断电保护和恢复出厂设置</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（13）支持USB、RS232与PC连接，双向通讯；通过专用滴定软件可连接自动进样器实现批量样品的滴定分析</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9</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超声波清洗机</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（1）容积：≥2.0 L</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（2）加热功率：≥100W</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（3）工作温度：≤80℃</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10</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真空干燥箱（配真空泵）‌</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（1）容积：20L</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25L</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（2）真空泵抽速：≥8m</w:t>
            </w:r>
            <w:r>
              <w:rPr>
                <w:rFonts w:ascii="Times New Roman" w:hAnsi="Times New Roman" w:eastAsia="宋体" w:cs="Times New Roman"/>
                <w:szCs w:val="21"/>
                <w:highlight w:val="none"/>
                <w:vertAlign w:val="superscript"/>
              </w:rPr>
              <w:t xml:space="preserve">3</w:t>
            </w:r>
            <w:r>
              <w:rPr>
                <w:rFonts w:ascii="Times New Roman" w:hAnsi="Times New Roman" w:eastAsia="宋体" w:cs="Times New Roman"/>
                <w:szCs w:val="21"/>
                <w:highlight w:val="none"/>
              </w:rPr>
              <w:t xml:space="preserve">/h </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2.2L/S</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（3）极限分压力</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关闭气镇 ：≤5×10</w:t>
            </w:r>
            <w:r>
              <w:rPr>
                <w:rFonts w:ascii="Times New Roman" w:hAnsi="Times New Roman" w:eastAsia="宋体" w:cs="Times New Roman"/>
                <w:szCs w:val="21"/>
                <w:highlight w:val="none"/>
                <w:vertAlign w:val="superscript"/>
              </w:rPr>
              <w:t xml:space="preserve">-2</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Pa</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（4）极限全压力</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关闭气镇：≤5×10</w:t>
            </w:r>
            <w:r>
              <w:rPr>
                <w:rFonts w:ascii="Times New Roman" w:hAnsi="Times New Roman" w:eastAsia="宋体" w:cs="Times New Roman"/>
                <w:szCs w:val="21"/>
                <w:highlight w:val="none"/>
                <w:vertAlign w:val="superscript"/>
              </w:rPr>
              <w:t xml:space="preserve">-1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Pa</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（5）极限全压力</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开启气镇：≤10</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Pa</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（6）电源：220V/50H</w:t>
            </w:r>
            <w:r>
              <w:rPr>
                <w:rFonts w:hint="eastAsia" w:ascii="Times New Roman" w:hAnsi="Times New Roman" w:eastAsia="宋体" w:cs="Times New Roman"/>
                <w:szCs w:val="21"/>
                <w:highlight w:val="none"/>
              </w:rPr>
              <w:t xml:space="preserve">z；</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（7）功率：≤0.55</w:t>
            </w:r>
            <w:r>
              <w:rPr>
                <w:rFonts w:hint="eastAsia" w:ascii="Times New Roman" w:hAnsi="Times New Roman" w:eastAsia="宋体" w:cs="Times New Roman"/>
                <w:szCs w:val="21"/>
                <w:highlight w:val="none"/>
              </w:rPr>
              <w:t xml:space="preserve">k</w:t>
            </w:r>
            <w:r>
              <w:rPr>
                <w:rFonts w:ascii="Times New Roman" w:hAnsi="Times New Roman" w:eastAsia="宋体" w:cs="Times New Roman"/>
                <w:szCs w:val="21"/>
                <w:highlight w:val="none"/>
              </w:rPr>
              <w:t xml:space="preserve">W</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（8）防护等级：IP44</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（9）进气排气接口：KF16</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（10）油量：0.6-1.0（L）</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（11）电机转速：</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14</w:t>
            </w:r>
            <w:r>
              <w:rPr>
                <w:rFonts w:hint="eastAsia" w:ascii="Times New Roman" w:hAnsi="Times New Roman" w:eastAsia="宋体" w:cs="Times New Roman"/>
                <w:szCs w:val="21"/>
                <w:highlight w:val="none"/>
              </w:rPr>
              <w:t xml:space="preserve">00</w:t>
            </w:r>
            <w:r>
              <w:rPr>
                <w:rFonts w:ascii="Times New Roman" w:hAnsi="Times New Roman" w:eastAsia="宋体" w:cs="Times New Roman"/>
                <w:szCs w:val="21"/>
                <w:highlight w:val="none"/>
              </w:rPr>
              <w:t xml:space="preserve">（r/min）</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（12）工作环境温度：10-40（℃）</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11</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差示扫描量热仪（配备输出装置）</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（1）规格参数</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1.温度范围：室温~600℃</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2.温度分辨率：</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0.001℃</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3.温度波动：±0.01℃</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4.温度重复性：±0.1℃</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5.升温速率：0.1～100℃/min</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6.恒温时间：0~400</w:t>
            </w:r>
            <w:r>
              <w:rPr>
                <w:rFonts w:hint="eastAsia" w:ascii="Times New Roman" w:hAnsi="Times New Roman" w:eastAsia="宋体" w:cs="Times New Roman"/>
                <w:szCs w:val="21"/>
                <w:highlight w:val="none"/>
              </w:rPr>
              <w:t xml:space="preserve">min；</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7.控温方式：升温，降温，恒温</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8.DSC量程：0～±700mW</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9.DSC解析度：0.001mW</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10.DSC灵敏度：0.001mW</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11.工作电源：AC220V/50Hz或定制</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12.气氛控制气体：氮气、氧气（仪器自动切换）</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13.气体流量：0-300</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mL/min  </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14.气体压力：0.2</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MPa</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15.显示方式：不低于24bit色，不低于7寸LCD触摸屏显示</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16.数据接口：标准USB接口</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17.参数标准： 配有标准物质（铟，锡），用户可自行校正温度</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18.上位机操作软件，坐标量程自动切换，无需手动调节；软件分析结果可以随意拖动显示位置</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19.仪器有多组热电偶，一组测试样品温度，一组测试仪器内部环境温度</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20.下位机带多点校正功能，至少3点校正；一键校正</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21.上位机软件可以同时打开3条曲线以上曲线同时分析</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22.曲线扫描：升温扫描、恒温扫描 降温扫描</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 操作显示屏界面具备中英文切换功能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24</w:t>
            </w:r>
            <w:r>
              <w:rPr>
                <w:rFonts w:ascii="Times New Roman" w:hAnsi="Times New Roman" w:eastAsia="宋体" w:cs="Times New Roman"/>
                <w:szCs w:val="21"/>
                <w:highlight w:val="none"/>
              </w:rPr>
              <w:t xml:space="preserve">.比对模式</w:t>
            </w:r>
            <w:r>
              <w:rPr>
                <w:rFonts w:hint="eastAsia" w:ascii="Times New Roman" w:hAnsi="Times New Roman" w:eastAsia="宋体" w:cs="Times New Roman"/>
                <w:szCs w:val="21"/>
                <w:highlight w:val="none"/>
              </w:rPr>
              <w:t xml:space="preserve">≥50段，可拓展</w:t>
            </w:r>
            <w:r>
              <w:rPr>
                <w:rFonts w:ascii="Times New Roman" w:hAnsi="Times New Roman" w:eastAsia="宋体" w:cs="Times New Roman"/>
                <w:szCs w:val="21"/>
                <w:highlight w:val="none"/>
              </w:rPr>
              <w:t xml:space="preserve">（需提供证明功能界面截图，要求内容能体现满足此参数要求）</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25</w:t>
            </w:r>
            <w:r>
              <w:rPr>
                <w:rFonts w:ascii="Times New Roman" w:hAnsi="Times New Roman" w:eastAsia="宋体" w:cs="Times New Roman"/>
                <w:szCs w:val="21"/>
                <w:highlight w:val="none"/>
              </w:rPr>
              <w:t xml:space="preserve">.操作显示屏界面具备中英文切换功能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26</w:t>
            </w:r>
            <w:r>
              <w:rPr>
                <w:rFonts w:ascii="Times New Roman" w:hAnsi="Times New Roman" w:eastAsia="宋体" w:cs="Times New Roman"/>
                <w:szCs w:val="21"/>
                <w:highlight w:val="none"/>
              </w:rPr>
              <w:t xml:space="preserve">.软件内置聚合物理论焓库（PET、PE、PP、PA、PEEK、POM、PTFE、PVDF...）</w:t>
            </w:r>
            <w:r>
              <w:rPr>
                <w:rFonts w:hint="eastAsia" w:ascii="Times New Roman" w:hAnsi="Times New Roman" w:eastAsia="宋体" w:cs="Times New Roman"/>
                <w:szCs w:val="21"/>
                <w:highlight w:val="none"/>
              </w:rPr>
              <w:t xml:space="preserve">种类不少于25种，</w:t>
            </w:r>
            <w:r>
              <w:rPr>
                <w:rFonts w:ascii="Times New Roman" w:hAnsi="Times New Roman" w:eastAsia="宋体" w:cs="Times New Roman"/>
                <w:szCs w:val="21"/>
                <w:highlight w:val="none"/>
              </w:rPr>
              <w:t xml:space="preserve">一键算结晶度，不用查表（需提供证明功能界面截图，要求内容能体现满足此参数要求）</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（2）主要配置</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.控制终端</w:t>
            </w:r>
            <w:r>
              <w:rPr>
                <w:rFonts w:ascii="Times New Roman" w:hAnsi="Times New Roman" w:eastAsia="宋体" w:cs="Times New Roman"/>
                <w:szCs w:val="21"/>
                <w:highlight w:val="none"/>
              </w:rPr>
              <w:t xml:space="preserve">：x86架构处理器，核心线程≥12核20线程，最高睿频≥4.0GHz；内存≥16G，固态硬盘≥1T，显示器≥23.8英寸</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2.彩色激光打印机；</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w:t>
            </w:r>
            <w:r>
              <w:rPr>
                <w:rFonts w:ascii="Times New Roman" w:hAnsi="Times New Roman" w:eastAsia="宋体" w:cs="Times New Roman"/>
                <w:szCs w:val="21"/>
                <w:highlight w:val="none"/>
              </w:rPr>
              <w:t xml:space="preserve">配备5.5*5.5氧化铝</w:t>
            </w:r>
            <w:r>
              <w:rPr>
                <w:rFonts w:hint="eastAsia" w:ascii="Times New Roman" w:hAnsi="Times New Roman" w:eastAsia="宋体" w:cs="Times New Roman"/>
                <w:szCs w:val="21"/>
                <w:highlight w:val="none"/>
              </w:rPr>
              <w:t xml:space="preserve">密封</w:t>
            </w:r>
            <w:r>
              <w:rPr>
                <w:rFonts w:ascii="Times New Roman" w:hAnsi="Times New Roman" w:eastAsia="宋体" w:cs="Times New Roman"/>
                <w:szCs w:val="21"/>
                <w:highlight w:val="none"/>
              </w:rPr>
              <w:t xml:space="preserve">坩埚</w:t>
            </w:r>
            <w:r>
              <w:rPr>
                <w:rFonts w:hint="eastAsia" w:ascii="Times New Roman" w:hAnsi="Times New Roman" w:eastAsia="宋体" w:cs="Times New Roman"/>
                <w:szCs w:val="21"/>
                <w:highlight w:val="none"/>
              </w:rPr>
              <w:t xml:space="preserve">、敞口坩埚各400</w:t>
            </w:r>
            <w:r>
              <w:rPr>
                <w:rFonts w:ascii="Times New Roman" w:hAnsi="Times New Roman" w:eastAsia="宋体" w:cs="Times New Roman"/>
                <w:szCs w:val="21"/>
                <w:highlight w:val="none"/>
              </w:rPr>
              <w:t xml:space="preserve">只</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4.</w:t>
            </w:r>
            <w:r>
              <w:rPr>
                <w:rFonts w:ascii="Times New Roman" w:hAnsi="Times New Roman" w:eastAsia="宋体" w:cs="Times New Roman"/>
                <w:szCs w:val="21"/>
                <w:highlight w:val="none"/>
              </w:rPr>
              <w:t xml:space="preserve">配备生物质样品制备表征配件</w:t>
            </w:r>
            <w:r>
              <w:rPr>
                <w:rFonts w:hint="eastAsia" w:ascii="Times New Roman" w:hAnsi="Times New Roman" w:eastAsia="宋体" w:cs="Times New Roman"/>
                <w:szCs w:val="21"/>
                <w:highlight w:val="none"/>
              </w:rPr>
              <w:t xml:space="preserve">2套；</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5.</w:t>
            </w:r>
            <w:r>
              <w:rPr>
                <w:rFonts w:ascii="Times New Roman" w:hAnsi="Times New Roman" w:eastAsia="宋体" w:cs="Times New Roman"/>
                <w:szCs w:val="21"/>
                <w:highlight w:val="none"/>
              </w:rPr>
              <w:t xml:space="preserve">配有标准物质（铟，锡）</w:t>
            </w:r>
            <w:r>
              <w:rPr>
                <w:rFonts w:hint="eastAsia" w:ascii="Times New Roman" w:hAnsi="Times New Roman" w:eastAsia="宋体" w:cs="Times New Roman"/>
                <w:szCs w:val="21"/>
                <w:highlight w:val="none"/>
              </w:rPr>
              <w:t xml:space="preserve">2套</w:t>
            </w:r>
            <w:r>
              <w:rPr>
                <w:rFonts w:ascii="Times New Roman" w:hAnsi="Times New Roman" w:eastAsia="宋体" w:cs="Times New Roman"/>
                <w:szCs w:val="21"/>
                <w:highlight w:val="none"/>
              </w:rPr>
              <w:t xml:space="preserve">，用户可自行校正温度</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w:t>
            </w:r>
            <w:r>
              <w:rPr>
                <w:rFonts w:ascii="Times New Roman" w:hAnsi="Times New Roman" w:eastAsia="宋体" w:cs="Times New Roman"/>
                <w:szCs w:val="21"/>
                <w:highlight w:val="none"/>
              </w:rPr>
              <w:t xml:space="preserve">标配气瓶柜</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12</w:t>
            </w:r>
            <w:r/>
          </w:p>
        </w:tc>
        <w:tc>
          <w:tcPr>
            <w:shd w:val="clear" w:color="auto" w:fill="auto"/>
            <w:tcW w:w="1217"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饱和蒸气压测定实验装置</w:t>
            </w:r>
            <w:r/>
          </w:p>
        </w:tc>
        <w:tc>
          <w:tcPr>
            <w:shd w:val="clear" w:color="auto" w:fill="auto"/>
            <w:tcW w:w="5682" w:type="dxa"/>
            <w:vAlign w:val="center"/>
            <w:textDirection w:val="lrTb"/>
            <w:noWrap w:val="false"/>
          </w:tcPr>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压差测量范围：-101.30～0KPa</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2.</w:t>
            </w:r>
            <w:r>
              <w:rPr>
                <w:rFonts w:ascii="Times New Roman" w:hAnsi="Times New Roman" w:eastAsia="宋体" w:cs="Times New Roman"/>
                <w:szCs w:val="21"/>
                <w:highlight w:val="none"/>
                <w:lang w:bidi="ar"/>
              </w:rPr>
              <w:t xml:space="preserve">压差分辨率：≤0.01KPa</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3.</w:t>
            </w:r>
            <w:r>
              <w:rPr>
                <w:rFonts w:ascii="Times New Roman" w:hAnsi="Times New Roman" w:eastAsia="宋体" w:cs="Times New Roman"/>
                <w:szCs w:val="21"/>
                <w:highlight w:val="none"/>
                <w:lang w:bidi="ar"/>
              </w:rPr>
              <w:t xml:space="preserve">实时温度、目标温度、压差值液晶同屏显示；</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4.内置双稳压调压包：总容积大于5L</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5.工作水浴采用标准烧杯，可以取下加水，通用性强</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6.控温范围：室温～100℃</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7.温度显示分辨率：≤0.01℃</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8.温度控制精度：±0.05℃（低扰动环境±0.02℃）</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9.加热保护：“欠水位”传感器</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10.仪器宽度尺寸：小于37cm，工作区加LED照明</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11.管路材质：304不锈钢+PA管路</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12.调压方式：不锈钢阀门和针型放气口</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13.加热圈、传感器、搅拌器和液位开关均为304不锈钢材质</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14.气路控制：不锈钢阀门、针型放气口配面板路径图提示</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15.可控制烧杯升降，取放换水安全方便</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16.USB数据接口，提供专用计算机记录软件</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配套：饱和蒸气压测控和数据处理分析软件</w:t>
            </w:r>
            <w:r/>
          </w:p>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软件可以通过USB接口完成系统温度控制和温度压差测量</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2.可以完成温度、压差图形实时绘制，打印保存和读取</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3.有实验操作步骤提示，记录保存8点平衡点数据</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4.停止实验操作后，可以直接导出实测数据进入数据处理分析</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5.可以完成环境数据、1/T、lnp的计算，并按数据作图</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6.有最小二乘法拟合直线、按拟合获取结果和保存图形功能</w:t>
            </w:r>
            <w:r>
              <w:rPr>
                <w:rFonts w:hint="eastAsia" w:ascii="Times New Roman" w:hAnsi="Times New Roman" w:eastAsia="宋体" w:cs="Times New Roman"/>
                <w:szCs w:val="21"/>
                <w:highlight w:val="none"/>
                <w:lang w:bidi="ar"/>
              </w:rPr>
              <w:t xml:space="preserve">；</w:t>
            </w:r>
            <w:r/>
          </w:p>
          <w:p>
            <w:pPr>
              <w:spacing w:line="360" w:lineRule="exact"/>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7.配套：</w:t>
            </w:r>
            <w:r/>
          </w:p>
          <w:p>
            <w:pPr>
              <w:spacing w:line="360" w:lineRule="exact"/>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w:t>
            </w:r>
            <w:r>
              <w:rPr>
                <w:rFonts w:hint="eastAsia" w:ascii="Times New Roman" w:hAnsi="Times New Roman" w:eastAsia="宋体" w:cs="Times New Roman"/>
                <w:szCs w:val="21"/>
                <w:highlight w:val="none"/>
                <w:lang w:bidi="ar"/>
              </w:rPr>
              <w:t xml:space="preserve">每台设备各配备一台</w:t>
            </w:r>
            <w:r>
              <w:rPr>
                <w:rFonts w:ascii="Times New Roman" w:hAnsi="Times New Roman" w:eastAsia="宋体" w:cs="Times New Roman"/>
                <w:szCs w:val="21"/>
                <w:highlight w:val="none"/>
                <w:lang w:bidi="ar"/>
              </w:rPr>
              <w:t xml:space="preserve">旋片式真空泵</w:t>
            </w:r>
            <w:r/>
          </w:p>
          <w:p>
            <w:pPr>
              <w:ind w:firstLine="482"/>
              <w:spacing w:line="360" w:lineRule="exact"/>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抽气速度：≥1L/S</w:t>
            </w:r>
            <w:r>
              <w:rPr>
                <w:rFonts w:hint="eastAsia" w:ascii="Times New Roman" w:hAnsi="Times New Roman" w:eastAsia="宋体" w:cs="Times New Roman"/>
                <w:szCs w:val="21"/>
                <w:highlight w:val="none"/>
                <w:lang w:bidi="ar"/>
              </w:rPr>
              <w:t xml:space="preserve">；</w:t>
            </w:r>
            <w:r/>
          </w:p>
          <w:p>
            <w:pPr>
              <w:ind w:firstLine="482"/>
              <w:spacing w:line="360" w:lineRule="exact"/>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工作电源：220V单相交流</w:t>
            </w:r>
            <w:r>
              <w:rPr>
                <w:rFonts w:hint="eastAsia" w:ascii="Times New Roman" w:hAnsi="Times New Roman" w:eastAsia="宋体" w:cs="Times New Roman"/>
                <w:szCs w:val="21"/>
                <w:highlight w:val="none"/>
                <w:lang w:bidi="ar"/>
              </w:rPr>
              <w:t xml:space="preserve">；</w:t>
            </w:r>
            <w:r/>
          </w:p>
          <w:p>
            <w:pPr>
              <w:ind w:firstLine="482"/>
              <w:spacing w:line="360" w:lineRule="exact"/>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功率：≥0.25KW</w:t>
            </w:r>
            <w:r>
              <w:rPr>
                <w:rFonts w:hint="eastAsia" w:ascii="Times New Roman" w:hAnsi="Times New Roman" w:eastAsia="宋体" w:cs="Times New Roman"/>
                <w:szCs w:val="21"/>
                <w:highlight w:val="none"/>
                <w:lang w:bidi="ar"/>
              </w:rPr>
              <w:t xml:space="preserve">；</w:t>
            </w:r>
            <w:r/>
          </w:p>
          <w:p>
            <w:pPr>
              <w:spacing w:line="360" w:lineRule="exact"/>
              <w:rPr>
                <w:rFonts w:ascii="Times New Roman" w:hAnsi="Times New Roman" w:eastAsia="仿宋_GB2312" w:cs="Times New Roman"/>
                <w:sz w:val="28"/>
                <w:szCs w:val="24"/>
                <w:highlight w:val="none"/>
              </w:rPr>
            </w:pPr>
            <w:r>
              <w:rPr>
                <w:rFonts w:ascii="Times New Roman" w:hAnsi="Times New Roman" w:eastAsia="宋体" w:cs="Times New Roman"/>
                <w:szCs w:val="21"/>
                <w:highlight w:val="none"/>
                <w:lang w:bidi="ar"/>
              </w:rPr>
              <w:t xml:space="preserve">（2）</w:t>
            </w:r>
            <w:r>
              <w:rPr>
                <w:rFonts w:hint="eastAsia" w:ascii="Times New Roman" w:hAnsi="Times New Roman" w:eastAsia="宋体" w:cs="Times New Roman"/>
                <w:szCs w:val="21"/>
                <w:highlight w:val="none"/>
                <w:lang w:bidi="ar"/>
              </w:rPr>
              <w:t xml:space="preserve">除设备自身外，每台仪器增配1套冷凝管与</w:t>
            </w:r>
            <w:r>
              <w:rPr>
                <w:rFonts w:ascii="Times New Roman" w:hAnsi="Times New Roman" w:eastAsia="宋体" w:cs="Times New Roman"/>
                <w:szCs w:val="21"/>
                <w:highlight w:val="none"/>
                <w:lang w:bidi="ar"/>
              </w:rPr>
              <w:t xml:space="preserve">饱和等位计</w:t>
            </w:r>
            <w:r>
              <w:rPr>
                <w:rFonts w:hint="eastAsia" w:ascii="Times New Roman" w:hAnsi="Times New Roman" w:eastAsia="宋体" w:cs="Times New Roman"/>
                <w:szCs w:val="21"/>
                <w:highlight w:val="none"/>
                <w:lang w:bidi="ar"/>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套</w:t>
            </w:r>
            <w:r/>
          </w:p>
        </w:tc>
        <w:tc>
          <w:tcPr>
            <w:tcW w:w="653"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13</w:t>
            </w:r>
            <w:r/>
          </w:p>
        </w:tc>
        <w:tc>
          <w:tcPr>
            <w:tcW w:w="1217" w:type="dxa"/>
            <w:vAlign w:val="center"/>
            <w:textDirection w:val="lrTb"/>
            <w:noWrap w:val="false"/>
          </w:tcPr>
          <w:p>
            <w:pPr>
              <w:jc w:val="center"/>
              <w:spacing w:line="360" w:lineRule="exact"/>
              <w:widowControl/>
              <w:rPr>
                <w:rFonts w:ascii="Times New Roman" w:hAnsi="Times New Roman" w:eastAsia="宋体" w:cs="Times New Roman"/>
                <w:szCs w:val="24"/>
                <w:highlight w:val="none"/>
              </w:rPr>
            </w:pPr>
            <w:r>
              <w:rPr>
                <w:rFonts w:ascii="Times New Roman" w:hAnsi="Times New Roman" w:eastAsia="宋体" w:cs="Times New Roman"/>
                <w:szCs w:val="21"/>
                <w:highlight w:val="none"/>
                <w:lang w:bidi="ar"/>
              </w:rPr>
              <w:t xml:space="preserve">溶解热（中和热）实验装置</w:t>
            </w:r>
            <w:r/>
          </w:p>
        </w:tc>
        <w:tc>
          <w:tcPr>
            <w:tcW w:w="5682" w:type="dxa"/>
            <w:vAlign w:val="center"/>
            <w:textDirection w:val="lrTb"/>
            <w:noWrap w:val="false"/>
          </w:tcPr>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A溶解热模式</w:t>
            </w:r>
            <w:r>
              <w:rPr>
                <w:rFonts w:hint="eastAsia" w:ascii="Times New Roman" w:hAnsi="Times New Roman" w:eastAsia="宋体" w:cs="Times New Roman"/>
                <w:szCs w:val="21"/>
                <w:highlight w:val="none"/>
                <w:lang w:bidi="ar"/>
              </w:rPr>
              <w:t xml:space="preserve">；</w:t>
            </w:r>
            <w:r/>
          </w:p>
          <w:p>
            <w:pPr>
              <w:numPr>
                <w:ilvl w:val="0"/>
                <w:numId w:val="0"/>
              </w:numPr>
              <w:jc w:val="left"/>
              <w:spacing w:line="360" w:lineRule="exact"/>
              <w:widowControl/>
              <w:rPr>
                <w:rFonts w:hint="eastAsia" w:ascii="Times New Roman" w:hAnsi="Times New Roman" w:eastAsia="宋体" w:cs="Times New Roman"/>
                <w:szCs w:val="21"/>
                <w:highlight w:val="none"/>
                <w:lang w:eastAsia="zh-CN" w:bidi="ar"/>
              </w:rPr>
            </w:pPr>
            <w:r>
              <w:rPr>
                <w:rFonts w:hint="eastAsia" w:ascii="Times New Roman" w:hAnsi="Times New Roman" w:eastAsia="宋体" w:cs="Times New Roman"/>
                <w:szCs w:val="21"/>
                <w:highlight w:val="none"/>
                <w:lang w:val="en-US" w:eastAsia="zh-CN" w:bidi="ar"/>
              </w:rPr>
              <w:t xml:space="preserve">1.</w:t>
            </w:r>
            <w:r>
              <w:rPr>
                <w:rFonts w:ascii="Times New Roman" w:hAnsi="Times New Roman" w:eastAsia="宋体" w:cs="Times New Roman"/>
                <w:szCs w:val="21"/>
                <w:highlight w:val="none"/>
                <w:lang w:bidi="ar"/>
              </w:rPr>
              <w:t xml:space="preserve">液晶超高精千分温度计</w:t>
            </w:r>
            <w:r>
              <w:rPr>
                <w:rFonts w:hint="eastAsia" w:ascii="Times New Roman" w:hAnsi="Times New Roman" w:eastAsia="宋体" w:cs="Times New Roman"/>
                <w:szCs w:val="21"/>
                <w:highlight w:val="none"/>
                <w:lang w:bidi="ar"/>
              </w:rPr>
              <w:t xml:space="preserve">，</w:t>
            </w:r>
            <w:r>
              <w:rPr>
                <w:rFonts w:ascii="Times New Roman" w:hAnsi="Times New Roman" w:eastAsia="宋体" w:cs="Times New Roman"/>
                <w:szCs w:val="21"/>
                <w:highlight w:val="none"/>
                <w:lang w:bidi="ar"/>
              </w:rPr>
              <w:t xml:space="preserve">附千分温度计记录分析软件</w:t>
            </w:r>
            <w:r>
              <w:rPr>
                <w:rFonts w:hint="eastAsia" w:ascii="Times New Roman" w:hAnsi="Times New Roman" w:eastAsia="宋体" w:cs="Times New Roman"/>
                <w:szCs w:val="21"/>
                <w:highlight w:val="none"/>
                <w:lang w:eastAsia="zh-CN"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2.测温范围：-50～180℃，分辨率：0.001℃</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3.加热电流：0～2A连续可调，电流分辨率：0.0001A</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4.加热电压：0～24V连续可调，电压分辨率：0.001V</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5.加热功率显示分辨率：0.001W</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6.功显示范围：0～999.9J，分辨率：0.1J</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7.多组样品连续分段记录功和时间，按键切换记录/停止</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8.单样品记录，按键切换记录/停止/清零</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9.USB口通讯，专用编制V1.0实验软件</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10.软件可进行：按数据作图、拟合曲线、结果获取、结果</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贴图、保存图片</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11.输出硝酸钾热效应：摩尔积分溶解热、摩尔微分溶解热、摩尔积分冲淡热、摩尔微分冲淡热</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B.中和热模式</w:t>
            </w:r>
            <w:r/>
          </w:p>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液晶超高精千分温度计</w:t>
            </w:r>
            <w:r>
              <w:rPr>
                <w:rFonts w:hint="eastAsia" w:ascii="Times New Roman" w:hAnsi="Times New Roman" w:eastAsia="宋体" w:cs="Times New Roman"/>
                <w:szCs w:val="21"/>
                <w:highlight w:val="none"/>
                <w:lang w:bidi="ar"/>
              </w:rPr>
              <w:t xml:space="preserve">，</w:t>
            </w:r>
            <w:r>
              <w:rPr>
                <w:rFonts w:ascii="Times New Roman" w:hAnsi="Times New Roman" w:eastAsia="宋体" w:cs="Times New Roman"/>
                <w:szCs w:val="21"/>
                <w:highlight w:val="none"/>
                <w:lang w:bidi="ar"/>
              </w:rPr>
              <w:t xml:space="preserve">附千分温度计记录分析软件</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2.测温范围：-50～180℃，分辨率：0.001℃</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3.加热电流：0～2A连续可调，电流分辨率：0.0001A</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4.加热电压：0～24V连续可调，电压分辨率：0.001V</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5.加热功率显示分辨率：≤0.001W</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6.温度记录倒计时锁定功能，倒计时时间：0～120秒可设定</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7.USB通信，配套专用实验软件</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8.底置磁力搅拌或者顶置搅拌杆搅拌可选。搅拌无级调速</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9.</w:t>
            </w:r>
            <w:r>
              <w:rPr>
                <w:rFonts w:hint="eastAsia" w:ascii="Times New Roman" w:hAnsi="Times New Roman" w:eastAsia="宋体" w:cs="Times New Roman"/>
                <w:szCs w:val="21"/>
                <w:highlight w:val="none"/>
                <w:lang w:bidi="ar"/>
              </w:rPr>
              <w:t xml:space="preserve">除设备自身外，每台仪器增配1套</w:t>
            </w:r>
            <w:r>
              <w:rPr>
                <w:rFonts w:ascii="Times New Roman" w:hAnsi="Times New Roman" w:eastAsia="宋体" w:cs="Times New Roman"/>
                <w:szCs w:val="21"/>
                <w:highlight w:val="none"/>
                <w:lang w:bidi="ar"/>
              </w:rPr>
              <w:t xml:space="preserve">杜瓦瓶</w:t>
            </w:r>
            <w:r>
              <w:rPr>
                <w:rFonts w:hint="eastAsia" w:ascii="Times New Roman" w:hAnsi="Times New Roman" w:eastAsia="宋体" w:cs="Times New Roman"/>
                <w:szCs w:val="21"/>
                <w:highlight w:val="none"/>
                <w:lang w:bidi="ar"/>
              </w:rPr>
              <w:t xml:space="preserve">、</w:t>
            </w:r>
            <w:r>
              <w:rPr>
                <w:rFonts w:ascii="Times New Roman" w:hAnsi="Times New Roman" w:eastAsia="宋体" w:cs="Times New Roman"/>
                <w:szCs w:val="21"/>
                <w:highlight w:val="none"/>
                <w:lang w:bidi="ar"/>
              </w:rPr>
              <w:t xml:space="preserve">中和热专用玻璃加料器（漏斗）</w:t>
            </w:r>
            <w:r>
              <w:rPr>
                <w:rFonts w:hint="eastAsia" w:ascii="Times New Roman" w:hAnsi="Times New Roman" w:eastAsia="宋体" w:cs="Times New Roman"/>
                <w:szCs w:val="21"/>
                <w:highlight w:val="none"/>
                <w:lang w:bidi="ar"/>
              </w:rPr>
              <w:t xml:space="preserve">、溶解热加热棒、溶解热温度传感器</w:t>
            </w:r>
            <w:r>
              <w:rPr>
                <w:rFonts w:ascii="Times New Roman" w:hAnsi="Times New Roman" w:eastAsia="宋体" w:cs="Times New Roman"/>
                <w:szCs w:val="21"/>
                <w:highlight w:val="none"/>
                <w:lang w:bidi="ar"/>
              </w:rPr>
              <w:t xml:space="preserve">。</w:t>
            </w:r>
            <w:r/>
          </w:p>
        </w:tc>
        <w:tc>
          <w:tcPr>
            <w:tcW w:w="680"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套</w:t>
            </w:r>
            <w:r/>
          </w:p>
        </w:tc>
        <w:tc>
          <w:tcPr>
            <w:tcW w:w="653"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14</w:t>
            </w:r>
            <w:r/>
          </w:p>
        </w:tc>
        <w:tc>
          <w:tcPr>
            <w:tcW w:w="1217" w:type="dxa"/>
            <w:vAlign w:val="center"/>
            <w:textDirection w:val="lrTb"/>
            <w:noWrap w:val="false"/>
          </w:tcPr>
          <w:p>
            <w:pPr>
              <w:jc w:val="center"/>
              <w:spacing w:line="360" w:lineRule="exact"/>
              <w:widowControl/>
              <w:rPr>
                <w:rFonts w:ascii="Times New Roman" w:hAnsi="Times New Roman" w:eastAsia="宋体" w:cs="Times New Roman"/>
                <w:szCs w:val="24"/>
                <w:highlight w:val="none"/>
              </w:rPr>
            </w:pPr>
            <w:r>
              <w:rPr>
                <w:rFonts w:ascii="Times New Roman" w:hAnsi="Times New Roman" w:eastAsia="宋体" w:cs="Times New Roman"/>
                <w:szCs w:val="21"/>
                <w:highlight w:val="none"/>
                <w:lang w:bidi="ar"/>
              </w:rPr>
              <w:t xml:space="preserve">双液系气液平衡相图实验装置</w:t>
            </w:r>
            <w:r/>
          </w:p>
        </w:tc>
        <w:tc>
          <w:tcPr>
            <w:tcW w:w="5682" w:type="dxa"/>
            <w:vAlign w:val="center"/>
            <w:textDirection w:val="lrTb"/>
            <w:noWrap w:val="false"/>
          </w:tcPr>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测温范围：-50～180℃</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2.测温分辨率：≤0.01℃</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3.电流输出范围：0～2.4A</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4.电流分辨率：≤0.1mA</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5.电压输出范围：0～24V</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6.电压分辨率：≤0.001V</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7.温度传感器：不锈钢封装微型PT100</w:t>
            </w:r>
            <w:r>
              <w:rPr>
                <w:rFonts w:hint="eastAsia" w:ascii="Times New Roman" w:hAnsi="Times New Roman" w:eastAsia="宋体" w:cs="Times New Roman"/>
                <w:szCs w:val="21"/>
                <w:highlight w:val="none"/>
                <w:lang w:bidi="ar"/>
              </w:rPr>
              <w:t xml:space="preserve">（</w:t>
            </w:r>
            <w:r>
              <w:rPr>
                <w:rFonts w:ascii="Times New Roman" w:hAnsi="Times New Roman" w:eastAsia="宋体" w:cs="Times New Roman"/>
                <w:szCs w:val="21"/>
                <w:highlight w:val="none"/>
                <w:lang w:bidi="ar"/>
              </w:rPr>
              <w:t xml:space="preserve">￠5*190mm</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8.加热棒封装材质：304不锈钢</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9.温度计、加热电源、沸点仪支架一体设计</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10.电源：～220V±10% 50H</w:t>
            </w:r>
            <w:r>
              <w:rPr>
                <w:rFonts w:hint="eastAsia" w:ascii="Times New Roman" w:hAnsi="Times New Roman" w:eastAsia="宋体" w:cs="Times New Roman"/>
                <w:szCs w:val="21"/>
                <w:highlight w:val="none"/>
                <w:lang w:bidi="ar"/>
              </w:rPr>
              <w:t xml:space="preserve">z；</w:t>
            </w:r>
            <w:r/>
          </w:p>
          <w:p>
            <w:pPr>
              <w:jc w:val="left"/>
              <w:spacing w:line="360" w:lineRule="exact"/>
              <w:widowControl/>
              <w:rPr>
                <w:rFonts w:ascii="Times New Roman" w:hAnsi="Times New Roman" w:eastAsia="宋体" w:cs="Times New Roman"/>
                <w:szCs w:val="24"/>
                <w:highlight w:val="none"/>
              </w:rPr>
            </w:pPr>
            <w:r>
              <w:rPr>
                <w:rFonts w:ascii="Times New Roman" w:hAnsi="Times New Roman" w:eastAsia="宋体" w:cs="Times New Roman"/>
                <w:szCs w:val="21"/>
                <w:highlight w:val="none"/>
                <w:lang w:bidi="ar"/>
              </w:rPr>
              <w:t xml:space="preserve">11.环境：温度-5～50℃ 湿度≤85%</w:t>
            </w:r>
            <w:r>
              <w:rPr>
                <w:rFonts w:hint="eastAsia" w:ascii="Times New Roman" w:hAnsi="Times New Roman" w:eastAsia="宋体" w:cs="Times New Roman"/>
                <w:szCs w:val="21"/>
                <w:highlight w:val="none"/>
                <w:lang w:bidi="ar"/>
              </w:rPr>
              <w:t xml:space="preserve">；</w:t>
            </w:r>
            <w:r/>
          </w:p>
          <w:p>
            <w:pPr>
              <w:numPr>
                <w:ilvl w:val="3"/>
                <w:numId w:val="0"/>
              </w:numPr>
              <w:spacing w:line="360" w:lineRule="exact"/>
              <w:tabs>
                <w:tab w:val="left" w:pos="360" w:leader="none"/>
                <w:tab w:val="left" w:pos="2155" w:leader="none"/>
              </w:tabs>
              <w:rPr>
                <w:rFonts w:ascii="Arial" w:hAnsi="Times New Roman" w:eastAsia="黑体" w:cs="Times New Roman"/>
                <w:sz w:val="28"/>
                <w:szCs w:val="20"/>
                <w:highlight w:val="none"/>
              </w:rPr>
              <w:outlineLvl w:val="3"/>
            </w:pPr>
            <w:r>
              <w:rPr>
                <w:rFonts w:hint="eastAsia" w:ascii="Times New Roman" w:hAnsi="Times New Roman" w:eastAsia="宋体" w:cs="Times New Roman"/>
                <w:szCs w:val="21"/>
                <w:highlight w:val="none"/>
                <w:lang w:bidi="ar"/>
              </w:rPr>
              <w:t xml:space="preserve">12.除设备自身外，每台仪器增配1套沸点加热棒、沸点温度传感器、沸点仪玻璃。</w:t>
            </w:r>
            <w:r/>
          </w:p>
        </w:tc>
        <w:tc>
          <w:tcPr>
            <w:tcW w:w="680"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套</w:t>
            </w:r>
            <w:r/>
          </w:p>
        </w:tc>
        <w:tc>
          <w:tcPr>
            <w:tcW w:w="653"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15</w:t>
            </w:r>
            <w:r/>
          </w:p>
        </w:tc>
        <w:tc>
          <w:tcPr>
            <w:tcW w:w="1217" w:type="dxa"/>
            <w:vAlign w:val="center"/>
            <w:textDirection w:val="lrTb"/>
            <w:noWrap w:val="false"/>
          </w:tcPr>
          <w:p>
            <w:pPr>
              <w:jc w:val="center"/>
              <w:spacing w:line="360" w:lineRule="exact"/>
              <w:widowControl/>
              <w:rPr>
                <w:rFonts w:ascii="Times New Roman" w:hAnsi="Times New Roman" w:eastAsia="宋体" w:cs="Times New Roman"/>
                <w:szCs w:val="24"/>
                <w:highlight w:val="none"/>
              </w:rPr>
            </w:pPr>
            <w:r>
              <w:rPr>
                <w:rFonts w:ascii="Times New Roman" w:hAnsi="Times New Roman" w:eastAsia="宋体" w:cs="Times New Roman"/>
                <w:szCs w:val="21"/>
                <w:highlight w:val="none"/>
                <w:lang w:bidi="ar"/>
              </w:rPr>
              <w:t xml:space="preserve">超级恒温水浴</w:t>
            </w:r>
            <w:r/>
          </w:p>
        </w:tc>
        <w:tc>
          <w:tcPr>
            <w:tcW w:w="5682" w:type="dxa"/>
            <w:vAlign w:val="center"/>
            <w:textDirection w:val="lrTb"/>
            <w:noWrap w:val="false"/>
          </w:tcPr>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控温范围：室温~100℃，分辨率：~0.01℃</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2.控温精度：±0.05℃（低扰动环境±0.02℃）</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3.加热功率：≥1200W</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4.泵流量：≥6L/min</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5.显示：液晶显示，至少包含：设定温度、测量温度、计时、工作状态四显示</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6.电机PWM控制，电动无级调速</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7.不锈钢冲压内胆无焊缝，不存污，不漏水</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8.主体304不锈钢材料，不氧化，耐腐蚀</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9.计时范围：0～9999.9秒</w:t>
            </w:r>
            <w:r>
              <w:rPr>
                <w:rFonts w:hint="eastAsia" w:ascii="Times New Roman" w:hAnsi="Times New Roman" w:eastAsia="宋体" w:cs="Times New Roman"/>
                <w:szCs w:val="21"/>
                <w:highlight w:val="none"/>
                <w:lang w:bidi="ar"/>
              </w:rPr>
              <w:t xml:space="preserve">。</w:t>
            </w:r>
            <w:r/>
          </w:p>
        </w:tc>
        <w:tc>
          <w:tcPr>
            <w:tcW w:w="680"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台</w:t>
            </w:r>
            <w:r/>
          </w:p>
        </w:tc>
        <w:tc>
          <w:tcPr>
            <w:tcW w:w="653"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16</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精密恒温槽</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（1）实验室恒温水槽，单列四孔</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（2）跟踪报警：5℃，温度波动：±0.5 ℃</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（3）电源电压：AC220V 50Hz</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（4）控温范围：RT+5~100°C</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（5）温度精度：＜1°C</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（6）输入功率：＜1000W</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17</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纳米粒度及Zeta电位分析仪系统（配备输出装置）</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（1）粒径测试范围：0.3 nm-15 μm或更宽（依赖于样品和样品池选件）</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（2）检测角度：</w:t>
            </w:r>
            <w:r>
              <w:rPr>
                <w:rFonts w:hint="eastAsia" w:ascii="Times New Roman" w:hAnsi="Times New Roman" w:eastAsia="宋体" w:cs="Times New Roman"/>
                <w:szCs w:val="21"/>
                <w:highlight w:val="none"/>
              </w:rPr>
              <w:t xml:space="preserve">粒径检测：采用动态光散射（DLS）技术，以经典 90°侧向散射为基准检测角度，检测结果稳定、灵敏度高；允许性能等效的其他角度配置方案，实现同等测量性能。Zeta 电位检测：前向散射角检测（参考 10°～15° 范围），具备高灵敏度检测能力，允许性能等效配置。</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（3）测试时间：手动或自动</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4</w:t>
            </w:r>
            <w:r>
              <w:rPr>
                <w:rFonts w:ascii="Times New Roman" w:hAnsi="Times New Roman" w:eastAsia="宋体" w:cs="Times New Roman"/>
                <w:szCs w:val="21"/>
                <w:highlight w:val="none"/>
              </w:rPr>
              <w:t xml:space="preserve">）Zeta电位测试原理：相位分析光散射技术</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5</w:t>
            </w:r>
            <w:r>
              <w:rPr>
                <w:rFonts w:ascii="Times New Roman" w:hAnsi="Times New Roman" w:eastAsia="宋体" w:cs="Times New Roman"/>
                <w:szCs w:val="21"/>
                <w:highlight w:val="none"/>
              </w:rPr>
              <w:t xml:space="preserve">）Zeta电位测试可以提供快慢场相图结合</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6</w:t>
            </w:r>
            <w:r>
              <w:rPr>
                <w:rFonts w:ascii="Times New Roman" w:hAnsi="Times New Roman" w:eastAsia="宋体" w:cs="Times New Roman"/>
                <w:szCs w:val="21"/>
                <w:highlight w:val="none"/>
              </w:rPr>
              <w:t xml:space="preserve">）微流变测试：可以得到均方位移、复数模量、弹性模量、粘性模量、蠕变柔量（需提供证明功能界面截图，要求内容能体现满足此参数要求）</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i/>
                <w:iCs/>
                <w:szCs w:val="21"/>
                <w:highlight w:val="none"/>
                <w:u w:val="single"/>
              </w:rPr>
              <w:t xml:space="preserve">（</w:t>
            </w:r>
            <w:r>
              <w:rPr>
                <w:rFonts w:hint="eastAsia" w:ascii="Times New Roman" w:hAnsi="Times New Roman" w:eastAsia="宋体" w:cs="Times New Roman"/>
                <w:i/>
                <w:iCs/>
                <w:szCs w:val="21"/>
                <w:highlight w:val="none"/>
                <w:u w:val="single"/>
              </w:rPr>
              <w:t xml:space="preserve">7</w:t>
            </w:r>
            <w:r>
              <w:rPr>
                <w:rFonts w:ascii="Times New Roman" w:hAnsi="Times New Roman" w:eastAsia="宋体" w:cs="Times New Roman"/>
                <w:i/>
                <w:iCs/>
                <w:szCs w:val="21"/>
                <w:highlight w:val="none"/>
                <w:u w:val="single"/>
              </w:rPr>
              <w:t xml:space="preserve">）流动模式测试：具备连接FFF/GPC/SEC系统的功能，接收RI和UV检测器及触发信号，得到优于1.3倍分辨率的粒径分布结果（需要提供硬件彩页证明文件和软件截图证明文件）</w:t>
            </w:r>
            <w:r>
              <w:rPr>
                <w:rFonts w:hint="eastAsia" w:ascii="Times New Roman" w:hAnsi="Times New Roman" w:eastAsia="宋体" w:cs="Times New Roman"/>
                <w:i/>
                <w:iCs/>
                <w:szCs w:val="21"/>
                <w:highlight w:val="none"/>
                <w:u w:val="singl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8</w:t>
            </w:r>
            <w:r>
              <w:rPr>
                <w:rFonts w:ascii="Times New Roman" w:hAnsi="Times New Roman" w:eastAsia="宋体" w:cs="Times New Roman"/>
                <w:szCs w:val="21"/>
                <w:highlight w:val="none"/>
              </w:rPr>
              <w:t xml:space="preserve">）温控范围：不低于-15°C - 120°C，±0.1°C</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9</w:t>
            </w:r>
            <w:r>
              <w:rPr>
                <w:rFonts w:ascii="Times New Roman" w:hAnsi="Times New Roman" w:eastAsia="宋体" w:cs="Times New Roman"/>
                <w:szCs w:val="21"/>
                <w:highlight w:val="none"/>
              </w:rPr>
              <w:t xml:space="preserve">）检测器：APD（高性能雪崩光电二极管）</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0</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配备装置：</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 控制终端</w:t>
            </w:r>
            <w:r>
              <w:rPr>
                <w:rFonts w:ascii="Times New Roman" w:hAnsi="Times New Roman" w:eastAsia="宋体" w:cs="Times New Roman"/>
                <w:szCs w:val="21"/>
                <w:highlight w:val="none"/>
              </w:rPr>
              <w:t xml:space="preserve">：x86架构处理器，核心线程≥12核20线程，最高睿频≥4.0GHz；内存≥16G，固态硬盘≥1T，显示器≥23.8英寸。</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 增配耗材：PS样品池*200个，玻璃样品池（螺口）*2个，毛细管电极样品池*20个。</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18</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激光粒度分析仪系统（配备输出装置）</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1.主要性能</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测试范围：不低于0.1-1000 μm</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准确性重复性误差：≤1%（国家或国际标样D50偏差）</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2.主机系统 </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激光器：半导体激光器，激光器功率可调，不得使用气体激光器</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探测器：不少于80个</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光路结构：正傅里叶光路系统</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4</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对中系统：自动对中</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5</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测试窗污染检测功能：可对测试窗口污染进行预警，便于维护保养</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 分散系统</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循环系统：离心泵的循环设计，循环池体积不小于600mL，循环速度连续可调</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超声波分散系统：1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50W连续可调，具有“防干烧”设计，杯中无水时误开不会损坏</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进排水系统：具有自动进水（无需外部水压，主动吸水）、自动清洗、自动排水等功能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4</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液位检测系统：双液位检测器</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 软件系统</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具备完善的安全管理和审计追踪功能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SOP设置：通过软件可完成所有的SOP测试，自动完成进水、消泡、背景、浓度调整、测试、保存、打印、清洗等所有功能，单次最快测试时间小于10S，测试结果不受人为因素影响</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QC诊断工具：对所测试的样品可以直接出具质量检测报告并给出合格与否的判定</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4</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准确性标定及准确性验证：提供1瓶刚玉标样进行准确性标定功能；同时免费提供玻璃微珠2um和15um标样验双峰分辨力，提供玻璃微珠15um标样验证仪器的准确性。（需提供证明功能界面截图，要求内容能体现满足此参数要求）</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5</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准确性标定：具有准确性标定功能，免费提供一个工作标样，可随时验证仪器状态</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6</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PQ验证功能：仪器自带PQ验证测试流程</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 </w:t>
            </w:r>
            <w:r>
              <w:rPr>
                <w:rFonts w:hint="eastAsia" w:ascii="Times New Roman" w:hAnsi="Times New Roman" w:eastAsia="宋体" w:cs="Times New Roman"/>
                <w:szCs w:val="21"/>
                <w:highlight w:val="none"/>
              </w:rPr>
              <w:t xml:space="preserve">控制终端</w:t>
            </w:r>
            <w:r>
              <w:rPr>
                <w:rFonts w:ascii="Times New Roman" w:hAnsi="Times New Roman" w:eastAsia="宋体" w:cs="Times New Roman"/>
                <w:szCs w:val="21"/>
                <w:highlight w:val="none"/>
              </w:rPr>
              <w:t xml:space="preserve">：x86架构处理器，核心线程≥12核20线程，最高睿频≥4.0GHz；内存≥16G，固态硬盘≥1T，显示器≥23.8英寸</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6.除设备自身外，增配一套样品池，密封垫，颗粒度标准样品，样品池刷，湿法管路清洗剂，硅胶管（泵）。</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19</w:t>
            </w:r>
            <w:r/>
          </w:p>
        </w:tc>
        <w:tc>
          <w:tcPr>
            <w:tcW w:w="1217" w:type="dxa"/>
            <w:vAlign w:val="center"/>
            <w:textDirection w:val="lrTb"/>
            <w:noWrap w:val="false"/>
          </w:tcPr>
          <w:p>
            <w:pPr>
              <w:jc w:val="center"/>
              <w:spacing w:line="360" w:lineRule="exact"/>
              <w:widowControl/>
              <w:rPr>
                <w:rFonts w:ascii="Times New Roman" w:hAnsi="Times New Roman" w:eastAsia="宋体" w:cs="Times New Roman"/>
                <w:szCs w:val="24"/>
                <w:highlight w:val="none"/>
              </w:rPr>
            </w:pPr>
            <w:r>
              <w:rPr>
                <w:rFonts w:ascii="Times New Roman" w:hAnsi="Times New Roman" w:eastAsia="宋体" w:cs="Times New Roman"/>
                <w:szCs w:val="21"/>
                <w:highlight w:val="none"/>
                <w:lang w:bidi="ar"/>
              </w:rPr>
              <w:t xml:space="preserve">高聚物摩尔质量测定实验装置</w:t>
            </w:r>
            <w:r/>
          </w:p>
        </w:tc>
        <w:tc>
          <w:tcPr>
            <w:tcW w:w="5682" w:type="dxa"/>
            <w:vAlign w:val="center"/>
            <w:textDirection w:val="lrTb"/>
            <w:noWrap w:val="false"/>
          </w:tcPr>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控温范围：室温~100℃（可扩展180℃）；</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2.控温精度：±0.05℃（低扰动环境±0.02℃）；</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3.分辨率：≤0.01℃；</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4.加热功率：≥1200W；</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5.玻璃缸尺寸：~Φ300×300mm</w:t>
            </w:r>
            <w:r>
              <w:rPr>
                <w:rFonts w:hint="eastAsia" w:ascii="Times New Roman" w:hAnsi="Times New Roman" w:eastAsia="宋体" w:cs="Times New Roman"/>
                <w:szCs w:val="21"/>
                <w:highlight w:val="none"/>
                <w:lang w:bidi="ar"/>
              </w:rPr>
              <w:t xml:space="preserve">（</w:t>
            </w:r>
            <w:r>
              <w:rPr>
                <w:rFonts w:ascii="Times New Roman" w:hAnsi="Times New Roman" w:eastAsia="宋体" w:cs="Times New Roman"/>
                <w:szCs w:val="21"/>
                <w:highlight w:val="none"/>
                <w:lang w:bidi="ar"/>
              </w:rPr>
              <w:t xml:space="preserve">可根据要求定制）；</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6.显示：液晶显示，至少包含设定温度、测量温度、计时、工作状态四显示；</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7.全304不锈钢结构：壳体、上盘、加热器、搅拌器全不锈钢；</w:t>
            </w:r>
            <w:r>
              <w:rPr>
                <w:rFonts w:ascii="Times New Roman" w:hAnsi="Times New Roman" w:eastAsia="宋体" w:cs="Times New Roman"/>
                <w:szCs w:val="21"/>
                <w:highlight w:val="none"/>
                <w:lang w:bidi="ar"/>
              </w:rPr>
              <w:br/>
            </w:r>
            <w:r>
              <w:rPr>
                <w:rFonts w:ascii="Times New Roman" w:hAnsi="Times New Roman" w:eastAsia="宋体" w:cs="Times New Roman"/>
                <w:szCs w:val="21"/>
                <w:highlight w:val="none"/>
                <w:lang w:bidi="ar"/>
              </w:rPr>
              <w:t xml:space="preserve">8.电机PWM控制，电动无级调速；</w:t>
            </w:r>
            <w:r/>
          </w:p>
          <w:p>
            <w:pPr>
              <w:jc w:val="left"/>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9.</w:t>
            </w:r>
            <w:r>
              <w:rPr>
                <w:rFonts w:hint="eastAsia" w:ascii="Times New Roman" w:hAnsi="Times New Roman" w:eastAsia="宋体" w:cs="Times New Roman"/>
                <w:szCs w:val="21"/>
                <w:highlight w:val="none"/>
                <w:lang w:bidi="ar"/>
              </w:rPr>
              <w:t xml:space="preserve">除设备自身外，每台仪器增配1套乌氏粘度计及配套支架。</w:t>
            </w:r>
            <w:r/>
          </w:p>
        </w:tc>
        <w:tc>
          <w:tcPr>
            <w:tcW w:w="680"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套</w:t>
            </w:r>
            <w:r/>
          </w:p>
        </w:tc>
        <w:tc>
          <w:tcPr>
            <w:tcW w:w="653"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20</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玻璃观察窗</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（1）开窗洞；</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（2）修复墙面；</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（3）钢化玻璃：3170*1400mm；</w:t>
            </w:r>
            <w:r>
              <w:rPr>
                <w:rFonts w:hint="eastAsia" w:ascii="Times New Roman" w:hAnsi="Times New Roman" w:eastAsia="宋体" w:cs="Times New Roman"/>
                <w:szCs w:val="21"/>
                <w:highlight w:val="none"/>
              </w:rPr>
              <w:t xml:space="preserve">≥8mm单层钢化玻璃，具有隔音、防爆、高透光性。</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（4）不锈钢窗框包边；清洁窗框安装面、玻璃安装、安装密封条‌、填充密封胶‌。</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面</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21</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玻璃展示柜</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（1）尺寸：120×40×90cm；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（2）包安装；</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（3）具有射灯。</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个</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22</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全谱电感耦合等离子体原子发射光谱仪（配备输出装置）</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（1）仪器工作环境；</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1.工作环境温度</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18~24℃ </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温度变化 &lt; 2℃/h</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2.工作环境湿度</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20~80</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%R.H. </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无冷凝</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3.氩气纯度：不小于99.995%；</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4.排风：不小于400立方米/小时</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（2）进样系统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1.雾化器</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高效同心雾化器或平行通道雾化器，保证仪器高灵敏度的同时具有良好的耐盐特性，可选标准雾化器、高盐雾化器、耐氢氟酸雾化器；</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2.雾室</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雾室为高效稳定的旋流型雾室并可选配Scott双通道石英或耐HF雾化室，同时可选配半导体温控装置，保证仪器良好的稳定性</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3.炬管</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配备电感线圈为3匝，垂直放置的一体式炬管，可选配可拆卸式矩管；矩管可灵活拆装</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气路快插拔设计，方便清洗维护</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中心管可选0.8mm、1.5mm、2.0mm；</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 蠕动泵：配备4通道12滚轮蠕动泵，可选配5 通道12 滚轮蠕动泵，分别用于样品、废液、内标或稀释剂、氢化物发生器等辅助试剂</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 泵速连续可调，确保样品导入稳定性，具有快速清洗功能；蠕动泵滚轮采用非金属耐腐蚀材料，保证长寿命平稳运行</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5.气路：气路部分均采用高精度的质量流量计控制，流量连续可调；同时可扩展氧气辅助有机进样系统，防止碳沉积；可扩展Ar，实现氩气加湿，提升仪器耐盐度</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氩气消耗量：8L/min~18L/min</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冷却气：0.00L/min~20.00L/min，精度0.01L/min</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辅助气：0.00L/min~2.00L/min，精度0.01L/min</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载气：0.00L/min~2.00L/min，精度0.01L/min</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6.仪器可配备系列经过优化的进样系统，可用于有机溶剂、高盐/复杂基体样品、含氢氟酸等样品的测试</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（3）等离子源</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固态光源技术，样品适应性好，频率27.12MHz，它激式全固态RF发生器，功率500-1600W步进1W连续可调，耦合效率大于85%，功率稳定性≤0.1%，RF频率稳定性：≤0.01%；一键式点火，熄火操作；保证电磁场泄露辐射强度：&lt;0.5V/m（提供技术证明文件）</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 光学系统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1.光栅：中阶梯光栅，52.67g/mm，闪耀角63.5°</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i/>
                <w:iCs/>
                <w:szCs w:val="21"/>
                <w:highlight w:val="none"/>
                <w:u w:val="single"/>
              </w:rPr>
            </w:pPr>
            <w:r>
              <w:rPr>
                <w:rFonts w:ascii="Times New Roman" w:hAnsi="Times New Roman" w:eastAsia="宋体" w:cs="Times New Roman"/>
                <w:i/>
                <w:iCs/>
                <w:szCs w:val="21"/>
                <w:highlight w:val="none"/>
                <w:u w:val="single"/>
              </w:rPr>
              <w:t xml:space="preserve">2.棱镜：采用超纯CaF2材料 （提供技术证明文件）</w:t>
            </w:r>
            <w:r>
              <w:rPr>
                <w:rFonts w:hint="eastAsia" w:ascii="Times New Roman" w:hAnsi="Times New Roman" w:eastAsia="宋体" w:cs="Times New Roman"/>
                <w:i/>
                <w:iCs/>
                <w:szCs w:val="21"/>
                <w:highlight w:val="none"/>
                <w:u w:val="singl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3.分析谱线范围：165nm-950nm</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▲4焦距：≥400mm（提供技术证明文件）</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5.分辨率：≤0.007nm@200nm</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6.杂散光：10000</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μg/ml的Ca溶液在As189.042nm处的等效背景浓度&lt;2ug/m</w:t>
            </w:r>
            <w:r>
              <w:rPr>
                <w:rFonts w:hint="eastAsia" w:ascii="Times New Roman" w:hAnsi="Times New Roman" w:eastAsia="宋体" w:cs="Times New Roman"/>
                <w:szCs w:val="21"/>
                <w:highlight w:val="none"/>
              </w:rPr>
              <w:t xml:space="preserve">L；</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▲7.光室恒温：高精度恒温38℃±0.1℃（需提供证明功能界面截图，要求内容能体现满足此参数要求）</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8.光室充气：多点充气技术，小流量吹扫1</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L/min，大流量吹扫4L/min；无需使用真空泵，避免真空返油，污染光室；</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9只需要使用背景光谱即可完成谱线飘移校准，无需额外的氖灯、汞灯等光源设备</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（5）检测器</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▲1.采用高效半导体制冷的大面积背照式CCD检测器，能任意选择波长，全谱段响应，且具有防溢出功能设计，高紫外量子化效率；</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 检测器表面无任何光转换化学涂膜，不会因为涂层老化而导致检测器损坏更换；量子化效率不低于75%，具有极宽的动态范围和极快的信号处理速度</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3.检测单元：像面尺寸：25.4mm x 25.4mm；CCD像素：1024x 1024；单像素面积：24μm x 24μm；一次曝光，完成全谱光谱信号的采集读取，从而获得更为快速、准确的分析结果</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4.冷却系统：高效的三级半导体制冷，制冷温度：≤-35℃，稳定时间&lt;3分钟；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5.智能化积分设计：针对低含量的元素和高含量元素智能调整积分时间，拓宽动态范围，使高低含量元素可以同时检测，避免试样反复稀释</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（6）分析软件</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1.全中文界面，支持中、英、俄等多语言，人性化的界面设计，流畅易懂，简便易用，针对分析应用优化的软件系统，无须复杂的方法开发，即可快速开展分析操作。具有定性、半定量、定量分析功能；</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2.多窗口多方法分析程序，可同时测量、编辑、查看不同的方法数据。</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▲3.软件谱线库不少于7万多条谱线库，智能提示潜在干扰元素，帮助用户合理选择分析谱线（提供软件截图）</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4.软件提供多样化的标准系列编辑模式，支持先测试后设置标准、</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三明治</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方法测试样品等多种曲线校准模式。</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5.软件支持标准曲线法、标准加入法等分析方法，具有扣除空白、内标校正、IEC干扰校正等多种数据处理方法。</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6.轻松的观测方式设置，直观的测试结果显示，具有多种报表输出格式。</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7.具有仪器校准功能，支持光源优化等功能，方便用户日常维护；可选配等离子体监视摄像头，实时观测等离子体状态</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 具有登录口令保护，保护数据安全。</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9.可配置审计追踪功能和3Q认证文件。</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（1）仪器性能要求</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1.短期稳定性：RSD≤0.5%</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2.长期稳定性：RSD≤1.0%</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3.谱线的线性动态范围：≥105（以Mn</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257.6</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nm测定，相关系数≥0.999）</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5.检出限：（ug/L，按JJG 768-2005要求测定）Zn213.856-1、Ni231.604-2、Mn257.610-0.2、 Cr267.716-1、Cu324.754-1、Ba455.403-0.2。</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（7）配套设备及其他</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控制终端</w:t>
            </w:r>
            <w:r>
              <w:rPr>
                <w:rFonts w:ascii="Times New Roman" w:hAnsi="Times New Roman" w:eastAsia="宋体" w:cs="Times New Roman"/>
                <w:szCs w:val="21"/>
                <w:highlight w:val="none"/>
              </w:rPr>
              <w:t xml:space="preserve">：x86架构处理器，核心线程≥12核20线程，最高睿频≥4.0GHz；内存≥16G，固态硬盘≥1T，显示器≥23.8英寸</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2.黑白激光打印机；</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3.智能循环冷却水装置（制冷量≥3.27</w:t>
            </w:r>
            <w:r>
              <w:rPr>
                <w:rFonts w:hint="eastAsia" w:ascii="Times New Roman" w:hAnsi="Times New Roman" w:eastAsia="宋体" w:cs="Times New Roman"/>
                <w:szCs w:val="21"/>
                <w:highlight w:val="none"/>
              </w:rPr>
              <w:t xml:space="preserve">k</w:t>
            </w:r>
            <w:r>
              <w:rPr>
                <w:rFonts w:ascii="Times New Roman" w:hAnsi="Times New Roman" w:eastAsia="宋体" w:cs="Times New Roman"/>
                <w:szCs w:val="21"/>
                <w:highlight w:val="none"/>
              </w:rPr>
              <w:t xml:space="preserve">W）、配有水管（白色透明）10m" 、稳压电源</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5kVA</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、稳压电源用三芯电缆线5米；</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4.</w:t>
            </w:r>
            <w:r>
              <w:rPr>
                <w:rFonts w:ascii="Times New Roman" w:hAnsi="Times New Roman" w:eastAsia="宋体" w:cs="Times New Roman"/>
                <w:szCs w:val="21"/>
                <w:highlight w:val="none"/>
              </w:rPr>
              <w:t xml:space="preserve">U盘（包含安装软件和操作视频）；</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5.除仪器自身外，增配2套标准玻璃进样系统，减压阀，无机溶剂进样蠕动泵管，无机溶剂排液蠕动泵管，气路气管（白色透明6mm x 4mm），气路气管（白色透明6mm x 3mm），进样毛细管（1米/根），排液毛细管（1米/根）；</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w:t>
            </w:r>
            <w:r>
              <w:rPr>
                <w:rFonts w:ascii="Times New Roman" w:hAnsi="Times New Roman" w:eastAsia="宋体" w:cs="Times New Roman"/>
                <w:szCs w:val="21"/>
                <w:highlight w:val="none"/>
              </w:rPr>
              <w:t xml:space="preserve">.标配气瓶柜</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23</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显微熔点仪</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（1）测量范围：室温~320°C</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（2）测量方法：目视</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（3）放大镜倍数：＞40x</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（4）测量模式：毛细管法、热台法</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（5）最小示值：＜1℃</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（6）观察方式：单目显微镜</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（7）每台仪器配备1套毛细管、盖玻片。</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24</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移液枪100</w:t>
            </w:r>
            <w:r>
              <w:rPr>
                <w:rFonts w:ascii="Symbol" w:hAnsi="Symbol" w:eastAsia="Symbol" w:cs="Symbol"/>
                <w:szCs w:val="24"/>
                <w:highlight w:val="none"/>
              </w:rPr>
              <w:t xml:space="preserve">m</w:t>
            </w:r>
            <w:r>
              <w:rPr>
                <w:rFonts w:ascii="Times New Roman" w:hAnsi="Times New Roman" w:eastAsia="宋体" w:cs="Times New Roman"/>
                <w:szCs w:val="24"/>
                <w:highlight w:val="none"/>
              </w:rPr>
              <w:t xml:space="preserve">l</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（1）移液枪100</w:t>
            </w:r>
            <w:r>
              <w:rPr>
                <w:rFonts w:hint="eastAsia" w:ascii="Times New Roman" w:hAnsi="Times New Roman" w:eastAsia="宋体" w:cs="Times New Roman"/>
                <w:szCs w:val="21"/>
                <w:highlight w:val="none"/>
              </w:rPr>
              <w:t xml:space="preserve"> </w:t>
            </w:r>
            <w:r>
              <w:rPr>
                <w:rFonts w:ascii="Symbol" w:hAnsi="Symbol" w:eastAsia="Symbol" w:cs="Symbol"/>
                <w:szCs w:val="21"/>
                <w:highlight w:val="none"/>
              </w:rPr>
              <w:t xml:space="preserve">m</w:t>
            </w:r>
            <w:r>
              <w:rPr>
                <w:rFonts w:hint="eastAsia" w:ascii="Times New Roman" w:hAnsi="Times New Roman" w:eastAsia="宋体" w:cs="Times New Roman"/>
                <w:szCs w:val="21"/>
                <w:highlight w:val="none"/>
              </w:rPr>
              <w:t xml:space="preserve">L1支</w:t>
            </w:r>
            <w:r>
              <w:rPr>
                <w:rFonts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（2）含配套同品牌枪头96支/盒；</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（3）顶部旋转式按钮帽，确保移液流畅，避免手指摩擦导致的液量改变；</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（4）底部彩色转盘，易于液量调节，可单手操作；</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（5）配备清晰的移液量程显示屏。</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套</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25</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移液枪200</w:t>
            </w:r>
            <w:r>
              <w:rPr>
                <w:rFonts w:ascii="Symbol" w:hAnsi="Symbol" w:eastAsia="Symbol" w:cs="Symbol"/>
                <w:szCs w:val="24"/>
                <w:highlight w:val="none"/>
              </w:rPr>
              <w:t xml:space="preserve">m</w:t>
            </w:r>
            <w:r>
              <w:rPr>
                <w:rFonts w:ascii="Times New Roman" w:hAnsi="Times New Roman" w:eastAsia="宋体" w:cs="Times New Roman"/>
                <w:szCs w:val="24"/>
                <w:highlight w:val="none"/>
              </w:rPr>
              <w:t xml:space="preserve">l</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（1）移液枪200</w:t>
            </w:r>
            <w:r>
              <w:rPr>
                <w:rFonts w:hint="eastAsia" w:ascii="Times New Roman" w:hAnsi="Times New Roman" w:eastAsia="宋体" w:cs="Times New Roman"/>
                <w:szCs w:val="21"/>
                <w:highlight w:val="none"/>
              </w:rPr>
              <w:t xml:space="preserve"> </w:t>
            </w:r>
            <w:r>
              <w:rPr>
                <w:rFonts w:ascii="Symbol" w:hAnsi="Symbol" w:eastAsia="Symbol" w:cs="Symbol"/>
                <w:szCs w:val="21"/>
                <w:highlight w:val="none"/>
              </w:rPr>
              <w:t xml:space="preserve">m</w:t>
            </w:r>
            <w:r>
              <w:rPr>
                <w:rFonts w:ascii="Times New Roman" w:hAnsi="Times New Roman" w:eastAsia="宋体" w:cs="Times New Roman"/>
                <w:szCs w:val="21"/>
                <w:highlight w:val="none"/>
              </w:rPr>
              <w:t xml:space="preserve">l</w:t>
            </w:r>
            <w:r>
              <w:rPr>
                <w:rFonts w:hint="eastAsia" w:ascii="Times New Roman" w:hAnsi="Times New Roman" w:eastAsia="宋体" w:cs="Times New Roman"/>
                <w:szCs w:val="21"/>
                <w:highlight w:val="none"/>
              </w:rPr>
              <w:t xml:space="preserve">1</w:t>
            </w:r>
            <w:r>
              <w:rPr>
                <w:rFonts w:ascii="Times New Roman" w:hAnsi="Times New Roman" w:eastAsia="宋体" w:cs="Times New Roman"/>
                <w:szCs w:val="21"/>
                <w:highlight w:val="none"/>
              </w:rPr>
              <w:t xml:space="preserve">支；</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（2）含配套同品牌枪头96支/盒；</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（3）顶部旋转式按钮帽，确保移液流畅，避免手指摩擦导致的液量改变；</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（4）底部彩色转盘，易于液量调节，可单手操作；</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（5）配备清晰的移液量程显示屏。</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套</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26</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移液枪1ml</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（1）移液枪1</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m</w:t>
            </w:r>
            <w:r>
              <w:rPr>
                <w:rFonts w:hint="eastAsia" w:ascii="Times New Roman" w:hAnsi="Times New Roman" w:eastAsia="宋体" w:cs="Times New Roman"/>
                <w:szCs w:val="21"/>
                <w:highlight w:val="none"/>
              </w:rPr>
              <w:t xml:space="preserve">L1</w:t>
            </w:r>
            <w:r>
              <w:rPr>
                <w:rFonts w:ascii="Times New Roman" w:hAnsi="Times New Roman" w:eastAsia="宋体" w:cs="Times New Roman"/>
                <w:szCs w:val="21"/>
                <w:highlight w:val="none"/>
              </w:rPr>
              <w:t xml:space="preserve">支；</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（2）含配套同品牌枪头96支/盒；</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（3）顶部旋转式按钮帽，确保移液流畅，避免手指摩擦导致的液量改变；</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（4）底部彩色转盘，易于液量调节，可单手操作；</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（5）配备清晰的移液量程显示屏。</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套</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27</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移液枪5ml</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（1）移液枪5</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m</w:t>
            </w:r>
            <w:r>
              <w:rPr>
                <w:rFonts w:hint="eastAsia" w:ascii="Times New Roman" w:hAnsi="Times New Roman" w:eastAsia="宋体" w:cs="Times New Roman"/>
                <w:szCs w:val="21"/>
                <w:highlight w:val="none"/>
              </w:rPr>
              <w:t xml:space="preserve">L1</w:t>
            </w:r>
            <w:r>
              <w:rPr>
                <w:rFonts w:ascii="Times New Roman" w:hAnsi="Times New Roman" w:eastAsia="宋体" w:cs="Times New Roman"/>
                <w:szCs w:val="21"/>
                <w:highlight w:val="none"/>
              </w:rPr>
              <w:t xml:space="preserve">支；</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（2）含配套同品牌枪头54支/盒；</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（3）顶部旋转式按钮帽，确保移液流畅，避免手指摩擦导致的液量改变；</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（4）底部彩色转盘，易于液量调节，可单手操作；</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（5）配备清晰的移液量程显示屏。</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套</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28</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移液枪10ml</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（1）移液枪10</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m</w:t>
            </w:r>
            <w:r>
              <w:rPr>
                <w:rFonts w:hint="eastAsia" w:ascii="Times New Roman" w:hAnsi="Times New Roman" w:eastAsia="宋体" w:cs="Times New Roman"/>
                <w:szCs w:val="21"/>
                <w:highlight w:val="none"/>
              </w:rPr>
              <w:t xml:space="preserve">L1</w:t>
            </w:r>
            <w:r>
              <w:rPr>
                <w:rFonts w:ascii="Times New Roman" w:hAnsi="Times New Roman" w:eastAsia="宋体" w:cs="Times New Roman"/>
                <w:szCs w:val="21"/>
                <w:highlight w:val="none"/>
              </w:rPr>
              <w:t xml:space="preserve">支；</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（2）含配套同品牌枪头24支/盒；</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（3）含配套同品牌移液枪枪架1套；</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（4）顶部旋转式按钮帽，确保移液流畅，避免手指摩擦导致的液量改变；</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（5）底部彩色转盘，易于液量调节，可单手操作；</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（6）配备清晰的移液量程显示屏。</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套</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29</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仪器柜</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（1）外尺寸：≤1800*850*390mm</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（2）容积：＞400</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L</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（3）双门</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（4）可调层板：3-4块</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个</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30</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电动搅拌器</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（1）容量：20-25 L</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（2）转速范围：100-2000 rpm</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（3）升降行程：</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360mm（不包括搅拌桨长度）</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31</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电子调温磁力搅拌电热套</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（1）容量不小于250</w:t>
            </w:r>
            <w:r>
              <w:rPr>
                <w:rFonts w:hint="eastAsia" w:ascii="Times New Roman" w:hAnsi="Times New Roman" w:eastAsia="宋体" w:cs="Times New Roman"/>
                <w:szCs w:val="21"/>
                <w:highlight w:val="none"/>
              </w:rPr>
              <w:t xml:space="preserve"> mL；</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（2）功率不小于216W</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（3）电源满足~220V，50Hz</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（4）控温精度需满足+3°C</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（5）控温方式需支持无极调压，可控硅控制</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（6）加热温度需满足表面温度最高380°C</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（7）绝缘层满足无碱玻璃纤维，可耐温450度</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（8）绝缘系数满足相对湿度≤35%时≥500兆</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（9）保温层宜采用硅酸铝棉真空定型环保保温体</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32</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超低温冰箱</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1.工作条件：环境温度10～32℃，相对湿度:≤83%RH，工作电压：198～242V，频率：50±1Hz</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2.温度范围：-40℃～-86℃可调节，控温精度0.1℃</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3.样式：立式，有效容积100L±10%，标配4*3规格冻存架6组及配套2英寸标准冻存盒；可置于820mm试验台下，节省实验室空间；可双机堆叠，使用更灵活，适用于个人专属样本存储场景；</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控制界面：采用不低于10英寸触摸屏（分辨率不低于800*1280px），动态显示箱内温度、设定温度、环境温度、报警状态、当前时间、WiFi网络连接、蓝牙连接、登录用户等信息，具备存取管理、数据查看、数据曲线、设置管理、留言板等至少3种功能模块</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4.1 报警管理功能：可以查看报警内容、报警发生时间、解除时间、查看报警时间；可对报警时间及日期进行筛选</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4.2 数据查看：可查看历史运行数据、历史操作记录（登录/登出、添加/修改用户、导出、温度/报警设置、开锁、打印、开门/关门）、历史报警记录、导出数据、打印数据（连接蓝牙打印机）；</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4.3 设置管理：温度设置可通过滑动滑杆修改设定温度/点击温度值修改设定温度，℃（摄氏温标）/℉（华式温标）温标可切换；报警设置滑动滑杆/点击数值输入，可设置高温/低温/环温报警值；用户管理可添加/修改/创建用户；系统设置可调整设备亮度/无操作自动息屏时间/自动回到主界面时间/音量大小/报警音/日期时间/用户自动登出时间/语言；网络设置可设置Wi-Fi连接，链接无线网络；</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报警功能：包括但不限于数据通讯故障、箱门打开超时、环温传感器故障、冷凝传感器故障、温度传感器故障、箱内高温、箱内低温、冷凝器高温、环温高温、低电量、电池电量检测、断电等多种报警，物品存储更安全</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报警方式：包括但不限于声音蜂鸣、LED灯带变色、运行状态指示圈变色报警、微信小程序报警（选配）、短信报警（选配）；配置运行状态指示圈，正常运行时，液晶屏温度显示外圈为蓝绿渐变色，温度异常时，温度外圈颜色变成红橙渐变色</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7.运行保护：具备开机延时、停机间隔、断电记忆、过载保护空气开关；屏幕锁定和密码保护功能，防止随意调整运行参数</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w:t>
            </w:r>
            <w:r>
              <w:rPr>
                <w:rFonts w:hint="eastAsia" w:ascii="Times New Roman" w:hAnsi="Times New Roman" w:eastAsia="宋体" w:cs="Times New Roman"/>
                <w:szCs w:val="21"/>
                <w:highlight w:val="none"/>
              </w:rPr>
              <w:t xml:space="preserve">制冷系统：配置高效变频压缩机、低噪音风机；压缩机具备高效变频运行特性，风机运行噪声低，满足设备整机温控及散热需求。</w:t>
            </w:r>
            <w:r>
              <w:rPr>
                <w:rFonts w:ascii="Times New Roman" w:hAnsi="Times New Roman" w:eastAsia="宋体" w:cs="Times New Roman"/>
                <w:szCs w:val="21"/>
                <w:highlight w:val="none"/>
              </w:rPr>
              <w:t xml:space="preserve">冷凝器散热风机可根据压缩机运行状态智能开停。使用碳氢成分制冷剂，制冷剂用量应符合国家安全标准，单制冷系统可燃制冷剂灌注量≤150g；</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9.产品标识：根据《低温保存箱》GB/T 20154-2024国家标准，低温保存箱铭牌上标注制冷剂的详细名称及装入量</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10.整机能耗：功率≤400W；依据CQC6104-2016规定的检测方法进行检测及《低温保存箱》国家标准GB/T20154-2024规定的检测方法，节能评价值≤5 kW.h/24h，插值法计算-75℃温度下的耗电量≤5 kW.h/24h。</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11.温度均匀性：按照《低温保存箱》国家标准GB/T20154-2024规定的检测方法，温度均匀性≤2℃、波动度≤2℃</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12.降温时间：依据《医用冷冻保存箱》YY/T1757-2021规定的测试方法，空载降温到-80℃时间≤110分钟。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13.保温材料：采用高性能VIP真空绝热材料，VIP保温板厚度≥20mm</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大幅提升保温效果</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14. 保温性能：按照《低温保存箱》国家标准GB/T20154-2024规定的检测方法，空载稳定运行断电后，温度恢复至-50℃时间≥200分钟。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15.开门恢复时间：按照《低温保存箱》国家标准GB/T20154-2024规定的检测方法，实测值≤15分钟。</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16.把手设计：一体式手把门锁设计，单手实现开关门，可同时使用暗锁；</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17.</w:t>
            </w:r>
            <w:r>
              <w:rPr>
                <w:rFonts w:hint="eastAsia" w:ascii="Times New Roman" w:hAnsi="Times New Roman" w:eastAsia="宋体" w:cs="Times New Roman"/>
                <w:szCs w:val="21"/>
                <w:highlight w:val="none"/>
              </w:rPr>
              <w:t xml:space="preserve">箱体材质：箱体采用冷轧钢板，经防腐磷化、喷涂，抗过氧化氢、臭氧腐蚀，抗腐蚀性通过第三方检测机构检测。内胆采用镀锌板喷涂，使用寿命长，清洗方便。</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18.噪音值：按照《低温保存箱》国家标准GB/T20154-2024规定的检测方法，整机运行噪音≤45dB（A）。</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19.测试孔：标配1个温度测试孔，孔径25mm，方便温度探头采集箱内温度</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20.配套软件：</w:t>
            </w:r>
            <w:r>
              <w:rPr>
                <w:rFonts w:hint="eastAsia" w:ascii="Times New Roman" w:hAnsi="Times New Roman" w:eastAsia="宋体" w:cs="Times New Roman"/>
                <w:szCs w:val="21"/>
                <w:highlight w:val="none"/>
              </w:rPr>
              <w:t xml:space="preserve">标配单机版样本管理软件及触摸屏操作软件，软件需符合国内实验室通用数据管理、信息安全及数据溯源规范，具备实验数据完整记录、存储、查询、留存及安全管控功能，满足高校常规理化实验室使用需求，同等性能标准的各类软件系统均可适配。</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21.后备电池：采用12V蓄电池，断电状态电池可持续温度报警和为USB端口供电。电池通过振动、压差、漏液抽检测试；</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22.标配USB接口，可用于记录、导出箱内温度数据、运行曲线及操作记录等数据，实现数据的可追溯性，数据可长达10年以上。标配RS485数据接口、远程报警接口，实现数据通讯。</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33</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箱式电阻炉</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（1）炉膛材料采用高纯氧化铝纤维，能最大程度减少能量损失</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（2）炉膛表面涂有高温氧化铝涂层可以提高加热效率和使用寿命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（3）炉膛内置进气和排气口，可去除不良污染物和湿气，延长加热元件和炉膛的使用寿命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（4）带有过热和断偶保护，并设有开门断电功能</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（5）炉膛内三面加热，加热速率快，温场均匀</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（6）高纯硅钼棒，工作寿命长，炉温均匀性良好。</w:t>
            </w:r>
            <w:r>
              <w:rPr>
                <w:rFonts w:hint="eastAsia" w:ascii="Times New Roman" w:hAnsi="Times New Roman" w:eastAsia="宋体" w:cs="Times New Roman"/>
                <w:szCs w:val="21"/>
                <w:highlight w:val="none"/>
              </w:rPr>
              <w:t xml:space="preserve">全系列标配程序控温仪表，配置高精度传感器；配备调压模块与全铜芯变压器，炉温控制稳定、控温精度高；传感器、调压模块需满足本设备温控使用性能要求；</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（7）漏电保护、热电偶故障，开门断电，超温保护，超温声光报警灯多项安全防护措施，确保实验安全</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（8）标配隔热手套、坩埚钳、氧化铝承烧板</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（9）使用温度范围：最高1600℃</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长期最高连续使用温度1500℃</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（10）温度精度：±1</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（11）温度分辨率：1℃</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（12）控温仪：程序控温LED数码显示 P型</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程序控温LCD液晶显示。</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34</w:t>
            </w:r>
            <w:r/>
          </w:p>
        </w:tc>
        <w:tc>
          <w:tcPr>
            <w:tcW w:w="1217" w:type="dxa"/>
            <w:vAlign w:val="center"/>
            <w:textDirection w:val="lrTb"/>
            <w:noWrap w:val="false"/>
          </w:tcPr>
          <w:p>
            <w:pPr>
              <w:jc w:val="center"/>
              <w:spacing w:line="360" w:lineRule="exact"/>
              <w:widowControl/>
              <w:rPr>
                <w:rFonts w:ascii="Times New Roman" w:hAnsi="Times New Roman" w:eastAsia="宋体" w:cs="Times New Roman"/>
                <w:szCs w:val="24"/>
                <w:highlight w:val="none"/>
              </w:rPr>
            </w:pPr>
            <w:r>
              <w:rPr>
                <w:rFonts w:ascii="Times New Roman" w:hAnsi="Times New Roman" w:eastAsia="宋体" w:cs="Times New Roman"/>
                <w:szCs w:val="21"/>
                <w:highlight w:val="none"/>
                <w:lang w:bidi="ar"/>
              </w:rPr>
              <w:t xml:space="preserve">1100℃迷你型箱式炉</w:t>
            </w:r>
            <w:r/>
          </w:p>
        </w:tc>
        <w:tc>
          <w:tcPr>
            <w:tcW w:w="5682" w:type="dxa"/>
            <w:vAlign w:val="center"/>
            <w:textDirection w:val="lrTb"/>
            <w:noWrap w:val="false"/>
          </w:tcPr>
          <w:p>
            <w:pPr>
              <w:jc w:val="left"/>
              <w:spacing w:line="360" w:lineRule="exact"/>
              <w:widowControl/>
              <w:rPr>
                <w:rFonts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（1）</w:t>
            </w:r>
            <w:r>
              <w:rPr>
                <w:rFonts w:ascii="Times New Roman" w:hAnsi="Times New Roman" w:eastAsia="宋体" w:cs="Times New Roman"/>
                <w:szCs w:val="21"/>
                <w:highlight w:val="none"/>
                <w:lang w:bidi="ar"/>
              </w:rPr>
              <w:t xml:space="preserve">基本参数</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电源：AC220V/50H</w:t>
            </w:r>
            <w:r>
              <w:rPr>
                <w:rFonts w:hint="eastAsia" w:ascii="Times New Roman" w:hAnsi="Times New Roman" w:eastAsia="宋体" w:cs="Times New Roman"/>
                <w:szCs w:val="21"/>
                <w:highlight w:val="none"/>
                <w:lang w:bidi="ar"/>
              </w:rPr>
              <w:t xml:space="preserve">z；</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额定功率：≤1.2KW</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加热区尺寸：</w:t>
            </w:r>
            <w:r>
              <w:rPr>
                <w:rFonts w:hint="eastAsia" w:ascii="Times New Roman" w:hAnsi="Times New Roman" w:eastAsia="宋体" w:cs="Times New Roman"/>
                <w:szCs w:val="21"/>
                <w:highlight w:val="none"/>
                <w:lang w:bidi="ar"/>
              </w:rPr>
              <w:t xml:space="preserve">~</w:t>
            </w:r>
            <w:r>
              <w:rPr>
                <w:rFonts w:ascii="Times New Roman" w:hAnsi="Times New Roman" w:eastAsia="宋体" w:cs="Times New Roman"/>
                <w:szCs w:val="21"/>
                <w:highlight w:val="none"/>
                <w:lang w:bidi="ar"/>
              </w:rPr>
              <w:t xml:space="preserve">130 长*100 宽*100mm 高</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温度：最高使用温度：1100 度（≤30min）</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工作温度：不大于1000 度</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lang w:bidi="ar"/>
              </w:rPr>
            </w:pPr>
            <w:r>
              <w:rPr>
                <w:rFonts w:ascii="Times New Roman" w:hAnsi="Times New Roman" w:eastAsia="宋体" w:cs="Times New Roman"/>
                <w:szCs w:val="21"/>
                <w:highlight w:val="none"/>
                <w:lang w:bidi="ar"/>
              </w:rPr>
              <w:t xml:space="preserve">升温速率：≤10 度/min</w:t>
            </w:r>
            <w:r>
              <w:rPr>
                <w:rFonts w:hint="eastAsia" w:ascii="Times New Roman" w:hAnsi="Times New Roman" w:eastAsia="宋体" w:cs="Times New Roman"/>
                <w:szCs w:val="21"/>
                <w:highlight w:val="none"/>
                <w:lang w:bidi="ar"/>
              </w:rPr>
              <w:t xml:space="preserve">；</w:t>
            </w:r>
            <w:r/>
          </w:p>
          <w:p>
            <w:pPr>
              <w:jc w:val="left"/>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加热元件：电阻丝（掺钼铁铬铝合金）</w:t>
            </w:r>
            <w:r>
              <w:rPr>
                <w:rFonts w:hint="eastAsia" w:ascii="Times New Roman" w:hAnsi="Times New Roman" w:eastAsia="宋体" w:cs="Times New Roman"/>
                <w:szCs w:val="21"/>
                <w:highlight w:val="none"/>
                <w:lang w:bidi="ar"/>
              </w:rPr>
              <w:t xml:space="preserve">。</w:t>
            </w:r>
            <w:r/>
          </w:p>
        </w:tc>
        <w:tc>
          <w:tcPr>
            <w:tcW w:w="680"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台</w:t>
            </w:r>
            <w:r/>
          </w:p>
        </w:tc>
        <w:tc>
          <w:tcPr>
            <w:tcW w:w="653" w:type="dxa"/>
            <w:vAlign w:val="center"/>
            <w:textDirection w:val="lrTb"/>
            <w:noWrap w:val="false"/>
          </w:tcPr>
          <w:p>
            <w:pPr>
              <w:jc w:val="center"/>
              <w:spacing w:line="360" w:lineRule="exact"/>
              <w:widowControl/>
              <w:rPr>
                <w:rFonts w:ascii="Times New Roman" w:hAnsi="Times New Roman" w:eastAsia="宋体" w:cs="Times New Roman"/>
                <w:szCs w:val="21"/>
                <w:highlight w:val="none"/>
              </w:rPr>
            </w:pPr>
            <w:r>
              <w:rPr>
                <w:rFonts w:ascii="Times New Roman" w:hAnsi="Times New Roman" w:eastAsia="宋体" w:cs="Times New Roman"/>
                <w:szCs w:val="21"/>
                <w:highlight w:val="none"/>
                <w:lang w:bidi="ar"/>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35</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冰箱</w:t>
            </w:r>
            <w:r/>
          </w:p>
        </w:tc>
        <w:tc>
          <w:tcPr>
            <w:tcW w:w="5682" w:type="dxa"/>
            <w:vAlign w:val="center"/>
            <w:textDirection w:val="lrTb"/>
            <w:noWrap w:val="false"/>
          </w:tcPr>
          <w:p>
            <w:pPr>
              <w:jc w:val="left"/>
              <w:spacing w:line="36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（1）能效等级：一级能效；</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（2）总容积不低于480L。</w:t>
            </w:r>
            <w:bookmarkStart w:id="19" w:name="_GoBack"/>
            <w:r/>
            <w:bookmarkEnd w:id="19"/>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36</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实验室环境恒温保障系统（1）</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（1）5匹柜机</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w:t>
            </w:r>
            <w:r>
              <w:rPr>
                <w:rFonts w:ascii="Times New Roman" w:hAnsi="Times New Roman" w:eastAsia="宋体" w:cs="Times New Roman"/>
                <w:szCs w:val="21"/>
                <w:highlight w:val="none"/>
              </w:rPr>
              <w:t xml:space="preserve">一级能效冷暖</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（3）含主机、管路、安装辅材等。</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37</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实验室环境恒温保障系统（2）</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3</w:t>
            </w:r>
            <w:r>
              <w:rPr>
                <w:rFonts w:ascii="Times New Roman" w:hAnsi="Times New Roman" w:eastAsia="宋体" w:cs="Times New Roman"/>
                <w:szCs w:val="21"/>
                <w:highlight w:val="none"/>
              </w:rPr>
              <w:t xml:space="preserve">匹</w:t>
            </w:r>
            <w:r>
              <w:rPr>
                <w:rFonts w:hint="eastAsia" w:ascii="Times New Roman" w:hAnsi="Times New Roman" w:eastAsia="宋体" w:cs="Times New Roman"/>
                <w:szCs w:val="21"/>
                <w:highlight w:val="none"/>
              </w:rPr>
              <w:t xml:space="preserve">挂机；</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w:t>
            </w:r>
            <w:r>
              <w:rPr>
                <w:rFonts w:ascii="Times New Roman" w:hAnsi="Times New Roman" w:eastAsia="宋体" w:cs="Times New Roman"/>
                <w:szCs w:val="21"/>
                <w:highlight w:val="none"/>
              </w:rPr>
              <w:t xml:space="preserve">一级能效冷暖</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（3）含主机、管路、安装辅材等。</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台</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w:t>
            </w:r>
            <w:r/>
          </w:p>
        </w:tc>
      </w:tr>
      <w:tr>
        <w:trPr>
          <w:jc w:val="center"/>
          <w:trHeight w:val="376"/>
        </w:trPr>
        <w:tc>
          <w:tcPr>
            <w:tcW w:w="644"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3</w:t>
            </w:r>
            <w:r>
              <w:rPr>
                <w:rFonts w:hint="eastAsia" w:ascii="Times New Roman" w:hAnsi="Times New Roman" w:eastAsia="宋体" w:cs="Times New Roman"/>
                <w:szCs w:val="24"/>
                <w:highlight w:val="none"/>
              </w:rPr>
              <w:t xml:space="preserve">8</w:t>
            </w:r>
            <w:r/>
          </w:p>
        </w:tc>
        <w:tc>
          <w:tcPr>
            <w:tcW w:w="1217" w:type="dxa"/>
            <w:vAlign w:val="center"/>
            <w:textDirection w:val="lrTb"/>
            <w:noWrap w:val="false"/>
          </w:tcPr>
          <w:p>
            <w:pPr>
              <w:jc w:val="center"/>
              <w:spacing w:line="360" w:lineRule="exact"/>
              <w:rPr>
                <w:rFonts w:ascii="Times New Roman" w:hAnsi="Times New Roman" w:eastAsia="宋体" w:cs="Times New Roman"/>
                <w:szCs w:val="24"/>
                <w:highlight w:val="none"/>
              </w:rPr>
            </w:pPr>
            <w:r>
              <w:rPr>
                <w:rFonts w:ascii="Times New Roman" w:hAnsi="Times New Roman" w:eastAsia="宋体" w:cs="Times New Roman"/>
                <w:sz w:val="24"/>
                <w:szCs w:val="24"/>
                <w:highlight w:val="none"/>
              </w:rPr>
              <w:t xml:space="preserve">试剂架</w:t>
            </w:r>
            <w:r/>
          </w:p>
        </w:tc>
        <w:tc>
          <w:tcPr>
            <w:tcW w:w="5682" w:type="dxa"/>
            <w:vAlign w:val="center"/>
            <w:textDirection w:val="lrTb"/>
            <w:noWrap w:val="false"/>
          </w:tcPr>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原木制试剂架拆除更换为金属单层立柱</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金属件外喷纯环氧树脂，高温固化。固定件采用4mm厚的专用合金件，充分保证试剂架安装后的稳定性。电源盒采用防溅结构。试剂架的螺丝均采用不锈钢螺丝，层板采用8mm 浮法玻璃</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单排试剂架约为长度4500mm*高450*mm深度300mm</w:t>
            </w:r>
            <w:r>
              <w:rPr>
                <w:rFonts w:hint="eastAsia" w:ascii="Times New Roman" w:hAnsi="Times New Roman" w:eastAsia="宋体" w:cs="Times New Roman"/>
                <w:szCs w:val="21"/>
                <w:highlight w:val="none"/>
              </w:rPr>
              <w:t xml:space="preserve">。</w:t>
            </w:r>
            <w:r/>
          </w:p>
          <w:p>
            <w:pPr>
              <w:jc w:val="left"/>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每位配置2个电源插座</w:t>
            </w:r>
            <w:r>
              <w:rPr>
                <w:rFonts w:hint="eastAsia" w:ascii="Times New Roman" w:hAnsi="Times New Roman" w:eastAsia="宋体" w:cs="Times New Roman"/>
                <w:szCs w:val="21"/>
                <w:highlight w:val="none"/>
              </w:rPr>
              <w:t xml:space="preserve">。</w:t>
            </w:r>
            <w:r/>
          </w:p>
        </w:tc>
        <w:tc>
          <w:tcPr>
            <w:tcW w:w="680"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个</w:t>
            </w:r>
            <w:r/>
          </w:p>
        </w:tc>
        <w:tc>
          <w:tcPr>
            <w:tcW w:w="653" w:type="dxa"/>
            <w:vAlign w:val="center"/>
            <w:textDirection w:val="lrTb"/>
            <w:noWrap w:val="false"/>
          </w:tcPr>
          <w:p>
            <w:pPr>
              <w:jc w:val="center"/>
              <w:spacing w:line="36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w:t>
            </w:r>
            <w:r/>
          </w:p>
        </w:tc>
      </w:tr>
    </w:tbl>
    <w:p>
      <w:pPr>
        <w:spacing w:line="360" w:lineRule="auto"/>
        <w:tabs>
          <w:tab w:val="left" w:pos="1177" w:leader="none"/>
          <w:tab w:val="left" w:pos="1498" w:leader="none"/>
        </w:tabs>
        <w:rPr>
          <w:rFonts w:ascii="Times New Roman" w:hAnsi="Times New Roman" w:cs="Times New Roman"/>
          <w:b/>
          <w:sz w:val="24"/>
          <w:highlight w:val="none"/>
        </w:rPr>
      </w:pPr>
      <w:r>
        <w:rPr>
          <w:rFonts w:ascii="Times New Roman" w:hAnsi="Times New Roman" w:cs="Times New Roman"/>
          <w:b/>
          <w:sz w:val="24"/>
          <w:highlight w:val="none"/>
        </w:rPr>
      </w:r>
      <w:r/>
    </w:p>
    <w:p>
      <w:pPr>
        <w:spacing w:line="480" w:lineRule="exact"/>
        <w:rPr>
          <w:rFonts w:ascii="黑体" w:hAnsi="黑体" w:eastAsia="黑体" w:cs="Times New Roman"/>
          <w:b/>
          <w:sz w:val="24"/>
          <w:szCs w:val="24"/>
          <w:highlight w:val="none"/>
        </w:rPr>
      </w:pPr>
      <w:r>
        <w:rPr>
          <w:rFonts w:hint="eastAsia" w:ascii="黑体" w:hAnsi="黑体" w:eastAsia="黑体" w:cs="Times New Roman"/>
          <w:b/>
          <w:sz w:val="24"/>
          <w:szCs w:val="24"/>
          <w:highlight w:val="none"/>
        </w:rPr>
        <w:t xml:space="preserve">三</w:t>
      </w:r>
      <w:r>
        <w:rPr>
          <w:rFonts w:ascii="黑体" w:hAnsi="黑体" w:eastAsia="黑体" w:cs="Times New Roman"/>
          <w:b/>
          <w:sz w:val="24"/>
          <w:szCs w:val="24"/>
          <w:highlight w:val="none"/>
        </w:rPr>
        <w:t xml:space="preserve">、商务（服务）要求</w:t>
      </w:r>
      <w:r/>
    </w:p>
    <w:p>
      <w:pPr>
        <w:ind w:firstLine="470"/>
        <w:spacing w:line="360" w:lineRule="auto"/>
        <w:tabs>
          <w:tab w:val="left" w:pos="1177" w:leader="none"/>
          <w:tab w:val="left" w:pos="1498" w:leader="none"/>
        </w:tabs>
        <w:rPr>
          <w:rFonts w:ascii="Times New Roman" w:hAnsi="Times New Roman" w:eastAsia="宋体" w:cs="Times New Roman"/>
          <w:sz w:val="24"/>
          <w:highlight w:val="none"/>
        </w:rPr>
      </w:pPr>
      <w:r>
        <w:rPr>
          <w:rFonts w:hint="eastAsia" w:ascii="Times New Roman" w:hAnsi="Times New Roman" w:cs="Times New Roman"/>
          <w:sz w:val="24"/>
          <w:highlight w:val="none"/>
        </w:rPr>
        <w:t xml:space="preserve">1、</w:t>
      </w:r>
      <w:r>
        <w:rPr>
          <w:rFonts w:ascii="Times New Roman" w:hAnsi="Times New Roman" w:cs="Times New Roman"/>
          <w:sz w:val="24"/>
          <w:highlight w:val="none"/>
        </w:rPr>
        <w:t xml:space="preserve">项目实施的地点：</w:t>
      </w:r>
      <w:r>
        <w:rPr>
          <w:rFonts w:hint="eastAsia" w:cs="Times New Roman"/>
          <w:sz w:val="24"/>
          <w:highlight w:val="none"/>
        </w:rPr>
        <w:t xml:space="preserve">江苏省连云港市海州区圣湖路28号连云港师范学院</w:t>
      </w:r>
      <w:r>
        <w:rPr>
          <w:rFonts w:ascii="Times New Roman" w:hAnsi="Times New Roman" w:cs="Times New Roman"/>
          <w:sz w:val="24"/>
          <w:highlight w:val="none"/>
        </w:rPr>
        <w:t xml:space="preserve">吉余楼C306、C307</w:t>
      </w:r>
      <w:r/>
    </w:p>
    <w:p>
      <w:pPr>
        <w:ind w:firstLine="470"/>
        <w:spacing w:line="360" w:lineRule="auto"/>
        <w:tabs>
          <w:tab w:val="left" w:pos="1177" w:leader="none"/>
          <w:tab w:val="left" w:pos="1498" w:leader="none"/>
        </w:tabs>
        <w:rPr>
          <w:rFonts w:ascii="Times New Roman" w:hAnsi="Times New Roman" w:cs="Times New Roman"/>
          <w:sz w:val="24"/>
          <w:highlight w:val="none"/>
        </w:rPr>
      </w:pPr>
      <w:r>
        <w:rPr>
          <w:rFonts w:hint="eastAsia" w:ascii="Times New Roman" w:hAnsi="Times New Roman" w:cs="Times New Roman"/>
          <w:sz w:val="24"/>
          <w:highlight w:val="none"/>
        </w:rPr>
        <w:t xml:space="preserve">2、</w:t>
      </w:r>
      <w:r>
        <w:rPr>
          <w:rFonts w:ascii="Times New Roman" w:hAnsi="Times New Roman" w:cs="Times New Roman"/>
          <w:sz w:val="24"/>
          <w:highlight w:val="none"/>
        </w:rPr>
        <w:t xml:space="preserve">项目交付或者实施的时间要求：合同签订后</w:t>
      </w:r>
      <w:r>
        <w:rPr>
          <w:rFonts w:ascii="Times New Roman" w:hAnsi="Times New Roman" w:cs="Times New Roman"/>
          <w:sz w:val="24"/>
          <w:highlight w:val="none"/>
          <w:u w:val="single"/>
        </w:rPr>
        <w:t xml:space="preserve"> 30 </w:t>
      </w:r>
      <w:r>
        <w:rPr>
          <w:rFonts w:ascii="Times New Roman" w:hAnsi="Times New Roman" w:cs="Times New Roman"/>
          <w:sz w:val="24"/>
          <w:highlight w:val="none"/>
        </w:rPr>
        <w:t xml:space="preserve">日内。供应商应保证在要求时间内完成全部货物的供货、安装、调试和培训工作</w:t>
      </w:r>
      <w:r>
        <w:rPr>
          <w:rFonts w:hint="eastAsia" w:ascii="Times New Roman" w:hAnsi="Times New Roman" w:cs="Times New Roman"/>
          <w:sz w:val="24"/>
          <w:highlight w:val="none"/>
        </w:rPr>
        <w:t xml:space="preserve">，</w:t>
      </w:r>
      <w:r>
        <w:rPr>
          <w:rFonts w:ascii="Times New Roman" w:hAnsi="Times New Roman" w:cs="Times New Roman"/>
          <w:sz w:val="24"/>
          <w:highlight w:val="none"/>
        </w:rPr>
        <w:t xml:space="preserve">符合国家标准、行业规范和合同等相关文件的要求。</w:t>
      </w:r>
      <w:r/>
    </w:p>
    <w:p>
      <w:pPr>
        <w:ind w:firstLine="470"/>
        <w:spacing w:line="360" w:lineRule="auto"/>
        <w:tabs>
          <w:tab w:val="left" w:pos="1177" w:leader="none"/>
          <w:tab w:val="left" w:pos="1498" w:leader="none"/>
        </w:tabs>
        <w:rPr>
          <w:rFonts w:ascii="宋体" w:hAnsi="宋体" w:eastAsia="宋体" w:cs="宋体"/>
          <w:sz w:val="24"/>
          <w:szCs w:val="24"/>
          <w:highlight w:val="none"/>
        </w:rPr>
      </w:pPr>
      <w:r>
        <w:rPr>
          <w:rFonts w:hint="eastAsia" w:ascii="Times New Roman" w:hAnsi="Times New Roman" w:cs="Times New Roman"/>
          <w:sz w:val="24"/>
          <w:highlight w:val="none"/>
        </w:rPr>
        <w:t xml:space="preserve">3、</w:t>
      </w:r>
      <w:r>
        <w:rPr>
          <w:rFonts w:ascii="Times New Roman" w:hAnsi="Times New Roman" w:cs="Times New Roman"/>
          <w:sz w:val="24"/>
          <w:highlight w:val="none"/>
        </w:rPr>
        <w:t xml:space="preserve">本项目免费质保期要求：质保期不低于2年，零部件免费更换。</w:t>
      </w:r>
      <w:r/>
    </w:p>
    <w:p>
      <w:pPr>
        <w:spacing w:line="480" w:lineRule="exact"/>
        <w:rPr>
          <w:rFonts w:ascii="黑体" w:hAnsi="黑体" w:eastAsia="黑体" w:cs="Times New Roman"/>
          <w:b/>
          <w:sz w:val="24"/>
          <w:szCs w:val="21"/>
          <w:highlight w:val="none"/>
        </w:rPr>
      </w:pPr>
      <w:r>
        <w:rPr>
          <w:rFonts w:hint="eastAsia" w:ascii="黑体" w:hAnsi="黑体" w:eastAsia="黑体" w:cs="Times New Roman"/>
          <w:b/>
          <w:sz w:val="24"/>
          <w:szCs w:val="21"/>
          <w:highlight w:val="none"/>
        </w:rPr>
        <w:t xml:space="preserve">四、履约验收</w:t>
      </w:r>
      <w:r/>
    </w:p>
    <w:p>
      <w:pPr>
        <w:ind w:firstLine="480"/>
        <w:spacing w:line="48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1、验收主体：采购人； </w:t>
      </w:r>
      <w:r/>
    </w:p>
    <w:p>
      <w:pPr>
        <w:ind w:firstLine="480"/>
        <w:spacing w:line="48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2、验收程序：由采购人组织中标人开展验收工作，验收完成共同签署项目验收单； </w:t>
      </w:r>
      <w:r/>
    </w:p>
    <w:p>
      <w:pPr>
        <w:ind w:firstLine="480"/>
        <w:spacing w:line="48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3、验收内容：采购文件中的全部内容； </w:t>
      </w:r>
      <w:r/>
    </w:p>
    <w:p>
      <w:pPr>
        <w:ind w:firstLine="480"/>
        <w:spacing w:line="48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4、验收标准：符合国家标准、行业规范和合同等相关文件的要求。</w:t>
      </w:r>
      <w:r/>
    </w:p>
    <w:p>
      <w:pPr>
        <w:spacing w:line="480" w:lineRule="exact"/>
        <w:rPr>
          <w:rFonts w:ascii="黑体" w:hAnsi="黑体" w:eastAsia="黑体" w:cs="Times New Roman"/>
          <w:b/>
          <w:sz w:val="24"/>
          <w:szCs w:val="21"/>
          <w:highlight w:val="none"/>
        </w:rPr>
      </w:pPr>
      <w:r>
        <w:rPr>
          <w:rFonts w:hint="eastAsia" w:ascii="黑体" w:hAnsi="黑体" w:eastAsia="黑体" w:cs="Times New Roman"/>
          <w:b/>
          <w:sz w:val="24"/>
          <w:szCs w:val="21"/>
          <w:highlight w:val="none"/>
        </w:rPr>
        <w:t xml:space="preserve">五、付款方式与履约保证金</w:t>
      </w:r>
      <w:r/>
    </w:p>
    <w:p>
      <w:pPr>
        <w:ind w:firstLine="480"/>
        <w:spacing w:line="480" w:lineRule="exact"/>
        <w:rPr>
          <w:rFonts w:ascii="Times New Roman" w:hAnsi="Times New Roman" w:eastAsia="宋体" w:cs="Times New Roman"/>
          <w:i/>
          <w:iCs/>
          <w:sz w:val="24"/>
          <w:szCs w:val="21"/>
          <w:highlight w:val="none"/>
          <w:u w:val="single"/>
        </w:rPr>
      </w:pPr>
      <w:r>
        <w:rPr>
          <w:rFonts w:hint="eastAsia" w:ascii="Times New Roman" w:hAnsi="Times New Roman" w:eastAsia="宋体" w:cs="Times New Roman"/>
          <w:i/>
          <w:iCs/>
          <w:sz w:val="24"/>
          <w:szCs w:val="21"/>
          <w:highlight w:val="none"/>
          <w:u w:val="single"/>
        </w:rPr>
        <w:t xml:space="preserve">1、付款方式</w:t>
      </w:r>
      <w:r/>
    </w:p>
    <w:p>
      <w:pPr>
        <w:ind w:firstLine="480"/>
        <w:spacing w:line="480" w:lineRule="exact"/>
        <w:rPr>
          <w:rFonts w:ascii="Times New Roman" w:hAnsi="Times New Roman" w:eastAsia="宋体" w:cs="Times New Roman"/>
          <w:i/>
          <w:iCs/>
          <w:sz w:val="24"/>
          <w:szCs w:val="21"/>
          <w:highlight w:val="none"/>
          <w:u w:val="single"/>
        </w:rPr>
      </w:pPr>
      <w:r>
        <w:rPr>
          <w:rFonts w:hint="eastAsia" w:ascii="Times New Roman" w:hAnsi="Times New Roman" w:eastAsia="宋体" w:cs="Times New Roman"/>
          <w:i/>
          <w:iCs/>
          <w:sz w:val="24"/>
          <w:szCs w:val="21"/>
          <w:highlight w:val="none"/>
          <w:u w:val="single"/>
        </w:rPr>
        <w:t xml:space="preserve">合同签订后，货到，安装、调试、人员培训及验收合格后，支付合同金额的100%。每次支付前，中标单位均应出具正规发票。</w:t>
      </w:r>
      <w:r/>
    </w:p>
    <w:p>
      <w:pPr>
        <w:ind w:firstLine="480"/>
        <w:spacing w:line="48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2、履约保证金</w:t>
      </w:r>
      <w:r/>
    </w:p>
    <w:p>
      <w:pPr>
        <w:ind w:firstLine="480"/>
        <w:spacing w:line="48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本项目不收取履约保证金。</w:t>
      </w:r>
      <w:r/>
    </w:p>
    <w:p>
      <w:pPr>
        <w:spacing w:line="480" w:lineRule="exact"/>
        <w:rPr>
          <w:rFonts w:ascii="黑体" w:hAnsi="黑体" w:eastAsia="黑体" w:cs="Times New Roman"/>
          <w:b/>
          <w:sz w:val="24"/>
          <w:szCs w:val="21"/>
          <w:highlight w:val="none"/>
        </w:rPr>
      </w:pPr>
      <w:r>
        <w:rPr>
          <w:rFonts w:hint="eastAsia" w:ascii="黑体" w:hAnsi="黑体" w:eastAsia="黑体" w:cs="Times New Roman"/>
          <w:b/>
          <w:sz w:val="24"/>
          <w:szCs w:val="21"/>
          <w:highlight w:val="none"/>
        </w:rPr>
        <w:t xml:space="preserve">六、报价要求</w:t>
      </w:r>
      <w:r/>
    </w:p>
    <w:p>
      <w:pPr>
        <w:ind w:firstLine="480"/>
        <w:spacing w:line="480" w:lineRule="exact"/>
        <w:rPr>
          <w:rFonts w:ascii="Times New Roman" w:hAnsi="Times New Roman" w:eastAsia="宋体" w:cs="Times New Roman"/>
          <w:szCs w:val="21"/>
          <w:highlight w:val="none"/>
        </w:rPr>
      </w:pPr>
      <w:r>
        <w:rPr>
          <w:rFonts w:hint="eastAsia" w:ascii="宋体" w:hAnsi="宋体" w:eastAsia="宋体" w:cs="宋体"/>
          <w:sz w:val="24"/>
          <w:szCs w:val="21"/>
          <w:highlight w:val="none"/>
        </w:rPr>
        <w:t xml:space="preserve">投标报价包含本项目有关的所有费用，包括施工人员意外伤害保险费、清单所列物资及施工（包含但不限于：人、材、机、管理费、利润、措施费、规费、税金等所有费用以及人工、材料变动所带来的风险）、设备、集成、备件、配件、软件、包装、运输、安装、调试、验收合格、管理、售后服务、原厂免费质保、免费维护、免费升级、人员培训（含培训教师食宿）、验收前所有货物的保管费、保险、利润、税金、政策性文件规定的取费等、货物交付使用前所产生的其它费用以及合同包含的所有风险、责任等各项应有费用及不可预见费等全部费用。本项目单项报价中含税。</w:t>
      </w:r>
      <w:r/>
    </w:p>
    <w:p>
      <w:pPr>
        <w:spacing w:line="480" w:lineRule="exact"/>
        <w:rPr>
          <w:rFonts w:ascii="黑体" w:hAnsi="黑体" w:eastAsia="黑体" w:cs="Times New Roman"/>
          <w:b/>
          <w:sz w:val="24"/>
          <w:szCs w:val="21"/>
          <w:highlight w:val="none"/>
        </w:rPr>
      </w:pPr>
      <w:r>
        <w:rPr>
          <w:rFonts w:hint="eastAsia" w:ascii="黑体" w:hAnsi="黑体" w:eastAsia="黑体" w:cs="Times New Roman"/>
          <w:b/>
          <w:sz w:val="24"/>
          <w:szCs w:val="21"/>
          <w:highlight w:val="none"/>
        </w:rPr>
        <w:t xml:space="preserve">七、其他</w:t>
      </w:r>
      <w:r/>
    </w:p>
    <w:p>
      <w:pPr>
        <w:ind w:firstLine="480"/>
        <w:spacing w:line="360" w:lineRule="auto"/>
        <w:rPr>
          <w:rFonts w:ascii="Times New Roman" w:hAnsi="Times New Roman" w:eastAsia="宋体" w:cs="Times New Roman"/>
          <w:sz w:val="24"/>
          <w:szCs w:val="21"/>
          <w:highlight w:val="none"/>
        </w:rPr>
      </w:pPr>
      <w:r>
        <w:rPr>
          <w:rFonts w:hint="eastAsia" w:ascii="宋体" w:hAnsi="宋体" w:eastAsia="宋体" w:cs="Times New Roman"/>
          <w:sz w:val="24"/>
          <w:szCs w:val="24"/>
          <w:highlight w:val="none"/>
        </w:rPr>
        <w:t xml:space="preserve">本项目报价不得超过预算价（最高限价）。</w:t>
      </w:r>
      <w:r/>
    </w:p>
    <w:p>
      <w:pPr>
        <w:ind w:firstLine="480"/>
        <w:spacing w:line="48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特别提醒投标人：应根据国家收费标准并结合市场实际进行报价，总价包干。</w:t>
      </w:r>
      <w:r/>
    </w:p>
    <w:p>
      <w:pPr>
        <w:ind w:firstLine="480"/>
        <w:spacing w:line="480" w:lineRule="exact"/>
        <w:tabs>
          <w:tab w:val="left" w:pos="843" w:leader="none"/>
        </w:tabs>
        <w:rPr>
          <w:rFonts w:ascii="Times New Roman" w:hAnsi="Times New Roman" w:eastAsia="宋体" w:cs="Times New Roman"/>
          <w:sz w:val="22"/>
          <w:highlight w:val="none"/>
          <w:lang w:val="zh-TW" w:bidi="zh-TW"/>
        </w:rPr>
      </w:pPr>
      <w:r>
        <w:rPr>
          <w:rFonts w:hint="eastAsia" w:ascii="宋体" w:hAnsi="宋体" w:eastAsia="宋体" w:cs="宋体"/>
          <w:sz w:val="24"/>
          <w:highlight w:val="none"/>
          <w:lang w:val="zh-TW" w:eastAsia="zh-TW" w:bidi="zh-TW"/>
        </w:rPr>
        <w:t xml:space="preserve">工作中涉及的敏感资料、电子数据等相关信息，中标供应商应严格执行保密的相关规定，不得以任何方式向任何第三人披露、泄露或许可第三人使用，否则追究其相应法律责任</w:t>
      </w:r>
      <w:r>
        <w:rPr>
          <w:rFonts w:hint="eastAsia" w:ascii="宋体" w:hAnsi="宋体" w:eastAsia="宋体" w:cs="宋体"/>
          <w:sz w:val="24"/>
          <w:highlight w:val="none"/>
          <w:lang w:val="zh-TW" w:bidi="zh-TW"/>
        </w:rPr>
        <w:t xml:space="preserve">。</w:t>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pStyle w:val="638"/>
        <w:jc w:val="center"/>
        <w:spacing w:before="156" w:after="156" w:line="360" w:lineRule="auto"/>
        <w:rPr>
          <w:rFonts w:ascii="黑体" w:hAnsi="黑体" w:eastAsia="黑体"/>
          <w:sz w:val="24"/>
          <w:szCs w:val="24"/>
          <w:highlight w:val="none"/>
        </w:rPr>
      </w:pPr>
      <w:r/>
      <w:bookmarkStart w:id="4" w:name="_Toc163482577"/>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4"/>
      <w:r/>
      <w:r/>
    </w:p>
    <w:p>
      <w:pPr>
        <w:ind w:firstLine="482"/>
        <w:jc w:val="left"/>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一、评标委员会构成：</w:t>
      </w:r>
      <w:r/>
    </w:p>
    <w:p>
      <w:pPr>
        <w:ind w:firstLine="480"/>
        <w:jc w:val="left"/>
        <w:spacing w:line="440" w:lineRule="exact"/>
        <w:rPr>
          <w:sz w:val="24"/>
          <w:szCs w:val="24"/>
          <w:highlight w:val="none"/>
        </w:rPr>
      </w:pPr>
      <w:r>
        <w:rPr>
          <w:rFonts w:hint="eastAsia"/>
          <w:sz w:val="24"/>
          <w:szCs w:val="24"/>
          <w:highlight w:val="none"/>
        </w:rPr>
        <w:t xml:space="preserve">本采购项目评标委员会的评委由采购人代表、相关专家组成。</w:t>
      </w:r>
      <w:r/>
    </w:p>
    <w:p>
      <w:pPr>
        <w:ind w:firstLine="482"/>
        <w:jc w:val="left"/>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二、评标方法</w:t>
      </w:r>
      <w:r/>
    </w:p>
    <w:p>
      <w:pPr>
        <w:ind w:firstLine="480"/>
        <w:jc w:val="left"/>
        <w:spacing w:line="440" w:lineRule="exact"/>
        <w:rPr>
          <w:sz w:val="24"/>
          <w:szCs w:val="24"/>
          <w:highlight w:val="none"/>
        </w:rPr>
      </w:pPr>
      <w:r>
        <w:rPr>
          <w:rFonts w:hint="eastAsia"/>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jc w:val="left"/>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三、评标原则</w:t>
      </w:r>
      <w:r/>
    </w:p>
    <w:p>
      <w:pPr>
        <w:ind w:firstLine="480"/>
        <w:jc w:val="left"/>
        <w:spacing w:line="440" w:lineRule="exact"/>
        <w:rPr>
          <w:sz w:val="24"/>
          <w:szCs w:val="24"/>
          <w:highlight w:val="none"/>
        </w:rPr>
      </w:pPr>
      <w:r>
        <w:rPr>
          <w:rFonts w:hint="eastAsia"/>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四</w:t>
      </w:r>
      <w:r>
        <w:rPr>
          <w:rFonts w:asciiTheme="minorEastAsia" w:hAnsiTheme="minorEastAsia"/>
          <w:b/>
          <w:sz w:val="24"/>
          <w:szCs w:val="24"/>
          <w:highlight w:val="none"/>
        </w:rPr>
        <w:t xml:space="preserve">、评标标准</w:t>
      </w:r>
      <w:r/>
    </w:p>
    <w:p>
      <w:pPr>
        <w:ind w:firstLine="480"/>
        <w:jc w:val="left"/>
        <w:spacing w:line="44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w:t>
      </w:r>
      <w:r/>
    </w:p>
    <w:p>
      <w:pPr>
        <w:ind w:firstLine="480"/>
        <w:jc w:val="left"/>
        <w:spacing w:line="44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440" w:lineRule="exact"/>
        <w:rPr>
          <w:sz w:val="24"/>
          <w:szCs w:val="24"/>
          <w:highlight w:val="none"/>
        </w:rPr>
      </w:pPr>
      <w:r>
        <w:rPr>
          <w:rFonts w:hint="eastAsia"/>
          <w:sz w:val="24"/>
          <w:szCs w:val="24"/>
          <w:highlight w:val="none"/>
        </w:rPr>
        <w:t xml:space="preserve">（3）总得分=价格分+商务技术分。</w:t>
      </w:r>
      <w:r/>
    </w:p>
    <w:p>
      <w:pPr>
        <w:ind w:firstLine="480"/>
        <w:jc w:val="left"/>
        <w:spacing w:line="440" w:lineRule="exact"/>
        <w:rPr>
          <w:sz w:val="24"/>
          <w:szCs w:val="24"/>
          <w:highlight w:val="none"/>
        </w:rPr>
      </w:pPr>
      <w:r>
        <w:rPr>
          <w:rFonts w:hint="eastAsia"/>
          <w:sz w:val="24"/>
          <w:szCs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Theme="minorEastAsia" w:hAnsiTheme="minorEastAsia"/>
          <w:sz w:val="24"/>
          <w:szCs w:val="24"/>
          <w:highlight w:val="none"/>
        </w:rPr>
        <w:t xml:space="preserve">推荐3名中标候选人</w:t>
      </w:r>
      <w:r>
        <w:rPr>
          <w:rFonts w:hint="eastAsia"/>
          <w:sz w:val="24"/>
          <w:szCs w:val="24"/>
          <w:highlight w:val="none"/>
        </w:rPr>
        <w:t xml:space="preserve">。</w:t>
      </w:r>
      <w:r/>
    </w:p>
    <w:p>
      <w:pPr>
        <w:jc w:val="center"/>
        <w:spacing w:line="48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spacing w:line="440" w:lineRule="exact"/>
        <w:rPr>
          <w:b/>
          <w:sz w:val="24"/>
          <w:szCs w:val="24"/>
          <w:highlight w:val="none"/>
        </w:rPr>
      </w:pPr>
      <w:r>
        <w:rPr>
          <w:rFonts w:hint="eastAsia" w:ascii="宋体" w:hAnsi="宋体" w:eastAsia="宋体" w:cs="宋体"/>
          <w:b/>
          <w:sz w:val="24"/>
          <w:szCs w:val="24"/>
          <w:highlight w:val="none"/>
        </w:rPr>
        <w:t xml:space="preserve">1.价格分（3</w:t>
      </w:r>
      <w:r>
        <w:rPr>
          <w:rFonts w:ascii="宋体" w:hAnsi="宋体" w:eastAsia="宋体" w:cs="宋体"/>
          <w:b/>
          <w:sz w:val="24"/>
          <w:szCs w:val="24"/>
          <w:highlight w:val="none"/>
        </w:rPr>
        <w:t xml:space="preserve">7</w:t>
      </w:r>
      <w:r>
        <w:rPr>
          <w:rFonts w:hint="eastAsia" w:ascii="宋体" w:hAnsi="宋体" w:eastAsia="宋体" w:cs="宋体"/>
          <w:b/>
          <w:sz w:val="24"/>
          <w:szCs w:val="24"/>
          <w:highlight w:val="none"/>
        </w:rPr>
        <w:t xml:space="preserve">分）</w:t>
      </w:r>
      <w:r/>
    </w:p>
    <w:p>
      <w:pPr>
        <w:ind w:firstLine="480"/>
        <w:jc w:val="left"/>
        <w:spacing w:line="44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440" w:lineRule="exact"/>
        <w:rPr>
          <w:sz w:val="24"/>
          <w:szCs w:val="24"/>
          <w:highlight w:val="none"/>
        </w:rPr>
      </w:pPr>
      <w:r>
        <w:rPr>
          <w:rFonts w:hint="eastAsia"/>
          <w:sz w:val="24"/>
          <w:szCs w:val="24"/>
          <w:highlight w:val="none"/>
        </w:rPr>
        <w:t xml:space="preserve">投标报价得分=（评标基准价/投标报价）×3</w:t>
      </w:r>
      <w:r>
        <w:rPr>
          <w:sz w:val="24"/>
          <w:szCs w:val="24"/>
          <w:highlight w:val="none"/>
        </w:rPr>
        <w:t xml:space="preserve">7</w:t>
      </w:r>
      <w:r>
        <w:rPr>
          <w:rFonts w:hint="eastAsia"/>
          <w:sz w:val="24"/>
          <w:szCs w:val="24"/>
          <w:highlight w:val="none"/>
        </w:rPr>
        <w:t xml:space="preserve">分。</w:t>
      </w:r>
      <w:r/>
    </w:p>
    <w:p>
      <w:pPr>
        <w:ind w:firstLine="480"/>
        <w:jc w:val="left"/>
        <w:spacing w:line="440" w:lineRule="exact"/>
        <w:rPr>
          <w:rFonts w:ascii="宋体" w:hAnsi="宋体" w:eastAsia="宋体" w:cs="宋体"/>
          <w:b/>
          <w:sz w:val="24"/>
          <w:szCs w:val="24"/>
          <w:highlight w:val="none"/>
        </w:rPr>
      </w:pPr>
      <w:r>
        <w:rPr>
          <w:rFonts w:hint="eastAsia"/>
          <w:sz w:val="24"/>
          <w:szCs w:val="24"/>
          <w:highlight w:val="none"/>
        </w:rPr>
        <w:t xml:space="preserve">评标过程中，不得去掉报价中的最高报价和最低报价。</w:t>
      </w:r>
      <w:r/>
    </w:p>
    <w:p>
      <w:pPr>
        <w:ind w:firstLine="482"/>
        <w:jc w:val="left"/>
        <w:spacing w:line="440" w:lineRule="exact"/>
        <w:rPr>
          <w:rFonts w:ascii="宋体" w:hAnsi="宋体" w:cs="宋体"/>
          <w:b/>
          <w:sz w:val="24"/>
          <w:szCs w:val="24"/>
          <w:highlight w:val="none"/>
        </w:rPr>
      </w:pPr>
      <w:r>
        <w:rPr>
          <w:rFonts w:hint="eastAsia" w:ascii="宋体" w:hAnsi="宋体" w:eastAsia="宋体" w:cs="宋体"/>
          <w:b/>
          <w:sz w:val="24"/>
          <w:szCs w:val="24"/>
          <w:highlight w:val="none"/>
        </w:rPr>
        <w:t xml:space="preserve">2.商务技术分（6</w:t>
      </w:r>
      <w:r>
        <w:rPr>
          <w:rFonts w:ascii="宋体" w:hAnsi="宋体" w:eastAsia="宋体" w:cs="宋体"/>
          <w:b/>
          <w:sz w:val="24"/>
          <w:szCs w:val="24"/>
          <w:highlight w:val="none"/>
        </w:rPr>
        <w:t xml:space="preserve">3</w:t>
      </w:r>
      <w:r>
        <w:rPr>
          <w:rFonts w:hint="eastAsia" w:ascii="宋体" w:hAnsi="宋体" w:eastAsia="宋体" w:cs="宋体"/>
          <w:b/>
          <w:sz w:val="24"/>
          <w:szCs w:val="24"/>
          <w:highlight w:val="none"/>
        </w:rPr>
        <w:t xml:space="preserve">分）</w:t>
      </w:r>
      <w:r/>
    </w:p>
    <w:tbl>
      <w:tblPr>
        <w:tblStyle w:val="643"/>
        <w:tblW w:w="91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410"/>
        <w:gridCol w:w="7749"/>
      </w:tblGrid>
      <w:tr>
        <w:trPr>
          <w:gridBefore w:val="1"/>
          <w:trHeight w:val="496"/>
        </w:trPr>
        <w:tc>
          <w:tcPr>
            <w:tcW w:w="1410" w:type="dxa"/>
            <w:vAlign w:val="center"/>
            <w:textDirection w:val="lrTb"/>
            <w:noWrap w:val="false"/>
          </w:tcPr>
          <w:p>
            <w:pPr>
              <w:ind w:left="61" w:right="50"/>
              <w:jc w:val="center"/>
              <w:spacing w:before="75" w:line="400" w:lineRule="exact"/>
              <w:rPr>
                <w:rFonts w:ascii="宋体" w:hAnsi="宋体" w:eastAsia="宋体" w:cs="宋体"/>
                <w:b/>
                <w:bCs/>
                <w:sz w:val="24"/>
                <w:szCs w:val="24"/>
                <w:highlight w:val="none"/>
                <w:lang w:val="zh-CN" w:bidi="zh-CN"/>
              </w:rPr>
            </w:pPr>
            <w:r>
              <w:rPr>
                <w:rFonts w:hint="eastAsia" w:ascii="宋体" w:hAnsi="宋体" w:eastAsia="宋体" w:cs="宋体"/>
                <w:b/>
                <w:bCs/>
                <w:spacing w:val="-4"/>
                <w:sz w:val="24"/>
                <w:szCs w:val="24"/>
                <w:highlight w:val="none"/>
                <w:lang w:val="zh-CN" w:bidi="zh-CN"/>
              </w:rPr>
              <w:t xml:space="preserve">评审因素</w:t>
            </w:r>
            <w:r/>
          </w:p>
        </w:tc>
        <w:tc>
          <w:tcPr>
            <w:tcW w:w="7749" w:type="dxa"/>
            <w:vAlign w:val="center"/>
            <w:textDirection w:val="lrTb"/>
            <w:noWrap w:val="false"/>
          </w:tcPr>
          <w:p>
            <w:pPr>
              <w:ind w:left="1901" w:right="1888"/>
              <w:jc w:val="center"/>
              <w:spacing w:before="75" w:line="400" w:lineRule="exact"/>
              <w:rPr>
                <w:rFonts w:ascii="宋体" w:hAnsi="宋体" w:eastAsia="宋体" w:cs="宋体"/>
                <w:b/>
                <w:bCs/>
                <w:sz w:val="24"/>
                <w:szCs w:val="24"/>
                <w:highlight w:val="none"/>
                <w:lang w:val="zh-CN" w:bidi="zh-CN"/>
              </w:rPr>
            </w:pPr>
            <w:r>
              <w:rPr>
                <w:rFonts w:hint="eastAsia" w:ascii="宋体" w:hAnsi="宋体" w:eastAsia="宋体" w:cs="宋体"/>
                <w:b/>
                <w:bCs/>
                <w:spacing w:val="-4"/>
                <w:sz w:val="24"/>
                <w:szCs w:val="24"/>
                <w:highlight w:val="none"/>
                <w:lang w:val="zh-CN" w:bidi="zh-CN"/>
              </w:rPr>
              <w:t xml:space="preserve">评审标准</w:t>
            </w:r>
            <w:r/>
          </w:p>
        </w:tc>
      </w:tr>
      <w:tr>
        <w:trPr>
          <w:trHeight w:val="902"/>
        </w:trPr>
        <w:tc>
          <w:tcPr>
            <w:gridSpan w:val="2"/>
            <w:tcBorders>
              <w:left w:val="single" w:color="auto" w:sz="4" w:space="0"/>
              <w:right w:val="single" w:color="auto" w:sz="4" w:space="0"/>
            </w:tcBorders>
            <w:tcW w:w="1416" w:type="dxa"/>
            <w:vAlign w:val="center"/>
            <w:textDirection w:val="lrTb"/>
            <w:noWrap w:val="false"/>
          </w:tcPr>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br w:type="page" w:clear="all"/>
            </w:r>
            <w:r>
              <w:rPr>
                <w:rFonts w:ascii="Times New Roman" w:hAnsi="Times New Roman" w:eastAsia="宋体" w:cs="Times New Roman"/>
                <w:sz w:val="24"/>
                <w:szCs w:val="24"/>
                <w:highlight w:val="none"/>
              </w:rPr>
              <w:t xml:space="preserve">技术参数</w:t>
            </w:r>
            <w:r/>
          </w:p>
          <w:p>
            <w:pPr>
              <w:jc w:val="center"/>
              <w:spacing w:line="400" w:lineRule="exact"/>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0</w:t>
            </w:r>
            <w:r>
              <w:rPr>
                <w:rFonts w:ascii="Times New Roman" w:hAnsi="Times New Roman" w:eastAsia="宋体" w:cs="Times New Roman"/>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本项技术参数满分为2</w:t>
            </w:r>
            <w:r>
              <w:rPr>
                <w:rFonts w:hint="eastAsia" w:ascii="Times New Roman" w:hAnsi="Times New Roman" w:eastAsia="宋体" w:cs="Times New Roman"/>
                <w:sz w:val="24"/>
                <w:szCs w:val="24"/>
                <w:highlight w:val="none"/>
              </w:rPr>
              <w:t xml:space="preserve">0</w:t>
            </w:r>
            <w:r>
              <w:rPr>
                <w:rFonts w:ascii="Times New Roman" w:hAnsi="Times New Roman" w:eastAsia="宋体" w:cs="Times New Roman"/>
                <w:sz w:val="24"/>
                <w:szCs w:val="24"/>
                <w:highlight w:val="none"/>
              </w:rPr>
              <w:t xml:space="preserve">分，标有</w:t>
            </w:r>
            <w:r>
              <w:rPr>
                <w:rFonts w:ascii="Times New Roman" w:hAnsi="Times New Roman" w:eastAsia="宋体" w:cs="Times New Roman"/>
                <w:bCs/>
                <w:sz w:val="24"/>
                <w:szCs w:val="24"/>
                <w:highlight w:val="none"/>
              </w:rPr>
              <w:t xml:space="preserve">“▲”</w:t>
            </w:r>
            <w:r>
              <w:rPr>
                <w:rFonts w:ascii="Times New Roman" w:hAnsi="Times New Roman" w:eastAsia="宋体" w:cs="Times New Roman"/>
                <w:sz w:val="24"/>
                <w:szCs w:val="24"/>
                <w:highlight w:val="none"/>
              </w:rPr>
              <w:t xml:space="preserve">的技术参数有一项不满足，每项扣2分</w:t>
            </w:r>
            <w:r>
              <w:rPr>
                <w:rFonts w:hint="eastAsia" w:cs="Times New Roman"/>
                <w:sz w:val="24"/>
                <w:szCs w:val="24"/>
                <w:highlight w:val="none"/>
              </w:rPr>
              <w:t xml:space="preserve">，</w:t>
            </w:r>
            <w:r>
              <w:rPr>
                <w:rFonts w:ascii="Times New Roman" w:hAnsi="Times New Roman" w:eastAsia="宋体" w:cs="Times New Roman"/>
                <w:sz w:val="24"/>
                <w:szCs w:val="24"/>
                <w:highlight w:val="none"/>
              </w:rPr>
              <w:t xml:space="preserve">扣完为止。</w:t>
            </w:r>
            <w:r/>
          </w:p>
          <w:p>
            <w:pPr>
              <w:ind w:firstLine="482"/>
              <w:spacing w:line="400" w:lineRule="exact"/>
              <w:rPr>
                <w:rFonts w:ascii="宋体" w:hAnsi="宋体" w:eastAsia="宋体" w:cs="宋体"/>
                <w:sz w:val="24"/>
                <w:szCs w:val="24"/>
                <w:highlight w:val="none"/>
              </w:rPr>
            </w:pPr>
            <w:r>
              <w:rPr>
                <w:rFonts w:ascii="Times New Roman" w:hAnsi="Times New Roman" w:eastAsia="宋体" w:cs="Times New Roman"/>
                <w:b/>
                <w:bCs/>
                <w:sz w:val="24"/>
                <w:szCs w:val="24"/>
                <w:highlight w:val="none"/>
              </w:rPr>
              <w:t xml:space="preserve">注：</w:t>
            </w:r>
            <w:r>
              <w:rPr>
                <w:rFonts w:hint="eastAsia" w:ascii="宋体" w:hAnsi="宋体" w:eastAsia="宋体" w:cs="宋体"/>
                <w:b/>
                <w:bCs/>
                <w:sz w:val="24"/>
                <w:szCs w:val="24"/>
                <w:highlight w:val="none"/>
              </w:rPr>
              <w:t xml:space="preserve">本项目需求中斜体且有下划线部分为实质性要求和条件，投标人必须作出满足或者优于原要求和条件的响应，否则投标无效。</w:t>
            </w:r>
            <w:r>
              <w:rPr>
                <w:rFonts w:ascii="Times New Roman" w:hAnsi="Times New Roman" w:eastAsia="宋体" w:cs="Times New Roman"/>
                <w:b/>
                <w:bCs/>
                <w:sz w:val="24"/>
                <w:szCs w:val="24"/>
                <w:highlight w:val="none"/>
              </w:rPr>
              <w:t xml:space="preserve">投标人针对本项评审内容在响应文件《技术参数偏离表》中逐条列出响应及偏离情况，采购需求中要求提供材料的，按要求提供，未按要求提供相关材料或者提供材料与要求不符的视为不满足。</w:t>
            </w:r>
            <w:r/>
          </w:p>
        </w:tc>
      </w:tr>
      <w:tr>
        <w:trPr>
          <w:trHeight w:val="978"/>
        </w:trPr>
        <w:tc>
          <w:tcPr>
            <w:gridSpan w:val="2"/>
            <w:tcBorders>
              <w:left w:val="single" w:color="auto" w:sz="4" w:space="0"/>
              <w:right w:val="single" w:color="auto" w:sz="4" w:space="0"/>
            </w:tcBorders>
            <w:tcW w:w="1416" w:type="dxa"/>
            <w:vAlign w:val="center"/>
            <w:textDirection w:val="lrTb"/>
            <w:noWrap w:val="false"/>
          </w:tcPr>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业绩</w:t>
            </w:r>
            <w:r/>
          </w:p>
          <w:p>
            <w:pPr>
              <w:jc w:val="center"/>
              <w:spacing w:line="400" w:lineRule="exact"/>
              <w:rPr>
                <w:rFonts w:ascii="宋体" w:hAnsi="宋体" w:eastAsia="宋体" w:cs="宋体"/>
                <w:spacing w:val="-2"/>
                <w:position w:val="6"/>
                <w:sz w:val="24"/>
                <w:szCs w:val="24"/>
                <w:highlight w:val="none"/>
              </w:rPr>
            </w:pPr>
            <w:r>
              <w:rPr>
                <w:rFonts w:ascii="Times New Roman" w:hAnsi="Times New Roman" w:eastAsia="宋体" w:cs="Times New Roman"/>
                <w:sz w:val="24"/>
                <w:szCs w:val="24"/>
                <w:highlight w:val="none"/>
              </w:rPr>
              <w:t xml:space="preserve">（</w:t>
            </w:r>
            <w:r>
              <w:rPr>
                <w:rFonts w:hint="eastAsia" w:cs="Times New Roman"/>
                <w:sz w:val="24"/>
                <w:szCs w:val="24"/>
                <w:highlight w:val="none"/>
              </w:rPr>
              <w:t xml:space="preserve">9</w:t>
            </w:r>
            <w:r>
              <w:rPr>
                <w:rFonts w:ascii="Times New Roman" w:hAnsi="Times New Roman" w:eastAsia="宋体" w:cs="Times New Roman"/>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投标人提供自2023年</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月1日（以合同签订时间为准）以来，承担过与本项目类似业绩的（</w:t>
            </w:r>
            <w:r>
              <w:rPr>
                <w:rFonts w:hint="eastAsia" w:ascii="Times New Roman" w:hAnsi="Times New Roman" w:eastAsia="宋体" w:cs="Times New Roman"/>
                <w:sz w:val="24"/>
                <w:szCs w:val="24"/>
                <w:highlight w:val="none"/>
              </w:rPr>
              <w:t xml:space="preserve">包括全谱电感耦合等离子体原子发射光谱仪或电化学工作站或溶解热测量装置等</w:t>
            </w:r>
            <w:r>
              <w:rPr>
                <w:rFonts w:hint="eastAsia" w:cs="Times New Roman"/>
                <w:sz w:val="24"/>
                <w:szCs w:val="24"/>
                <w:highlight w:val="none"/>
              </w:rPr>
              <w:t xml:space="preserve">物理化学实验专用设备采购相关业绩</w:t>
            </w:r>
            <w:r>
              <w:rPr>
                <w:rFonts w:ascii="Times New Roman" w:hAnsi="Times New Roman" w:eastAsia="宋体" w:cs="Times New Roman"/>
                <w:sz w:val="24"/>
                <w:szCs w:val="24"/>
                <w:highlight w:val="none"/>
              </w:rPr>
              <w:t xml:space="preserve">），每提供一个得</w:t>
            </w:r>
            <w:r>
              <w:rPr>
                <w:rFonts w:hint="eastAsia" w:cs="Times New Roman"/>
                <w:sz w:val="24"/>
                <w:szCs w:val="24"/>
                <w:highlight w:val="none"/>
              </w:rPr>
              <w:t xml:space="preserve">3</w:t>
            </w:r>
            <w:r>
              <w:rPr>
                <w:rFonts w:ascii="Times New Roman" w:hAnsi="Times New Roman" w:eastAsia="宋体" w:cs="Times New Roman"/>
                <w:sz w:val="24"/>
                <w:szCs w:val="24"/>
                <w:highlight w:val="none"/>
              </w:rPr>
              <w:t xml:space="preserve">分，本项最高得</w:t>
            </w:r>
            <w:r>
              <w:rPr>
                <w:rFonts w:hint="eastAsia" w:cs="Times New Roman"/>
                <w:sz w:val="24"/>
                <w:szCs w:val="24"/>
                <w:highlight w:val="none"/>
              </w:rPr>
              <w:t xml:space="preserve">9</w:t>
            </w:r>
            <w:r>
              <w:rPr>
                <w:rFonts w:ascii="Times New Roman" w:hAnsi="Times New Roman" w:eastAsia="宋体" w:cs="Times New Roman"/>
                <w:sz w:val="24"/>
                <w:szCs w:val="24"/>
                <w:highlight w:val="none"/>
              </w:rPr>
              <w:t xml:space="preserve">分。</w:t>
            </w:r>
            <w:r/>
          </w:p>
          <w:p>
            <w:pPr>
              <w:ind w:firstLine="482"/>
              <w:spacing w:line="400" w:lineRule="exact"/>
              <w:rPr>
                <w:rFonts w:ascii="宋体" w:hAnsi="宋体" w:eastAsia="宋体" w:cs="宋体"/>
                <w:color w:val="000000"/>
                <w:sz w:val="24"/>
                <w:szCs w:val="24"/>
                <w:highlight w:val="none"/>
              </w:rPr>
            </w:pPr>
            <w:r>
              <w:rPr>
                <w:rFonts w:ascii="Times New Roman" w:hAnsi="Times New Roman" w:eastAsia="宋体" w:cs="Times New Roman"/>
                <w:b/>
                <w:bCs/>
                <w:sz w:val="24"/>
                <w:szCs w:val="24"/>
                <w:highlight w:val="none"/>
              </w:rPr>
              <w:t xml:space="preserve">注：提供完整合同扫描件上传，合同标的名称、内容、时间等信息必须清晰，不得覆盖，否则该项合同不得分。</w:t>
            </w:r>
            <w:r/>
          </w:p>
        </w:tc>
      </w:tr>
      <w:tr>
        <w:trPr>
          <w:trHeight w:val="431"/>
        </w:trPr>
        <w:tc>
          <w:tcPr>
            <w:gridSpan w:val="2"/>
            <w:tcBorders>
              <w:left w:val="single" w:color="auto" w:sz="4" w:space="0"/>
              <w:right w:val="single" w:color="auto" w:sz="4" w:space="0"/>
            </w:tcBorders>
            <w:tcW w:w="1416" w:type="dxa"/>
            <w:vAlign w:val="center"/>
            <w:textDirection w:val="lrTb"/>
            <w:noWrap w:val="false"/>
          </w:tcPr>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项目实施</w:t>
            </w:r>
            <w:r/>
          </w:p>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w:t>
            </w:r>
            <w:r/>
          </w:p>
          <w:p>
            <w:pPr>
              <w:jc w:val="center"/>
              <w:spacing w:line="400" w:lineRule="exact"/>
              <w:rPr>
                <w:rFonts w:ascii="宋体" w:hAnsi="宋体" w:eastAsia="宋体" w:cs="宋体"/>
                <w:sz w:val="24"/>
                <w:szCs w:val="24"/>
                <w:highlight w:val="none"/>
              </w:rPr>
            </w:pPr>
            <w:r>
              <w:rPr>
                <w:rFonts w:ascii="Times New Roman" w:hAnsi="Times New Roman" w:eastAsia="宋体" w:cs="Times New Roman"/>
                <w:sz w:val="24"/>
                <w:szCs w:val="24"/>
                <w:highlight w:val="none"/>
              </w:rPr>
              <w:t xml:space="preserve">（8分）</w:t>
            </w:r>
            <w:r/>
          </w:p>
        </w:tc>
        <w:tc>
          <w:tcPr>
            <w:tcBorders>
              <w:top w:val="single" w:color="auto" w:sz="4" w:space="0"/>
              <w:left w:val="single" w:color="auto" w:sz="4" w:space="0"/>
              <w:bottom w:val="single" w:color="auto" w:sz="4" w:space="0"/>
              <w:right w:val="single" w:color="auto" w:sz="4" w:space="0"/>
            </w:tcBorders>
            <w:tcW w:w="7749" w:type="dxa"/>
            <w:textDirection w:val="lrTb"/>
            <w:noWrap w:val="false"/>
          </w:tcPr>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根据投标人提供的项目实施方案（包括但不限于建设管理、进度安排、质量管理、安装调试、安全文明施工、人员配置、应急预案等）进行评分。方案应能满足实验室改造要求，并支持国家及江苏省化学化工相关专业赛事。</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完整，涵盖上述要素；管理机构健全，职责明确；进度安排合理，有保障措施；质量管理体系完善，有验收标准；安装调试方案详细可行；安全文明施工和应急措施到位；人员配备充足；针对性强，完全满足需求，能有力支持相关赛事，得8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较完整，基本涵盖要素；管理机构较健全，职责基本明确；进度安排较合理，有一定保障措施；质量管理措施较具体；安装调试方案可行；有安全文明施工和应急措施；人员配备满足要求；针对性较强，能满足需求，能支持相关赛事，得6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基本完整，但存在缺项或深度不足；机构基本建立但职责不够清晰；进度安排基本合理但保障一般；质量管理措施基本可行；安装调试方案基本可行；安全文明施工一般；人员配备基本满足；针对性一般，基本满足需求，对赛事支持一般，得4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不完整，明显缺项；机构不健全，职责不清；进度不合理或缺乏保障；质量管理不具体或缺失；安装调试粗略或有缺陷；安全文明施工不足；人员配备不足；针对性差，难以满足需求，不能有效支持赛事，得2分。</w:t>
            </w:r>
            <w:r/>
          </w:p>
          <w:p>
            <w:pPr>
              <w:ind w:firstLine="482"/>
              <w:spacing w:line="400" w:lineRule="exact"/>
              <w:rPr>
                <w:rFonts w:ascii="宋体" w:hAnsi="宋体" w:eastAsia="宋体" w:cs="宋体"/>
                <w:sz w:val="24"/>
                <w:szCs w:val="24"/>
                <w:highlight w:val="none"/>
              </w:rPr>
            </w:pPr>
            <w:r>
              <w:rPr>
                <w:rFonts w:hint="eastAsia" w:ascii="Times New Roman" w:hAnsi="Times New Roman" w:eastAsia="宋体" w:cs="Times New Roman"/>
                <w:sz w:val="24"/>
                <w:szCs w:val="24"/>
                <w:highlight w:val="none"/>
              </w:rPr>
              <w:t xml:space="preserve">方案核心要素严重缺失；无有效的建设管理、进度、质量、安装调试、安全及应急处置内容；人员配置缺失；内容脱离实验室改造及化学化工专业赛事保障实际，完全无法满足项目要求，未提供本部分实施方案的，得 0 分</w:t>
            </w:r>
            <w:r>
              <w:rPr>
                <w:rFonts w:ascii="Times New Roman" w:hAnsi="Times New Roman" w:eastAsia="宋体" w:cs="Times New Roman"/>
                <w:sz w:val="24"/>
                <w:szCs w:val="24"/>
                <w:highlight w:val="none"/>
              </w:rPr>
              <w:t xml:space="preserve">。</w:t>
            </w:r>
            <w:r/>
          </w:p>
        </w:tc>
      </w:tr>
      <w:tr>
        <w:trPr>
          <w:trHeight w:val="761"/>
        </w:trPr>
        <w:tc>
          <w:tcPr>
            <w:gridSpan w:val="2"/>
            <w:tcBorders>
              <w:left w:val="single" w:color="auto" w:sz="4" w:space="0"/>
              <w:right w:val="single" w:color="auto" w:sz="4" w:space="0"/>
            </w:tcBorders>
            <w:tcW w:w="1416" w:type="dxa"/>
            <w:vAlign w:val="center"/>
            <w:textDirection w:val="lrTb"/>
            <w:noWrap w:val="false"/>
          </w:tcPr>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售后服务</w:t>
            </w:r>
            <w:r/>
          </w:p>
          <w:p>
            <w:pPr>
              <w:jc w:val="center"/>
              <w:spacing w:line="400" w:lineRule="exact"/>
              <w:rPr>
                <w:rFonts w:ascii="宋体" w:hAnsi="宋体" w:eastAsia="宋体" w:cs="宋体"/>
                <w:color w:val="000000"/>
                <w:sz w:val="24"/>
                <w:szCs w:val="24"/>
                <w:highlight w:val="none"/>
              </w:rPr>
            </w:pPr>
            <w:r>
              <w:rPr>
                <w:rFonts w:ascii="Times New Roman" w:hAnsi="Times New Roman" w:eastAsia="宋体" w:cs="Times New Roman"/>
                <w:sz w:val="24"/>
                <w:szCs w:val="24"/>
                <w:highlight w:val="none"/>
              </w:rPr>
              <w:t xml:space="preserve">（7分）</w:t>
            </w:r>
            <w:r/>
          </w:p>
        </w:tc>
        <w:tc>
          <w:tcPr>
            <w:tcBorders>
              <w:top w:val="single" w:color="auto" w:sz="4" w:space="0"/>
              <w:left w:val="single" w:color="auto" w:sz="4" w:space="0"/>
              <w:bottom w:val="single" w:color="auto" w:sz="4" w:space="0"/>
              <w:right w:val="single" w:color="auto" w:sz="4" w:space="0"/>
            </w:tcBorders>
            <w:tcW w:w="7749" w:type="dxa"/>
            <w:textDirection w:val="lrTb"/>
            <w:noWrap w:val="false"/>
          </w:tcPr>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根据投标人提供的售后服务方案（包括但不限于安装调试、质保范围、售后响应时间、缺陷解决、使用培训等）进行评分。方案应满足实验室改造项目售后需求，并保障相关赛事期间设备设施正常运行。</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方案内容完整，涵盖上述要素；安装调试方案详细；质保范围明确合理；响应时间迅速且承诺具体；缺陷解决措施完善；培训方案具体可行；针对性强，完全满足并优于采购需求，能有效保障赛事运行，得7分。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方案内容较完整，基本涵盖要素；安装调试方案可行；质保范围较明确合理；响应时间较快且有承诺；缺陷解决措施较具体；培训方案基本可行；针对性较强，能满足采购需求，能保障赛事运行，得</w:t>
            </w:r>
            <w:r>
              <w:rPr>
                <w:rFonts w:hint="eastAsia" w:ascii="Times New Roman" w:hAnsi="Times New Roman" w:eastAsia="宋体" w:cs="Times New Roman"/>
                <w:sz w:val="24"/>
                <w:szCs w:val="24"/>
                <w:highlight w:val="none"/>
              </w:rPr>
              <w:t xml:space="preserve">5</w:t>
            </w:r>
            <w:r>
              <w:rPr>
                <w:rFonts w:ascii="Times New Roman" w:hAnsi="Times New Roman" w:eastAsia="宋体" w:cs="Times New Roman"/>
                <w:sz w:val="24"/>
                <w:szCs w:val="24"/>
                <w:highlight w:val="none"/>
              </w:rPr>
              <w:t xml:space="preserve">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方案内容基本完整，但存在缺项或深度不足；安装调试方案基本可行；质保范围不够明确；响应时间一般；缺陷解决措施基本可行；培训方案简单；针对性一般，基本满足需求，对赛事保障一般，得</w:t>
            </w: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t xml:space="preserve">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方案内容不完整，明显缺项；安装调试方案粗略；质保范围不明确；响应时间较长或未承诺；缺陷解决措施缺失或不可行；培训缺失；针对性差，难以满足需求，不能保障赛事运行，得</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分。</w:t>
            </w:r>
            <w:r/>
          </w:p>
          <w:p>
            <w:pPr>
              <w:ind w:firstLine="482"/>
              <w:spacing w:line="400" w:lineRule="exact"/>
              <w:rPr>
                <w:sz w:val="24"/>
                <w:szCs w:val="24"/>
                <w:highlight w:val="none"/>
              </w:rPr>
            </w:pPr>
            <w:r>
              <w:rPr>
                <w:rFonts w:hint="eastAsia" w:ascii="Times New Roman" w:hAnsi="Times New Roman" w:eastAsia="宋体" w:cs="Times New Roman"/>
                <w:sz w:val="24"/>
                <w:szCs w:val="24"/>
                <w:highlight w:val="none"/>
              </w:rPr>
              <w:t xml:space="preserve">方案核心要素严重缺失；无有效安装调试方案；未约定质保范围；无故障响应承诺；缺陷处置措施完全缺失；未提供培训相关内容；内容脱离项目实际，无针对性，完全无法保障赛事运行，未提供本部分方案的，得 0 分。</w:t>
            </w:r>
            <w:r/>
          </w:p>
        </w:tc>
      </w:tr>
      <w:tr>
        <w:trPr>
          <w:trHeight w:val="90"/>
        </w:trPr>
        <w:tc>
          <w:tcPr>
            <w:gridSpan w:val="2"/>
            <w:tcBorders>
              <w:left w:val="single" w:color="auto" w:sz="4" w:space="0"/>
              <w:right w:val="single" w:color="auto" w:sz="4" w:space="0"/>
            </w:tcBorders>
            <w:tcW w:w="1416" w:type="dxa"/>
            <w:vAlign w:val="center"/>
            <w:textDirection w:val="lrTb"/>
            <w:noWrap w:val="false"/>
          </w:tcPr>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质保期</w:t>
            </w:r>
            <w:r/>
          </w:p>
          <w:p>
            <w:pPr>
              <w:jc w:val="center"/>
              <w:spacing w:line="400" w:lineRule="exact"/>
              <w:rPr>
                <w:rFonts w:ascii="宋体" w:hAnsi="宋体" w:eastAsia="宋体" w:cs="宋体"/>
                <w:spacing w:val="10"/>
                <w:sz w:val="24"/>
                <w:szCs w:val="24"/>
                <w:highlight w:val="none"/>
              </w:rPr>
            </w:pPr>
            <w:r>
              <w:rPr>
                <w:rFonts w:ascii="Times New Roman" w:hAnsi="Times New Roman" w:eastAsia="宋体" w:cs="Times New Roman"/>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49" w:type="dxa"/>
            <w:vAlign w:val="center"/>
            <w:textDirection w:val="lrTb"/>
            <w:noWrap w:val="false"/>
          </w:tcPr>
          <w:p>
            <w:pPr>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在满足招标文件两年免费质保期要求的基础上，每增加一年得2分，最高得6分。</w:t>
            </w:r>
            <w:r/>
          </w:p>
          <w:p>
            <w:pPr>
              <w:ind w:firstLine="482"/>
              <w:spacing w:line="400" w:lineRule="exact"/>
              <w:rPr>
                <w:rFonts w:ascii="宋体" w:hAnsi="宋体" w:eastAsia="宋体" w:cs="宋体"/>
                <w:sz w:val="24"/>
                <w:szCs w:val="24"/>
                <w:highlight w:val="none"/>
              </w:rPr>
            </w:pPr>
            <w:r>
              <w:rPr>
                <w:rFonts w:ascii="Times New Roman" w:hAnsi="Times New Roman" w:eastAsia="宋体" w:cs="Times New Roman"/>
                <w:b/>
                <w:bCs/>
                <w:sz w:val="24"/>
                <w:szCs w:val="24"/>
                <w:highlight w:val="none"/>
              </w:rPr>
              <w:t xml:space="preserve">注：提供承诺函并加盖投标人公章，承诺函中须明确免费质保期年限，格式自拟。</w:t>
            </w:r>
            <w:r/>
          </w:p>
        </w:tc>
      </w:tr>
      <w:tr>
        <w:trPr>
          <w:trHeight w:val="90"/>
        </w:trPr>
        <w:tc>
          <w:tcPr>
            <w:gridSpan w:val="2"/>
            <w:tcBorders>
              <w:left w:val="single" w:color="auto" w:sz="4" w:space="0"/>
              <w:right w:val="single" w:color="auto" w:sz="4" w:space="0"/>
            </w:tcBorders>
            <w:tcW w:w="1416" w:type="dxa"/>
            <w:vAlign w:val="center"/>
            <w:textDirection w:val="lrTb"/>
            <w:noWrap w:val="false"/>
          </w:tcPr>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培训方案</w:t>
            </w:r>
            <w:r/>
          </w:p>
          <w:p>
            <w:pPr>
              <w:jc w:val="center"/>
              <w:spacing w:line="400" w:lineRule="exact"/>
              <w:rPr>
                <w:rFonts w:ascii="宋体" w:hAnsi="宋体" w:eastAsia="宋体" w:cs="宋体"/>
                <w:spacing w:val="10"/>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cs="Times New Roman"/>
                <w:sz w:val="24"/>
                <w:szCs w:val="24"/>
                <w:highlight w:val="none"/>
              </w:rPr>
              <w:t xml:space="preserve">7</w:t>
            </w:r>
            <w:r>
              <w:rPr>
                <w:rFonts w:ascii="Times New Roman" w:hAnsi="Times New Roman" w:eastAsia="宋体" w:cs="Times New Roman"/>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749" w:type="dxa"/>
            <w:textDirection w:val="lrTb"/>
            <w:noWrap w:val="false"/>
          </w:tcPr>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根据投标人提供的培训方案（包括但不限于培训目标、培训内容、培训频次、培训资料、培训方式等）进行评分。方案应满足实验室改造后设备操作及软件应用培训需求，保障相关赛事顺利运行。</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完整，涵盖上述要素；培训目标明确，内容全面覆盖设备操作与软件应用；培训频次和时长完全满足需求；培训资料规范齐全；培训方式合理，可操作性强，能直接落地执行，完全满足采购人需求，得7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方案内容较完整，基本涵盖要素；培训目标较明确，内容基本覆盖设备操作与软件应用；培训频次和时长较合理，基本满足需求；培训资料较齐全；培训方式可行，稍加完善即可落地，能满足采购人需求，得</w:t>
            </w:r>
            <w:r>
              <w:rPr>
                <w:rFonts w:hint="eastAsia" w:ascii="Times New Roman" w:hAnsi="Times New Roman" w:eastAsia="宋体" w:cs="Times New Roman"/>
                <w:sz w:val="24"/>
                <w:szCs w:val="24"/>
                <w:highlight w:val="none"/>
              </w:rPr>
              <w:t xml:space="preserve">5</w:t>
            </w:r>
            <w:r>
              <w:rPr>
                <w:rFonts w:ascii="Times New Roman" w:hAnsi="Times New Roman" w:eastAsia="宋体" w:cs="Times New Roman"/>
                <w:sz w:val="24"/>
                <w:szCs w:val="24"/>
                <w:highlight w:val="none"/>
              </w:rPr>
              <w:t xml:space="preserve">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方案内容基本完整，但存在缺项或深度不足；培训目标不够明确，内容覆盖不全面；培训频次或时长不够合理；培训资料基本齐全但不够规范；培训方式基本可行，针对性一般，需较大调整后方可落地，得</w:t>
            </w: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t xml:space="preserve">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方案内容不完整，明显缺项；培训目标不明确，内容未覆盖设备操作或软件应用；培训频次或时长不足；培训资料缺失或不规范；培训方式不合理，可操作性差，难以满足需求，得</w:t>
            </w: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分。</w:t>
            </w:r>
            <w:r/>
          </w:p>
          <w:p>
            <w:pPr>
              <w:ind w:firstLine="482"/>
              <w:spacing w:line="4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方案核心要素严重缺失；无清晰培训目标，缺少设备操作、软件应用相关培训内容；无培训频次时长、培训资料、培训方式等实质内容；内容脱离实验室设备及赛事培训实际，完全无法满足培训要求，未提供本部分培训方案的，得 0 分</w:t>
            </w:r>
            <w:r>
              <w:rPr>
                <w:rFonts w:ascii="Times New Roman" w:hAnsi="Times New Roman" w:eastAsia="宋体" w:cs="Times New Roman"/>
                <w:sz w:val="24"/>
                <w:szCs w:val="24"/>
                <w:highlight w:val="none"/>
              </w:rPr>
              <w:t xml:space="preserve">。</w:t>
            </w:r>
            <w:r/>
          </w:p>
        </w:tc>
      </w:tr>
      <w:tr>
        <w:trPr>
          <w:trHeight w:val="90"/>
        </w:trPr>
        <w:tc>
          <w:tcPr>
            <w:gridSpan w:val="2"/>
            <w:tcBorders>
              <w:left w:val="single" w:color="auto" w:sz="4" w:space="0"/>
              <w:right w:val="single" w:color="auto" w:sz="4" w:space="0"/>
            </w:tcBorders>
            <w:tcW w:w="1416" w:type="dxa"/>
            <w:vAlign w:val="center"/>
            <w:textDirection w:val="lrTb"/>
            <w:noWrap w:val="false"/>
          </w:tcPr>
          <w:p>
            <w:pPr>
              <w:jc w:val="center"/>
              <w:spacing w:line="4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风险控制与应急预案</w:t>
            </w:r>
            <w:r/>
          </w:p>
          <w:p>
            <w:pPr>
              <w:jc w:val="center"/>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6</w:t>
            </w:r>
            <w:r>
              <w:rPr>
                <w:rFonts w:ascii="Times New Roman" w:hAnsi="Times New Roman" w:eastAsia="宋体" w:cs="Times New Roman"/>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749" w:type="dxa"/>
            <w:textDirection w:val="lrTb"/>
            <w:noWrap w:val="false"/>
          </w:tcPr>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根据投标人提供的风险控制与应急预案（包括但不限于风险识别、风险分析、应急措施、应急组织、资源保障等）进行评分。方案应针对实验室改造后设备操作、软件应用及赛事运行中可能出现的设备故障、软件异常、安全事故、进度延误等风险，提出具体可行的预防和应对措施。</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完整，涵盖上述要素；风险识别全面，充分结合设备操作、软件应用及赛事运行实际，对主要风险均有明确分析；应急措施具体、针对性强，有清晰操作流程和责任人；应急组织架构明确，资源保障到位；可操作性强，能直接落地，完全满足需求，得6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方案内容较完整，基本涵盖要素；风险识别较全面，基本覆盖主要风险；应急措施基本可行，有相应流程和责任人；应急组织和资源保障基本满足；可行性较好，稍加完善即可落地，能满足需求，得4分。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基本完整，但存在缺项或深度不足；风险识别不够全面，部分主要风险未涉及；应急措施针对性一般，流程和责任人不够明确；组织或资源保障有缺失；基本可行，但需较大调整后方可落地，部分满足需求，得2分。</w:t>
            </w:r>
            <w:r/>
          </w:p>
          <w:p>
            <w:pPr>
              <w:ind w:firstLine="482"/>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方案内容不完整，明显缺项；风险识别严重不足，未涉及关键风险；无实质性应急措施或措施不可操作；无应急组织、资源保障内容；脱离实验室设备及赛事运行实际，完全无法满足风险防控要求；未提供本部分方案的，得0分。</w:t>
            </w:r>
            <w:r/>
          </w:p>
        </w:tc>
      </w:tr>
    </w:tbl>
    <w:p>
      <w:pPr>
        <w:jc w:val="left"/>
        <w:widowControl/>
        <w:rPr>
          <w:sz w:val="24"/>
          <w:szCs w:val="24"/>
          <w:highlight w:val="none"/>
        </w:rPr>
      </w:pPr>
      <w:r>
        <w:rPr>
          <w:sz w:val="24"/>
          <w:szCs w:val="24"/>
          <w:highlight w:val="none"/>
        </w:rPr>
        <w:br w:type="page" w:clear="all"/>
      </w:r>
      <w:r/>
    </w:p>
    <w:p>
      <w:pPr>
        <w:pStyle w:val="638"/>
        <w:jc w:val="center"/>
        <w:spacing w:before="156" w:after="156" w:line="360" w:lineRule="auto"/>
        <w:rPr>
          <w:rFonts w:ascii="黑体" w:hAnsi="黑体" w:eastAsia="黑体"/>
          <w:b w:val="0"/>
          <w:highlight w:val="none"/>
        </w:rPr>
      </w:pPr>
      <w:r/>
      <w:bookmarkStart w:id="5" w:name="_Toc163482578"/>
      <w:r>
        <w:rPr>
          <w:rFonts w:hint="eastAsia" w:ascii="黑体" w:hAnsi="黑体" w:eastAsia="黑体"/>
          <w:b w:val="0"/>
          <w:highlight w:val="none"/>
        </w:rPr>
        <w:t xml:space="preserve">第六章  投标文件格式</w:t>
      </w:r>
      <w:bookmarkEnd w:id="5"/>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sz w:val="32"/>
          <w:szCs w:val="36"/>
          <w:highlight w:val="none"/>
        </w:rPr>
        <w:outlineLvl w:val="1"/>
      </w:pPr>
      <w:r>
        <w:rPr>
          <w:rFonts w:hint="eastAsia" w:ascii="宋体" w:hAnsi="宋体" w:eastAsia="宋体" w:cs="宋体"/>
          <w:sz w:val="32"/>
          <w:szCs w:val="36"/>
          <w:highlight w:val="none"/>
        </w:rPr>
        <w:t xml:space="preserve">一、法人或者其他组织的营业执照等证明文件，自然人的身份证明</w:t>
      </w:r>
      <w:r/>
    </w:p>
    <w:p>
      <w:pPr>
        <w:rPr>
          <w:highlight w:val="none"/>
        </w:rPr>
      </w:pPr>
      <w:r>
        <w:rPr>
          <w:highlight w:val="none"/>
        </w:rPr>
      </w:r>
      <w:r/>
    </w:p>
    <w:p>
      <w:pPr>
        <w:pStyle w:val="647"/>
        <w:rPr>
          <w:highlight w:val="none"/>
        </w:rPr>
      </w:pPr>
      <w:r>
        <w:rPr>
          <w:highlight w:val="none"/>
        </w:rPr>
      </w:r>
      <w:r/>
    </w:p>
    <w:p>
      <w:pPr>
        <w:rPr>
          <w:highlight w:val="none"/>
        </w:rPr>
      </w:pPr>
      <w:r>
        <w:rPr>
          <w:highlight w:val="none"/>
        </w:rPr>
      </w:r>
      <w:r/>
    </w:p>
    <w:p>
      <w:pPr>
        <w:pStyle w:val="647"/>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二、具有良好的商业信誉和健全的财务会计制度</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三、依法缴纳税收和社会保障资金的相关材料</w:t>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pStyle w:val="647"/>
        <w:rPr>
          <w:highlight w:val="none"/>
        </w:rPr>
      </w:pPr>
      <w:r>
        <w:rPr>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pStyle w:val="647"/>
        <w:rPr>
          <w:highlight w:val="none"/>
        </w:rPr>
      </w:pPr>
      <w:r>
        <w:rPr>
          <w:highlight w:val="none"/>
        </w:rPr>
      </w:r>
      <w:r/>
    </w:p>
    <w:p>
      <w:pPr>
        <w:rPr>
          <w:highlight w:val="none"/>
        </w:rPr>
      </w:pPr>
      <w:r>
        <w:rPr>
          <w:highlight w:val="none"/>
        </w:rPr>
      </w:r>
      <w:r/>
    </w:p>
    <w:p>
      <w:pPr>
        <w:pStyle w:val="647"/>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四、具备履行合同所必需的设备和专业技术能力的声明及证明材料</w:t>
      </w:r>
      <w:r/>
    </w:p>
    <w:p>
      <w:pPr>
        <w:rPr>
          <w:highlight w:val="none"/>
        </w:rPr>
      </w:pPr>
      <w:r>
        <w:rPr>
          <w:highlight w:val="none"/>
        </w:rPr>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jc w:val="center"/>
        <w:spacing w:line="460" w:lineRule="exact"/>
        <w:rPr>
          <w:rFonts w:ascii="黑体" w:hAnsi="黑体" w:eastAsia="黑体" w:cs="宋体"/>
          <w:bCs/>
          <w:sz w:val="36"/>
          <w:szCs w:val="28"/>
          <w:highlight w:val="none"/>
        </w:rPr>
      </w:pPr>
      <w:r>
        <w:rPr>
          <w:rFonts w:ascii="黑体" w:hAnsi="黑体" w:eastAsia="黑体" w:cs="宋体"/>
          <w:bCs/>
          <w:sz w:val="36"/>
          <w:szCs w:val="28"/>
          <w:highlight w:val="none"/>
        </w:rPr>
      </w: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2"/>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附主要设备和主要专业技术能力的证明材料如下：</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647"/>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647"/>
        <w:rPr>
          <w:highlight w:val="none"/>
        </w:rPr>
      </w:pPr>
      <w:r>
        <w:rPr>
          <w:highlight w:val="none"/>
        </w:rPr>
      </w:r>
      <w:r/>
    </w:p>
    <w:p>
      <w:pPr>
        <w:jc w:val="left"/>
        <w:keepLines/>
        <w:keepNext/>
        <w:spacing w:before="360" w:after="200" w:line="360" w:lineRule="auto"/>
        <w:rPr>
          <w:rFonts w:ascii="Arial" w:hAnsi="Arial" w:eastAsia="宋体" w:cs="Arial"/>
          <w:sz w:val="32"/>
          <w:szCs w:val="32"/>
          <w:highlight w:val="none"/>
        </w:rPr>
        <w:outlineLvl w:val="1"/>
      </w:pPr>
      <w:r>
        <w:rPr>
          <w:rFonts w:hint="eastAsia" w:ascii="Arial" w:hAnsi="Arial" w:eastAsia="宋体" w:cs="Arial"/>
          <w:iCs/>
          <w:sz w:val="32"/>
          <w:highlight w:val="none"/>
        </w:rPr>
      </w:r>
      <w:r>
        <w:rPr>
          <w:rFonts w:hint="eastAsia" w:ascii="Arial" w:hAnsi="Arial" w:eastAsia="宋体" w:cs="Arial"/>
          <w:iCs/>
          <w:sz w:val="32"/>
          <w:highlight w:val="none"/>
        </w:rPr>
      </w:r>
    </w:p>
    <w:p>
      <w:pPr>
        <w:jc w:val="left"/>
        <w:keepLines/>
        <w:keepNext/>
        <w:spacing w:before="360" w:after="200" w:line="360" w:lineRule="auto"/>
        <w:rPr>
          <w:rFonts w:hint="eastAsia" w:ascii="Arial" w:hAnsi="Arial" w:eastAsia="宋体" w:cs="Arial"/>
          <w:iCs/>
          <w:sz w:val="32"/>
          <w:szCs w:val="32"/>
          <w:highlight w:val="none"/>
        </w:rPr>
        <w:outlineLvl w:val="1"/>
      </w:pPr>
      <w:r>
        <w:rPr>
          <w:rFonts w:hint="eastAsia" w:ascii="Arial" w:hAnsi="Arial" w:eastAsia="宋体" w:cs="Arial"/>
          <w:iCs/>
          <w:sz w:val="32"/>
          <w:highlight w:val="none"/>
        </w:rPr>
        <w:t xml:space="preserve">五、参加政府采购活动前3年内在经营活动中没有重大违法记录的书面声明</w:t>
      </w:r>
      <w:r/>
    </w:p>
    <w:p>
      <w:pPr>
        <w:rPr>
          <w:highlight w:val="none"/>
        </w:rPr>
      </w:pPr>
      <w:r>
        <w:rPr>
          <w:highlight w:val="none"/>
        </w:rPr>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七、特定资格要求的证明文件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八、法律、行政法规规定的其他条件的证明文件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 联系电话：</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917"/>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35"/>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Calibri" w:hAnsi="Calibri" w:eastAsia="宋体" w:cs="Times New Roman"/>
          <w:sz w:val="24"/>
          <w:szCs w:val="24"/>
          <w:highlight w:val="none"/>
        </w:rPr>
        <w:t xml:space="preserve">日期：    年     月     日</w:t>
      </w:r>
      <w:r/>
    </w:p>
    <w:p>
      <w:pPr>
        <w:jc w:val="left"/>
        <w:keepLines/>
        <w:keepNext/>
        <w:spacing w:before="260" w:line="416" w:lineRule="auto"/>
        <w:rPr>
          <w:rFonts w:ascii="黑体" w:hAnsi="黑体" w:eastAsia="黑体" w:cs="Times New Roman"/>
          <w:b/>
          <w:color w:val="000000"/>
          <w:sz w:val="28"/>
          <w:szCs w:val="32"/>
          <w:highlight w:val="none"/>
        </w:rPr>
        <w:outlineLvl w:val="1"/>
      </w:pPr>
      <w:r>
        <w:rPr>
          <w:rFonts w:hint="eastAsia" w:ascii="Arial" w:hAnsi="Arial" w:eastAsia="宋体" w:cs="Arial"/>
          <w:iCs/>
          <w:sz w:val="32"/>
          <w:highlight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u w:val="single"/>
        </w:rPr>
        <w:t xml:space="preserve">  （采购人名称）    </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根据贵方的JSZC-_________号招标文件，正式授权下述签字人______（姓名）代表我方______（投标人的名称），全权处理本次项目投标的有关事宜。</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1.按招标文件规定的各项要求，向买方提供所需货物（包含与货物相关的工程、服务）。</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highlight w:val="none"/>
        </w:rPr>
        <w:t xml:space="preserve">十</w:t>
      </w:r>
      <w:r>
        <w:rPr>
          <w:rFonts w:hint="eastAsia" w:ascii="Arial" w:hAnsi="Arial" w:eastAsia="宋体" w:cs="Arial"/>
          <w:sz w:val="32"/>
          <w:highlight w:val="none"/>
        </w:rPr>
        <w:t xml:space="preserve">一、中小企业声明函</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Times New Roman"/>
          <w:color w:val="000000"/>
          <w:sz w:val="24"/>
          <w:szCs w:val="24"/>
          <w:highlight w:val="none"/>
        </w:rPr>
        <w:t xml:space="preserve">（联合体）</w:t>
      </w:r>
      <w:r>
        <w:rPr>
          <w:rFonts w:hint="eastAsia" w:ascii="宋体" w:hAnsi="宋体" w:eastAsia="宋体" w:cs="宋体"/>
          <w:sz w:val="24"/>
          <w:szCs w:val="24"/>
          <w:highlight w:val="none"/>
        </w:rPr>
        <w:t xml:space="preserve">郑重声明，根据《政府采购促进中小企业发展管理办法》（财库﹝2020﹞46号）的规定，本公司</w:t>
      </w:r>
      <w:r>
        <w:rPr>
          <w:rFonts w:hint="eastAsia" w:ascii="宋体" w:hAnsi="宋体" w:eastAsia="宋体" w:cs="Times New Roman"/>
          <w:color w:val="000000"/>
          <w:sz w:val="24"/>
          <w:szCs w:val="24"/>
          <w:highlight w:val="none"/>
        </w:rPr>
        <w:t xml:space="preserve">（联合体）</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（货物名称）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u w:val="single"/>
        </w:rPr>
        <w:t xml:space="preserve">（货物名称）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（招标文件中明确的所属行业）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 </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sz w:val="24"/>
          <w:szCs w:val="24"/>
          <w:highlight w:val="none"/>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（货物名称）</w:t>
      </w:r>
      <w:r>
        <w:rPr>
          <w:rFonts w:hint="eastAsia" w:ascii="宋体" w:hAnsi="宋体" w:eastAsia="宋体" w:cs="宋体"/>
          <w:sz w:val="24"/>
          <w:szCs w:val="24"/>
          <w:highlight w:val="none"/>
        </w:rPr>
        <w:t xml:space="preserve"> ，制造商为</w:t>
      </w:r>
      <w:r>
        <w:rPr>
          <w:rFonts w:hint="eastAsia" w:ascii="宋体" w:hAnsi="宋体" w:eastAsia="宋体" w:cs="宋体"/>
          <w:sz w:val="24"/>
          <w:szCs w:val="24"/>
          <w:highlight w:val="none"/>
          <w:u w:val="single"/>
        </w:rPr>
        <w:t xml:space="preserve">　（企业名称）　</w:t>
      </w:r>
      <w:r>
        <w:rPr>
          <w:rFonts w:hint="eastAsia" w:ascii="宋体" w:hAnsi="宋体" w:eastAsia="宋体" w:cs="宋体"/>
          <w:sz w:val="24"/>
          <w:szCs w:val="24"/>
          <w:highlight w:val="none"/>
        </w:rPr>
        <w:t xml:space="preserve">，属于残疾人福利性单位；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u w:val="single"/>
        </w:rPr>
        <w:t xml:space="preserve">（货物名称）</w:t>
      </w:r>
      <w:r>
        <w:rPr>
          <w:rFonts w:hint="eastAsia" w:ascii="宋体" w:hAnsi="宋体" w:eastAsia="宋体" w:cs="宋体"/>
          <w:sz w:val="24"/>
          <w:szCs w:val="24"/>
          <w:highlight w:val="none"/>
        </w:rPr>
        <w:t xml:space="preserve"> ，制造商为</w:t>
      </w:r>
      <w:r>
        <w:rPr>
          <w:rFonts w:hint="eastAsia" w:ascii="宋体" w:hAnsi="宋体" w:eastAsia="宋体" w:cs="宋体"/>
          <w:sz w:val="24"/>
          <w:szCs w:val="24"/>
          <w:highlight w:val="none"/>
          <w:u w:val="single"/>
        </w:rPr>
        <w:t xml:space="preserve">　（企业名称）　</w:t>
      </w:r>
      <w:r>
        <w:rPr>
          <w:rFonts w:hint="eastAsia" w:ascii="宋体" w:hAnsi="宋体" w:eastAsia="宋体" w:cs="宋体"/>
          <w:sz w:val="24"/>
          <w:szCs w:val="24"/>
          <w:highlight w:val="none"/>
        </w:rPr>
        <w:t xml:space="preserve">，属于残疾人福利性单位；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480"/>
        <w:spacing w:line="588" w:lineRule="exact"/>
        <w:rPr>
          <w:rFonts w:ascii="宋体" w:hAnsi="宋体" w:eastAsia="宋体" w:cs="宋体"/>
          <w:b/>
          <w:sz w:val="22"/>
          <w:szCs w:val="21"/>
          <w:highlight w:val="none"/>
        </w:rPr>
      </w:pPr>
      <w:r>
        <w:rPr>
          <w:rFonts w:hint="eastAsia" w:ascii="宋体" w:hAnsi="宋体" w:eastAsia="宋体" w:cs="宋体"/>
          <w:sz w:val="24"/>
          <w:szCs w:val="24"/>
          <w:highlight w:val="none"/>
        </w:rPr>
        <w:t xml:space="preserve">　　　　　　　　　　　　　　　　　　日期：   年   月   日</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十三、关于符合本国产品标准的声明函</w:t>
      </w:r>
      <w:r/>
    </w:p>
    <w:p>
      <w:pPr>
        <w:pStyle w:val="654"/>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654"/>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4"/>
        <w:ind w:firstLine="4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2"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3"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4"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5"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6"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shd w:val="clear" w:color="auto" w:fill="ffffff"/>
        </w:rPr>
        <w:t xml:space="preserve">1.</w:t>
      </w:r>
      <w:r>
        <w:rPr>
          <w:rStyle w:val="657"/>
          <w:rFonts w:hint="eastAsia" w:ascii="宋体" w:hAnsi="宋体" w:eastAsia="宋体" w:cs="宋体"/>
          <w:i w:val="0"/>
          <w:szCs w:val="24"/>
          <w:highlight w:val="none"/>
          <w:u w:val="single"/>
          <w:shd w:val="clear" w:color="auto" w:fill="ffffff"/>
        </w:rPr>
        <w:t xml:space="preserve">（产品名称1）</w:t>
      </w:r>
      <w:r>
        <w:rPr>
          <w:rStyle w:val="657"/>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657"/>
          <w:rFonts w:hint="eastAsia" w:ascii="宋体" w:hAnsi="宋体" w:eastAsia="宋体" w:cs="宋体"/>
          <w:i w:val="0"/>
          <w:szCs w:val="24"/>
          <w:highlight w:val="none"/>
          <w:u w:val="single"/>
          <w:shd w:val="clear" w:color="auto" w:fill="ffffff"/>
        </w:rPr>
        <w:t xml:space="preserve">（厂名）</w:t>
      </w:r>
      <w:r>
        <w:rPr>
          <w:rStyle w:val="657"/>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657"/>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Fonts w:hint="eastAsia" w:ascii="宋体" w:hAnsi="宋体" w:eastAsia="宋体" w:cs="宋体"/>
          <w:szCs w:val="24"/>
          <w:highlight w:val="none"/>
          <w:u w:val="single"/>
          <w:shd w:val="clear" w:color="auto" w:fill="ffffff"/>
        </w:rPr>
        <w:t xml:space="preserve"> </w:t>
      </w:r>
      <w:r>
        <w:rPr>
          <w:rStyle w:val="657"/>
          <w:rFonts w:hint="eastAsia" w:ascii="宋体" w:hAnsi="宋体" w:eastAsia="宋体" w:cs="宋体"/>
          <w:i w:val="0"/>
          <w:szCs w:val="24"/>
          <w:highlight w:val="none"/>
          <w:u w:val="single"/>
          <w:shd w:val="clear" w:color="auto" w:fill="ffffff"/>
        </w:rPr>
        <w:t xml:space="preserve">（产品名称1） </w:t>
      </w:r>
      <w:r>
        <w:rPr>
          <w:rFonts w:hint="eastAsia" w:ascii="宋体" w:hAnsi="宋体" w:eastAsia="宋体" w:cs="宋体"/>
          <w:szCs w:val="24"/>
          <w:highlight w:val="none"/>
          <w:shd w:val="clear" w:color="auto" w:fill="ffffff"/>
        </w:rPr>
        <w:t xml:space="preserve">的中国境内生产的组件成本占比≥</w:t>
      </w:r>
      <w:r>
        <w:rPr>
          <w:rStyle w:val="657"/>
          <w:rFonts w:hint="eastAsia" w:ascii="宋体" w:hAnsi="宋体" w:eastAsia="宋体" w:cs="宋体"/>
          <w:i w:val="0"/>
          <w:szCs w:val="24"/>
          <w:highlight w:val="none"/>
          <w:u w:val="single"/>
          <w:shd w:val="clear" w:color="auto" w:fill="ffffff"/>
        </w:rPr>
        <w:t xml:space="preserve">（规定比例）</w:t>
      </w:r>
      <w:r>
        <w:rPr>
          <w:rStyle w:val="657"/>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657"/>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657"/>
          <w:rFonts w:hint="eastAsia" w:ascii="宋体" w:hAnsi="宋体" w:eastAsia="宋体" w:cs="宋体"/>
          <w:i w:val="0"/>
          <w:szCs w:val="24"/>
          <w:highlight w:val="none"/>
          <w:u w:val="single"/>
          <w:shd w:val="clear" w:color="auto" w:fill="ffffff"/>
        </w:rPr>
        <w:t xml:space="preserve">（关键组件）</w:t>
      </w:r>
      <w:r>
        <w:rPr>
          <w:rStyle w:val="657"/>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657"/>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657"/>
          <w:rFonts w:hint="eastAsia" w:ascii="宋体" w:hAnsi="宋体" w:eastAsia="宋体" w:cs="宋体"/>
          <w:i w:val="0"/>
          <w:szCs w:val="24"/>
          <w:highlight w:val="none"/>
          <w:u w:val="single"/>
          <w:shd w:val="clear" w:color="auto" w:fill="ffffff"/>
        </w:rPr>
        <w:t xml:space="preserve">（关键工序）</w:t>
      </w:r>
      <w:r>
        <w:rPr>
          <w:rStyle w:val="657"/>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654"/>
        <w:ind w:firstLine="4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8"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9"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1"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2"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3"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4"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Cs w:val="24"/>
          <w:highlight w:val="none"/>
          <w:shd w:val="clear" w:color="auto" w:fill="ffffff"/>
        </w:rPr>
        <w:t xml:space="preserve">2.</w:t>
      </w:r>
      <w:r>
        <w:rPr>
          <w:rStyle w:val="657"/>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657"/>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657"/>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657"/>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657"/>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657"/>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657"/>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657"/>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657"/>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654"/>
        <w:ind w:firstLine="4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654"/>
        <w:ind w:firstLine="4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654"/>
        <w:ind w:right="480" w:firstLine="3720"/>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　      </w:t>
      </w:r>
      <w:r/>
    </w:p>
    <w:p>
      <w:pPr>
        <w:pStyle w:val="654"/>
        <w:jc w:val="center"/>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                                日期：　   年　  月　  日         </w:t>
      </w:r>
      <w:r/>
    </w:p>
    <w:p>
      <w:pPr>
        <w:pStyle w:val="654"/>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654"/>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654"/>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654"/>
        <w:spacing w:before="30" w:beforeAutospacing="0" w:after="3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654"/>
        <w:spacing w:before="30" w:beforeAutospacing="0" w:after="3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6.用斜线划除的地方无需填写。</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p>
    <w:p>
      <w:pPr>
        <w:pStyle w:val="654"/>
        <w:spacing w:before="0" w:beforeAutospacing="0" w:after="150" w:afterAutospacing="0" w:line="27" w:lineRule="atLeast"/>
        <w:shd w:val="clear" w:color="auto" w:fill="ffffff"/>
        <w:widowControl/>
        <w:rPr>
          <w:rFonts w:ascii="宋体" w:hAnsi="宋体"/>
          <w:szCs w:val="24"/>
          <w:highlight w:val="none"/>
        </w:rPr>
      </w:pPr>
      <w:r>
        <w:rPr>
          <w:rFonts w:hint="eastAsia" w:ascii="宋体" w:hAnsi="宋体"/>
          <w:szCs w:val="24"/>
          <w:highlight w:val="none"/>
        </w:rPr>
        <w:t xml:space="preserve">8.供应商提供虚假《声明函》、虚假证明文件谋取中标的，依照《中华人民共和国政府采购法》等法律法规规定追究相应责任。</w:t>
      </w:r>
      <w:r/>
    </w:p>
    <w:p>
      <w:pPr>
        <w:pStyle w:val="654"/>
        <w:spacing w:before="0" w:beforeAutospacing="0" w:after="150" w:afterAutospacing="0" w:line="27" w:lineRule="atLeast"/>
        <w:shd w:val="clear" w:color="auto" w:fill="ffffff"/>
        <w:widowControl/>
        <w:rPr>
          <w:rFonts w:ascii="宋体" w:hAnsi="宋体"/>
          <w:szCs w:val="24"/>
          <w:highlight w:val="none"/>
        </w:rPr>
      </w:pPr>
      <w:r>
        <w:rPr>
          <w:rFonts w:hint="eastAsia" w:ascii="宋体" w:hAnsi="宋体" w:eastAsia="宋体" w:cs="宋体"/>
          <w:color w:val="333333"/>
          <w:szCs w:val="24"/>
          <w:highlight w:val="none"/>
          <w:shd w:val="clear" w:color="auto" w:fill="ffffff"/>
        </w:rPr>
        <w:t xml:space="preserve">9.</w:t>
      </w:r>
      <w:r>
        <w:rPr>
          <w:rFonts w:hint="eastAsia" w:ascii="宋体" w:hAnsi="宋体"/>
          <w:szCs w:val="24"/>
          <w:highlight w:val="none"/>
        </w:rPr>
        <w:t xml:space="preserve">中标人的</w:t>
      </w:r>
      <w:r>
        <w:rPr>
          <w:rFonts w:hint="eastAsia" w:ascii="宋体" w:hAnsi="宋体" w:eastAsia="宋体" w:cs="宋体"/>
          <w:color w:val="333333"/>
          <w:szCs w:val="24"/>
          <w:highlight w:val="none"/>
          <w:shd w:val="clear" w:color="auto" w:fill="ffffff"/>
        </w:rPr>
        <w:t xml:space="preserve">《声明函》或有关证明文件</w:t>
      </w:r>
      <w:r>
        <w:rPr>
          <w:rFonts w:hint="eastAsia" w:ascii="宋体" w:hAnsi="宋体"/>
          <w:szCs w:val="24"/>
          <w:highlight w:val="none"/>
        </w:rPr>
        <w:t xml:space="preserve">随中标结果公开，接受社会监督。</w:t>
      </w:r>
      <w:r/>
    </w:p>
    <w:p>
      <w:pPr>
        <w:jc w:val="left"/>
        <w:keepLines/>
        <w:keepNext/>
        <w:spacing w:before="360" w:after="200" w:line="360" w:lineRule="auto"/>
        <w:rPr>
          <w:rFonts w:ascii="黑体" w:hAnsi="黑体" w:eastAsia="黑体" w:cs="宋体"/>
          <w:bCs/>
          <w:sz w:val="36"/>
          <w:szCs w:val="28"/>
          <w:highlight w:val="none"/>
        </w:rPr>
        <w:outlineLvl w:val="1"/>
      </w:pPr>
      <w:r>
        <w:rPr>
          <w:rFonts w:hint="eastAsia" w:ascii="Arial" w:hAnsi="Arial" w:eastAsia="宋体" w:cs="Arial"/>
          <w:iCs/>
          <w:sz w:val="32"/>
          <w:highlight w:val="none"/>
        </w:rPr>
        <w:t xml:space="preserve">十四、投标分项报价表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64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hint="eastAsia" w:ascii="宋体" w:hAnsi="宋体" w:eastAsia="宋体" w:cs="Times New Roman"/>
                <w:b/>
                <w:bCs/>
                <w:szCs w:val="21"/>
                <w:highlight w:val="none"/>
              </w:rPr>
              <w:t xml:space="preserve">本采购包中提供的符合本国产品标准的产品成本之和占该采购包提供的全部产品成本之和的比例为***%。</w:t>
            </w:r>
            <w:r/>
          </w:p>
        </w:tc>
      </w:tr>
    </w:tbl>
    <w:p>
      <w:pPr>
        <w:spacing w:line="4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填报说明：</w:t>
      </w:r>
      <w:r/>
    </w:p>
    <w:p>
      <w:pPr>
        <w:ind w:firstLine="420"/>
        <w:spacing w:line="4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1、“制造商企业类型”栏填写内容为“大型”“中型”“小型”“微型”“监狱企业”或“残疾人福利性单位”。</w:t>
      </w:r>
      <w:r/>
    </w:p>
    <w:p>
      <w:pPr>
        <w:ind w:firstLine="420"/>
        <w:spacing w:line="420" w:lineRule="exact"/>
        <w:rPr>
          <w:rFonts w:ascii="宋体" w:hAnsi="宋体" w:eastAsia="宋体" w:cs="宋体"/>
          <w:szCs w:val="24"/>
          <w:highlight w:val="none"/>
        </w:rPr>
      </w:pPr>
      <w:r>
        <w:rPr>
          <w:rFonts w:hint="eastAsia" w:ascii="宋体" w:hAnsi="宋体" w:eastAsia="宋体" w:cs="Times New Roman"/>
          <w:color w:val="000000"/>
          <w:szCs w:val="24"/>
          <w:highlight w:val="none"/>
        </w:rPr>
        <w:t xml:space="preserve">2、</w:t>
      </w:r>
      <w:r>
        <w:rPr>
          <w:rFonts w:hint="eastAsia" w:ascii="宋体" w:hAnsi="宋体" w:eastAsia="宋体" w:cs="宋体"/>
          <w:szCs w:val="24"/>
          <w:highlight w:val="none"/>
        </w:rPr>
        <w:t xml:space="preserve">以上总价包含所投货物（包含与货物相关的服务）费用、安装调试费、测试验收费、培训费、运行维护费用、税金、运输、保险及其他有关的为完成本项目发生的所有费用，招标文件中另有规定的除外。</w:t>
      </w:r>
      <w:r/>
    </w:p>
    <w:p>
      <w:pPr>
        <w:ind w:firstLine="420"/>
        <w:spacing w:line="4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3、请供应商如实、正确填写本表，所填内容将作为评审的依据，其内容应与对应的证明资料相符。</w:t>
      </w:r>
      <w:r/>
    </w:p>
    <w:p>
      <w:pPr>
        <w:ind w:firstLine="420"/>
        <w:spacing w:line="4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4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5、行数或事项不够，可自行增加。</w:t>
      </w:r>
      <w:r/>
    </w:p>
    <w:p>
      <w:pPr>
        <w:spacing w:line="420" w:lineRule="exact"/>
        <w:rPr>
          <w:highlight w:val="none"/>
        </w:rPr>
      </w:pPr>
      <w:r>
        <w:rPr>
          <w:highlight w:val="none"/>
        </w:rPr>
      </w:r>
      <w:r/>
    </w:p>
    <w:p>
      <w:pPr>
        <w:ind w:firstLine="420"/>
        <w:spacing w:line="420" w:lineRule="exact"/>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420" w:lineRule="exact"/>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420" w:lineRule="exact"/>
        <w:rPr>
          <w:rFonts w:ascii="宋体" w:hAnsi="宋体"/>
          <w:sz w:val="24"/>
          <w:szCs w:val="24"/>
          <w:highlight w:val="none"/>
        </w:rPr>
      </w:pPr>
      <w:r>
        <w:rPr>
          <w:rFonts w:hint="eastAsia" w:ascii="Times New Roman" w:hAnsi="Times New Roman" w:eastAsia="宋体" w:cs="Times New Roman"/>
          <w:color w:val="000000"/>
          <w:szCs w:val="24"/>
          <w:highlight w:val="none"/>
        </w:rPr>
        <w:t xml:space="preserve">日期：    年     月     日</w:t>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十五、技术要求响应及偏离表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3"/>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jc w:val="left"/>
        <w:keepLines/>
        <w:keepNext/>
        <w:spacing w:before="360" w:after="200" w:line="360" w:lineRule="auto"/>
        <w:rPr>
          <w:rFonts w:ascii="Arial" w:hAnsi="Arial" w:eastAsia="宋体" w:cs="Arial"/>
          <w:iCs/>
          <w:sz w:val="32"/>
          <w:highlight w:val="none"/>
        </w:rPr>
        <w:outlineLvl w:val="1"/>
      </w:pPr>
      <w:r/>
      <w:bookmarkStart w:id="6" w:name="_Hlt26955054"/>
      <w:r/>
      <w:bookmarkEnd w:id="6"/>
      <w:r>
        <w:rPr>
          <w:rFonts w:hint="eastAsia" w:ascii="Arial" w:hAnsi="Arial" w:eastAsia="宋体" w:cs="Arial"/>
          <w:iCs/>
          <w:sz w:val="32"/>
          <w:highlight w:val="none"/>
        </w:rPr>
        <w:t xml:space="preserve">十六、商务要求响应及偏离表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3"/>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bookmarkStart w:id="7" w:name="_Hlt26609391"/>
            <w:r/>
            <w:bookmarkEnd w:id="7"/>
            <w:r/>
            <w:bookmarkStart w:id="8" w:name="_Hlt26671372"/>
            <w:r/>
            <w:bookmarkEnd w:id="8"/>
            <w:r/>
            <w:bookmarkStart w:id="9" w:name="_Hlt26671343"/>
            <w:r/>
            <w:bookmarkEnd w:id="9"/>
            <w:r/>
            <w:bookmarkStart w:id="10" w:name="_Hlt26580838"/>
            <w:r/>
            <w:bookmarkEnd w:id="10"/>
            <w:r/>
            <w:bookmarkStart w:id="11" w:name="_Hlt24879081"/>
            <w:r/>
            <w:bookmarkEnd w:id="11"/>
            <w:r/>
            <w:bookmarkStart w:id="12" w:name="_Hlt26955056"/>
            <w:r/>
            <w:bookmarkEnd w:id="12"/>
            <w:r/>
            <w:bookmarkStart w:id="13" w:name="_Hlt26955064"/>
            <w:r/>
            <w:bookmarkEnd w:id="13"/>
            <w:r/>
            <w:bookmarkStart w:id="14" w:name="_Hlt26782999"/>
            <w:r/>
            <w:bookmarkEnd w:id="14"/>
            <w:r>
              <w:rPr>
                <w:rFonts w:hint="eastAsia" w:ascii="宋体" w:hAnsi="宋体" w:eastAsia="宋体" w:cs="Times New Roman"/>
                <w:color w:val="000000"/>
                <w:sz w:val="24"/>
                <w:szCs w:val="24"/>
                <w:highlight w:val="none"/>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15" w:name="_Hlt26609389"/>
      <w:r/>
      <w:bookmarkEnd w:id="15"/>
      <w:r/>
      <w:bookmarkStart w:id="16" w:name="_Hlt26671374"/>
      <w:r/>
      <w:bookmarkEnd w:id="16"/>
      <w:r/>
      <w:bookmarkStart w:id="17" w:name="_格式2__法定代表人授权书"/>
      <w:r/>
      <w:bookmarkEnd w:id="17"/>
      <w:r/>
      <w:bookmarkStart w:id="18" w:name="_Hlt26955066"/>
      <w:r/>
      <w:bookmarkEnd w:id="18"/>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十七、类似项目业绩一览表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3"/>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szCs w:val="36"/>
          <w:highlight w:val="none"/>
        </w:rPr>
        <w:outlineLvl w:val="1"/>
      </w:pPr>
      <w:r>
        <w:rPr>
          <w:rFonts w:hint="eastAsia" w:ascii="Arial" w:hAnsi="Arial" w:eastAsia="宋体" w:cs="Arial"/>
          <w:iCs/>
          <w:sz w:val="36"/>
          <w:highlight w:val="none"/>
        </w:rPr>
      </w:r>
      <w:r>
        <w:rPr>
          <w:rFonts w:hint="eastAsia" w:ascii="Arial" w:hAnsi="Arial" w:eastAsia="宋体" w:cs="Arial"/>
          <w:iCs/>
          <w:sz w:val="36"/>
          <w:highlight w:val="none"/>
        </w:rPr>
      </w:r>
    </w:p>
    <w:p>
      <w:pPr>
        <w:jc w:val="left"/>
        <w:keepLines/>
        <w:keepNext/>
        <w:spacing w:before="360" w:after="200" w:line="360" w:lineRule="auto"/>
        <w:rPr>
          <w:rFonts w:hint="eastAsia" w:ascii="Arial" w:hAnsi="Arial" w:eastAsia="宋体" w:cs="Arial"/>
          <w:iCs/>
          <w:sz w:val="36"/>
          <w:szCs w:val="36"/>
          <w:highlight w:val="none"/>
        </w:rPr>
        <w:outlineLvl w:val="1"/>
      </w:pPr>
      <w:r>
        <w:rPr>
          <w:rFonts w:hint="eastAsia" w:ascii="Arial" w:hAnsi="Arial" w:eastAsia="宋体" w:cs="Arial"/>
          <w:iCs/>
          <w:sz w:val="36"/>
          <w:highlight w:val="none"/>
        </w:rPr>
        <w:t xml:space="preserve">十八、项目团队人员一览表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43"/>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黑体" w:hAnsi="黑体" w:eastAsia="黑体" w:cs="Times New Roman"/>
          <w:b/>
          <w:color w:val="000000"/>
          <w:sz w:val="32"/>
          <w:szCs w:val="32"/>
          <w:highlight w:val="none"/>
        </w:rPr>
        <w:outlineLvl w:val="1"/>
      </w:pPr>
      <w:r>
        <w:rPr>
          <w:rFonts w:hint="eastAsia" w:ascii="Arial" w:hAnsi="Arial" w:eastAsia="宋体" w:cs="Arial"/>
          <w:sz w:val="32"/>
          <w:highlight w:val="none"/>
        </w:rPr>
        <w:t xml:space="preserve">十九、开标一览表</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p>
    <w:tbl>
      <w:tblPr>
        <w:tblStyle w:val="656"/>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5501"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p>
    <w:p>
      <w:pP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spacing w:line="360" w:lineRule="auto"/>
        <w:rPr>
          <w:rFonts w:ascii="宋体" w:hAnsi="宋体" w:eastAsia="宋体" w:cs="方正仿宋_GBK"/>
          <w:color w:val="000000"/>
          <w:sz w:val="24"/>
          <w:szCs w:val="24"/>
          <w:highlight w:val="none"/>
        </w:rPr>
      </w:pPr>
      <w:r>
        <w:rPr>
          <w:rFonts w:ascii="宋体" w:hAnsi="宋体" w:eastAsia="宋体" w:cs="方正仿宋_GBK"/>
          <w:color w:val="000000"/>
          <w:sz w:val="24"/>
          <w:szCs w:val="24"/>
          <w:highlight w:val="none"/>
        </w:rPr>
      </w:r>
      <w:r/>
    </w:p>
    <w:p>
      <w:pPr>
        <w:ind w:firstLine="480"/>
        <w:jc w:val="right"/>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Symbol">
    <w:panose1 w:val="05050102010706020507"/>
  </w:font>
  <w:font w:name="Calibri">
    <w:panose1 w:val="020F0502020204030204"/>
  </w:font>
  <w:font w:name="MS Mincho">
    <w:panose1 w:val="020206030504050903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64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8"/>
    <w:uiPriority w:val="9"/>
    <w:rPr>
      <w:rFonts w:ascii="Arial" w:hAnsi="Arial" w:eastAsia="Arial" w:cs="Arial"/>
      <w:sz w:val="40"/>
      <w:szCs w:val="40"/>
    </w:rPr>
  </w:style>
  <w:style w:type="character" w:styleId="15">
    <w:name w:val="Heading 2 Char"/>
    <w:basedOn w:val="642"/>
    <w:link w:val="639"/>
    <w:uiPriority w:val="9"/>
    <w:rPr>
      <w:rFonts w:ascii="Arial" w:hAnsi="Arial" w:eastAsia="Arial" w:cs="Arial"/>
      <w:sz w:val="34"/>
    </w:rPr>
  </w:style>
  <w:style w:type="character" w:styleId="17">
    <w:name w:val="Heading 3 Char"/>
    <w:basedOn w:val="642"/>
    <w:link w:val="640"/>
    <w:uiPriority w:val="9"/>
    <w:rPr>
      <w:rFonts w:ascii="Arial" w:hAnsi="Arial" w:eastAsia="Arial" w:cs="Arial"/>
      <w:sz w:val="30"/>
      <w:szCs w:val="30"/>
    </w:rPr>
  </w:style>
  <w:style w:type="character" w:styleId="19">
    <w:name w:val="Heading 4 Char"/>
    <w:basedOn w:val="642"/>
    <w:link w:val="641"/>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52"/>
    <w:uiPriority w:val="99"/>
  </w:style>
  <w:style w:type="character" w:styleId="44">
    <w:name w:val="Footer Char"/>
    <w:basedOn w:val="642"/>
    <w:link w:val="651"/>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51"/>
    <w:uiPriority w:val="99"/>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4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8">
    <w:name w:val="Heading 1"/>
    <w:basedOn w:val="637"/>
    <w:next w:val="637"/>
    <w:link w:val="660"/>
    <w:uiPriority w:val="9"/>
    <w:qFormat/>
    <w:pPr>
      <w:keepLines/>
      <w:keepNext/>
      <w:spacing w:before="340" w:after="330" w:line="578" w:lineRule="auto"/>
      <w:outlineLvl w:val="0"/>
    </w:pPr>
    <w:rPr>
      <w:b/>
      <w:bCs/>
      <w:sz w:val="44"/>
      <w:szCs w:val="44"/>
    </w:rPr>
  </w:style>
  <w:style w:type="paragraph" w:styleId="639">
    <w:name w:val="Heading 2"/>
    <w:basedOn w:val="637"/>
    <w:next w:val="637"/>
    <w:link w:val="664"/>
    <w:uiPriority w:val="9"/>
    <w:unhideWhenUsed/>
    <w:qFormat/>
    <w:pPr>
      <w:keepLines/>
      <w:keepNext/>
      <w:spacing w:before="260" w:after="260" w:line="416" w:lineRule="auto"/>
      <w:outlineLvl w:val="1"/>
    </w:pPr>
    <w:rPr>
      <w:rFonts w:asciiTheme="majorHAnsi" w:hAnsiTheme="majorHAnsi" w:eastAsiaTheme="majorEastAsia" w:cstheme="majorBidi"/>
      <w:b/>
      <w:bCs/>
      <w:sz w:val="28"/>
      <w:szCs w:val="32"/>
    </w:rPr>
  </w:style>
  <w:style w:type="paragraph" w:styleId="640">
    <w:name w:val="Heading 3"/>
    <w:basedOn w:val="637"/>
    <w:next w:val="637"/>
    <w:link w:val="665"/>
    <w:uiPriority w:val="9"/>
    <w:unhideWhenUsed/>
    <w:qFormat/>
    <w:pPr>
      <w:keepLines/>
      <w:keepNext/>
      <w:spacing w:before="260" w:after="260" w:line="416" w:lineRule="auto"/>
      <w:outlineLvl w:val="2"/>
    </w:pPr>
    <w:rPr>
      <w:b/>
      <w:bCs/>
      <w:sz w:val="32"/>
      <w:szCs w:val="32"/>
    </w:rPr>
  </w:style>
  <w:style w:type="paragraph" w:styleId="641">
    <w:name w:val="Heading 4"/>
    <w:basedOn w:val="637"/>
    <w:next w:val="637"/>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Document Map"/>
    <w:basedOn w:val="637"/>
    <w:link w:val="663"/>
    <w:uiPriority w:val="99"/>
    <w:semiHidden/>
    <w:unhideWhenUsed/>
    <w:qFormat/>
    <w:rPr>
      <w:rFonts w:ascii="宋体" w:eastAsia="宋体"/>
      <w:sz w:val="18"/>
      <w:szCs w:val="18"/>
    </w:rPr>
  </w:style>
  <w:style w:type="paragraph" w:styleId="645">
    <w:name w:val="annotation text"/>
    <w:basedOn w:val="637"/>
    <w:link w:val="667"/>
    <w:uiPriority w:val="0"/>
    <w:qFormat/>
    <w:pPr>
      <w:ind w:firstLine="922"/>
      <w:jc w:val="left"/>
      <w:spacing w:line="360" w:lineRule="auto"/>
    </w:pPr>
    <w:rPr>
      <w:rFonts w:ascii="Times New Roman" w:hAnsi="Times New Roman" w:eastAsia="宋体" w:cs="Times New Roman"/>
      <w:szCs w:val="24"/>
    </w:rPr>
  </w:style>
  <w:style w:type="paragraph" w:styleId="646">
    <w:name w:val="Body Text"/>
    <w:basedOn w:val="637"/>
    <w:uiPriority w:val="0"/>
    <w:qFormat/>
    <w:pPr>
      <w:spacing w:after="120"/>
    </w:pPr>
  </w:style>
  <w:style w:type="paragraph" w:styleId="647">
    <w:name w:val="Body Text Indent"/>
    <w:basedOn w:val="637"/>
    <w:next w:val="637"/>
    <w:uiPriority w:val="0"/>
    <w:qFormat/>
    <w:pPr>
      <w:ind w:firstLine="420"/>
      <w:spacing w:line="360" w:lineRule="auto"/>
    </w:pPr>
    <w:rPr>
      <w:rFonts w:ascii="宋体"/>
      <w:sz w:val="24"/>
      <w:szCs w:val="20"/>
    </w:rPr>
  </w:style>
  <w:style w:type="paragraph" w:styleId="648">
    <w:name w:val="Block Text"/>
    <w:basedOn w:val="637"/>
    <w:next w:val="637"/>
    <w:uiPriority w:val="99"/>
    <w:unhideWhenUsed/>
    <w:qFormat/>
    <w:pPr>
      <w:ind w:left="1440" w:right="1440"/>
      <w:spacing w:after="120"/>
    </w:pPr>
  </w:style>
  <w:style w:type="paragraph" w:styleId="649">
    <w:name w:val="Date"/>
    <w:basedOn w:val="637"/>
    <w:next w:val="637"/>
    <w:link w:val="666"/>
    <w:uiPriority w:val="99"/>
    <w:semiHidden/>
    <w:unhideWhenUsed/>
    <w:qFormat/>
    <w:pPr>
      <w:ind w:left="100"/>
    </w:pPr>
  </w:style>
  <w:style w:type="paragraph" w:styleId="650">
    <w:name w:val="Balloon Text"/>
    <w:basedOn w:val="637"/>
    <w:link w:val="668"/>
    <w:uiPriority w:val="99"/>
    <w:semiHidden/>
    <w:unhideWhenUsed/>
    <w:qFormat/>
    <w:rPr>
      <w:sz w:val="18"/>
      <w:szCs w:val="18"/>
    </w:rPr>
  </w:style>
  <w:style w:type="paragraph" w:styleId="651">
    <w:name w:val="Footer"/>
    <w:basedOn w:val="637"/>
    <w:link w:val="662"/>
    <w:uiPriority w:val="99"/>
    <w:unhideWhenUsed/>
    <w:qFormat/>
    <w:pPr>
      <w:jc w:val="left"/>
      <w:tabs>
        <w:tab w:val="center" w:pos="4153" w:leader="none"/>
        <w:tab w:val="right" w:pos="8306" w:leader="none"/>
      </w:tabs>
    </w:pPr>
    <w:rPr>
      <w:sz w:val="18"/>
      <w:szCs w:val="18"/>
    </w:rPr>
  </w:style>
  <w:style w:type="paragraph" w:styleId="652">
    <w:name w:val="Header"/>
    <w:basedOn w:val="637"/>
    <w:link w:val="6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3">
    <w:name w:val="toc 1"/>
    <w:basedOn w:val="637"/>
    <w:next w:val="637"/>
    <w:uiPriority w:val="39"/>
    <w:unhideWhenUsed/>
    <w:qFormat/>
    <w:pPr>
      <w:jc w:val="center"/>
      <w:spacing w:line="480" w:lineRule="auto"/>
      <w:tabs>
        <w:tab w:val="right" w:pos="9628" w:leader="dot"/>
      </w:tabs>
    </w:pPr>
    <w:rPr>
      <w:b/>
      <w:sz w:val="44"/>
      <w:szCs w:val="44"/>
    </w:rPr>
  </w:style>
  <w:style w:type="paragraph" w:styleId="654">
    <w:name w:val="Normal (Web)"/>
    <w:basedOn w:val="637"/>
    <w:uiPriority w:val="99"/>
    <w:unhideWhenUsed/>
    <w:qFormat/>
    <w:pPr>
      <w:jc w:val="left"/>
      <w:spacing w:before="100" w:beforeAutospacing="1" w:after="100" w:afterAutospacing="1"/>
    </w:pPr>
    <w:rPr>
      <w:rFonts w:cs="Times New Roman"/>
      <w:sz w:val="24"/>
    </w:rPr>
  </w:style>
  <w:style w:type="paragraph" w:styleId="655">
    <w:name w:val="annotation subject"/>
    <w:basedOn w:val="645"/>
    <w:next w:val="645"/>
    <w:link w:val="681"/>
    <w:uiPriority w:val="99"/>
    <w:semiHidden/>
    <w:unhideWhenUsed/>
    <w:qFormat/>
    <w:pPr>
      <w:ind w:firstLine="0"/>
      <w:spacing w:line="240" w:lineRule="auto"/>
    </w:pPr>
    <w:rPr>
      <w:rFonts w:asciiTheme="minorHAnsi" w:hAnsiTheme="minorHAnsi" w:eastAsiaTheme="minorEastAsia" w:cstheme="minorBidi"/>
      <w:b/>
      <w:bCs/>
      <w:szCs w:val="22"/>
    </w:rPr>
  </w:style>
  <w:style w:type="table" w:styleId="656">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7">
    <w:name w:val="Emphasis"/>
    <w:uiPriority w:val="0"/>
    <w:qFormat/>
    <w:rPr>
      <w:i/>
    </w:rPr>
  </w:style>
  <w:style w:type="character" w:styleId="658">
    <w:name w:val="Hyperlink"/>
    <w:uiPriority w:val="99"/>
    <w:qFormat/>
    <w:rPr>
      <w:color w:val="0000ff"/>
      <w:u w:val="none"/>
    </w:rPr>
  </w:style>
  <w:style w:type="character" w:styleId="659">
    <w:name w:val="annotation reference"/>
    <w:uiPriority w:val="0"/>
    <w:qFormat/>
    <w:rPr>
      <w:sz w:val="21"/>
      <w:szCs w:val="21"/>
    </w:rPr>
  </w:style>
  <w:style w:type="character" w:styleId="660" w:customStyle="1">
    <w:name w:val="标题 1 字符"/>
    <w:basedOn w:val="642"/>
    <w:link w:val="638"/>
    <w:uiPriority w:val="9"/>
    <w:qFormat/>
    <w:rPr>
      <w:b/>
      <w:bCs/>
      <w:sz w:val="44"/>
      <w:szCs w:val="44"/>
    </w:rPr>
  </w:style>
  <w:style w:type="character" w:styleId="661" w:customStyle="1">
    <w:name w:val="页眉 字符"/>
    <w:basedOn w:val="642"/>
    <w:link w:val="652"/>
    <w:uiPriority w:val="99"/>
    <w:qFormat/>
    <w:rPr>
      <w:sz w:val="18"/>
      <w:szCs w:val="18"/>
    </w:rPr>
  </w:style>
  <w:style w:type="character" w:styleId="662" w:customStyle="1">
    <w:name w:val="页脚 字符"/>
    <w:basedOn w:val="642"/>
    <w:link w:val="651"/>
    <w:uiPriority w:val="99"/>
    <w:qFormat/>
    <w:rPr>
      <w:sz w:val="18"/>
      <w:szCs w:val="18"/>
    </w:rPr>
  </w:style>
  <w:style w:type="character" w:styleId="663" w:customStyle="1">
    <w:name w:val="文档结构图 字符"/>
    <w:basedOn w:val="642"/>
    <w:link w:val="644"/>
    <w:uiPriority w:val="99"/>
    <w:semiHidden/>
    <w:qFormat/>
    <w:rPr>
      <w:rFonts w:ascii="宋体" w:eastAsia="宋体"/>
      <w:sz w:val="18"/>
      <w:szCs w:val="18"/>
    </w:rPr>
  </w:style>
  <w:style w:type="character" w:styleId="664" w:customStyle="1">
    <w:name w:val="标题 2 字符"/>
    <w:basedOn w:val="642"/>
    <w:link w:val="639"/>
    <w:uiPriority w:val="9"/>
    <w:qFormat/>
    <w:rPr>
      <w:rFonts w:asciiTheme="majorHAnsi" w:hAnsiTheme="majorHAnsi" w:eastAsiaTheme="majorEastAsia" w:cstheme="majorBidi"/>
      <w:b/>
      <w:bCs/>
      <w:sz w:val="28"/>
      <w:szCs w:val="32"/>
    </w:rPr>
  </w:style>
  <w:style w:type="character" w:styleId="665" w:customStyle="1">
    <w:name w:val="标题 3 字符"/>
    <w:basedOn w:val="642"/>
    <w:link w:val="640"/>
    <w:uiPriority w:val="9"/>
    <w:qFormat/>
    <w:rPr>
      <w:b/>
      <w:bCs/>
      <w:sz w:val="32"/>
      <w:szCs w:val="32"/>
    </w:rPr>
  </w:style>
  <w:style w:type="character" w:styleId="666" w:customStyle="1">
    <w:name w:val="日期 字符"/>
    <w:basedOn w:val="642"/>
    <w:link w:val="649"/>
    <w:uiPriority w:val="99"/>
    <w:semiHidden/>
    <w:qFormat/>
  </w:style>
  <w:style w:type="character" w:styleId="667" w:customStyle="1">
    <w:name w:val="批注文字 字符"/>
    <w:basedOn w:val="642"/>
    <w:link w:val="645"/>
    <w:uiPriority w:val="0"/>
    <w:qFormat/>
    <w:rPr>
      <w:rFonts w:ascii="Times New Roman" w:hAnsi="Times New Roman" w:eastAsia="宋体" w:cs="Times New Roman"/>
      <w:szCs w:val="24"/>
    </w:rPr>
  </w:style>
  <w:style w:type="character" w:styleId="668" w:customStyle="1">
    <w:name w:val="批注框文本 字符"/>
    <w:basedOn w:val="642"/>
    <w:link w:val="650"/>
    <w:uiPriority w:val="99"/>
    <w:semiHidden/>
    <w:qFormat/>
    <w:rPr>
      <w:sz w:val="18"/>
      <w:szCs w:val="18"/>
    </w:rPr>
  </w:style>
  <w:style w:type="paragraph" w:styleId="669" w:customStyle="1">
    <w:name w:val="正文首行缩进11"/>
    <w:basedOn w:val="670"/>
    <w:uiPriority w:val="0"/>
    <w:qFormat/>
    <w:pPr>
      <w:ind w:firstLine="200"/>
      <w:spacing w:line="360" w:lineRule="auto"/>
    </w:pPr>
    <w:rPr>
      <w:rFonts w:ascii="仿宋_GB2312" w:hAnsi="Times New Roman" w:eastAsia="仿宋_GB2312"/>
      <w:sz w:val="30"/>
      <w:szCs w:val="30"/>
    </w:rPr>
  </w:style>
  <w:style w:type="paragraph" w:styleId="670" w:customStyle="1">
    <w:name w:val="正文文本11"/>
    <w:basedOn w:val="637"/>
    <w:next w:val="637"/>
    <w:uiPriority w:val="0"/>
    <w:qFormat/>
    <w:rPr>
      <w:rFonts w:ascii="楷体_GB2312" w:hAnsi="Arial" w:eastAsia="楷体_GB2312"/>
      <w:sz w:val="28"/>
      <w:szCs w:val="28"/>
      <w:lang w:eastAsia="en-US"/>
    </w:rPr>
  </w:style>
  <w:style w:type="paragraph" w:styleId="671"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672" w:customStyle="1">
    <w:name w:val="标题 11"/>
    <w:basedOn w:val="673"/>
    <w:next w:val="673"/>
    <w:uiPriority w:val="9"/>
    <w:qFormat/>
    <w:pPr>
      <w:keepLines/>
      <w:keepNext/>
      <w:spacing w:before="340" w:after="330" w:line="578" w:lineRule="auto"/>
      <w:outlineLvl w:val="0"/>
    </w:pPr>
    <w:rPr>
      <w:b/>
      <w:bCs/>
      <w:sz w:val="44"/>
      <w:szCs w:val="44"/>
    </w:rPr>
  </w:style>
  <w:style w:type="paragraph" w:styleId="673" w:customStyle="1">
    <w:name w:val="文本块1"/>
    <w:uiPriority w:val="0"/>
    <w:qFormat/>
    <w:pPr>
      <w:ind w:left="1440"/>
      <w:jc w:val="both"/>
      <w:spacing w:after="120"/>
      <w:widowControl w:val="off"/>
    </w:pPr>
    <w:rPr>
      <w:rFonts w:ascii="Times New Roman" w:hAnsi="Times New Roman" w:eastAsia="宋体" w:cs="Times New Roman"/>
      <w:sz w:val="21"/>
      <w:szCs w:val="22"/>
      <w:lang w:val="en-US" w:eastAsia="zh-CN" w:bidi="ar-SA"/>
    </w:rPr>
  </w:style>
  <w:style w:type="paragraph" w:styleId="674" w:customStyle="1">
    <w:name w:val="批注文字1"/>
    <w:basedOn w:val="637"/>
    <w:uiPriority w:val="0"/>
    <w:qFormat/>
    <w:pPr>
      <w:ind w:firstLine="922"/>
      <w:jc w:val="left"/>
      <w:spacing w:line="360" w:lineRule="auto"/>
    </w:pPr>
    <w:rPr>
      <w:rFonts w:ascii="Times New Roman" w:hAnsi="Times New Roman" w:eastAsia="宋体" w:cs="Times New Roman"/>
      <w:szCs w:val="24"/>
    </w:rPr>
  </w:style>
  <w:style w:type="paragraph" w:styleId="675" w:customStyle="1">
    <w:name w:val="正文首行缩进 21"/>
    <w:basedOn w:val="676"/>
    <w:next w:val="637"/>
    <w:uiPriority w:val="0"/>
    <w:qFormat/>
    <w:pPr>
      <w:ind w:left="0" w:firstLine="420"/>
      <w:spacing w:after="0" w:line="360" w:lineRule="auto"/>
    </w:pPr>
    <w:rPr>
      <w:rFonts w:ascii="宋体" w:hAnsi="宋体" w:eastAsia="宋体" w:cs="Times New Roman"/>
      <w:szCs w:val="20"/>
    </w:rPr>
  </w:style>
  <w:style w:type="paragraph" w:styleId="676" w:customStyle="1">
    <w:name w:val="正文文本缩进1"/>
    <w:basedOn w:val="637"/>
    <w:uiPriority w:val="0"/>
    <w:unhideWhenUsed/>
    <w:qFormat/>
    <w:pPr>
      <w:ind w:left="420"/>
      <w:spacing w:after="120"/>
    </w:pPr>
  </w:style>
  <w:style w:type="table" w:styleId="677" w:customStyle="1">
    <w:name w:val="网格型1"/>
    <w:uiPriority w:val="59"/>
    <w:qFormat/>
    <w:tblPr>
      <w:tblCellMar>
        <w:left w:w="0" w:type="dxa"/>
        <w:top w:w="0" w:type="dxa"/>
        <w:right w:w="0" w:type="dxa"/>
        <w:bottom w:w="0" w:type="dxa"/>
      </w:tblCellMar>
    </w:tblPr>
  </w:style>
  <w:style w:type="table" w:styleId="678"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679" w:customStyle="1">
    <w:name w:val="表格"/>
    <w:basedOn w:val="646"/>
    <w:uiPriority w:val="0"/>
    <w:qFormat/>
    <w:rPr>
      <w:rFonts w:ascii="Arial" w:hAnsi="Arial"/>
    </w:rPr>
  </w:style>
  <w:style w:type="paragraph" w:styleId="680" w:customStyle="1">
    <w:name w:val="*正文"/>
    <w:basedOn w:val="637"/>
    <w:uiPriority w:val="99"/>
    <w:qFormat/>
    <w:pPr>
      <w:ind w:firstLine="482"/>
      <w:spacing w:line="360" w:lineRule="auto"/>
    </w:pPr>
    <w:rPr>
      <w:rFonts w:eastAsia="仿宋_GB2312"/>
      <w:sz w:val="28"/>
    </w:rPr>
  </w:style>
  <w:style w:type="character" w:styleId="681" w:customStyle="1">
    <w:name w:val="批注主题 字符"/>
    <w:basedOn w:val="667"/>
    <w:link w:val="655"/>
    <w:uiPriority w:val="99"/>
    <w:semiHidden/>
    <w:qFormat/>
    <w:rPr>
      <w:rFonts w:asciiTheme="minorHAnsi" w:hAnsiTheme="minorHAnsi" w:eastAsiaTheme="minorEastAsia" w:cstheme="minorBidi"/>
      <w:b/>
      <w:bCs/>
      <w:sz w:val="21"/>
      <w:szCs w:val="22"/>
    </w:rPr>
  </w:style>
  <w:style w:type="numbering" w:styleId="11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28b3c102-5874-40a8-958c-9d3255877cd9</errorID>
      <errorWord>（2022）002号</errorWord>
      <group>L1_Knowledge</group>
      <groupName>知识性问题</groupName>
      <ability>L2_Knowledge</ability>
      <abilityName>其他知识</abilityName>
      <candidateList>
        <item>〔2022〕2号</item>
      </candidateList>
      <explain>发文字号格式错误。</explain>
      <paraID>78340621</paraID>
      <start>16</start>
      <end>26</end>
      <status>unmodified</status>
      <modifiedWord/>
      <trackRevisions>false</trackRevisions>
    </reviewItem>
    <reviewItem>
      <errorID>592201ed-a2ed-4a15-8ebe-e11541a2fea0</errorID>
      <errorWord>间</errorWord>
      <group>L1_Word</group>
      <groupName>字词问题</groupName>
      <ability>L2_Typo</ability>
      <abilityName>字词错误</abilityName>
      <candidateList>
        <item>间之</item>
      </candidateList>
      <explain/>
      <paraID>2A019ED5</paraID>
      <start>10</start>
      <end>11</end>
      <status>unmodified</status>
      <modifiedWord/>
      <trackRevisions>false</trackRevisions>
    </reviewItem>
    <reviewItem>
      <errorID>399b2763-0f3f-4a06-b5f6-ef64747a1766</errorID>
      <errorWord>做无效投标</errorWord>
      <group>L1_Word</group>
      <groupName>字词问题</groupName>
      <ability>L2_Typo</ability>
      <abilityName>字词错误</abilityName>
      <candidateList>
        <item>作无效投标</item>
      </candidateList>
      <explain/>
      <paraID>741D9731</paraID>
      <start>54</start>
      <end>59</end>
      <status>unmodified</status>
      <modifiedWord/>
      <trackRevisions>false</trackRevisions>
    </reviewItem>
    <reviewItem>
      <errorID>e03067d8-816b-4c66-99aa-f53c5e97531e</errorID>
      <errorWord>做无效投标</errorWord>
      <group>L1_Word</group>
      <groupName>字词问题</groupName>
      <ability>L2_Typo</ability>
      <abilityName>字词错误</abilityName>
      <candidateList>
        <item>作无效投标</item>
      </candidateList>
      <explain/>
      <paraID>625C9800</paraID>
      <start>73</start>
      <end>78</end>
      <status>unmodified</status>
      <modifiedWord/>
      <trackRevisions>false</trackRevisions>
    </reviewItem>
    <reviewItem>
      <errorID>49b91a06-0097-473a-9038-0604ca6cdb77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2B403C46</paraID>
      <start>14</start>
      <end>17</end>
      <status>unmodified</status>
      <modifiedWord/>
      <trackRevisions>false</trackRevisions>
    </reviewItem>
    <reviewItem>
      <errorID>c3028455-54f5-4b4b-b402-ff5f6ef5b031</errorID>
      <errorWord>，</errorWord>
      <group>L1_Word</group>
      <groupName>字词问题</groupName>
      <ability>L2_Typo</ability>
      <abilityName>字词错误</abilityName>
      <candidateList>
        <item>，并</item>
      </candidateList>
      <explain/>
      <paraID>4CC97769</paraID>
      <start>68</start>
      <end>69</end>
      <status>unmodified</status>
      <modifiedWord/>
      <trackRevisions>false</trackRevisions>
    </reviewItem>
    <reviewItem>
      <errorID>f7194df7-9079-4586-a486-09875eac3476</errorID>
      <errorWord>保持通讯畅通</errorWord>
      <group>L1_Word</group>
      <groupName>字词问题</groupName>
      <ability>L2_Typo</ability>
      <abilityName>字词错误</abilityName>
      <candidateList>
        <item>保持通信畅通</item>
      </candidateList>
      <explain/>
      <paraID>73AB13E7</paraID>
      <start>18</start>
      <end>24</end>
      <status>unmodified</status>
      <modifiedWord/>
      <trackRevisions>false</trackRevisions>
    </reviewItem>
    <reviewItem>
      <errorID>9c23880a-e5de-44e6-89d1-1a552ba9720e</errorID>
      <errorWord>国家发改委</errorWord>
      <group>L1_Knowledge</group>
      <groupName>知识性问题</groupName>
      <ability>L2_Knowledge</ability>
      <abilityName>其他知识</abilityName>
      <candidateList>
        <item>国家发展改革委</item>
      </candidateList>
      <explain/>
      <paraID>24CE0884</paraID>
      <start>19</start>
      <end>24</end>
      <status>unmodified</status>
      <modifiedWord/>
      <trackRevisions>false</trackRevisions>
    </reviewItem>
    <reviewItem>
      <errorID>1d8dcda6-7b20-4283-90ca-2a9db65f5a6f</errorID>
      <errorWord>法律、法规</errorWord>
      <group>L1_Word</group>
      <groupName>字词问题</groupName>
      <ability>L2_Typo</ability>
      <abilityName>字词错误</abilityName>
      <candidateList>
        <item>法律法规</item>
      </candidateList>
      <explain/>
      <paraID>3392A1A1</paraID>
      <start>6</start>
      <end>11</end>
      <status>unmodified</status>
      <modifiedWord/>
      <trackRevisions>false</trackRevisions>
    </reviewItem>
    <reviewItem>
      <errorID>ec44a623-f7d5-42fa-abee-08c275dcce66</errorID>
      <errorWord>法律、法规执行</errorWord>
      <group>L1_Word</group>
      <groupName>字词问题</groupName>
      <ability>L2_Typo</ability>
      <abilityName>字词错误</abilityName>
      <candidateList>
        <item>法律法规执行</item>
      </candidateList>
      <explain/>
      <paraID>1ADA737B</paraID>
      <start>14</start>
      <end>21</end>
      <status>unmodified</status>
      <modifiedWord/>
      <trackRevisions>false</trackRevisions>
    </reviewItem>
    <reviewItem>
      <errorID>99f06dd5-82f4-4e6e-b9c7-2b7dc59ecc9e</errorID>
      <errorWord>&lt;</errorWord>
      <group>L1_Format</group>
      <groupName>格式问题</groupName>
      <ability>L2_HalfPunc_CN</ability>
      <abilityName>全半角问题</abilityName>
      <candidateList>
        <item>〈</item>
      </candidateList>
      <explain>文本全半角错误。</explain>
      <paraID>4A4607E1</paraID>
      <start>15</start>
      <end>16</end>
      <status>unmodified</status>
      <modifiedWord/>
      <trackRevisions>false</trackRevisions>
    </reviewItem>
    <reviewItem>
      <errorID>d041418c-e8b4-405d-a278-7156df63958b</errorID>
      <errorWord>&gt;的通知》</errorWord>
      <group>L1_Punc</group>
      <groupName>标点问题</groupName>
      <ability>L2_Punc_CN</ability>
      <abilityName>标点符号问题</abilityName>
      <candidateList>
        <item>〉的通知》</item>
      </candidateList>
      <explain/>
      <paraID>4A4607E1</paraID>
      <start>32</start>
      <end>37</end>
      <status>unmodified</status>
      <modifiedWord/>
      <trackRevisions>false</trackRevisions>
    </reviewItem>
    <reviewItem>
      <errorID>11ee7ae5-b8b5-4a5e-b1cb-2ada9401864c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5E391B41</paraID>
      <start>96</start>
      <end>99</end>
      <status>unmodified</status>
      <modifiedWord/>
      <trackRevisions>false</trackRevisions>
    </reviewItem>
    <reviewItem>
      <errorID>a87ab331-9d8a-43fd-8a16-fbe1123a2bf4</errorID>
      <errorWord>&lt;</errorWord>
      <group>L1_Format</group>
      <groupName>格式问题</groupName>
      <ability>L2_HalfPunc_CN</ability>
      <abilityName>全半角问题</abilityName>
      <candidateList>
        <item>〈</item>
      </candidateList>
      <explain>文本全半角错误。</explain>
      <paraID>79A3E3CB</paraID>
      <start>31</start>
      <end>32</end>
      <status>unmodified</status>
      <modifiedWord/>
      <trackRevisions>false</trackRevisions>
    </reviewItem>
    <reviewItem>
      <errorID>7c91889e-f2e4-45c8-a24f-712e481ac1d7</errorID>
      <errorWord>&gt;的通知》</errorWord>
      <group>L1_Punc</group>
      <groupName>标点问题</groupName>
      <ability>L2_Punc_CN</ability>
      <abilityName>标点符号问题</abilityName>
      <candidateList>
        <item>〉的通知》</item>
      </candidateList>
      <explain/>
      <paraID>79A3E3CB</paraID>
      <start>50</start>
      <end>55</end>
      <status>unmodified</status>
      <modifiedWord/>
      <trackRevisions>false</trackRevisions>
    </reviewItem>
    <reviewItem>
      <errorID>4be64283-a3ee-4af6-b21a-fd6b1482b795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72AE9349</paraID>
      <start>29</start>
      <end>32</end>
      <status>unmodified</status>
      <modifiedWord/>
      <trackRevisions>false</trackRevisions>
    </reviewItem>
    <reviewItem>
      <errorID>da30d7c9-76c8-4c98-99c9-40e0ebd14b67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72AE9349</paraID>
      <start>53</start>
      <end>56</end>
      <status>unmodified</status>
      <modifiedWord/>
      <trackRevisions>false</trackRevisions>
    </reviewItem>
    <reviewItem>
      <errorID>975a354f-5524-4c4d-afe1-4ac89be7a2f9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72AE9349</paraID>
      <start>78</start>
      <end>81</end>
      <status>unmodified</status>
      <modifiedWord/>
      <trackRevisions>false</trackRevisions>
    </reviewItem>
    <reviewItem>
      <errorID>6779fce8-c57c-409f-9020-c120fa9f9a74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72AE9349</paraID>
      <start>103</start>
      <end>106</end>
      <status>unmodified</status>
      <modifiedWord/>
      <trackRevisions>false</trackRevisions>
    </reviewItem>
    <reviewItem>
      <errorID>444e5982-cdf2-4b33-a694-9446f759ffd6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72AE9349</paraID>
      <start>125</start>
      <end>128</end>
      <status>unmodified</status>
      <modifiedWord/>
      <trackRevisions>false</trackRevisions>
    </reviewItem>
    <reviewItem>
      <errorID>258de418-67eb-4c40-a752-5d70c264e65f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72AE9349</paraID>
      <start>149</start>
      <end>152</end>
      <status>unmodified</status>
      <modifiedWord/>
      <trackRevisions>false</trackRevisions>
    </reviewItem>
    <reviewItem>
      <errorID>19a2a874-ed43-4ed3-a6a5-e247ad0fd5a6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72AE9349</paraID>
      <start>172</start>
      <end>175</end>
      <status>unmodified</status>
      <modifiedWord/>
      <trackRevisions>false</trackRevisions>
    </reviewItem>
    <reviewItem>
      <errorID>c707afd8-643b-463d-ae35-d5ef1322291f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60DDF2A1</paraID>
      <start>5</start>
      <end>10</end>
      <status>unmodified</status>
      <modifiedWord/>
      <trackRevisions>false</trackRevisions>
    </reviewItem>
    <reviewItem>
      <errorID>2418d348-b5c1-4d2f-9702-d5f8eec0a8bb</errorID>
      <errorWord>甲乙双方各执二份</errorWord>
      <group>L1_Word</group>
      <groupName>字词问题</groupName>
      <ability>L2_Typo</ability>
      <abilityName>字词错误</abilityName>
      <candidateList>
        <item>甲乙双方各执两份</item>
      </candidateList>
      <explain/>
      <paraID> 8DC89E3</paraID>
      <start>22</start>
      <end>30</end>
      <status>unmodified</status>
      <modifiedWord/>
      <trackRevisions>false</trackRevisions>
    </reviewItem>
    <reviewItem>
      <errorID>2f4f7908-591f-49c1-8ba5-902fb3aa0992</errorID>
      <errorWord>rpm</errorWord>
      <group>L1_Knowledge</group>
      <groupName>知识性问题</groupName>
      <ability>L2_Knowledge</ability>
      <abilityName>其他知识</abilityName>
      <candidateList/>
      <explain>非法定单位</explain>
      <paraID>230251E2</paraID>
      <start>17</start>
      <end>20</end>
      <status>unmodified</status>
      <modifiedWord/>
      <trackRevisions>false</trackRevisions>
    </reviewItem>
    <reviewItem>
      <errorID>65e19894-982c-402f-a127-98728d6843ae</errorID>
      <errorWord>最大秤量</errorWord>
      <group>L1_Word</group>
      <groupName>字词问题</groupName>
      <ability>L2_Typo</ability>
      <abilityName>字词错误</abilityName>
      <candidateList>
        <item>最大称量</item>
      </candidateList>
      <explain/>
      <paraID> 7D0E4ED</paraID>
      <start>3</start>
      <end>7</end>
      <status>unmodified</status>
      <modifiedWord/>
      <trackRevisions>false</trackRevisions>
    </reviewItem>
    <reviewItem>
      <errorID>7498d7fe-314f-43a7-b761-bd53f012d17a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27D24F61</paraID>
      <start>0</start>
      <end>2</end>
      <status>unmodified</status>
      <modifiedWord/>
      <trackRevisions>false</trackRevisions>
    </reviewItem>
    <reviewItem>
      <errorID>38d3bed1-5333-4c7c-a954-8f5f46e61556</errorID>
      <errorWord>&lt;</errorWord>
      <group>L1_Format</group>
      <groupName>格式问题</groupName>
      <ability>L2_HalfPunc_CN</ability>
      <abilityName>全半角问题</abilityName>
      <candidateList>
        <item>〈</item>
      </candidateList>
      <explain>文本全半角错误。</explain>
      <paraID>518F93CF</paraID>
      <start>7</start>
      <end>8</end>
      <status>unmodified</status>
      <modifiedWord/>
      <trackRevisions>false</trackRevisions>
    </reviewItem>
    <reviewItem>
      <errorID>6d4843e9-409e-415f-aff5-69fc3585e9cf</errorID>
      <errorWord>&lt;</errorWord>
      <group>L1_Format</group>
      <groupName>格式问题</groupName>
      <ability>L2_HalfPunc_CN</ability>
      <abilityName>全半角问题</abilityName>
      <candidateList>
        <item>〈</item>
      </candidateList>
      <explain>文本全半角错误。</explain>
      <paraID>7EEEE3BB</paraID>
      <start>7</start>
      <end>8</end>
      <status>unmodified</status>
      <modifiedWord/>
      <trackRevisions>false</trackRevisions>
    </reviewItem>
    <reviewItem>
      <errorID>c432e5fa-5f9a-4a5a-97e8-5ef338c8a168</errorID>
      <errorWord>对用</errorWord>
      <group>L1_Word</group>
      <groupName>字词问题</groupName>
      <ability>L2_Typo</ability>
      <abilityName>字词错误</abilityName>
      <candidateList>
        <item>对应</item>
      </candidateList>
      <explain>存在发音相近字词的误用。</explain>
      <paraID>6E36FC11</paraID>
      <start>17</start>
      <end>19</end>
      <status>unmodified</status>
      <modifiedWord/>
      <trackRevisions>false</trackRevisions>
    </reviewItem>
    <reviewItem>
      <errorID>f081d35d-25ec-4a10-b000-8d7e40cb88a2</errorID>
      <errorWord>rpm</errorWord>
      <group>L1_Knowledge</group>
      <groupName>知识性问题</groupName>
      <ability>L2_Knowledge</ability>
      <abilityName>其他知识</abilityName>
      <candidateList/>
      <explain>非法定单位</explain>
      <paraID>6E36FC11</paraID>
      <start>29</start>
      <end>32</end>
      <status>unmodified</status>
      <modifiedWord/>
      <trackRevisions>false</trackRevisions>
    </reviewItem>
    <reviewItem>
      <errorID>ea68f600-f507-4b67-b5ac-f7592ba886f7</errorID>
      <errorWord>~</errorWord>
      <group>L1_Format</group>
      <groupName>格式问题</groupName>
      <ability>L2_HalfPunc_CN</ability>
      <abilityName>全半角问题</abilityName>
      <candidateList>
        <item>～</item>
      </candidateList>
      <explain>文本全半角错误。</explain>
      <paraID>6B3C670F</paraID>
      <start>9</start>
      <end>10</end>
      <status>unmodified</status>
      <modifiedWord/>
      <trackRevisions>false</trackRevisions>
    </reviewItem>
    <reviewItem>
      <errorID>cb0f4740-ca11-48bb-a2db-7070560b8ea5</errorID>
      <errorWord>KW</errorWord>
      <group>L1_Word</group>
      <groupName>字词问题</groupName>
      <ability>L2_Typo</ability>
      <abilityName>字词错误</abilityName>
      <candidateList>
        <item>kW</item>
      </candidateList>
      <explain/>
      <paraID>361EEFEA</paraID>
      <start>8</start>
      <end>10</end>
      <status>unmodified</status>
      <modifiedWord/>
      <trackRevisions>false</trackRevisions>
    </reviewItem>
    <reviewItem>
      <errorID>3dd0fd89-110c-40c2-ab33-da5ed8c86ad7</errorID>
      <errorWord>：～</errorWord>
      <group>L1_Punc</group>
      <groupName>标点问题</groupName>
      <ability>L2_Punc_CN</ability>
      <abilityName>标点符号问题</abilityName>
      <candidateList>
        <item>：</item>
      </candidateList>
      <explain/>
      <paraID>1E3702B8</paraID>
      <start>5</start>
      <end>7</end>
      <status>unmodified</status>
      <modifiedWord/>
      <trackRevisions>false</trackRevisions>
    </reviewItem>
    <reviewItem>
      <errorID>0a507186-62ae-43ee-819b-f2a199ae533f</errorID>
      <errorWord>~</errorWord>
      <group>L1_Format</group>
      <groupName>格式问题</groupName>
      <ability>L2_HalfPunc_CN</ability>
      <abilityName>全半角问题</abilityName>
      <candidateList>
        <item>～</item>
      </candidateList>
      <explain>文本全半角错误。</explain>
      <paraID>3042F503</paraID>
      <start>9</start>
      <end>10</end>
      <status>unmodified</status>
      <modifiedWord/>
      <trackRevisions>false</trackRevisions>
    </reviewItem>
    <reviewItem>
      <errorID>12105ac0-5b31-4642-bb87-bcb9c451b21d</errorID>
      <errorWord>：~</errorWord>
      <group>L1_Punc</group>
      <groupName>标点问题</groupName>
      <ability>L2_Punc_CN</ability>
      <abilityName>标点符号问题</abilityName>
      <candidateList>
        <item>：</item>
      </candidateList>
      <explain/>
      <paraID>3042F503</paraID>
      <start>18</start>
      <end>20</end>
      <status>unmodified</status>
      <modifiedWord/>
      <trackRevisions>false</trackRevisions>
    </reviewItem>
    <reviewItem>
      <errorID>59c48bb0-856c-41ed-b30c-efda7130c83d</errorID>
      <errorWord>窗</errorWord>
      <group>L1_Word</group>
      <groupName>字词问题</groupName>
      <ability>L2_Typo</ability>
      <abilityName>字词错误</abilityName>
      <candidateList>
        <item>窗口</item>
      </candidateList>
      <explain/>
      <paraID>16A9B980</paraID>
      <start>5</start>
      <end>6</end>
      <status>unmodified</status>
      <modifiedWord/>
      <trackRevisions>false</trackRevisions>
    </reviewItem>
    <reviewItem>
      <errorID>ccf34364-43bd-481f-8efd-c9b102aaa29f</errorID>
      <errorWord>~</errorWord>
      <group>L1_Format</group>
      <groupName>格式问题</groupName>
      <ability>L2_HalfPunc_CN</ability>
      <abilityName>全半角问题</abilityName>
      <candidateList>
        <item>～</item>
      </candidateList>
      <explain>文本全半角错误。</explain>
      <paraID> EE906FA</paraID>
      <start>9</start>
      <end>10</end>
      <status>unmodified</status>
      <modifiedWord/>
      <trackRevisions>false</trackRevisions>
    </reviewItem>
    <reviewItem>
      <errorID>bb0fffd1-52c9-402c-8216-29cb3879879a</errorID>
      <errorWord>：~</errorWord>
      <group>L1_Punc</group>
      <groupName>标点问题</groupName>
      <ability>L2_Punc_CN</ability>
      <abilityName>标点符号问题</abilityName>
      <candidateList>
        <item>：</item>
      </candidateList>
      <explain/>
      <paraID>4C10A774</paraID>
      <start>7</start>
      <end>9</end>
      <status>unmodified</status>
      <modifiedWord/>
      <trackRevisions>false</trackRevisions>
    </reviewItem>
    <reviewItem>
      <errorID>5a930e67-6829-4e39-bba8-4f19ab668f23</errorID>
      <errorWord>备</errorWord>
      <group>L1_Word</group>
      <groupName>字词问题</groupName>
      <ability>L2_Typo</ability>
      <abilityName>字词错误</abilityName>
      <candidateList>
        <item>备一</item>
      </candidateList>
      <explain/>
      <paraID>7FEF597F</paraID>
      <start>6</start>
      <end>7</end>
      <status>unmodified</status>
      <modifiedWord/>
      <trackRevisions>false</trackRevisions>
    </reviewItem>
    <reviewItem>
      <errorID>8027b3e2-1ae2-458d-85ea-3e8aa2d8670a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60D80D4A</paraID>
      <start>45</start>
      <end>46</end>
      <status>unmodified</status>
      <modifiedWord/>
      <trackRevisions>false</trackRevisions>
    </reviewItem>
    <reviewItem>
      <errorID>010b976c-6dfd-4860-941b-cc87e752d2d8</errorID>
      <errorWord>泄露</errorWord>
      <group>L1_Word</group>
      <groupName>字词问题</groupName>
      <ability>L2_Typo</ability>
      <abilityName>字词错误</abilityName>
      <candidateList>
        <item>泄漏</item>
      </candidateList>
      <explain>存在发音相同字词的误用。</explain>
      <paraID>60D80D4A</paraID>
      <start>112</start>
      <end>114</end>
      <status>unmodified</status>
      <modifiedWord/>
      <trackRevisions>false</trackRevisions>
    </reviewItem>
    <reviewItem>
      <errorID>8c2525fa-2f9b-427c-b6d7-5537c51cd4c8</errorID>
      <errorWord>~</errorWord>
      <group>L1_Format</group>
      <groupName>格式问题</groupName>
      <ability>L2_HalfPunc_CN</ability>
      <abilityName>全半角问题</abilityName>
      <candidateList>
        <item>～</item>
      </candidateList>
      <explain>文本全半角错误。</explain>
      <paraID>6CFE65C2</paraID>
      <start>10</start>
      <end>11</end>
      <status>unmodified</status>
      <modifiedWord/>
      <trackRevisions>false</trackRevisions>
    </reviewItem>
    <reviewItem>
      <errorID>0fc8cdd4-073f-4dd3-b19a-446599988af1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12A96342</paraID>
      <start>9</start>
      <end>10</end>
      <status>unmodified</status>
      <modifiedWord/>
      <trackRevisions>false</trackRevisions>
    </reviewItem>
    <reviewItem>
      <errorID>2dee7cc3-6c60-4488-8960-293672b4dc82</errorID>
      <errorWord>rpm</errorWord>
      <group>L1_Knowledge</group>
      <groupName>知识性问题</groupName>
      <ability>L2_Knowledge</ability>
      <abilityName>其他知识</abilityName>
      <candidateList/>
      <explain>非法定单位</explain>
      <paraID>308C6BD1</paraID>
      <start>17</start>
      <end>20</end>
      <status>unmodified</status>
      <modifiedWord/>
      <trackRevisions>false</trackRevisions>
    </reviewItem>
    <reviewItem>
      <errorID>38d45d10-0977-4311-b81e-df98afed2f50</errorID>
      <errorWord>~</errorWord>
      <group>L1_Format</group>
      <groupName>格式问题</groupName>
      <ability>L2_HalfPunc_CN</ability>
      <abilityName>全半角问题</abilityName>
      <candidateList>
        <item>～</item>
      </candidateList>
      <explain>文本全半角错误。</explain>
      <paraID>5252191C</paraID>
      <start>7</start>
      <end>8</end>
      <status>unmodified</status>
      <modifiedWord/>
      <trackRevisions>false</trackRevisions>
    </reviewItem>
    <reviewItem>
      <errorID>fd2fe549-1a8b-4718-95ae-4639fa78d9d1</errorID>
      <errorWord>:</errorWord>
      <group>L1_Format</group>
      <groupName>格式问题</groupName>
      <ability>L2_HalfPunc_CN</ability>
      <abilityName>全半角问题</abilityName>
      <candidateList>
        <item>：</item>
      </candidateList>
      <explain>文本全半角错误。</explain>
      <paraID>5A52743E</paraID>
      <start>22</start>
      <end>23</end>
      <status>unmodified</status>
      <modifiedWord/>
      <trackRevisions>false</trackRevisions>
    </reviewItem>
    <reviewItem>
      <errorID>efb980bb-433e-4536-89d8-854f0f65b886</errorID>
      <errorWord>WiFi</errorWord>
      <group>L1_Punc</group>
      <groupName>标点问题</groupName>
      <ability>L2_Punc_CN</ability>
      <abilityName>标点符号问题</abilityName>
      <candidateList>
        <item>Wi-Fi</item>
      </candidateList>
      <explain/>
      <paraID>3D93B8A3</paraID>
      <start>67</start>
      <end>71</end>
      <status>unmodified</status>
      <modifiedWord/>
      <trackRevisions>false</trackRevisions>
    </reviewItem>
    <reviewItem>
      <errorID>f689133b-68f1-4c5e-b0fd-9a22152028e4</errorID>
      <errorWord>华式温标</errorWord>
      <group>L1_Word</group>
      <groupName>字词问题</groupName>
      <ability>L2_Typo</ability>
      <abilityName>字词错误</abilityName>
      <candidateList>
        <item>华氏温标</item>
      </candidateList>
      <explain>存在发音相同字词的误用。</explain>
      <paraID>1D79954D</paraID>
      <start>49</start>
      <end>53</end>
      <status>unmodified</status>
      <modifiedWord/>
      <trackRevisions>false</trackRevisions>
    </reviewItem>
    <reviewItem>
      <errorID>e9ace5c5-5b1a-4e39-8142-d7d0daef4fcd</errorID>
      <errorWord>链接</errorWord>
      <group>L1_Word</group>
      <groupName>字词问题</groupName>
      <ability>L2_Typo</ability>
      <abilityName>字词错误</abilityName>
      <candidateList>
        <item>连接</item>
      </candidateList>
      <explain>存在发音相同字词的误用。</explain>
      <paraID>1D79954D</paraID>
      <start>180</start>
      <end>182</end>
      <status>unmodified</status>
      <modifiedWord/>
      <trackRevisions>false</trackRevisions>
    </reviewItem>
    <reviewItem>
      <errorID>5f39be2b-f8a8-4c6e-a799-41fedc71635b</errorID>
      <errorWord>噪音</errorWord>
      <group>L1_Word</group>
      <groupName>字词问题</groupName>
      <ability>L2_Alias</ability>
      <abilityName>也作/曾用词</abilityName>
      <candidateList>
        <item>噪声</item>
      </candidateList>
      <explain>词汇[噪音]为不规范表述或旧称，其规范书面表述为[噪声]。</explain>
      <paraID>65AD49B3</paraID>
      <start>3</start>
      <end>5</end>
      <status>unmodified</status>
      <modifiedWord/>
      <trackRevisions>false</trackRevisions>
    </reviewItem>
    <reviewItem>
      <errorID>abd349f6-c16f-4864-bb79-0f724d56488e</errorID>
      <errorWord>控制稳</errorWord>
      <group>L1_Word</group>
      <groupName>字词问题</groupName>
      <ability>L2_Typo</ability>
      <abilityName>字词错误</abilityName>
      <candidateList>
        <item>控制</item>
      </candidateList>
      <explain/>
      <paraID> 11D6501</paraID>
      <start>63</start>
      <end>66</end>
      <status>unmodified</status>
      <modifiedWord/>
      <trackRevisions>false</trackRevisions>
    </reviewItem>
    <reviewItem>
      <errorID>6687a955-c6b6-441e-b593-3c7d65c0d3b6</errorID>
      <errorWord>灯</errorWord>
      <group>L1_Word</group>
      <groupName>字词问题</groupName>
      <ability>L2_Typo</ability>
      <abilityName>字词错误</abilityName>
      <candidateList>
        <item>等</item>
      </candidateList>
      <explain/>
      <paraID>4841EDA7</paraID>
      <start>30</start>
      <end>31</end>
      <status>unmodified</status>
      <modifiedWord/>
      <trackRevisions>false</trackRevisions>
    </reviewItem>
    <reviewItem>
      <errorID>ce6dd1ab-a703-4056-b7bc-c864f62686d8</errorID>
      <errorWord>：~</errorWord>
      <group>L1_Punc</group>
      <groupName>标点问题</groupName>
      <ability>L2_Punc_CN</ability>
      <abilityName>标点符号问题</abilityName>
      <candidateList>
        <item>：</item>
      </candidateList>
      <explain/>
      <paraID>5D859DD3</paraID>
      <start>5</start>
      <end>7</end>
      <status>unmodified</status>
      <modifiedWord/>
      <trackRevisions>false</trackRevisions>
    </reviewItem>
    <reviewItem>
      <errorID>e1c22b35-eacd-402f-8cbb-d633e6891bf9</errorID>
      <errorWord>木制</errorWord>
      <group>L1_Word</group>
      <groupName>字词问题</groupName>
      <ability>L2_Typo</ability>
      <abilityName>字词错误</abilityName>
      <candidateList>
        <item>木质</item>
      </candidateList>
      <explain>存在发音相同字词的误用。</explain>
      <paraID>21F7DD12</paraID>
      <start>3</start>
      <end>5</end>
      <status>unmodified</status>
      <modifiedWord/>
      <trackRevisions>false</trackRevisions>
    </reviewItem>
    <reviewItem>
      <errorID>93b4bda7-c975-4bd3-88df-0ba4034b1010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3C379D05</paraID>
      <start>0</start>
      <end>2</end>
      <status>unmodified</status>
      <modifiedWord/>
      <trackRevisions>false</trackRevisions>
    </reviewItem>
    <reviewItem>
      <errorID>4f3a2560-110a-4ebc-b553-9a6b4e2b819b</errorID>
      <errorWord>实施的</errorWord>
      <group>L1_Word</group>
      <groupName>字词问题</groupName>
      <ability>L2_Typo</ability>
      <abilityName>字词错误</abilityName>
      <candidateList>
        <item>实施</item>
      </candidateList>
      <explain/>
      <paraID>3C379D05</paraID>
      <start>4</start>
      <end>7</end>
      <status>unmodified</status>
      <modifiedWord/>
      <trackRevisions>false</trackRevisions>
    </reviewItem>
    <reviewItem>
      <errorID>c3ae0be5-3142-43a2-af6c-1f5ac0701d1c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3C8F9F82</paraID>
      <start>0</start>
      <end>2</end>
      <status>unmodified</status>
      <modifiedWord/>
      <trackRevisions>false</trackRevisions>
    </reviewItem>
    <reviewItem>
      <errorID>d65ade88-c11e-4341-a50b-da0fe5c572b8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1B4353C6</paraID>
      <start>0</start>
      <end>2</end>
      <status>unmodified</status>
      <modifiedWord/>
      <trackRevisions>false</trackRevisions>
    </reviewItem>
    <reviewItem>
      <errorID>65ea9b40-570b-4370-8c51-6ceb0ed9c308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7DD83732</paraID>
      <start>0</start>
      <end>2</end>
      <status>unmodified</status>
      <modifiedWord/>
      <trackRevisions>false</trackRevisions>
    </reviewItem>
    <reviewItem>
      <errorID>9c7c4e91-aa03-49d5-8c4c-d542f59a861f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59BF532D</paraID>
      <start>0</start>
      <end>2</end>
      <status>unmodified</status>
      <modifiedWord/>
      <trackRevisions>false</trackRevisions>
    </reviewItem>
    <reviewItem>
      <errorID>575559da-4c6e-45d6-86f1-b6e64c1f638e</errorID>
      <errorWord>成</errorWord>
      <group>L1_Word</group>
      <groupName>字词问题</groupName>
      <ability>L2_Typo</ability>
      <abilityName>字词错误</abilityName>
      <candidateList>
        <item>成后</item>
      </candidateList>
      <explain/>
      <paraID>59BF532D</paraID>
      <start>26</start>
      <end>27</end>
      <status>unmodified</status>
      <modifiedWord/>
      <trackRevisions>false</trackRevisions>
    </reviewItem>
    <reviewItem>
      <errorID>b00adf45-b171-406e-9c45-58a59d2379f7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616920E7</paraID>
      <start>0</start>
      <end>2</end>
      <status>unmodified</status>
      <modifiedWord/>
      <trackRevisions>false</trackRevisions>
    </reviewItem>
    <reviewItem>
      <errorID>577a197a-0756-420f-82a5-e0534c68e145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7F85E69E</paraID>
      <start>0</start>
      <end>2</end>
      <status>unmodified</status>
      <modifiedWord/>
      <trackRevisions>false</trackRevisions>
    </reviewItem>
    <reviewItem>
      <errorID>6706b56f-6af5-40d6-978d-9e4cde15dd49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79BB0590</paraID>
      <start>0</start>
      <end>2</end>
      <status>unmodified</status>
      <modifiedWord/>
      <trackRevisions>false</trackRevisions>
    </reviewItem>
    <reviewItem>
      <errorID>15ecdac5-9e85-4489-a88d-af0a109a4484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720DB37A</paraID>
      <start>0</start>
      <end>2</end>
      <status>unmodified</status>
      <modifiedWord/>
      <trackRevisions>false</trackRevisions>
    </reviewItem>
    <reviewItem>
      <errorID>de6d9161-b1e2-4f64-99d3-af141a50dc7b</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6223311D</paraID>
      <start>206</start>
      <end>211</end>
      <status>unmodified</status>
      <modifiedWord/>
      <trackRevisions>false</trackRevisions>
    </reviewItem>
    <reviewItem>
      <errorID>7a052dd9-8042-4996-8528-a0de553b08e0</errorID>
      <errorWord>；</errorWord>
      <group>L1_Word</group>
      <groupName>字词问题</groupName>
      <ability>L2_Typo</ability>
      <abilityName>字词错误</abilityName>
      <candidateList>
        <item>；具</item>
      </candidateList>
      <explain/>
      <paraID>3F4949E9</paraID>
      <start>64</start>
      <end>65</end>
      <status>unmodified</status>
      <modifiedWord/>
      <trackRevisions>false</trackRevisions>
    </reviewItem>
    <reviewItem>
      <errorID>3f00614a-384a-46b2-b7c8-efa7c3c94ac0</errorID>
      <errorWord>,</errorWord>
      <group>L1_Format</group>
      <groupName>格式问题</groupName>
      <ability>L2_HalfPunc_CN</ability>
      <abilityName>全半角问题</abilityName>
      <candidateList>
        <item>，</item>
      </candidateList>
      <explain>文本全半角错误。</explain>
      <paraID>5F9B0C64</paraID>
      <start>47</start>
      <end>48</end>
      <status>unmodified</status>
      <modifiedWord/>
      <trackRevisions>false</trackRevisions>
    </reviewItem>
    <reviewItem>
      <errorID>542f0244-8814-4bdc-b232-57eda2d158b4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790157FA</paraID>
      <start>0</start>
      <end>2</end>
      <status>unmodified</status>
      <modifiedWord/>
      <trackRevisions>false</trackRevisions>
    </reviewItem>
    <reviewItem>
      <errorID>e39ea477-3c7e-4d80-9074-216aaf833412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537B237</paraID>
      <start>0</start>
      <end>2</end>
      <status>unmodified</status>
      <modifiedWord/>
      <trackRevisions>false</trackRevisions>
    </reviewItem>
    <reviewItem>
      <errorID>356d1e24-f8c1-48b2-b22c-d07cf843c17e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71EF7191</paraID>
      <start>0</start>
      <end>2</end>
      <status>unmodified</status>
      <modifiedWord/>
      <trackRevisions>false</trackRevisions>
    </reviewItem>
    <reviewItem>
      <errorID>c634d1e3-0eb3-4690-b316-f3d66dc94779</errorID>
      <errorWord>,</errorWord>
      <group>L1_Format</group>
      <groupName>格式问题</groupName>
      <ability>L2_HalfPunc_CN</ability>
      <abilityName>全半角问题</abilityName>
      <candidateList>
        <item>，</item>
      </candidateList>
      <explain>文本全半角错误。</explain>
      <paraID>44805937</paraID>
      <start>8</start>
      <end>9</end>
      <status>unmodified</status>
      <modifiedWord/>
      <trackRevisions>false</trackRevisions>
    </reviewItem>
    <reviewItem>
      <errorID>ef3d8417-44ac-4a71-a296-b994f43eec58</errorID>
      <errorWord>,</errorWord>
      <group>L1_Format</group>
      <groupName>格式问题</groupName>
      <ability>L2_HalfPunc_CN</ability>
      <abilityName>全半角问题</abilityName>
      <candidateList>
        <item>，</item>
      </candidateList>
      <explain>文本全半角错误。</explain>
      <paraID>44805937</paraID>
      <start>34</start>
      <end>35</end>
      <status>unmodified</status>
      <modifiedWord/>
      <trackRevisions>false</trackRevisions>
    </reviewItem>
    <reviewItem>
      <errorID>596e189d-6042-4f87-a592-73669be691f1</errorID>
      <errorWord>间</errorWord>
      <group>L1_Word</group>
      <groupName>字词问题</groupName>
      <ability>L2_Typo</ability>
      <abilityName>字词错误</abilityName>
      <candidateList>
        <item>间内</item>
      </candidateList>
      <explain/>
      <paraID>44805937</paraID>
      <start>47</start>
      <end>48</end>
      <status>unmodified</status>
      <modifiedWord/>
      <trackRevisions>false</trackRevisions>
    </reviewItem>
    <reviewItem>
      <errorID>04d7e6b1-dacd-440b-a6bb-bc03507a0d68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1FD9A9F9</paraID>
      <start>0</start>
      <end>2</end>
      <status>unmodified</status>
      <modifiedWord/>
      <trackRevisions>false</trackRevisions>
    </reviewItem>
    <reviewItem>
      <errorID>fc75a2eb-87ea-4b76-8bb2-0c0c646a21a9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638BF124</paraID>
      <start>0</start>
      <end>2</end>
      <status>unmodified</status>
      <modifiedWord/>
      <trackRevisions>false</trackRevisions>
    </reviewItem>
    <reviewItem>
      <errorID>2fe6ed25-8ae0-4dde-9d12-4b2bb53b360c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64A84666</paraID>
      <start>0</start>
      <end>2</end>
      <status>unmodified</status>
      <modifiedWord/>
      <trackRevisions>false</trackRevisions>
    </reviewItem>
    <reviewItem>
      <errorID>80f09898-0f7c-4cd3-8c9f-6e5673a08736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2CE609C7</paraID>
      <start>0</start>
      <end>2</end>
      <status>unmodified</status>
      <modifiedWord/>
      <trackRevisions>false</trackRevisions>
    </reviewItem>
    <reviewItem>
      <errorID>8b248f3b-2eb0-44cf-9f46-7a1cabdc377f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6580B49D</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403AA7-EBF1-4920-AFE6-09D42ECCDA56}"/>
</file>

<file path=customXml/itemProps2.xml><?xml version="1.0" encoding="utf-8"?>
<ds:datastoreItem xmlns:ds="http://schemas.openxmlformats.org/officeDocument/2006/customXml" ds:itemID="{298E5B2B-544B-40FC-B243-0F9FD9684A4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杜林</cp:lastModifiedBy>
  <cp:revision>5</cp:revision>
  <dcterms:created xsi:type="dcterms:W3CDTF">2026-09-04T06:20:00Z</dcterms:created>
  <dcterms:modified xsi:type="dcterms:W3CDTF">2026-09-22T02:57:41Z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eyJoZGlkIjoiN2NiZjJlYWIyZDQ0MDc0MTViNDdkMWUwOWY0YjcyMjYiLCJ1c2VySWQiOiI2NjEwNjMyNTEifQ==</vt:lpwstr>
  </property>
  <property fmtid="{D5CDD505-2E9C-101B-9397-08002B2CF9AE}" pid="3" name="KSOProductBuildVer">
    <vt:lpwstr>2052-12.1.0.28043</vt:lpwstr>
  </property>
  <property fmtid="{D5CDD505-2E9C-101B-9397-08002B2CF9AE}" pid="4" name="ICV">
    <vt:lpwstr>360993B7F18C4DC0AC6A60C3C1A3241A_13</vt:lpwstr>
  </property>
</Properties>
</file>