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560"/>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560"/>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pStyle w:val="894"/>
        <w:jc w:val="center"/>
        <w:rPr>
          <w:rFonts w:hint="eastAsia" w:ascii="宋体" w:hAnsi="宋体" w:cs="宋体"/>
          <w:b/>
          <w:sz w:val="56"/>
          <w:szCs w:val="56"/>
          <w:highlight w:val="none"/>
        </w:rPr>
      </w:pPr>
      <w:r>
        <w:rPr>
          <w:rFonts w:hint="eastAsia" w:ascii="宋体" w:hAnsi="宋体" w:cs="宋体"/>
          <w:b/>
          <w:sz w:val="56"/>
          <w:szCs w:val="56"/>
          <w:highlight w:val="none"/>
        </w:rPr>
        <w:t xml:space="preserve">2026年高效液相色谱仪飞行时间质谱联用仪等35台大型仪器运维服务采购</w:t>
      </w:r>
      <w:r/>
    </w:p>
    <w:p>
      <w:pPr>
        <w:pStyle w:val="894"/>
        <w:jc w:val="center"/>
        <w:rPr>
          <w:rFonts w:hint="eastAsia" w:ascii="宋体" w:hAnsi="宋体" w:cs="宋体"/>
          <w:b/>
          <w:sz w:val="56"/>
          <w:szCs w:val="56"/>
          <w:highlight w:val="none"/>
        </w:rPr>
      </w:pPr>
      <w:r>
        <w:rPr>
          <w:rFonts w:hint="eastAsia" w:ascii="宋体" w:hAnsi="宋体" w:cs="宋体"/>
          <w:b/>
          <w:sz w:val="56"/>
          <w:szCs w:val="56"/>
          <w:highlight w:val="none"/>
        </w:rPr>
      </w:r>
      <w:r/>
    </w:p>
    <w:p>
      <w:pPr>
        <w:pStyle w:val="1089"/>
        <w:jc w:val="center"/>
        <w:rPr>
          <w:rFonts w:hint="eastAsia" w:hAnsi="宋体" w:cs="宋体"/>
          <w:b/>
          <w:sz w:val="84"/>
          <w:szCs w:val="84"/>
          <w:highlight w:val="none"/>
        </w:rPr>
      </w:pPr>
      <w:r>
        <w:rPr>
          <w:rFonts w:hint="eastAsia" w:hAnsi="宋体" w:cs="宋体"/>
          <w:b/>
          <w:sz w:val="84"/>
          <w:szCs w:val="84"/>
          <w:highlight w:val="none"/>
        </w:rPr>
        <w:t xml:space="preserve">单一来源采购文件</w:t>
      </w:r>
      <w:r/>
    </w:p>
    <w:p>
      <w:pPr>
        <w:jc w:val="center"/>
        <w:spacing w:line="440" w:lineRule="exact"/>
        <w:rPr>
          <w:rFonts w:hint="eastAsia" w:ascii="宋体" w:hAnsi="宋体" w:cs="宋体"/>
          <w:b/>
          <w:sz w:val="96"/>
          <w:highlight w:val="none"/>
        </w:rPr>
      </w:pPr>
      <w:r>
        <w:rPr>
          <w:rFonts w:hint="eastAsia" w:ascii="宋体" w:hAnsi="宋体" w:cs="宋体"/>
          <w:b/>
          <w:sz w:val="96"/>
          <w:highlight w:val="none"/>
        </w:rPr>
      </w:r>
      <w:r/>
    </w:p>
    <w:p>
      <w:pPr>
        <w:ind w:right="640"/>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项目编号：</w:t>
      </w:r>
      <w:r>
        <w:rPr>
          <w:rFonts w:hint="eastAsia" w:ascii="宋体" w:hAnsi="宋体" w:cs="宋体"/>
          <w:b/>
          <w:color w:val="000000"/>
          <w:sz w:val="32"/>
          <w:szCs w:val="32"/>
          <w:highlight w:val="none"/>
          <w:lang w:eastAsia="zh-CN"/>
        </w:rPr>
        <w:t xml:space="preserve">JSZC-320000-JITC-D2026-0327</w:t>
      </w:r>
      <w:r/>
    </w:p>
    <w:p>
      <w:pPr>
        <w:ind w:right="640"/>
        <w:spacing w:line="360" w:lineRule="auto"/>
        <w:tabs>
          <w:tab w:val="left" w:pos="4794" w:leader="none"/>
        </w:tabs>
        <w:rPr>
          <w:rFonts w:hint="eastAsia" w:ascii="宋体" w:hAnsi="宋体" w:cs="宋体"/>
          <w:sz w:val="32"/>
          <w:highlight w:val="none"/>
        </w:rPr>
      </w:pPr>
      <w:r>
        <w:rPr>
          <w:rFonts w:hint="eastAsia" w:ascii="宋体" w:hAnsi="宋体" w:cs="宋体"/>
          <w:sz w:val="32"/>
          <w:highlight w:val="none"/>
        </w:rPr>
        <w:tab/>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jc w:val="center"/>
        <w:spacing w:line="360" w:lineRule="auto"/>
        <w:tabs>
          <w:tab w:val="left" w:pos="360" w:leader="none"/>
        </w:tabs>
        <w:rPr>
          <w:rFonts w:hint="eastAsia" w:ascii="宋体" w:hAnsi="宋体" w:eastAsia="宋体" w:cs="宋体"/>
          <w:b/>
          <w:sz w:val="32"/>
          <w:highlight w:val="none"/>
          <w:lang w:eastAsia="zh-CN"/>
        </w:rPr>
      </w:pPr>
      <w:r>
        <w:rPr>
          <w:rFonts w:hint="eastAsia" w:ascii="宋体" w:hAnsi="宋体" w:cs="宋体"/>
          <w:b/>
          <w:sz w:val="32"/>
          <w:highlight w:val="none"/>
        </w:rPr>
        <w:t xml:space="preserve">采购人：</w:t>
      </w:r>
      <w:r>
        <w:rPr>
          <w:rFonts w:hint="eastAsia" w:ascii="宋体" w:hAnsi="宋体" w:cs="宋体"/>
          <w:b/>
          <w:sz w:val="32"/>
          <w:highlight w:val="none"/>
          <w:lang w:eastAsia="zh-CN"/>
        </w:rPr>
        <w:t xml:space="preserve">江苏省药品监督检验研究院</w:t>
      </w:r>
      <w:r/>
    </w:p>
    <w:p>
      <w:pPr>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p>
    <w:p>
      <w:pPr>
        <w:jc w:val="center"/>
        <w:rPr>
          <w:rFonts w:hint="eastAsia" w:ascii="宋体" w:hAnsi="宋体" w:cs="宋体"/>
          <w:b/>
          <w:sz w:val="32"/>
          <w:highlight w:val="none"/>
        </w:rPr>
      </w:pPr>
      <w:r>
        <w:rPr>
          <w:rFonts w:hint="eastAsia" w:ascii="宋体" w:hAnsi="宋体" w:cs="宋体"/>
          <w:b/>
          <w:sz w:val="32"/>
          <w:highlight w:val="none"/>
        </w:rPr>
        <w:t xml:space="preserve">二O二六年</w:t>
      </w:r>
      <w:r>
        <w:rPr>
          <w:rFonts w:hint="eastAsia" w:ascii="宋体" w:hAnsi="宋体" w:cs="宋体"/>
          <w:b/>
          <w:sz w:val="32"/>
          <w:highlight w:val="none"/>
          <w:lang w:val="en-US" w:eastAsia="zh-CN"/>
        </w:rPr>
        <w:t xml:space="preserve">九</w:t>
      </w:r>
      <w:r>
        <w:rPr>
          <w:rFonts w:hint="eastAsia" w:ascii="宋体" w:hAnsi="宋体" w:cs="宋体"/>
          <w:b/>
          <w:sz w:val="32"/>
          <w:highlight w:val="none"/>
        </w:rPr>
        <w:t xml:space="preserve">月</w:t>
      </w:r>
      <w:r/>
    </w:p>
    <w:p>
      <w:pPr>
        <w:spacing w:line="500" w:lineRule="exact"/>
        <w:rPr>
          <w:rFonts w:hint="eastAsia" w:ascii="宋体" w:hAnsi="宋体" w:cs="宋体"/>
          <w:b/>
          <w:sz w:val="32"/>
          <w:szCs w:val="32"/>
          <w:highlight w:val="none"/>
        </w:rPr>
        <w:sectPr>
          <w:headerReference w:type="default" r:id="rId9"/>
          <w:headerReference w:type="first" r:id="rId10"/>
          <w:footerReference w:type="default" r:id="rId11"/>
          <w:footerReference w:type="firs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目   录</w:t>
      </w:r>
      <w:bookmarkEnd w:id="0"/>
      <w:bookmarkEnd w:id="1"/>
      <w:r/>
    </w:p>
    <w:p>
      <w:pPr>
        <w:pStyle w:val="911"/>
        <w:rPr>
          <w:rFonts w:hint="eastAsia" w:ascii="宋体" w:hAnsi="宋体" w:cs="宋体"/>
          <w:highlight w:val="none"/>
        </w:rPr>
      </w:pPr>
      <w:r/>
      <w:bookmarkStart w:id="2" w:name="_Toc107246211"/>
      <w:r/>
      <w:bookmarkStart w:id="3" w:name="_Toc80264697"/>
      <w:r/>
      <w:bookmarkStart w:id="4" w:name="_Toc80792688"/>
      <w:r/>
      <w:bookmarkStart w:id="5" w:name="_Toc71561877"/>
      <w:r/>
      <w:bookmarkStart w:id="6" w:name="_Toc80264704"/>
      <w:r/>
      <w:r/>
    </w:p>
    <w:sdt>
      <w:sdtPr>
        <w15:appearance w15:val="boundingBox"/>
        <w15:color w:val="dbdbdb"/>
        <w:id w:val="147472163"/>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901"/>
            <w:spacing w:line="360" w:lineRule="auto"/>
            <w:tabs>
              <w:tab w:val="right" w:pos="8844" w:leader="dot"/>
            </w:tabs>
            <w:rPr>
              <w:sz w:val="28"/>
              <w:szCs w:val="36"/>
            </w:rPr>
          </w:pPr>
          <w:r>
            <w:rPr>
              <w:rFonts w:hint="eastAsia"/>
              <w:sz w:val="28"/>
              <w:szCs w:val="36"/>
            </w:rPr>
            <w:fldChar w:fldCharType="begin"/>
          </w:r>
          <w:r>
            <w:rPr>
              <w:rFonts w:hint="eastAsia"/>
              <w:sz w:val="28"/>
              <w:szCs w:val="36"/>
            </w:rPr>
            <w:instrText xml:space="preserve">TOC \o "1-1" \h \u </w:instrText>
          </w:r>
          <w:r>
            <w:rPr>
              <w:rFonts w:hint="eastAsia"/>
              <w:sz w:val="28"/>
              <w:szCs w:val="36"/>
            </w:rPr>
            <w:fldChar w:fldCharType="separate"/>
          </w:r>
          <w:r>
            <w:rPr>
              <w:rFonts w:hint="eastAsia"/>
              <w:sz w:val="28"/>
              <w:szCs w:val="36"/>
            </w:rPr>
            <w:fldChar w:fldCharType="begin"/>
          </w:r>
          <w:r>
            <w:rPr>
              <w:rFonts w:hint="eastAsia"/>
              <w:sz w:val="28"/>
              <w:szCs w:val="36"/>
            </w:rPr>
            <w:instrText xml:space="preserve"> HYPERLINK \l _Toc8970 </w:instrText>
          </w:r>
          <w:r>
            <w:rPr>
              <w:rFonts w:hint="eastAsia"/>
              <w:sz w:val="28"/>
              <w:szCs w:val="36"/>
            </w:rPr>
            <w:fldChar w:fldCharType="separate"/>
          </w:r>
          <w:r>
            <w:rPr>
              <w:rFonts w:hint="eastAsia" w:ascii="宋体" w:hAnsi="宋体" w:cs="宋体"/>
              <w:sz w:val="28"/>
              <w:szCs w:val="36"/>
              <w:highlight w:val="none"/>
            </w:rPr>
            <w:t xml:space="preserve">第一章 单一来源采购邀请函</w:t>
          </w:r>
          <w:r>
            <w:rPr>
              <w:sz w:val="28"/>
              <w:szCs w:val="36"/>
            </w:rPr>
            <w:tab/>
          </w:r>
          <w:r>
            <w:rPr>
              <w:sz w:val="28"/>
              <w:szCs w:val="36"/>
            </w:rPr>
            <w:fldChar w:fldCharType="begin"/>
          </w:r>
          <w:r>
            <w:rPr>
              <w:sz w:val="28"/>
              <w:szCs w:val="36"/>
            </w:rPr>
            <w:instrText xml:space="preserve"> PAGEREF _Toc8970 \h </w:instrText>
          </w:r>
          <w:r>
            <w:rPr>
              <w:sz w:val="28"/>
              <w:szCs w:val="36"/>
            </w:rPr>
            <w:fldChar w:fldCharType="separate"/>
          </w:r>
          <w:r>
            <w:rPr>
              <w:sz w:val="28"/>
              <w:szCs w:val="36"/>
            </w:rPr>
            <w:t xml:space="preserve">1</w:t>
          </w:r>
          <w:r>
            <w:rPr>
              <w:sz w:val="28"/>
              <w:szCs w:val="36"/>
            </w:rPr>
            <w:fldChar w:fldCharType="end"/>
          </w:r>
          <w:r>
            <w:rPr>
              <w:rFonts w:hint="eastAsia"/>
              <w:sz w:val="28"/>
              <w:szCs w:val="36"/>
            </w:rPr>
            <w:fldChar w:fldCharType="end"/>
          </w:r>
          <w:r/>
        </w:p>
        <w:p>
          <w:pPr>
            <w:pStyle w:val="901"/>
            <w:spacing w:line="360" w:lineRule="auto"/>
            <w:tabs>
              <w:tab w:val="right" w:pos="8844" w:leader="dot"/>
            </w:tabs>
            <w:rPr>
              <w:sz w:val="28"/>
              <w:szCs w:val="36"/>
            </w:rPr>
          </w:pPr>
          <w:r>
            <w:rPr>
              <w:rFonts w:hint="eastAsia"/>
              <w:sz w:val="28"/>
              <w:szCs w:val="36"/>
            </w:rPr>
            <w:fldChar w:fldCharType="begin"/>
          </w:r>
          <w:r>
            <w:rPr>
              <w:rFonts w:hint="eastAsia"/>
              <w:sz w:val="28"/>
              <w:szCs w:val="36"/>
            </w:rPr>
            <w:instrText xml:space="preserve"> HYPERLINK \l _Toc14486 </w:instrText>
          </w:r>
          <w:r>
            <w:rPr>
              <w:rFonts w:hint="eastAsia"/>
              <w:sz w:val="28"/>
              <w:szCs w:val="36"/>
            </w:rPr>
            <w:fldChar w:fldCharType="separate"/>
          </w:r>
          <w:r>
            <w:rPr>
              <w:rFonts w:hint="eastAsia" w:ascii="宋体" w:hAnsi="宋体" w:eastAsia="宋体" w:cs="宋体"/>
              <w:sz w:val="28"/>
              <w:szCs w:val="36"/>
              <w:highlight w:val="none"/>
            </w:rPr>
            <w:t xml:space="preserve">第二章 供应商须知</w:t>
          </w:r>
          <w:r>
            <w:rPr>
              <w:sz w:val="28"/>
              <w:szCs w:val="36"/>
            </w:rPr>
            <w:tab/>
          </w:r>
          <w:r>
            <w:rPr>
              <w:sz w:val="28"/>
              <w:szCs w:val="36"/>
            </w:rPr>
            <w:fldChar w:fldCharType="begin"/>
          </w:r>
          <w:r>
            <w:rPr>
              <w:sz w:val="28"/>
              <w:szCs w:val="36"/>
            </w:rPr>
            <w:instrText xml:space="preserve"> PAGEREF _Toc14486 \h </w:instrText>
          </w:r>
          <w:r>
            <w:rPr>
              <w:sz w:val="28"/>
              <w:szCs w:val="36"/>
            </w:rPr>
            <w:fldChar w:fldCharType="separate"/>
          </w:r>
          <w:r>
            <w:rPr>
              <w:sz w:val="28"/>
              <w:szCs w:val="36"/>
            </w:rPr>
            <w:t xml:space="preserve">4</w:t>
          </w:r>
          <w:r>
            <w:rPr>
              <w:sz w:val="28"/>
              <w:szCs w:val="36"/>
            </w:rPr>
            <w:fldChar w:fldCharType="end"/>
          </w:r>
          <w:r>
            <w:rPr>
              <w:rFonts w:hint="eastAsia"/>
              <w:sz w:val="28"/>
              <w:szCs w:val="36"/>
            </w:rPr>
            <w:fldChar w:fldCharType="end"/>
          </w:r>
          <w:r/>
        </w:p>
        <w:p>
          <w:pPr>
            <w:pStyle w:val="901"/>
            <w:spacing w:line="360" w:lineRule="auto"/>
            <w:tabs>
              <w:tab w:val="right" w:pos="8844" w:leader="dot"/>
            </w:tabs>
            <w:rPr>
              <w:sz w:val="28"/>
              <w:szCs w:val="36"/>
            </w:rPr>
          </w:pPr>
          <w:r>
            <w:rPr>
              <w:rFonts w:hint="eastAsia"/>
              <w:sz w:val="28"/>
              <w:szCs w:val="36"/>
            </w:rPr>
            <w:fldChar w:fldCharType="begin"/>
          </w:r>
          <w:r>
            <w:rPr>
              <w:rFonts w:hint="eastAsia"/>
              <w:sz w:val="28"/>
              <w:szCs w:val="36"/>
            </w:rPr>
            <w:instrText xml:space="preserve"> HYPERLINK \l _Toc10466 </w:instrText>
          </w:r>
          <w:r>
            <w:rPr>
              <w:rFonts w:hint="eastAsia"/>
              <w:sz w:val="28"/>
              <w:szCs w:val="36"/>
            </w:rPr>
            <w:fldChar w:fldCharType="separate"/>
          </w:r>
          <w:r>
            <w:rPr>
              <w:rFonts w:hint="eastAsia" w:ascii="宋体" w:hAnsi="宋体" w:cs="宋体"/>
              <w:sz w:val="28"/>
              <w:szCs w:val="36"/>
              <w:highlight w:val="none"/>
            </w:rPr>
            <w:t xml:space="preserve">第三章 政府采购合同条款及格式</w:t>
          </w:r>
          <w:r>
            <w:rPr>
              <w:sz w:val="28"/>
              <w:szCs w:val="36"/>
            </w:rPr>
            <w:tab/>
          </w:r>
          <w:r>
            <w:rPr>
              <w:sz w:val="28"/>
              <w:szCs w:val="36"/>
            </w:rPr>
            <w:fldChar w:fldCharType="begin"/>
          </w:r>
          <w:r>
            <w:rPr>
              <w:sz w:val="28"/>
              <w:szCs w:val="36"/>
            </w:rPr>
            <w:instrText xml:space="preserve"> PAGEREF _Toc10466 \h </w:instrText>
          </w:r>
          <w:r>
            <w:rPr>
              <w:sz w:val="28"/>
              <w:szCs w:val="36"/>
            </w:rPr>
            <w:fldChar w:fldCharType="separate"/>
          </w:r>
          <w:r>
            <w:rPr>
              <w:sz w:val="28"/>
              <w:szCs w:val="36"/>
            </w:rPr>
            <w:t xml:space="preserve">15</w:t>
          </w:r>
          <w:r>
            <w:rPr>
              <w:sz w:val="28"/>
              <w:szCs w:val="36"/>
            </w:rPr>
            <w:fldChar w:fldCharType="end"/>
          </w:r>
          <w:r>
            <w:rPr>
              <w:rFonts w:hint="eastAsia"/>
              <w:sz w:val="28"/>
              <w:szCs w:val="36"/>
            </w:rPr>
            <w:fldChar w:fldCharType="end"/>
          </w:r>
          <w:r/>
        </w:p>
        <w:p>
          <w:pPr>
            <w:pStyle w:val="901"/>
            <w:spacing w:line="360" w:lineRule="auto"/>
            <w:tabs>
              <w:tab w:val="right" w:pos="8844" w:leader="dot"/>
            </w:tabs>
            <w:rPr>
              <w:sz w:val="28"/>
              <w:szCs w:val="36"/>
            </w:rPr>
          </w:pPr>
          <w:r>
            <w:rPr>
              <w:rFonts w:hint="eastAsia"/>
              <w:sz w:val="28"/>
              <w:szCs w:val="36"/>
            </w:rPr>
            <w:fldChar w:fldCharType="begin"/>
          </w:r>
          <w:r>
            <w:rPr>
              <w:rFonts w:hint="eastAsia"/>
              <w:sz w:val="28"/>
              <w:szCs w:val="36"/>
            </w:rPr>
            <w:instrText xml:space="preserve"> HYPERLINK \l _Toc23107 </w:instrText>
          </w:r>
          <w:r>
            <w:rPr>
              <w:rFonts w:hint="eastAsia"/>
              <w:sz w:val="28"/>
              <w:szCs w:val="36"/>
            </w:rPr>
            <w:fldChar w:fldCharType="separate"/>
          </w:r>
          <w:r>
            <w:rPr>
              <w:rFonts w:hint="eastAsia" w:ascii="宋体" w:hAnsi="宋体" w:cs="宋体"/>
              <w:sz w:val="28"/>
              <w:szCs w:val="36"/>
              <w:highlight w:val="none"/>
            </w:rPr>
            <w:t xml:space="preserve">第四章 采购需求</w:t>
          </w:r>
          <w:r>
            <w:rPr>
              <w:sz w:val="28"/>
              <w:szCs w:val="36"/>
            </w:rPr>
            <w:tab/>
          </w:r>
          <w:r>
            <w:rPr>
              <w:sz w:val="28"/>
              <w:szCs w:val="36"/>
            </w:rPr>
            <w:fldChar w:fldCharType="begin"/>
          </w:r>
          <w:r>
            <w:rPr>
              <w:sz w:val="28"/>
              <w:szCs w:val="36"/>
            </w:rPr>
            <w:instrText xml:space="preserve"> PAGEREF _Toc23107 \h </w:instrText>
          </w:r>
          <w:r>
            <w:rPr>
              <w:sz w:val="28"/>
              <w:szCs w:val="36"/>
            </w:rPr>
            <w:fldChar w:fldCharType="separate"/>
          </w:r>
          <w:r>
            <w:rPr>
              <w:sz w:val="28"/>
              <w:szCs w:val="36"/>
            </w:rPr>
            <w:t xml:space="preserve">21</w:t>
          </w:r>
          <w:r>
            <w:rPr>
              <w:sz w:val="28"/>
              <w:szCs w:val="36"/>
            </w:rPr>
            <w:fldChar w:fldCharType="end"/>
          </w:r>
          <w:r>
            <w:rPr>
              <w:rFonts w:hint="eastAsia"/>
              <w:sz w:val="28"/>
              <w:szCs w:val="36"/>
            </w:rPr>
            <w:fldChar w:fldCharType="end"/>
          </w:r>
          <w:r/>
        </w:p>
        <w:p>
          <w:pPr>
            <w:pStyle w:val="901"/>
            <w:spacing w:line="360" w:lineRule="auto"/>
            <w:tabs>
              <w:tab w:val="right" w:pos="8844" w:leader="dot"/>
            </w:tabs>
            <w:rPr>
              <w:sz w:val="28"/>
              <w:szCs w:val="36"/>
            </w:rPr>
          </w:pPr>
          <w:r>
            <w:rPr>
              <w:rFonts w:hint="eastAsia"/>
              <w:sz w:val="28"/>
              <w:szCs w:val="36"/>
            </w:rPr>
            <w:fldChar w:fldCharType="begin"/>
          </w:r>
          <w:r>
            <w:rPr>
              <w:rFonts w:hint="eastAsia"/>
              <w:sz w:val="28"/>
              <w:szCs w:val="36"/>
            </w:rPr>
            <w:instrText xml:space="preserve"> HYPERLINK \l _Toc1220 </w:instrText>
          </w:r>
          <w:r>
            <w:rPr>
              <w:rFonts w:hint="eastAsia"/>
              <w:sz w:val="28"/>
              <w:szCs w:val="36"/>
            </w:rPr>
            <w:fldChar w:fldCharType="separate"/>
          </w:r>
          <w:r>
            <w:rPr>
              <w:rFonts w:hint="eastAsia" w:ascii="宋体" w:hAnsi="宋体" w:cs="宋体"/>
              <w:sz w:val="28"/>
              <w:szCs w:val="36"/>
              <w:highlight w:val="none"/>
            </w:rPr>
            <w:t xml:space="preserve">第五章 响应文件组成</w:t>
          </w:r>
          <w:r>
            <w:rPr>
              <w:sz w:val="28"/>
              <w:szCs w:val="36"/>
            </w:rPr>
            <w:tab/>
          </w:r>
          <w:r>
            <w:rPr>
              <w:sz w:val="28"/>
              <w:szCs w:val="36"/>
            </w:rPr>
            <w:fldChar w:fldCharType="begin"/>
          </w:r>
          <w:r>
            <w:rPr>
              <w:sz w:val="28"/>
              <w:szCs w:val="36"/>
            </w:rPr>
            <w:instrText xml:space="preserve"> PAGEREF _Toc1220 \h </w:instrText>
          </w:r>
          <w:r>
            <w:rPr>
              <w:sz w:val="28"/>
              <w:szCs w:val="36"/>
            </w:rPr>
            <w:fldChar w:fldCharType="separate"/>
          </w:r>
          <w:r>
            <w:rPr>
              <w:sz w:val="28"/>
              <w:szCs w:val="36"/>
            </w:rPr>
            <w:t xml:space="preserve">28</w:t>
          </w:r>
          <w:r>
            <w:rPr>
              <w:sz w:val="28"/>
              <w:szCs w:val="36"/>
            </w:rPr>
            <w:fldChar w:fldCharType="end"/>
          </w:r>
          <w:r>
            <w:rPr>
              <w:rFonts w:hint="eastAsia"/>
              <w:sz w:val="28"/>
              <w:szCs w:val="36"/>
            </w:rPr>
            <w:fldChar w:fldCharType="end"/>
          </w:r>
          <w:r/>
        </w:p>
        <w:p>
          <w:pPr>
            <w:spacing w:line="360" w:lineRule="auto"/>
            <w:rPr>
              <w:rFonts w:hint="eastAsia" w:ascii="Times New Roman" w:hAnsi="Times New Roman" w:eastAsia="宋体" w:cs="Times New Roman"/>
              <w:sz w:val="21"/>
              <w:szCs w:val="24"/>
              <w:lang w:val="en-US" w:eastAsia="zh-CN" w:bidi="ar-SA"/>
            </w:rPr>
          </w:pPr>
          <w:r>
            <w:rPr>
              <w:rFonts w:hint="eastAsia"/>
              <w:sz w:val="28"/>
              <w:szCs w:val="36"/>
            </w:rPr>
            <w:fldChar w:fldCharType="end"/>
          </w:r>
          <w:r/>
        </w:p>
      </w:sdtContent>
    </w:sdt>
    <w:p>
      <w:pPr>
        <w:rPr>
          <w:rFonts w:hint="eastAsia" w:ascii="Times New Roman" w:hAnsi="Times New Roman" w:eastAsia="宋体" w:cs="Times New Roman"/>
          <w:sz w:val="21"/>
          <w:szCs w:val="24"/>
          <w:lang w:val="en-US" w:eastAsia="zh-CN" w:bidi="ar-SA"/>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Times New Roman" w:hAnsi="Times New Roman" w:eastAsia="宋体" w:cs="Times New Roman"/>
          <w:sz w:val="21"/>
          <w:szCs w:val="24"/>
          <w:lang w:val="en-US" w:eastAsia="zh-CN" w:bidi="ar-SA"/>
        </w:rPr>
      </w:r>
      <w:r/>
    </w:p>
    <w:p>
      <w:pPr>
        <w:pStyle w:val="911"/>
        <w:rPr>
          <w:rFonts w:hint="eastAsia" w:ascii="宋体" w:hAnsi="宋体" w:cs="宋体"/>
          <w:highlight w:val="none"/>
        </w:rPr>
      </w:pPr>
      <w:r/>
      <w:bookmarkStart w:id="7" w:name="_Toc8970"/>
      <w:r>
        <w:rPr>
          <w:rFonts w:hint="eastAsia" w:ascii="宋体" w:hAnsi="宋体" w:cs="宋体"/>
          <w:highlight w:val="none"/>
        </w:rPr>
        <w:t xml:space="preserve">第一章 </w:t>
      </w:r>
      <w:bookmarkEnd w:id="2"/>
      <w:r>
        <w:rPr>
          <w:rFonts w:hint="eastAsia" w:ascii="宋体" w:hAnsi="宋体" w:cs="宋体"/>
          <w:highlight w:val="none"/>
        </w:rPr>
        <w:t xml:space="preserve">单一来源采购邀请函</w:t>
      </w:r>
      <w:bookmarkEnd w:id="7"/>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t xml:space="preserve">致：安捷伦科技（中国）有限公司：</w:t>
      </w:r>
      <w:r/>
    </w:p>
    <w:p>
      <w:pPr>
        <w:ind w:firstLine="420"/>
        <w:spacing w:line="360" w:lineRule="auto"/>
        <w:rPr>
          <w:rFonts w:hint="eastAsia" w:ascii="宋体" w:hAnsi="宋体" w:cs="宋体"/>
          <w:bCs/>
          <w:color w:val="000000"/>
          <w:szCs w:val="21"/>
          <w:highlight w:val="none"/>
        </w:rPr>
      </w:pPr>
      <w:r/>
      <w:bookmarkStart w:id="8" w:name="_Toc96347851"/>
      <w:r/>
      <w:bookmarkStart w:id="9" w:name="_Toc93909065"/>
      <w:r>
        <w:rPr>
          <w:rFonts w:hint="eastAsia" w:ascii="宋体" w:hAnsi="宋体" w:cs="宋体"/>
          <w:bCs/>
          <w:color w:val="000000"/>
          <w:szCs w:val="21"/>
          <w:highlight w:val="none"/>
          <w:u w:val="single"/>
        </w:rPr>
        <w:t xml:space="preserve">江苏省招标中心有限公司</w:t>
      </w:r>
      <w:r>
        <w:rPr>
          <w:rFonts w:hint="eastAsia" w:ascii="宋体" w:hAnsi="宋体" w:cs="宋体"/>
          <w:bCs/>
          <w:color w:val="000000"/>
          <w:szCs w:val="21"/>
          <w:highlight w:val="none"/>
        </w:rPr>
        <w:t xml:space="preserve">（简称“采购代理机构”）受</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eastAsia="zh-CN"/>
        </w:rPr>
        <w:t xml:space="preserve">江苏省药品监督检验研究院</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（简称“采购人”）的委托，就</w:t>
      </w:r>
      <w:r>
        <w:rPr>
          <w:rFonts w:hint="eastAsia" w:ascii="宋体" w:hAnsi="宋体" w:cs="宋体"/>
          <w:bCs/>
          <w:color w:val="000000"/>
          <w:szCs w:val="21"/>
          <w:highlight w:val="none"/>
          <w:u w:val="single"/>
          <w:lang w:eastAsia="zh-CN"/>
        </w:rPr>
        <w:t xml:space="preserve">2026年高效液相色谱仪飞行时间质谱联用仪等35台大型仪器运维服务采购</w:t>
      </w:r>
      <w:r>
        <w:rPr>
          <w:rFonts w:hint="eastAsia" w:ascii="宋体" w:hAnsi="宋体" w:cs="宋体"/>
          <w:bCs/>
          <w:color w:val="000000"/>
          <w:szCs w:val="21"/>
          <w:highlight w:val="none"/>
        </w:rPr>
        <w:t xml:space="preserve">采用单一来源方式采购，现邀请贵单位前来参加协商。</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8"/>
      <w:r/>
      <w:bookmarkEnd w:id="9"/>
      <w:r/>
      <w:r/>
    </w:p>
    <w:p>
      <w:pPr>
        <w:ind w:firstLine="420"/>
        <w:spacing w:line="360" w:lineRule="auto"/>
        <w:rPr>
          <w:rFonts w:hint="eastAsia" w:ascii="宋体" w:hAnsi="宋体" w:eastAsia="宋体" w:cs="宋体"/>
          <w:bCs/>
          <w:i w:val="0"/>
          <w:iCs w:val="0"/>
          <w:color w:val="000000"/>
          <w:szCs w:val="21"/>
          <w:highlight w:val="none"/>
          <w:lang w:eastAsia="zh-CN"/>
        </w:rPr>
      </w:pPr>
      <w:r>
        <w:rPr>
          <w:rFonts w:hint="eastAsia" w:ascii="宋体" w:hAnsi="宋体" w:cs="宋体"/>
          <w:bCs/>
          <w:i w:val="0"/>
          <w:iCs w:val="0"/>
          <w:szCs w:val="21"/>
          <w:highlight w:val="none"/>
        </w:rPr>
        <w:t xml:space="preserve">1.1</w:t>
      </w:r>
      <w:r>
        <w:rPr>
          <w:rFonts w:hint="eastAsia" w:ascii="宋体" w:hAnsi="宋体" w:cs="宋体"/>
          <w:bCs/>
          <w:i w:val="0"/>
          <w:iCs w:val="0"/>
          <w:color w:val="000000"/>
          <w:szCs w:val="21"/>
          <w:highlight w:val="none"/>
        </w:rPr>
        <w:t xml:space="preserve">项目编号：</w:t>
      </w:r>
      <w:r>
        <w:rPr>
          <w:rFonts w:hint="eastAsia" w:ascii="宋体" w:hAnsi="宋体" w:cs="宋体"/>
          <w:bCs/>
          <w:i w:val="0"/>
          <w:iCs w:val="0"/>
          <w:color w:val="000000"/>
          <w:szCs w:val="21"/>
          <w:highlight w:val="none"/>
          <w:lang w:eastAsia="zh-CN"/>
        </w:rPr>
        <w:t xml:space="preserve">JSZC-320000-JITC-D2026-0327</w:t>
      </w:r>
      <w:r/>
    </w:p>
    <w:p>
      <w:pPr>
        <w:ind w:firstLine="420"/>
        <w:spacing w:line="360" w:lineRule="auto"/>
        <w:rPr>
          <w:rFonts w:hint="eastAsia" w:ascii="宋体" w:hAnsi="宋体" w:eastAsia="宋体" w:cs="宋体"/>
          <w:bCs/>
          <w:i w:val="0"/>
          <w:iCs w:val="0"/>
          <w:color w:val="000000"/>
          <w:szCs w:val="21"/>
          <w:highlight w:val="none"/>
          <w:lang w:eastAsia="zh-CN"/>
        </w:rPr>
      </w:pPr>
      <w:r>
        <w:rPr>
          <w:rFonts w:hint="eastAsia" w:ascii="宋体" w:hAnsi="宋体" w:cs="宋体"/>
          <w:bCs/>
          <w:i w:val="0"/>
          <w:iCs w:val="0"/>
          <w:color w:val="000000"/>
          <w:szCs w:val="21"/>
          <w:highlight w:val="none"/>
        </w:rPr>
        <w:t xml:space="preserve">1.2项目名称：</w:t>
      </w:r>
      <w:r>
        <w:rPr>
          <w:rFonts w:hint="eastAsia" w:ascii="宋体" w:hAnsi="宋体" w:cs="宋体"/>
          <w:bCs/>
          <w:i w:val="0"/>
          <w:iCs w:val="0"/>
          <w:color w:val="000000"/>
          <w:szCs w:val="21"/>
          <w:highlight w:val="none"/>
          <w:lang w:eastAsia="zh-CN"/>
        </w:rPr>
        <w:t xml:space="preserve">2026年高效液相色谱仪飞行时间质谱联用仪等35台大型仪器运维服务采购</w:t>
      </w:r>
      <w:r/>
    </w:p>
    <w:p>
      <w:pPr>
        <w:ind w:firstLine="420"/>
        <w:spacing w:line="360" w:lineRule="auto"/>
        <w:rPr>
          <w:rFonts w:hint="eastAsia" w:ascii="宋体" w:hAnsi="宋体" w:cs="宋体"/>
          <w:bCs/>
          <w:i w:val="0"/>
          <w:iCs w:val="0"/>
          <w:color w:val="000000"/>
          <w:szCs w:val="21"/>
          <w:highlight w:val="none"/>
        </w:rPr>
      </w:pPr>
      <w:r>
        <w:rPr>
          <w:rFonts w:hint="eastAsia" w:ascii="宋体" w:hAnsi="宋体" w:cs="宋体"/>
          <w:bCs/>
          <w:i w:val="0"/>
          <w:iCs w:val="0"/>
          <w:color w:val="000000"/>
          <w:szCs w:val="21"/>
          <w:highlight w:val="none"/>
        </w:rPr>
        <w:t xml:space="preserve">1.3预算金额：</w:t>
      </w:r>
      <w:r>
        <w:rPr>
          <w:rFonts w:hint="eastAsia" w:ascii="宋体" w:hAnsi="宋体" w:cs="宋体"/>
          <w:bCs/>
          <w:i w:val="0"/>
          <w:iCs w:val="0"/>
          <w:color w:val="000000"/>
          <w:szCs w:val="21"/>
          <w:highlight w:val="none"/>
          <w:lang w:val="en-US" w:eastAsia="zh-CN"/>
        </w:rPr>
        <w:t xml:space="preserve">168</w:t>
      </w:r>
      <w:r>
        <w:rPr>
          <w:rFonts w:hint="eastAsia" w:ascii="宋体" w:hAnsi="宋体" w:cs="宋体"/>
          <w:bCs/>
          <w:i w:val="0"/>
          <w:iCs w:val="0"/>
          <w:color w:val="000000"/>
          <w:szCs w:val="21"/>
          <w:highlight w:val="none"/>
        </w:rPr>
        <w:t xml:space="preserve">万元</w:t>
      </w:r>
      <w:r>
        <w:rPr>
          <w:rFonts w:hint="eastAsia" w:ascii="宋体" w:hAnsi="宋体" w:cs="宋体"/>
          <w:i w:val="0"/>
          <w:iCs w:val="0"/>
          <w:color w:val="000000"/>
          <w:highlight w:val="none"/>
        </w:rPr>
        <w:t xml:space="preserve">。</w:t>
      </w:r>
      <w:r/>
    </w:p>
    <w:p>
      <w:pPr>
        <w:ind w:firstLine="420"/>
        <w:spacing w:line="360" w:lineRule="auto"/>
        <w:rPr>
          <w:rFonts w:hint="eastAsia" w:ascii="宋体" w:hAnsi="宋体" w:cs="宋体"/>
          <w:b/>
          <w:i w:val="0"/>
          <w:iCs w:val="0"/>
          <w:szCs w:val="21"/>
          <w:highlight w:val="none"/>
          <w:u w:val="single"/>
        </w:rPr>
      </w:pPr>
      <w:r>
        <w:rPr>
          <w:rFonts w:hint="eastAsia" w:ascii="宋体" w:hAnsi="宋体" w:cs="宋体"/>
          <w:b/>
          <w:i w:val="0"/>
          <w:iCs w:val="0"/>
          <w:szCs w:val="21"/>
          <w:highlight w:val="none"/>
          <w:u w:val="single"/>
        </w:rPr>
        <w:t xml:space="preserve">1.4最高限价：</w:t>
      </w:r>
      <w:r>
        <w:rPr>
          <w:rFonts w:hint="eastAsia" w:ascii="宋体" w:hAnsi="宋体" w:cs="宋体"/>
          <w:b/>
          <w:i w:val="0"/>
          <w:iCs w:val="0"/>
          <w:szCs w:val="21"/>
          <w:highlight w:val="none"/>
          <w:u w:val="single"/>
          <w:lang w:val="en-US" w:eastAsia="zh-CN"/>
        </w:rPr>
        <w:t xml:space="preserve">168</w:t>
      </w:r>
      <w:r>
        <w:rPr>
          <w:rFonts w:hint="eastAsia" w:ascii="宋体" w:hAnsi="宋体" w:cs="宋体"/>
          <w:b/>
          <w:i w:val="0"/>
          <w:iCs w:val="0"/>
          <w:szCs w:val="21"/>
          <w:highlight w:val="none"/>
          <w:u w:val="single"/>
        </w:rPr>
        <w:t xml:space="preserve">万元，供应商响应报价不得高于最高限价，否则作无效响应处理。</w:t>
      </w:r>
      <w:r/>
    </w:p>
    <w:p>
      <w:pPr>
        <w:ind w:firstLine="420"/>
        <w:jc w:val="left"/>
        <w:spacing w:line="360" w:lineRule="auto"/>
        <w:rPr>
          <w:rFonts w:hint="eastAsia" w:ascii="宋体" w:hAnsi="宋体" w:cs="宋体"/>
          <w:bCs/>
          <w:i w:val="0"/>
          <w:iCs w:val="0"/>
          <w:color w:val="000000"/>
          <w:szCs w:val="21"/>
          <w:highlight w:val="none"/>
        </w:rPr>
      </w:pPr>
      <w:r>
        <w:rPr>
          <w:rFonts w:hint="eastAsia" w:ascii="宋体" w:hAnsi="宋体" w:cs="宋体"/>
          <w:bCs/>
          <w:i w:val="0"/>
          <w:iCs w:val="0"/>
          <w:color w:val="000000"/>
          <w:szCs w:val="21"/>
          <w:highlight w:val="none"/>
        </w:rPr>
        <w:t xml:space="preserve">1.5采购需求：详见第四章采购需求。</w:t>
      </w:r>
      <w:r/>
    </w:p>
    <w:p>
      <w:pPr>
        <w:ind w:firstLine="420"/>
        <w:spacing w:line="360" w:lineRule="auto"/>
        <w:rPr>
          <w:rFonts w:hint="eastAsia" w:ascii="宋体" w:hAnsi="宋体" w:cs="宋体"/>
          <w:bCs/>
          <w:i w:val="0"/>
          <w:iCs w:val="0"/>
          <w:color w:val="000000"/>
          <w:szCs w:val="21"/>
          <w:highlight w:val="none"/>
        </w:rPr>
      </w:pPr>
      <w:r>
        <w:rPr>
          <w:rFonts w:hint="eastAsia" w:ascii="宋体" w:hAnsi="宋体" w:cs="宋体"/>
          <w:bCs/>
          <w:i w:val="0"/>
          <w:iCs w:val="0"/>
          <w:color w:val="000000"/>
          <w:szCs w:val="21"/>
          <w:highlight w:val="none"/>
        </w:rPr>
        <w:t xml:space="preserve">1.6采购包划分：本项目共划分1个采购包。</w:t>
      </w:r>
      <w:r/>
    </w:p>
    <w:p>
      <w:pPr>
        <w:jc w:val="left"/>
        <w:spacing w:line="360" w:lineRule="auto"/>
        <w:rPr>
          <w:rFonts w:hint="eastAsia" w:ascii="宋体" w:hAnsi="宋体" w:cs="宋体"/>
          <w:bCs/>
          <w:i w:val="0"/>
          <w:iCs w:val="0"/>
          <w:szCs w:val="21"/>
          <w:highlight w:val="none"/>
        </w:rPr>
      </w:pPr>
      <w:r>
        <w:rPr>
          <w:rFonts w:hint="eastAsia" w:ascii="宋体" w:hAnsi="宋体" w:cs="宋体"/>
          <w:bCs/>
          <w:i w:val="0"/>
          <w:iCs w:val="0"/>
          <w:szCs w:val="21"/>
          <w:highlight w:val="none"/>
        </w:rPr>
        <w:tab/>
      </w:r>
      <w:r>
        <w:rPr>
          <w:rFonts w:hint="eastAsia" w:ascii="宋体" w:hAnsi="宋体" w:cs="宋体"/>
          <w:bCs/>
          <w:i w:val="0"/>
          <w:iCs w:val="0"/>
          <w:szCs w:val="21"/>
          <w:highlight w:val="none"/>
        </w:rPr>
        <w:t xml:space="preserve">1.7合同履行期限：自合同签订之日起1年。</w:t>
      </w:r>
      <w:r/>
    </w:p>
    <w:p>
      <w:pPr>
        <w:ind w:firstLine="420"/>
        <w:spacing w:line="360" w:lineRule="auto"/>
        <w:rPr>
          <w:rFonts w:hint="eastAsia" w:ascii="宋体" w:hAnsi="宋体" w:cs="宋体"/>
          <w:bCs/>
          <w:i w:val="0"/>
          <w:iCs w:val="0"/>
          <w:szCs w:val="21"/>
          <w:highlight w:val="none"/>
        </w:rPr>
      </w:pPr>
      <w:r>
        <w:rPr>
          <w:rFonts w:hint="eastAsia" w:ascii="宋体" w:hAnsi="宋体" w:cs="宋体"/>
          <w:b/>
          <w:i w:val="0"/>
          <w:iCs w:val="0"/>
          <w:szCs w:val="21"/>
          <w:highlight w:val="none"/>
          <w:u w:val="single"/>
        </w:rPr>
        <w:t xml:space="preserve">1.8本项目是否接受联合体投标：不接受</w:t>
      </w:r>
      <w:r/>
    </w:p>
    <w:p>
      <w:pPr>
        <w:ind w:firstLine="420"/>
        <w:spacing w:line="360" w:lineRule="auto"/>
        <w:rPr>
          <w:rFonts w:hint="eastAsia" w:ascii="宋体" w:hAnsi="宋体" w:cs="宋体"/>
          <w:bCs/>
          <w:i w:val="0"/>
          <w:iCs w:val="0"/>
          <w:szCs w:val="21"/>
          <w:highlight w:val="none"/>
        </w:rPr>
      </w:pPr>
      <w:r>
        <w:rPr>
          <w:rFonts w:hint="eastAsia" w:ascii="宋体" w:hAnsi="宋体" w:cs="宋体"/>
          <w:b/>
          <w:i w:val="0"/>
          <w:iCs w:val="0"/>
          <w:szCs w:val="21"/>
          <w:highlight w:val="none"/>
          <w:u w:val="single"/>
        </w:rPr>
        <w:t xml:space="preserve">1.9本项目是否接受进口产品：不接受</w:t>
      </w:r>
      <w:r/>
    </w:p>
    <w:p>
      <w:pPr>
        <w:spacing w:line="360" w:lineRule="auto"/>
        <w:rPr>
          <w:rFonts w:hint="eastAsia" w:ascii="宋体" w:hAnsi="宋体" w:cs="宋体"/>
          <w:b/>
          <w:bCs/>
          <w:szCs w:val="44"/>
          <w:highlight w:val="none"/>
        </w:rPr>
      </w:pPr>
      <w:r/>
      <w:bookmarkStart w:id="10" w:name="_Toc80264698"/>
      <w:r/>
      <w:bookmarkStart w:id="11" w:name="_Toc80792689"/>
      <w:r/>
      <w:bookmarkStart w:id="12" w:name="_Toc93909066"/>
      <w:r/>
      <w:bookmarkStart w:id="13" w:name="_Toc96347852"/>
      <w:r>
        <w:rPr>
          <w:rFonts w:hint="eastAsia" w:ascii="宋体" w:hAnsi="宋体" w:cs="宋体"/>
          <w:b/>
          <w:bCs/>
          <w:szCs w:val="44"/>
          <w:highlight w:val="none"/>
        </w:rPr>
        <w:t xml:space="preserve">二、</w:t>
      </w:r>
      <w:bookmarkEnd w:id="10"/>
      <w:r>
        <w:rPr>
          <w:rFonts w:hint="eastAsia" w:ascii="宋体" w:hAnsi="宋体" w:cs="宋体"/>
          <w:b/>
          <w:bCs/>
          <w:szCs w:val="44"/>
          <w:highlight w:val="none"/>
        </w:rPr>
        <w:t xml:space="preserve">申请人的资格要求</w:t>
      </w:r>
      <w:bookmarkEnd w:id="11"/>
      <w:r/>
      <w:bookmarkEnd w:id="12"/>
      <w:r>
        <w:rPr>
          <w:rFonts w:hint="eastAsia" w:ascii="宋体" w:hAnsi="宋体" w:cs="宋体"/>
          <w:b/>
          <w:bCs/>
          <w:szCs w:val="44"/>
          <w:highlight w:val="none"/>
        </w:rPr>
        <w:t xml:space="preserve">：</w:t>
      </w:r>
      <w:bookmarkEnd w:id="13"/>
      <w:r/>
      <w:r/>
    </w:p>
    <w:p>
      <w:pPr>
        <w:ind w:firstLine="420"/>
        <w:spacing w:line="360" w:lineRule="auto"/>
        <w:rPr>
          <w:rFonts w:hint="eastAsia" w:ascii="宋体" w:hAnsi="宋体" w:cs="宋体"/>
          <w:bCs/>
          <w:szCs w:val="21"/>
          <w:highlight w:val="none"/>
        </w:rPr>
      </w:pPr>
      <w:r/>
      <w:bookmarkStart w:id="14" w:name="_Toc80792690"/>
      <w:r/>
      <w:bookmarkStart w:id="15" w:name="_Toc80264699"/>
      <w:r/>
      <w:bookmarkStart w:id="16" w:name="_Toc93909067"/>
      <w:r/>
      <w:bookmarkStart w:id="17" w:name="_Toc96347853"/>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2.1.1法人或者其他组织的营业执照等证明文件，自然人的身份证明(若供应商为分公司，则还须提供总公司同意其独立开展业务的授权证明）；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w:t>
      </w:r>
      <w:r>
        <w:rPr>
          <w:rFonts w:ascii="宋体" w:hAnsi="宋体" w:cs="宋体"/>
          <w:bCs/>
          <w:szCs w:val="21"/>
          <w:highlight w:val="none"/>
        </w:rPr>
        <w:t xml:space="preserve">财务状况报告（成立不满一年不需提供</w:t>
      </w:r>
      <w:r>
        <w:rPr>
          <w:rFonts w:hint="eastAsia" w:ascii="宋体" w:hAnsi="宋体" w:cs="宋体"/>
          <w:bCs/>
          <w:szCs w:val="21"/>
          <w:highlight w:val="none"/>
        </w:rPr>
        <w:t xml:space="preserve">；</w:t>
      </w:r>
      <w:r>
        <w:rPr>
          <w:rFonts w:ascii="宋体" w:hAnsi="宋体" w:cs="宋体"/>
          <w:bCs/>
          <w:szCs w:val="21"/>
          <w:highlight w:val="none"/>
        </w:rPr>
        <w:t xml:space="preserve">若供应商为分公司，可提供总公司财务状况报告）；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pStyle w:val="888"/>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2.1.4</w:t>
      </w:r>
      <w:r>
        <w:rPr>
          <w:rFonts w:ascii="宋体" w:hAnsi="宋体" w:cs="宋体"/>
          <w:bCs/>
          <w:szCs w:val="21"/>
          <w:highlight w:val="none"/>
        </w:rPr>
        <w:t xml:space="preserve">依法缴纳税收和社会保障资金的相关材料（若供应商依法享受缓缴、免缴税收、社会保障资金的，提供相关证明材料）；</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szCs w:val="21"/>
          <w:highlight w:val="none"/>
        </w:rPr>
        <w:br w:type="textWrapping" w:clear="all"/>
      </w:r>
      <w:r>
        <w:rPr>
          <w:rFonts w:hint="eastAsia" w:ascii="宋体" w:hAnsi="宋体" w:cs="宋体"/>
          <w:bCs/>
          <w:szCs w:val="21"/>
          <w:highlight w:val="none"/>
        </w:rPr>
        <w:tab/>
      </w:r>
      <w:r>
        <w:rPr>
          <w:rFonts w:hint="eastAsia" w:ascii="宋体" w:hAnsi="宋体" w:cs="宋体"/>
          <w:bCs/>
          <w:szCs w:val="21"/>
          <w:highlight w:val="none"/>
        </w:rPr>
        <w:t xml:space="preserve">2.1.6法律、行政法规规定的其他条件。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2.2.1 中小企业政策：■本项目不面向中小企业预留采购份额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2.2.2其它落实政府采购政策的资格要求（如有）：无。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2.3本项目的特定资格要求：</w:t>
      </w:r>
      <w:r/>
    </w:p>
    <w:p>
      <w:pPr>
        <w:ind w:firstLine="420"/>
        <w:spacing w:line="360" w:lineRule="auto"/>
        <w:rPr>
          <w:rFonts w:hint="eastAsia" w:ascii="宋体" w:hAnsi="宋体" w:cs="宋体"/>
          <w:b/>
          <w:szCs w:val="21"/>
          <w:highlight w:val="none"/>
        </w:rPr>
      </w:pPr>
      <w:r>
        <w:rPr>
          <w:rFonts w:hint="eastAsia" w:ascii="宋体" w:hAnsi="宋体" w:cs="宋体"/>
          <w:b/>
          <w:szCs w:val="21"/>
          <w:highlight w:val="none"/>
        </w:rPr>
        <w:t xml:space="preserve">2.3.1供应商存在下列情形的不得参加本次招标活动：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spacing w:line="360" w:lineRule="auto"/>
        <w:rPr>
          <w:rFonts w:ascii="Microsoft New Tai Lue" w:hAnsi="Microsoft New Tai Lue" w:cs="Microsoft New Tai Lue"/>
          <w:bCs/>
          <w:szCs w:val="21"/>
          <w:highlight w:val="none"/>
        </w:rPr>
      </w:pPr>
      <w:r>
        <w:rPr>
          <w:rFonts w:hint="eastAsia" w:ascii="宋体" w:hAnsi="宋体" w:cs="宋体"/>
          <w:b/>
          <w:szCs w:val="21"/>
          <w:highlight w:val="none"/>
        </w:rPr>
        <w:t xml:space="preserve">2.3.2其他特定资格条件：无</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三、</w:t>
      </w:r>
      <w:bookmarkEnd w:id="14"/>
      <w:r/>
      <w:bookmarkEnd w:id="15"/>
      <w:r/>
      <w:bookmarkEnd w:id="16"/>
      <w:r/>
      <w:bookmarkEnd w:id="17"/>
      <w:r>
        <w:rPr>
          <w:rFonts w:hint="eastAsia" w:ascii="宋体" w:hAnsi="宋体" w:cs="宋体"/>
          <w:b/>
          <w:bCs/>
          <w:szCs w:val="44"/>
          <w:highlight w:val="none"/>
        </w:rPr>
        <w:t xml:space="preserve">获取采购文件</w:t>
      </w:r>
      <w:r/>
    </w:p>
    <w:p>
      <w:pPr>
        <w:ind w:firstLine="525"/>
        <w:spacing w:after="40" w:line="360" w:lineRule="auto"/>
        <w:rPr>
          <w:rFonts w:hint="default" w:ascii="Times New Roman" w:hAnsi="Times New Roman" w:cs="Times New Roman"/>
          <w:bCs/>
          <w:color w:val="auto"/>
          <w:szCs w:val="21"/>
          <w:highlight w:val="none"/>
        </w:rPr>
      </w:pPr>
      <w:r/>
      <w:bookmarkStart w:id="18" w:name="_Toc80264700"/>
      <w:r/>
      <w:bookmarkStart w:id="19" w:name="_Toc96347854"/>
      <w:r/>
      <w:bookmarkStart w:id="20" w:name="_Toc93909068"/>
      <w:r/>
      <w:bookmarkStart w:id="21" w:name="_Toc80792691"/>
      <w:r>
        <w:rPr>
          <w:rFonts w:hint="default" w:ascii="Times New Roman" w:hAnsi="Times New Roman" w:cs="Times New Roman"/>
          <w:bCs/>
          <w:color w:val="auto"/>
          <w:szCs w:val="21"/>
          <w:highlight w:val="none"/>
        </w:rPr>
        <w:t xml:space="preserve">获取地点：江苏政府采购网。</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获取方式：网上下载</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售价：0元。</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四、</w:t>
      </w:r>
      <w:bookmarkEnd w:id="18"/>
      <w:r/>
      <w:bookmarkEnd w:id="19"/>
      <w:r/>
      <w:bookmarkEnd w:id="20"/>
      <w:r/>
      <w:bookmarkEnd w:id="21"/>
      <w:r>
        <w:rPr>
          <w:rFonts w:hint="eastAsia" w:ascii="宋体" w:hAnsi="宋体" w:cs="宋体"/>
          <w:b/>
          <w:bCs/>
          <w:szCs w:val="44"/>
          <w:highlight w:val="none"/>
        </w:rPr>
        <w:t xml:space="preserve">提交响应文件截止时间、开标时间和地点</w:t>
      </w:r>
      <w:r/>
    </w:p>
    <w:p>
      <w:pPr>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提交截止时间：</w:t>
      </w:r>
      <w:r>
        <w:rPr>
          <w:rFonts w:hint="eastAsia" w:ascii="宋体" w:hAnsi="宋体" w:cs="宋体"/>
          <w:bCs/>
          <w:color w:val="000000"/>
          <w:szCs w:val="21"/>
          <w:highlight w:val="none"/>
        </w:rPr>
        <w:t xml:space="preserve">2026</w:t>
      </w:r>
      <w:r>
        <w:rPr>
          <w:rFonts w:hint="eastAsia" w:ascii="宋体" w:hAnsi="宋体" w:cs="宋体"/>
          <w:bCs/>
          <w:color w:val="000000"/>
          <w:szCs w:val="21"/>
          <w:highlight w:val="none"/>
          <w:shd w:val="clear" w:color="ffffff" w:fill="auto"/>
        </w:rPr>
        <w:t xml:space="preserve">年</w:t>
      </w:r>
      <w:r>
        <w:rPr>
          <w:rFonts w:hint="eastAsia" w:ascii="宋体" w:hAnsi="宋体" w:cs="宋体"/>
          <w:bCs/>
          <w:color w:val="000000"/>
          <w:szCs w:val="21"/>
          <w:highlight w:val="none"/>
          <w:shd w:val="clear" w:color="ffffff" w:fill="auto"/>
          <w:lang w:val="en-US" w:eastAsia="zh-CN"/>
        </w:rPr>
        <w:t xml:space="preserve">10</w:t>
      </w:r>
      <w:r>
        <w:rPr>
          <w:rFonts w:hint="eastAsia" w:ascii="宋体" w:hAnsi="宋体" w:cs="宋体"/>
          <w:bCs/>
          <w:color w:val="000000"/>
          <w:szCs w:val="21"/>
          <w:highlight w:val="none"/>
          <w:shd w:val="clear" w:color="ffffff" w:fill="auto"/>
        </w:rPr>
        <w:t xml:space="preserve">月</w:t>
      </w:r>
      <w:r>
        <w:rPr>
          <w:rFonts w:hint="eastAsia" w:ascii="宋体" w:hAnsi="宋体" w:cs="宋体"/>
          <w:bCs/>
          <w:color w:val="000000"/>
          <w:szCs w:val="21"/>
          <w:highlight w:val="none"/>
          <w:shd w:val="clear" w:color="ffffff" w:fill="auto"/>
          <w:lang w:val="en-US" w:eastAsia="zh-CN"/>
        </w:rPr>
        <w:t xml:space="preserve">13</w:t>
      </w:r>
      <w:r>
        <w:rPr>
          <w:rFonts w:hint="eastAsia" w:ascii="宋体" w:hAnsi="宋体" w:cs="宋体"/>
          <w:bCs/>
          <w:color w:val="000000"/>
          <w:szCs w:val="21"/>
          <w:highlight w:val="none"/>
          <w:shd w:val="clear" w:color="ffffff" w:fill="auto"/>
        </w:rPr>
        <w:t xml:space="preserve">日</w:t>
      </w:r>
      <w:r>
        <w:rPr>
          <w:rFonts w:hint="eastAsia" w:ascii="宋体" w:hAnsi="宋体" w:cs="宋体"/>
          <w:bCs/>
          <w:color w:val="000000"/>
          <w:szCs w:val="21"/>
          <w:highlight w:val="none"/>
          <w:shd w:val="clear" w:color="ffffff" w:fill="auto"/>
          <w:lang w:val="en-US" w:eastAsia="zh-CN"/>
        </w:rPr>
        <w:t xml:space="preserve">09</w:t>
      </w:r>
      <w:r>
        <w:rPr>
          <w:rFonts w:hint="eastAsia" w:ascii="宋体" w:hAnsi="宋体" w:cs="宋体"/>
          <w:bCs/>
          <w:color w:val="000000"/>
          <w:szCs w:val="21"/>
          <w:highlight w:val="none"/>
          <w:shd w:val="clear" w:color="ffffff" w:fill="auto"/>
        </w:rPr>
        <w:t xml:space="preserve">：</w:t>
      </w:r>
      <w:r>
        <w:rPr>
          <w:rFonts w:hint="eastAsia" w:ascii="宋体" w:hAnsi="宋体" w:cs="宋体"/>
          <w:bCs/>
          <w:color w:val="000000"/>
          <w:szCs w:val="21"/>
          <w:highlight w:val="none"/>
          <w:shd w:val="clear" w:color="ffffff" w:fill="auto"/>
          <w:lang w:val="en-US" w:eastAsia="zh-CN"/>
        </w:rPr>
        <w:t xml:space="preserve">3</w:t>
      </w:r>
      <w:r>
        <w:rPr>
          <w:rFonts w:hint="eastAsia" w:ascii="宋体" w:hAnsi="宋体" w:cs="宋体"/>
          <w:bCs/>
          <w:color w:val="000000"/>
          <w:szCs w:val="21"/>
          <w:highlight w:val="none"/>
          <w:shd w:val="clear" w:color="ffffff" w:fill="auto"/>
        </w:rPr>
        <w:t xml:space="preserve">0（</w:t>
      </w:r>
      <w:r>
        <w:rPr>
          <w:rFonts w:hint="eastAsia" w:ascii="宋体" w:hAnsi="宋体" w:cs="宋体"/>
          <w:bCs/>
          <w:color w:val="000000"/>
          <w:szCs w:val="21"/>
          <w:highlight w:val="none"/>
        </w:rPr>
        <w:t xml:space="preserve">北京时间）</w:t>
      </w:r>
      <w:r/>
    </w:p>
    <w:p>
      <w:pPr>
        <w:ind w:firstLine="525"/>
        <w:spacing w:line="360" w:lineRule="auto"/>
        <w:rPr>
          <w:rFonts w:hint="eastAsia" w:ascii="宋体" w:hAnsi="宋体" w:cs="宋体"/>
          <w:bCs/>
          <w:szCs w:val="21"/>
          <w:highlight w:val="none"/>
        </w:rPr>
      </w:pPr>
      <w:r>
        <w:rPr>
          <w:rFonts w:hint="eastAsia" w:ascii="宋体" w:hAnsi="宋体" w:cs="宋体"/>
          <w:bCs/>
          <w:szCs w:val="21"/>
          <w:highlight w:val="none"/>
        </w:rPr>
        <w:t xml:space="preserve">地点：苏采云系统</w:t>
      </w:r>
      <w:r/>
    </w:p>
    <w:p>
      <w:pPr>
        <w:spacing w:line="360" w:lineRule="auto"/>
        <w:rPr>
          <w:rFonts w:hint="eastAsia" w:ascii="宋体" w:hAnsi="宋体" w:cs="宋体"/>
          <w:b/>
          <w:bCs/>
          <w:szCs w:val="44"/>
          <w:highlight w:val="none"/>
        </w:rPr>
      </w:pPr>
      <w:r/>
      <w:bookmarkStart w:id="22" w:name="_Toc93909070"/>
      <w:r/>
      <w:bookmarkStart w:id="23" w:name="_Toc96347856"/>
      <w:r>
        <w:rPr>
          <w:rFonts w:hint="eastAsia" w:ascii="宋体" w:hAnsi="宋体" w:cs="宋体"/>
          <w:b/>
          <w:bCs/>
          <w:szCs w:val="44"/>
          <w:highlight w:val="none"/>
        </w:rPr>
        <w:t xml:space="preserve">五、其他补充事宜</w:t>
      </w:r>
      <w:bookmarkEnd w:id="22"/>
      <w:r/>
      <w:bookmarkEnd w:id="23"/>
      <w:r/>
      <w:r/>
    </w:p>
    <w:p>
      <w:pPr>
        <w:ind w:firstLine="420"/>
        <w:spacing w:line="360" w:lineRule="auto"/>
        <w:rPr>
          <w:rFonts w:hint="eastAsia" w:ascii="宋体" w:hAnsi="宋体" w:cs="宋体"/>
          <w:bCs/>
          <w:szCs w:val="21"/>
          <w:highlight w:val="none"/>
        </w:rPr>
      </w:pPr>
      <w:r/>
      <w:bookmarkStart w:id="24" w:name="_Toc96347857"/>
      <w:r/>
      <w:bookmarkStart w:id="25" w:name="_Toc80792694"/>
      <w:r/>
      <w:bookmarkStart w:id="26" w:name="_Toc93909071"/>
      <w:r/>
      <w:bookmarkStart w:id="27" w:name="_Toc80264702"/>
      <w:r>
        <w:rPr>
          <w:rFonts w:hint="eastAsia" w:ascii="宋体" w:hAnsi="宋体" w:cs="宋体"/>
          <w:szCs w:val="21"/>
          <w:highlight w:val="none"/>
        </w:rPr>
        <w:t xml:space="preserve">1．</w:t>
      </w:r>
      <w:r>
        <w:rPr>
          <w:rFonts w:hint="eastAsia" w:ascii="宋体" w:hAnsi="宋体" w:cs="宋体"/>
          <w:bCs/>
          <w:szCs w:val="21"/>
          <w:highlight w:val="none"/>
        </w:rPr>
        <w:t xml:space="preserve">政府采购支持政策: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（一）《政府采购促进中小企业发展管理办法》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（二）《关于政府采购支持监狱企业发展有关问题的通知》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（三）《关于促进残疾人就业政府采购政策的通知》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（五）《关于做好政府采购支持企业发展有关事项的通知》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2</w:t>
      </w:r>
      <w:r>
        <w:rPr>
          <w:rFonts w:hint="default" w:ascii="Times New Roman" w:hAnsi="Times New Roman" w:cs="Times New Roman"/>
          <w:b/>
          <w:color w:val="auto"/>
          <w:szCs w:val="21"/>
          <w:highlight w:val="none"/>
        </w:rPr>
        <w:t xml:space="preserve">、潜在供应商访问政府采购管理交易系统（苏采云）的网络地址和方法：</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（3）“CA数字证书”的办理材料以及供应商操作手册详见：http://jsxcmm.com/help/gys.html。</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（7）苏采云系统使用谷歌浏览器参与不见面开标。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（8）“苏采云”南京地区客服热线025-83633744、025-83633743。</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、本项目为不见面开标项目，参与投标的单位代表必须使用CA证书至开标大厅解密。在开标、评标过程中</w:t>
      </w:r>
      <w:r>
        <w:rPr>
          <w:rFonts w:hint="eastAsia" w:cs="Times New Roman"/>
          <w:bCs/>
          <w:color w:val="auto"/>
          <w:szCs w:val="21"/>
          <w:highlight w:val="none"/>
          <w:lang w:eastAsia="zh-CN"/>
        </w:rPr>
        <w:t xml:space="preserve">投标人</w:t>
      </w:r>
      <w:r>
        <w:rPr>
          <w:rFonts w:hint="default" w:ascii="Times New Roman" w:hAnsi="Times New Roman" w:cs="Times New Roman"/>
          <w:bCs/>
          <w:color w:val="auto"/>
          <w:szCs w:val="21"/>
          <w:highlight w:val="none"/>
        </w:rPr>
        <w:t xml:space="preserve">代表须在网上不见面开标系统中保持在线状态，请供应商确保电脑、系统及其他设备（视频输入输出设备等）无误，直至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w:t>
      </w:r>
      <w:r>
        <w:rPr>
          <w:rFonts w:hint="eastAsia" w:cs="Times New Roman"/>
          <w:bCs/>
          <w:color w:val="auto"/>
          <w:szCs w:val="21"/>
          <w:highlight w:val="none"/>
          <w:lang w:eastAsia="zh-CN"/>
        </w:rPr>
        <w:t xml:space="preserve">投标人</w:t>
      </w:r>
      <w:r>
        <w:rPr>
          <w:rFonts w:hint="default" w:ascii="Times New Roman" w:hAnsi="Times New Roman" w:cs="Times New Roman"/>
          <w:bCs/>
          <w:color w:val="auto"/>
          <w:szCs w:val="21"/>
          <w:highlight w:val="none"/>
        </w:rPr>
        <w:t xml:space="preserve">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cs="宋体"/>
          <w:b/>
          <w:bCs/>
          <w:szCs w:val="44"/>
          <w:highlight w:val="none"/>
        </w:rPr>
      </w:pPr>
      <w:r>
        <w:rPr>
          <w:rFonts w:hint="eastAsia" w:ascii="宋体" w:hAnsi="宋体" w:cs="宋体"/>
          <w:b/>
          <w:bCs/>
          <w:szCs w:val="44"/>
          <w:highlight w:val="none"/>
        </w:rPr>
        <w:t xml:space="preserve">六、</w:t>
      </w:r>
      <w:bookmarkEnd w:id="24"/>
      <w:r/>
      <w:bookmarkEnd w:id="25"/>
      <w:r/>
      <w:bookmarkEnd w:id="26"/>
      <w:r/>
      <w:bookmarkEnd w:id="27"/>
      <w:r>
        <w:rPr>
          <w:rFonts w:hint="eastAsia" w:ascii="宋体" w:hAnsi="宋体" w:cs="宋体"/>
          <w:b/>
          <w:bCs/>
          <w:szCs w:val="44"/>
          <w:highlight w:val="none"/>
        </w:rPr>
        <w:t xml:space="preserve">对本次采购提出询问，请按以下方式联系。</w:t>
      </w:r>
      <w:r/>
    </w:p>
    <w:p>
      <w:pPr>
        <w:ind w:firstLine="420"/>
        <w:spacing w:line="360" w:lineRule="auto"/>
        <w:tabs>
          <w:tab w:val="left" w:pos="0" w:leader="none"/>
        </w:tabs>
        <w:rPr>
          <w:rFonts w:hint="eastAsia" w:ascii="宋体" w:hAnsi="宋体" w:eastAsia="宋体"/>
          <w:szCs w:val="21"/>
          <w:highlight w:val="none"/>
          <w:lang w:eastAsia="zh-CN"/>
        </w:rPr>
      </w:pPr>
      <w:r>
        <w:rPr>
          <w:rFonts w:hint="eastAsia" w:ascii="宋体" w:hAnsi="宋体"/>
          <w:szCs w:val="21"/>
          <w:highlight w:val="none"/>
        </w:rPr>
        <w:t xml:space="preserve">1. 采 购 人：</w:t>
      </w:r>
      <w:r>
        <w:rPr>
          <w:rFonts w:hint="eastAsia" w:ascii="宋体" w:hAnsi="宋体"/>
          <w:bCs/>
          <w:szCs w:val="21"/>
          <w:highlight w:val="none"/>
          <w:lang w:eastAsia="zh-CN"/>
        </w:rPr>
        <w:t xml:space="preserve">江苏省药品监督检验研究院</w:t>
      </w:r>
      <w:r/>
    </w:p>
    <w:p>
      <w:pPr>
        <w:ind w:firstLine="420"/>
        <w:spacing w:line="360" w:lineRule="auto"/>
        <w:tabs>
          <w:tab w:val="left" w:pos="0" w:leader="none"/>
        </w:tabs>
        <w:rPr>
          <w:rFonts w:hint="eastAsia" w:ascii="宋体" w:hAnsi="宋体"/>
          <w:bCs/>
          <w:szCs w:val="21"/>
          <w:highlight w:val="none"/>
        </w:rPr>
      </w:pPr>
      <w:r>
        <w:rPr>
          <w:rFonts w:hint="eastAsia" w:ascii="宋体" w:hAnsi="宋体"/>
          <w:bCs/>
          <w:szCs w:val="21"/>
          <w:highlight w:val="none"/>
        </w:rPr>
        <w:t xml:space="preserve">联系地址：</w:t>
      </w:r>
      <w:r>
        <w:rPr>
          <w:rFonts w:hint="eastAsia" w:ascii="宋体" w:hAnsi="宋体" w:cs="宋体"/>
          <w:szCs w:val="21"/>
          <w:highlight w:val="none"/>
          <w:lang w:bidi="ar"/>
        </w:rPr>
        <w:t xml:space="preserve">南京市建邺区康文路17号</w:t>
      </w:r>
      <w:r/>
    </w:p>
    <w:p>
      <w:pPr>
        <w:ind w:firstLine="420"/>
        <w:spacing w:line="360" w:lineRule="auto"/>
        <w:tabs>
          <w:tab w:val="left" w:pos="0" w:leader="none"/>
        </w:tabs>
        <w:rPr>
          <w:rFonts w:hint="eastAsia" w:ascii="宋体" w:hAnsi="宋体"/>
          <w:bCs/>
          <w:szCs w:val="21"/>
          <w:highlight w:val="none"/>
        </w:rPr>
      </w:pPr>
      <w:r>
        <w:rPr>
          <w:rFonts w:hint="eastAsia" w:ascii="宋体" w:hAnsi="宋体"/>
          <w:szCs w:val="21"/>
          <w:highlight w:val="none"/>
        </w:rPr>
        <w:t xml:space="preserve">联系方式：</w:t>
      </w:r>
      <w:r>
        <w:rPr>
          <w:rFonts w:hint="eastAsia" w:ascii="宋体" w:hAnsi="宋体" w:cs="宋体"/>
          <w:szCs w:val="21"/>
          <w:highlight w:val="none"/>
          <w:lang w:bidi="ar"/>
        </w:rPr>
        <w:t xml:space="preserve">纪宇 025-86251032</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tabs>
          <w:tab w:val="left" w:pos="0" w:leader="none"/>
        </w:tabs>
        <w:rPr>
          <w:rFonts w:hint="eastAsia" w:ascii="宋体" w:hAnsi="宋体"/>
          <w:bCs/>
          <w:szCs w:val="21"/>
          <w:highlight w:val="none"/>
          <w:lang w:eastAsia="zh-CN"/>
        </w:rPr>
      </w:pPr>
      <w:r>
        <w:rPr>
          <w:rFonts w:hint="eastAsia" w:ascii="宋体" w:hAnsi="宋体"/>
          <w:szCs w:val="21"/>
          <w:highlight w:val="none"/>
        </w:rPr>
        <w:t xml:space="preserve">2. 采购代理机构：</w:t>
      </w:r>
      <w:r>
        <w:rPr>
          <w:rFonts w:hint="eastAsia" w:ascii="宋体" w:hAnsi="宋体"/>
          <w:bCs/>
          <w:szCs w:val="21"/>
          <w:highlight w:val="none"/>
          <w:lang w:eastAsia="zh-CN"/>
        </w:rPr>
        <w:t xml:space="preserve">江苏省招标中心有限公司</w:t>
      </w:r>
      <w:r/>
    </w:p>
    <w:p>
      <w:pPr>
        <w:ind w:firstLine="420"/>
        <w:spacing w:line="360" w:lineRule="auto"/>
        <w:tabs>
          <w:tab w:val="left" w:pos="0" w:leader="none"/>
        </w:tabs>
        <w:rPr>
          <w:rFonts w:hint="eastAsia" w:ascii="宋体" w:hAnsi="宋体"/>
          <w:bCs/>
          <w:szCs w:val="21"/>
          <w:highlight w:val="none"/>
          <w:lang w:eastAsia="zh-CN"/>
        </w:rPr>
      </w:pPr>
      <w:r>
        <w:rPr>
          <w:rFonts w:hint="eastAsia" w:ascii="宋体" w:hAnsi="宋体"/>
          <w:bCs/>
          <w:szCs w:val="21"/>
          <w:highlight w:val="none"/>
          <w:lang w:eastAsia="zh-CN"/>
        </w:rPr>
        <w:t xml:space="preserve">地址：江苏省南京市雨花区云密城C栋3楼305室</w:t>
      </w:r>
      <w:r/>
    </w:p>
    <w:p>
      <w:pPr>
        <w:ind w:firstLine="420"/>
        <w:spacing w:line="360" w:lineRule="auto"/>
        <w:tabs>
          <w:tab w:val="left" w:pos="0" w:leader="none"/>
        </w:tabs>
        <w:rPr>
          <w:rFonts w:hint="eastAsia" w:ascii="宋体" w:hAnsi="宋体"/>
          <w:bCs/>
          <w:szCs w:val="21"/>
          <w:highlight w:val="none"/>
          <w:lang w:eastAsia="zh-CN"/>
        </w:rPr>
      </w:pPr>
      <w:r>
        <w:rPr>
          <w:rFonts w:hint="eastAsia" w:ascii="宋体" w:hAnsi="宋体"/>
          <w:bCs/>
          <w:szCs w:val="21"/>
          <w:highlight w:val="none"/>
          <w:lang w:eastAsia="zh-CN"/>
        </w:rPr>
        <w:t xml:space="preserve">联系</w:t>
      </w:r>
      <w:r>
        <w:rPr>
          <w:rFonts w:hint="eastAsia" w:ascii="宋体" w:hAnsi="宋体"/>
          <w:bCs/>
          <w:szCs w:val="21"/>
          <w:highlight w:val="none"/>
          <w:lang w:val="en-US" w:eastAsia="zh-CN"/>
        </w:rPr>
        <w:t xml:space="preserve">人</w:t>
      </w:r>
      <w:r>
        <w:rPr>
          <w:rFonts w:hint="eastAsia" w:ascii="宋体" w:hAnsi="宋体"/>
          <w:bCs/>
          <w:szCs w:val="21"/>
          <w:highlight w:val="none"/>
          <w:lang w:eastAsia="zh-CN"/>
        </w:rPr>
        <w:t xml:space="preserve">：周伟业、朱媛菁、宗超</w:t>
      </w:r>
      <w:r/>
    </w:p>
    <w:p>
      <w:pPr>
        <w:ind w:firstLine="420"/>
        <w:spacing w:line="360" w:lineRule="auto"/>
        <w:tabs>
          <w:tab w:val="left" w:pos="0" w:leader="none"/>
        </w:tabs>
        <w:rPr>
          <w:rFonts w:hint="eastAsia" w:ascii="宋体" w:hAnsi="宋体"/>
          <w:bCs/>
          <w:szCs w:val="21"/>
          <w:highlight w:val="none"/>
          <w:lang w:eastAsia="zh-CN"/>
        </w:rPr>
      </w:pPr>
      <w:r>
        <w:rPr>
          <w:rFonts w:hint="eastAsia" w:ascii="宋体" w:hAnsi="宋体"/>
          <w:bCs/>
          <w:szCs w:val="21"/>
          <w:highlight w:val="none"/>
          <w:lang w:eastAsia="zh-CN"/>
        </w:rPr>
        <w:t xml:space="preserve">联系</w:t>
      </w:r>
      <w:r>
        <w:rPr>
          <w:rFonts w:hint="eastAsia" w:ascii="宋体" w:hAnsi="宋体"/>
          <w:bCs/>
          <w:szCs w:val="21"/>
          <w:highlight w:val="none"/>
          <w:lang w:val="en-US" w:eastAsia="zh-CN"/>
        </w:rPr>
        <w:t xml:space="preserve">方式</w:t>
      </w:r>
      <w:r>
        <w:rPr>
          <w:rFonts w:hint="eastAsia" w:ascii="宋体" w:hAnsi="宋体"/>
          <w:bCs/>
          <w:szCs w:val="21"/>
          <w:highlight w:val="none"/>
          <w:lang w:eastAsia="zh-CN"/>
        </w:rPr>
        <w:t xml:space="preserve">：15151818335、18652802413、13851876930</w:t>
      </w:r>
      <w:r/>
    </w:p>
    <w:p>
      <w:pPr>
        <w:ind w:firstLine="420"/>
        <w:spacing w:line="360" w:lineRule="auto"/>
        <w:tabs>
          <w:tab w:val="left" w:pos="0" w:leader="none"/>
        </w:tabs>
        <w:rPr>
          <w:rFonts w:hint="eastAsia" w:ascii="宋体" w:hAnsi="宋体"/>
          <w:bCs/>
          <w:szCs w:val="21"/>
          <w:highlight w:val="none"/>
          <w:lang w:eastAsia="zh-CN"/>
        </w:rPr>
      </w:pPr>
      <w:r>
        <w:rPr>
          <w:rFonts w:hint="eastAsia" w:ascii="宋体" w:hAnsi="宋体"/>
          <w:bCs/>
          <w:szCs w:val="21"/>
          <w:highlight w:val="none"/>
          <w:lang w:eastAsia="zh-CN"/>
        </w:rPr>
        <w:t xml:space="preserve">邮箱：zwy@jstcc.cn</w:t>
      </w:r>
      <w:r/>
    </w:p>
    <w:p>
      <w:pPr>
        <w:ind w:firstLine="525"/>
        <w:jc w:val="left"/>
        <w:spacing w:line="360" w:lineRule="auto"/>
        <w:rPr>
          <w:rFonts w:hint="eastAsia" w:ascii="宋体" w:hAnsi="宋体" w:cs="宋体"/>
          <w:highlight w:val="none"/>
        </w:rPr>
      </w:pPr>
      <w:r>
        <w:rPr>
          <w:rFonts w:hint="eastAsia" w:ascii="宋体" w:hAnsi="宋体" w:cs="宋体"/>
          <w:highlight w:val="none"/>
        </w:rPr>
        <w:br w:type="page" w:clear="all"/>
      </w:r>
      <w:bookmarkEnd w:id="5"/>
      <w:r/>
      <w:bookmarkStart w:id="28" w:name="_Toc107246212"/>
      <w:r/>
      <w:r/>
    </w:p>
    <w:p>
      <w:pPr>
        <w:ind w:firstLine="525"/>
        <w:jc w:val="center"/>
        <w:spacing w:line="360" w:lineRule="auto"/>
        <w:rPr>
          <w:rFonts w:hint="eastAsia" w:ascii="宋体" w:hAnsi="宋体" w:cs="宋体"/>
          <w:highlight w:val="none"/>
        </w:rPr>
      </w:pPr>
      <w:r>
        <w:rPr>
          <w:rFonts w:hint="eastAsia" w:ascii="宋体" w:hAnsi="宋体" w:cs="宋体"/>
          <w:highlight w:val="none"/>
        </w:rPr>
      </w:r>
      <w:r/>
    </w:p>
    <w:p>
      <w:pPr>
        <w:pStyle w:val="911"/>
        <w:rPr>
          <w:rFonts w:hint="eastAsia" w:ascii="宋体" w:hAnsi="宋体" w:eastAsia="宋体" w:cs="宋体"/>
          <w:highlight w:val="none"/>
        </w:rPr>
      </w:pPr>
      <w:r/>
      <w:bookmarkStart w:id="29" w:name="_Toc14486"/>
      <w:r>
        <w:rPr>
          <w:rFonts w:hint="eastAsia" w:ascii="宋体" w:hAnsi="宋体" w:eastAsia="宋体" w:cs="宋体"/>
          <w:highlight w:val="none"/>
        </w:rPr>
        <w:t xml:space="preserve">第二章  </w:t>
      </w:r>
      <w:bookmarkEnd w:id="6"/>
      <w:r/>
      <w:bookmarkEnd w:id="28"/>
      <w:r>
        <w:rPr>
          <w:rFonts w:hint="eastAsia" w:ascii="宋体" w:hAnsi="宋体" w:eastAsia="宋体" w:cs="宋体"/>
          <w:highlight w:val="none"/>
        </w:rPr>
        <w:t xml:space="preserve">供应商须知</w:t>
      </w:r>
      <w:bookmarkEnd w:id="29"/>
      <w:r/>
      <w:r/>
    </w:p>
    <w:p>
      <w:pPr>
        <w:jc w:val="center"/>
        <w:rPr>
          <w:rFonts w:hint="eastAsia" w:ascii="宋体" w:hAnsi="宋体" w:cs="宋体"/>
          <w:b/>
          <w:bCs/>
          <w:sz w:val="32"/>
          <w:szCs w:val="32"/>
          <w:highlight w:val="none"/>
        </w:rPr>
      </w:pPr>
      <w:r>
        <w:rPr>
          <w:rFonts w:hint="eastAsia" w:ascii="宋体" w:hAnsi="宋体" w:cs="宋体"/>
          <w:b/>
          <w:bCs/>
          <w:sz w:val="28"/>
          <w:szCs w:val="28"/>
          <w:highlight w:val="none"/>
        </w:rPr>
        <w:t xml:space="preserve">供应商须知前附表</w:t>
      </w:r>
      <w:r/>
    </w:p>
    <w:p>
      <w:pPr>
        <w:jc w:val="center"/>
        <w:rPr>
          <w:rFonts w:hint="eastAsia" w:ascii="宋体" w:hAnsi="宋体" w:cs="宋体"/>
          <w:highlight w:val="none"/>
        </w:rPr>
      </w:pPr>
      <w:r>
        <w:rPr>
          <w:rFonts w:hint="eastAsia" w:ascii="宋体" w:hAnsi="宋体" w:cs="宋体"/>
          <w:highlight w:val="none"/>
        </w:rPr>
        <w:t xml:space="preserve">本表是对《供应商须知》正文的具体补充和修改，如有矛盾，以本《前附表》为准。</w:t>
      </w:r>
      <w:r/>
    </w:p>
    <w:tbl>
      <w:tblPr>
        <w:tblStyle w:val="880"/>
        <w:tblpPr w:horzAnchor="page" w:tblpX="1564" w:vertAnchor="text" w:tblpY="270" w:leftFromText="180" w:topFromText="0" w:rightFromText="180" w:bottomFromText="0"/>
        <w:tblW w:w="8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402"/>
        <w:gridCol w:w="4709"/>
      </w:tblGrid>
      <w:tr>
        <w:trPr>
          <w:trHeight w:val="353"/>
        </w:trPr>
        <w:tc>
          <w:tcPr>
            <w:tcW w:w="851" w:type="dxa"/>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3402" w:type="dxa"/>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条款名称</w:t>
            </w:r>
            <w:r/>
          </w:p>
        </w:tc>
        <w:tc>
          <w:tcPr>
            <w:tcW w:w="4709" w:type="dxa"/>
            <w:vAlign w:val="center"/>
            <w:textDirection w:val="lrTb"/>
            <w:noWrap w:val="false"/>
          </w:tcPr>
          <w:p>
            <w:pPr>
              <w:jc w:val="center"/>
              <w:spacing w:before="156"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编列内容规定</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p>
        </w:tc>
        <w:tc>
          <w:tcPr>
            <w:tcW w:w="4709" w:type="dxa"/>
            <w:vAlign w:val="center"/>
            <w:textDirection w:val="lrTb"/>
            <w:noWrap w:val="false"/>
          </w:tcPr>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采购人：</w:t>
            </w:r>
            <w:r>
              <w:rPr>
                <w:rFonts w:hint="eastAsia" w:ascii="宋体" w:hAnsi="宋体"/>
                <w:bCs/>
                <w:szCs w:val="21"/>
                <w:highlight w:val="none"/>
                <w:lang w:eastAsia="zh-CN"/>
              </w:rPr>
              <w:t xml:space="preserve">江苏省药品监督检验研究院</w:t>
            </w:r>
            <w:r/>
          </w:p>
          <w:p>
            <w:pPr>
              <w:spacing w:line="360" w:lineRule="auto"/>
              <w:rPr>
                <w:rFonts w:hint="eastAsia" w:ascii="宋体" w:hAnsi="宋体"/>
                <w:szCs w:val="21"/>
                <w:highlight w:val="none"/>
              </w:rPr>
            </w:pPr>
            <w:r>
              <w:rPr>
                <w:rFonts w:ascii="宋体" w:hAnsi="宋体"/>
                <w:szCs w:val="21"/>
                <w:highlight w:val="none"/>
              </w:rPr>
              <w:t xml:space="preserve">联系人</w:t>
            </w:r>
            <w:r>
              <w:rPr>
                <w:rFonts w:hint="eastAsia" w:ascii="宋体" w:hAnsi="宋体"/>
                <w:szCs w:val="21"/>
                <w:highlight w:val="none"/>
              </w:rPr>
              <w:t xml:space="preserve">：</w:t>
            </w:r>
            <w:r>
              <w:rPr>
                <w:rFonts w:hint="eastAsia" w:ascii="宋体" w:hAnsi="宋体" w:cs="宋体"/>
                <w:szCs w:val="21"/>
                <w:highlight w:val="none"/>
                <w:lang w:bidi="ar"/>
              </w:rPr>
              <w:t xml:space="preserve">纪宇 025-86251032</w:t>
            </w:r>
            <w:r/>
          </w:p>
          <w:p>
            <w:pPr>
              <w:spacing w:line="360" w:lineRule="auto"/>
              <w:rPr>
                <w:rFonts w:hint="eastAsia" w:ascii="宋体" w:hAnsi="宋体"/>
                <w:szCs w:val="21"/>
                <w:highlight w:val="none"/>
              </w:rPr>
            </w:pPr>
            <w:r>
              <w:rPr>
                <w:rFonts w:hint="eastAsia" w:ascii="宋体" w:hAnsi="宋体"/>
                <w:szCs w:val="21"/>
                <w:highlight w:val="none"/>
              </w:rPr>
              <w:t xml:space="preserve">电话：</w:t>
            </w:r>
            <w:r>
              <w:rPr>
                <w:rFonts w:hint="eastAsia" w:ascii="宋体" w:hAnsi="宋体" w:cs="宋体"/>
                <w:szCs w:val="21"/>
                <w:highlight w:val="none"/>
                <w:lang w:bidi="ar"/>
              </w:rPr>
              <w:t xml:space="preserve">025-86251032</w:t>
            </w:r>
            <w:r/>
          </w:p>
          <w:p>
            <w:pPr>
              <w:ind w:firstLine="37"/>
              <w:jc w:val="left"/>
              <w:spacing w:line="360" w:lineRule="auto"/>
              <w:rPr>
                <w:rFonts w:hint="eastAsia" w:ascii="宋体" w:hAnsi="宋体" w:cs="宋体"/>
                <w:color w:val="000000"/>
                <w:szCs w:val="21"/>
                <w:highlight w:val="none"/>
              </w:rPr>
            </w:pPr>
            <w:r>
              <w:rPr>
                <w:rFonts w:hint="eastAsia" w:ascii="宋体" w:hAnsi="宋体"/>
                <w:szCs w:val="21"/>
                <w:highlight w:val="none"/>
              </w:rPr>
              <w:t xml:space="preserve">地址：</w:t>
            </w:r>
            <w:r>
              <w:rPr>
                <w:rFonts w:hint="eastAsia" w:ascii="宋体" w:hAnsi="宋体" w:cs="宋体"/>
                <w:szCs w:val="21"/>
                <w:highlight w:val="none"/>
                <w:lang w:bidi="ar"/>
              </w:rPr>
              <w:t xml:space="preserve">南京市建邺区康文路17号</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p>
        </w:tc>
        <w:tc>
          <w:tcPr>
            <w:tcW w:w="4709" w:type="dxa"/>
            <w:vAlign w:val="center"/>
            <w:textDirection w:val="lrTb"/>
            <w:noWrap w:val="false"/>
          </w:tcPr>
          <w:p>
            <w:pPr>
              <w:spacing w:line="360" w:lineRule="auto"/>
              <w:tabs>
                <w:tab w:val="left" w:pos="0" w:leader="none"/>
              </w:tabs>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名 称 ：江苏省招标中心有限公司</w:t>
            </w:r>
            <w:r/>
          </w:p>
          <w:p>
            <w:pPr>
              <w:spacing w:line="360" w:lineRule="auto"/>
              <w:tabs>
                <w:tab w:val="left" w:pos="0" w:leader="none"/>
              </w:tabs>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地 址 ：南京市雨花台区宁双路19号C栋3楼305</w:t>
            </w:r>
            <w:r/>
          </w:p>
          <w:p>
            <w:pPr>
              <w:spacing w:line="360" w:lineRule="auto"/>
              <w:tabs>
                <w:tab w:val="left" w:pos="0" w:leader="none"/>
              </w:tabs>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lang w:eastAsia="zh-CN"/>
              </w:rPr>
              <w:t xml:space="preserve">联系</w:t>
            </w:r>
            <w:r>
              <w:rPr>
                <w:rFonts w:hint="eastAsia" w:ascii="宋体" w:hAnsi="宋体" w:eastAsia="宋体" w:cs="Times New Roman"/>
                <w:bCs/>
                <w:szCs w:val="21"/>
                <w:highlight w:val="none"/>
                <w:lang w:val="en-US" w:eastAsia="zh-CN"/>
              </w:rPr>
              <w:t xml:space="preserve">人</w:t>
            </w:r>
            <w:r>
              <w:rPr>
                <w:rFonts w:hint="eastAsia" w:ascii="宋体" w:hAnsi="宋体" w:eastAsia="宋体" w:cs="Times New Roman"/>
                <w:bCs/>
                <w:szCs w:val="21"/>
                <w:highlight w:val="none"/>
                <w:lang w:eastAsia="zh-CN"/>
              </w:rPr>
              <w:t xml:space="preserve">：周伟业、朱媛菁、宗超</w:t>
            </w:r>
            <w:r/>
          </w:p>
          <w:p>
            <w:pPr>
              <w:spacing w:line="360" w:lineRule="auto"/>
              <w:tabs>
                <w:tab w:val="left" w:pos="0" w:leader="none"/>
              </w:tabs>
              <w:rPr>
                <w:rFonts w:hint="eastAsia"/>
                <w:color w:val="000000"/>
                <w:sz w:val="21"/>
                <w:szCs w:val="21"/>
                <w:highlight w:val="none"/>
                <w:lang w:val="en-US"/>
              </w:rPr>
            </w:pPr>
            <w:r>
              <w:rPr>
                <w:rFonts w:hint="eastAsia" w:ascii="宋体" w:hAnsi="宋体" w:eastAsia="宋体" w:cs="Times New Roman"/>
                <w:bCs/>
                <w:szCs w:val="21"/>
                <w:highlight w:val="none"/>
                <w:lang w:eastAsia="zh-CN"/>
              </w:rPr>
              <w:t xml:space="preserve">联系</w:t>
            </w:r>
            <w:r>
              <w:rPr>
                <w:rFonts w:hint="eastAsia" w:ascii="宋体" w:hAnsi="宋体" w:eastAsia="宋体" w:cs="Times New Roman"/>
                <w:bCs/>
                <w:szCs w:val="21"/>
                <w:highlight w:val="none"/>
                <w:lang w:val="en-US" w:eastAsia="zh-CN"/>
              </w:rPr>
              <w:t xml:space="preserve">方式</w:t>
            </w:r>
            <w:r>
              <w:rPr>
                <w:rFonts w:hint="eastAsia" w:ascii="宋体" w:hAnsi="宋体" w:eastAsia="宋体" w:cs="Times New Roman"/>
                <w:bCs/>
                <w:szCs w:val="21"/>
                <w:highlight w:val="none"/>
                <w:lang w:eastAsia="zh-CN"/>
              </w:rPr>
              <w:t xml:space="preserve">：15151818335、18652802413、13851876930</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协商答疑会</w:t>
            </w:r>
            <w:r/>
          </w:p>
        </w:tc>
        <w:tc>
          <w:tcPr>
            <w:tcW w:w="4709" w:type="dxa"/>
            <w:vAlign w:val="center"/>
            <w:textDirection w:val="lrTb"/>
            <w:noWrap w:val="false"/>
          </w:tcPr>
          <w:p>
            <w:pPr>
              <w:jc w:val="left"/>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p>
        </w:tc>
      </w:tr>
      <w:tr>
        <w:trPr>
          <w:trHeight w:val="503"/>
        </w:trPr>
        <w:tc>
          <w:tcPr>
            <w:tcW w:w="851" w:type="dxa"/>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3402" w:type="dxa"/>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供应商在协商答疑会前提出的询问</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时间：</w:t>
            </w:r>
            <w:r>
              <w:rPr>
                <w:rFonts w:hint="eastAsia" w:ascii="宋体" w:hAnsi="宋体" w:cs="宋体"/>
                <w:color w:val="000000"/>
                <w:szCs w:val="21"/>
                <w:highlight w:val="none"/>
              </w:rPr>
              <w:t xml:space="preserve"> /</w:t>
            </w:r>
            <w:r/>
          </w:p>
        </w:tc>
      </w:tr>
      <w:tr>
        <w:trPr>
          <w:trHeight w:val="1020"/>
        </w:trPr>
        <w:tc>
          <w:tcPr>
            <w:tcW w:w="851" w:type="dxa"/>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402" w:type="dxa"/>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709" w:type="dxa"/>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形式：以书面形式（盖章扫描件及WPS兼容格式发至</w:t>
            </w:r>
            <w:r>
              <w:rPr>
                <w:rFonts w:hint="eastAsia" w:ascii="宋体" w:hAnsi="宋体" w:cs="宋体"/>
                <w:bCs/>
                <w:color w:val="000000"/>
                <w:szCs w:val="21"/>
                <w:highlight w:val="none"/>
                <w:u w:val="single"/>
                <w:lang w:val="en-US" w:eastAsia="zh-CN"/>
              </w:rPr>
              <w:t xml:space="preserve">zwy</w:t>
            </w:r>
            <w:r>
              <w:rPr>
                <w:rFonts w:hint="eastAsia" w:ascii="宋体" w:hAnsi="宋体" w:cs="宋体"/>
                <w:bCs/>
                <w:color w:val="000000"/>
                <w:szCs w:val="21"/>
                <w:highlight w:val="none"/>
                <w:u w:val="single"/>
              </w:rPr>
              <w:t xml:space="preserve">@jstcc.cn</w:t>
            </w:r>
            <w:r>
              <w:rPr>
                <w:rFonts w:hint="eastAsia" w:ascii="宋体" w:hAnsi="宋体" w:cs="宋体"/>
                <w:bCs/>
                <w:color w:val="000000"/>
                <w:szCs w:val="21"/>
                <w:highlight w:val="none"/>
              </w:rPr>
              <w:t xml:space="preserve">邮箱）通知采购代理机构。</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不接受分包</w:t>
            </w:r>
            <w:r/>
          </w:p>
        </w:tc>
      </w:tr>
      <w:tr>
        <w:trPr>
          <w:trHeight w:val="647"/>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踏勘现场</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本项目不组织现场踏勘</w:t>
            </w:r>
            <w:r/>
          </w:p>
        </w:tc>
      </w:tr>
      <w:tr>
        <w:trPr>
          <w:trHeight w:val="90"/>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3402" w:type="dxa"/>
            <w:vAlign w:val="center"/>
            <w:textDirection w:val="lrTb"/>
            <w:noWrap w:val="false"/>
          </w:tcPr>
          <w:p>
            <w:pPr>
              <w:ind w:firstLine="1050"/>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澄清或修改</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对采购文件的澄清要求请在响应文件递交截止之日前提出，代理机构将予以书面答复，逾期不再受理</w:t>
            </w:r>
            <w:r/>
          </w:p>
        </w:tc>
      </w:tr>
      <w:tr>
        <w:trPr>
          <w:trHeight w:val="386"/>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3402" w:type="dxa"/>
            <w:vAlign w:val="center"/>
            <w:textDirection w:val="lrTb"/>
            <w:noWrap w:val="false"/>
          </w:tcPr>
          <w:p>
            <w:pPr>
              <w:jc w:val="cente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协商报价的其他要求</w:t>
            </w:r>
            <w:r/>
          </w:p>
        </w:tc>
        <w:tc>
          <w:tcPr>
            <w:tcW w:w="4709" w:type="dxa"/>
            <w:vAlign w:val="center"/>
            <w:textDirection w:val="lrTb"/>
            <w:noWrap w:val="false"/>
          </w:tcPr>
          <w:p>
            <w:pP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无</w:t>
            </w:r>
            <w:r/>
          </w:p>
        </w:tc>
      </w:tr>
      <w:tr>
        <w:trPr>
          <w:trHeight w:val="386"/>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3402" w:type="dxa"/>
            <w:vAlign w:val="center"/>
            <w:textDirection w:val="lrTb"/>
            <w:noWrap w:val="false"/>
          </w:tcPr>
          <w:p>
            <w:pPr>
              <w:jc w:val="cente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协商货币</w:t>
            </w:r>
            <w:r/>
          </w:p>
        </w:tc>
        <w:tc>
          <w:tcPr>
            <w:tcW w:w="4709" w:type="dxa"/>
            <w:vAlign w:val="center"/>
            <w:textDirection w:val="lrTb"/>
            <w:noWrap w:val="false"/>
          </w:tcPr>
          <w:p>
            <w:pPr>
              <w:jc w:val="left"/>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响应有效期</w:t>
            </w:r>
            <w:r/>
          </w:p>
        </w:tc>
        <w:tc>
          <w:tcPr>
            <w:tcW w:w="4709" w:type="dxa"/>
            <w:vAlign w:val="center"/>
            <w:textDirection w:val="lrTb"/>
            <w:noWrap w:val="false"/>
          </w:tcPr>
          <w:p>
            <w:pPr>
              <w:jc w:val="left"/>
              <w:spacing w:before="156" w:line="360" w:lineRule="auto"/>
              <w:rPr>
                <w:rFonts w:hint="eastAsia" w:ascii="宋体" w:hAnsi="宋体" w:cs="宋体"/>
                <w:b/>
                <w:bCs/>
                <w:color w:val="000000"/>
                <w:szCs w:val="21"/>
                <w:highlight w:val="none"/>
              </w:rPr>
            </w:pPr>
            <w:r>
              <w:rPr>
                <w:rFonts w:hint="eastAsia" w:ascii="宋体" w:hAnsi="宋体" w:cs="宋体"/>
                <w:bCs/>
                <w:color w:val="000000"/>
                <w:szCs w:val="21"/>
                <w:highlight w:val="none"/>
                <w:u w:val="single"/>
              </w:rPr>
              <w:t xml:space="preserve"> 90 </w:t>
            </w:r>
            <w:r>
              <w:rPr>
                <w:rFonts w:hint="eastAsia" w:ascii="宋体" w:hAnsi="宋体" w:cs="宋体"/>
                <w:bCs/>
                <w:color w:val="000000"/>
                <w:szCs w:val="21"/>
                <w:highlight w:val="none"/>
              </w:rPr>
              <w:t xml:space="preserve">日历日</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协商保证金</w:t>
            </w:r>
            <w:r/>
          </w:p>
        </w:tc>
        <w:tc>
          <w:tcPr>
            <w:tcW w:w="4709" w:type="dxa"/>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不需要</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响应文件</w:t>
            </w:r>
            <w:r>
              <w:rPr>
                <w:rFonts w:hint="eastAsia" w:ascii="宋体" w:hAnsi="宋体" w:cs="宋体"/>
                <w:szCs w:val="21"/>
                <w:highlight w:val="none"/>
              </w:rPr>
              <w:t xml:space="preserve">份数</w:t>
            </w:r>
            <w:r/>
          </w:p>
        </w:tc>
        <w:tc>
          <w:tcPr>
            <w:tcW w:w="4709" w:type="dxa"/>
            <w:vAlign w:val="center"/>
            <w:textDirection w:val="lrTb"/>
            <w:noWrap w:val="false"/>
          </w:tcPr>
          <w:p>
            <w:pPr>
              <w:spacing w:before="156" w:line="360" w:lineRule="auto"/>
              <w:rPr>
                <w:rFonts w:hint="eastAsia" w:ascii="宋体" w:hAnsi="宋体" w:cs="宋体"/>
                <w:b/>
                <w:bCs/>
                <w:color w:val="000000"/>
                <w:szCs w:val="21"/>
                <w:highlight w:val="none"/>
                <w:u w:val="single"/>
              </w:rPr>
            </w:pPr>
            <w:r>
              <w:rPr>
                <w:rFonts w:hint="eastAsia" w:ascii="宋体" w:hAnsi="宋体" w:cs="宋体"/>
                <w:bCs/>
                <w:color w:val="000000"/>
                <w:szCs w:val="21"/>
                <w:highlight w:val="none"/>
              </w:rPr>
              <w:t xml:space="preserve">不适用</w:t>
            </w:r>
            <w:r/>
          </w:p>
        </w:tc>
      </w:tr>
      <w:tr>
        <w:trPr>
          <w:trHeight w:val="824"/>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递交响应文件截止地点</w:t>
            </w:r>
            <w:r/>
          </w:p>
        </w:tc>
        <w:tc>
          <w:tcPr>
            <w:tcW w:w="4709" w:type="dxa"/>
            <w:vAlign w:val="center"/>
            <w:textDirection w:val="lrTb"/>
            <w:noWrap w:val="false"/>
          </w:tcPr>
          <w:p>
            <w:pPr>
              <w:pStyle w:val="1113"/>
              <w:spacing w:before="142" w:line="360" w:lineRule="auto"/>
              <w:rPr>
                <w:rFonts w:hint="eastAsia"/>
                <w:color w:val="000000"/>
                <w:sz w:val="21"/>
                <w:szCs w:val="21"/>
                <w:highlight w:val="none"/>
                <w:lang w:val="en-US"/>
              </w:rPr>
            </w:pPr>
            <w:r>
              <w:rPr>
                <w:rFonts w:hint="eastAsia"/>
                <w:color w:val="000000"/>
                <w:sz w:val="21"/>
                <w:szCs w:val="21"/>
                <w:highlight w:val="none"/>
                <w:lang w:val="en-US"/>
              </w:rPr>
              <w:t xml:space="preserve">见采购文件第一章《单一来源采购邀请函》</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响应截止时间</w:t>
            </w:r>
            <w:r/>
          </w:p>
        </w:tc>
        <w:tc>
          <w:tcPr>
            <w:tcW w:w="4709" w:type="dxa"/>
            <w:vAlign w:val="center"/>
            <w:textDirection w:val="lrTb"/>
            <w:noWrap w:val="false"/>
          </w:tcPr>
          <w:p>
            <w:pPr>
              <w:spacing w:before="156" w:line="36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见采购文件第一章《单一来源采购邀请函》</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协商时间和地点</w:t>
            </w:r>
            <w:r/>
          </w:p>
        </w:tc>
        <w:tc>
          <w:tcPr>
            <w:tcW w:w="4709" w:type="dxa"/>
            <w:vAlign w:val="center"/>
            <w:textDirection w:val="lrTb"/>
            <w:noWrap w:val="false"/>
          </w:tcPr>
          <w:p>
            <w:pPr>
              <w:spacing w:before="156"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见采购文件第一章《单一来源采购邀请函》</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成交供应商结果</w:t>
            </w:r>
            <w:r/>
          </w:p>
        </w:tc>
        <w:tc>
          <w:tcPr>
            <w:tcW w:w="4709" w:type="dxa"/>
            <w:textDirection w:val="lrTb"/>
            <w:noWrap w:val="false"/>
          </w:tcPr>
          <w:p>
            <w:pPr>
              <w:pStyle w:val="1113"/>
              <w:ind w:left="108"/>
              <w:spacing w:before="157" w:line="360" w:lineRule="auto"/>
              <w:rPr>
                <w:rFonts w:hint="eastAsia"/>
                <w:color w:val="000000"/>
                <w:sz w:val="21"/>
                <w:szCs w:val="21"/>
                <w:highlight w:val="none"/>
                <w:lang w:val="en-US"/>
              </w:rPr>
            </w:pPr>
            <w:r>
              <w:rPr>
                <w:rFonts w:hint="eastAsia"/>
                <w:color w:val="000000"/>
                <w:sz w:val="21"/>
                <w:szCs w:val="21"/>
                <w:highlight w:val="none"/>
              </w:rPr>
              <w:t xml:space="preserve">法定媒体</w:t>
            </w:r>
            <w:r>
              <w:rPr>
                <w:rFonts w:hint="eastAsia"/>
                <w:color w:val="000000"/>
                <w:sz w:val="21"/>
                <w:szCs w:val="21"/>
                <w:highlight w:val="none"/>
                <w:lang w:val="en-US"/>
              </w:rPr>
              <w:t xml:space="preserve">：《江苏政府采购网》</w:t>
            </w:r>
            <w:r/>
          </w:p>
          <w:p>
            <w:pPr>
              <w:pStyle w:val="1113"/>
              <w:ind w:left="108"/>
              <w:spacing w:line="360" w:lineRule="auto"/>
              <w:tabs>
                <w:tab w:val="left" w:pos="2104" w:leader="none"/>
              </w:tabs>
              <w:rPr>
                <w:rFonts w:hint="eastAsia"/>
                <w:color w:val="000000"/>
                <w:sz w:val="21"/>
                <w:szCs w:val="21"/>
                <w:highlight w:val="none"/>
                <w:lang w:val="en-US"/>
              </w:rPr>
            </w:pPr>
            <w:r>
              <w:rPr>
                <w:rFonts w:hint="eastAsia"/>
                <w:color w:val="000000"/>
                <w:spacing w:val="-3"/>
                <w:sz w:val="21"/>
                <w:szCs w:val="21"/>
                <w:highlight w:val="none"/>
              </w:rPr>
              <w:t xml:space="preserve">期</w:t>
            </w:r>
            <w:r>
              <w:rPr>
                <w:rFonts w:hint="eastAsia"/>
                <w:color w:val="000000"/>
                <w:sz w:val="21"/>
                <w:szCs w:val="21"/>
                <w:highlight w:val="none"/>
              </w:rPr>
              <w:t xml:space="preserve">限</w:t>
            </w:r>
            <w:r>
              <w:rPr>
                <w:rFonts w:hint="eastAsia"/>
                <w:color w:val="000000"/>
                <w:spacing w:val="-3"/>
                <w:sz w:val="21"/>
                <w:szCs w:val="21"/>
                <w:highlight w:val="none"/>
                <w:lang w:val="en-US"/>
              </w:rPr>
              <w:t xml:space="preserve">：</w:t>
            </w:r>
            <w:r>
              <w:rPr>
                <w:rFonts w:hint="eastAsia"/>
                <w:color w:val="000000"/>
                <w:spacing w:val="-3"/>
                <w:sz w:val="21"/>
                <w:szCs w:val="21"/>
                <w:highlight w:val="none"/>
                <w:u w:val="single"/>
                <w:lang w:val="en-US"/>
              </w:rPr>
              <w:t xml:space="preserve"> </w:t>
            </w:r>
            <w:r>
              <w:rPr>
                <w:rFonts w:hint="eastAsia"/>
                <w:color w:val="000000"/>
                <w:spacing w:val="-3"/>
                <w:sz w:val="21"/>
                <w:szCs w:val="21"/>
                <w:highlight w:val="none"/>
                <w:u w:val="single"/>
                <w:lang w:val="en-US" w:eastAsia="zh-CN"/>
              </w:rPr>
              <w:t xml:space="preserve">1</w:t>
            </w:r>
            <w:r>
              <w:rPr>
                <w:rFonts w:hint="eastAsia"/>
                <w:color w:val="000000"/>
                <w:spacing w:val="-3"/>
                <w:sz w:val="21"/>
                <w:szCs w:val="21"/>
                <w:highlight w:val="none"/>
                <w:u w:val="single"/>
                <w:lang w:val="en-US"/>
              </w:rPr>
              <w:t xml:space="preserve"> </w:t>
            </w:r>
            <w:r>
              <w:rPr>
                <w:rFonts w:hint="eastAsia"/>
                <w:color w:val="000000"/>
                <w:spacing w:val="-3"/>
                <w:sz w:val="21"/>
                <w:szCs w:val="21"/>
                <w:highlight w:val="none"/>
                <w:lang w:val="en-US"/>
              </w:rPr>
              <w:t xml:space="preserve">个</w:t>
            </w:r>
            <w:r>
              <w:rPr>
                <w:rFonts w:hint="eastAsia"/>
                <w:color w:val="000000"/>
                <w:sz w:val="21"/>
                <w:szCs w:val="21"/>
                <w:highlight w:val="none"/>
              </w:rPr>
              <w:t xml:space="preserve">工作日</w:t>
            </w:r>
            <w:r/>
          </w:p>
        </w:tc>
      </w:tr>
      <w:tr>
        <w:trPr>
          <w:trHeight w:val="588"/>
        </w:trPr>
        <w:tc>
          <w:tcPr>
            <w:tcW w:w="851"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w:t>
            </w:r>
            <w:r/>
          </w:p>
        </w:tc>
        <w:tc>
          <w:tcPr>
            <w:tcW w:w="3402" w:type="dxa"/>
            <w:vAlign w:val="center"/>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w:t>
            </w:r>
            <w:r/>
          </w:p>
        </w:tc>
        <w:tc>
          <w:tcPr>
            <w:tcW w:w="4709" w:type="dxa"/>
            <w:vAlign w:val="center"/>
            <w:textDirection w:val="lrTb"/>
            <w:noWrap w:val="false"/>
          </w:tcPr>
          <w:p>
            <w:pPr>
              <w:spacing w:line="440" w:lineRule="exact"/>
              <w:rPr>
                <w:rFonts w:hint="default" w:ascii="宋体" w:hAnsi="宋体" w:eastAsia="宋体" w:cs="宋体"/>
                <w:bCs/>
                <w:color w:val="000000"/>
                <w:szCs w:val="21"/>
                <w:highlight w:val="none"/>
                <w:lang w:val="en-US" w:eastAsia="zh-CN"/>
              </w:rPr>
            </w:pPr>
            <w:r>
              <w:rPr>
                <w:rFonts w:hint="eastAsia" w:ascii="宋体" w:hAnsi="宋体" w:cs="宋体"/>
                <w:bCs/>
                <w:sz w:val="21"/>
                <w:szCs w:val="21"/>
                <w:highlight w:val="none"/>
                <w:lang w:val="en-US" w:eastAsia="zh-CN"/>
              </w:rPr>
              <w:t xml:space="preserve">要求：详见合同条款</w:t>
            </w:r>
            <w:r/>
          </w:p>
        </w:tc>
      </w:tr>
      <w:tr>
        <w:trPr>
          <w:trHeight w:val="588"/>
        </w:trPr>
        <w:tc>
          <w:tcPr>
            <w:tcW w:w="851" w:type="dxa"/>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w:t>
            </w:r>
            <w:r/>
          </w:p>
        </w:tc>
        <w:tc>
          <w:tcPr>
            <w:tcW w:w="3402" w:type="dxa"/>
            <w:vAlign w:val="center"/>
            <w:vMerge w:val="restart"/>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需要补充的其他内容</w:t>
            </w:r>
            <w:r/>
          </w:p>
        </w:tc>
        <w:tc>
          <w:tcPr>
            <w:tcW w:w="4709" w:type="dxa"/>
            <w:vAlign w:val="center"/>
            <w:textDirection w:val="lrTb"/>
            <w:noWrap w:val="false"/>
          </w:tcPr>
          <w:p>
            <w:pPr>
              <w:pStyle w:val="1172"/>
              <w:ind w:left="0"/>
              <w:spacing w:line="360" w:lineRule="auto"/>
              <w:rPr>
                <w:rFonts w:hint="eastAsia" w:hAnsi="宋体" w:cs="宋体"/>
                <w:color w:val="000000"/>
                <w:sz w:val="21"/>
                <w:szCs w:val="21"/>
                <w:highlight w:val="none"/>
              </w:rPr>
            </w:pPr>
            <w:r>
              <w:rPr>
                <w:rFonts w:hint="default" w:ascii="宋体" w:hAnsi="宋体" w:eastAsia="宋体" w:cs="宋体"/>
                <w:b w:val="0"/>
                <w:bCs/>
                <w:color w:val="000000"/>
                <w:sz w:val="21"/>
                <w:szCs w:val="21"/>
                <w:highlight w:val="none"/>
              </w:rPr>
              <w:t xml:space="preserve">本项目采购代理服务费用（包括专家费）由采购人江苏省药品监督检验研究院支付。本项目收费标准按采购人与本项目代理机构协议约定执行中标金额的0.5%的比例向采购代理机构交付招标代理服务费（如实际发生的招标代理费低于3500元，按照3500元收取</w:t>
            </w:r>
            <w:r>
              <w:rPr>
                <w:rFonts w:hint="eastAsia" w:ascii="宋体" w:hAnsi="宋体" w:eastAsia="宋体" w:cs="宋体"/>
                <w:b w:val="0"/>
                <w:bCs/>
                <w:color w:val="000000"/>
                <w:sz w:val="21"/>
                <w:szCs w:val="21"/>
                <w:highlight w:val="none"/>
                <w:lang w:eastAsia="zh-CN"/>
              </w:rPr>
              <w:t xml:space="preserve">，</w:t>
            </w:r>
            <w:r>
              <w:rPr>
                <w:rFonts w:hint="default" w:ascii="宋体" w:hAnsi="宋体" w:eastAsia="宋体" w:cs="宋体"/>
                <w:b w:val="0"/>
                <w:bCs/>
                <w:color w:val="000000"/>
                <w:sz w:val="21"/>
                <w:szCs w:val="21"/>
                <w:highlight w:val="none"/>
              </w:rPr>
              <w:t xml:space="preserve">如实际发生的招标代理费</w:t>
            </w:r>
            <w:r>
              <w:rPr>
                <w:rFonts w:hint="eastAsia" w:ascii="宋体" w:hAnsi="宋体" w:eastAsia="宋体" w:cs="宋体"/>
                <w:b w:val="0"/>
                <w:bCs/>
                <w:color w:val="000000"/>
                <w:sz w:val="21"/>
                <w:szCs w:val="21"/>
                <w:highlight w:val="none"/>
                <w:lang w:val="en-US" w:eastAsia="zh-CN"/>
              </w:rPr>
              <w:t xml:space="preserve">高</w:t>
            </w:r>
            <w:r>
              <w:rPr>
                <w:rFonts w:hint="default" w:ascii="宋体" w:hAnsi="宋体" w:eastAsia="宋体" w:cs="宋体"/>
                <w:b w:val="0"/>
                <w:bCs/>
                <w:color w:val="000000"/>
                <w:sz w:val="21"/>
                <w:szCs w:val="21"/>
                <w:highlight w:val="none"/>
              </w:rPr>
              <w:t xml:space="preserve">于</w:t>
            </w:r>
            <w:r>
              <w:rPr>
                <w:rFonts w:hint="eastAsia" w:ascii="宋体" w:hAnsi="宋体" w:eastAsia="宋体" w:cs="宋体"/>
                <w:b w:val="0"/>
                <w:bCs/>
                <w:color w:val="000000"/>
                <w:sz w:val="21"/>
                <w:szCs w:val="21"/>
                <w:highlight w:val="none"/>
                <w:lang w:val="en-US" w:eastAsia="zh-CN"/>
              </w:rPr>
              <w:t xml:space="preserve">100000</w:t>
            </w:r>
            <w:r>
              <w:rPr>
                <w:rFonts w:hint="default" w:ascii="宋体" w:hAnsi="宋体" w:eastAsia="宋体" w:cs="宋体"/>
                <w:b w:val="0"/>
                <w:bCs/>
                <w:color w:val="000000"/>
                <w:sz w:val="21"/>
                <w:szCs w:val="21"/>
                <w:highlight w:val="none"/>
              </w:rPr>
              <w:t xml:space="preserve">元，按照</w:t>
            </w:r>
            <w:r>
              <w:rPr>
                <w:rFonts w:hint="eastAsia" w:ascii="宋体" w:hAnsi="宋体" w:eastAsia="宋体" w:cs="宋体"/>
                <w:b w:val="0"/>
                <w:bCs/>
                <w:color w:val="000000"/>
                <w:sz w:val="21"/>
                <w:szCs w:val="21"/>
                <w:highlight w:val="none"/>
                <w:lang w:val="en-US" w:eastAsia="zh-CN"/>
              </w:rPr>
              <w:t xml:space="preserve">100000</w:t>
            </w:r>
            <w:r>
              <w:rPr>
                <w:rFonts w:hint="default" w:ascii="宋体" w:hAnsi="宋体" w:eastAsia="宋体" w:cs="宋体"/>
                <w:b w:val="0"/>
                <w:bCs/>
                <w:color w:val="000000"/>
                <w:sz w:val="21"/>
                <w:szCs w:val="21"/>
                <w:highlight w:val="none"/>
              </w:rPr>
              <w:t xml:space="preserve">元收取）。</w:t>
            </w:r>
            <w:r/>
          </w:p>
        </w:tc>
      </w:tr>
      <w:tr>
        <w:trPr>
          <w:trHeight w:val="588"/>
        </w:trPr>
        <w:tc>
          <w:tcPr>
            <w:tcW w:w="851" w:type="dxa"/>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402" w:type="dxa"/>
            <w:vAlign w:val="center"/>
            <w:vMerge w:val="continue"/>
            <w:textDirection w:val="lrTb"/>
            <w:noWrap w:val="false"/>
          </w:tcPr>
          <w:p>
            <w:pPr>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709" w:type="dxa"/>
            <w:vAlign w:val="center"/>
            <w:textDirection w:val="lrTb"/>
            <w:noWrap w:val="false"/>
          </w:tcPr>
          <w:p>
            <w:pPr>
              <w:pStyle w:val="1172"/>
              <w:ind w:left="0"/>
              <w:spacing w:line="300" w:lineRule="auto"/>
              <w:rPr>
                <w:rFonts w:hint="eastAsia" w:hAnsi="宋体" w:cs="宋体"/>
                <w:color w:val="000000"/>
                <w:sz w:val="21"/>
                <w:szCs w:val="21"/>
                <w:highlight w:val="none"/>
              </w:rPr>
            </w:pPr>
            <w:r>
              <w:rPr>
                <w:rFonts w:hint="eastAsia" w:hAnsi="宋体" w:cs="宋体"/>
                <w:color w:val="000000"/>
                <w:sz w:val="21"/>
                <w:szCs w:val="21"/>
                <w:highlight w:val="none"/>
              </w:rPr>
              <w:t xml:space="preserve">异常低价审查：</w:t>
            </w:r>
            <w:r/>
          </w:p>
          <w:p>
            <w:pPr>
              <w:pStyle w:val="1172"/>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（一）政府采购评审中出现下列情形之一的，评审委员会应当启动异常低价投标（回应）审查程序：</w:t>
            </w:r>
            <w:r/>
          </w:p>
          <w:p>
            <w:pPr>
              <w:pStyle w:val="1172"/>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1.投标（回应）报价低于全部通过符合性审查供应商投标（回应）报价平均值50%的，即投标（回应）报价&lt;全部通过符合性审查供应商投标（回应）报价平均值×50%；</w:t>
            </w:r>
            <w:r/>
          </w:p>
          <w:p>
            <w:pPr>
              <w:pStyle w:val="1172"/>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2.投标（回应）报价低于通过符合性审查的次低报价供应商投标（回应）报价50%的，即投标（回应）报价&lt;通过符合性审查的次低报价供应商投标（回应）报价×50%；</w:t>
            </w:r>
            <w:r/>
          </w:p>
          <w:p>
            <w:pPr>
              <w:pStyle w:val="1172"/>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3.投标（回应）报价低于采购项目最高限价45%的，即投标（回应）报价&lt;采购项目最高限价×45%；</w:t>
            </w:r>
            <w:r/>
          </w:p>
          <w:p>
            <w:pPr>
              <w:pStyle w:val="1172"/>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4.评审委员会基于专业判断，认为供应商报价过低，有可能影响产品质量或者不能诚信履约的其他情形。</w:t>
            </w:r>
            <w:r/>
          </w:p>
          <w:p>
            <w:pPr>
              <w:pStyle w:val="1172"/>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二）评审委员会启动异常低价投标（回应）审查后，属于前述第1项至第4项情形的，应当要求相关供应商在评审现场合理的时间内对投标（回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回应）文件一并提交相关书面说明及必要的证明材料的，在评审现场可不再重复提交。</w:t>
            </w:r>
            <w:r/>
          </w:p>
          <w:p>
            <w:pPr>
              <w:pStyle w:val="1172"/>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回应）供应商不能提供书面说明、证明材料，或者提供的书面说明、证明材料不能证明其报价合理性的，评审委员会应当将其作为无效投标（回应）处理。</w:t>
            </w:r>
            <w:r/>
          </w:p>
          <w:p>
            <w:pPr>
              <w:pStyle w:val="1172"/>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管道查询相关信息的，应当严格遵守评审工作纪律，不得实施影响评审公正的行为。</w:t>
            </w:r>
            <w:r/>
          </w:p>
          <w:p>
            <w:pPr>
              <w:pStyle w:val="1172"/>
              <w:ind w:left="0"/>
              <w:spacing w:line="300" w:lineRule="auto"/>
              <w:rPr>
                <w:rFonts w:hint="eastAsia" w:hAnsi="宋体" w:cs="宋体"/>
                <w:b w:val="0"/>
                <w:bCs/>
                <w:color w:val="000000"/>
                <w:sz w:val="21"/>
                <w:szCs w:val="21"/>
                <w:highlight w:val="none"/>
              </w:rPr>
            </w:pPr>
            <w:r>
              <w:rPr>
                <w:rFonts w:hint="eastAsia" w:hAnsi="宋体" w:cs="宋体"/>
                <w:b w:val="0"/>
                <w:bCs/>
                <w:color w:val="000000"/>
                <w:sz w:val="21"/>
                <w:szCs w:val="21"/>
                <w:highlight w:val="none"/>
              </w:rPr>
              <w:t xml:space="preserve">异常低价投标（回应）审查的启动原因、审查意见和审查结果应当在评审报告中记录，并随供应商提供的相关书面说明及证明材料，以及评审委员会有关互联网浏览、查询历史一并归文件。</w:t>
            </w:r>
            <w:r/>
          </w:p>
        </w:tc>
      </w:tr>
    </w:tbl>
    <w:p>
      <w:pPr>
        <w:pStyle w:val="926"/>
        <w:rPr>
          <w:rFonts w:hint="eastAsia" w:cs="宋体"/>
          <w:sz w:val="21"/>
          <w:szCs w:val="21"/>
          <w:highlight w:val="none"/>
        </w:rPr>
      </w:pPr>
      <w:r>
        <w:rPr>
          <w:rFonts w:hint="eastAsia" w:cs="宋体"/>
          <w:sz w:val="21"/>
          <w:szCs w:val="21"/>
          <w:highlight w:val="none"/>
        </w:rPr>
      </w:r>
      <w:r/>
    </w:p>
    <w:p>
      <w:pPr>
        <w:rPr>
          <w:rFonts w:hint="eastAsia" w:ascii="宋体" w:hAnsi="宋体" w:cs="宋体"/>
          <w:highlight w:val="none"/>
        </w:rPr>
      </w:pPr>
      <w:r>
        <w:rPr>
          <w:rFonts w:hint="eastAsia" w:ascii="宋体" w:hAnsi="宋体" w:cs="宋体"/>
          <w:highlight w:val="none"/>
        </w:rPr>
      </w:r>
      <w:r/>
    </w:p>
    <w:p>
      <w:pPr>
        <w:pStyle w:val="894"/>
        <w:spacing w:line="360" w:lineRule="auto"/>
        <w:rPr>
          <w:rFonts w:hint="eastAsia" w:hAnsi="宋体" w:cs="宋体"/>
          <w:b/>
          <w:bCs/>
          <w:spacing w:val="100"/>
          <w:sz w:val="72"/>
          <w:highlight w:val="none"/>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spacing w:val="100"/>
          <w:sz w:val="72"/>
          <w:highlight w:val="none"/>
        </w:rPr>
      </w:r>
      <w:r/>
    </w:p>
    <w:p>
      <w:pPr>
        <w:pStyle w:val="911"/>
        <w:ind w:firstLine="569"/>
        <w:rPr>
          <w:rFonts w:hint="eastAsia" w:ascii="宋体" w:hAnsi="宋体" w:cs="宋体"/>
          <w:highlight w:val="none"/>
        </w:rPr>
      </w:pPr>
      <w:r/>
      <w:bookmarkStart w:id="30" w:name="_Toc21875"/>
      <w:r/>
      <w:bookmarkStart w:id="31" w:name="_Toc104560837"/>
      <w:r/>
      <w:bookmarkStart w:id="32" w:name="_Toc103848526"/>
      <w:r/>
      <w:bookmarkStart w:id="33" w:name="_Toc107246213"/>
      <w:r/>
      <w:bookmarkStart w:id="34" w:name="_Toc100905199"/>
      <w:r/>
      <w:bookmarkStart w:id="35" w:name="_Toc80264714"/>
      <w:r>
        <w:rPr>
          <w:rFonts w:hint="eastAsia" w:ascii="宋体" w:hAnsi="宋体" w:cs="宋体"/>
          <w:highlight w:val="none"/>
        </w:rPr>
        <w:t xml:space="preserve">供应商须知</w:t>
      </w:r>
      <w:bookmarkEnd w:id="30"/>
      <w:r/>
      <w:bookmarkEnd w:id="31"/>
      <w:r/>
      <w:bookmarkEnd w:id="32"/>
      <w:r/>
      <w:bookmarkEnd w:id="33"/>
      <w:r/>
      <w:bookmarkEnd w:id="34"/>
      <w:r/>
      <w:r/>
    </w:p>
    <w:p>
      <w:pPr>
        <w:pStyle w:val="1171"/>
        <w:ind w:left="0" w:right="210"/>
        <w:spacing w:line="360" w:lineRule="auto"/>
        <w:rPr>
          <w:rFonts w:hint="eastAsia" w:ascii="宋体" w:hAnsi="宋体" w:cs="宋体"/>
          <w:szCs w:val="21"/>
          <w:highlight w:val="none"/>
        </w:rPr>
      </w:pPr>
      <w:r/>
      <w:bookmarkStart w:id="36" w:name="_Toc102117268"/>
      <w:r/>
      <w:bookmarkStart w:id="37" w:name="_Toc31564"/>
      <w:r/>
      <w:bookmarkStart w:id="38" w:name="_Toc80264706"/>
      <w:r/>
      <w:bookmarkStart w:id="39" w:name="_Toc107246214"/>
      <w:r>
        <w:rPr>
          <w:rFonts w:hint="eastAsia" w:ascii="宋体" w:hAnsi="宋体" w:cs="宋体"/>
          <w:szCs w:val="21"/>
          <w:highlight w:val="none"/>
        </w:rPr>
        <w:t xml:space="preserve">一．总则</w:t>
      </w:r>
      <w:bookmarkEnd w:id="36"/>
      <w:r/>
      <w:bookmarkEnd w:id="37"/>
      <w:r/>
      <w:r/>
    </w:p>
    <w:p>
      <w:pPr>
        <w:pStyle w:val="1171"/>
        <w:ind w:left="0" w:right="210"/>
        <w:spacing w:line="360" w:lineRule="auto"/>
        <w:rPr>
          <w:rFonts w:hint="eastAsia" w:ascii="宋体" w:hAnsi="宋体" w:cs="宋体"/>
          <w:szCs w:val="21"/>
          <w:highlight w:val="none"/>
        </w:rPr>
      </w:pPr>
      <w:r/>
      <w:bookmarkStart w:id="40" w:name="_Toc5540"/>
      <w:r/>
      <w:bookmarkStart w:id="41" w:name="_Toc102117269"/>
      <w:r>
        <w:rPr>
          <w:rFonts w:hint="eastAsia" w:ascii="宋体" w:hAnsi="宋体" w:cs="宋体"/>
          <w:szCs w:val="21"/>
          <w:highlight w:val="none"/>
        </w:rPr>
        <w:t xml:space="preserve">1.采购方式</w:t>
      </w:r>
      <w:bookmarkEnd w:id="40"/>
      <w:r/>
      <w:bookmarkEnd w:id="41"/>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1.1本次采购采用单一来源方式。本采购文件仅适用于单一来源采购邀请中所述采购项目。</w:t>
      </w:r>
      <w:r/>
    </w:p>
    <w:p>
      <w:pPr>
        <w:pStyle w:val="1171"/>
        <w:ind w:left="0" w:right="210"/>
        <w:spacing w:line="360" w:lineRule="auto"/>
        <w:rPr>
          <w:rFonts w:hint="eastAsia" w:ascii="宋体" w:hAnsi="宋体" w:cs="宋体"/>
          <w:szCs w:val="21"/>
          <w:highlight w:val="none"/>
        </w:rPr>
      </w:pPr>
      <w:r/>
      <w:bookmarkStart w:id="42" w:name="_Toc24416"/>
      <w:r/>
      <w:bookmarkStart w:id="43" w:name="_Toc102117270"/>
      <w:r>
        <w:rPr>
          <w:rFonts w:hint="eastAsia" w:ascii="宋体" w:hAnsi="宋体" w:cs="宋体"/>
          <w:szCs w:val="21"/>
          <w:highlight w:val="none"/>
        </w:rPr>
        <w:t xml:space="preserve">2.定义</w:t>
      </w:r>
      <w:bookmarkEnd w:id="42"/>
      <w:r/>
      <w:bookmarkEnd w:id="43"/>
      <w:r/>
      <w:r/>
    </w:p>
    <w:p>
      <w:pPr>
        <w:ind w:firstLine="420"/>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szCs w:val="21"/>
          <w:highlight w:val="none"/>
        </w:rPr>
        <w:t xml:space="preserve">“</w:t>
      </w:r>
      <w:r>
        <w:rPr>
          <w:rFonts w:hint="eastAsia" w:ascii="宋体" w:hAnsi="宋体" w:cs="宋体"/>
          <w:bCs/>
          <w:szCs w:val="21"/>
          <w:highlight w:val="none"/>
        </w:rPr>
        <w:t xml:space="preserve">采购人</w:t>
      </w:r>
      <w:r>
        <w:rPr>
          <w:rFonts w:hint="eastAsia" w:ascii="宋体" w:hAnsi="宋体" w:cs="宋体"/>
          <w:szCs w:val="21"/>
          <w:highlight w:val="none"/>
        </w:rPr>
        <w:t xml:space="preserve">”</w:t>
      </w:r>
      <w:r>
        <w:rPr>
          <w:rFonts w:hint="eastAsia" w:ascii="宋体" w:hAnsi="宋体" w:cs="宋体"/>
          <w:bCs/>
          <w:szCs w:val="21"/>
          <w:highlight w:val="none"/>
        </w:rPr>
        <w:t xml:space="preserve">是指依法进行政府采购的国家机关、事业单位、团体组织。本次政府采购的采购人名称、地址、电话、联系人见</w:t>
      </w:r>
      <w:r>
        <w:rPr>
          <w:rFonts w:hint="eastAsia" w:ascii="宋体" w:hAnsi="宋体" w:cs="宋体"/>
          <w:b/>
          <w:bCs/>
          <w:szCs w:val="21"/>
          <w:highlight w:val="none"/>
        </w:rPr>
        <w:t xml:space="preserve">供应商须知前附表。</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2.2“采购代理机构”是指依法成立并具有法人资格的社会中介机构，有能力和良好信誉承担政府采购的业务代理工作。本次政府采购的采购代理机构名称、地址、电话、联系人见</w:t>
      </w:r>
      <w:r>
        <w:rPr>
          <w:rFonts w:hint="eastAsia" w:ascii="宋体" w:hAnsi="宋体" w:cs="宋体"/>
          <w:b/>
          <w:bCs/>
          <w:szCs w:val="21"/>
          <w:highlight w:val="none"/>
        </w:rPr>
        <w:t xml:space="preserve">供应商</w:t>
      </w:r>
      <w:r>
        <w:rPr>
          <w:rFonts w:hint="eastAsia" w:ascii="宋体" w:hAnsi="宋体" w:cs="宋体"/>
          <w:b/>
          <w:szCs w:val="21"/>
          <w:highlight w:val="none"/>
        </w:rPr>
        <w:t xml:space="preserve">须知前附表。</w:t>
      </w:r>
      <w:r/>
    </w:p>
    <w:p>
      <w:pPr>
        <w:ind w:firstLine="420"/>
        <w:spacing w:before="156" w:line="360" w:lineRule="auto"/>
        <w:rPr>
          <w:rFonts w:hint="eastAsia" w:ascii="宋体" w:hAnsi="宋体" w:cs="宋体"/>
          <w:szCs w:val="21"/>
          <w:highlight w:val="none"/>
        </w:rPr>
      </w:pPr>
      <w:r>
        <w:rPr>
          <w:rFonts w:hint="eastAsia" w:ascii="宋体" w:hAnsi="宋体" w:cs="宋体"/>
          <w:bCs/>
          <w:szCs w:val="21"/>
          <w:highlight w:val="none"/>
        </w:rPr>
        <w:t xml:space="preserve">2.3</w:t>
      </w:r>
      <w:r>
        <w:rPr>
          <w:rFonts w:hint="eastAsia" w:ascii="宋体" w:hAnsi="宋体" w:cs="宋体"/>
          <w:szCs w:val="21"/>
          <w:highlight w:val="none"/>
        </w:rPr>
        <w:t xml:space="preserve">“</w:t>
      </w:r>
      <w:r>
        <w:rPr>
          <w:rFonts w:hint="eastAsia" w:ascii="宋体" w:hAnsi="宋体" w:cs="宋体"/>
          <w:bCs/>
          <w:szCs w:val="21"/>
          <w:highlight w:val="none"/>
        </w:rPr>
        <w:t xml:space="preserve">采购方</w:t>
      </w:r>
      <w:r>
        <w:rPr>
          <w:rFonts w:hint="eastAsia" w:ascii="宋体" w:hAnsi="宋体" w:cs="宋体"/>
          <w:szCs w:val="21"/>
          <w:highlight w:val="none"/>
        </w:rPr>
        <w:t xml:space="preserve">”</w:t>
      </w:r>
      <w:r>
        <w:rPr>
          <w:rFonts w:hint="eastAsia" w:ascii="宋体" w:hAnsi="宋体" w:cs="宋体"/>
          <w:bCs/>
          <w:szCs w:val="21"/>
          <w:highlight w:val="none"/>
        </w:rPr>
        <w:t xml:space="preserve">是指采购人和</w:t>
      </w:r>
      <w:r>
        <w:rPr>
          <w:rFonts w:hint="eastAsia" w:ascii="宋体" w:hAnsi="宋体" w:cs="宋体"/>
          <w:szCs w:val="21"/>
          <w:highlight w:val="none"/>
        </w:rPr>
        <w:t xml:space="preserve">采购代理机构的合称。</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2.4“供应商”是指向采购人提供货物、工程或者服务的法人、其他组织或者自然人。</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2.5“成交供应商”是指由协商小组经协商确定的符合采购需求，并对采购文件做出实质性响应，取得与采购人签订合同资格的供应商。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2.6“货物”是指各种形态和种类的物品，包括原材料、燃料、设备、产品等。</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2.7“工程”是指建设工程，包括建筑物和构筑物的新建、改建、扩建、装修、拆除、修缮等。</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2.8“服务”是指除货物和工程以外的其他政府采购对象。</w:t>
      </w:r>
      <w:r/>
    </w:p>
    <w:p>
      <w:pPr>
        <w:pStyle w:val="1171"/>
        <w:ind w:left="0" w:right="210"/>
        <w:spacing w:line="360" w:lineRule="auto"/>
        <w:rPr>
          <w:rFonts w:hint="eastAsia" w:ascii="宋体" w:hAnsi="宋体" w:cs="宋体"/>
          <w:szCs w:val="21"/>
          <w:highlight w:val="none"/>
        </w:rPr>
      </w:pPr>
      <w:r/>
      <w:bookmarkStart w:id="44" w:name="_Toc17043"/>
      <w:r/>
      <w:bookmarkStart w:id="45" w:name="_Toc102117271"/>
      <w:r>
        <w:rPr>
          <w:rFonts w:hint="eastAsia" w:ascii="宋体" w:hAnsi="宋体" w:cs="宋体"/>
          <w:szCs w:val="21"/>
          <w:highlight w:val="none"/>
        </w:rPr>
        <w:t xml:space="preserve">3.适用法律</w:t>
      </w:r>
      <w:bookmarkEnd w:id="44"/>
      <w:r/>
      <w:bookmarkEnd w:id="45"/>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3.1《中华人民共和国政府采购法》。</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3.2《中华人民共和国政府采购法实施条例》。</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3.3《政府采购非招标方式管理办法》。</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3.4其他有管辖力的法律、行政法规及省市规范性文件规定。 </w:t>
      </w:r>
      <w:r/>
    </w:p>
    <w:p>
      <w:pPr>
        <w:pStyle w:val="1171"/>
        <w:ind w:left="0" w:right="210"/>
        <w:spacing w:line="360" w:lineRule="auto"/>
        <w:rPr>
          <w:rFonts w:hint="eastAsia" w:ascii="宋体" w:hAnsi="宋体" w:cs="宋体"/>
          <w:szCs w:val="21"/>
          <w:highlight w:val="none"/>
        </w:rPr>
      </w:pPr>
      <w:r/>
      <w:bookmarkStart w:id="46" w:name="_Toc102117272"/>
      <w:r/>
      <w:bookmarkStart w:id="47" w:name="_Toc30644"/>
      <w:r>
        <w:rPr>
          <w:rFonts w:hint="eastAsia" w:ascii="宋体" w:hAnsi="宋体" w:cs="宋体"/>
          <w:szCs w:val="21"/>
          <w:highlight w:val="none"/>
        </w:rPr>
        <w:t xml:space="preserve">4.相关费用</w:t>
      </w:r>
      <w:bookmarkEnd w:id="46"/>
      <w:r/>
      <w:bookmarkEnd w:id="47"/>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4.1参加单一来源协商供应商应自行承担所有与参加单一来源协商采购有关的费用，无论单一来源协商结果如何，采购方在任何情况下均无义务和责任承担这些费用。</w:t>
      </w:r>
      <w:r/>
    </w:p>
    <w:p>
      <w:pPr>
        <w:pStyle w:val="1171"/>
        <w:ind w:left="0" w:right="210"/>
        <w:spacing w:line="360" w:lineRule="auto"/>
        <w:rPr>
          <w:rFonts w:hint="eastAsia" w:ascii="宋体" w:hAnsi="宋体" w:cs="宋体"/>
          <w:szCs w:val="21"/>
          <w:highlight w:val="none"/>
        </w:rPr>
      </w:pPr>
      <w:r/>
      <w:bookmarkStart w:id="48" w:name="_Toc7249"/>
      <w:r/>
      <w:bookmarkStart w:id="49" w:name="_Toc102117273"/>
      <w:r>
        <w:rPr>
          <w:rFonts w:hint="eastAsia" w:ascii="宋体" w:hAnsi="宋体" w:cs="宋体"/>
          <w:szCs w:val="21"/>
          <w:highlight w:val="none"/>
        </w:rPr>
        <w:t xml:space="preserve">5.保密</w:t>
      </w:r>
      <w:bookmarkEnd w:id="48"/>
      <w:r/>
      <w:bookmarkEnd w:id="49"/>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5.1本采购文件所包含的信息属于保密信息，无采购人书面许可，任何单位或个人都无权披露、复制、使用、转让或者允许他人使用。获取采购文件的供应商被视为无条件对本采购文件的内容负有保密义务。</w:t>
      </w:r>
      <w:r/>
    </w:p>
    <w:p>
      <w:pPr>
        <w:pStyle w:val="1171"/>
        <w:ind w:left="0" w:right="210"/>
        <w:spacing w:line="360" w:lineRule="auto"/>
        <w:rPr>
          <w:rFonts w:hint="eastAsia" w:ascii="宋体" w:hAnsi="宋体" w:cs="宋体"/>
          <w:szCs w:val="21"/>
          <w:highlight w:val="none"/>
        </w:rPr>
      </w:pPr>
      <w:r/>
      <w:bookmarkStart w:id="50" w:name="_Toc488"/>
      <w:r/>
      <w:bookmarkStart w:id="51" w:name="_Toc102117274"/>
      <w:r>
        <w:rPr>
          <w:rFonts w:hint="eastAsia" w:ascii="宋体" w:hAnsi="宋体" w:cs="宋体"/>
          <w:szCs w:val="21"/>
          <w:highlight w:val="none"/>
        </w:rPr>
        <w:t xml:space="preserve">6.语言文字、计量单位</w:t>
      </w:r>
      <w:bookmarkEnd w:id="50"/>
      <w:r/>
      <w:bookmarkEnd w:id="51"/>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6.1所有文件使用的语言文字为中文。专用术语使用外文的，应附有中文注释。</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6.2所有文件中的计量单位，除采购文件有特殊要求外，应采用国家法定计量单位。</w:t>
      </w:r>
      <w:r/>
    </w:p>
    <w:p>
      <w:pPr>
        <w:pStyle w:val="1171"/>
        <w:ind w:left="0" w:right="210"/>
        <w:spacing w:line="360" w:lineRule="auto"/>
        <w:rPr>
          <w:rFonts w:hint="eastAsia" w:ascii="宋体" w:hAnsi="宋体" w:cs="宋体"/>
          <w:szCs w:val="21"/>
          <w:highlight w:val="none"/>
        </w:rPr>
      </w:pPr>
      <w:r/>
      <w:bookmarkStart w:id="52" w:name="_Toc14478"/>
      <w:r>
        <w:rPr>
          <w:rFonts w:hint="eastAsia" w:ascii="宋体" w:hAnsi="宋体" w:cs="宋体"/>
          <w:szCs w:val="21"/>
          <w:highlight w:val="none"/>
        </w:rPr>
        <w:t xml:space="preserve">7.协商答疑会</w:t>
      </w:r>
      <w:bookmarkEnd w:id="52"/>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7.1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规定召开协商答疑会的，采购方按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规定的时间和地点召开协商答疑会，澄清供应商提出的询问。</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7.2供应商应按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1171"/>
        <w:ind w:left="0" w:right="210"/>
        <w:spacing w:line="360" w:lineRule="auto"/>
        <w:rPr>
          <w:rFonts w:hint="eastAsia" w:ascii="宋体" w:hAnsi="宋体" w:cs="宋体"/>
          <w:szCs w:val="21"/>
          <w:highlight w:val="none"/>
        </w:rPr>
      </w:pPr>
      <w:r/>
      <w:bookmarkStart w:id="53" w:name="_Toc102117276"/>
      <w:r/>
      <w:bookmarkStart w:id="54" w:name="_Toc31053"/>
      <w:r>
        <w:rPr>
          <w:rFonts w:hint="eastAsia" w:ascii="宋体" w:hAnsi="宋体" w:cs="宋体"/>
          <w:szCs w:val="21"/>
          <w:highlight w:val="none"/>
        </w:rPr>
        <w:t xml:space="preserve">8.分包</w:t>
      </w:r>
      <w:bookmarkEnd w:id="53"/>
      <w:r/>
      <w:bookmarkEnd w:id="54"/>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8.1供应商拟在成交后将成交项目的非主体部分进行分包的，应符合</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规定的分包内容、分包金额和资质要求等限制性条件，并获得采购人的书面同意后方可实施。除</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规定的非主体部分外，其他部分不得分包。</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8.2供应商不得向他人转让成交项目，接受分包的人不得再次分包。成交供应商应当就分包项目向采购人负责，接受分包的人就分包项目承担连带责任。</w:t>
      </w:r>
      <w:r/>
    </w:p>
    <w:p>
      <w:pPr>
        <w:pStyle w:val="1171"/>
        <w:ind w:left="0" w:right="210"/>
        <w:spacing w:line="360" w:lineRule="auto"/>
        <w:rPr>
          <w:rFonts w:hint="eastAsia" w:ascii="宋体" w:hAnsi="宋体" w:cs="宋体"/>
          <w:szCs w:val="21"/>
          <w:highlight w:val="none"/>
        </w:rPr>
      </w:pPr>
      <w:r/>
      <w:bookmarkStart w:id="55" w:name="_Toc30763"/>
      <w:r/>
      <w:bookmarkStart w:id="56" w:name="_Toc102117277"/>
      <w:r>
        <w:rPr>
          <w:rFonts w:hint="eastAsia" w:ascii="宋体" w:hAnsi="宋体" w:cs="宋体"/>
          <w:szCs w:val="21"/>
          <w:highlight w:val="none"/>
        </w:rPr>
        <w:t xml:space="preserve">9.踏勘现场</w:t>
      </w:r>
      <w:bookmarkEnd w:id="55"/>
      <w:r/>
      <w:bookmarkEnd w:id="56"/>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规定踏勘现场的，供应商须按照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规定的时间、地点参加踏勘，以获得有关编制响应文件和签署合同所涉及现场的资料。供应商承担踏勘现场所发生的自身费用、责任和风险。</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参加项目踏勘的，视同放弃现场踏勘，采购方将不再另行组织现场踏勘。以此为由，影响后期响应文件相关的响应、签约、履约条件的，是供应商自身的风险，采购方对此不承担责任。</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9.3除非有特殊要求，采购文件不提供项目所在地的自然环境、气候条件、公用设施等情况，供应商被视为熟悉上述与履行合同有关的一切情况。</w:t>
      </w:r>
      <w:r/>
    </w:p>
    <w:p>
      <w:pPr>
        <w:pStyle w:val="1171"/>
        <w:ind w:left="0" w:right="210"/>
        <w:spacing w:line="360" w:lineRule="auto"/>
        <w:rPr>
          <w:rFonts w:hint="eastAsia" w:ascii="宋体" w:hAnsi="宋体" w:cs="宋体"/>
          <w:szCs w:val="21"/>
          <w:highlight w:val="none"/>
        </w:rPr>
      </w:pPr>
      <w:r/>
      <w:bookmarkStart w:id="57" w:name="_Toc102117278"/>
      <w:r/>
      <w:bookmarkStart w:id="58" w:name="_Toc10930"/>
      <w:r>
        <w:rPr>
          <w:rFonts w:hint="eastAsia" w:ascii="宋体" w:hAnsi="宋体" w:cs="宋体"/>
          <w:szCs w:val="21"/>
          <w:highlight w:val="none"/>
        </w:rPr>
        <w:t xml:space="preserve">二．采购文件</w:t>
      </w:r>
      <w:bookmarkEnd w:id="57"/>
      <w:r/>
      <w:bookmarkEnd w:id="58"/>
      <w:r/>
      <w:r/>
    </w:p>
    <w:p>
      <w:pPr>
        <w:pStyle w:val="1171"/>
        <w:ind w:left="0" w:right="210"/>
        <w:spacing w:line="360" w:lineRule="auto"/>
        <w:rPr>
          <w:rFonts w:hint="eastAsia" w:ascii="宋体" w:hAnsi="宋体" w:cs="宋体"/>
          <w:szCs w:val="21"/>
          <w:highlight w:val="none"/>
        </w:rPr>
      </w:pPr>
      <w:r/>
      <w:bookmarkStart w:id="59" w:name="_Toc28263"/>
      <w:r/>
      <w:bookmarkStart w:id="60" w:name="_Toc102117279"/>
      <w:r>
        <w:rPr>
          <w:rFonts w:hint="eastAsia" w:ascii="宋体" w:hAnsi="宋体" w:cs="宋体"/>
          <w:szCs w:val="21"/>
          <w:highlight w:val="none"/>
        </w:rPr>
        <w:t xml:space="preserve">10.采购文件的组成</w:t>
      </w:r>
      <w:bookmarkEnd w:id="59"/>
      <w:r/>
      <w:bookmarkEnd w:id="60"/>
      <w:r/>
      <w:r/>
    </w:p>
    <w:p>
      <w:pPr>
        <w:ind w:firstLine="420"/>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10.1采购文件</w:t>
      </w:r>
      <w:r>
        <w:rPr>
          <w:rFonts w:hint="eastAsia" w:ascii="宋体" w:hAnsi="宋体" w:cs="宋体"/>
          <w:szCs w:val="21"/>
          <w:highlight w:val="none"/>
        </w:rPr>
        <w:t xml:space="preserve">应包括下列内容：</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第一章：单一来源采购文件邀请函</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第二章：供应商须知</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第五章：响应文件组成</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对采购文件所作的澄清、修改，构成采购文件的组成部分。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10.2供应商应仔细阅读和检查采购文件的全部内容。如发现采购文件内容不全，应及时向采购方提出，以便补齐。</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采购文件</w:t>
      </w:r>
      <w:r>
        <w:rPr>
          <w:rFonts w:hint="eastAsia" w:ascii="宋体" w:hAnsi="宋体" w:cs="宋体"/>
          <w:szCs w:val="21"/>
          <w:highlight w:val="none"/>
          <w:lang w:val="zh-CN"/>
        </w:rPr>
        <w:t xml:space="preserve">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采购文件</w:t>
      </w:r>
      <w:r>
        <w:rPr>
          <w:rFonts w:hint="eastAsia" w:ascii="宋体" w:hAnsi="宋体" w:cs="宋体"/>
          <w:szCs w:val="21"/>
          <w:highlight w:val="none"/>
          <w:lang w:val="zh-CN"/>
        </w:rPr>
        <w:t xml:space="preserve">为准。</w:t>
      </w:r>
      <w:r/>
    </w:p>
    <w:p>
      <w:pPr>
        <w:ind w:firstLine="422"/>
        <w:spacing w:line="360" w:lineRule="auto"/>
        <w:rPr>
          <w:rFonts w:hint="eastAsia" w:ascii="宋体" w:hAnsi="宋体" w:cs="宋体"/>
          <w:szCs w:val="21"/>
          <w:highlight w:val="none"/>
        </w:rPr>
      </w:pPr>
      <w:r>
        <w:rPr>
          <w:rFonts w:hint="eastAsia" w:ascii="宋体" w:hAnsi="宋体" w:cs="宋体"/>
          <w:b/>
          <w:i/>
          <w:iCs/>
          <w:szCs w:val="21"/>
          <w:highlight w:val="none"/>
          <w:u w:val="single"/>
        </w:rPr>
        <w:t xml:space="preserve">采购文件中标注“斜体加下划线”的条款为实质性要求条款</w:t>
      </w:r>
      <w:r>
        <w:rPr>
          <w:rFonts w:hint="eastAsia" w:ascii="宋体" w:hAnsi="宋体" w:cs="宋体"/>
          <w:b/>
          <w:szCs w:val="21"/>
          <w:highlight w:val="none"/>
        </w:rPr>
        <w:t xml:space="preserve">。</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10.3供应商应仔细阅读和检查采购文件的全部内容。如发现采购文件内容不全，应及时向采购方提出，以便补齐。</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10.4供应商按照采购文件要求编制响应文件。任何对采购文件的忽略或误解，不能作为响应文件存在缺陷或瑕疵的理由，其风险由供应商承担。</w:t>
      </w:r>
      <w:r/>
    </w:p>
    <w:p>
      <w:pPr>
        <w:pStyle w:val="1171"/>
        <w:ind w:left="0" w:right="210"/>
        <w:spacing w:line="360" w:lineRule="auto"/>
        <w:rPr>
          <w:rFonts w:hint="eastAsia" w:ascii="宋体" w:hAnsi="宋体" w:cs="宋体"/>
          <w:szCs w:val="21"/>
          <w:highlight w:val="none"/>
        </w:rPr>
      </w:pPr>
      <w:r/>
      <w:bookmarkStart w:id="61" w:name="_Toc102117280"/>
      <w:r/>
      <w:bookmarkStart w:id="62" w:name="_Toc5980"/>
      <w:r>
        <w:rPr>
          <w:rFonts w:hint="eastAsia" w:ascii="宋体" w:hAnsi="宋体" w:cs="宋体"/>
          <w:szCs w:val="21"/>
          <w:highlight w:val="none"/>
        </w:rPr>
        <w:t xml:space="preserve">11.采购文件的澄清或修改</w:t>
      </w:r>
      <w:bookmarkEnd w:id="61"/>
      <w:r/>
      <w:bookmarkEnd w:id="62"/>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11.1采购方可以对已发出的采购文件、单一来源采购邀请函进行必要的澄清或修改。采购文件的澄清或修改的内容作为采购文件组成部分并具有法律效力，任何口头答复、通知无效。采购文件、澄清或修改在同一内容表述上不一致的，以日期后者的为准。</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11.2在响应截止时间前，采购方无论出于自己的考虑，还是出于对供应商问题的澄清，均可对采购文件采用补充文件的方式进行澄清或修改。</w:t>
      </w:r>
      <w:r/>
    </w:p>
    <w:p>
      <w:pPr>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11.3供应商应及时关注采购方发送的通知、澄清或修改，并按照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规定的时间和形式向采购方确认收到上述文件。</w:t>
      </w:r>
      <w:r/>
    </w:p>
    <w:p>
      <w:pPr>
        <w:pStyle w:val="1171"/>
        <w:ind w:left="0" w:right="210"/>
        <w:spacing w:line="360" w:lineRule="auto"/>
        <w:rPr>
          <w:rFonts w:hint="eastAsia" w:ascii="宋体" w:hAnsi="宋体" w:cs="宋体"/>
          <w:szCs w:val="21"/>
          <w:highlight w:val="none"/>
        </w:rPr>
      </w:pPr>
      <w:r/>
      <w:bookmarkStart w:id="63" w:name="_Toc28268"/>
      <w:r>
        <w:rPr>
          <w:rFonts w:hint="eastAsia" w:ascii="宋体" w:hAnsi="宋体" w:cs="宋体"/>
          <w:szCs w:val="21"/>
          <w:highlight w:val="none"/>
        </w:rPr>
        <w:t xml:space="preserve">三、响应文件的编制</w:t>
      </w:r>
      <w:bookmarkEnd w:id="63"/>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12．响应文件的语言及度量衡单位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12.1 供应商提交的响应文件以及供应商与采购代理机构就有关谈判的所有来往通知、函件和文件均应使用简体中文。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12.2 除技术性能另有规定外，采购文件所使用的度量衡单位，均须采用国家法定计量单位。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12.3 如无特别说明，所有报价均以人民币表示。</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13．响应文件构成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13.1 供应商编写的响应文件</w:t>
      </w:r>
      <w:r>
        <w:rPr>
          <w:rFonts w:hint="eastAsia" w:ascii="宋体" w:hAnsi="宋体" w:cs="宋体"/>
          <w:b/>
          <w:bCs/>
          <w:szCs w:val="21"/>
          <w:highlight w:val="none"/>
        </w:rPr>
        <w:t xml:space="preserve">应包括响应函、报价表、资格证明文件、服务条款响应及偏离表、商务条款响应及偏离表、供应商情况介绍等部分。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13.2 特别提醒：供应商必须在响应文件接收截止时间之前在系统中提交所有与开评标相关的资料。开评标现场不接收任何资料。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14．响应文件的签署</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14.1 本采购文件所表述（指定）的公章是指法定名称章，不包括合同专用章、业务专用章等印章。</w:t>
      </w:r>
      <w:r/>
    </w:p>
    <w:p>
      <w:pPr>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15．</w:t>
      </w:r>
      <w:r>
        <w:rPr>
          <w:rFonts w:hint="eastAsia" w:ascii="宋体" w:hAnsi="宋体" w:cs="宋体"/>
          <w:b/>
          <w:szCs w:val="21"/>
          <w:highlight w:val="none"/>
          <w:lang w:eastAsia="zh-CN"/>
        </w:rPr>
        <w:t xml:space="preserve">协商保证金</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15.1 本次采购不收取</w:t>
      </w:r>
      <w:r>
        <w:rPr>
          <w:rFonts w:hint="eastAsia" w:ascii="宋体" w:hAnsi="宋体" w:cs="宋体"/>
          <w:szCs w:val="21"/>
          <w:highlight w:val="none"/>
          <w:lang w:eastAsia="zh-CN"/>
        </w:rPr>
        <w:t xml:space="preserve">协商保证金</w:t>
      </w:r>
      <w:r>
        <w:rPr>
          <w:rFonts w:hint="eastAsia" w:ascii="宋体" w:hAnsi="宋体" w:cs="宋体"/>
          <w:szCs w:val="21"/>
          <w:highlight w:val="none"/>
        </w:rPr>
        <w:t xml:space="preserve">。</w:t>
      </w:r>
      <w:r/>
    </w:p>
    <w:p>
      <w:pPr>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16．</w:t>
      </w:r>
      <w:r>
        <w:rPr>
          <w:rFonts w:hint="eastAsia" w:ascii="宋体" w:hAnsi="宋体" w:cs="宋体"/>
          <w:b/>
          <w:szCs w:val="21"/>
          <w:highlight w:val="none"/>
          <w:lang w:eastAsia="zh-CN"/>
        </w:rPr>
        <w:t xml:space="preserve">协商有效期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16.1 </w:t>
      </w:r>
      <w:r>
        <w:rPr>
          <w:rFonts w:hint="eastAsia" w:ascii="宋体" w:hAnsi="宋体" w:cs="宋体"/>
          <w:szCs w:val="21"/>
          <w:highlight w:val="none"/>
          <w:lang w:eastAsia="zh-CN"/>
        </w:rPr>
        <w:t xml:space="preserve">协商有效期</w:t>
      </w:r>
      <w:r>
        <w:rPr>
          <w:rFonts w:hint="eastAsia" w:ascii="宋体" w:hAnsi="宋体" w:cs="宋体"/>
          <w:szCs w:val="21"/>
          <w:highlight w:val="none"/>
        </w:rPr>
        <w:t xml:space="preserve">为采购代理机构规定的响应文件提交截止之日后九十（90）天。承诺的有效期少于该规定期限的响应文件将被拒绝。</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16.2 在特殊情况下，采购代理机构于原</w:t>
      </w:r>
      <w:r>
        <w:rPr>
          <w:rFonts w:hint="eastAsia" w:ascii="宋体" w:hAnsi="宋体" w:cs="宋体"/>
          <w:szCs w:val="21"/>
          <w:highlight w:val="none"/>
          <w:lang w:eastAsia="zh-CN"/>
        </w:rPr>
        <w:t xml:space="preserve">协商有效期</w:t>
      </w:r>
      <w:r>
        <w:rPr>
          <w:rFonts w:hint="eastAsia" w:ascii="宋体" w:hAnsi="宋体" w:cs="宋体"/>
          <w:szCs w:val="21"/>
          <w:highlight w:val="none"/>
        </w:rPr>
        <w:t xml:space="preserve">满之前，可向供应商提出延长</w:t>
      </w:r>
      <w:r>
        <w:rPr>
          <w:rFonts w:hint="eastAsia" w:ascii="宋体" w:hAnsi="宋体" w:cs="宋体"/>
          <w:szCs w:val="21"/>
          <w:highlight w:val="none"/>
          <w:lang w:eastAsia="zh-CN"/>
        </w:rPr>
        <w:t xml:space="preserve">协商有效期</w:t>
      </w:r>
      <w:r>
        <w:rPr>
          <w:rFonts w:hint="eastAsia" w:ascii="宋体" w:hAnsi="宋体" w:cs="宋体"/>
          <w:szCs w:val="21"/>
          <w:highlight w:val="none"/>
        </w:rPr>
        <w:t xml:space="preserve">的要求。这种要求与答复均应采用书面形式。供应商可以拒绝接受采购代理机构的这一要求而放弃谈判。同意延长</w:t>
      </w:r>
      <w:r>
        <w:rPr>
          <w:rFonts w:hint="eastAsia" w:ascii="宋体" w:hAnsi="宋体" w:cs="宋体"/>
          <w:szCs w:val="21"/>
          <w:highlight w:val="none"/>
          <w:lang w:eastAsia="zh-CN"/>
        </w:rPr>
        <w:t xml:space="preserve">协商有效期</w:t>
      </w:r>
      <w:r>
        <w:rPr>
          <w:rFonts w:hint="eastAsia" w:ascii="宋体" w:hAnsi="宋体" w:cs="宋体"/>
          <w:szCs w:val="21"/>
          <w:highlight w:val="none"/>
        </w:rPr>
        <w:t xml:space="preserve">的供应商既不能要求也不允许修改其响应文件，同时受</w:t>
      </w:r>
      <w:r>
        <w:rPr>
          <w:rFonts w:hint="eastAsia" w:ascii="宋体" w:hAnsi="宋体" w:cs="宋体"/>
          <w:szCs w:val="21"/>
          <w:highlight w:val="none"/>
          <w:lang w:eastAsia="zh-CN"/>
        </w:rPr>
        <w:t xml:space="preserve">协商有效期</w:t>
      </w:r>
      <w:r>
        <w:rPr>
          <w:rFonts w:hint="eastAsia" w:ascii="宋体" w:hAnsi="宋体" w:cs="宋体"/>
          <w:szCs w:val="21"/>
          <w:highlight w:val="none"/>
        </w:rPr>
        <w:t xml:space="preserve">约束的所有权利与义务均延长至新的有效期。</w:t>
      </w:r>
      <w:r/>
    </w:p>
    <w:p>
      <w:pPr>
        <w:spacing w:line="360" w:lineRule="auto"/>
        <w:rPr>
          <w:rFonts w:hint="eastAsia" w:ascii="宋体" w:hAnsi="宋体" w:cs="宋体"/>
          <w:b/>
          <w:bCs/>
          <w:szCs w:val="21"/>
          <w:highlight w:val="none"/>
        </w:rPr>
      </w:pPr>
      <w:r/>
      <w:bookmarkStart w:id="64" w:name="_Toc32261"/>
      <w:r>
        <w:rPr>
          <w:rFonts w:hint="eastAsia" w:ascii="宋体" w:hAnsi="宋体" w:cs="宋体"/>
          <w:b/>
          <w:bCs/>
          <w:szCs w:val="21"/>
          <w:highlight w:val="none"/>
        </w:rPr>
        <w:t xml:space="preserve">四、响应文件的递交</w:t>
      </w:r>
      <w:bookmarkEnd w:id="64"/>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17．电子响应文件的</w:t>
      </w:r>
      <w:r>
        <w:rPr>
          <w:rFonts w:hint="eastAsia" w:ascii="宋体" w:hAnsi="宋体" w:cs="宋体"/>
          <w:b/>
          <w:bCs/>
          <w:szCs w:val="21"/>
          <w:highlight w:val="none"/>
        </w:rPr>
        <w:t xml:space="preserve">递交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17.1 供应商应当按照《苏采云系统供应商操作手册》规定，在投标截止时间前制作并上传电子响应文件。</w:t>
      </w:r>
      <w:r/>
    </w:p>
    <w:p>
      <w:pPr>
        <w:ind w:firstLine="48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17.2 成交供应商在采购活动结束后，提供纸质胶装成交响应文件交于采购代理机构，用于制作归档资料。</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如需</w:t>
      </w:r>
      <w:r>
        <w:rPr>
          <w:rFonts w:hint="eastAsia" w:ascii="宋体" w:hAnsi="宋体" w:cs="宋体"/>
          <w:szCs w:val="21"/>
          <w:highlight w:val="none"/>
          <w:lang w:eastAsia="zh-CN"/>
        </w:rPr>
        <w:t xml:space="preserve">）</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18．响应文件递交截止日期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18.1 供应商上传电子响应文件的时间不得迟于采购文件中规定的响应截止时间。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18.2 供应商应充分考虑到网络环境、网络带宽等风险因素，如因供应商自身原因造成的电子响应文件上传不成功由供应商自行承担全部责任。</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19．响应文件的修改和撤回</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19.1 供应商在递交响应文件后，可以修改或撤回其响应文件，但这种修改和撤回，必须在规定的响应截止时间前，具体操作方法见《苏采云系统供应商操作手册操作手册》。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19.2 </w:t>
      </w:r>
      <w:r>
        <w:rPr>
          <w:rStyle w:val="1153"/>
          <w:rFonts w:hint="eastAsia" w:ascii="宋体" w:hAnsi="宋体" w:cs="宋体"/>
          <w:szCs w:val="21"/>
          <w:highlight w:val="none"/>
        </w:rPr>
        <w:t xml:space="preserve">供应商撤回电子响应文件，则认为其不再参与本项目响应活动。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19.3 在投标截止时间之后，供应商不得对其电子响应文件作任何修改。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19.4 在响应文件递交截止时间至采购文件中规定的</w:t>
      </w:r>
      <w:r>
        <w:rPr>
          <w:rFonts w:hint="eastAsia" w:ascii="宋体" w:hAnsi="宋体" w:cs="宋体"/>
          <w:szCs w:val="21"/>
          <w:highlight w:val="none"/>
          <w:lang w:eastAsia="zh-CN"/>
        </w:rPr>
        <w:t xml:space="preserve">协商有效期</w:t>
      </w:r>
      <w:r>
        <w:rPr>
          <w:rFonts w:hint="eastAsia" w:ascii="宋体" w:hAnsi="宋体" w:cs="宋体"/>
          <w:szCs w:val="21"/>
          <w:highlight w:val="none"/>
        </w:rPr>
        <w:t xml:space="preserve">满之间的这段时间内，供应商不得撤回已提交的响应文件。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19.5 不论供应商成交与否，响应文件均不退回。</w:t>
      </w:r>
      <w:r/>
    </w:p>
    <w:p>
      <w:pPr>
        <w:spacing w:line="360" w:lineRule="auto"/>
        <w:rPr>
          <w:rFonts w:hint="eastAsia" w:ascii="宋体" w:hAnsi="宋体" w:cs="宋体"/>
          <w:b/>
          <w:szCs w:val="21"/>
          <w:highlight w:val="none"/>
        </w:rPr>
      </w:pPr>
      <w:r/>
      <w:bookmarkStart w:id="65" w:name="_Toc22980"/>
      <w:r>
        <w:rPr>
          <w:rFonts w:hint="eastAsia" w:ascii="宋体" w:hAnsi="宋体" w:cs="宋体"/>
          <w:b/>
          <w:szCs w:val="21"/>
          <w:highlight w:val="none"/>
        </w:rPr>
        <w:t xml:space="preserve">五、开标与评审</w:t>
      </w:r>
      <w:bookmarkEnd w:id="65"/>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20．开标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20.1 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开标时，由采购代理机构通过“苏采云”系统在线宣布供应商名称、投标价格和采购文件规定的需要宣布的其他内容。供应商在不见面开标系统中确认投标价格，如供应商未在线参加开标或未在规定时间内确认价格的，视同认可开标结果。</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21．评审小组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21.1 依法组建评审小组，由评审小组根据采购内容同供应商进行谈判。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21.2 评审小组由采购人代表和评审专家共三人或以上单数组成。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21.3 评审小组负责对响应文件的有效性、完整性和响应程度进行审查，对提交最后报价的供应商的响应文件和最后报价进行比较和评价，并推荐成交候选供应商。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21.4 谈判内容：服务要求、响应时间、付款方式、成交价格以及供应商的整体情况等内容。</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22．谈判程序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22.1 对响应文件资格性审查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采购人或者采购代理机构依法对供应商的资格进行审查。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（1）关于信用查询：根据相关法律和法规的规定，将对供应商进行信用查询。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（2）查询时间：谈判响应文件递交截止时间。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（3）查询渠道：信用中国。</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（4）查询证据留存方式：对存在失信信息的供应商，采购人或者采购代理机构应根据失信信息，登陆到来源网站页面进行复核并打印，作为证据留存。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22.2 对响应文件符合性审查：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依据采购文件规定，由评审小组从响应文件的有效性、完整性和对采购文件的响应程度进行审查，以确定是否对采购文件的实质性要求作出响应。如果响应文件实质上没有响应采购文件的要求，评审小组将予以拒绝。</w:t>
      </w:r>
      <w:r/>
    </w:p>
    <w:p>
      <w:pPr>
        <w:pStyle w:val="926"/>
        <w:rPr>
          <w:rFonts w:hint="eastAsia" w:cs="宋体"/>
          <w:sz w:val="21"/>
          <w:szCs w:val="21"/>
          <w:highlight w:val="none"/>
        </w:rPr>
      </w:pPr>
      <w:r/>
      <w:bookmarkStart w:id="66" w:name="_Hlk63951229"/>
      <w:r>
        <w:rPr>
          <w:rFonts w:hint="eastAsia" w:cs="宋体"/>
          <w:sz w:val="21"/>
          <w:szCs w:val="21"/>
          <w:highlight w:val="none"/>
        </w:rPr>
        <w:t xml:space="preserve">实质性响应应该是与采购文件要求的全部条款、条件和规格相符，没有重大偏离或保留的响应。所谓重大偏离或保留是指与采购文件规定的实质性要求存在负偏离，或者在实质上与采购文件不一致，并且限制了采购人的权利或供应商的义务。重大偏离的认定需经过评审小组以少数服从多数的原则作出结论。评委决定响应文件的响应性只根据响应文件本身的内容，而不寻求外部的证据。如果响应文件实质上没有响应采购文件的要求，评审小组将予以拒绝，供应商不得通过修改或撤销不合要求的偏离或保留而使其成为实质上的响应。</w:t>
      </w:r>
      <w:bookmarkEnd w:id="66"/>
      <w:r/>
      <w:r/>
    </w:p>
    <w:p>
      <w:pPr>
        <w:ind w:firstLine="480"/>
        <w:spacing w:line="360" w:lineRule="auto"/>
        <w:rPr>
          <w:rFonts w:hint="eastAsia" w:ascii="宋体" w:hAnsi="宋体" w:cs="宋体"/>
          <w:szCs w:val="21"/>
          <w:highlight w:val="none"/>
        </w:rPr>
      </w:pPr>
      <w:r/>
      <w:bookmarkStart w:id="67" w:name="_Hlk63951682"/>
      <w:r>
        <w:rPr>
          <w:rFonts w:hint="eastAsia" w:ascii="宋体" w:hAnsi="宋体" w:cs="宋体"/>
          <w:szCs w:val="21"/>
          <w:highlight w:val="none"/>
        </w:rPr>
        <w:t xml:space="preserve">22.3 若响应文件报价出现前后不一致的，按下列规定修正：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（1）响应文件中报价表内容与响应文件中相应内容不一致的，以报价表为准；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（3）单价金额小数点或者百分比有明显错位的，以报价表的总价为准，并修改单价；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同时出现两种以上不一致的，按照前款规定的顺序修正。修正后的报价按照财政部87号令第五十一条第二款的规定经供应商确认后产生约束力。</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22.4 对未通过资格审查或符合性审查的供应商，将告知其未通过的原因。</w:t>
      </w:r>
      <w:bookmarkEnd w:id="67"/>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22.5 评审小组将对实质性响应采购文件的响应文件的完整性和响应程度进行进一步审查，可以要求供应商对响应文件中含义不明确、同类问题表述不一致或者有明显文字和计算错误的内容等作出必要的澄清、说明。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22.6评审小组将与符合相应资格条件的供应商进行谈判，评审小组与供应商进行谈判的次数和时间视谈判时的具体情况而定。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22.7 最后报价：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（1）谈判结束后，评审小组将要求实质性响应的供应商在规定时间内提交最后报价，超出规定时间的报价将被拒绝。</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（2）最后报价作为评审响应报价。除因采购文件修改导致成本增加，</w:t>
      </w:r>
      <w:r>
        <w:rPr>
          <w:rFonts w:hint="eastAsia" w:ascii="宋体" w:hAnsi="宋体" w:cs="宋体"/>
          <w:b/>
          <w:bCs/>
          <w:i/>
          <w:iCs/>
          <w:szCs w:val="21"/>
          <w:highlight w:val="none"/>
          <w:u w:val="single"/>
        </w:rPr>
        <w:t xml:space="preserve">供应商最后报价不得超过初次报价，否则为无效响应报价。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22.8响应报价是成交的重要条件，但不是唯一条件。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22.9谈判后将只接受最终一个报价，采购人与供应商应当遵循规定的原则，在保证采购项目质量和双方商定合理价格的基础上进行采购。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22.10评审小组成员对需要共同认定的事项或评审报告存在争议的，应当按照少数服从多数的原则作出结论。对评审报告持有异议的评审小组成员应当在报告上签署不同意见及理由，否则视为同意评审报告。</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23．评审过程的保密性</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23.1 评审开始后，直至确定成交供应商止，凡是与审查、谈判、比较和评价响应文件有关的资料以及授标建议等，评审小组、代理机构均不得向供应商或与评审无关的其他人员透露。</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23.2 在谈判过程中，如果供应商试图向代理机构和参与评审的人员施加任何影响，都将会导致其失去谈判资格。</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23.3 评审小组不对谈判过程中的内容作任何解释，不退还响应文件。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23.4 代理机构和评审小组不向未成交的供应商解释未成交原因，也不公布谈判过程中的相关细节。</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24．取消谈判资格情形</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24.1 有下列情形之一的，按取消谈判资格处理：</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（1）响应文件未按照采购文件要求上传电子响应文件的；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（2）供应商在规定时间内不解密响应文件或未成功解密响应文件的（因系统原因导致的除外）；</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（3）响应文件中没有《报价表》或《报价表》未加盖供应商公章的；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（4）响应文件中任何有选择的报价；</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（5）响应文件报价出现前后不一致的，按采购文件规定修正后供应商不确认的；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（6）供应商被中国政府采购网、信用中国</w:t>
      </w:r>
      <w:r>
        <w:rPr>
          <w:rFonts w:hint="eastAsia" w:ascii="宋体" w:hAnsi="宋体" w:cs="宋体"/>
          <w:b/>
          <w:bCs/>
          <w:i/>
          <w:iCs/>
          <w:szCs w:val="21"/>
          <w:highlight w:val="none"/>
          <w:u w:val="single"/>
          <w:lang w:val="en-US" w:eastAsia="zh-CN"/>
        </w:rPr>
        <w:t xml:space="preserve">等</w:t>
      </w:r>
      <w:r>
        <w:rPr>
          <w:rFonts w:hint="eastAsia" w:ascii="宋体" w:hAnsi="宋体" w:cs="宋体"/>
          <w:b/>
          <w:bCs/>
          <w:i/>
          <w:iCs/>
          <w:szCs w:val="21"/>
          <w:highlight w:val="none"/>
          <w:u w:val="single"/>
        </w:rPr>
        <w:t xml:space="preserve">网站列入失信被执行人名单、重大税收违法案件当事人名单、政府采购严重违法失信行为记录名单的；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（7）为采购项目提供整体设计、规范编制或者项目管理、监理、检测等服务的；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（8）未按采购文件要求提交供应商资格证明文件的；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（9）资格证明文件中要求加盖公章而未加盖公章的；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（10）响应文件未按采购文件要求签署、盖章的；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（11）报价超过采购文件中规定的预算金额或者最高限价的；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（12）响应文件含有采购人不能接受的附加条件的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（13）经过谈判后，服务要求、服务期和付款条件不响应采购文件要求的；</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（14）采购文件明确规定和谈判组评议后认为应当取消谈判资格的其他情形；</w:t>
      </w:r>
      <w:r/>
    </w:p>
    <w:p>
      <w:pPr>
        <w:ind w:firstLine="480"/>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（15）不符合法律、法规和采购文件中规定的其他实质性要求的。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24.2 评审小组认为供应商的报价明显低于其他通过符合性审查供应商的报价，有可能影响产品质量或者不能诚信履约的，应要求其在合理的时间内提供说明，必要时提交相关证明材料；供应商不能证明其报价合理性的，评审小组应当将其作为无效响应处理。</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25．项目终止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25.1 出现下列情形之一的，应当终止采购活动，重新开展采购活动：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（1）因情况变化，不再符合规定的采购方式适用情形的；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（3）因重大变故，采购任务取消的。</w:t>
      </w:r>
      <w:r/>
    </w:p>
    <w:p>
      <w:pPr>
        <w:spacing w:line="360" w:lineRule="auto"/>
        <w:rPr>
          <w:rFonts w:hint="eastAsia" w:ascii="宋体" w:hAnsi="宋体" w:cs="宋体"/>
          <w:b/>
          <w:szCs w:val="21"/>
          <w:highlight w:val="none"/>
        </w:rPr>
      </w:pPr>
      <w:r/>
      <w:bookmarkStart w:id="68" w:name="_Toc8660"/>
      <w:r>
        <w:rPr>
          <w:rFonts w:hint="eastAsia" w:ascii="宋体" w:hAnsi="宋体" w:cs="宋体"/>
          <w:b/>
          <w:szCs w:val="21"/>
          <w:highlight w:val="none"/>
        </w:rPr>
        <w:t xml:space="preserve">六、确定成交供应商</w:t>
      </w:r>
      <w:bookmarkEnd w:id="68"/>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26．成交单位的确认</w:t>
      </w:r>
      <w:r/>
    </w:p>
    <w:p>
      <w:pPr>
        <w:ind w:firstLine="480"/>
        <w:spacing w:line="360" w:lineRule="auto"/>
        <w:rPr>
          <w:rFonts w:hint="eastAsia" w:ascii="宋体" w:hAnsi="宋体" w:cs="宋体"/>
          <w:b/>
          <w:bCs/>
          <w:szCs w:val="21"/>
          <w:highlight w:val="none"/>
        </w:rPr>
      </w:pPr>
      <w:r>
        <w:rPr>
          <w:rFonts w:hint="eastAsia" w:ascii="宋体" w:hAnsi="宋体" w:cs="宋体"/>
          <w:szCs w:val="21"/>
          <w:highlight w:val="none"/>
        </w:rPr>
        <w:t xml:space="preserve">评审小组按采购文件规定的评审方法和标准进行详细评审后，根据采购人授权直接确定成交单位。</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27．成交通知书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27.1 在成交结果确定后2个工作日内，采购代理机构向成交单位发出成交通知书。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27.2 成交通知书将是合同的一个组成部分。对采购人和成交单位均具有法律效力。成交通知书发出后，采购人改变成交结果的，或者成交单位放弃成交项目的，应当依法承担法律责任。</w:t>
      </w:r>
      <w:r/>
    </w:p>
    <w:p>
      <w:pPr>
        <w:spacing w:line="360" w:lineRule="auto"/>
        <w:rPr>
          <w:rFonts w:hint="eastAsia" w:ascii="宋体" w:hAnsi="宋体" w:cs="宋体"/>
          <w:b/>
          <w:szCs w:val="21"/>
          <w:highlight w:val="none"/>
        </w:rPr>
      </w:pPr>
      <w:r/>
      <w:bookmarkStart w:id="69" w:name="_Toc13227"/>
      <w:r>
        <w:rPr>
          <w:rFonts w:hint="eastAsia" w:ascii="宋体" w:hAnsi="宋体" w:cs="宋体"/>
          <w:b/>
          <w:szCs w:val="21"/>
          <w:highlight w:val="none"/>
        </w:rPr>
        <w:t xml:space="preserve">七、授予合同</w:t>
      </w:r>
      <w:bookmarkEnd w:id="69"/>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28．履约保证金</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28.1 合同签订前，成交供应商向采购人交付合同总价款2%的履约保证金。</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28.2 履约保证金必须是人民币。</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29. 签订合同</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29.1 按照《关于做好政府采购支持企业发展有关事项的通知》（苏财购〔2020〕52号）文件精神，采购人原则上应当在成交通知书发出之日起十五日内，按照采购文件及响应文件确定的事项与成交单位签订政府采购合同。</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29.2 采购文件、成交单位的响应文件及谈判过程中有关澄清、承诺文件均应作为合同附件。</w:t>
      </w:r>
      <w:r/>
    </w:p>
    <w:p>
      <w:pPr>
        <w:ind w:firstLine="544"/>
        <w:spacing w:line="360" w:lineRule="auto"/>
        <w:rPr>
          <w:rFonts w:hint="eastAsia" w:ascii="宋体" w:hAnsi="宋体" w:cs="宋体"/>
          <w:szCs w:val="21"/>
          <w:highlight w:val="none"/>
        </w:rPr>
      </w:pPr>
      <w:r>
        <w:rPr>
          <w:rFonts w:hint="eastAsia" w:ascii="宋体" w:hAnsi="宋体" w:cs="宋体"/>
          <w:szCs w:val="21"/>
          <w:highlight w:val="none"/>
        </w:rPr>
        <w:t xml:space="preserve">29.3 签订合同后，成交单位不得将货物及其他相关服务进行转包和分包，否则采购人有权终止合同。转包或分包造成采购人损失的，成交单位应承担相应赔偿责任。</w:t>
      </w:r>
      <w:bookmarkEnd w:id="35"/>
      <w:bookmarkEnd w:id="38"/>
      <w:bookmarkEnd w:id="39"/>
      <w:r/>
    </w:p>
    <w:p>
      <w:pPr>
        <w:rPr>
          <w:rFonts w:hint="eastAsia" w:ascii="宋体" w:hAnsi="宋体" w:cs="宋体"/>
          <w:highlight w:val="none"/>
        </w:rPr>
      </w:pPr>
      <w:r>
        <w:rPr>
          <w:rFonts w:hint="eastAsia" w:ascii="宋体" w:hAnsi="宋体" w:cs="宋体"/>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911"/>
        <w:rPr>
          <w:rFonts w:hint="eastAsia" w:ascii="宋体" w:hAnsi="宋体" w:cs="宋体"/>
          <w:highlight w:val="none"/>
        </w:rPr>
      </w:pPr>
      <w:r/>
      <w:bookmarkStart w:id="70" w:name="_Toc91836563"/>
      <w:r>
        <w:rPr>
          <w:rFonts w:hint="eastAsia" w:ascii="宋体" w:hAnsi="宋体" w:cs="宋体"/>
          <w:highlight w:val="none"/>
        </w:rPr>
        <w:br w:type="page" w:clear="all"/>
      </w:r>
      <w:bookmarkStart w:id="71" w:name="_Toc10466"/>
      <w:r/>
      <w:bookmarkStart w:id="72" w:name="_Toc107246270"/>
      <w:r>
        <w:rPr>
          <w:rFonts w:hint="eastAsia" w:ascii="宋体" w:hAnsi="宋体" w:cs="宋体"/>
          <w:highlight w:val="none"/>
        </w:rPr>
        <w:t xml:space="preserve">第三章 政府采购合同条款</w:t>
      </w:r>
      <w:bookmarkEnd w:id="70"/>
      <w:r>
        <w:rPr>
          <w:rFonts w:hint="eastAsia" w:ascii="宋体" w:hAnsi="宋体" w:cs="宋体"/>
          <w:highlight w:val="none"/>
        </w:rPr>
        <w:t xml:space="preserve">及格式</w:t>
      </w:r>
      <w:bookmarkEnd w:id="71"/>
      <w:r/>
      <w:bookmarkEnd w:id="72"/>
      <w:r/>
      <w:r/>
    </w:p>
    <w:p>
      <w:pPr>
        <w:jc w:val="center"/>
        <w:spacing w:line="360" w:lineRule="auto"/>
        <w:rPr>
          <w:rFonts w:hint="eastAsia" w:ascii="宋体" w:hAnsi="宋体"/>
          <w:highlight w:val="none"/>
        </w:rPr>
      </w:pPr>
      <w:r>
        <w:rPr>
          <w:rFonts w:hint="eastAsia" w:ascii="宋体" w:hAnsi="宋体" w:cs="仿宋_GB2312"/>
          <w:szCs w:val="21"/>
          <w:highlight w:val="none"/>
        </w:rPr>
        <w:t xml:space="preserve">（下述内容为</w:t>
      </w:r>
      <w:r>
        <w:rPr>
          <w:rFonts w:hint="eastAsia" w:ascii="宋体" w:hAnsi="宋体" w:cs="仿宋_GB2312"/>
          <w:szCs w:val="21"/>
          <w:highlight w:val="none"/>
          <w:lang w:eastAsia="zh-CN"/>
        </w:rPr>
        <w:t xml:space="preserve">江苏省药品监督检验研究院</w:t>
      </w:r>
      <w:r>
        <w:rPr>
          <w:rFonts w:hint="eastAsia" w:ascii="宋体" w:hAnsi="宋体" w:cs="仿宋_GB2312"/>
          <w:szCs w:val="21"/>
          <w:highlight w:val="none"/>
        </w:rPr>
        <w:t xml:space="preserve">与成交供应商签署合同的主要条款，最终合同与本合同主要条款有不完全一致之处的，以最终合同为准。）</w:t>
      </w:r>
      <w:r/>
    </w:p>
    <w:p>
      <w:pPr>
        <w:jc w:val="center"/>
        <w:rPr>
          <w:b/>
          <w:bCs/>
          <w:sz w:val="36"/>
          <w:szCs w:val="36"/>
        </w:rPr>
      </w:pPr>
      <w:r>
        <w:rPr>
          <w:b/>
          <w:bCs/>
          <w:sz w:val="36"/>
          <w:szCs w:val="36"/>
        </w:rPr>
      </w:r>
      <w:r/>
    </w:p>
    <w:p>
      <w:pPr>
        <w:jc w:val="center"/>
        <w:rPr>
          <w:b/>
          <w:bCs/>
          <w:sz w:val="36"/>
          <w:szCs w:val="36"/>
        </w:rPr>
      </w:pPr>
      <w:r>
        <w:rPr>
          <w:b/>
          <w:bCs/>
          <w:sz w:val="36"/>
          <w:szCs w:val="36"/>
        </w:rPr>
        <w:t xml:space="preserve">仪器</w:t>
      </w:r>
      <w:r>
        <w:rPr>
          <w:rFonts w:hint="eastAsia"/>
          <w:b/>
          <w:bCs/>
          <w:sz w:val="36"/>
          <w:szCs w:val="36"/>
        </w:rPr>
        <w:t xml:space="preserve">维保</w:t>
      </w:r>
      <w:r>
        <w:rPr>
          <w:b/>
          <w:bCs/>
          <w:sz w:val="36"/>
          <w:szCs w:val="36"/>
        </w:rPr>
        <w:t xml:space="preserve">服务合同</w:t>
      </w:r>
      <w:r/>
    </w:p>
    <w:p>
      <w:pPr>
        <w:jc w:val="center"/>
        <w:rPr>
          <w:sz w:val="36"/>
          <w:szCs w:val="36"/>
        </w:rPr>
      </w:pPr>
      <w:r>
        <w:rPr>
          <w:sz w:val="36"/>
          <w:szCs w:val="36"/>
        </w:rPr>
      </w:r>
      <w:r/>
    </w:p>
    <w:p>
      <w:pPr>
        <w:jc w:val="right"/>
        <w:rPr>
          <w:rFonts w:hint="default" w:eastAsia="宋体"/>
          <w:sz w:val="24"/>
          <w:szCs w:val="24"/>
          <w:lang w:val="en-US" w:eastAsia="zh-CN"/>
        </w:rPr>
      </w:pPr>
      <w:r>
        <w:rPr>
          <w:sz w:val="24"/>
          <w:szCs w:val="24"/>
        </w:rPr>
        <w:t xml:space="preserve">合同编号：</w:t>
      </w:r>
      <w:r>
        <w:rPr>
          <w:rFonts w:hint="eastAsia"/>
          <w:sz w:val="24"/>
          <w:szCs w:val="24"/>
          <w:lang w:val="en-US" w:eastAsia="zh-CN"/>
        </w:rPr>
        <w:t xml:space="preserve">         </w:t>
      </w:r>
      <w:r/>
    </w:p>
    <w:p>
      <w:pPr>
        <w:jc w:val="right"/>
      </w:pPr>
      <w:r/>
      <w:r/>
    </w:p>
    <w:p>
      <w:pPr>
        <w:jc w:val="right"/>
      </w:pPr>
      <w:r/>
      <w:r/>
    </w:p>
    <w:tbl>
      <w:tblPr>
        <w:tblStyle w:val="880"/>
        <w:tblW w:w="8710" w:type="dxa"/>
        <w:jc w:val="center"/>
        <w:tblLayout w:type="fixed"/>
        <w:tblCellMar>
          <w:left w:w="108" w:type="dxa"/>
          <w:top w:w="0" w:type="dxa"/>
          <w:right w:w="108" w:type="dxa"/>
          <w:bottom w:w="0" w:type="dxa"/>
        </w:tblCellMar>
        <w:tblLook w:val="04A0" w:firstRow="1" w:lastRow="0" w:firstColumn="1" w:lastColumn="0" w:noHBand="0" w:noVBand="1"/>
      </w:tblPr>
      <w:tblGrid>
        <w:gridCol w:w="880"/>
        <w:gridCol w:w="6095"/>
        <w:gridCol w:w="1735"/>
      </w:tblGrid>
      <w:tr>
        <w:trPr>
          <w:cantSplit/>
          <w:jc w:val="center"/>
          <w:trHeight w:val="340"/>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w:t>
            </w:r>
            <w:r/>
          </w:p>
        </w:tc>
        <w:tc>
          <w:tcPr>
            <w:gridSpan w:val="2"/>
            <w:tcW w:w="783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江苏省药品监督检验研究院</w:t>
            </w:r>
            <w:r/>
          </w:p>
        </w:tc>
      </w:tr>
      <w:tr>
        <w:trPr>
          <w:jc w:val="center"/>
          <w:trHeight w:val="290"/>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地址：南京市建邺区康文路17号</w:t>
            </w:r>
            <w:r/>
          </w:p>
        </w:tc>
        <w:tc>
          <w:tcPr>
            <w:tcW w:w="173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 210000</w:t>
            </w:r>
            <w:r/>
          </w:p>
        </w:tc>
      </w:tr>
      <w:tr>
        <w:trPr>
          <w:jc w:val="center"/>
          <w:trHeight w:val="468"/>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联系人：纪宇</w:t>
            </w:r>
            <w:r/>
          </w:p>
        </w:tc>
        <w:tc>
          <w:tcPr>
            <w:tcW w:w="173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9"/>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 ：025-86251032</w:t>
            </w:r>
            <w:r/>
          </w:p>
        </w:tc>
        <w:tc>
          <w:tcPr>
            <w:tcW w:w="173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09"/>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传 真 ：</w:t>
            </w:r>
            <w:r/>
          </w:p>
        </w:tc>
        <w:tc>
          <w:tcPr>
            <w:tcW w:w="173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68"/>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tc>
        <w:tc>
          <w:tcPr>
            <w:gridSpan w:val="2"/>
            <w:tcW w:w="783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8"/>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8"/>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8"/>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8"/>
        </w:trPr>
        <w:tc>
          <w:tcPr>
            <w:tcW w:w="880"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35"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447"/>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甲乙双方经过平等协商，达成本维修服务合同（以下简称“合同”）。合同内容包括具体条款、附件及合同中提及的其他文件。</w:t>
      </w:r>
      <w:r/>
    </w:p>
    <w:p>
      <w:pPr>
        <w:spacing w:line="360" w:lineRule="auto"/>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sz w:val="21"/>
          <w:szCs w:val="21"/>
        </w:rPr>
      </w:pPr>
      <w:r>
        <w:rPr>
          <w:rFonts w:hint="eastAsia" w:ascii="宋体" w:hAnsi="宋体" w:eastAsia="宋体" w:cs="宋体"/>
          <w:sz w:val="21"/>
          <w:szCs w:val="21"/>
        </w:rPr>
      </w:r>
      <w:r/>
    </w:p>
    <w:p>
      <w:pPr>
        <w:numPr>
          <w:ilvl w:val="0"/>
          <w:numId w:val="3"/>
        </w:numPr>
        <w:spacing w:line="360" w:lineRule="auto"/>
        <w:tabs>
          <w:tab w:val="left" w:pos="425" w:leader="none"/>
          <w:tab w:val="left" w:pos="850" w:leader="none"/>
          <w:tab w:val="left" w:pos="1710" w:leader="none"/>
          <w:tab w:val="left" w:pos="2775" w:leader="none"/>
          <w:tab w:val="left" w:pos="3825" w:leader="none"/>
          <w:tab w:val="left" w:pos="7095" w:leader="none"/>
        </w:tabs>
        <w:rPr>
          <w:rFonts w:hint="eastAsia" w:ascii="宋体" w:hAnsi="宋体" w:eastAsia="宋体" w:cs="宋体"/>
          <w:b/>
          <w:sz w:val="21"/>
          <w:szCs w:val="21"/>
        </w:rPr>
      </w:pPr>
      <w:r>
        <w:rPr>
          <w:rFonts w:hint="eastAsia" w:ascii="宋体" w:hAnsi="宋体" w:eastAsia="宋体" w:cs="宋体"/>
          <w:b/>
          <w:bCs/>
          <w:sz w:val="21"/>
          <w:szCs w:val="21"/>
        </w:rPr>
        <w:t xml:space="preserve">合同有效期：</w:t>
      </w:r>
      <w:r>
        <w:rPr>
          <w:rFonts w:hint="eastAsia" w:ascii="宋体" w:hAnsi="宋体" w:eastAsia="宋体" w:cs="宋体"/>
          <w:bCs/>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  至</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日止。</w:t>
      </w:r>
      <w:r/>
    </w:p>
    <w:p>
      <w:pPr>
        <w:spacing w:line="360" w:lineRule="auto"/>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7305" w:leader="none"/>
        </w:tabs>
        <w:rPr>
          <w:rFonts w:hint="eastAsia" w:ascii="宋体" w:hAnsi="宋体" w:eastAsia="宋体" w:cs="宋体"/>
          <w:b/>
          <w:bCs/>
          <w:sz w:val="21"/>
          <w:szCs w:val="21"/>
        </w:rPr>
      </w:pPr>
      <w:r>
        <w:rPr>
          <w:rFonts w:hint="eastAsia" w:ascii="宋体" w:hAnsi="宋体" w:eastAsia="宋体" w:cs="宋体"/>
          <w:b/>
          <w:bCs/>
          <w:sz w:val="21"/>
          <w:szCs w:val="21"/>
        </w:rPr>
      </w:r>
      <w:r/>
    </w:p>
    <w:p>
      <w:pPr>
        <w:numPr>
          <w:ilvl w:val="0"/>
          <w:numId w:val="3"/>
        </w:num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sz w:val="21"/>
          <w:szCs w:val="21"/>
        </w:rPr>
      </w:pPr>
      <w:r>
        <w:rPr>
          <w:rFonts w:hint="eastAsia" w:ascii="宋体" w:hAnsi="宋体" w:eastAsia="宋体" w:cs="宋体"/>
          <w:b/>
          <w:bCs/>
          <w:sz w:val="21"/>
          <w:szCs w:val="21"/>
        </w:rPr>
        <w:t xml:space="preserve">维保服务所保设备：</w:t>
      </w:r>
      <w:r/>
    </w:p>
    <w:p>
      <w:pPr>
        <w:pStyle w:val="1126"/>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26"/>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见附件一《维保内仪器清单》</w:t>
      </w:r>
      <w:r/>
    </w:p>
    <w:p>
      <w:pPr>
        <w:spacing w:line="360" w:lineRule="auto"/>
        <w:tabs>
          <w:tab w:val="left" w:pos="425" w:leader="none"/>
          <w:tab w:val="left" w:pos="850" w:leader="none"/>
          <w:tab w:val="left" w:pos="1259"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sz w:val="21"/>
          <w:szCs w:val="21"/>
        </w:rPr>
      </w:pPr>
      <w:r>
        <w:rPr>
          <w:rFonts w:hint="eastAsia" w:ascii="宋体" w:hAnsi="宋体" w:eastAsia="宋体" w:cs="宋体"/>
          <w:b/>
          <w:bCs/>
          <w:sz w:val="21"/>
          <w:szCs w:val="21"/>
        </w:rPr>
      </w:r>
      <w:r/>
    </w:p>
    <w:p>
      <w:pPr>
        <w:numPr>
          <w:ilvl w:val="0"/>
          <w:numId w:val="3"/>
        </w:num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sz w:val="21"/>
          <w:szCs w:val="21"/>
        </w:rPr>
      </w:pPr>
      <w:r>
        <w:rPr>
          <w:rFonts w:hint="eastAsia" w:ascii="宋体" w:hAnsi="宋体" w:eastAsia="宋体" w:cs="宋体"/>
          <w:b/>
          <w:bCs/>
          <w:sz w:val="21"/>
          <w:szCs w:val="21"/>
        </w:rPr>
        <w:t xml:space="preserve">服务类别:</w:t>
      </w:r>
      <w:r>
        <w:rPr>
          <w:rFonts w:hint="eastAsia" w:ascii="宋体" w:hAnsi="宋体" w:eastAsia="宋体" w:cs="宋体"/>
          <w:b/>
          <w:bCs/>
          <w:sz w:val="21"/>
          <w:szCs w:val="21"/>
        </w:rPr>
        <w:tab/>
      </w:r>
      <w:r/>
    </w:p>
    <w:p>
      <w:pPr>
        <w:ind w:firstLine="453"/>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乙方提供的维保合同服务类别为: </w:t>
      </w:r>
      <w:r>
        <w:rPr>
          <w:rFonts w:hint="eastAsia" w:ascii="宋体" w:hAnsi="宋体" w:eastAsia="宋体" w:cs="宋体"/>
          <w:sz w:val="21"/>
          <w:szCs w:val="21"/>
        </w:rPr>
        <w:t xml:space="preserve">铜牌维保/银牌维保/驻场服务/定制化培训/48S。</w:t>
      </w:r>
      <w:r/>
    </w:p>
    <w:p>
      <w:pPr>
        <w:numPr>
          <w:ilvl w:val="0"/>
          <w:numId w:val="4"/>
        </w:numPr>
        <w:ind w:hanging="48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远程响应时间：乙方应在收到甲方拨打800电话后</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小时内电话响应</w:t>
      </w:r>
      <w:r/>
    </w:p>
    <w:p>
      <w:pPr>
        <w:numPr>
          <w:ilvl w:val="0"/>
          <w:numId w:val="4"/>
        </w:numPr>
        <w:ind w:hanging="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现场响应时间：乙方提供</w:t>
      </w:r>
      <w:r>
        <w:rPr>
          <w:rFonts w:hint="eastAsia" w:ascii="宋体" w:hAnsi="宋体" w:eastAsia="宋体" w:cs="宋体"/>
          <w:sz w:val="21"/>
          <w:szCs w:val="21"/>
          <w:u w:val="single"/>
        </w:rPr>
        <w:t xml:space="preserve">72</w:t>
      </w:r>
      <w:r>
        <w:rPr>
          <w:rFonts w:hint="eastAsia" w:ascii="宋体" w:hAnsi="宋体" w:eastAsia="宋体" w:cs="宋体"/>
          <w:sz w:val="21"/>
          <w:szCs w:val="21"/>
        </w:rPr>
        <w:t xml:space="preserve">小时现场响应，</w:t>
      </w:r>
      <w:r>
        <w:rPr>
          <w:rFonts w:hint="eastAsia" w:ascii="宋体" w:hAnsi="宋体" w:eastAsia="宋体" w:cs="宋体"/>
          <w:color w:val="000000"/>
          <w:sz w:val="21"/>
          <w:szCs w:val="21"/>
        </w:rPr>
        <w:t xml:space="preserve">国家法定假日除外</w:t>
      </w:r>
      <w:r>
        <w:rPr>
          <w:rFonts w:hint="eastAsia" w:ascii="宋体" w:hAnsi="宋体" w:eastAsia="宋体" w:cs="宋体"/>
          <w:sz w:val="21"/>
          <w:szCs w:val="21"/>
        </w:rPr>
        <w:t xml:space="preserve">；</w:t>
      </w:r>
      <w:r/>
    </w:p>
    <w:p>
      <w:pPr>
        <w:numPr>
          <w:ilvl w:val="0"/>
          <w:numId w:val="4"/>
        </w:numPr>
        <w:ind w:hanging="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维修时间：周一至周五8:30至17:30，国家法定假日除外；</w:t>
      </w:r>
      <w:r/>
    </w:p>
    <w:p>
      <w:pPr>
        <w:ind w:left="840"/>
        <w:spacing w:line="360" w:lineRule="auto"/>
        <w:tabs>
          <w:tab w:val="left" w:pos="8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color w:val="000000"/>
          <w:sz w:val="21"/>
          <w:szCs w:val="21"/>
        </w:rPr>
        <w:t xml:space="preserve">4．</w:t>
      </w:r>
      <w:r>
        <w:rPr>
          <w:rFonts w:hint="eastAsia" w:ascii="宋体" w:hAnsi="宋体" w:eastAsia="宋体" w:cs="宋体"/>
          <w:b/>
          <w:bCs/>
          <w:sz w:val="21"/>
          <w:szCs w:val="21"/>
        </w:rPr>
        <w:t xml:space="preserve">乙方的责任：</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26"/>
        <w:numPr>
          <w:ilvl w:val="0"/>
          <w:numId w:val="5"/>
        </w:num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铜牌优势服务实施内容</w:t>
      </w:r>
      <w:r/>
    </w:p>
    <w:p>
      <w:pPr>
        <w:pStyle w:val="1126"/>
        <w:numPr>
          <w:ilvl w:val="0"/>
          <w:numId w:val="6"/>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合同期内，仪器出现任何硬件故障，在48小时之内(公司所在地城市)工程师将赶到现场排除故障。</w:t>
      </w:r>
      <w:r/>
    </w:p>
    <w:p>
      <w:pPr>
        <w:pStyle w:val="1126"/>
        <w:numPr>
          <w:ilvl w:val="0"/>
          <w:numId w:val="6"/>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维修中所产生的费用全部由安捷伦承担，其中包括工时费、差旅费、零部件费及维修时所需的相关消耗品。</w:t>
      </w:r>
      <w:r/>
    </w:p>
    <w:p>
      <w:pPr>
        <w:pStyle w:val="1126"/>
        <w:numPr>
          <w:ilvl w:val="0"/>
          <w:numId w:val="5"/>
        </w:num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银牌优势服务实施内容</w:t>
      </w:r>
      <w:r/>
    </w:p>
    <w:p>
      <w:pPr>
        <w:pStyle w:val="1126"/>
        <w:numPr>
          <w:ilvl w:val="0"/>
          <w:numId w:val="7"/>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包含铜牌优势服务的全部内容</w:t>
      </w:r>
      <w:r/>
    </w:p>
    <w:p>
      <w:pPr>
        <w:pStyle w:val="1126"/>
        <w:numPr>
          <w:ilvl w:val="0"/>
          <w:numId w:val="7"/>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在乙方指定的时间，安捷伦工程师将上门按照《预防性维护检查表》标准程序，为仪器进行预防性维护保养，包括：彻底的清洗、除尘、润滑；更换安捷伦提供的工具包中的配件；进行操作确认，并记录检测结果，提供完成的维护工作报告。</w:t>
      </w:r>
      <w:r/>
    </w:p>
    <w:p>
      <w:pPr>
        <w:pStyle w:val="1126"/>
        <w:numPr>
          <w:ilvl w:val="0"/>
          <w:numId w:val="5"/>
        </w:num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驻场服务实施内容</w:t>
      </w:r>
      <w:r/>
    </w:p>
    <w:p>
      <w:pPr>
        <w:ind w:left="569"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捷伦为乙方提供驻场服务，包括但不限于以下六个主要方面：日常仪器故障排查与响应，计划性服务协调与管理，实验室巡检等主动服务，服务数据记录与汇总，定期内外部服务情况汇报，以及客户新增需求响应与协调等。</w:t>
      </w:r>
      <w:r/>
    </w:p>
    <w:p>
      <w:pPr>
        <w:ind w:firstLine="569"/>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569"/>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其他服务内容见附件二 《承诺函》</w:t>
      </w:r>
      <w:r/>
    </w:p>
    <w:p>
      <w:pPr>
        <w:jc w:val="left"/>
        <w:spacing w:line="360" w:lineRule="auto"/>
        <w:tabs>
          <w:tab w:val="left" w:pos="1412" w:leader="none"/>
        </w:tabs>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tabs>
          <w:tab w:val="left" w:pos="1412" w:leader="none"/>
        </w:tabs>
        <w:rPr>
          <w:rFonts w:hint="eastAsia" w:ascii="宋体" w:hAnsi="宋体" w:eastAsia="宋体" w:cs="宋体"/>
          <w:b/>
          <w:bCs/>
          <w:sz w:val="21"/>
          <w:szCs w:val="21"/>
        </w:rPr>
      </w:pPr>
      <w:r>
        <w:rPr>
          <w:rFonts w:hint="eastAsia" w:ascii="宋体" w:hAnsi="宋体" w:eastAsia="宋体" w:cs="宋体"/>
          <w:b/>
          <w:bCs/>
          <w:sz w:val="21"/>
          <w:szCs w:val="21"/>
        </w:rPr>
        <w:t xml:space="preserve">5．甲方的责任：</w:t>
      </w:r>
      <w:r/>
    </w:p>
    <w:p>
      <w:pPr>
        <w:numPr>
          <w:ilvl w:val="1"/>
          <w:numId w:val="8"/>
        </w:numPr>
        <w:ind w:hanging="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甲方应按机器使用手册的要求进行操作及日常维护，并保证机器所需电源、水源的正常供应及开启和关闭以及环境的要求。</w:t>
      </w:r>
      <w:r/>
    </w:p>
    <w:p>
      <w:pPr>
        <w:numPr>
          <w:ilvl w:val="1"/>
          <w:numId w:val="8"/>
        </w:numPr>
        <w:ind w:hanging="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对于乙方在提供服务期间所提供的信息,甲方应该保密。乙方对该信息拥有所有权，未经乙方书面同意，甲方不得擅自使用或泄露给外界。</w:t>
      </w:r>
      <w:r/>
    </w:p>
    <w:p>
      <w:pPr>
        <w:numPr>
          <w:ilvl w:val="1"/>
          <w:numId w:val="8"/>
        </w:numPr>
        <w:ind w:hanging="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对于合同项目下的零备件，如无特殊说明甲方需在更换后将原备件退还给乙方。</w:t>
      </w:r>
      <w:r/>
    </w:p>
    <w:p>
      <w:pPr>
        <w:numPr>
          <w:ilvl w:val="1"/>
          <w:numId w:val="8"/>
        </w:numPr>
        <w:ind w:hanging="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甲方应按合同约定的方式按时向乙方支付合同服务费用。</w:t>
      </w:r>
      <w:r/>
    </w:p>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tabs>
          <w:tab w:val="left" w:pos="1412" w:leader="none"/>
        </w:tabs>
        <w:rPr>
          <w:rFonts w:hint="eastAsia" w:ascii="宋体" w:hAnsi="宋体" w:eastAsia="宋体" w:cs="宋体"/>
          <w:b/>
          <w:bCs/>
          <w:sz w:val="21"/>
          <w:szCs w:val="21"/>
        </w:rPr>
      </w:pPr>
      <w:r>
        <w:rPr>
          <w:rFonts w:hint="eastAsia" w:ascii="宋体" w:hAnsi="宋体" w:eastAsia="宋体" w:cs="宋体"/>
          <w:b/>
          <w:bCs/>
          <w:sz w:val="21"/>
          <w:szCs w:val="21"/>
        </w:rPr>
        <w:t xml:space="preserve">6. 保密责任：</w:t>
      </w:r>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1、双方对合作及本合同的具体内容负有保密责任。未经对方事先书面同意，任何一方不得将双方的合作及本合同中涉及的商业秘密披露给任何第三方。</w:t>
      </w:r>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本条所指的商业秘密是指以各种有形或无形形式存贮的观点、计划和信息，包括但不限于：技术或商业性质的信息、标语口号、版权物品、</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"http://www.xuexila.com/diannao/" </w:instrText>
      </w:r>
      <w:r>
        <w:rPr>
          <w:rFonts w:hint="eastAsia" w:ascii="宋体" w:hAnsi="宋体" w:eastAsia="宋体" w:cs="宋体"/>
          <w:sz w:val="21"/>
          <w:szCs w:val="21"/>
        </w:rPr>
        <w:fldChar w:fldCharType="separate"/>
      </w:r>
      <w:r>
        <w:rPr>
          <w:rFonts w:hint="eastAsia" w:ascii="宋体" w:hAnsi="宋体" w:eastAsia="宋体" w:cs="宋体"/>
          <w:bCs/>
          <w:sz w:val="21"/>
          <w:szCs w:val="21"/>
        </w:rPr>
        <w:t xml:space="preserve">计算机</w:t>
      </w:r>
      <w:r>
        <w:rPr>
          <w:rFonts w:hint="eastAsia" w:ascii="宋体" w:hAnsi="宋体" w:eastAsia="宋体" w:cs="宋体"/>
          <w:bCs/>
          <w:sz w:val="21"/>
          <w:szCs w:val="21"/>
        </w:rPr>
        <w:fldChar w:fldCharType="end"/>
      </w:r>
      <w:r>
        <w:rPr>
          <w:rFonts w:hint="eastAsia" w:ascii="宋体" w:hAnsi="宋体" w:eastAsia="宋体" w:cs="宋体"/>
          <w:bCs/>
          <w:sz w:val="21"/>
          <w:szCs w:val="21"/>
        </w:rPr>
        <w:t xml:space="preserve">软件、源代码、目标代码、技术、技术诀窍、数据、营销企划、摘要、报告及邮件列表等。</w:t>
      </w:r>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2、本合同如有任何部分被视为无效或不可执行，均不影响保密条款的有效性。</w:t>
      </w:r>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3、本条约定在本合同终止履行后一直有效。</w:t>
      </w:r>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sz w:val="21"/>
          <w:szCs w:val="21"/>
        </w:rPr>
      </w:pPr>
      <w:r>
        <w:rPr>
          <w:rFonts w:hint="eastAsia" w:ascii="宋体" w:hAnsi="宋体" w:eastAsia="宋体" w:cs="宋体"/>
          <w:b/>
          <w:bCs/>
          <w:sz w:val="21"/>
          <w:szCs w:val="21"/>
        </w:rPr>
        <w:t xml:space="preserve">7. 合同总价款：</w:t>
      </w:r>
      <w:r/>
    </w:p>
    <w:p>
      <w:p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sz w:val="21"/>
          <w:szCs w:val="21"/>
        </w:rPr>
      </w:pPr>
      <w:r>
        <w:rPr>
          <w:rFonts w:hint="eastAsia" w:ascii="宋体" w:hAnsi="宋体" w:eastAsia="宋体" w:cs="宋体"/>
          <w:bCs/>
          <w:sz w:val="21"/>
          <w:szCs w:val="21"/>
        </w:rPr>
        <w:tab/>
      </w:r>
      <w:r>
        <w:rPr>
          <w:rFonts w:hint="eastAsia" w:ascii="宋体" w:hAnsi="宋体" w:eastAsia="宋体" w:cs="宋体"/>
          <w:sz w:val="21"/>
          <w:szCs w:val="21"/>
        </w:rPr>
        <w:t xml:space="preserve">总价（人民币）: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(大写):</w:t>
      </w:r>
      <w:r>
        <w:rPr>
          <w:rFonts w:hint="eastAsia" w:ascii="宋体" w:hAnsi="宋体" w:eastAsia="宋体" w:cs="宋体"/>
          <w:b/>
          <w:sz w:val="21"/>
          <w:szCs w:val="21"/>
          <w:u w:val="single"/>
        </w:rPr>
        <w:t xml:space="preserve">   </w:t>
      </w:r>
      <w:r>
        <w:rPr>
          <w:rFonts w:hint="eastAsia" w:ascii="宋体" w:hAnsi="宋体" w:eastAsia="宋体" w:cs="宋体"/>
          <w:b/>
          <w:sz w:val="21"/>
          <w:szCs w:val="21"/>
          <w:u w:val="single"/>
          <w:lang w:val="en-US" w:eastAsia="zh-CN"/>
        </w:rPr>
        <w:t xml:space="preserve">  </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sz w:val="21"/>
          <w:szCs w:val="21"/>
        </w:rPr>
      </w:pPr>
      <w:r>
        <w:rPr>
          <w:rFonts w:hint="eastAsia" w:ascii="宋体" w:hAnsi="宋体" w:eastAsia="宋体" w:cs="宋体"/>
          <w:b/>
          <w:bCs/>
          <w:sz w:val="21"/>
          <w:szCs w:val="21"/>
        </w:rPr>
        <w:t xml:space="preserve">8. 付款方式：</w:t>
      </w:r>
      <w:r/>
    </w:p>
    <w:p>
      <w:pPr>
        <w:ind w:firstLine="422"/>
        <w:spacing w:line="360" w:lineRule="auto"/>
        <w:rPr>
          <w:rFonts w:hint="eastAsia" w:ascii="宋体" w:hAnsi="宋体" w:eastAsia="宋体" w:cs="宋体"/>
          <w:bCs/>
          <w:sz w:val="21"/>
          <w:szCs w:val="21"/>
        </w:rPr>
      </w:pPr>
      <w:r/>
      <w:bookmarkStart w:id="73" w:name="_Hlk514245229"/>
      <w:r>
        <w:rPr>
          <w:rFonts w:hint="eastAsia" w:ascii="宋体" w:hAnsi="宋体" w:eastAsia="宋体" w:cs="宋体"/>
          <w:bCs/>
          <w:sz w:val="21"/>
          <w:szCs w:val="21"/>
        </w:rPr>
        <w:t xml:space="preserve">合同付款分</w:t>
      </w:r>
      <w:r>
        <w:rPr>
          <w:rFonts w:hint="eastAsia" w:ascii="宋体" w:hAnsi="宋体" w:eastAsia="宋体" w:cs="宋体"/>
          <w:bCs/>
          <w:sz w:val="21"/>
          <w:szCs w:val="21"/>
          <w:u w:val="single"/>
        </w:rPr>
        <w:t xml:space="preserve">2</w:t>
      </w:r>
      <w:r>
        <w:rPr>
          <w:rFonts w:hint="eastAsia" w:ascii="宋体" w:hAnsi="宋体" w:eastAsia="宋体" w:cs="宋体"/>
          <w:bCs/>
          <w:sz w:val="21"/>
          <w:szCs w:val="21"/>
        </w:rPr>
        <w:t xml:space="preserve">期 ，乙方先为甲方开具每期的发票，甲方收到发票后，在乙方开具发票后30天内按照乙方提供的账户信息进行付款。</w:t>
      </w:r>
      <w:bookmarkEnd w:id="73"/>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1、第一次付款：</w:t>
      </w:r>
      <w:r>
        <w:rPr>
          <w:rFonts w:hint="eastAsia" w:ascii="宋体" w:hAnsi="宋体" w:eastAsia="宋体" w:cs="宋体"/>
          <w:color w:val="auto"/>
          <w:sz w:val="21"/>
          <w:szCs w:val="21"/>
        </w:rPr>
        <w:t xml:space="preserve">自合同签订之日起，收到发票后一周内，</w:t>
      </w:r>
      <w:r>
        <w:rPr>
          <w:rFonts w:hint="eastAsia" w:ascii="宋体" w:hAnsi="宋体" w:eastAsia="宋体" w:cs="宋体"/>
          <w:bCs/>
          <w:sz w:val="21"/>
          <w:szCs w:val="21"/>
        </w:rPr>
        <w:t xml:space="preserve">乙方为甲方开具合同价款90%的发票，</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元整，甲方按约定付款；</w:t>
      </w:r>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2、第二次付款：202</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年9月30日前，乙方为甲方开具剩余10%合同价款的发票，</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元整，甲方按约定付款；</w:t>
      </w:r>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因财政迟延付款、乙方提供服务不符合约定等非甲方主观过错因素导致甲方迟延付款的，甲方不构成违约也无需承担违约责任。若乙方开具的发票不足额、不符合相关规定的，甲方有权不予按阶段付款直至乙方足额开具合规发票。</w:t>
      </w:r>
      <w:r/>
    </w:p>
    <w:p>
      <w:pPr>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名称：</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账号：</w:t>
      </w:r>
      <w:r/>
    </w:p>
    <w:p>
      <w:pPr>
        <w:ind w:right="-272" w:firstLine="42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开户行：</w:t>
      </w:r>
      <w:r/>
    </w:p>
    <w:p>
      <w:pPr>
        <w:ind w:right="-272"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272"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甲方开票信息:</w:t>
      </w:r>
      <w:r/>
    </w:p>
    <w:p>
      <w:pPr>
        <w:ind w:right="-272"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单位名称：江苏省药品监督检验研究院</w:t>
      </w:r>
      <w:r/>
    </w:p>
    <w:p>
      <w:pPr>
        <w:ind w:right="-272"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税号：123200004660027373</w:t>
      </w:r>
      <w:r/>
    </w:p>
    <w:p>
      <w:pPr>
        <w:ind w:right="-272"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单位地址：江苏省南京市康文路17号</w:t>
      </w:r>
      <w:r/>
    </w:p>
    <w:p>
      <w:pPr>
        <w:ind w:right="-272"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电话号码：025-86251052</w:t>
      </w:r>
      <w:r/>
    </w:p>
    <w:p>
      <w:pPr>
        <w:ind w:right="-272"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开户银行：工行南京市奥体支行</w:t>
      </w:r>
      <w:r/>
    </w:p>
    <w:p>
      <w:pPr>
        <w:ind w:right="-272"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银行账户：4301019009100031296</w:t>
      </w:r>
      <w:r/>
    </w:p>
    <w:p>
      <w:pPr>
        <w:ind w:right="-272"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sz w:val="21"/>
          <w:szCs w:val="21"/>
        </w:rPr>
      </w:pPr>
      <w:r>
        <w:rPr>
          <w:rFonts w:hint="eastAsia" w:ascii="宋体" w:hAnsi="宋体" w:eastAsia="宋体" w:cs="宋体"/>
          <w:b/>
          <w:bCs/>
          <w:sz w:val="21"/>
          <w:szCs w:val="21"/>
        </w:rPr>
        <w:t xml:space="preserve">9. 违约责任</w:t>
      </w:r>
      <w:r/>
    </w:p>
    <w:p>
      <w:pPr>
        <w:pStyle w:val="1126"/>
        <w:numPr>
          <w:ilvl w:val="0"/>
          <w:numId w:val="9"/>
        </w:num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sz w:val="21"/>
          <w:szCs w:val="21"/>
          <w:lang w:val="en-GB"/>
        </w:rPr>
      </w:pPr>
      <w:r>
        <w:rPr>
          <w:rFonts w:hint="eastAsia" w:ascii="宋体" w:hAnsi="宋体" w:eastAsia="宋体" w:cs="宋体"/>
          <w:sz w:val="21"/>
          <w:szCs w:val="21"/>
          <w:lang w:val="en-GB"/>
        </w:rPr>
        <w:t xml:space="preserve">因为乙方不履行合同或者履行合同不符合约定给甲方造成损失的，甲方有权视乙方违约情况解除合同，向乙方主张合同总价款30%的违约金。乙方负责赔偿甲方的损失，若发生不可抗力或乙方无法控制的因素足够影响到合同的履行的，发生不可抗力的一方应在发生不可抗力后60天内及时告知另一方相关情况，双方协商确定合同是否继续履行及后续结算等问题。前述“损失”包括但不限于甲方为维护权益支出的诉讼费、律师费、鉴定费、公证费、保全费及保全担保费等费用。</w:t>
      </w:r>
      <w:r/>
    </w:p>
    <w:p>
      <w:pPr>
        <w:pStyle w:val="1126"/>
        <w:numPr>
          <w:ilvl w:val="0"/>
          <w:numId w:val="9"/>
        </w:num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sz w:val="21"/>
          <w:szCs w:val="21"/>
          <w:lang w:val="en-GB"/>
        </w:rPr>
      </w:pPr>
      <w:r>
        <w:rPr>
          <w:rFonts w:hint="eastAsia" w:ascii="宋体" w:hAnsi="宋体" w:eastAsia="宋体" w:cs="宋体"/>
          <w:sz w:val="21"/>
          <w:szCs w:val="21"/>
          <w:lang w:val="en-GB"/>
        </w:rPr>
        <w:t xml:space="preserve">乙方未能按照合同约定的时间提供服务的，每延迟一天承担合同总价的千分之一的违约金，违约金最高不超过合同总价的10%，延期超过15天的，甲方有权解除本合同，乙方退回未实际完整履行部分的费用。</w:t>
      </w:r>
      <w:r/>
    </w:p>
    <w:p>
      <w:pPr>
        <w:pStyle w:val="1126"/>
        <w:numPr>
          <w:ilvl w:val="0"/>
          <w:numId w:val="9"/>
        </w:num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sz w:val="21"/>
          <w:szCs w:val="21"/>
          <w:lang w:val="en-GB"/>
        </w:rPr>
      </w:pPr>
      <w:r>
        <w:rPr>
          <w:rFonts w:hint="eastAsia" w:ascii="宋体" w:hAnsi="宋体" w:eastAsia="宋体" w:cs="宋体"/>
          <w:sz w:val="21"/>
          <w:szCs w:val="21"/>
          <w:lang w:val="en-GB"/>
        </w:rPr>
        <w:t xml:space="preserve">如乙方的违约行为造成甲方损失的，甲方有权向乙方提出赔偿相关直接损失；如造成重大损失或发生两次相关情况，甲方除向乙方提出上述赔偿及合同总价的30%违约金外，甲方有权终止本合同。</w:t>
      </w:r>
      <w:r/>
    </w:p>
    <w:p>
      <w:pPr>
        <w:pStyle w:val="1126"/>
        <w:ind w:left="840" w:firstLine="0"/>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sz w:val="21"/>
          <w:szCs w:val="21"/>
          <w:lang w:val="en-GB"/>
        </w:rPr>
      </w:pPr>
      <w:r>
        <w:rPr>
          <w:rFonts w:hint="eastAsia" w:ascii="宋体" w:hAnsi="宋体" w:eastAsia="宋体" w:cs="宋体"/>
          <w:sz w:val="21"/>
          <w:szCs w:val="21"/>
          <w:lang w:val="en-GB"/>
        </w:rPr>
      </w:r>
      <w:r/>
    </w:p>
    <w:p>
      <w:pPr>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sz w:val="21"/>
          <w:szCs w:val="21"/>
        </w:rPr>
      </w:pPr>
      <w:r>
        <w:rPr>
          <w:rFonts w:hint="eastAsia" w:ascii="宋体" w:hAnsi="宋体" w:eastAsia="宋体" w:cs="宋体"/>
          <w:b/>
          <w:bCs/>
          <w:sz w:val="21"/>
          <w:szCs w:val="21"/>
        </w:rPr>
        <w:t xml:space="preserve">10. 争议的解决：</w:t>
      </w:r>
      <w:r/>
    </w:p>
    <w:p>
      <w:pPr>
        <w:ind w:firstLine="420"/>
        <w:jc w:val="left"/>
        <w:spacing w:before="240" w:line="360" w:lineRule="auto"/>
        <w:widowControl/>
        <w:rPr>
          <w:rFonts w:hint="eastAsia" w:ascii="宋体" w:hAnsi="宋体" w:eastAsia="宋体" w:cs="宋体"/>
          <w:sz w:val="21"/>
          <w:szCs w:val="21"/>
          <w:lang w:val="en-GB"/>
        </w:rPr>
      </w:pPr>
      <w:r>
        <w:rPr>
          <w:rFonts w:hint="eastAsia" w:ascii="宋体" w:hAnsi="宋体" w:eastAsia="宋体" w:cs="宋体"/>
          <w:sz w:val="21"/>
          <w:szCs w:val="21"/>
          <w:lang w:val="en-GB"/>
        </w:rPr>
        <w:t xml:space="preserve">在本合同履行过程中发生争议的，甲乙双方应协商解决；协商不成的，双方同意选择以向甲方所在地人民法院提起诉讼的方式解决。</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ind w:left="426" w:hanging="426"/>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 合同正本一式三份，甲方持有两份，乙方一份。本合同经双方签字盖章生效。甲乙双方同意任何对合同条款的手写改动均无效。</w:t>
      </w:r>
      <w:r/>
    </w:p>
    <w:p>
      <w:pPr>
        <w:ind w:left="422"/>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本合同的附件是合同的有机组成部分，具有补充、解释或修改合同的作用，对双方有约束力。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Style w:val="880"/>
        <w:tblpPr w:horzAnchor="margin" w:tblpXSpec="left" w:vertAnchor="text" w:tblpY="-18" w:leftFromText="180" w:topFromText="0" w:rightFromText="180" w:bottomFromText="0"/>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1548"/>
        <w:gridCol w:w="3380"/>
        <w:gridCol w:w="1559"/>
        <w:gridCol w:w="3544"/>
      </w:tblGrid>
      <w:tr>
        <w:trPr/>
        <w:tc>
          <w:tcPr>
            <w:tcW w:w="1548"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甲     方：</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（盖章）</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3380" w:type="dxa"/>
            <w:vAlign w:val="center"/>
            <w:textDirection w:val="lrTb"/>
            <w:noWrap w:val="false"/>
          </w:tcPr>
          <w:p>
            <w:pPr>
              <w:ind w:left="-128"/>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559"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乙    方:</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（盖章）</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3544"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r>
      <w:tr>
        <w:trPr/>
        <w:tc>
          <w:tcPr>
            <w:tcW w:w="1548"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授权代表：</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（签字）</w:t>
            </w:r>
            <w:r/>
          </w:p>
        </w:tc>
        <w:tc>
          <w:tcPr>
            <w:tcW w:w="3380"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559"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授权代表：</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（签字）</w:t>
            </w:r>
            <w:r/>
          </w:p>
        </w:tc>
        <w:tc>
          <w:tcPr>
            <w:tcW w:w="354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r>
      <w:tr>
        <w:trPr>
          <w:trHeight w:val="148"/>
        </w:trPr>
        <w:tc>
          <w:tcPr>
            <w:tcW w:w="1548"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日     期：</w:t>
            </w:r>
            <w:r/>
          </w:p>
        </w:tc>
        <w:tc>
          <w:tcPr>
            <w:tcW w:w="3380"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559"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日     期：</w:t>
            </w:r>
            <w:r/>
          </w:p>
        </w:tc>
        <w:tc>
          <w:tcPr>
            <w:tcW w:w="354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br w:type="page" w:clear="all"/>
      </w:r>
      <w:r>
        <w:rPr>
          <w:rFonts w:hint="eastAsia" w:ascii="宋体" w:hAnsi="宋体" w:eastAsia="宋体" w:cs="宋体"/>
          <w:b/>
          <w:bCs/>
          <w:sz w:val="21"/>
          <w:szCs w:val="21"/>
        </w:rPr>
        <w:t xml:space="preserve">附件一    维保内仪器清单</w:t>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br w:type="page" w:clear="all"/>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附件二   服务承诺书</w:t>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1126"/>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1、乙方按照服务内容及技术要求提供维修保养服务，并严格执行设备操作和技术规范。甲方将优先使用乙方的工程师资源及零配件资源。 </w:t>
      </w:r>
      <w:r/>
    </w:p>
    <w:p>
      <w:pPr>
        <w:pStyle w:val="1126"/>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2、乙方需提供客户服务中心热线服务，甲方仪器发生故障时由乙方客户服务中心协助并指导甲方分析故障原因，由甲方先独立排除故障以便及时回到正常分析状态。</w:t>
      </w:r>
      <w:r/>
    </w:p>
    <w:p>
      <w:pPr>
        <w:pStyle w:val="1126"/>
        <w:spacing w:line="360" w:lineRule="auto"/>
        <w:rPr>
          <w:rFonts w:hint="eastAsia" w:ascii="宋体" w:hAnsi="宋体" w:eastAsia="宋体" w:cs="宋体"/>
          <w:sz w:val="21"/>
          <w:szCs w:val="21"/>
        </w:rPr>
      </w:pPr>
      <w:r>
        <w:rPr>
          <w:rFonts w:hint="eastAsia" w:ascii="宋体" w:hAnsi="宋体" w:eastAsia="宋体" w:cs="宋体"/>
          <w:sz w:val="21"/>
          <w:szCs w:val="21"/>
        </w:rPr>
        <w:t xml:space="preserve">3、服务响应时间，当甲方仪器发生故障时，乙方优先通过电话等方式优先对应处</w:t>
      </w:r>
      <w:r>
        <w:rPr>
          <w:rFonts w:hint="eastAsia" w:ascii="宋体" w:hAnsi="宋体" w:eastAsia="宋体" w:cs="宋体"/>
          <w:sz w:val="21"/>
          <w:szCs w:val="21"/>
        </w:rPr>
        <w:t xml:space="preserve">理，当乙方判断需要提供上门服务时，保证优先对应最长时间不超过48小时。服务响应时间计算方法规定为，从甲方请求服务并确认故障需要现场维修之日开始到乙方工程师到达现场开始工作之日为乙方的响应时间。根据甲方所用仪器所在地理位置及交通便利条件，时间将会有所不同，原则上标准时间为48小时。 如确属交通原因或各方面外界无法抗拒原因或意外因素造成工程师无法及时到达甲方现场，乙方应及时通知甲方相关原因并将到达日期告知甲方。乙方提供现场保修服务的工作时间为，除国家规定的节假日外，每周一至周五的AM 8:30至PM 5:30。</w:t>
      </w:r>
      <w:r/>
    </w:p>
    <w:p>
      <w:pPr>
        <w:pStyle w:val="1126"/>
        <w:spacing w:line="360" w:lineRule="auto"/>
        <w:rPr>
          <w:rFonts w:hint="eastAsia" w:ascii="宋体" w:hAnsi="宋体" w:eastAsia="宋体" w:cs="宋体"/>
          <w:sz w:val="21"/>
          <w:szCs w:val="21"/>
        </w:rPr>
      </w:pPr>
      <w:r>
        <w:rPr>
          <w:rFonts w:hint="eastAsia" w:ascii="宋体" w:hAnsi="宋体" w:eastAsia="宋体" w:cs="宋体"/>
          <w:sz w:val="21"/>
          <w:szCs w:val="21"/>
        </w:rPr>
        <w:t xml:space="preserve">4、维修保养服务包括对仪器故障的现场诊断及修复。修复故障的工作包括工程师采用适当的措施并由甲方继续观察故障直到故障完全消失。故障排除工作开始，由乙方工程师确定所需用的零配件及其他资源是否具备或满足需要，如需要这些零配件及额外资源，工程师将暂时中断故障修复工作，同时进行相应的准备工作，在得到所需要的零配件或其它资源后，立刻开始工作，直至仪器故障被完全排除。</w:t>
      </w:r>
      <w:r/>
    </w:p>
    <w:p>
      <w:pPr>
        <w:pStyle w:val="1126"/>
        <w:spacing w:line="360" w:lineRule="auto"/>
        <w:rPr>
          <w:rFonts w:hint="eastAsia" w:ascii="宋体" w:hAnsi="宋体" w:eastAsia="宋体" w:cs="宋体"/>
          <w:sz w:val="21"/>
          <w:szCs w:val="21"/>
        </w:rPr>
      </w:pPr>
      <w:r>
        <w:rPr>
          <w:rFonts w:hint="eastAsia" w:ascii="宋体" w:hAnsi="宋体" w:eastAsia="宋体" w:cs="宋体"/>
          <w:sz w:val="21"/>
          <w:szCs w:val="21"/>
        </w:rPr>
        <w:t xml:space="preserve">5、由乙方工程师对服务期内限定的产品到甲方现场修复仪器故障。并由乙方承担对服务期内所限定产品提供维修保养服务时的所有费用（其中包括工时费，派遣费，零件费及维修时所需的相关消耗品）。但乙方不向甲方提供日常分析操作所需消耗品。</w:t>
      </w:r>
      <w:r/>
    </w:p>
    <w:p>
      <w:pPr>
        <w:pStyle w:val="1126"/>
        <w:spacing w:line="360" w:lineRule="auto"/>
        <w:rPr>
          <w:rFonts w:hint="eastAsia" w:ascii="宋体" w:hAnsi="宋体" w:eastAsia="宋体" w:cs="宋体"/>
          <w:sz w:val="21"/>
          <w:szCs w:val="21"/>
        </w:rPr>
      </w:pPr>
      <w:r>
        <w:rPr>
          <w:rFonts w:hint="eastAsia" w:ascii="宋体" w:hAnsi="宋体" w:eastAsia="宋体" w:cs="宋体"/>
          <w:sz w:val="21"/>
          <w:szCs w:val="21"/>
        </w:rPr>
        <w:t xml:space="preserve">6、乙方每年为投标人提供一次系统维保记录及分析报告，并提出对新一年维保的建议。 </w:t>
      </w:r>
      <w:r/>
    </w:p>
    <w:p>
      <w:pPr>
        <w:pStyle w:val="1126"/>
        <w:spacing w:line="360" w:lineRule="auto"/>
        <w:rPr>
          <w:rFonts w:hint="eastAsia" w:ascii="宋体" w:hAnsi="宋体" w:eastAsia="宋体" w:cs="宋体"/>
          <w:sz w:val="21"/>
          <w:szCs w:val="21"/>
        </w:rPr>
      </w:pPr>
      <w:r>
        <w:rPr>
          <w:rFonts w:hint="eastAsia" w:ascii="宋体" w:hAnsi="宋体" w:eastAsia="宋体" w:cs="宋体"/>
          <w:sz w:val="21"/>
          <w:szCs w:val="21"/>
        </w:rPr>
        <w:t xml:space="preserve">7、乙方需对甲方提供定期培训服务，培训内容至少包含设备，维修维护，日常使用、方法应用方面等。</w:t>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rPr>
          <w:rFonts w:hint="eastAsia" w:ascii="微软雅黑" w:hAnsi="微软雅黑" w:eastAsia="微软雅黑"/>
          <w:b/>
          <w:color w:val="000000"/>
          <w:sz w:val="36"/>
          <w:szCs w:val="36"/>
        </w:rPr>
      </w:pPr>
      <w:r>
        <w:rPr>
          <w:rFonts w:hint="eastAsia" w:ascii="微软雅黑" w:hAnsi="微软雅黑" w:eastAsia="微软雅黑"/>
          <w:b/>
          <w:color w:val="000000"/>
          <w:sz w:val="36"/>
          <w:szCs w:val="36"/>
        </w:rPr>
      </w:r>
      <w:r/>
    </w:p>
    <w:p>
      <w:pPr>
        <w:pStyle w:val="1147"/>
        <w:ind w:firstLine="50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cs="宋体"/>
          <w:b/>
          <w:color w:val="000000"/>
          <w:szCs w:val="21"/>
          <w:highlight w:val="none"/>
        </w:rPr>
        <w:sectPr>
          <w:footerReference w:type="default" r:id="rId15"/>
          <w:footerReference w:type="first" r:id="rId16"/>
          <w:footnotePr/>
          <w:endnotePr/>
          <w:type w:val="nextPage"/>
          <w:pgSz w:w="11906" w:h="16838" w:orient="portrait"/>
          <w:pgMar w:top="1440" w:right="1466" w:bottom="1440" w:left="1797" w:header="851" w:footer="992" w:gutter="0"/>
          <w:cols w:num="1" w:sep="0" w:space="720" w:equalWidth="1"/>
          <w:docGrid w:linePitch="360"/>
          <w:titlePg/>
        </w:sectPr>
      </w:pPr>
      <w:r>
        <w:rPr>
          <w:rFonts w:hint="eastAsia" w:ascii="宋体" w:hAnsi="宋体" w:cs="宋体"/>
          <w:b/>
          <w:color w:val="000000"/>
          <w:szCs w:val="21"/>
          <w:highlight w:val="none"/>
        </w:rPr>
      </w:r>
      <w:r/>
    </w:p>
    <w:p>
      <w:pPr>
        <w:pStyle w:val="911"/>
        <w:rPr>
          <w:rFonts w:hint="eastAsia" w:ascii="宋体" w:hAnsi="宋体" w:cs="宋体"/>
          <w:highlight w:val="none"/>
        </w:rPr>
      </w:pPr>
      <w:r/>
      <w:bookmarkStart w:id="74" w:name="_Toc23107"/>
      <w:r/>
      <w:bookmarkStart w:id="75" w:name="_Toc91836565"/>
      <w:r/>
      <w:bookmarkStart w:id="76" w:name="_Toc107246273"/>
      <w:r>
        <w:rPr>
          <w:rFonts w:hint="eastAsia" w:ascii="宋体" w:hAnsi="宋体" w:cs="宋体"/>
          <w:highlight w:val="none"/>
        </w:rPr>
        <w:t xml:space="preserve">第四章 采购需求</w:t>
      </w:r>
      <w:bookmarkEnd w:id="74"/>
      <w:r/>
      <w:r/>
    </w:p>
    <w:p>
      <w:pPr>
        <w:rPr>
          <w:rFonts w:hint="eastAsia"/>
          <w:lang w:val="zh-CN"/>
        </w:rPr>
      </w:pPr>
      <w:r>
        <w:rPr>
          <w:rFonts w:hint="eastAsia"/>
          <w:lang w:val="zh-CN"/>
        </w:rPr>
      </w:r>
      <w:r/>
    </w:p>
    <w:p>
      <w:pPr>
        <w:pStyle w:val="910"/>
        <w:keepLines w:val="0"/>
        <w:keepNext w:val="0"/>
        <w:pageBreakBefore w:val="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一</w:t>
      </w:r>
      <w:r>
        <w:rPr>
          <w:rFonts w:hint="eastAsia" w:ascii="宋体" w:hAnsi="宋体" w:eastAsia="宋体" w:cs="宋体"/>
          <w:b/>
          <w:bCs/>
          <w:color w:val="auto"/>
          <w:sz w:val="21"/>
          <w:szCs w:val="21"/>
        </w:rPr>
        <w:t xml:space="preserve">、技术要求（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color w:val="auto"/>
          <w:sz w:val="21"/>
          <w:szCs w:val="21"/>
        </w:rPr>
        <w:t xml:space="preserve"> </w:t>
      </w:r>
      <w:r/>
    </w:p>
    <w:p>
      <w:pPr>
        <w:pStyle w:val="910"/>
        <w:keepLines w:val="0"/>
        <w:keepNext w:val="0"/>
        <w:pageBreakBefore w:val="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0"/>
        <w:keepLines w:val="0"/>
        <w:keepNext w:val="0"/>
        <w:pageBreakBefore w:val="0"/>
        <w:spacing w:line="360" w:lineRule="auto"/>
        <w:widowControl w:val="off"/>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（一）维保项目清单：</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共计3</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台，其中液相色谱仪</w:t>
      </w:r>
      <w:r>
        <w:rPr>
          <w:rFonts w:hint="eastAsia" w:ascii="宋体" w:hAnsi="宋体" w:eastAsia="宋体" w:cs="宋体"/>
          <w:b w:val="0"/>
          <w:bCs w:val="0"/>
          <w:color w:val="auto"/>
          <w:sz w:val="21"/>
          <w:szCs w:val="21"/>
          <w:lang w:val="en-US" w:eastAsia="zh-CN"/>
        </w:rPr>
        <w:t xml:space="preserve">30</w:t>
      </w:r>
      <w:r>
        <w:rPr>
          <w:rFonts w:hint="eastAsia" w:ascii="宋体" w:hAnsi="宋体" w:eastAsia="宋体" w:cs="宋体"/>
          <w:b w:val="0"/>
          <w:bCs w:val="0"/>
          <w:color w:val="auto"/>
          <w:sz w:val="21"/>
          <w:szCs w:val="21"/>
          <w:lang w:eastAsia="zh-CN"/>
        </w:rPr>
        <w:t xml:space="preserve">台、液质联用仪</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台、气质联用仪</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台、</w:t>
      </w:r>
      <w:r>
        <w:rPr>
          <w:rFonts w:hint="eastAsia" w:ascii="宋体" w:hAnsi="宋体" w:eastAsia="宋体" w:cs="宋体"/>
          <w:b w:val="0"/>
          <w:bCs w:val="0"/>
          <w:color w:val="auto"/>
          <w:sz w:val="21"/>
          <w:szCs w:val="21"/>
          <w:lang w:val="en-US" w:eastAsia="zh-CN"/>
        </w:rPr>
        <w:t xml:space="preserve">电感耦合等离子体质谱仪1</w:t>
      </w:r>
      <w:r>
        <w:rPr>
          <w:rFonts w:hint="eastAsia" w:ascii="宋体" w:hAnsi="宋体" w:eastAsia="宋体" w:cs="宋体"/>
          <w:b w:val="0"/>
          <w:bCs w:val="0"/>
          <w:color w:val="auto"/>
          <w:sz w:val="21"/>
          <w:szCs w:val="21"/>
          <w:lang w:eastAsia="zh-CN"/>
        </w:rPr>
        <w:t xml:space="preserve">台；</w:t>
      </w:r>
      <w:r/>
    </w:p>
    <w:p>
      <w:pPr>
        <w:pStyle w:val="871"/>
        <w:spacing w:line="36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lang w:eastAsia="zh-CN"/>
        </w:rPr>
        <w:t xml:space="preserve">（二）</w:t>
      </w:r>
      <w:r>
        <w:rPr>
          <w:rFonts w:hint="eastAsia" w:ascii="宋体" w:hAnsi="宋体" w:eastAsia="宋体" w:cs="宋体"/>
          <w:color w:val="auto"/>
          <w:sz w:val="21"/>
          <w:szCs w:val="21"/>
        </w:rPr>
        <w:t xml:space="preserve">服务内容要求</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）故障响应与上门维修服务</w:t>
      </w:r>
      <w:r/>
    </w:p>
    <w:p>
      <w:pPr>
        <w:numPr>
          <w:ilvl w:val="0"/>
          <w:numId w:val="10"/>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供应商须设立 7×24 小时服务热线，安排专人通过电话、远程联网等方式提供即时响应和技术支持，保证仪器使用人员的操作疑问和技术问题能够在第一时间得到解答，指导使用人员解决简单的软硬件故障。</w:t>
      </w:r>
      <w:r/>
    </w:p>
    <w:p>
      <w:pPr>
        <w:numPr>
          <w:ilvl w:val="0"/>
          <w:numId w:val="10"/>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对于远程无法解决的硬件故障，供应商须提供</w:t>
      </w:r>
      <w:r>
        <w:rPr>
          <w:rStyle w:val="916"/>
          <w:rFonts w:hint="eastAsia" w:ascii="宋体" w:hAnsi="宋体" w:eastAsia="宋体" w:cs="宋体"/>
          <w:color w:val="auto"/>
          <w:sz w:val="21"/>
          <w:szCs w:val="21"/>
        </w:rPr>
        <w:t xml:space="preserve">不限次数的免费上门维修服务</w:t>
      </w:r>
      <w:r>
        <w:rPr>
          <w:rFonts w:hint="eastAsia" w:ascii="宋体" w:hAnsi="宋体" w:eastAsia="宋体" w:cs="宋体"/>
          <w:color w:val="auto"/>
          <w:sz w:val="21"/>
          <w:szCs w:val="21"/>
        </w:rPr>
        <w:t xml:space="preserve">。服务期内的工时费、差旅费、检测费均不再另行收取。如确需另外收取费用，须在合同中明确，收取前报采购方批准后方可收取。</w:t>
      </w:r>
      <w:r/>
    </w:p>
    <w:p>
      <w:pPr>
        <w:numPr>
          <w:ilvl w:val="0"/>
          <w:numId w:val="10"/>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供应商接到采购方正式报修请求后，须在 2 小时内予以响应并给出初步诊断意见；对于确需现场处理的故障，</w:t>
      </w:r>
      <w:r>
        <w:rPr>
          <w:rStyle w:val="916"/>
          <w:rFonts w:hint="eastAsia" w:ascii="宋体" w:hAnsi="宋体" w:eastAsia="宋体" w:cs="宋体"/>
          <w:color w:val="auto"/>
          <w:sz w:val="21"/>
          <w:szCs w:val="21"/>
        </w:rPr>
        <w:t xml:space="preserve">须在 3 个工作日内安排工程师到达现场排除故障，力争在最短时间内修复</w:t>
      </w:r>
      <w:r>
        <w:rPr>
          <w:rFonts w:hint="eastAsia" w:ascii="宋体" w:hAnsi="宋体" w:eastAsia="宋体" w:cs="宋体"/>
          <w:color w:val="auto"/>
          <w:sz w:val="21"/>
          <w:szCs w:val="21"/>
        </w:rPr>
        <w:t xml:space="preserve">。对于影响重大检验任务的关键设备故障，供应商应启动应急响应机制，优先调配资源加快修复进度。</w:t>
      </w:r>
      <w:r/>
    </w:p>
    <w:p>
      <w:pPr>
        <w:numPr>
          <w:ilvl w:val="0"/>
          <w:numId w:val="10"/>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如因特殊原因（如罕见故障需原厂全球技术支持、需定制特殊备件等）确实无法在规定时限内修复的，供应商应及时向采购方书面说明原因、预计修复时间，并提供临时替代方案或备用设备，最大限度减少对检验工作的影响。</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）备件保障与更换</w:t>
      </w:r>
      <w:r/>
    </w:p>
    <w:p>
      <w:pPr>
        <w:numPr>
          <w:ilvl w:val="0"/>
          <w:numId w:val="11"/>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服务期内，仪器维修过程中需要更换的所有配件费用均包含在维保合同总价中，不再另行收取。如确有特殊配件需另行收费的，须在投标文件中明确列出收费项目及标准，且实际收取前须报采购方书面批准后方可收取。</w:t>
      </w:r>
      <w:r/>
    </w:p>
    <w:p>
      <w:pPr>
        <w:numPr>
          <w:ilvl w:val="0"/>
          <w:numId w:val="11"/>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供应商承诺优先使用原厂库房备件，</w:t>
      </w:r>
      <w:r>
        <w:rPr>
          <w:rStyle w:val="916"/>
          <w:rFonts w:hint="eastAsia" w:ascii="宋体" w:hAnsi="宋体" w:eastAsia="宋体" w:cs="宋体"/>
          <w:color w:val="auto"/>
          <w:sz w:val="21"/>
          <w:szCs w:val="21"/>
        </w:rPr>
        <w:t xml:space="preserve">更换的设备或备件必须是来自设备原厂商的全新同型号正品备件，严禁使用翻新件、拆机件、兼容件或第三方替代件，不得以其它方式替代</w:t>
      </w:r>
      <w:r>
        <w:rPr>
          <w:rFonts w:hint="eastAsia" w:ascii="宋体" w:hAnsi="宋体" w:eastAsia="宋体" w:cs="宋体"/>
          <w:color w:val="auto"/>
          <w:sz w:val="21"/>
          <w:szCs w:val="21"/>
        </w:rPr>
        <w:t xml:space="preserve">。更换下来的旧备件归采购方所有，供应商不得擅自带走处理。</w:t>
      </w:r>
      <w:r/>
    </w:p>
    <w:p>
      <w:pPr>
        <w:numPr>
          <w:ilvl w:val="0"/>
          <w:numId w:val="11"/>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供应商应建立备件保障机制，确保常用备件的充足库存和快速调配能力；对于非常用备件，应明确供货周期并在投标文件中说明。</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）预防性维护保养服务</w:t>
      </w:r>
      <w:r/>
    </w:p>
    <w:p>
      <w:pPr>
        <w:numPr>
          <w:ilvl w:val="0"/>
          <w:numId w:val="12"/>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供应商须为每台仪器提供标准化的年度定期预防性维护保养服务，每年不少于一次全面预防</w:t>
      </w:r>
      <w:r>
        <w:rPr>
          <w:rFonts w:hint="eastAsia" w:ascii="宋体" w:hAnsi="宋体" w:eastAsia="宋体" w:cs="宋体"/>
          <w:color w:val="auto"/>
          <w:sz w:val="21"/>
          <w:szCs w:val="21"/>
        </w:rPr>
        <w:t xml:space="preserve">性维护。维护保养内容应根据不同仪器类型制定，包括但不限于： （1）液相色谱类仪器：泵系统密封性检查与柱塞杆清洗、自动进样器精度校准与针座清洗、柱温箱温度校准、检测器光路检查与波长校准、流路系统检漏与冲洗、电子部件检查与固件版本检查等； （2）质谱类仪器：真空系统检查与真空泵油更换（如需）、离子源清洗与调谐校正、质量轴校准与分辨率验证、检测器灵敏度检查、电子部件散热与连接检查、氦气 / 氮气气路检漏等； （3）气质联用仪：色谱柱检查与进样口维护、质谱离子源清洗与调谐、真空系统检查、质量轴校准等； （4）ICP</w:t>
      </w:r>
      <w:r>
        <w:rPr>
          <w:rFonts w:hint="eastAsia" w:ascii="宋体" w:hAnsi="宋体" w:eastAsia="宋体" w:cs="宋体"/>
          <w:color w:val="auto"/>
          <w:sz w:val="21"/>
          <w:szCs w:val="21"/>
        </w:rPr>
        <w:noBreakHyphen/>
      </w:r>
      <w:r>
        <w:rPr>
          <w:rFonts w:hint="eastAsia" w:ascii="宋体" w:hAnsi="宋体" w:eastAsia="宋体" w:cs="宋体"/>
          <w:color w:val="auto"/>
          <w:sz w:val="21"/>
          <w:szCs w:val="21"/>
        </w:rPr>
        <w:t xml:space="preserve">MS：雾化器与雾化室清洗、接口锥清洗与检查、质量轴与灵敏度校准、真空系统检查、冷却水系统检查等； （5）离子色谱仪：泵系统维护、抑制器检查与再生、电导检测器校准、流路系统冲洗等； （6）红外光谱仪：光路系统检查与能量校准、检测器状态检查、干燥剂更换、软件系统检查等。</w:t>
      </w:r>
      <w:r/>
    </w:p>
    <w:p>
      <w:pPr>
        <w:numPr>
          <w:ilvl w:val="0"/>
          <w:numId w:val="12"/>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Style w:val="916"/>
          <w:rFonts w:hint="eastAsia" w:ascii="宋体" w:hAnsi="宋体" w:eastAsia="宋体" w:cs="宋体"/>
          <w:color w:val="auto"/>
          <w:sz w:val="21"/>
          <w:szCs w:val="21"/>
        </w:rPr>
        <w:t xml:space="preserve">仪器大修保养完成后，供应商须对仪器进行全面性能测试并出具测试报告，确认各项技术指标达到出厂合格标准</w:t>
      </w:r>
      <w:r>
        <w:rPr>
          <w:rFonts w:hint="eastAsia" w:ascii="宋体" w:hAnsi="宋体" w:eastAsia="宋体" w:cs="宋体"/>
          <w:color w:val="auto"/>
          <w:sz w:val="21"/>
          <w:szCs w:val="21"/>
        </w:rPr>
        <w:t xml:space="preserve">，经采购方使用人员签字确认后归档。</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）现场巡检服务</w:t>
      </w:r>
      <w:r/>
    </w:p>
    <w:p>
      <w:pPr>
        <w:numPr>
          <w:ilvl w:val="0"/>
          <w:numId w:val="13"/>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供应商应对采购方的设备及系统运行情况进行定期现场巡检，</w:t>
      </w:r>
      <w:r>
        <w:rPr>
          <w:rStyle w:val="916"/>
          <w:rFonts w:hint="eastAsia" w:ascii="宋体" w:hAnsi="宋体" w:eastAsia="宋体" w:cs="宋体"/>
          <w:color w:val="auto"/>
          <w:sz w:val="21"/>
          <w:szCs w:val="21"/>
        </w:rPr>
        <w:t xml:space="preserve">每半年不少于一次现场巡检</w:t>
      </w:r>
      <w:r>
        <w:rPr>
          <w:rFonts w:hint="eastAsia" w:ascii="宋体" w:hAnsi="宋体" w:eastAsia="宋体" w:cs="宋体"/>
          <w:color w:val="auto"/>
          <w:sz w:val="21"/>
          <w:szCs w:val="21"/>
        </w:rPr>
        <w:t xml:space="preserve">。巡检应覆盖本项目清单内的全部仪器，不得遗漏。</w:t>
      </w:r>
      <w:r/>
    </w:p>
    <w:p>
      <w:pPr>
        <w:numPr>
          <w:ilvl w:val="0"/>
          <w:numId w:val="13"/>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巡检内容应包括：系统运行状态评估、性能指标抽查、运行稳定性分析、安全隐患排查、软件版本检查、耗材使用情况评估等。巡检中应对系统性能、运行状况、稳定程度等进行评估，并根据用户需求经确认后进行优化，维修或更换出现故障隐患的设备或部件。</w:t>
      </w:r>
      <w:r/>
    </w:p>
    <w:p>
      <w:pPr>
        <w:numPr>
          <w:ilvl w:val="0"/>
          <w:numId w:val="13"/>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每次巡检结束后，供应商须向采购方提交正式的巡检报告，报告内容应包括巡检时间、巡检仪器清单、每台仪器的运行状态评估、发现的问题及处理措施、后续改进建议等，并由双方签字确认。</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）3Q 验证服务</w:t>
      </w:r>
      <w:r/>
    </w:p>
    <w:p>
      <w:pPr>
        <w:numPr>
          <w:ilvl w:val="0"/>
          <w:numId w:val="14"/>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供应商应具备为仪器提供安装确认（IQ）、运行确认（OQ）、性能确认（PQ）即 3Q 验证的能力和资质。如采购方提出需求，供应商应能够上门完成仪器的 3Q 验证工作，相关费用可另行协商计算，但须在投标文件中给出明确的收费标准。</w:t>
      </w:r>
      <w:r/>
    </w:p>
    <w:p>
      <w:pPr>
        <w:numPr>
          <w:ilvl w:val="0"/>
          <w:numId w:val="14"/>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3Q 验证应符合药品检验检测机构的数据合规性要求和相关法规标准，验证方案、验证记录、验证报告等文件应完整规范，可追溯、可审计，满足 CMA 资质认定和 CNAS 实验室认可的相关要求。</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）检测方法开发与技术支持</w:t>
      </w:r>
      <w:r/>
    </w:p>
    <w:p>
      <w:pPr>
        <w:numPr>
          <w:ilvl w:val="0"/>
          <w:numId w:val="15"/>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如采购方提出需求，供应商应安排原厂应用工程师协助采购方进行检测方法的开发与验证，提供方法学咨询和技术指导，协助建立符合药典标准、行业规范或科研要求的稳定检测方法。</w:t>
      </w:r>
      <w:r/>
    </w:p>
    <w:p>
      <w:pPr>
        <w:numPr>
          <w:ilvl w:val="0"/>
          <w:numId w:val="15"/>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供应商应能够针对采购方的具体检验业务需求，提供仪器应用层面的深度技术支持，包括但不限于复杂样品前处理建议、色谱条件优化、质谱参数调谐、数据处理方法指导等。</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）培训服务</w:t>
      </w:r>
      <w:r/>
    </w:p>
    <w:p>
      <w:pPr>
        <w:numPr>
          <w:ilvl w:val="0"/>
          <w:numId w:val="16"/>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Style w:val="916"/>
          <w:rFonts w:hint="eastAsia" w:ascii="宋体" w:hAnsi="宋体" w:eastAsia="宋体" w:cs="宋体"/>
          <w:color w:val="auto"/>
          <w:sz w:val="21"/>
          <w:szCs w:val="21"/>
        </w:rPr>
        <w:t xml:space="preserve">如采购方提出需求，供应商须承诺提供上门技术交流、指导、定制化培训及日常操作培训等服务</w:t>
      </w:r>
      <w:r>
        <w:rPr>
          <w:rFonts w:hint="eastAsia" w:ascii="宋体" w:hAnsi="宋体" w:eastAsia="宋体" w:cs="宋体"/>
          <w:color w:val="auto"/>
          <w:sz w:val="21"/>
          <w:szCs w:val="21"/>
        </w:rPr>
        <w:t xml:space="preserve">。培训内容应涵盖仪器基本操作、日常维护保养、常见故障排查、数据处理与报告生成、安全使用规范等。</w:t>
      </w:r>
      <w:r/>
    </w:p>
    <w:p>
      <w:pPr>
        <w:numPr>
          <w:ilvl w:val="0"/>
          <w:numId w:val="16"/>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供应商应提供贯穿设备全生命周期的系统化培训，不仅培训仪器操作人员，还应注重培养具备方法学思维和问题解决能力的专业技术人员。每年应至少提供一次集中培训或技术交流活动。</w:t>
      </w:r>
      <w:r/>
    </w:p>
    <w:p>
      <w:pPr>
        <w:numPr>
          <w:ilvl w:val="0"/>
          <w:numId w:val="16"/>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培训应编制培训教材和培训记录，培训结束后应对参训人员进行考核，确保培训效果。</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）软件与固件升级服务</w:t>
      </w:r>
      <w:r/>
    </w:p>
    <w:p>
      <w:pPr>
        <w:numPr>
          <w:ilvl w:val="0"/>
          <w:numId w:val="17"/>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供应商应在服务期内同步完成仪器固件版本的强制同步和工作站软件系统的升级服务，确保仪器固件、工作站软件与硬件系统三者之间的严格兼容和版本匹配。</w:t>
      </w:r>
      <w:r/>
    </w:p>
    <w:p>
      <w:pPr>
        <w:numPr>
          <w:ilvl w:val="0"/>
          <w:numId w:val="17"/>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软件升级前应进行兼容性评估和备份，升级过程中不得导致已有数据丢失或系统崩溃；升级后应进行功能验证，确认数据采集和处理的稳定性。</w:t>
      </w:r>
      <w:r/>
    </w:p>
    <w:p>
      <w:pPr>
        <w:numPr>
          <w:ilvl w:val="0"/>
          <w:numId w:val="17"/>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供应商应及时向采购方通报原厂发布的软件补丁、固件更新和安全升级信息，并根据采购方需求协助完成升级实施。</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）服务人员与资质要求</w:t>
      </w:r>
      <w:r/>
    </w:p>
    <w:p>
      <w:pPr>
        <w:numPr>
          <w:ilvl w:val="0"/>
          <w:numId w:val="18"/>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供应商须为本项目配备充足的服务人员，</w:t>
      </w:r>
      <w:r>
        <w:rPr>
          <w:rStyle w:val="916"/>
          <w:rFonts w:hint="eastAsia" w:ascii="宋体" w:hAnsi="宋体" w:eastAsia="宋体" w:cs="宋体"/>
          <w:color w:val="auto"/>
          <w:sz w:val="21"/>
          <w:szCs w:val="21"/>
        </w:rPr>
        <w:t xml:space="preserve">包含远程支持人员、现场维修工程师、应用工程师、培训人员等；在服务期内，应保持上述服务人员的相对稳定，如确需更换应提前通知采购方并确保交接顺畅</w:t>
      </w:r>
      <w:r>
        <w:rPr>
          <w:rFonts w:hint="eastAsia" w:ascii="宋体" w:hAnsi="宋体" w:eastAsia="宋体" w:cs="宋体"/>
          <w:color w:val="auto"/>
          <w:sz w:val="21"/>
          <w:szCs w:val="21"/>
        </w:rPr>
        <w:t xml:space="preserve">。</w:t>
      </w:r>
      <w:r/>
    </w:p>
    <w:p>
      <w:pPr>
        <w:numPr>
          <w:ilvl w:val="0"/>
          <w:numId w:val="18"/>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Style w:val="916"/>
          <w:rFonts w:hint="eastAsia" w:ascii="宋体" w:hAnsi="宋体" w:eastAsia="宋体" w:cs="宋体"/>
          <w:color w:val="auto"/>
          <w:sz w:val="21"/>
          <w:szCs w:val="21"/>
        </w:rPr>
        <w:t xml:space="preserve">所有上门服务的工程师必须持有设备制造商核发的资质证书</w:t>
      </w:r>
      <w:r>
        <w:rPr>
          <w:rFonts w:hint="eastAsia" w:ascii="宋体" w:hAnsi="宋体" w:eastAsia="宋体" w:cs="宋体"/>
          <w:color w:val="auto"/>
          <w:sz w:val="21"/>
          <w:szCs w:val="21"/>
        </w:rPr>
        <w:t xml:space="preserve">，严禁无证人员上岗操作。供应商应在投标文件中列出拟投入本项目的主要工程师名单及其资质证书情况。</w:t>
      </w:r>
      <w:r/>
    </w:p>
    <w:p>
      <w:pPr>
        <w:numPr>
          <w:ilvl w:val="0"/>
          <w:numId w:val="18"/>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供应商应建立服务人员管理制度，确保服务人员遵守采购方的实验室安全管理规定、保密规定和其他规章制度。</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）服务文档与报告管理</w:t>
      </w:r>
      <w:r/>
    </w:p>
    <w:p>
      <w:pPr>
        <w:numPr>
          <w:ilvl w:val="0"/>
          <w:numId w:val="19"/>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每次维护、维修、巡检、培训等服务活动，供应商工程师均应填写服务工作报告，</w:t>
      </w:r>
      <w:r>
        <w:rPr>
          <w:rStyle w:val="916"/>
          <w:rFonts w:hint="eastAsia" w:ascii="宋体" w:hAnsi="宋体" w:eastAsia="宋体" w:cs="宋体"/>
          <w:color w:val="auto"/>
          <w:sz w:val="21"/>
          <w:szCs w:val="21"/>
        </w:rPr>
        <w:t xml:space="preserve">详细说明故障种类、故障原因、故障处理方法等信息</w:t>
      </w:r>
      <w:r>
        <w:rPr>
          <w:rFonts w:hint="eastAsia" w:ascii="宋体" w:hAnsi="宋体" w:eastAsia="宋体" w:cs="宋体"/>
          <w:color w:val="auto"/>
          <w:sz w:val="21"/>
          <w:szCs w:val="21"/>
        </w:rPr>
        <w:t xml:space="preserve">，并由采购方使用人员和科室负责人签字认可。</w:t>
      </w:r>
      <w:r/>
    </w:p>
    <w:p>
      <w:pPr>
        <w:numPr>
          <w:ilvl w:val="0"/>
          <w:numId w:val="19"/>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供应商应定期向采购方提供仪器维修维护汇总报表；</w:t>
      </w:r>
      <w:r>
        <w:rPr>
          <w:rStyle w:val="916"/>
          <w:rFonts w:hint="eastAsia" w:ascii="宋体" w:hAnsi="宋体" w:eastAsia="宋体" w:cs="宋体"/>
          <w:color w:val="auto"/>
          <w:sz w:val="21"/>
          <w:szCs w:val="21"/>
        </w:rPr>
        <w:t xml:space="preserve">合同结束后向采购方提供完整服务总结</w:t>
      </w:r>
      <w:r>
        <w:rPr>
          <w:rFonts w:hint="eastAsia" w:ascii="宋体" w:hAnsi="宋体" w:eastAsia="宋体" w:cs="宋体"/>
          <w:color w:val="auto"/>
          <w:sz w:val="21"/>
          <w:szCs w:val="21"/>
        </w:rPr>
        <w:t xml:space="preserve">。</w:t>
      </w:r>
      <w:r/>
    </w:p>
    <w:p>
      <w:pPr>
        <w:numPr>
          <w:ilvl w:val="0"/>
          <w:numId w:val="19"/>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所有服务文档和报告均应一式两份，采购方和供应商各执一份，电子文档同步归档。</w:t>
      </w:r>
      <w:r/>
    </w:p>
    <w:p>
      <w:pPr>
        <w:pStyle w:val="871"/>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）投标承诺要求</w:t>
      </w:r>
      <w:bookmarkStart w:id="190" w:name="_GoBack"/>
      <w:r/>
      <w:bookmarkEnd w:id="190"/>
      <w:r/>
      <w:r/>
    </w:p>
    <w:p>
      <w:pPr>
        <w:numPr>
          <w:ilvl w:val="0"/>
          <w:numId w:val="20"/>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投标人须对服务期内可为采购人提供的全部服务项目及具体内容做详细说明。</w:t>
      </w:r>
      <w:r/>
    </w:p>
    <w:p>
      <w:pPr>
        <w:numPr>
          <w:ilvl w:val="0"/>
          <w:numId w:val="20"/>
        </w:numPr>
        <w:ind w:left="720" w:hanging="360"/>
        <w:keepLines w:val="0"/>
        <w:keepNext w:val="0"/>
        <w:spacing w:before="0" w:beforeAutospacing="1" w:after="0" w:afterAutospacing="1" w:line="360" w:lineRule="auto"/>
        <w:widowControl/>
        <w:rPr>
          <w:rFonts w:hint="eastAsia" w:ascii="宋体" w:hAnsi="宋体" w:eastAsia="宋体" w:cs="宋体"/>
          <w:color w:val="auto"/>
          <w:sz w:val="21"/>
          <w:szCs w:val="21"/>
        </w:rPr>
        <w:suppressLineNumbers w:val="0"/>
      </w:pPr>
      <w:r>
        <w:rPr>
          <w:rStyle w:val="916"/>
          <w:rFonts w:hint="eastAsia" w:ascii="宋体" w:hAnsi="宋体" w:eastAsia="宋体" w:cs="宋体"/>
          <w:color w:val="auto"/>
          <w:sz w:val="21"/>
          <w:szCs w:val="21"/>
        </w:rPr>
        <w:t xml:space="preserve">本文件上述全部维保服务条款须写入投标人服务承诺文件，作为采购合同附件；未按要求提交完整服务承诺的，视为放弃中标权利。</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付款方式：</w:t>
      </w:r>
      <w:r>
        <w:rPr>
          <w:rFonts w:hint="eastAsia" w:ascii="宋体" w:hAnsi="宋体" w:eastAsia="宋体" w:cs="宋体"/>
          <w:color w:val="auto"/>
          <w:sz w:val="21"/>
          <w:szCs w:val="21"/>
        </w:rPr>
        <w:t xml:space="preserve">第一次付款：自合同签订之日起，收到发票后一周内，采购人支付合同价款的90%；第二次付款：202</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年9月30日前，采购人向成交供应商无息支付剩余10%合同价款。 </w:t>
      </w:r>
      <w:r/>
    </w:p>
    <w:p>
      <w:pPr>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若</w:t>
      </w:r>
      <w:r>
        <w:rPr>
          <w:rFonts w:hint="eastAsia" w:ascii="宋体" w:hAnsi="宋体" w:eastAsia="宋体" w:cs="宋体"/>
          <w:b/>
          <w:bCs/>
          <w:color w:val="auto"/>
          <w:sz w:val="21"/>
          <w:szCs w:val="21"/>
          <w:lang w:eastAsia="zh-CN"/>
        </w:rPr>
        <w:t xml:space="preserve">提供的服务</w:t>
      </w:r>
      <w:r>
        <w:rPr>
          <w:rFonts w:hint="eastAsia" w:ascii="宋体" w:hAnsi="宋体" w:eastAsia="宋体" w:cs="宋体"/>
          <w:b/>
          <w:bCs/>
          <w:color w:val="auto"/>
          <w:sz w:val="21"/>
          <w:szCs w:val="21"/>
        </w:rPr>
        <w:t xml:space="preserve">存在质量问题，则不受该付款条件约束，应按照本合条款其他要求以及合同法有关规定执行。</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rPr>
        <w:suppressLineNumbers w:val="0"/>
      </w:pPr>
      <w:r>
        <w:rPr>
          <w:rFonts w:hint="eastAsia" w:ascii="宋体" w:hAnsi="宋体" w:eastAsia="宋体" w:cs="宋体"/>
          <w:b/>
          <w:color w:val="auto"/>
          <w:sz w:val="21"/>
          <w:szCs w:val="21"/>
        </w:rPr>
        <w:br/>
      </w:r>
      <w:r>
        <w:rPr>
          <w:rFonts w:hint="eastAsia" w:ascii="宋体" w:hAnsi="宋体" w:eastAsia="宋体" w:cs="宋体"/>
          <w:b/>
          <w:bCs/>
          <w:color w:val="auto"/>
          <w:sz w:val="21"/>
          <w:szCs w:val="21"/>
          <w:lang w:val="en-US" w:eastAsia="zh-CN" w:bidi="ar"/>
        </w:rPr>
        <w:t xml:space="preserve">三、服务期及服务地点：</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1.合同履行期限（服务期）：</w:t>
      </w:r>
      <w:r>
        <w:rPr>
          <w:rFonts w:hint="eastAsia" w:ascii="宋体" w:hAnsi="宋体" w:eastAsia="宋体" w:cs="宋体"/>
          <w:b/>
          <w:bCs/>
          <w:color w:val="auto"/>
          <w:sz w:val="21"/>
          <w:szCs w:val="21"/>
          <w:u w:val="single"/>
          <w:lang w:val="en-US" w:eastAsia="zh-CN" w:bidi="ar"/>
        </w:rPr>
        <w:t xml:space="preserve">详见本章项目简要说明中要求</w:t>
      </w:r>
      <w:r>
        <w:rPr>
          <w:rFonts w:hint="eastAsia" w:ascii="宋体" w:hAnsi="宋体" w:eastAsia="宋体" w:cs="宋体"/>
          <w:b/>
          <w:bCs/>
          <w:color w:val="auto"/>
          <w:sz w:val="21"/>
          <w:szCs w:val="21"/>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2.服务地点：江苏省食品药品监督检验研究院指定地点。</w:t>
      </w:r>
      <w:r/>
    </w:p>
    <w:tbl>
      <w:tblPr>
        <w:tblStyle w:val="880"/>
        <w:tblW w:w="94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1645"/>
        <w:gridCol w:w="2031"/>
        <w:gridCol w:w="1583"/>
        <w:gridCol w:w="1394"/>
        <w:gridCol w:w="1701"/>
      </w:tblGrid>
      <w:tr>
        <w:trPr>
          <w:trHeight w:val="623"/>
        </w:trPr>
        <w:tc>
          <w:tcPr>
            <w:shd w:val="clear" w:color="33cccc"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33cccc"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仪器编号</w:t>
            </w:r>
            <w:r/>
          </w:p>
        </w:tc>
        <w:tc>
          <w:tcPr>
            <w:shd w:val="clear" w:color="33cccc"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仪器名称</w:t>
            </w:r>
            <w:r/>
          </w:p>
        </w:tc>
        <w:tc>
          <w:tcPr>
            <w:shd w:val="clear" w:color="33cccc"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生产厂家</w:t>
            </w:r>
            <w:r/>
          </w:p>
        </w:tc>
        <w:tc>
          <w:tcPr>
            <w:shd w:val="clear" w:color="33cccc"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仪器规格</w:t>
            </w:r>
            <w:r/>
          </w:p>
        </w:tc>
        <w:tc>
          <w:tcPr>
            <w:shd w:val="clear" w:color="33cccc"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所在科室</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LCMS2204216</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串联四级杆液质联用仪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1290-6470B</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HPLC2306616</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检验技术研究室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HPLC2205699</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LCMS2009711</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高效液相色谱飞行时间质谱联用仪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1290II-6546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GCMS1912750P</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气质联用仪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质谱检测器7000D</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中药检验室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HPLC2205700</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HPLC2306326</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1290 Bio</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HPLC150714A</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Agilent 1260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HPLC190402A</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Ⅱ</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GCMS1912750</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气质联用仪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8890-7010B</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化妆品检验室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HPLC2205703</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HPLC2306333</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1290 Bio</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HPLC2204612</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Bio</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HPLC190402B</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Ⅱ</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HPLC101214D</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Agilent 1260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HPLC101214C</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Agilent 1260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检验技术研究室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HPLC2301227</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HPLC150714C</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Agilent 1260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HPLC150714D</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Agilent 1260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HPLC2208337</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HPLC2206680</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HPLC2006729</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1290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HPLC2008524</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 Prime</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HPLC2306659</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检验技术研究室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HPLC2205620</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Bio</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HPLC190402E</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Ⅱ</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HPLC2205698</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HPLC2203172</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Ⅱ</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HPLC2204629</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Bio</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ICPMS110223A</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电感耦合等离子体质谱仪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Agilent 7700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化妆品检验室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HPLC101214A</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Agilent 1260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HPLC2301147</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Prime Bio</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HPLC160527A</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Agilent 1260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生物技术药品检验室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HPLC2205697</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Infinity II</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HPLC2203155</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安捷伦公司Agilent</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1260 Ⅱ</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化学药品检验一室</w:t>
            </w:r>
            <w:r/>
          </w:p>
        </w:tc>
      </w:tr>
    </w:tbl>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cs="宋体"/>
          <w:highlight w:val="none"/>
        </w:rPr>
      </w:pPr>
      <w:r>
        <w:rPr>
          <w:rFonts w:hint="eastAsia" w:ascii="宋体" w:hAnsi="宋体" w:cs="宋体"/>
          <w:highlight w:val="none"/>
        </w:rPr>
        <w:br w:type="page" w:clear="all"/>
      </w:r>
      <w:r/>
    </w:p>
    <w:p>
      <w:pPr>
        <w:pStyle w:val="911"/>
        <w:rPr>
          <w:rFonts w:hint="eastAsia" w:ascii="宋体" w:hAnsi="宋体" w:cs="宋体"/>
          <w:highlight w:val="none"/>
        </w:rPr>
      </w:pPr>
      <w:r/>
      <w:bookmarkStart w:id="77" w:name="_Toc1220"/>
      <w:r>
        <w:rPr>
          <w:rFonts w:hint="eastAsia" w:ascii="宋体" w:hAnsi="宋体" w:cs="宋体"/>
          <w:highlight w:val="none"/>
        </w:rPr>
        <w:t xml:space="preserve">第五章 </w:t>
      </w:r>
      <w:bookmarkEnd w:id="75"/>
      <w:r/>
      <w:bookmarkEnd w:id="76"/>
      <w:r>
        <w:rPr>
          <w:rFonts w:hint="eastAsia" w:ascii="宋体" w:hAnsi="宋体" w:cs="宋体"/>
          <w:highlight w:val="none"/>
        </w:rPr>
        <w:t xml:space="preserve">响应文件组成</w:t>
      </w:r>
      <w:bookmarkEnd w:id="77"/>
      <w:r/>
      <w:r/>
    </w:p>
    <w:p>
      <w:pPr>
        <w:spacing w:line="360" w:lineRule="auto"/>
        <w:rPr>
          <w:rFonts w:hint="eastAsia" w:ascii="宋体" w:hAnsi="宋体" w:cs="宋体"/>
          <w:b/>
          <w:bCs/>
          <w:highlight w:val="none"/>
        </w:rPr>
      </w:pPr>
      <w:r>
        <w:rPr>
          <w:rFonts w:hint="eastAsia" w:ascii="宋体" w:hAnsi="宋体" w:cs="宋体"/>
          <w:b/>
          <w:bCs/>
          <w:highlight w:val="none"/>
        </w:rPr>
        <w:t xml:space="preserve">注：请供应商按照以下文件的要求格式、内容，顺序制作响应文件，并请编制目录及页码，否则可能将影响对响应文件的评价。</w:t>
      </w:r>
      <w:r/>
    </w:p>
    <w:p>
      <w:pPr>
        <w:pStyle w:val="1117"/>
        <w:ind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before="100" w:after="100" w:line="360" w:lineRule="auto"/>
        <w:rPr>
          <w:rFonts w:hint="eastAsia" w:ascii="宋体" w:hAnsi="宋体" w:cs="宋体"/>
          <w:sz w:val="24"/>
          <w:highlight w:val="none"/>
        </w:rPr>
      </w:pPr>
      <w:r/>
      <w:bookmarkStart w:id="78" w:name="_Toc96347900"/>
      <w:r>
        <w:rPr>
          <w:rFonts w:hint="eastAsia" w:ascii="宋体" w:hAnsi="宋体" w:cs="宋体"/>
          <w:sz w:val="24"/>
          <w:highlight w:val="none"/>
        </w:rPr>
        <w:br w:type="page" w:clear="all"/>
      </w:r>
      <w:r>
        <w:rPr>
          <w:rFonts w:hint="eastAsia" w:ascii="宋体" w:hAnsi="宋体" w:cs="宋体"/>
          <w:b/>
          <w:sz w:val="40"/>
          <w:szCs w:val="60"/>
          <w:highlight w:val="none"/>
        </w:rPr>
        <w:t xml:space="preserve">附件</w:t>
      </w:r>
      <w:r/>
    </w:p>
    <w:p>
      <w:pPr>
        <w:pStyle w:val="894"/>
        <w:jc w:val="center"/>
        <w:spacing w:line="360" w:lineRule="auto"/>
        <w:rPr>
          <w:rFonts w:hint="eastAsia" w:hAnsi="宋体" w:cs="宋体"/>
          <w:b/>
          <w:sz w:val="52"/>
          <w:szCs w:val="52"/>
          <w:highlight w:val="none"/>
        </w:rPr>
      </w:pPr>
      <w:r>
        <w:rPr>
          <w:rFonts w:hint="eastAsia" w:hAnsi="宋体" w:cs="宋体"/>
          <w:b/>
          <w:sz w:val="52"/>
          <w:szCs w:val="52"/>
          <w:highlight w:val="none"/>
        </w:rPr>
      </w:r>
      <w:r/>
    </w:p>
    <w:p>
      <w:pPr>
        <w:pStyle w:val="894"/>
        <w:jc w:val="center"/>
        <w:spacing w:line="360" w:lineRule="auto"/>
        <w:rPr>
          <w:rFonts w:hint="eastAsia" w:hAnsi="宋体" w:cs="宋体"/>
          <w:b/>
          <w:sz w:val="52"/>
          <w:szCs w:val="52"/>
          <w:highlight w:val="none"/>
        </w:rPr>
      </w:pPr>
      <w:r>
        <w:rPr>
          <w:rFonts w:hint="eastAsia" w:hAnsi="宋体" w:cs="宋体"/>
          <w:b/>
          <w:sz w:val="52"/>
          <w:szCs w:val="52"/>
          <w:highlight w:val="none"/>
        </w:rPr>
      </w:r>
      <w:r/>
    </w:p>
    <w:p>
      <w:pPr>
        <w:pStyle w:val="894"/>
        <w:jc w:val="center"/>
        <w:spacing w:line="360" w:lineRule="auto"/>
        <w:rPr>
          <w:rFonts w:hint="eastAsia" w:hAnsi="宋体" w:cs="宋体"/>
          <w:b/>
          <w:sz w:val="52"/>
          <w:szCs w:val="52"/>
          <w:highlight w:val="none"/>
          <w:lang w:eastAsia="zh-CN"/>
        </w:rPr>
      </w:pPr>
      <w:r/>
      <w:bookmarkStart w:id="79" w:name="_Toc100905255"/>
      <w:r>
        <w:rPr>
          <w:rFonts w:hint="eastAsia" w:hAnsi="宋体" w:cs="宋体"/>
          <w:b/>
          <w:sz w:val="52"/>
          <w:szCs w:val="52"/>
          <w:highlight w:val="none"/>
          <w:lang w:eastAsia="zh-CN"/>
        </w:rPr>
        <w:t xml:space="preserve">2026年高效液相色谱仪飞行时间质谱联用仪等35台大型仪器运维服务采购</w:t>
      </w:r>
      <w:r/>
    </w:p>
    <w:p>
      <w:pPr>
        <w:pStyle w:val="894"/>
        <w:jc w:val="center"/>
        <w:spacing w:line="360" w:lineRule="auto"/>
        <w:rPr>
          <w:rFonts w:hint="eastAsia" w:hAnsi="宋体" w:cs="宋体"/>
          <w:b/>
          <w:sz w:val="84"/>
          <w:szCs w:val="84"/>
          <w:highlight w:val="none"/>
        </w:rPr>
      </w:pPr>
      <w:r>
        <w:rPr>
          <w:rFonts w:hint="eastAsia" w:hAnsi="宋体" w:cs="宋体"/>
          <w:b/>
          <w:sz w:val="84"/>
          <w:szCs w:val="84"/>
          <w:highlight w:val="none"/>
        </w:rPr>
        <w:t xml:space="preserve">单一来源采购</w:t>
      </w:r>
      <w:r/>
    </w:p>
    <w:p>
      <w:pPr>
        <w:pStyle w:val="894"/>
        <w:jc w:val="center"/>
        <w:spacing w:line="360" w:lineRule="auto"/>
        <w:rPr>
          <w:rFonts w:hint="eastAsia" w:hAnsi="宋体" w:cs="宋体"/>
          <w:b/>
          <w:sz w:val="84"/>
          <w:szCs w:val="84"/>
          <w:highlight w:val="none"/>
        </w:rPr>
      </w:pPr>
      <w:r>
        <w:rPr>
          <w:rFonts w:hint="eastAsia" w:hAnsi="宋体" w:cs="宋体"/>
          <w:b/>
          <w:sz w:val="84"/>
          <w:szCs w:val="84"/>
          <w:highlight w:val="none"/>
        </w:rPr>
        <w:t xml:space="preserve">响应文件</w:t>
      </w:r>
      <w:bookmarkEnd w:id="79"/>
      <w:r/>
      <w:r/>
    </w:p>
    <w:p>
      <w:pPr>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360" w:lineRule="auto"/>
        <w:tabs>
          <w:tab w:val="left" w:pos="9240" w:leader="none"/>
        </w:tabs>
        <w:rPr>
          <w:rFonts w:hint="eastAsia" w:ascii="宋体" w:hAnsi="宋体" w:cs="宋体"/>
          <w:b/>
          <w:sz w:val="44"/>
          <w:szCs w:val="44"/>
          <w:highlight w:val="none"/>
        </w:rPr>
      </w:pPr>
      <w:r>
        <w:rPr>
          <w:rFonts w:hint="eastAsia" w:ascii="宋体" w:hAnsi="宋体" w:cs="宋体"/>
          <w:b/>
          <w:sz w:val="44"/>
          <w:szCs w:val="44"/>
          <w:highlight w:val="none"/>
        </w:rPr>
        <w:t xml:space="preserve">项目编号：</w:t>
      </w:r>
      <w:r>
        <w:rPr>
          <w:rFonts w:hint="eastAsia" w:ascii="宋体" w:hAnsi="宋体" w:cs="宋体"/>
          <w:b/>
          <w:sz w:val="44"/>
          <w:szCs w:val="44"/>
          <w:highlight w:val="none"/>
          <w:lang w:eastAsia="zh-CN"/>
        </w:rPr>
        <w:t xml:space="preserve">JSZC-320000-JITC-D2026-0327</w:t>
      </w:r>
      <w:r>
        <w:rPr>
          <w:rFonts w:hint="eastAsia" w:ascii="宋体" w:hAnsi="宋体" w:cs="宋体"/>
          <w:b/>
          <w:sz w:val="44"/>
          <w:szCs w:val="44"/>
          <w:highlight w:val="none"/>
        </w:rPr>
        <w:t xml:space="preserve"> </w:t>
      </w:r>
      <w:r/>
    </w:p>
    <w:p>
      <w:pPr>
        <w:pStyle w:val="894"/>
        <w:rPr>
          <w:rFonts w:hint="eastAsia" w:hAnsi="宋体" w:cs="宋体"/>
          <w:sz w:val="28"/>
          <w:szCs w:val="28"/>
          <w:highlight w:val="none"/>
        </w:rPr>
      </w:pPr>
      <w:r>
        <w:rPr>
          <w:rFonts w:hint="eastAsia" w:hAnsi="宋体" w:cs="宋体"/>
          <w:sz w:val="28"/>
          <w:szCs w:val="28"/>
          <w:highlight w:val="none"/>
        </w:rPr>
      </w:r>
      <w:r/>
    </w:p>
    <w:p>
      <w:pPr>
        <w:pStyle w:val="894"/>
        <w:rPr>
          <w:rFonts w:hint="eastAsia" w:hAnsi="宋体" w:cs="宋体"/>
          <w:sz w:val="28"/>
          <w:szCs w:val="28"/>
          <w:highlight w:val="none"/>
        </w:rPr>
      </w:pPr>
      <w:r>
        <w:rPr>
          <w:rFonts w:hint="eastAsia" w:hAnsi="宋体" w:cs="宋体"/>
          <w:sz w:val="28"/>
          <w:szCs w:val="28"/>
          <w:highlight w:val="none"/>
        </w:rPr>
      </w:r>
      <w:r/>
    </w:p>
    <w:p>
      <w:pPr>
        <w:pStyle w:val="894"/>
        <w:rPr>
          <w:rFonts w:hint="eastAsia" w:hAnsi="宋体" w:cs="宋体"/>
          <w:sz w:val="28"/>
          <w:szCs w:val="28"/>
          <w:highlight w:val="none"/>
        </w:rPr>
      </w:pPr>
      <w:r>
        <w:rPr>
          <w:rFonts w:hint="eastAsia" w:hAnsi="宋体" w:cs="宋体"/>
          <w:sz w:val="28"/>
          <w:szCs w:val="28"/>
          <w:highlight w:val="none"/>
        </w:rPr>
      </w:r>
      <w:r/>
    </w:p>
    <w:p>
      <w:pPr>
        <w:pStyle w:val="894"/>
        <w:rPr>
          <w:rFonts w:hint="eastAsia" w:hAnsi="宋体" w:cs="宋体"/>
          <w:sz w:val="28"/>
          <w:szCs w:val="28"/>
          <w:highlight w:val="none"/>
        </w:rPr>
      </w:pPr>
      <w:r>
        <w:rPr>
          <w:rFonts w:hint="eastAsia" w:hAnsi="宋体" w:cs="宋体"/>
          <w:sz w:val="28"/>
          <w:szCs w:val="28"/>
          <w:highlight w:val="none"/>
        </w:rPr>
      </w:r>
      <w:r/>
    </w:p>
    <w:p>
      <w:pPr>
        <w:pStyle w:val="894"/>
        <w:jc w:val="center"/>
        <w:rPr>
          <w:rFonts w:hint="eastAsia" w:hAnsi="宋体" w:cs="宋体"/>
          <w:b/>
          <w:sz w:val="32"/>
          <w:szCs w:val="32"/>
          <w:highlight w:val="none"/>
        </w:rPr>
      </w:pPr>
      <w:r>
        <w:rPr>
          <w:rFonts w:hint="eastAsia" w:hAnsi="宋体" w:cs="宋体"/>
          <w:b/>
          <w:sz w:val="32"/>
          <w:szCs w:val="24"/>
          <w:highlight w:val="none"/>
        </w:rPr>
        <w:t xml:space="preserve">供应商名称：</w:t>
      </w:r>
      <w:r>
        <w:rPr>
          <w:rFonts w:hint="eastAsia" w:hAnsi="宋体" w:cs="宋体"/>
          <w:b/>
          <w:sz w:val="32"/>
          <w:szCs w:val="32"/>
          <w:highlight w:val="none"/>
        </w:rPr>
        <w:t xml:space="preserve">_____________________</w:t>
      </w:r>
      <w:r/>
    </w:p>
    <w:p>
      <w:pPr>
        <w:pStyle w:val="894"/>
        <w:jc w:val="center"/>
        <w:rPr>
          <w:rFonts w:hint="eastAsia" w:hAnsi="宋体" w:cs="宋体"/>
          <w:b/>
          <w:sz w:val="32"/>
          <w:szCs w:val="32"/>
          <w:highlight w:val="none"/>
          <w:u w:val="single"/>
        </w:rPr>
      </w:pPr>
      <w:r>
        <w:rPr>
          <w:rFonts w:hint="eastAsia" w:hAnsi="宋体" w:cs="宋体"/>
          <w:b/>
          <w:sz w:val="32"/>
          <w:szCs w:val="32"/>
          <w:highlight w:val="none"/>
        </w:rPr>
        <w:t xml:space="preserve">地址：_____________________</w:t>
      </w:r>
      <w:r/>
    </w:p>
    <w:p>
      <w:pPr>
        <w:pStyle w:val="894"/>
        <w:jc w:val="center"/>
        <w:rPr>
          <w:rFonts w:hint="eastAsia" w:hAnsi="宋体" w:cs="宋体"/>
          <w:b/>
          <w:sz w:val="32"/>
          <w:szCs w:val="32"/>
          <w:highlight w:val="none"/>
        </w:rPr>
      </w:pPr>
      <w:r>
        <w:rPr>
          <w:rFonts w:hint="eastAsia" w:hAnsi="宋体" w:cs="宋体"/>
          <w:b/>
          <w:sz w:val="32"/>
          <w:szCs w:val="32"/>
          <w:highlight w:val="none"/>
        </w:rPr>
        <w:t xml:space="preserve">联系人及联系方式：_____________________</w:t>
      </w:r>
      <w:r/>
    </w:p>
    <w:p>
      <w:pPr>
        <w:jc w:val="center"/>
        <w:rPr>
          <w:rFonts w:hint="eastAsia" w:ascii="宋体" w:hAnsi="宋体" w:cs="宋体"/>
          <w:b/>
          <w:sz w:val="28"/>
          <w:highlight w:val="none"/>
        </w:rPr>
      </w:pPr>
      <w:r>
        <w:rPr>
          <w:rFonts w:hint="eastAsia" w:ascii="宋体" w:hAnsi="宋体" w:cs="宋体"/>
          <w:b/>
          <w:sz w:val="32"/>
          <w:highlight w:val="none"/>
        </w:rPr>
        <w:t xml:space="preserve">二O   年  月  日</w:t>
      </w:r>
      <w:r>
        <w:rPr>
          <w:rFonts w:hint="eastAsia" w:ascii="宋体" w:hAnsi="宋体" w:cs="宋体"/>
          <w:b/>
          <w:highlight w:val="none"/>
        </w:rPr>
        <w:br w:type="page" w:clear="all"/>
      </w:r>
      <w:r>
        <w:rPr>
          <w:rFonts w:hint="eastAsia" w:ascii="宋体" w:hAnsi="宋体" w:cs="宋体"/>
          <w:b/>
          <w:sz w:val="32"/>
          <w:highlight w:val="none"/>
        </w:rPr>
        <w:t xml:space="preserve">目录</w:t>
      </w:r>
      <w:r/>
    </w:p>
    <w:p>
      <w:pPr>
        <w:pStyle w:val="1089"/>
        <w:spacing w:before="156" w:line="276" w:lineRule="auto"/>
        <w:rPr>
          <w:rFonts w:hint="eastAsia" w:hAnsi="宋体" w:cs="宋体"/>
          <w:highlight w:val="none"/>
        </w:rPr>
      </w:pPr>
      <w:r>
        <w:rPr>
          <w:rFonts w:hint="eastAsia" w:hAnsi="宋体" w:cs="宋体"/>
          <w:highlight w:val="none"/>
        </w:rPr>
        <w:t xml:space="preserve">一、报价文件</w:t>
      </w:r>
      <w:r/>
    </w:p>
    <w:p>
      <w:pPr>
        <w:pStyle w:val="1089"/>
        <w:spacing w:before="156" w:line="276" w:lineRule="auto"/>
        <w:rPr>
          <w:rFonts w:hint="eastAsia" w:hAnsi="宋体" w:cs="宋体"/>
          <w:highlight w:val="none"/>
        </w:rPr>
      </w:pPr>
      <w:r>
        <w:rPr>
          <w:rFonts w:hint="eastAsia" w:hAnsi="宋体" w:cs="宋体"/>
          <w:highlight w:val="none"/>
        </w:rPr>
        <w:t xml:space="preserve">（1）响应函</w:t>
      </w:r>
      <w:r/>
    </w:p>
    <w:p>
      <w:pPr>
        <w:pStyle w:val="1089"/>
        <w:spacing w:before="156" w:line="276" w:lineRule="auto"/>
        <w:rPr>
          <w:rFonts w:hint="eastAsia" w:hAnsi="宋体" w:cs="宋体"/>
          <w:highlight w:val="none"/>
        </w:rPr>
      </w:pPr>
      <w:r>
        <w:rPr>
          <w:rFonts w:hint="eastAsia" w:hAnsi="宋体" w:cs="宋体"/>
          <w:highlight w:val="none"/>
        </w:rPr>
        <w:t xml:space="preserve">（2）报价一览表</w:t>
      </w:r>
      <w:r/>
    </w:p>
    <w:p>
      <w:pPr>
        <w:pStyle w:val="1089"/>
        <w:spacing w:before="156" w:line="276" w:lineRule="auto"/>
        <w:rPr>
          <w:rFonts w:hint="eastAsia" w:hAnsi="宋体" w:cs="宋体"/>
          <w:highlight w:val="none"/>
        </w:rPr>
      </w:pPr>
      <w:r>
        <w:rPr>
          <w:rFonts w:hint="eastAsia" w:hAnsi="宋体" w:cs="宋体"/>
          <w:highlight w:val="none"/>
        </w:rPr>
        <w:t xml:space="preserve">（3）分项报价表</w:t>
      </w:r>
      <w:r/>
    </w:p>
    <w:p>
      <w:pPr>
        <w:spacing w:before="156" w:line="276" w:lineRule="auto"/>
        <w:rPr>
          <w:rFonts w:hint="eastAsia" w:ascii="宋体" w:hAnsi="宋体" w:cs="宋体"/>
          <w:szCs w:val="21"/>
          <w:highlight w:val="none"/>
        </w:rPr>
      </w:pPr>
      <w:r>
        <w:rPr>
          <w:rFonts w:hint="eastAsia" w:ascii="宋体" w:hAnsi="宋体" w:cs="宋体"/>
          <w:szCs w:val="21"/>
          <w:highlight w:val="none"/>
        </w:rPr>
        <w:t xml:space="preserve">二、资格证明文件</w:t>
      </w:r>
      <w:r/>
    </w:p>
    <w:p>
      <w:pPr>
        <w:pStyle w:val="1089"/>
        <w:spacing w:before="156" w:line="276" w:lineRule="auto"/>
        <w:rPr>
          <w:rFonts w:hint="eastAsia" w:hAnsi="宋体" w:cs="宋体"/>
          <w:highlight w:val="none"/>
        </w:rPr>
      </w:pPr>
      <w:r>
        <w:rPr>
          <w:rFonts w:hint="eastAsia" w:hAnsi="宋体" w:cs="宋体"/>
          <w:highlight w:val="none"/>
        </w:rPr>
        <w:t xml:space="preserve">（1）法定代表人（单位负责人）营业执照复印件、工商变更登记文件（如需）</w:t>
      </w:r>
      <w:r/>
    </w:p>
    <w:p>
      <w:pPr>
        <w:pStyle w:val="1089"/>
        <w:spacing w:before="156" w:line="276" w:lineRule="auto"/>
        <w:rPr>
          <w:rFonts w:hint="eastAsia" w:hAnsi="宋体" w:cs="宋体"/>
          <w:highlight w:val="none"/>
        </w:rPr>
      </w:pPr>
      <w:r>
        <w:rPr>
          <w:rFonts w:hint="eastAsia" w:hAnsi="宋体" w:cs="宋体"/>
          <w:highlight w:val="none"/>
        </w:rPr>
        <w:t xml:space="preserve">（2）财务报表</w:t>
      </w:r>
      <w:r/>
    </w:p>
    <w:p>
      <w:pPr>
        <w:pStyle w:val="1089"/>
        <w:spacing w:before="156" w:line="276" w:lineRule="auto"/>
        <w:rPr>
          <w:rFonts w:hint="eastAsia" w:hAnsi="宋体" w:cs="宋体"/>
          <w:highlight w:val="none"/>
        </w:rPr>
      </w:pPr>
      <w:r>
        <w:rPr>
          <w:rFonts w:hint="eastAsia" w:hAnsi="宋体" w:cs="宋体"/>
          <w:highlight w:val="none"/>
        </w:rPr>
        <w:t xml:space="preserve">（3）具有履行合同所必需的设备和专业技术能力的相关证明材料或承诺函</w:t>
      </w:r>
      <w:r/>
    </w:p>
    <w:p>
      <w:pPr>
        <w:pStyle w:val="1089"/>
        <w:spacing w:before="156" w:line="276" w:lineRule="auto"/>
        <w:rPr>
          <w:rFonts w:hint="eastAsia" w:hAnsi="宋体" w:cs="宋体"/>
          <w:highlight w:val="none"/>
        </w:rPr>
      </w:pPr>
      <w:r>
        <w:rPr>
          <w:rFonts w:hint="eastAsia" w:hAnsi="宋体" w:cs="宋体"/>
          <w:highlight w:val="none"/>
        </w:rPr>
        <w:t xml:space="preserve">（4）依法缴纳税收的相关材料</w:t>
      </w:r>
      <w:r/>
    </w:p>
    <w:p>
      <w:pPr>
        <w:pStyle w:val="1089"/>
        <w:spacing w:before="156" w:line="276" w:lineRule="auto"/>
        <w:rPr>
          <w:rFonts w:hint="eastAsia" w:hAnsi="宋体" w:cs="宋体"/>
          <w:highlight w:val="none"/>
        </w:rPr>
      </w:pPr>
      <w:r>
        <w:rPr>
          <w:rFonts w:hint="eastAsia" w:hAnsi="宋体" w:cs="宋体"/>
          <w:highlight w:val="none"/>
        </w:rPr>
        <w:t xml:space="preserve">（5）依法缴纳社会保障资金的相关材料</w:t>
      </w:r>
      <w:r/>
    </w:p>
    <w:p>
      <w:pPr>
        <w:pStyle w:val="1089"/>
        <w:spacing w:before="156" w:line="276" w:lineRule="auto"/>
        <w:rPr>
          <w:rFonts w:hint="eastAsia" w:hAnsi="宋体" w:cs="宋体"/>
          <w:highlight w:val="none"/>
        </w:rPr>
      </w:pPr>
      <w:r>
        <w:rPr>
          <w:rFonts w:hint="eastAsia" w:hAnsi="宋体" w:cs="宋体"/>
          <w:highlight w:val="none"/>
        </w:rPr>
        <w:t xml:space="preserve">（6）没有重大违法记录的书面声明</w:t>
      </w:r>
      <w:r/>
    </w:p>
    <w:p>
      <w:pPr>
        <w:pStyle w:val="1089"/>
        <w:spacing w:before="156" w:line="276" w:lineRule="auto"/>
        <w:rPr>
          <w:rFonts w:hint="eastAsia" w:hAnsi="宋体" w:cs="宋体"/>
          <w:highlight w:val="none"/>
        </w:rPr>
      </w:pPr>
      <w:r>
        <w:rPr>
          <w:rFonts w:hint="eastAsia" w:hAnsi="宋体" w:cs="宋体"/>
          <w:highlight w:val="none"/>
        </w:rPr>
        <w:t xml:space="preserve">（7）其它必要资格证明文件</w:t>
      </w:r>
      <w:r/>
    </w:p>
    <w:p>
      <w:pPr>
        <w:pStyle w:val="1089"/>
        <w:spacing w:before="156" w:line="276" w:lineRule="auto"/>
        <w:rPr>
          <w:rFonts w:hint="eastAsia" w:hAnsi="宋体" w:cs="宋体"/>
          <w:highlight w:val="none"/>
        </w:rPr>
      </w:pPr>
      <w:r>
        <w:rPr>
          <w:rFonts w:hint="eastAsia" w:hAnsi="宋体" w:cs="宋体"/>
          <w:highlight w:val="none"/>
        </w:rPr>
        <w:t xml:space="preserve">三、相关文件</w:t>
      </w:r>
      <w:r/>
    </w:p>
    <w:p>
      <w:pPr>
        <w:pStyle w:val="1089"/>
        <w:spacing w:before="156" w:line="276" w:lineRule="auto"/>
        <w:rPr>
          <w:rFonts w:hint="eastAsia" w:hAnsi="宋体" w:cs="宋体"/>
          <w:highlight w:val="none"/>
        </w:rPr>
      </w:pPr>
      <w:r>
        <w:rPr>
          <w:rFonts w:hint="eastAsia" w:hAnsi="宋体" w:cs="宋体"/>
          <w:highlight w:val="none"/>
        </w:rPr>
        <w:t xml:space="preserve">（1）法定代表人（单位负责人）身份证明、法定代表人授权书</w:t>
      </w:r>
      <w:r/>
    </w:p>
    <w:p>
      <w:pPr>
        <w:pStyle w:val="1089"/>
        <w:spacing w:before="156" w:line="276" w:lineRule="auto"/>
        <w:rPr>
          <w:rFonts w:hint="eastAsia" w:hAnsi="宋体" w:cs="宋体"/>
          <w:highlight w:val="none"/>
        </w:rPr>
      </w:pPr>
      <w:r>
        <w:rPr>
          <w:rFonts w:hint="eastAsia" w:hAnsi="宋体" w:cs="宋体"/>
          <w:highlight w:val="none"/>
        </w:rPr>
        <w:t xml:space="preserve">（2）公章授权书（如需）</w:t>
      </w:r>
      <w:r/>
    </w:p>
    <w:p>
      <w:pPr>
        <w:pStyle w:val="1089"/>
        <w:spacing w:before="156" w:line="276" w:lineRule="auto"/>
        <w:rPr>
          <w:rFonts w:hint="eastAsia" w:hAnsi="宋体" w:cs="宋体"/>
          <w:highlight w:val="none"/>
        </w:rPr>
      </w:pPr>
      <w:r>
        <w:rPr>
          <w:rFonts w:hint="eastAsia" w:hAnsi="宋体" w:cs="宋体"/>
          <w:highlight w:val="none"/>
        </w:rPr>
        <w:t xml:space="preserve">（3）相关资质证书（如需）</w:t>
      </w:r>
      <w:r/>
    </w:p>
    <w:p>
      <w:pPr>
        <w:pStyle w:val="1089"/>
        <w:spacing w:before="156" w:line="276" w:lineRule="auto"/>
        <w:rPr>
          <w:rFonts w:hint="eastAsia" w:hAnsi="宋体" w:cs="宋体"/>
          <w:highlight w:val="none"/>
        </w:rPr>
      </w:pPr>
      <w:r>
        <w:rPr>
          <w:rFonts w:hint="eastAsia" w:hAnsi="宋体" w:cs="宋体"/>
          <w:highlight w:val="none"/>
        </w:rPr>
        <w:t xml:space="preserve">（4）联合体协议书（如需）</w:t>
      </w:r>
      <w:r/>
    </w:p>
    <w:p>
      <w:pPr>
        <w:pStyle w:val="1089"/>
        <w:spacing w:before="156" w:line="276" w:lineRule="auto"/>
        <w:rPr>
          <w:rFonts w:hint="eastAsia" w:hAnsi="宋体" w:cs="宋体"/>
          <w:highlight w:val="none"/>
        </w:rPr>
      </w:pPr>
      <w:r>
        <w:rPr>
          <w:rFonts w:hint="eastAsia" w:hAnsi="宋体" w:cs="宋体"/>
          <w:highlight w:val="none"/>
        </w:rPr>
        <w:t xml:space="preserve">（5）协商保证金（如需）</w:t>
      </w:r>
      <w:r/>
    </w:p>
    <w:p>
      <w:pPr>
        <w:pStyle w:val="1089"/>
        <w:spacing w:before="156" w:line="276" w:lineRule="auto"/>
        <w:rPr>
          <w:rFonts w:hint="eastAsia" w:hAnsi="宋体" w:cs="宋体"/>
          <w:highlight w:val="none"/>
        </w:rPr>
      </w:pPr>
      <w:r>
        <w:rPr>
          <w:rFonts w:hint="eastAsia" w:hAnsi="宋体" w:cs="宋体"/>
          <w:highlight w:val="none"/>
        </w:rPr>
        <w:t xml:space="preserve">四、采购需求响应文件</w:t>
      </w:r>
      <w:r/>
    </w:p>
    <w:p>
      <w:pPr>
        <w:pStyle w:val="1089"/>
        <w:spacing w:before="156" w:line="276" w:lineRule="auto"/>
        <w:rPr>
          <w:rFonts w:hint="eastAsia" w:hAnsi="宋体" w:cs="宋体"/>
          <w:highlight w:val="none"/>
        </w:rPr>
      </w:pPr>
      <w:r>
        <w:rPr>
          <w:rFonts w:hint="eastAsia" w:hAnsi="宋体" w:cs="宋体"/>
          <w:highlight w:val="none"/>
        </w:rPr>
        <w:t xml:space="preserve">（1）合同条款偏离表</w:t>
      </w:r>
      <w:r/>
    </w:p>
    <w:p>
      <w:pPr>
        <w:pStyle w:val="1089"/>
        <w:spacing w:before="156" w:line="276" w:lineRule="auto"/>
        <w:rPr>
          <w:rFonts w:hint="eastAsia" w:hAnsi="宋体" w:cs="宋体"/>
          <w:highlight w:val="none"/>
        </w:rPr>
      </w:pPr>
      <w:r>
        <w:rPr>
          <w:rFonts w:hint="eastAsia" w:hAnsi="宋体" w:cs="宋体"/>
          <w:highlight w:val="none"/>
        </w:rPr>
        <w:t xml:space="preserve">（2）采购需求偏离表</w:t>
      </w:r>
      <w:r/>
    </w:p>
    <w:p>
      <w:pPr>
        <w:pStyle w:val="1089"/>
        <w:spacing w:before="156" w:line="276" w:lineRule="auto"/>
        <w:rPr>
          <w:rFonts w:hint="eastAsia" w:hAnsi="宋体" w:cs="宋体"/>
          <w:highlight w:val="none"/>
        </w:rPr>
      </w:pPr>
      <w:r>
        <w:rPr>
          <w:rFonts w:hint="eastAsia" w:hAnsi="宋体" w:cs="宋体"/>
          <w:highlight w:val="none"/>
        </w:rPr>
        <w:t xml:space="preserve">（3）技术文件</w:t>
      </w:r>
      <w:r/>
    </w:p>
    <w:p>
      <w:pPr>
        <w:pStyle w:val="1089"/>
        <w:spacing w:before="156" w:line="276" w:lineRule="auto"/>
        <w:rPr>
          <w:rFonts w:hint="eastAsia" w:hAnsi="宋体" w:cs="宋体"/>
          <w:highlight w:val="none"/>
        </w:rPr>
      </w:pPr>
      <w:r>
        <w:rPr>
          <w:rFonts w:hint="eastAsia" w:hAnsi="宋体" w:cs="宋体"/>
          <w:highlight w:val="none"/>
        </w:rPr>
        <w:t xml:space="preserve">（4）供应商认为需提供的其他文件或证明材料</w:t>
      </w:r>
      <w:r/>
    </w:p>
    <w:p>
      <w:pPr>
        <w:pStyle w:val="1089"/>
        <w:spacing w:before="156" w:line="276" w:lineRule="auto"/>
        <w:rPr>
          <w:rFonts w:hint="eastAsia" w:hAnsi="宋体" w:cs="宋体"/>
          <w:highlight w:val="none"/>
        </w:rPr>
      </w:pPr>
      <w:r>
        <w:rPr>
          <w:rFonts w:hint="eastAsia" w:hAnsi="宋体" w:cs="宋体"/>
          <w:highlight w:val="none"/>
        </w:rPr>
        <w:t xml:space="preserve">（5）要求供应商提交的其他文件材料或证明材料</w:t>
      </w:r>
      <w:r/>
    </w:p>
    <w:p>
      <w:pPr>
        <w:pStyle w:val="911"/>
        <w:numPr>
          <w:ilvl w:val="0"/>
          <w:numId w:val="21"/>
        </w:numPr>
        <w:spacing w:before="0" w:line="280" w:lineRule="exact"/>
        <w:rPr>
          <w:rFonts w:hint="eastAsia" w:ascii="宋体" w:hAnsi="宋体" w:cs="宋体"/>
          <w:sz w:val="28"/>
          <w:szCs w:val="24"/>
          <w:highlight w:val="none"/>
        </w:rPr>
      </w:pPr>
      <w:r>
        <w:rPr>
          <w:rFonts w:hint="eastAsia" w:ascii="宋体" w:hAnsi="宋体" w:cs="宋体"/>
          <w:sz w:val="24"/>
          <w:szCs w:val="24"/>
          <w:highlight w:val="none"/>
        </w:rPr>
        <w:br w:type="page" w:clear="all"/>
      </w:r>
      <w:bookmarkEnd w:id="78"/>
      <w:r/>
      <w:bookmarkStart w:id="80" w:name="_Toc26240"/>
      <w:r/>
      <w:bookmarkStart w:id="81" w:name="_Toc104560893"/>
      <w:r>
        <w:rPr>
          <w:rFonts w:hint="eastAsia" w:ascii="宋体" w:hAnsi="宋体" w:cs="宋体"/>
          <w:sz w:val="24"/>
          <w:szCs w:val="24"/>
          <w:highlight w:val="none"/>
        </w:rPr>
        <w:t xml:space="preserve">报价文件</w:t>
      </w:r>
      <w:bookmarkEnd w:id="80"/>
      <w:r/>
      <w:r/>
    </w:p>
    <w:p>
      <w:pPr>
        <w:rPr>
          <w:rFonts w:hint="eastAsia" w:ascii="宋体" w:hAnsi="宋体" w:cs="宋体"/>
          <w:highlight w:val="none"/>
        </w:rPr>
      </w:pPr>
      <w:r>
        <w:rPr>
          <w:rFonts w:hint="eastAsia" w:ascii="宋体" w:hAnsi="宋体" w:cs="宋体"/>
          <w:highlight w:val="none"/>
        </w:rPr>
      </w:r>
      <w:r/>
    </w:p>
    <w:p>
      <w:pPr>
        <w:pStyle w:val="911"/>
        <w:spacing w:before="0" w:line="280" w:lineRule="exact"/>
        <w:rPr>
          <w:rFonts w:hint="eastAsia" w:ascii="宋体" w:hAnsi="宋体" w:cs="宋体"/>
          <w:sz w:val="28"/>
          <w:szCs w:val="24"/>
          <w:highlight w:val="none"/>
        </w:rPr>
      </w:pPr>
      <w:r/>
      <w:bookmarkStart w:id="82" w:name="_Toc107246275"/>
      <w:r/>
      <w:bookmarkStart w:id="83" w:name="_Toc1535"/>
      <w:r>
        <w:rPr>
          <w:rFonts w:hint="eastAsia" w:ascii="宋体" w:hAnsi="宋体" w:cs="宋体"/>
          <w:b w:val="0"/>
          <w:sz w:val="24"/>
          <w:highlight w:val="none"/>
        </w:rPr>
        <w:t xml:space="preserve">（1）</w:t>
      </w:r>
      <w:r>
        <w:rPr>
          <w:rFonts w:hint="eastAsia" w:ascii="宋体" w:hAnsi="宋体" w:cs="宋体"/>
          <w:sz w:val="28"/>
          <w:szCs w:val="24"/>
          <w:highlight w:val="none"/>
        </w:rPr>
        <w:t xml:space="preserve">响应函</w:t>
      </w:r>
      <w:bookmarkEnd w:id="81"/>
      <w:r/>
      <w:bookmarkEnd w:id="82"/>
      <w:r/>
      <w:bookmarkEnd w:id="83"/>
      <w:r/>
      <w:r/>
    </w:p>
    <w:p>
      <w:pPr>
        <w:spacing w:before="156" w:line="360" w:lineRule="exact"/>
        <w:rPr>
          <w:rFonts w:hint="eastAsia" w:ascii="宋体" w:hAnsi="宋体" w:cs="宋体"/>
          <w:szCs w:val="21"/>
          <w:highlight w:val="none"/>
        </w:rPr>
      </w:pPr>
      <w:r/>
      <w:bookmarkStart w:id="84" w:name="_Toc103848580"/>
      <w:r/>
      <w:bookmarkStart w:id="85" w:name="_Toc96347902"/>
      <w:r>
        <w:rPr>
          <w:rFonts w:hint="eastAsia" w:ascii="宋体" w:hAnsi="宋体" w:cs="宋体"/>
          <w:szCs w:val="21"/>
          <w:highlight w:val="none"/>
          <w:u w:val="single"/>
        </w:rPr>
        <w:t xml:space="preserve">                      </w:t>
      </w:r>
      <w:r>
        <w:rPr>
          <w:rFonts w:hint="eastAsia" w:ascii="宋体" w:hAnsi="宋体" w:cs="宋体"/>
          <w:szCs w:val="21"/>
          <w:highlight w:val="none"/>
        </w:rPr>
        <w:t xml:space="preserve">（采购人）：</w:t>
      </w:r>
      <w:r/>
    </w:p>
    <w:p>
      <w:pPr>
        <w:ind w:firstLine="420"/>
        <w:spacing w:before="156" w:line="360" w:lineRule="exact"/>
        <w:rPr>
          <w:rFonts w:hint="eastAsia" w:ascii="宋体" w:hAnsi="宋体" w:cs="宋体"/>
          <w:szCs w:val="21"/>
          <w:highlight w:val="none"/>
        </w:rPr>
      </w:pPr>
      <w:r>
        <w:rPr>
          <w:rFonts w:hint="eastAsia" w:ascii="宋体" w:hAnsi="宋体" w:cs="宋体"/>
          <w:szCs w:val="21"/>
          <w:highlight w:val="none"/>
          <w:u w:val="single"/>
        </w:rPr>
        <w:t xml:space="preserve">        (供应商全称)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协商的有关活动，并对此项目进行响应。为此：</w:t>
      </w:r>
      <w:r/>
    </w:p>
    <w:p>
      <w:pPr>
        <w:pStyle w:val="1173"/>
        <w:ind w:firstLine="420"/>
        <w:spacing w:after="0" w:line="360" w:lineRule="exact"/>
        <w:rPr>
          <w:rFonts w:hint="eastAsia" w:ascii="宋体" w:hAnsi="宋体" w:cs="宋体"/>
          <w:highlight w:val="none"/>
        </w:rPr>
      </w:pPr>
      <w:r>
        <w:rPr>
          <w:rFonts w:hint="eastAsia" w:ascii="宋体" w:hAnsi="宋体" w:cs="宋体"/>
          <w:highlight w:val="none"/>
        </w:rPr>
        <w:t xml:space="preserve">1、提供供应商须知规定的全部响应文件：正本1份，副本</w:t>
      </w:r>
      <w:r>
        <w:rPr>
          <w:rFonts w:hint="eastAsia" w:ascii="宋体" w:hAnsi="宋体" w:cs="宋体"/>
          <w:highlight w:val="none"/>
          <w:u w:val="single"/>
        </w:rPr>
        <w:t xml:space="preserve">    </w:t>
      </w:r>
      <w:r>
        <w:rPr>
          <w:rFonts w:hint="eastAsia" w:ascii="宋体" w:hAnsi="宋体" w:cs="宋体"/>
          <w:highlight w:val="none"/>
        </w:rPr>
        <w:t xml:space="preserve">份，电子版文件</w:t>
      </w:r>
      <w:r>
        <w:rPr>
          <w:rFonts w:hint="eastAsia" w:ascii="宋体" w:hAnsi="宋体" w:cs="宋体"/>
          <w:highlight w:val="none"/>
          <w:u w:val="single"/>
        </w:rPr>
        <w:t xml:space="preserve">   </w:t>
      </w:r>
      <w:r>
        <w:rPr>
          <w:rFonts w:hint="eastAsia" w:ascii="宋体" w:hAnsi="宋体" w:cs="宋体"/>
          <w:highlight w:val="none"/>
        </w:rPr>
        <w:t xml:space="preserve">份。</w:t>
      </w:r>
      <w:r/>
    </w:p>
    <w:p>
      <w:pPr>
        <w:pStyle w:val="1173"/>
        <w:ind w:firstLine="420"/>
        <w:spacing w:after="0" w:line="360" w:lineRule="exact"/>
        <w:rPr>
          <w:rFonts w:hint="eastAsia" w:ascii="宋体" w:hAnsi="宋体" w:cs="宋体"/>
          <w:highlight w:val="none"/>
        </w:rPr>
      </w:pPr>
      <w:r>
        <w:rPr>
          <w:rFonts w:hint="eastAsia" w:ascii="宋体" w:hAnsi="宋体" w:cs="宋体"/>
          <w:highlight w:val="none"/>
        </w:rPr>
        <w:t xml:space="preserve">2、单独密封的协商报价一览表（含分项报价表，如有）</w:t>
      </w:r>
      <w:r>
        <w:rPr>
          <w:rFonts w:hint="eastAsia" w:ascii="宋体" w:hAnsi="宋体" w:cs="宋体"/>
          <w:highlight w:val="none"/>
          <w:u w:val="single"/>
        </w:rPr>
        <w:t xml:space="preserve">    </w:t>
      </w:r>
      <w:r>
        <w:rPr>
          <w:rFonts w:hint="eastAsia" w:ascii="宋体" w:hAnsi="宋体" w:cs="宋体"/>
          <w:highlight w:val="none"/>
        </w:rPr>
        <w:t xml:space="preserve">份。</w:t>
      </w:r>
      <w:r/>
    </w:p>
    <w:p>
      <w:pPr>
        <w:pStyle w:val="1173"/>
        <w:ind w:firstLine="420"/>
        <w:spacing w:after="0" w:line="360" w:lineRule="exact"/>
        <w:rPr>
          <w:rFonts w:hint="eastAsia" w:ascii="宋体" w:hAnsi="宋体" w:cs="宋体"/>
          <w:highlight w:val="none"/>
        </w:rPr>
      </w:pPr>
      <w:r>
        <w:rPr>
          <w:rFonts w:hint="eastAsia" w:ascii="宋体" w:hAnsi="宋体" w:cs="宋体"/>
          <w:highlight w:val="none"/>
        </w:rPr>
        <w:t xml:space="preserve">3、我方将按采购文件的规定履行全部责任和义务。</w:t>
      </w:r>
      <w:r/>
    </w:p>
    <w:p>
      <w:pPr>
        <w:pStyle w:val="1173"/>
        <w:ind w:firstLine="420"/>
        <w:spacing w:after="0" w:line="360" w:lineRule="exact"/>
        <w:rPr>
          <w:rFonts w:hint="eastAsia" w:ascii="宋体" w:hAnsi="宋体" w:cs="宋体"/>
          <w:highlight w:val="none"/>
        </w:rPr>
      </w:pPr>
      <w:r>
        <w:rPr>
          <w:rFonts w:hint="eastAsia" w:ascii="宋体" w:hAnsi="宋体" w:cs="宋体"/>
          <w:highlight w:val="none"/>
        </w:rPr>
        <w:t xml:space="preserve">4、我方已详细审查全部采购文件，我们完全理解并同意</w:t>
      </w:r>
      <w:r>
        <w:rPr>
          <w:rFonts w:hint="eastAsia" w:ascii="宋体" w:hAnsi="宋体" w:cs="宋体"/>
          <w:szCs w:val="21"/>
          <w:highlight w:val="none"/>
        </w:rPr>
        <w:t xml:space="preserve">放弃对采购文件提出质疑或争议的权利。</w:t>
      </w:r>
      <w:r/>
    </w:p>
    <w:p>
      <w:pPr>
        <w:pStyle w:val="1173"/>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5、本响应有效期为自协商日起</w:t>
      </w:r>
      <w:r>
        <w:rPr>
          <w:rFonts w:hint="eastAsia" w:ascii="宋体" w:hAnsi="宋体" w:cs="宋体"/>
          <w:szCs w:val="21"/>
          <w:highlight w:val="none"/>
          <w:u w:val="single"/>
        </w:rPr>
        <w:t xml:space="preserve"> 90 </w:t>
      </w:r>
      <w:r>
        <w:rPr>
          <w:rFonts w:hint="eastAsia" w:ascii="宋体" w:hAnsi="宋体" w:cs="宋体"/>
          <w:szCs w:val="21"/>
          <w:highlight w:val="none"/>
        </w:rPr>
        <w:t xml:space="preserve">个日历日。</w:t>
      </w:r>
      <w:r/>
    </w:p>
    <w:p>
      <w:pPr>
        <w:pStyle w:val="1173"/>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6、如果在规定的提交响应文件截止时间后，我方在响应有效期内撤销响应文件，协商保证金将不予退还。</w:t>
      </w:r>
      <w:r/>
    </w:p>
    <w:p>
      <w:pPr>
        <w:pStyle w:val="1173"/>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7、我方同意贵方查询或调查我们提交的与本响应文件有关的声明、文件和资料，并同意在贵方的要求下提供相关文件或证书的原件及其他相关书面材料。</w:t>
      </w:r>
      <w:r/>
    </w:p>
    <w:p>
      <w:pPr>
        <w:pStyle w:val="1173"/>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8、我方在法律和财务上独立、合法运作并独立于采购人和采购代理机构，与采购人为本项目所委托的咨询单位或其附属机构没有直接或间接的任何关联。</w:t>
      </w:r>
      <w:r/>
    </w:p>
    <w:p>
      <w:pPr>
        <w:pStyle w:val="1173"/>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173"/>
        <w:ind w:firstLine="420"/>
        <w:spacing w:after="0" w:line="36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highlight w:val="none"/>
        </w:rPr>
        <w:t xml:space="preserve">我方保证响应文件所提供的全部资料真实可靠，同意提供贵方要求的与该项协商有关的数据或资料，完全理解贵方不一定接受最低价的响应或收到的任何响应。</w:t>
      </w:r>
      <w:r/>
    </w:p>
    <w:p>
      <w:pPr>
        <w:pStyle w:val="1173"/>
        <w:ind w:firstLine="420"/>
        <w:spacing w:after="0" w:line="360" w:lineRule="exact"/>
        <w:rPr>
          <w:rFonts w:hint="eastAsia" w:ascii="宋体" w:hAnsi="宋体" w:cs="宋体"/>
          <w:szCs w:val="21"/>
          <w:highlight w:val="none"/>
        </w:rPr>
      </w:pPr>
      <w:r>
        <w:rPr>
          <w:rFonts w:hint="eastAsia" w:ascii="宋体" w:hAnsi="宋体" w:cs="宋体"/>
          <w:highlight w:val="none"/>
        </w:rPr>
        <w:t xml:space="preserve">11、</w:t>
      </w:r>
      <w:r>
        <w:rPr>
          <w:rFonts w:hint="eastAsia" w:ascii="宋体" w:hAnsi="宋体" w:cs="宋体"/>
          <w:szCs w:val="21"/>
          <w:highlight w:val="none"/>
        </w:rPr>
        <w:t xml:space="preserve">与本协商有关的一切往来通讯请寄：</w:t>
      </w:r>
      <w:r/>
    </w:p>
    <w:p>
      <w:pPr>
        <w:ind w:firstLine="367"/>
        <w:spacing w:line="400" w:lineRule="exact"/>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 xml:space="preserve">                            </w:t>
      </w:r>
      <w:r/>
    </w:p>
    <w:p>
      <w:pPr>
        <w:ind w:firstLine="367"/>
        <w:spacing w:line="360" w:lineRule="auto"/>
        <w:rPr>
          <w:rFonts w:hint="eastAsia" w:ascii="宋体" w:hAnsi="宋体" w:cs="宋体"/>
          <w:szCs w:val="21"/>
          <w:highlight w:val="none"/>
          <w:u w:val="single"/>
        </w:rPr>
      </w:pPr>
      <w:r>
        <w:rPr>
          <w:rFonts w:hint="eastAsia" w:ascii="宋体" w:hAnsi="宋体" w:cs="宋体"/>
          <w:szCs w:val="21"/>
          <w:highlight w:val="none"/>
        </w:rPr>
        <w:t xml:space="preserve">邮箱：</w:t>
      </w:r>
      <w:r>
        <w:rPr>
          <w:rFonts w:hint="eastAsia" w:ascii="宋体" w:hAnsi="宋体" w:cs="宋体"/>
          <w:szCs w:val="21"/>
          <w:highlight w:val="none"/>
          <w:u w:val="single"/>
        </w:rPr>
        <w:t xml:space="preserve">                            </w:t>
      </w:r>
      <w:r/>
    </w:p>
    <w:p>
      <w:pPr>
        <w:ind w:firstLine="315"/>
        <w:spacing w:before="120" w:line="360" w:lineRule="auto"/>
        <w:rPr>
          <w:rFonts w:hint="eastAsia"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ind w:firstLine="315"/>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ind w:firstLine="315"/>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jc w:val="left"/>
        <w:spacing w:line="276" w:lineRule="auto"/>
        <w:rPr>
          <w:rFonts w:hint="eastAsia" w:ascii="宋体" w:hAnsi="宋体" w:cs="宋体"/>
          <w:b/>
          <w:sz w:val="32"/>
          <w:szCs w:val="32"/>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911"/>
        <w:spacing w:before="0"/>
        <w:rPr>
          <w:rFonts w:hint="eastAsia" w:ascii="宋体" w:hAnsi="宋体" w:cs="宋体"/>
          <w:bCs w:val="0"/>
          <w:sz w:val="24"/>
          <w:szCs w:val="24"/>
          <w:highlight w:val="none"/>
        </w:rPr>
      </w:pPr>
      <w:r>
        <w:rPr>
          <w:rFonts w:hint="eastAsia" w:ascii="宋体" w:hAnsi="宋体" w:cs="宋体"/>
          <w:bCs w:val="0"/>
          <w:highlight w:val="none"/>
        </w:rPr>
        <w:br w:type="page" w:clear="all"/>
      </w:r>
      <w:bookmarkStart w:id="86" w:name="_Toc103848583"/>
      <w:r/>
      <w:bookmarkStart w:id="87" w:name="_Toc104560898"/>
      <w:r/>
      <w:bookmarkStart w:id="88" w:name="_Toc107246276"/>
      <w:r/>
      <w:bookmarkStart w:id="89" w:name="_Toc24605"/>
      <w:r>
        <w:rPr>
          <w:rFonts w:hint="eastAsia" w:ascii="宋体" w:hAnsi="宋体" w:cs="宋体"/>
          <w:bCs w:val="0"/>
          <w:sz w:val="24"/>
          <w:szCs w:val="24"/>
          <w:highlight w:val="none"/>
        </w:rPr>
        <w:t xml:space="preserve">（2）</w:t>
      </w:r>
      <w:bookmarkEnd w:id="86"/>
      <w:r/>
      <w:bookmarkEnd w:id="87"/>
      <w:r>
        <w:rPr>
          <w:rFonts w:hint="eastAsia" w:ascii="宋体" w:hAnsi="宋体" w:cs="宋体"/>
          <w:bCs w:val="0"/>
          <w:sz w:val="24"/>
          <w:szCs w:val="24"/>
          <w:highlight w:val="none"/>
        </w:rPr>
        <w:t xml:space="preserve">法定代表人（非法人单位负责人）身份证明</w:t>
      </w:r>
      <w:bookmarkEnd w:id="88"/>
      <w:r/>
      <w:bookmarkEnd w:id="89"/>
      <w:r/>
      <w:r/>
    </w:p>
    <w:p>
      <w:pPr>
        <w:pStyle w:val="887"/>
        <w:ind w:left="1236" w:hanging="396"/>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87"/>
        <w:ind w:left="1236" w:hanging="396"/>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87"/>
        <w:ind w:firstLine="420"/>
        <w:tabs>
          <w:tab w:val="left" w:pos="4228" w:leader="none"/>
        </w:tabs>
        <w:rPr>
          <w:rFonts w:hint="eastAsia" w:ascii="宋体" w:hAnsi="宋体" w:cs="宋体"/>
          <w:highlight w:val="none"/>
        </w:rPr>
      </w:pPr>
      <w:r>
        <w:rPr>
          <w:rFonts w:hint="eastAsia" w:ascii="宋体" w:hAnsi="宋体" w:cs="宋体"/>
          <w:highlight w:val="none"/>
        </w:rPr>
        <w:t xml:space="preserve">供应商名</w:t>
      </w:r>
      <w:r>
        <w:rPr>
          <w:rFonts w:hint="eastAsia" w:ascii="宋体" w:hAnsi="宋体" w:cs="宋体"/>
          <w:spacing w:val="-3"/>
          <w:highlight w:val="none"/>
        </w:rPr>
        <w:t xml:space="preserve">称</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pStyle w:val="887"/>
        <w:ind w:firstLine="420"/>
        <w:spacing w:before="170"/>
        <w:tabs>
          <w:tab w:val="left" w:pos="2712" w:leader="none"/>
          <w:tab w:val="left" w:pos="4183" w:leader="none"/>
          <w:tab w:val="left" w:pos="5652" w:leader="none"/>
          <w:tab w:val="left" w:pos="7169" w:leader="none"/>
        </w:tabs>
        <w:rPr>
          <w:rFonts w:hint="eastAsia" w:ascii="宋体" w:hAnsi="宋体" w:cs="宋体"/>
          <w:highlight w:val="none"/>
        </w:rPr>
      </w:pPr>
      <w:r>
        <w:rPr>
          <w:rFonts w:hint="eastAsia" w:ascii="宋体" w:hAnsi="宋体" w:cs="宋体"/>
          <w:highlight w:val="none"/>
        </w:rPr>
        <w:t xml:space="preserve">姓名</w:t>
      </w:r>
      <w:r>
        <w:rPr>
          <w:rFonts w:hint="eastAsia" w:ascii="宋体" w:hAnsi="宋体" w:cs="宋体"/>
          <w:spacing w:val="-3"/>
          <w:highlight w:val="none"/>
        </w:rPr>
        <w:t xml:space="preserve">：</w:t>
      </w:r>
      <w:r>
        <w:rPr>
          <w:rFonts w:hint="eastAsia" w:ascii="宋体" w:hAnsi="宋体" w:cs="宋体"/>
          <w:spacing w:val="-3"/>
          <w:highlight w:val="none"/>
          <w:u w:val="single"/>
        </w:rPr>
        <w:t xml:space="preserve"> </w:t>
      </w:r>
      <w:r>
        <w:rPr>
          <w:rFonts w:hint="eastAsia" w:ascii="宋体" w:hAnsi="宋体" w:cs="宋体"/>
          <w:spacing w:val="-3"/>
          <w:highlight w:val="none"/>
          <w:u w:val="single"/>
        </w:rPr>
        <w:tab/>
      </w:r>
      <w:r>
        <w:rPr>
          <w:rFonts w:hint="eastAsia" w:ascii="宋体" w:hAnsi="宋体" w:cs="宋体"/>
          <w:highlight w:val="none"/>
        </w:rPr>
        <w:t xml:space="preserve">性别</w:t>
      </w:r>
      <w:r>
        <w:rPr>
          <w:rFonts w:hint="eastAsia" w:ascii="宋体" w:hAnsi="宋体" w:cs="宋体"/>
          <w:spacing w:val="-3"/>
          <w:highlight w:val="none"/>
        </w:rPr>
        <w:t xml:space="preserve">：</w:t>
      </w:r>
      <w:r>
        <w:rPr>
          <w:rFonts w:hint="eastAsia" w:ascii="宋体" w:hAnsi="宋体" w:cs="宋体"/>
          <w:spacing w:val="-3"/>
          <w:highlight w:val="none"/>
          <w:u w:val="single"/>
        </w:rPr>
        <w:t xml:space="preserve"> </w:t>
      </w:r>
      <w:r>
        <w:rPr>
          <w:rFonts w:hint="eastAsia" w:ascii="宋体" w:hAnsi="宋体" w:cs="宋体"/>
          <w:spacing w:val="-3"/>
          <w:highlight w:val="none"/>
          <w:u w:val="single"/>
        </w:rPr>
        <w:tab/>
      </w:r>
      <w:r>
        <w:rPr>
          <w:rFonts w:hint="eastAsia" w:ascii="宋体" w:hAnsi="宋体" w:cs="宋体"/>
          <w:highlight w:val="none"/>
        </w:rPr>
        <w:t xml:space="preserve">年</w:t>
      </w:r>
      <w:r>
        <w:rPr>
          <w:rFonts w:hint="eastAsia" w:ascii="宋体" w:hAnsi="宋体" w:cs="宋体"/>
          <w:spacing w:val="-3"/>
          <w:highlight w:val="none"/>
        </w:rPr>
        <w:t xml:space="preserve">龄</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spacing w:val="-1"/>
          <w:highlight w:val="none"/>
        </w:rPr>
        <w:t xml:space="preserve">职</w:t>
      </w:r>
      <w:r>
        <w:rPr>
          <w:rFonts w:hint="eastAsia" w:ascii="宋体" w:hAnsi="宋体" w:cs="宋体"/>
          <w:spacing w:val="-3"/>
          <w:highlight w:val="none"/>
        </w:rPr>
        <w:t xml:space="preserve">务</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pStyle w:val="887"/>
        <w:ind w:firstLine="420"/>
        <w:spacing w:before="173"/>
        <w:tabs>
          <w:tab w:val="left" w:pos="3132" w:leader="none"/>
        </w:tabs>
        <w:rPr>
          <w:rFonts w:hint="eastAsia" w:ascii="宋体" w:hAnsi="宋体" w:cs="宋体"/>
          <w:highlight w:val="none"/>
        </w:rPr>
      </w:pPr>
      <w:r>
        <w:rPr>
          <w:rFonts w:hint="eastAsia" w:ascii="宋体" w:hAnsi="宋体" w:cs="宋体"/>
          <w:highlight w:val="none"/>
        </w:rPr>
        <w:t xml:space="preserve">系</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spacing w:val="-3"/>
          <w:highlight w:val="none"/>
        </w:rPr>
        <w:t xml:space="preserve">（</w:t>
      </w:r>
      <w:r>
        <w:rPr>
          <w:rFonts w:hint="eastAsia" w:ascii="宋体" w:hAnsi="宋体" w:cs="宋体"/>
          <w:highlight w:val="none"/>
        </w:rPr>
        <w:t xml:space="preserve">供应商</w:t>
      </w:r>
      <w:r>
        <w:rPr>
          <w:rFonts w:hint="eastAsia" w:ascii="宋体" w:hAnsi="宋体" w:cs="宋体"/>
          <w:spacing w:val="-3"/>
          <w:highlight w:val="none"/>
        </w:rPr>
        <w:t xml:space="preserve">名</w:t>
      </w:r>
      <w:r>
        <w:rPr>
          <w:rFonts w:hint="eastAsia" w:ascii="宋体" w:hAnsi="宋体" w:cs="宋体"/>
          <w:highlight w:val="none"/>
        </w:rPr>
        <w:t xml:space="preserve">称</w:t>
      </w:r>
      <w:r>
        <w:rPr>
          <w:rFonts w:hint="eastAsia" w:ascii="宋体" w:hAnsi="宋体" w:cs="宋体"/>
          <w:spacing w:val="-3"/>
          <w:highlight w:val="none"/>
        </w:rPr>
        <w:t xml:space="preserve">）</w:t>
      </w:r>
      <w:r>
        <w:rPr>
          <w:rFonts w:hint="eastAsia" w:ascii="宋体" w:hAnsi="宋体" w:cs="宋体"/>
          <w:highlight w:val="none"/>
        </w:rPr>
        <w:t xml:space="preserve">的</w:t>
      </w:r>
      <w:r>
        <w:rPr>
          <w:rFonts w:hint="eastAsia" w:ascii="宋体" w:hAnsi="宋体" w:cs="宋体"/>
          <w:spacing w:val="-3"/>
          <w:highlight w:val="none"/>
        </w:rPr>
        <w:t xml:space="preserve">法定</w:t>
      </w:r>
      <w:r>
        <w:rPr>
          <w:rFonts w:hint="eastAsia" w:ascii="宋体" w:hAnsi="宋体" w:cs="宋体"/>
          <w:highlight w:val="none"/>
        </w:rPr>
        <w:t xml:space="preserve">代表</w:t>
      </w:r>
      <w:r>
        <w:rPr>
          <w:rFonts w:hint="eastAsia" w:ascii="宋体" w:hAnsi="宋体" w:cs="宋体"/>
          <w:spacing w:val="-3"/>
          <w:highlight w:val="none"/>
        </w:rPr>
        <w:t xml:space="preserve">人/非法人单位负责人。</w:t>
      </w:r>
      <w:r/>
    </w:p>
    <w:p>
      <w:pPr>
        <w:pStyle w:val="887"/>
        <w:ind w:firstLine="420"/>
        <w:spacing w:before="170"/>
        <w:rPr>
          <w:rFonts w:hint="eastAsia" w:ascii="宋体" w:hAnsi="宋体" w:cs="宋体"/>
          <w:highlight w:val="none"/>
        </w:rPr>
      </w:pPr>
      <w:r>
        <w:rPr>
          <w:rFonts w:hint="eastAsia" w:ascii="宋体" w:hAnsi="宋体" w:cs="宋体"/>
          <w:highlight w:val="none"/>
        </w:rPr>
        <w:t xml:space="preserve">特此证明。</w:t>
      </w:r>
      <w:r/>
    </w:p>
    <w:p>
      <w:pPr>
        <w:pStyle w:val="887"/>
        <w:ind w:left="1260"/>
        <w:rPr>
          <w:rFonts w:hint="eastAsia" w:ascii="宋体" w:hAnsi="宋体" w:cs="宋体"/>
          <w:sz w:val="20"/>
          <w:highlight w:val="none"/>
        </w:rPr>
      </w:pPr>
      <w:r>
        <w:rPr>
          <w:rFonts w:hint="eastAsia" w:ascii="宋体" w:hAnsi="宋体" w:cs="宋体"/>
          <w:sz w:val="20"/>
          <w:highlight w:val="none"/>
        </w:rPr>
      </w:r>
      <w:r/>
    </w:p>
    <w:p>
      <w:pPr>
        <w:pStyle w:val="887"/>
        <w:ind w:left="1260"/>
        <w:spacing w:before="10"/>
        <w:rPr>
          <w:rFonts w:hint="eastAsia" w:ascii="宋体" w:hAnsi="宋体" w:cs="宋体"/>
          <w:sz w:val="27"/>
          <w:highlight w:val="none"/>
        </w:rPr>
      </w:pPr>
      <w:r>
        <w:rPr>
          <w:rFonts w:hint="eastAsia" w:ascii="宋体" w:hAnsi="宋体" w:cs="宋体"/>
          <w:sz w:val="27"/>
          <w:highlight w:val="none"/>
        </w:rPr>
      </w:r>
      <w:r/>
    </w:p>
    <w:p>
      <w:pPr>
        <w:spacing w:line="480" w:lineRule="auto"/>
        <w:rPr>
          <w:rFonts w:hint="eastAsia" w:ascii="宋体" w:hAnsi="宋体" w:cs="宋体"/>
          <w:highlight w:val="none"/>
        </w:rPr>
      </w:pPr>
      <w:r>
        <w:rPr>
          <w:rFonts w:hint="eastAsia" w:ascii="宋体" w:hAnsi="宋体" w:cs="宋体"/>
          <w:highlight w:val="none"/>
        </w:rPr>
        <w:t xml:space="preserve">附：法定代表人（非法人单位负责人）有效期内的身份证复印件（正反面）</w:t>
      </w:r>
      <w:r/>
    </w:p>
    <w:p>
      <w:pPr>
        <w:pStyle w:val="898"/>
        <w:rPr>
          <w:rFonts w:hint="eastAsia" w:ascii="宋体" w:hAnsi="宋体" w:cs="宋体"/>
          <w:highlight w:val="none"/>
        </w:rPr>
      </w:pPr>
      <w:r>
        <w:rPr>
          <w:rFonts w:hint="eastAsia" w:ascii="宋体" w:hAnsi="宋体" w:cs="宋体"/>
          <w:highlight w:val="none"/>
        </w:rPr>
      </w:r>
      <w:r/>
    </w:p>
    <w:tbl>
      <w:tblPr>
        <w:tblStyle w:val="880"/>
        <w:tblW w:w="935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887"/>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W w:w="4679" w:type="dxa"/>
            <w:vAlign w:val="center"/>
            <w:textDirection w:val="lrTb"/>
            <w:noWrap w:val="false"/>
          </w:tcPr>
          <w:p>
            <w:pPr>
              <w:pStyle w:val="887"/>
              <w:jc w:val="center"/>
              <w:rPr>
                <w:rFonts w:hint="eastAsia" w:ascii="宋体" w:hAnsi="宋体" w:cs="宋体"/>
                <w:i/>
                <w:sz w:val="24"/>
                <w:highlight w:val="none"/>
              </w:rPr>
            </w:pPr>
            <w:r>
              <w:rPr>
                <w:rFonts w:hint="eastAsia" w:ascii="宋体" w:hAnsi="宋体" w:cs="宋体"/>
                <w:i/>
                <w:sz w:val="24"/>
                <w:highlight w:val="none"/>
              </w:rPr>
              <w:t xml:space="preserve">身份证反面</w:t>
            </w:r>
            <w:r/>
          </w:p>
        </w:tc>
      </w:tr>
    </w:tbl>
    <w:p>
      <w:pPr>
        <w:pStyle w:val="887"/>
        <w:ind w:left="1260"/>
        <w:rPr>
          <w:rFonts w:hint="eastAsia" w:ascii="宋体" w:hAnsi="宋体" w:cs="宋体"/>
          <w:sz w:val="20"/>
          <w:highlight w:val="none"/>
        </w:rPr>
      </w:pPr>
      <w:r>
        <w:rPr>
          <w:rFonts w:hint="eastAsia" w:ascii="宋体" w:hAnsi="宋体" w:cs="宋体"/>
          <w:sz w:val="20"/>
          <w:highlight w:val="none"/>
        </w:rPr>
      </w:r>
      <w:r/>
    </w:p>
    <w:p>
      <w:pPr>
        <w:pStyle w:val="887"/>
        <w:ind w:left="1260"/>
        <w:spacing w:before="1"/>
        <w:rPr>
          <w:rFonts w:hint="eastAsia" w:ascii="宋体" w:hAnsi="宋体" w:cs="宋体"/>
          <w:sz w:val="22"/>
          <w:highlight w:val="none"/>
        </w:rPr>
      </w:pPr>
      <w:r>
        <w:rPr>
          <w:rFonts w:hint="eastAsia" w:ascii="宋体" w:hAnsi="宋体" w:cs="宋体"/>
          <w:sz w:val="22"/>
          <w:highlight w:val="none"/>
        </w:rPr>
      </w:r>
      <w:r/>
    </w:p>
    <w:p>
      <w:pPr>
        <w:pStyle w:val="887"/>
        <w:ind w:left="1260" w:firstLine="3060"/>
        <w:tabs>
          <w:tab w:val="left" w:pos="7977" w:leader="none"/>
        </w:tabs>
        <w:rPr>
          <w:rFonts w:hint="eastAsia" w:ascii="宋体" w:hAnsi="宋体" w:cs="宋体"/>
          <w:highlight w:val="none"/>
        </w:rPr>
      </w:pPr>
      <w:r>
        <w:rPr>
          <w:rFonts w:hint="eastAsia" w:ascii="宋体" w:hAnsi="宋体" w:cs="宋体"/>
          <w:spacing w:val="-3"/>
          <w:highlight w:val="none"/>
        </w:rPr>
        <w:t xml:space="preserve">供应商名称（公章）</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rPr>
        <w:tab/>
      </w:r>
      <w:r/>
    </w:p>
    <w:p>
      <w:pPr>
        <w:rPr>
          <w:rFonts w:hint="eastAsia" w:ascii="宋体" w:hAnsi="宋体" w:cs="宋体"/>
          <w:b/>
          <w:sz w:val="32"/>
          <w:szCs w:val="32"/>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pStyle w:val="911"/>
        <w:spacing w:before="0"/>
        <w:rPr>
          <w:rFonts w:hint="eastAsia" w:ascii="宋体" w:hAnsi="宋体" w:cs="宋体"/>
          <w:bCs w:val="0"/>
          <w:sz w:val="21"/>
          <w:szCs w:val="24"/>
          <w:highlight w:val="none"/>
        </w:rPr>
      </w:pPr>
      <w:r>
        <w:rPr>
          <w:rFonts w:hint="eastAsia" w:ascii="宋体" w:hAnsi="宋体" w:cs="宋体"/>
          <w:sz w:val="24"/>
          <w:szCs w:val="24"/>
          <w:highlight w:val="none"/>
        </w:rPr>
        <w:br w:type="page" w:clear="all"/>
      </w:r>
      <w:bookmarkStart w:id="90" w:name="_Toc104560899"/>
      <w:r/>
      <w:bookmarkStart w:id="91" w:name="_Toc103848584"/>
      <w:r/>
      <w:bookmarkStart w:id="92" w:name="_Toc107246277"/>
      <w:r/>
      <w:bookmarkStart w:id="93" w:name="_Toc21475"/>
      <w:r>
        <w:rPr>
          <w:rFonts w:hint="eastAsia" w:ascii="宋体" w:hAnsi="宋体" w:cs="宋体"/>
          <w:bCs w:val="0"/>
          <w:sz w:val="24"/>
          <w:szCs w:val="24"/>
          <w:highlight w:val="none"/>
        </w:rPr>
        <w:t xml:space="preserve">（3）法定代表人授权委托书</w:t>
      </w:r>
      <w:bookmarkEnd w:id="90"/>
      <w:r/>
      <w:bookmarkEnd w:id="91"/>
      <w:r/>
      <w:bookmarkEnd w:id="92"/>
      <w:r>
        <w:rPr>
          <w:rFonts w:hint="eastAsia" w:ascii="宋体" w:hAnsi="宋体" w:cs="宋体"/>
          <w:bCs w:val="0"/>
          <w:sz w:val="24"/>
          <w:szCs w:val="24"/>
          <w:highlight w:val="none"/>
        </w:rPr>
        <w:t xml:space="preserve">（适用于法人/非法人）</w:t>
      </w:r>
      <w:bookmarkEnd w:id="93"/>
      <w:r/>
      <w:r/>
    </w:p>
    <w:p>
      <w:pPr>
        <w:jc w:val="center"/>
        <w:rPr>
          <w:rFonts w:hint="eastAsia" w:ascii="宋体" w:hAnsi="宋体" w:cs="宋体"/>
          <w:b/>
          <w:bCs/>
          <w:sz w:val="24"/>
          <w:highlight w:val="none"/>
        </w:rPr>
      </w:pPr>
      <w:r>
        <w:rPr>
          <w:rFonts w:hint="eastAsia" w:ascii="宋体" w:hAnsi="宋体" w:cs="宋体"/>
          <w:b/>
          <w:bCs/>
          <w:sz w:val="24"/>
          <w:highlight w:val="none"/>
        </w:rPr>
      </w:r>
      <w:r/>
    </w:p>
    <w:p>
      <w:pPr>
        <w:ind w:firstLine="420"/>
        <w:spacing w:line="300" w:lineRule="exact"/>
        <w:rPr>
          <w:rFonts w:hint="eastAsia" w:ascii="宋体" w:hAnsi="宋体" w:cs="宋体"/>
          <w:color w:val="000000"/>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lang w:eastAsia="zh-CN"/>
        </w:rPr>
        <w:t xml:space="preserve">2026年高效液相色谱仪飞行时间质谱联用仪等35台大型仪器运维服务采购</w:t>
      </w:r>
      <w:r>
        <w:rPr>
          <w:rFonts w:hint="eastAsia" w:ascii="宋体" w:hAnsi="宋体" w:cs="宋体"/>
          <w:szCs w:val="21"/>
          <w:highlight w:val="none"/>
          <w:u w:val="single"/>
        </w:rPr>
        <w:t xml:space="preserve">（项目名称）（项目</w:t>
      </w:r>
      <w:r>
        <w:rPr>
          <w:rFonts w:hint="eastAsia" w:ascii="宋体" w:hAnsi="宋体" w:cs="宋体"/>
          <w:color w:val="000000"/>
          <w:szCs w:val="21"/>
          <w:highlight w:val="none"/>
          <w:u w:val="single"/>
        </w:rPr>
        <w:t xml:space="preserve">编号：</w:t>
      </w:r>
      <w:r>
        <w:rPr>
          <w:rFonts w:hint="eastAsia" w:ascii="宋体" w:hAnsi="宋体" w:cs="宋体"/>
          <w:color w:val="000000"/>
          <w:szCs w:val="21"/>
          <w:highlight w:val="none"/>
          <w:u w:val="single"/>
          <w:lang w:eastAsia="zh-CN"/>
        </w:rPr>
        <w:t xml:space="preserve">JSZC-320000-JITC-D2026-0327</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以本单位名义处理一切与之相关的事务，其后果由我单位承担。</w:t>
      </w:r>
      <w:r/>
    </w:p>
    <w:p>
      <w:pPr>
        <w:ind w:firstLine="420"/>
        <w:spacing w:line="30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供应商名称（公章）：  </w:t>
      </w:r>
      <w:r>
        <w:rPr>
          <w:rFonts w:hint="eastAsia" w:ascii="宋体" w:hAnsi="宋体" w:cs="宋体"/>
          <w:szCs w:val="21"/>
          <w:highlight w:val="none"/>
          <w:u w:val="single"/>
        </w:rPr>
        <w:t xml:space="preserve">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rPr>
          <w:rFonts w:hint="eastAsia" w:ascii="宋体" w:hAnsi="宋体" w:cs="宋体"/>
          <w:szCs w:val="21"/>
          <w:highlight w:val="none"/>
          <w:u w:val="single"/>
        </w:rPr>
        <w:t xml:space="preserve">                     </w:t>
      </w:r>
      <w:r/>
    </w:p>
    <w:p>
      <w:pPr>
        <w:pStyle w:val="909"/>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p>
    <w:p>
      <w:pPr>
        <w:pStyle w:val="909"/>
        <w:ind w:firstLine="420"/>
        <w:spacing w:after="0" w:line="300" w:lineRule="exact"/>
        <w:rPr>
          <w:rFonts w:hint="eastAsia" w:ascii="宋体" w:hAnsi="宋体" w:cs="宋体"/>
          <w:szCs w:val="21"/>
          <w:highlight w:val="none"/>
          <w:u w:val="singl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pStyle w:val="909"/>
        <w:ind w:firstLine="420"/>
        <w:spacing w:after="0" w:line="3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480" w:lineRule="auto"/>
        <w:rPr>
          <w:rFonts w:hint="eastAsia" w:ascii="宋体" w:hAnsi="宋体" w:cs="宋体"/>
          <w:highlight w:val="none"/>
        </w:rPr>
      </w:pPr>
      <w:r>
        <w:rPr>
          <w:rFonts w:hint="eastAsia" w:ascii="宋体" w:hAnsi="宋体" w:cs="宋体"/>
          <w:szCs w:val="21"/>
          <w:highlight w:val="none"/>
        </w:rPr>
        <w:t xml:space="preserve">附：法定代表人有效期内的</w:t>
      </w:r>
      <w:r>
        <w:rPr>
          <w:rFonts w:hint="eastAsia" w:ascii="宋体" w:hAnsi="宋体" w:cs="宋体"/>
          <w:highlight w:val="none"/>
        </w:rPr>
        <w:t xml:space="preserve">身份证复印件（正反面）</w:t>
      </w:r>
      <w:r/>
    </w:p>
    <w:tbl>
      <w:tblPr>
        <w:tblStyle w:val="880"/>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7"/>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spacing w:line="480" w:lineRule="auto"/>
        <w:rPr>
          <w:rFonts w:hint="eastAsia" w:ascii="宋体" w:hAnsi="宋体" w:cs="宋体"/>
          <w:highlight w:val="none"/>
        </w:rPr>
      </w:pPr>
      <w:r>
        <w:rPr>
          <w:rFonts w:hint="eastAsia" w:ascii="宋体" w:hAnsi="宋体" w:cs="宋体"/>
          <w:szCs w:val="21"/>
          <w:highlight w:val="none"/>
        </w:rPr>
        <w:t xml:space="preserve">授权代表有效期内的身份证复印件</w:t>
      </w:r>
      <w:r>
        <w:rPr>
          <w:rFonts w:hint="eastAsia" w:ascii="宋体" w:hAnsi="宋体" w:cs="宋体"/>
          <w:highlight w:val="none"/>
        </w:rPr>
        <w:t xml:space="preserve">（正反面）</w:t>
      </w:r>
      <w:r/>
    </w:p>
    <w:tbl>
      <w:tblPr>
        <w:tblStyle w:val="880"/>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7"/>
              <w:jc w:val="center"/>
              <w:spacing w:line="300" w:lineRule="exact"/>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spacing w:line="300" w:lineRule="exact"/>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909"/>
        <w:spacing w:line="300" w:lineRule="exact"/>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909"/>
        <w:spacing w:line="300" w:lineRule="exact"/>
        <w:rPr>
          <w:rFonts w:hint="eastAsia" w:ascii="宋体" w:hAnsi="宋体" w:cs="宋体"/>
          <w:b/>
          <w:bCs/>
          <w:szCs w:val="21"/>
          <w:highlight w:val="none"/>
        </w:rPr>
      </w:pPr>
      <w:r>
        <w:rPr>
          <w:rFonts w:hint="eastAsia" w:ascii="宋体" w:hAnsi="宋体" w:cs="宋体"/>
          <w:b/>
          <w:bCs/>
          <w:szCs w:val="21"/>
          <w:highlight w:val="none"/>
        </w:rPr>
        <w:t xml:space="preserve">1.若供应商为分公司或分支机构等无法定代表人的机构（仅当采购文件注明允许分公司或分支机构等投标时），则本响应文件各法定代表人签字处的签署人可为单位负责人。</w:t>
      </w:r>
      <w:r/>
    </w:p>
    <w:p>
      <w:pPr>
        <w:pStyle w:val="909"/>
        <w:spacing w:line="300" w:lineRule="exact"/>
        <w:rPr>
          <w:rFonts w:hint="eastAsia" w:ascii="宋体" w:hAnsi="宋体" w:cs="宋体"/>
          <w:b/>
          <w:bCs/>
          <w:szCs w:val="21"/>
          <w:highlight w:val="none"/>
        </w:rPr>
      </w:pPr>
      <w:r>
        <w:rPr>
          <w:rFonts w:hint="eastAsia" w:ascii="宋体" w:hAnsi="宋体" w:cs="宋体"/>
          <w:b/>
          <w:bCs/>
          <w:szCs w:val="21"/>
          <w:highlight w:val="none"/>
        </w:rPr>
        <w:t xml:space="preserve">2.若响应文件中签字之处均为法定代表人本人签署，则可不提供本《授权委托书》，但须提供《法定代表人（非法人单位负责人）身份证明》。</w:t>
      </w:r>
      <w:bookmarkStart w:id="94" w:name="_Toc107246279"/>
      <w:r/>
      <w:bookmarkStart w:id="95" w:name="_Toc104560895"/>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911"/>
        <w:spacing w:before="0"/>
        <w:rPr>
          <w:rFonts w:hint="eastAsia" w:ascii="宋体" w:hAnsi="宋体" w:cs="宋体"/>
          <w:bCs w:val="0"/>
          <w:sz w:val="21"/>
          <w:szCs w:val="24"/>
          <w:highlight w:val="none"/>
        </w:rPr>
      </w:pPr>
      <w:r/>
      <w:bookmarkStart w:id="96" w:name="_Toc104560900"/>
      <w:r/>
      <w:bookmarkStart w:id="97" w:name="_Toc103848585"/>
      <w:r/>
      <w:bookmarkStart w:id="98" w:name="_Toc11871"/>
      <w:r/>
      <w:bookmarkStart w:id="99" w:name="_Toc107246278"/>
      <w:r>
        <w:rPr>
          <w:rFonts w:hint="eastAsia" w:ascii="宋体" w:hAnsi="宋体" w:cs="宋体"/>
          <w:bCs w:val="0"/>
          <w:sz w:val="24"/>
          <w:szCs w:val="24"/>
          <w:highlight w:val="none"/>
        </w:rPr>
        <w:t xml:space="preserve">（3-2）授权委托书（适用于自然人投标）</w:t>
      </w:r>
      <w:bookmarkEnd w:id="96"/>
      <w:r/>
      <w:bookmarkEnd w:id="97"/>
      <w:r/>
      <w:bookmarkEnd w:id="98"/>
      <w:r/>
      <w:bookmarkEnd w:id="99"/>
      <w:r/>
      <w:r/>
    </w:p>
    <w:p>
      <w:pPr>
        <w:rPr>
          <w:rFonts w:hint="eastAsia" w:ascii="宋体" w:hAnsi="宋体" w:cs="宋体"/>
          <w:highlight w:val="none"/>
        </w:rPr>
      </w:pPr>
      <w:r>
        <w:rPr>
          <w:rFonts w:hint="eastAsia" w:ascii="宋体" w:hAnsi="宋体" w:cs="宋体"/>
          <w:highlight w:val="none"/>
        </w:rPr>
      </w:r>
      <w:r/>
    </w:p>
    <w:p>
      <w:pPr>
        <w:ind w:firstLine="420"/>
        <w:spacing w:line="460" w:lineRule="exact"/>
        <w:rPr>
          <w:rFonts w:hint="eastAsia" w:ascii="宋体" w:hAnsi="宋体" w:cs="宋体"/>
          <w:color w:val="000000"/>
          <w:szCs w:val="21"/>
          <w:highlight w:val="none"/>
        </w:rPr>
      </w:pPr>
      <w:r>
        <w:rPr>
          <w:rFonts w:hint="eastAsia" w:ascii="宋体" w:hAnsi="宋体" w:cs="宋体"/>
          <w:szCs w:val="21"/>
          <w:highlight w:val="none"/>
        </w:rPr>
        <w:t xml:space="preserve">本授权书声明：我</w:t>
      </w:r>
      <w:r>
        <w:rPr>
          <w:rFonts w:hint="eastAsia" w:ascii="宋体" w:hAnsi="宋体" w:cs="宋体"/>
          <w:szCs w:val="21"/>
          <w:highlight w:val="none"/>
          <w:u w:val="single"/>
        </w:rPr>
        <w:t xml:space="preserve">    （姓名）    </w:t>
      </w:r>
      <w:r>
        <w:rPr>
          <w:rFonts w:hint="eastAsia" w:ascii="宋体" w:hAnsi="宋体" w:cs="宋体"/>
          <w:szCs w:val="21"/>
          <w:highlight w:val="none"/>
        </w:rPr>
        <w:t xml:space="preserve">系自然人，现授权在授权代表（签字）处签字的</w:t>
      </w:r>
      <w:r>
        <w:rPr>
          <w:rFonts w:hint="eastAsia" w:ascii="宋体" w:hAnsi="宋体" w:cs="宋体"/>
          <w:szCs w:val="21"/>
          <w:highlight w:val="none"/>
          <w:u w:val="single"/>
        </w:rPr>
        <w:t xml:space="preserve">（授权代表的姓名）（身份证号码：             ）</w:t>
      </w:r>
      <w:r>
        <w:rPr>
          <w:rFonts w:hint="eastAsia" w:ascii="宋体" w:hAnsi="宋体" w:cs="宋体"/>
          <w:szCs w:val="21"/>
          <w:highlight w:val="none"/>
        </w:rPr>
        <w:t xml:space="preserve">为本人的合法代理人，就</w:t>
      </w:r>
      <w:r>
        <w:rPr>
          <w:rFonts w:hint="eastAsia" w:ascii="宋体" w:hAnsi="宋体" w:cs="宋体"/>
          <w:szCs w:val="21"/>
          <w:highlight w:val="none"/>
          <w:u w:val="single"/>
          <w:lang w:eastAsia="zh-CN"/>
        </w:rPr>
        <w:t xml:space="preserve">2026年高效液相色谱仪飞行时间质谱联用仪等35台大型仪器运维服务采购</w:t>
      </w:r>
      <w:r>
        <w:rPr>
          <w:rFonts w:hint="eastAsia" w:ascii="宋体" w:hAnsi="宋体" w:cs="宋体"/>
          <w:szCs w:val="21"/>
          <w:highlight w:val="none"/>
          <w:u w:val="single"/>
        </w:rPr>
        <w:t xml:space="preserve">（项目名称）（项目</w:t>
      </w:r>
      <w:r>
        <w:rPr>
          <w:rFonts w:hint="eastAsia" w:ascii="宋体" w:hAnsi="宋体" w:cs="宋体"/>
          <w:color w:val="000000"/>
          <w:szCs w:val="21"/>
          <w:highlight w:val="none"/>
          <w:u w:val="single"/>
        </w:rPr>
        <w:t xml:space="preserve">编号：</w:t>
      </w:r>
      <w:r>
        <w:rPr>
          <w:rFonts w:hint="eastAsia" w:ascii="宋体" w:hAnsi="宋体" w:cs="宋体"/>
          <w:color w:val="000000"/>
          <w:szCs w:val="21"/>
          <w:highlight w:val="none"/>
          <w:u w:val="single"/>
          <w:lang w:eastAsia="zh-CN"/>
        </w:rPr>
        <w:t xml:space="preserve">JSZC-320000-JITC-D2026-0327</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，以本人名义处理一切与之相关的事务，其后果由我本人承担。</w:t>
      </w:r>
      <w:r/>
    </w:p>
    <w:p>
      <w:pPr>
        <w:ind w:firstLine="420"/>
        <w:spacing w:line="46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自然人姓名（签字）：  </w:t>
      </w:r>
      <w:r>
        <w:rPr>
          <w:rFonts w:hint="eastAsia" w:ascii="宋体" w:hAnsi="宋体" w:cs="宋体"/>
          <w:szCs w:val="21"/>
          <w:highlight w:val="none"/>
          <w:u w:val="single"/>
        </w:rPr>
        <w:t xml:space="preserve">                          </w:t>
      </w:r>
      <w:r/>
    </w:p>
    <w:p>
      <w:pPr>
        <w:pStyle w:val="909"/>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p>
    <w:p>
      <w:pPr>
        <w:pStyle w:val="909"/>
        <w:ind w:firstLine="420"/>
        <w:spacing w:after="0" w:line="460" w:lineRule="exact"/>
        <w:rPr>
          <w:rFonts w:hint="eastAsia" w:ascii="宋体" w:hAnsi="宋体" w:cs="宋体"/>
          <w:szCs w:val="21"/>
          <w:highlight w:val="none"/>
          <w:u w:val="singl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pStyle w:val="909"/>
        <w:ind w:firstLine="420"/>
        <w:spacing w:after="0" w:line="3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480" w:lineRule="auto"/>
        <w:rPr>
          <w:rFonts w:hint="eastAsia" w:ascii="宋体" w:hAnsi="宋体" w:cs="宋体"/>
          <w:highlight w:val="none"/>
        </w:rPr>
      </w:pPr>
      <w:r>
        <w:rPr>
          <w:rFonts w:hint="eastAsia" w:ascii="宋体" w:hAnsi="宋体" w:cs="宋体"/>
          <w:szCs w:val="21"/>
          <w:highlight w:val="none"/>
        </w:rPr>
        <w:t xml:space="preserve">附：</w:t>
      </w:r>
      <w:r>
        <w:rPr>
          <w:rFonts w:hint="eastAsia" w:ascii="宋体" w:hAnsi="宋体" w:cs="宋体"/>
          <w:highlight w:val="none"/>
        </w:rPr>
        <w:t xml:space="preserve">自然人</w:t>
      </w:r>
      <w:r>
        <w:rPr>
          <w:rFonts w:hint="eastAsia" w:ascii="宋体" w:hAnsi="宋体" w:cs="宋体"/>
          <w:szCs w:val="21"/>
          <w:highlight w:val="none"/>
        </w:rPr>
        <w:t xml:space="preserve">有效期内的</w:t>
      </w:r>
      <w:r>
        <w:rPr>
          <w:rFonts w:hint="eastAsia" w:ascii="宋体" w:hAnsi="宋体" w:cs="宋体"/>
          <w:highlight w:val="none"/>
        </w:rPr>
        <w:t xml:space="preserve">身份证复印件（正反面）</w:t>
      </w:r>
      <w:r/>
    </w:p>
    <w:tbl>
      <w:tblPr>
        <w:tblStyle w:val="880"/>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7"/>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eastAsia" w:ascii="宋体" w:hAnsi="宋体" w:cs="宋体"/>
                <w:sz w:val="20"/>
                <w:highlight w:val="none"/>
              </w:rPr>
            </w:pPr>
            <w:r>
              <w:rPr>
                <w:rFonts w:hint="eastAsia" w:ascii="宋体" w:hAnsi="宋体" w:cs="宋体"/>
                <w:sz w:val="20"/>
                <w:highlight w:val="none"/>
              </w:rPr>
            </w:r>
            <w:r/>
          </w:p>
        </w:tc>
        <w:tc>
          <w:tcPr>
            <w:tcW w:w="4677"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909"/>
        <w:spacing w:line="360" w:lineRule="auto"/>
        <w:rPr>
          <w:rFonts w:hint="eastAsia" w:ascii="宋体" w:hAnsi="宋体" w:cs="宋体"/>
          <w:szCs w:val="21"/>
          <w:highlight w:val="none"/>
        </w:rPr>
      </w:pPr>
      <w:r>
        <w:rPr>
          <w:rFonts w:hint="eastAsia" w:ascii="宋体" w:hAnsi="宋体" w:cs="宋体"/>
          <w:szCs w:val="21"/>
          <w:highlight w:val="none"/>
        </w:rPr>
        <w:t xml:space="preserve">授权代表有效期内的身份证复印件（正反面）</w:t>
      </w:r>
      <w:r/>
    </w:p>
    <w:tbl>
      <w:tblPr>
        <w:tblStyle w:val="880"/>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7"/>
              <w:jc w:val="center"/>
              <w:rPr>
                <w:rFonts w:hint="eastAsia" w:ascii="宋体" w:hAnsi="宋体" w:cs="宋体"/>
                <w:i/>
                <w:sz w:val="20"/>
                <w:highlight w:val="none"/>
              </w:rPr>
            </w:pPr>
            <w:r>
              <w:rPr>
                <w:rFonts w:hint="eastAsia" w:ascii="宋体" w:hAnsi="宋体" w:cs="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eastAsia" w:ascii="宋体" w:hAnsi="宋体" w:cs="宋体"/>
                <w:sz w:val="20"/>
                <w:highlight w:val="none"/>
              </w:rPr>
            </w:pPr>
            <w:r>
              <w:rPr>
                <w:rFonts w:hint="eastAsia" w:ascii="宋体" w:hAnsi="宋体" w:cs="宋体"/>
                <w:sz w:val="20"/>
                <w:highlight w:val="none"/>
              </w:rPr>
            </w:r>
            <w:r/>
          </w:p>
        </w:tc>
        <w:tc>
          <w:tcPr>
            <w:tcW w:w="4695" w:type="dxa"/>
            <w:vAlign w:val="center"/>
            <w:textDirection w:val="lrTb"/>
            <w:noWrap w:val="false"/>
          </w:tcPr>
          <w:p>
            <w:pPr>
              <w:jc w:val="center"/>
              <w:widowControl/>
              <w:rPr>
                <w:rFonts w:hint="eastAsia" w:ascii="宋体" w:hAnsi="宋体" w:cs="宋体"/>
                <w:sz w:val="20"/>
                <w:highlight w:val="none"/>
              </w:rPr>
            </w:pPr>
            <w:r>
              <w:rPr>
                <w:rFonts w:hint="eastAsia" w:ascii="宋体" w:hAnsi="宋体" w:cs="宋体"/>
                <w:i/>
                <w:sz w:val="24"/>
                <w:highlight w:val="none"/>
              </w:rPr>
              <w:t xml:space="preserve">身份证反面</w:t>
            </w:r>
            <w:r/>
          </w:p>
        </w:tc>
      </w:tr>
    </w:tbl>
    <w:p>
      <w:pPr>
        <w:pStyle w:val="909"/>
        <w:spacing w:line="240" w:lineRule="atLeast"/>
        <w:rPr>
          <w:rFonts w:hint="eastAsia" w:ascii="宋体" w:hAnsi="宋体" w:cs="宋体"/>
          <w:b/>
          <w:bCs/>
          <w:szCs w:val="21"/>
          <w:highlight w:val="none"/>
        </w:rPr>
      </w:pPr>
      <w:r>
        <w:rPr>
          <w:rFonts w:hint="eastAsia" w:ascii="宋体" w:hAnsi="宋体" w:cs="宋体"/>
          <w:b/>
          <w:bCs/>
          <w:szCs w:val="21"/>
          <w:highlight w:val="none"/>
        </w:rPr>
      </w:r>
      <w:r/>
    </w:p>
    <w:p>
      <w:pPr>
        <w:pStyle w:val="909"/>
        <w:spacing w:line="240" w:lineRule="atLeast"/>
        <w:rPr>
          <w:rFonts w:hint="eastAsia" w:ascii="宋体" w:hAnsi="宋体" w:cs="宋体"/>
          <w:b/>
          <w:bCs/>
          <w:szCs w:val="21"/>
          <w:highlight w:val="none"/>
        </w:rPr>
      </w:pPr>
      <w:r>
        <w:rPr>
          <w:rFonts w:hint="eastAsia" w:ascii="宋体" w:hAnsi="宋体" w:cs="宋体"/>
          <w:b/>
          <w:bCs/>
          <w:szCs w:val="21"/>
          <w:highlight w:val="none"/>
        </w:rPr>
        <w:t xml:space="preserve">注：若响应文件中签字之处均为投标自然人本人签署，则可不提供本《授权委托书》，但须提供自然人身份证复印件。</w:t>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909"/>
        <w:spacing w:line="240" w:lineRule="atLeast"/>
        <w:rPr>
          <w:rFonts w:hint="eastAsia" w:ascii="宋体" w:hAnsi="宋体" w:cs="宋体"/>
          <w:b/>
          <w:bCs/>
          <w:szCs w:val="21"/>
          <w:highlight w:val="none"/>
        </w:rPr>
      </w:pPr>
      <w:r>
        <w:rPr>
          <w:rFonts w:hint="eastAsia" w:ascii="宋体" w:hAnsi="宋体" w:cs="宋体"/>
          <w:b/>
          <w:bCs/>
          <w:szCs w:val="21"/>
          <w:highlight w:val="none"/>
        </w:rPr>
      </w:r>
      <w:r/>
    </w:p>
    <w:p>
      <w:pPr>
        <w:pStyle w:val="1167"/>
        <w:jc w:val="center"/>
        <w:spacing w:line="440" w:lineRule="exact"/>
        <w:rPr>
          <w:rFonts w:hint="eastAsia" w:ascii="宋体" w:hAnsi="宋体" w:eastAsia="宋体" w:cs="宋体"/>
          <w:b/>
          <w:highlight w:val="none"/>
        </w:rPr>
        <w:outlineLvl w:val="0"/>
      </w:pPr>
      <w:r/>
      <w:bookmarkStart w:id="100" w:name="_Toc2295"/>
      <w:r>
        <w:rPr>
          <w:rFonts w:hint="eastAsia" w:ascii="宋体" w:hAnsi="宋体" w:eastAsia="宋体" w:cs="宋体"/>
          <w:b/>
          <w:highlight w:val="none"/>
        </w:rPr>
        <w:t xml:space="preserve">（4）</w:t>
      </w:r>
      <w:bookmarkEnd w:id="84"/>
      <w:r/>
      <w:bookmarkEnd w:id="94"/>
      <w:r/>
      <w:bookmarkEnd w:id="95"/>
      <w:r>
        <w:rPr>
          <w:rFonts w:hint="eastAsia" w:ascii="宋体" w:hAnsi="宋体" w:eastAsia="宋体" w:cs="宋体"/>
          <w:b/>
          <w:highlight w:val="none"/>
        </w:rPr>
        <w:t xml:space="preserve">报价一览表</w:t>
      </w:r>
      <w:bookmarkEnd w:id="100"/>
      <w:r/>
      <w:r/>
    </w:p>
    <w:p>
      <w:pPr>
        <w:pStyle w:val="909"/>
        <w:rPr>
          <w:rFonts w:hint="eastAsia" w:ascii="宋体" w:hAnsi="宋体" w:cs="宋体"/>
          <w:highlight w:val="none"/>
        </w:rPr>
      </w:pPr>
      <w:r>
        <w:rPr>
          <w:rFonts w:hint="eastAsia" w:ascii="宋体" w:hAnsi="宋体" w:cs="宋体"/>
          <w:highlight w:val="none"/>
        </w:rPr>
      </w:r>
      <w:r/>
    </w:p>
    <w:p>
      <w:pPr>
        <w:pStyle w:val="1167"/>
        <w:spacing w:before="240" w:after="240"/>
        <w:rPr>
          <w:rStyle w:val="1153"/>
          <w:rFonts w:hint="eastAsia" w:ascii="宋体" w:hAnsi="宋体" w:eastAsia="宋体" w:cs="宋体"/>
          <w:color w:val="000000"/>
          <w:sz w:val="21"/>
          <w:szCs w:val="21"/>
          <w:highlight w:val="none"/>
        </w:rPr>
      </w:pPr>
      <w:r/>
      <w:bookmarkStart w:id="101" w:name="_Toc103848581"/>
      <w:r>
        <w:rPr>
          <w:rStyle w:val="1153"/>
          <w:rFonts w:hint="eastAsia" w:ascii="宋体" w:hAnsi="宋体" w:eastAsia="宋体" w:cs="宋体"/>
          <w:color w:val="000000"/>
          <w:sz w:val="21"/>
          <w:szCs w:val="21"/>
          <w:highlight w:val="none"/>
        </w:rPr>
        <w:t xml:space="preserve">供应商全称（加盖公章）：</w:t>
      </w:r>
      <w:r/>
    </w:p>
    <w:p>
      <w:pPr>
        <w:pStyle w:val="1167"/>
        <w:spacing w:before="240" w:after="240"/>
        <w:rPr>
          <w:rStyle w:val="1153"/>
          <w:rFonts w:hint="eastAsia" w:ascii="宋体" w:hAnsi="宋体" w:eastAsia="宋体" w:cs="宋体"/>
          <w:color w:val="000000"/>
          <w:sz w:val="21"/>
          <w:szCs w:val="21"/>
          <w:highlight w:val="none"/>
        </w:rPr>
      </w:pPr>
      <w:r>
        <w:rPr>
          <w:rStyle w:val="1153"/>
          <w:rFonts w:hint="eastAsia" w:ascii="宋体" w:hAnsi="宋体" w:eastAsia="宋体" w:cs="宋体"/>
          <w:color w:val="000000"/>
          <w:sz w:val="21"/>
          <w:szCs w:val="21"/>
          <w:highlight w:val="none"/>
        </w:rPr>
        <w:t xml:space="preserve">项目编号：</w:t>
      </w:r>
      <w:r/>
    </w:p>
    <w:p>
      <w:pPr>
        <w:pStyle w:val="1167"/>
        <w:spacing w:before="240" w:after="240"/>
        <w:rPr>
          <w:rStyle w:val="1153"/>
          <w:rFonts w:hint="eastAsia" w:ascii="宋体" w:hAnsi="宋体" w:eastAsia="宋体" w:cs="宋体"/>
          <w:color w:val="000000"/>
          <w:sz w:val="21"/>
          <w:szCs w:val="21"/>
          <w:highlight w:val="none"/>
        </w:rPr>
      </w:pPr>
      <w:r>
        <w:rPr>
          <w:rStyle w:val="1153"/>
          <w:rFonts w:hint="eastAsia" w:ascii="宋体" w:hAnsi="宋体" w:eastAsia="宋体" w:cs="宋体"/>
          <w:color w:val="000000"/>
          <w:sz w:val="21"/>
          <w:szCs w:val="21"/>
          <w:highlight w:val="none"/>
        </w:rPr>
        <w:t xml:space="preserve">采购包号：</w:t>
      </w:r>
      <w:r/>
    </w:p>
    <w:tbl>
      <w:tblPr>
        <w:tblStyle w:val="1175"/>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8"/>
        <w:gridCol w:w="5274"/>
      </w:tblGrid>
      <w:tr>
        <w:trPr>
          <w:trHeight w:val="1326"/>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W w:w="5274" w:type="dxa"/>
            <w:textDirection w:val="lrTb"/>
            <w:noWrap w:val="false"/>
          </w:tcPr>
          <w:p>
            <w:pPr>
              <w:pStyle w:val="1173"/>
              <w:jc w:val="center"/>
              <w:rPr>
                <w:rFonts w:hint="eastAsia" w:ascii="宋体" w:hAnsi="宋体" w:cs="宋体"/>
                <w:szCs w:val="21"/>
                <w:highlight w:val="none"/>
              </w:rPr>
            </w:pPr>
            <w:r>
              <w:rPr>
                <w:rFonts w:hint="eastAsia" w:ascii="宋体" w:hAnsi="宋体" w:cs="宋体"/>
                <w:szCs w:val="21"/>
                <w:highlight w:val="none"/>
              </w:rPr>
            </w:r>
            <w:r/>
          </w:p>
        </w:tc>
      </w:tr>
      <w:tr>
        <w:trPr>
          <w:trHeight w:val="1174"/>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项目编号</w:t>
            </w:r>
            <w:r/>
          </w:p>
        </w:tc>
        <w:tc>
          <w:tcPr>
            <w:tcW w:w="5274" w:type="dxa"/>
            <w:textDirection w:val="lrTb"/>
            <w:noWrap w:val="false"/>
          </w:tcPr>
          <w:p>
            <w:pPr>
              <w:pStyle w:val="1173"/>
              <w:rPr>
                <w:rFonts w:hint="eastAsia" w:ascii="宋体" w:hAnsi="宋体" w:cs="宋体"/>
                <w:szCs w:val="21"/>
                <w:highlight w:val="none"/>
              </w:rPr>
            </w:pPr>
            <w:r>
              <w:rPr>
                <w:rFonts w:hint="eastAsia" w:ascii="宋体" w:hAnsi="宋体" w:cs="宋体"/>
                <w:szCs w:val="21"/>
                <w:highlight w:val="none"/>
              </w:rPr>
            </w:r>
            <w:r/>
          </w:p>
        </w:tc>
      </w:tr>
      <w:tr>
        <w:trPr>
          <w:trHeight w:val="1643"/>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报价</w:t>
            </w:r>
            <w:r/>
          </w:p>
        </w:tc>
        <w:tc>
          <w:tcPr>
            <w:tcW w:w="5274" w:type="dxa"/>
            <w:vAlign w:val="center"/>
            <w:textDirection w:val="lrTb"/>
            <w:noWrap w:val="false"/>
          </w:tcPr>
          <w:p>
            <w:pPr>
              <w:pStyle w:val="1174"/>
              <w:spacing w:before="0" w:beforeAutospacing="0" w:after="313" w:afterAutospacing="0"/>
              <w:rPr>
                <w:rFonts w:hint="eastAsia"/>
                <w:sz w:val="21"/>
                <w:szCs w:val="21"/>
                <w:highlight w:val="none"/>
              </w:rPr>
            </w:pPr>
            <w:r>
              <w:rPr>
                <w:rFonts w:hint="eastAsia"/>
                <w:sz w:val="21"/>
                <w:szCs w:val="21"/>
                <w:highlight w:val="none"/>
              </w:rPr>
            </w:r>
            <w:r/>
          </w:p>
          <w:p>
            <w:pPr>
              <w:pStyle w:val="1174"/>
              <w:spacing w:before="0" w:beforeAutospacing="0" w:after="313" w:afterAutospacing="0"/>
              <w:rPr>
                <w:rFonts w:hint="eastAsia"/>
                <w:sz w:val="21"/>
                <w:szCs w:val="21"/>
                <w:highlight w:val="none"/>
              </w:rPr>
            </w:pPr>
            <w:r>
              <w:rPr>
                <w:rFonts w:hint="eastAsia"/>
                <w:sz w:val="21"/>
                <w:szCs w:val="21"/>
                <w:highlight w:val="none"/>
              </w:rPr>
              <w:t xml:space="preserve">￥</w:t>
            </w:r>
            <w:r>
              <w:rPr>
                <w:rFonts w:hint="eastAsia"/>
                <w:sz w:val="21"/>
                <w:szCs w:val="21"/>
                <w:highlight w:val="none"/>
                <w:u w:val="single"/>
              </w:rPr>
              <w:t xml:space="preserve">          </w:t>
            </w:r>
            <w:r>
              <w:rPr>
                <w:rFonts w:hint="eastAsia"/>
                <w:sz w:val="21"/>
                <w:szCs w:val="21"/>
                <w:highlight w:val="none"/>
              </w:rPr>
              <w:t xml:space="preserve">元</w:t>
            </w:r>
            <w:r/>
          </w:p>
          <w:p>
            <w:pPr>
              <w:pStyle w:val="1174"/>
              <w:spacing w:before="0" w:beforeAutospacing="0" w:after="313" w:afterAutospacing="0"/>
              <w:rPr>
                <w:rFonts w:hint="eastAsia"/>
                <w:sz w:val="21"/>
                <w:szCs w:val="21"/>
                <w:highlight w:val="none"/>
              </w:rPr>
            </w:pPr>
            <w:r>
              <w:rPr>
                <w:rFonts w:hint="eastAsia"/>
                <w:sz w:val="21"/>
                <w:szCs w:val="21"/>
                <w:highlight w:val="none"/>
              </w:rPr>
              <w:t xml:space="preserve">人民币 (大写)</w:t>
            </w:r>
            <w:r>
              <w:rPr>
                <w:rFonts w:hint="eastAsia"/>
                <w:sz w:val="21"/>
                <w:szCs w:val="21"/>
                <w:highlight w:val="none"/>
                <w:u w:val="single"/>
              </w:rPr>
              <w:t xml:space="preserve">            </w:t>
            </w:r>
            <w:r/>
          </w:p>
          <w:p>
            <w:pPr>
              <w:jc w:val="left"/>
              <w:spacing w:line="0" w:lineRule="atLeast"/>
              <w:rPr>
                <w:rFonts w:hint="eastAsia" w:ascii="宋体" w:hAnsi="宋体" w:cs="宋体"/>
                <w:szCs w:val="21"/>
                <w:highlight w:val="none"/>
              </w:rPr>
            </w:pPr>
            <w:r>
              <w:rPr>
                <w:rFonts w:hint="eastAsia" w:ascii="宋体" w:hAnsi="宋体" w:cs="宋体"/>
                <w:szCs w:val="21"/>
                <w:highlight w:val="none"/>
              </w:rPr>
            </w:r>
            <w:r/>
          </w:p>
        </w:tc>
      </w:tr>
      <w:tr>
        <w:trPr>
          <w:trHeight w:val="1211"/>
        </w:trPr>
        <w:tc>
          <w:tcPr>
            <w:tcW w:w="3248" w:type="dxa"/>
            <w:vAlign w:val="center"/>
            <w:textDirection w:val="lrTb"/>
            <w:noWrap w:val="false"/>
          </w:tcPr>
          <w:p>
            <w:pPr>
              <w:jc w:val="center"/>
              <w:spacing w:line="0" w:lineRule="atLeast"/>
              <w:rPr>
                <w:rFonts w:hint="eastAsia" w:ascii="宋体" w:hAnsi="宋体" w:cs="宋体"/>
                <w:b/>
                <w:bCs/>
                <w:szCs w:val="21"/>
                <w:highlight w:val="none"/>
              </w:rPr>
            </w:pPr>
            <w:r>
              <w:rPr>
                <w:rFonts w:hint="eastAsia" w:ascii="宋体" w:hAnsi="宋体" w:cs="宋体"/>
                <w:b/>
                <w:bCs/>
                <w:szCs w:val="21"/>
                <w:highlight w:val="none"/>
              </w:rPr>
              <w:t xml:space="preserve">服务时间</w:t>
            </w:r>
            <w:r/>
          </w:p>
        </w:tc>
        <w:tc>
          <w:tcPr>
            <w:tcW w:w="5274" w:type="dxa"/>
            <w:vAlign w:val="center"/>
            <w:textDirection w:val="lrTb"/>
            <w:noWrap w:val="false"/>
          </w:tcPr>
          <w:p>
            <w:pPr>
              <w:jc w:val="center"/>
              <w:spacing w:line="0" w:lineRule="atLeast"/>
              <w:rPr>
                <w:rFonts w:hint="eastAsia" w:ascii="宋体" w:hAnsi="宋体" w:cs="宋体"/>
                <w:szCs w:val="21"/>
                <w:highlight w:val="none"/>
              </w:rPr>
            </w:pPr>
            <w:r>
              <w:rPr>
                <w:rFonts w:hint="eastAsia" w:ascii="宋体" w:hAnsi="宋体" w:cs="宋体"/>
                <w:szCs w:val="21"/>
                <w:highlight w:val="none"/>
              </w:rPr>
              <w:t xml:space="preserve">满足采购文件要求</w:t>
            </w:r>
            <w:r/>
          </w:p>
        </w:tc>
      </w:tr>
    </w:tbl>
    <w:p>
      <w:pPr>
        <w:pStyle w:val="1173"/>
        <w:rPr>
          <w:rFonts w:hint="eastAsia" w:ascii="宋体" w:hAnsi="宋体" w:cs="宋体"/>
          <w:highlight w:val="none"/>
        </w:rPr>
      </w:pPr>
      <w:r>
        <w:rPr>
          <w:rFonts w:hint="eastAsia" w:ascii="宋体" w:hAnsi="宋体" w:cs="宋体"/>
          <w:highlight w:val="none"/>
        </w:rPr>
      </w:r>
      <w:r/>
    </w:p>
    <w:p>
      <w:pPr>
        <w:pStyle w:val="1173"/>
        <w:ind w:firstLine="3780"/>
        <w:rPr>
          <w:rFonts w:hint="eastAsia" w:ascii="宋体" w:hAnsi="宋体" w:cs="宋体"/>
          <w:highlight w:val="none"/>
          <w:u w:val="single"/>
        </w:rPr>
      </w:pPr>
      <w:r>
        <w:rPr>
          <w:rFonts w:hint="eastAsia" w:ascii="宋体" w:hAnsi="宋体" w:cs="宋体"/>
          <w:highlight w:val="none"/>
        </w:rPr>
        <w:t xml:space="preserve">供应商名称（公章）：</w:t>
      </w:r>
      <w:r>
        <w:rPr>
          <w:rFonts w:hint="eastAsia" w:ascii="宋体" w:hAnsi="宋体" w:cs="宋体"/>
          <w:highlight w:val="none"/>
          <w:u w:val="single"/>
        </w:rPr>
        <w:t xml:space="preserve">                      </w:t>
      </w:r>
      <w:r/>
    </w:p>
    <w:p>
      <w:pPr>
        <w:spacing w:line="276" w:lineRule="auto"/>
        <w:rPr>
          <w:rFonts w:hint="eastAsia" w:ascii="宋体" w:hAnsi="宋体" w:cs="宋体"/>
          <w:highlight w:val="none"/>
          <w:u w:val="single"/>
        </w:rPr>
      </w:pPr>
      <w:r>
        <w:rPr>
          <w:rFonts w:hint="eastAsia" w:ascii="宋体" w:hAnsi="宋体" w:cs="宋体"/>
          <w:highlight w:val="none"/>
          <w:u w:val="single"/>
        </w:rPr>
      </w:r>
      <w:r/>
    </w:p>
    <w:p>
      <w:pPr>
        <w:spacing w:line="276" w:lineRule="auto"/>
        <w:rPr>
          <w:rFonts w:hint="eastAsia" w:ascii="宋体" w:hAnsi="宋体" w:cs="宋体"/>
          <w:szCs w:val="21"/>
          <w:highlight w:val="none"/>
          <w:u w:val="single"/>
        </w:rPr>
      </w:pPr>
      <w:r>
        <w:rPr>
          <w:rFonts w:hint="eastAsia" w:ascii="宋体" w:hAnsi="宋体" w:cs="宋体"/>
          <w:szCs w:val="21"/>
          <w:highlight w:val="none"/>
          <w:u w:val="single"/>
        </w:rPr>
      </w:r>
      <w:r/>
    </w:p>
    <w:p>
      <w:pPr>
        <w:pStyle w:val="1167"/>
        <w:spacing w:before="240" w:after="240"/>
        <w:rPr>
          <w:rStyle w:val="1153"/>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7"/>
        <w:spacing w:before="240" w:after="240"/>
        <w:rPr>
          <w:rStyle w:val="1153"/>
          <w:rFonts w:hint="eastAsia" w:ascii="宋体" w:hAnsi="宋体" w:eastAsia="宋体" w:cs="宋体"/>
          <w:color w:val="000000"/>
          <w:highlight w:val="none"/>
        </w:rPr>
      </w:pPr>
      <w:r>
        <w:rPr>
          <w:rStyle w:val="1153"/>
          <w:rFonts w:hint="eastAsia" w:ascii="宋体" w:hAnsi="宋体" w:eastAsia="宋体" w:cs="宋体"/>
          <w:color w:val="000000"/>
          <w:highlight w:val="none"/>
        </w:rPr>
        <w:t xml:space="preserve">                                            日期：  年   月   日</w:t>
      </w:r>
      <w:bookmarkEnd w:id="101"/>
      <w:r/>
    </w:p>
    <w:p>
      <w:pPr>
        <w:pStyle w:val="1168"/>
        <w:rPr>
          <w:rStyle w:val="1153"/>
          <w:rFonts w:hint="eastAsia" w:ascii="宋体" w:hAnsi="宋体" w:eastAsia="宋体" w:cs="宋体"/>
          <w:color w:val="000000"/>
          <w:highlight w:val="none"/>
        </w:rPr>
      </w:pPr>
      <w:r/>
      <w:bookmarkStart w:id="102" w:name="_Toc1415"/>
      <w:r/>
      <w:bookmarkEnd w:id="102"/>
      <w:r/>
      <w:r/>
    </w:p>
    <w:p>
      <w:pPr>
        <w:pStyle w:val="891"/>
        <w:ind w:left="0"/>
        <w:rPr>
          <w:rFonts w:hint="eastAsia" w:hAnsi="宋体" w:cs="宋体"/>
          <w:highlight w:val="none"/>
        </w:rPr>
      </w:pPr>
      <w:r>
        <w:rPr>
          <w:rFonts w:hint="eastAsia" w:hAnsi="宋体" w:cs="宋体"/>
          <w:highlight w:val="none"/>
        </w:rPr>
      </w:r>
      <w:r/>
    </w:p>
    <w:p>
      <w:pPr>
        <w:rPr>
          <w:rFonts w:hint="eastAsia" w:ascii="宋体" w:hAnsi="宋体" w:cs="宋体"/>
          <w:b/>
          <w:sz w:val="24"/>
          <w:highlight w:val="none"/>
        </w:rPr>
      </w:pPr>
      <w:r/>
      <w:bookmarkStart w:id="103" w:name="_Toc104560901"/>
      <w:r/>
      <w:bookmarkStart w:id="104" w:name="_Toc103848586"/>
      <w:r/>
      <w:bookmarkStart w:id="105" w:name="_Toc107246281"/>
      <w:r/>
      <w:bookmarkStart w:id="106" w:name="_Toc102117319"/>
      <w:r/>
      <w:bookmarkEnd w:id="103"/>
      <w:bookmarkEnd w:id="104"/>
      <w:bookmarkEnd w:id="105"/>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b/>
          <w:sz w:val="24"/>
          <w:highlight w:val="none"/>
        </w:rPr>
      </w:pPr>
      <w:r/>
      <w:bookmarkStart w:id="107" w:name="_Toc102117317"/>
      <w:r>
        <w:rPr>
          <w:rFonts w:hint="eastAsia" w:ascii="宋体" w:hAnsi="宋体" w:cs="宋体"/>
          <w:b/>
          <w:sz w:val="24"/>
          <w:highlight w:val="none"/>
        </w:rPr>
        <w:br w:type="page" w:clear="all"/>
      </w:r>
      <w:r/>
    </w:p>
    <w:p>
      <w:pPr>
        <w:pStyle w:val="1145"/>
        <w:jc w:val="center"/>
        <w:rPr>
          <w:rFonts w:hint="eastAsia" w:ascii="宋体" w:hAnsi="宋体" w:cs="宋体"/>
          <w:b/>
          <w:sz w:val="24"/>
          <w:szCs w:val="24"/>
          <w:highlight w:val="none"/>
        </w:rPr>
      </w:pPr>
      <w:r>
        <w:rPr>
          <w:rFonts w:hint="eastAsia" w:ascii="宋体" w:hAnsi="宋体" w:cs="宋体"/>
          <w:b/>
          <w:sz w:val="24"/>
          <w:szCs w:val="24"/>
          <w:highlight w:val="none"/>
        </w:rPr>
        <w:t xml:space="preserve">（5）分项报价表</w:t>
      </w:r>
      <w:bookmarkEnd w:id="107"/>
      <w:r>
        <w:rPr>
          <w:rFonts w:hint="eastAsia" w:ascii="宋体" w:hAnsi="宋体" w:cs="宋体"/>
          <w:b/>
          <w:sz w:val="24"/>
          <w:szCs w:val="24"/>
          <w:highlight w:val="none"/>
        </w:rPr>
        <w:t xml:space="preserve">（格式自拟）</w:t>
      </w:r>
      <w:r/>
    </w:p>
    <w:p>
      <w:pPr>
        <w:rPr>
          <w:highlight w:val="none"/>
        </w:rPr>
      </w:pPr>
      <w:r>
        <w:rPr>
          <w:highlight w:val="none"/>
        </w:rPr>
      </w:r>
      <w:r/>
    </w:p>
    <w:p>
      <w:pPr>
        <w:pStyle w:val="1167"/>
        <w:spacing w:before="240" w:after="240"/>
        <w:rPr>
          <w:rStyle w:val="1153"/>
          <w:rFonts w:hint="eastAsia" w:ascii="宋体" w:hAnsi="宋体" w:eastAsia="宋体" w:cs="宋体"/>
          <w:color w:val="000000"/>
          <w:sz w:val="21"/>
          <w:szCs w:val="21"/>
          <w:highlight w:val="none"/>
        </w:rPr>
      </w:pPr>
      <w:r/>
      <w:bookmarkStart w:id="108" w:name="_Toc107246282"/>
      <w:r/>
      <w:bookmarkStart w:id="109" w:name="_Toc103848587"/>
      <w:r/>
      <w:bookmarkStart w:id="110" w:name="_Toc104560902"/>
      <w:r>
        <w:rPr>
          <w:rStyle w:val="1153"/>
          <w:rFonts w:hint="eastAsia" w:ascii="宋体" w:hAnsi="宋体" w:eastAsia="宋体" w:cs="宋体"/>
          <w:color w:val="000000"/>
          <w:sz w:val="21"/>
          <w:szCs w:val="21"/>
          <w:highlight w:val="none"/>
        </w:rPr>
        <w:t xml:space="preserve">项目名称：            </w:t>
      </w:r>
      <w:r/>
    </w:p>
    <w:p>
      <w:pPr>
        <w:pStyle w:val="1167"/>
        <w:spacing w:before="240" w:after="240"/>
        <w:rPr>
          <w:rStyle w:val="1153"/>
          <w:rFonts w:hint="eastAsia" w:ascii="宋体" w:hAnsi="宋体" w:eastAsia="宋体" w:cs="宋体"/>
          <w:color w:val="000000"/>
          <w:sz w:val="21"/>
          <w:szCs w:val="21"/>
          <w:highlight w:val="none"/>
        </w:rPr>
      </w:pPr>
      <w:r>
        <w:rPr>
          <w:rStyle w:val="1153"/>
          <w:rFonts w:hint="eastAsia" w:ascii="宋体" w:hAnsi="宋体" w:eastAsia="宋体" w:cs="宋体"/>
          <w:color w:val="000000"/>
          <w:sz w:val="21"/>
          <w:szCs w:val="21"/>
          <w:highlight w:val="none"/>
        </w:rPr>
        <w:t xml:space="preserve">项目编号：</w:t>
      </w:r>
      <w:r/>
    </w:p>
    <w:tbl>
      <w:tblPr>
        <w:tblStyle w:val="880"/>
        <w:tblW w:w="8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226"/>
        <w:gridCol w:w="908"/>
        <w:gridCol w:w="687"/>
        <w:gridCol w:w="1091"/>
        <w:gridCol w:w="971"/>
        <w:gridCol w:w="815"/>
        <w:gridCol w:w="831"/>
        <w:gridCol w:w="1176"/>
      </w:tblGrid>
      <w:tr>
        <w:trPr>
          <w:jc w:val="center"/>
          <w:trHeight w:val="631"/>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小计</w:t>
            </w:r>
            <w:r/>
          </w:p>
        </w:tc>
      </w:tr>
      <w:tr>
        <w:trPr>
          <w:jc w:val="center"/>
          <w:trHeight w:val="516"/>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3"/>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64"/>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07"/>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合计</w:t>
            </w:r>
            <w:r/>
          </w:p>
        </w:tc>
        <w:tc>
          <w:tcPr>
            <w:gridSpan w:val="8"/>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bl>
    <w:p>
      <w:pPr>
        <w:spacing w:line="360" w:lineRule="auto"/>
        <w:rPr>
          <w:rStyle w:val="1153"/>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highlight w:val="none"/>
        </w:rPr>
      </w:pPr>
      <w:r>
        <w:rPr>
          <w:rFonts w:hint="eastAsia" w:ascii="宋体" w:hAnsi="宋体" w:cs="宋体"/>
          <w:highlight w:val="none"/>
        </w:rPr>
      </w:r>
      <w:r/>
    </w:p>
    <w:p>
      <w:pPr>
        <w:pStyle w:val="1145"/>
        <w:rPr>
          <w:rFonts w:hint="eastAsia" w:ascii="宋体" w:hAnsi="宋体" w:cs="宋体"/>
          <w:highlight w:val="none"/>
        </w:rPr>
      </w:pPr>
      <w:r>
        <w:rPr>
          <w:rFonts w:hint="eastAsia" w:ascii="宋体" w:hAnsi="宋体" w:cs="宋体"/>
          <w:highlight w:val="none"/>
        </w:rPr>
      </w:r>
      <w:r/>
    </w:p>
    <w:p>
      <w:pPr>
        <w:pStyle w:val="1145"/>
        <w:rPr>
          <w:rFonts w:hint="eastAsia" w:ascii="宋体" w:hAnsi="宋体" w:cs="宋体"/>
          <w:szCs w:val="21"/>
          <w:highlight w:val="none"/>
        </w:rPr>
      </w:pPr>
      <w:r>
        <w:rPr>
          <w:rFonts w:hint="eastAsia" w:ascii="宋体" w:hAnsi="宋体" w:cs="宋体"/>
          <w:szCs w:val="21"/>
          <w:highlight w:val="none"/>
        </w:rPr>
      </w:r>
      <w:r/>
    </w:p>
    <w:p>
      <w:pPr>
        <w:pStyle w:val="1173"/>
        <w:jc w:val="right"/>
        <w:rPr>
          <w:rFonts w:hint="eastAsia" w:ascii="宋体" w:hAnsi="宋体" w:cs="宋体"/>
          <w:szCs w:val="21"/>
          <w:highlight w:val="none"/>
          <w:u w:val="singl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p>
    <w:p>
      <w:pPr>
        <w:jc w:val="right"/>
        <w:spacing w:line="276" w:lineRule="auto"/>
        <w:rPr>
          <w:rFonts w:hint="eastAsia" w:ascii="宋体" w:hAnsi="宋体" w:cs="宋体"/>
          <w:szCs w:val="21"/>
          <w:highlight w:val="none"/>
        </w:rPr>
      </w:pP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rPr>
          <w:rFonts w:hint="eastAsia" w:ascii="宋体" w:hAnsi="宋体" w:cs="宋体"/>
          <w:b/>
          <w:sz w:val="24"/>
          <w:highlight w:val="none"/>
        </w:rPr>
      </w:pPr>
      <w:r>
        <w:rPr>
          <w:rFonts w:hint="eastAsia" w:ascii="宋体" w:hAnsi="宋体" w:cs="宋体"/>
          <w:b/>
          <w:sz w:val="24"/>
          <w:highlight w:val="none"/>
        </w:rPr>
        <w:br w:type="page" w:clear="all"/>
      </w:r>
      <w:r/>
    </w:p>
    <w:p>
      <w:pPr>
        <w:pStyle w:val="911"/>
        <w:ind w:firstLine="426"/>
        <w:spacing w:before="0"/>
        <w:rPr>
          <w:rFonts w:hint="eastAsia" w:ascii="宋体" w:hAnsi="宋体" w:cs="宋体"/>
          <w:sz w:val="24"/>
          <w:szCs w:val="24"/>
          <w:highlight w:val="none"/>
        </w:rPr>
      </w:pPr>
      <w:r/>
      <w:bookmarkStart w:id="111" w:name="_Toc22715"/>
      <w:r>
        <w:rPr>
          <w:rFonts w:hint="eastAsia" w:ascii="宋体" w:hAnsi="宋体" w:cs="宋体"/>
          <w:bCs w:val="0"/>
          <w:sz w:val="24"/>
          <w:szCs w:val="24"/>
          <w:highlight w:val="none"/>
        </w:rPr>
        <w:t xml:space="preserve">（6）商务条款偏离表</w:t>
      </w:r>
      <w:bookmarkEnd w:id="111"/>
      <w:r/>
      <w:r/>
    </w:p>
    <w:tbl>
      <w:tblPr>
        <w:tblStyle w:val="880"/>
        <w:tblW w:w="9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1991"/>
        <w:gridCol w:w="2027"/>
        <w:gridCol w:w="2559"/>
        <w:gridCol w:w="1438"/>
      </w:tblGrid>
      <w:tr>
        <w:trPr>
          <w:jc w:val="center"/>
          <w:trHeight w:val="635"/>
        </w:trPr>
        <w:tc>
          <w:tcPr>
            <w:tcW w:w="1115" w:type="dxa"/>
            <w:vAlign w:val="center"/>
            <w:textDirection w:val="lrTb"/>
            <w:noWrap w:val="false"/>
          </w:tcPr>
          <w:p>
            <w:pPr>
              <w:pStyle w:val="1119"/>
              <w:ind w:firstLine="0"/>
              <w:jc w:val="center"/>
              <w:rPr>
                <w:rFonts w:hint="eastAsia" w:hAnsi="宋体" w:cs="宋体"/>
                <w:sz w:val="21"/>
                <w:szCs w:val="21"/>
                <w:highlight w:val="none"/>
              </w:rPr>
            </w:pPr>
            <w:r>
              <w:rPr>
                <w:rFonts w:hint="eastAsia" w:ascii="Times New Roman" w:hAnsi="Times New Roman"/>
                <w:b/>
                <w:sz w:val="21"/>
                <w:szCs w:val="21"/>
                <w:highlight w:val="none"/>
              </w:rPr>
              <w:t xml:space="preserve">序号</w:t>
            </w:r>
            <w:r/>
          </w:p>
        </w:tc>
        <w:tc>
          <w:tcPr>
            <w:tcW w:w="1991" w:type="dxa"/>
            <w:vAlign w:val="center"/>
            <w:textDirection w:val="lrTb"/>
            <w:noWrap w:val="false"/>
          </w:tcPr>
          <w:p>
            <w:pPr>
              <w:jc w:val="center"/>
              <w:spacing w:line="400" w:lineRule="exact"/>
              <w:rPr>
                <w:rFonts w:hint="eastAsia" w:hAnsi="宋体" w:cs="宋体"/>
                <w:szCs w:val="21"/>
                <w:highlight w:val="none"/>
              </w:rPr>
            </w:pPr>
            <w:r>
              <w:rPr>
                <w:b/>
                <w:szCs w:val="21"/>
                <w:highlight w:val="none"/>
              </w:rPr>
              <w:t xml:space="preserve">采购文件要求</w:t>
            </w:r>
            <w:r/>
          </w:p>
        </w:tc>
        <w:tc>
          <w:tcPr>
            <w:tcW w:w="2027" w:type="dxa"/>
            <w:vAlign w:val="center"/>
            <w:textDirection w:val="lrTb"/>
            <w:noWrap w:val="false"/>
          </w:tcPr>
          <w:p>
            <w:pPr>
              <w:jc w:val="center"/>
              <w:spacing w:line="400" w:lineRule="exact"/>
              <w:rPr>
                <w:rFonts w:hint="eastAsia" w:hAnsi="宋体" w:cs="宋体"/>
                <w:szCs w:val="21"/>
                <w:highlight w:val="none"/>
              </w:rPr>
            </w:pPr>
            <w:r>
              <w:rPr>
                <w:rFonts w:hint="eastAsia"/>
                <w:b/>
                <w:szCs w:val="21"/>
                <w:highlight w:val="none"/>
              </w:rPr>
              <w:t xml:space="preserve">供应商</w:t>
            </w:r>
            <w:r>
              <w:rPr>
                <w:b/>
                <w:szCs w:val="21"/>
                <w:highlight w:val="none"/>
              </w:rPr>
              <w:t xml:space="preserve">响应内容</w:t>
            </w:r>
            <w:r/>
          </w:p>
        </w:tc>
        <w:tc>
          <w:tcPr>
            <w:tcW w:w="2559" w:type="dxa"/>
            <w:vAlign w:val="center"/>
            <w:textDirection w:val="lrTb"/>
            <w:noWrap w:val="false"/>
          </w:tcPr>
          <w:p>
            <w:pPr>
              <w:jc w:val="center"/>
              <w:spacing w:line="400" w:lineRule="exact"/>
              <w:rPr>
                <w:b/>
                <w:szCs w:val="21"/>
                <w:highlight w:val="none"/>
              </w:rPr>
            </w:pPr>
            <w:r>
              <w:rPr>
                <w:b/>
                <w:szCs w:val="21"/>
                <w:highlight w:val="none"/>
              </w:rPr>
              <w:t xml:space="preserve">偏离情况</w:t>
            </w:r>
            <w:r/>
          </w:p>
          <w:p>
            <w:pPr>
              <w:jc w:val="center"/>
              <w:spacing w:line="400" w:lineRule="exact"/>
              <w:rPr>
                <w:b/>
                <w:szCs w:val="21"/>
                <w:highlight w:val="none"/>
              </w:rPr>
            </w:pPr>
            <w:r>
              <w:rPr>
                <w:b/>
                <w:szCs w:val="21"/>
                <w:highlight w:val="none"/>
              </w:rPr>
              <w:t xml:space="preserve">（据实填写）</w:t>
            </w:r>
            <w:r/>
          </w:p>
        </w:tc>
        <w:tc>
          <w:tcPr>
            <w:tcW w:w="1438" w:type="dxa"/>
            <w:vAlign w:val="center"/>
            <w:textDirection w:val="lrTb"/>
            <w:noWrap w:val="false"/>
          </w:tcPr>
          <w:p>
            <w:pPr>
              <w:jc w:val="center"/>
              <w:spacing w:line="400" w:lineRule="exact"/>
              <w:rPr>
                <w:b/>
                <w:szCs w:val="21"/>
                <w:highlight w:val="none"/>
              </w:rPr>
            </w:pPr>
            <w:r>
              <w:rPr>
                <w:b/>
                <w:szCs w:val="21"/>
                <w:highlight w:val="none"/>
              </w:rPr>
              <w:t xml:space="preserve">说明</w:t>
            </w:r>
            <w:r/>
          </w:p>
        </w:tc>
      </w:tr>
      <w:tr>
        <w:trPr>
          <w:jc w:val="center"/>
          <w:trHeight w:val="570"/>
        </w:trPr>
        <w:tc>
          <w:tcPr>
            <w:tcW w:w="1115"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1115"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1115"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1115"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1115"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1115"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991"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027"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2559" w:type="dxa"/>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c>
          <w:tcPr>
            <w:tcW w:w="1438" w:type="dxa"/>
            <w:vAlign w:val="center"/>
            <w:textDirection w:val="lrTb"/>
            <w:noWrap w:val="false"/>
          </w:tcPr>
          <w:p>
            <w:pPr>
              <w:pStyle w:val="1119"/>
              <w:ind w:firstLine="0"/>
              <w:jc w:val="center"/>
              <w:rPr>
                <w:rFonts w:hint="eastAsia" w:hAnsi="宋体" w:cs="宋体"/>
                <w:sz w:val="21"/>
                <w:szCs w:val="21"/>
                <w:highlight w:val="none"/>
              </w:rPr>
            </w:pPr>
            <w:r>
              <w:rPr>
                <w:rFonts w:hint="eastAsia" w:hAnsi="宋体" w:cs="宋体"/>
                <w:sz w:val="21"/>
                <w:szCs w:val="21"/>
                <w:highlight w:val="none"/>
              </w:rPr>
            </w:r>
            <w:r/>
          </w:p>
        </w:tc>
      </w:tr>
    </w:tbl>
    <w:p>
      <w:pPr>
        <w:pStyle w:val="909"/>
        <w:ind w:firstLine="373"/>
        <w:spacing w:line="360" w:lineRule="exact"/>
        <w:rPr>
          <w:rFonts w:hint="eastAsia" w:ascii="宋体" w:hAnsi="宋体" w:cs="宋体"/>
          <w:b/>
          <w:bCs/>
          <w:highlight w:val="none"/>
        </w:rPr>
      </w:pPr>
      <w:r>
        <w:rPr>
          <w:rFonts w:hint="eastAsia" w:ascii="宋体" w:hAnsi="宋体" w:cs="宋体"/>
          <w:b/>
          <w:bCs/>
          <w:highlight w:val="none"/>
        </w:rPr>
      </w:r>
      <w:r/>
    </w:p>
    <w:p>
      <w:pPr>
        <w:ind w:firstLine="372"/>
        <w:jc w:val="center"/>
        <w:spacing w:line="360" w:lineRule="auto"/>
        <w:tabs>
          <w:tab w:val="left" w:pos="6045" w:leader="none"/>
        </w:tabs>
        <w:rPr>
          <w:rFonts w:hint="eastAsia" w:ascii="宋体" w:hAnsi="宋体" w:cs="宋体"/>
          <w:highlight w:val="none"/>
          <w:u w:val="single"/>
        </w:rPr>
      </w:pPr>
      <w:r/>
      <w:bookmarkStart w:id="112" w:name="OLE_LINK18"/>
      <w:r>
        <w:rPr>
          <w:rFonts w:hint="eastAsia" w:ascii="宋体" w:hAnsi="宋体" w:cs="宋体"/>
          <w:highlight w:val="none"/>
        </w:rPr>
        <w:t xml:space="preserve">投标人名称（公章）：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bookmarkEnd w:id="112"/>
      <w:r/>
      <w:r/>
    </w:p>
    <w:p>
      <w:pPr>
        <w:pStyle w:val="909"/>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909"/>
        <w:ind w:firstLine="373"/>
        <w:spacing w:line="360" w:lineRule="exact"/>
        <w:rPr>
          <w:rFonts w:hint="eastAsia" w:ascii="宋体" w:hAnsi="宋体" w:cs="宋体"/>
          <w:b/>
          <w:bCs/>
          <w:highlight w:val="none"/>
        </w:rPr>
      </w:pPr>
      <w:r>
        <w:rPr>
          <w:rFonts w:hint="eastAsia" w:ascii="宋体" w:hAnsi="宋体" w:cs="宋体"/>
          <w:b/>
          <w:bCs/>
          <w:highlight w:val="none"/>
        </w:rPr>
        <w:t xml:space="preserve">1. 供应商须根据采购文件商务条款要求填写此表，作为采购文件的组成部分。</w:t>
      </w:r>
      <w:r/>
    </w:p>
    <w:p>
      <w:pPr>
        <w:pStyle w:val="909"/>
        <w:ind w:firstLine="373"/>
        <w:spacing w:line="360" w:lineRule="exact"/>
        <w:rPr>
          <w:rFonts w:hint="eastAsia" w:ascii="宋体" w:hAnsi="宋体" w:cs="宋体"/>
          <w:b/>
          <w:bCs/>
          <w:highlight w:val="none"/>
        </w:rPr>
      </w:pPr>
      <w:r>
        <w:rPr>
          <w:rFonts w:hint="eastAsia" w:ascii="宋体" w:hAnsi="宋体" w:cs="宋体"/>
          <w:b/>
          <w:bCs/>
          <w:highlight w:val="none"/>
        </w:rPr>
        <w:t xml:space="preserve">2. 采购人须对照采购文件商务条款部分逐条说明做出实质性的响应。所有偏离必须在本表中列出，未在本偏离表中列出偏离，将视为供应商已完全接受采购文件要求。</w:t>
      </w:r>
      <w:r/>
    </w:p>
    <w:p>
      <w:pPr>
        <w:pStyle w:val="909"/>
        <w:ind w:firstLine="373"/>
        <w:spacing w:line="360" w:lineRule="exact"/>
        <w:rPr>
          <w:rStyle w:val="921"/>
          <w:rFonts w:ascii="Times New Roman" w:hAnsi="Times New Roman"/>
          <w:b/>
          <w:bCs/>
          <w:highlight w:val="none"/>
        </w:rPr>
      </w:pPr>
      <w:r>
        <w:rPr>
          <w:rFonts w:hint="eastAsia" w:ascii="宋体" w:hAnsi="宋体" w:cs="宋体"/>
          <w:b/>
          <w:bCs/>
          <w:highlight w:val="none"/>
        </w:rPr>
        <w:t xml:space="preserve">3. </w:t>
      </w:r>
      <w:r>
        <w:rPr>
          <w:rStyle w:val="921"/>
          <w:rFonts w:hint="eastAsia" w:ascii="Times New Roman" w:hAnsi="Times New Roman"/>
          <w:b/>
          <w:bCs/>
          <w:highlight w:val="none"/>
        </w:rPr>
        <w:t xml:space="preserve">“响应/偏离”栏需注明响应/正偏离/负偏离，正偏离指供应商的响应优于采购文件要求，负偏离指供应商的响应低于采购文件要求。</w:t>
      </w:r>
      <w:r/>
    </w:p>
    <w:p>
      <w:pPr>
        <w:pStyle w:val="909"/>
        <w:ind w:firstLine="373"/>
        <w:spacing w:line="360" w:lineRule="exact"/>
        <w:rPr>
          <w:rStyle w:val="921"/>
          <w:rFonts w:ascii="Times New Roman" w:hAnsi="Times New Roman"/>
          <w:b/>
          <w:bCs/>
          <w:highlight w:val="none"/>
        </w:rPr>
      </w:pPr>
      <w:r>
        <w:rPr>
          <w:rFonts w:hint="eastAsia" w:ascii="宋体" w:hAnsi="宋体" w:cs="宋体"/>
          <w:b/>
          <w:bCs/>
          <w:highlight w:val="none"/>
        </w:rPr>
        <w:t xml:space="preserve">4. </w:t>
      </w:r>
      <w:r>
        <w:rPr>
          <w:rStyle w:val="921"/>
          <w:rFonts w:ascii="Times New Roman" w:hAnsi="Times New Roman"/>
          <w:b/>
          <w:bCs/>
          <w:highlight w:val="none"/>
        </w:rPr>
        <w:t xml:space="preserve">行数不够，</w:t>
      </w:r>
      <w:r>
        <w:rPr>
          <w:rStyle w:val="921"/>
          <w:rFonts w:hint="eastAsia" w:ascii="Times New Roman" w:hAnsi="Times New Roman"/>
          <w:b/>
          <w:bCs/>
          <w:highlight w:val="none"/>
        </w:rPr>
        <w:t xml:space="preserve">供应商</w:t>
      </w:r>
      <w:r>
        <w:rPr>
          <w:rStyle w:val="921"/>
          <w:rFonts w:ascii="Times New Roman" w:hAnsi="Times New Roman"/>
          <w:b/>
          <w:bCs/>
          <w:highlight w:val="none"/>
        </w:rPr>
        <w:t xml:space="preserve">请自行增加</w:t>
      </w:r>
      <w:r/>
    </w:p>
    <w:p>
      <w:pPr>
        <w:pStyle w:val="888"/>
        <w:rPr>
          <w:highlight w:val="none"/>
        </w:rPr>
      </w:pPr>
      <w:r>
        <w:rPr>
          <w:highlight w:val="none"/>
        </w:rPr>
      </w:r>
      <w:r/>
    </w:p>
    <w:p>
      <w:pPr>
        <w:rPr>
          <w:rStyle w:val="1088"/>
          <w:rFonts w:hint="eastAsia" w:hAnsi="宋体" w:cs="宋体"/>
          <w:b/>
          <w:bCs/>
          <w:sz w:val="21"/>
          <w:highlight w:val="none"/>
        </w:rPr>
      </w:pPr>
      <w:r>
        <w:rPr>
          <w:rFonts w:hint="eastAsia" w:hAnsi="宋体" w:cs="宋体"/>
          <w:b/>
          <w:bCs/>
          <w:sz w:val="21"/>
          <w:highlight w:val="none"/>
        </w:rPr>
      </w:r>
      <w:r/>
    </w:p>
    <w:p>
      <w:pPr>
        <w:rPr>
          <w:rFonts w:hint="eastAsia" w:ascii="宋体" w:hAnsi="宋体" w:cs="宋体"/>
          <w:sz w:val="24"/>
          <w:highlight w:val="none"/>
        </w:rPr>
      </w:pPr>
      <w:r>
        <w:rPr>
          <w:rStyle w:val="1088"/>
          <w:rFonts w:hint="eastAsia" w:hAnsi="宋体" w:cs="宋体"/>
          <w:highlight w:val="none"/>
        </w:rPr>
        <w:br w:type="page" w:clear="all"/>
      </w:r>
      <w:r/>
    </w:p>
    <w:p>
      <w:pPr>
        <w:pStyle w:val="911"/>
        <w:spacing w:line="240" w:lineRule="atLeast"/>
        <w:rPr>
          <w:rFonts w:hint="eastAsia" w:ascii="宋体" w:hAnsi="宋体" w:cs="宋体"/>
          <w:highlight w:val="none"/>
        </w:rPr>
      </w:pPr>
      <w:r/>
      <w:bookmarkStart w:id="113" w:name="_Toc12727"/>
      <w:r>
        <w:rPr>
          <w:rFonts w:hint="eastAsia" w:ascii="宋体" w:hAnsi="宋体" w:cs="宋体"/>
          <w:bCs w:val="0"/>
          <w:sz w:val="24"/>
          <w:szCs w:val="24"/>
          <w:highlight w:val="none"/>
        </w:rPr>
        <w:t xml:space="preserve">（7）供应商具备投标资格的证明文件</w:t>
      </w:r>
      <w:bookmarkEnd w:id="108"/>
      <w:r/>
      <w:bookmarkEnd w:id="109"/>
      <w:r/>
      <w:bookmarkEnd w:id="110"/>
      <w:r/>
      <w:bookmarkEnd w:id="113"/>
      <w:r/>
      <w:r/>
    </w:p>
    <w:p>
      <w:pPr>
        <w:pStyle w:val="911"/>
        <w:spacing w:line="240" w:lineRule="atLeast"/>
        <w:rPr>
          <w:rFonts w:hint="eastAsia" w:ascii="宋体" w:hAnsi="宋体" w:cs="宋体"/>
          <w:bCs w:val="0"/>
          <w:sz w:val="24"/>
          <w:szCs w:val="24"/>
          <w:highlight w:val="none"/>
        </w:rPr>
      </w:pPr>
      <w:r/>
      <w:bookmarkStart w:id="114" w:name="_Toc104560903"/>
      <w:r/>
      <w:bookmarkStart w:id="115" w:name="_Toc107246283"/>
      <w:r/>
      <w:bookmarkStart w:id="116" w:name="_Toc103848588"/>
      <w:r/>
      <w:bookmarkStart w:id="117" w:name="_Toc22809"/>
      <w:r>
        <w:rPr>
          <w:rFonts w:hint="eastAsia" w:ascii="宋体" w:hAnsi="宋体" w:cs="宋体"/>
          <w:bCs w:val="0"/>
          <w:sz w:val="24"/>
          <w:szCs w:val="24"/>
          <w:highlight w:val="none"/>
        </w:rPr>
        <w:t xml:space="preserve">（7-1-1）</w:t>
      </w:r>
      <w:bookmarkEnd w:id="106"/>
      <w:r/>
      <w:bookmarkEnd w:id="114"/>
      <w:r/>
      <w:bookmarkEnd w:id="115"/>
      <w:r/>
      <w:bookmarkEnd w:id="116"/>
      <w:r>
        <w:rPr>
          <w:rFonts w:hint="eastAsia" w:ascii="宋体" w:hAnsi="宋体" w:cs="宋体"/>
          <w:bCs w:val="0"/>
          <w:sz w:val="24"/>
          <w:szCs w:val="24"/>
          <w:highlight w:val="none"/>
        </w:rPr>
        <w:t xml:space="preserve">法人或者其他组织的营业执照等证明文件，自然人的身份证明</w:t>
      </w:r>
      <w:bookmarkEnd w:id="117"/>
      <w:r/>
      <w:r/>
    </w:p>
    <w:p>
      <w:pPr>
        <w:spacing w:line="360" w:lineRule="auto"/>
        <w:rPr>
          <w:rFonts w:hint="eastAsia" w:ascii="宋体" w:hAnsi="宋体" w:cs="宋体"/>
          <w:b/>
          <w:bCs/>
          <w:highlight w:val="none"/>
        </w:rPr>
      </w:pPr>
      <w:r/>
      <w:bookmarkStart w:id="118" w:name="_Hlk33717720"/>
      <w:r/>
      <w:r/>
    </w:p>
    <w:p>
      <w:pPr>
        <w:spacing w:line="360" w:lineRule="auto"/>
        <w:rPr>
          <w:rFonts w:hint="eastAsia" w:ascii="宋体" w:hAnsi="宋体" w:cs="宋体"/>
          <w:b/>
          <w:bCs/>
          <w:highlight w:val="none"/>
        </w:rPr>
      </w:pPr>
      <w:r>
        <w:rPr>
          <w:rFonts w:hint="eastAsia" w:ascii="宋体" w:hAnsi="宋体" w:cs="宋体"/>
          <w:b/>
          <w:bCs/>
          <w:highlight w:val="none"/>
        </w:rPr>
        <w:t xml:space="preserve">注：</w:t>
      </w:r>
      <w:r/>
    </w:p>
    <w:p>
      <w:pPr>
        <w:numPr>
          <w:ilvl w:val="0"/>
          <w:numId w:val="22"/>
        </w:numPr>
        <w:spacing w:line="360" w:lineRule="auto"/>
        <w:rPr>
          <w:rFonts w:hint="eastAsia" w:ascii="宋体" w:hAnsi="宋体" w:cs="宋体"/>
          <w:b/>
          <w:bCs/>
          <w:highlight w:val="none"/>
        </w:rPr>
      </w:pPr>
      <w:r>
        <w:rPr>
          <w:rFonts w:hint="eastAsia" w:ascii="宋体" w:hAnsi="宋体" w:cs="宋体"/>
          <w:b/>
          <w:bCs/>
          <w:highlight w:val="none"/>
        </w:rPr>
        <w:t xml:space="preserve">供应商提供营业执照副本（或具有同等法律效力的证照）复印件。复印件应能清晰显示供应商名称。</w:t>
      </w:r>
      <w:bookmarkEnd w:id="118"/>
      <w:r/>
      <w:r/>
    </w:p>
    <w:p>
      <w:pPr>
        <w:numPr>
          <w:ilvl w:val="0"/>
          <w:numId w:val="22"/>
        </w:numPr>
        <w:spacing w:line="360" w:lineRule="auto"/>
        <w:rPr>
          <w:rFonts w:hint="eastAsia" w:ascii="宋体" w:hAnsi="宋体" w:cs="宋体"/>
          <w:b/>
          <w:bCs/>
          <w:highlight w:val="none"/>
        </w:rPr>
      </w:pPr>
      <w:r>
        <w:rPr>
          <w:rFonts w:hint="eastAsia" w:ascii="宋体" w:hAnsi="宋体" w:cs="宋体"/>
          <w:b/>
          <w:bCs/>
          <w:highlight w:val="none"/>
        </w:rPr>
        <w:t xml:space="preserve">若供应商为分公司，则还须提供总公司同意其独立开展业务的授权函复印件</w:t>
      </w:r>
      <w:r/>
    </w:p>
    <w:p>
      <w:pPr>
        <w:pStyle w:val="911"/>
        <w:spacing w:line="240" w:lineRule="atLeast"/>
        <w:rPr>
          <w:rFonts w:hint="eastAsia" w:ascii="宋体" w:hAnsi="宋体" w:cs="宋体"/>
          <w:b w:val="0"/>
          <w:highlight w:val="none"/>
        </w:rPr>
      </w:pPr>
      <w:r/>
      <w:bookmarkStart w:id="119" w:name="_Toc103848589"/>
      <w:r/>
      <w:bookmarkStart w:id="120" w:name="_Toc102117320"/>
      <w:r>
        <w:rPr>
          <w:rFonts w:hint="eastAsia" w:ascii="宋体" w:hAnsi="宋体" w:cs="宋体"/>
          <w:bCs w:val="0"/>
          <w:sz w:val="24"/>
          <w:szCs w:val="24"/>
          <w:highlight w:val="none"/>
        </w:rPr>
        <w:br w:type="page" w:clear="all"/>
      </w:r>
      <w:bookmarkStart w:id="121" w:name="_Toc104560904"/>
      <w:r/>
      <w:bookmarkStart w:id="122" w:name="_Toc107246284"/>
      <w:r/>
      <w:bookmarkStart w:id="123" w:name="_Toc27235"/>
      <w:r>
        <w:rPr>
          <w:rFonts w:hint="eastAsia" w:ascii="宋体" w:hAnsi="宋体" w:cs="宋体"/>
          <w:bCs w:val="0"/>
          <w:sz w:val="24"/>
          <w:szCs w:val="24"/>
          <w:highlight w:val="none"/>
        </w:rPr>
        <w:t xml:space="preserve">（7-1-2）工商变更登记文件（如需）</w:t>
      </w:r>
      <w:bookmarkEnd w:id="119"/>
      <w:r/>
      <w:bookmarkEnd w:id="120"/>
      <w:r/>
      <w:bookmarkEnd w:id="121"/>
      <w:r/>
      <w:bookmarkEnd w:id="122"/>
      <w:r/>
      <w:bookmarkEnd w:id="123"/>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注：如</w:t>
      </w:r>
      <w:r>
        <w:rPr>
          <w:rFonts w:hint="eastAsia" w:ascii="宋体" w:hAnsi="宋体" w:cs="宋体"/>
          <w:b/>
          <w:bCs/>
          <w:sz w:val="22"/>
          <w:szCs w:val="22"/>
          <w:highlight w:val="none"/>
        </w:rPr>
        <w:t xml:space="preserve">供应商</w:t>
      </w:r>
      <w:r>
        <w:rPr>
          <w:rFonts w:hint="eastAsia" w:ascii="宋体" w:hAnsi="宋体" w:cs="宋体"/>
          <w:b/>
          <w:bCs/>
          <w:highlight w:val="none"/>
        </w:rPr>
        <w:t xml:space="preserve">在采购文件资质、业绩等要求的时间期限内发生了单位名称等变更的，提供相关工商变更登记文件的复印件。如无，则可不提供。</w:t>
      </w:r>
      <w:r/>
    </w:p>
    <w:p>
      <w:pPr>
        <w:pStyle w:val="911"/>
        <w:spacing w:line="240" w:lineRule="atLeast"/>
        <w:rPr>
          <w:rFonts w:hint="eastAsia" w:ascii="宋体" w:hAnsi="宋体" w:cs="宋体"/>
          <w:bCs w:val="0"/>
          <w:sz w:val="24"/>
          <w:szCs w:val="24"/>
          <w:highlight w:val="none"/>
        </w:rPr>
      </w:pPr>
      <w:r>
        <w:rPr>
          <w:rFonts w:hint="eastAsia" w:ascii="宋体" w:hAnsi="宋体" w:cs="宋体"/>
          <w:b w:val="0"/>
          <w:bCs w:val="0"/>
          <w:highlight w:val="none"/>
        </w:rPr>
        <w:br w:type="page" w:clear="all"/>
      </w:r>
      <w:bookmarkStart w:id="124" w:name="_Toc104560905"/>
      <w:r/>
      <w:bookmarkStart w:id="125" w:name="_Toc102117321"/>
      <w:r/>
      <w:bookmarkStart w:id="126" w:name="_Toc103848590"/>
      <w:r/>
      <w:bookmarkStart w:id="127" w:name="_Toc107246285"/>
      <w:r/>
      <w:bookmarkStart w:id="128" w:name="_Toc1249"/>
      <w:r>
        <w:rPr>
          <w:rFonts w:hint="eastAsia" w:ascii="宋体" w:hAnsi="宋体" w:cs="宋体"/>
          <w:bCs w:val="0"/>
          <w:sz w:val="24"/>
          <w:szCs w:val="24"/>
          <w:highlight w:val="none"/>
        </w:rPr>
        <w:t xml:space="preserve">（7-2）财务报表</w:t>
      </w:r>
      <w:bookmarkEnd w:id="124"/>
      <w:r/>
      <w:bookmarkEnd w:id="125"/>
      <w:r/>
      <w:bookmarkEnd w:id="126"/>
      <w:r/>
      <w:bookmarkEnd w:id="127"/>
      <w:r>
        <w:rPr>
          <w:rFonts w:hint="eastAsia" w:ascii="宋体" w:hAnsi="宋体" w:cs="宋体"/>
          <w:bCs w:val="0"/>
          <w:sz w:val="24"/>
          <w:szCs w:val="24"/>
          <w:highlight w:val="none"/>
        </w:rPr>
        <w:t xml:space="preserve">等证明文件</w:t>
      </w:r>
      <w:bookmarkEnd w:id="128"/>
      <w:r/>
      <w:r/>
    </w:p>
    <w:p>
      <w:pPr>
        <w:jc w:val="center"/>
        <w:spacing w:line="360" w:lineRule="auto"/>
        <w:rPr>
          <w:rFonts w:hint="eastAsia" w:ascii="宋体" w:hAnsi="宋体" w:cs="宋体"/>
          <w:b/>
          <w:szCs w:val="21"/>
          <w:highlight w:val="none"/>
        </w:rPr>
      </w:pPr>
      <w:r/>
      <w:bookmarkStart w:id="129" w:name="_Toc103848593"/>
      <w:r/>
      <w:bookmarkStart w:id="130" w:name="_Toc104560908"/>
      <w:r/>
      <w:bookmarkStart w:id="131" w:name="_Toc102117322"/>
      <w:r>
        <w:rPr>
          <w:rFonts w:ascii="宋体" w:hAnsi="宋体" w:cs="宋体"/>
          <w:b/>
          <w:szCs w:val="21"/>
          <w:highlight w:val="none"/>
        </w:rPr>
        <w:t xml:space="preserve">财务状况报告（成立不满一年不需提供</w:t>
      </w:r>
      <w:r>
        <w:rPr>
          <w:rFonts w:hint="eastAsia" w:ascii="宋体" w:hAnsi="宋体" w:cs="宋体"/>
          <w:b/>
          <w:szCs w:val="21"/>
          <w:highlight w:val="none"/>
        </w:rPr>
        <w:t xml:space="preserve">；</w:t>
      </w:r>
      <w:r>
        <w:rPr>
          <w:rFonts w:ascii="宋体" w:hAnsi="宋体" w:cs="宋体"/>
          <w:b/>
          <w:szCs w:val="21"/>
          <w:highlight w:val="none"/>
        </w:rPr>
        <w:t xml:space="preserve">若供应商为分公司，可提供总公司财务状况报告）；</w:t>
      </w:r>
      <w:r/>
    </w:p>
    <w:p>
      <w:pPr>
        <w:pStyle w:val="911"/>
        <w:jc w:val="left"/>
        <w:spacing w:line="360" w:lineRule="auto"/>
        <w:rPr>
          <w:rFonts w:hint="eastAsia" w:ascii="宋体" w:hAnsi="宋体" w:cs="宋体"/>
          <w:bCs w:val="0"/>
          <w:sz w:val="24"/>
          <w:szCs w:val="24"/>
          <w:highlight w:val="none"/>
        </w:rPr>
        <w:outlineLvl w:val="9"/>
      </w:pPr>
      <w:r>
        <w:rPr>
          <w:rFonts w:hint="eastAsia" w:ascii="宋体" w:hAnsi="宋体" w:cs="宋体"/>
          <w:sz w:val="22"/>
          <w:szCs w:val="22"/>
          <w:highlight w:val="none"/>
        </w:rPr>
        <w:br w:type="page" w:clear="all"/>
      </w:r>
      <w:bookmarkStart w:id="132" w:name="_Toc107246286"/>
      <w:r>
        <w:rPr>
          <w:rFonts w:hint="eastAsia" w:ascii="宋体" w:hAnsi="宋体" w:cs="宋体"/>
          <w:bCs w:val="0"/>
          <w:sz w:val="24"/>
          <w:szCs w:val="24"/>
          <w:highlight w:val="none"/>
        </w:rPr>
        <w:t xml:space="preserve">（7-3）</w:t>
      </w:r>
      <w:bookmarkEnd w:id="129"/>
      <w:r/>
      <w:bookmarkEnd w:id="130"/>
      <w:r/>
      <w:bookmarkEnd w:id="131"/>
      <w:r/>
      <w:bookmarkEnd w:id="132"/>
      <w:r>
        <w:rPr>
          <w:rFonts w:hint="eastAsia" w:ascii="宋体" w:hAnsi="宋体" w:cs="宋体"/>
          <w:bCs w:val="0"/>
          <w:sz w:val="24"/>
          <w:szCs w:val="24"/>
          <w:highlight w:val="none"/>
        </w:rPr>
        <w:t xml:space="preserve">具有履行合同所必需的设备和专业技术能力的相关证明材料或承诺函（提供承诺函原件）；</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480"/>
        <w:jc w:val="center"/>
        <w:spacing w:before="120" w:after="120" w:line="360" w:lineRule="auto"/>
        <w:rPr>
          <w:rFonts w:hint="eastAsia" w:ascii="宋体" w:hAnsi="宋体" w:cs="宋体"/>
          <w:highlight w:val="none"/>
        </w:rPr>
      </w:pPr>
      <w:r>
        <w:rPr>
          <w:rFonts w:hint="eastAsia" w:ascii="宋体" w:hAnsi="宋体" w:cs="宋体"/>
          <w:sz w:val="44"/>
          <w:szCs w:val="44"/>
          <w:highlight w:val="none"/>
        </w:rPr>
        <w:t xml:space="preserve">承 诺 函</w:t>
      </w:r>
      <w:r/>
    </w:p>
    <w:p>
      <w:pPr>
        <w:ind w:firstLine="480"/>
        <w:jc w:val="left"/>
        <w:spacing w:before="120" w:after="120" w:line="360" w:lineRule="auto"/>
        <w:rPr>
          <w:rFonts w:hint="eastAsia" w:ascii="宋体" w:hAnsi="宋体" w:cs="宋体"/>
          <w:sz w:val="22"/>
          <w:highlight w:val="none"/>
        </w:rPr>
      </w:pPr>
      <w:r>
        <w:rPr>
          <w:rFonts w:hint="eastAsia" w:ascii="宋体" w:hAnsi="宋体" w:cs="宋体"/>
          <w:sz w:val="22"/>
          <w:highlight w:val="none"/>
        </w:rPr>
        <w:t xml:space="preserve">我单位郑重承诺：我单位具备履行本项采购合同所必需的设备和专业技术能力。</w:t>
      </w:r>
      <w:r/>
    </w:p>
    <w:p>
      <w:pPr>
        <w:pStyle w:val="891"/>
        <w:ind w:left="126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pStyle w:val="891"/>
        <w:ind w:left="1260"/>
        <w:rPr>
          <w:rFonts w:hint="eastAsia" w:hAnsi="宋体" w:cs="宋体"/>
          <w:highlight w:val="none"/>
        </w:rPr>
      </w:pPr>
      <w:r>
        <w:rPr>
          <w:rFonts w:hint="eastAsia"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276" w:lineRule="auto"/>
        <w:rPr>
          <w:rFonts w:hint="eastAsia" w:ascii="宋体" w:hAnsi="宋体" w:cs="宋体"/>
          <w:bCs/>
          <w:highlight w:val="none"/>
        </w:rPr>
      </w:pPr>
      <w:r>
        <w:rPr>
          <w:rFonts w:hint="eastAsia" w:ascii="宋体" w:hAnsi="宋体" w:cs="宋体"/>
          <w:bCs/>
          <w:highlight w:val="none"/>
        </w:rPr>
        <w:t xml:space="preserve">  </w:t>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 xml:space="preserve">供应商名称（公章）：______________________</w:t>
      </w:r>
      <w:r/>
    </w:p>
    <w:p>
      <w:pPr>
        <w:spacing w:line="276" w:lineRule="auto"/>
        <w:rPr>
          <w:rFonts w:hint="eastAsia" w:ascii="宋体" w:hAnsi="宋体" w:cs="宋体"/>
          <w:highlight w:val="none"/>
        </w:rPr>
      </w:pPr>
      <w:r>
        <w:rPr>
          <w:rFonts w:hint="eastAsia" w:ascii="宋体" w:hAnsi="宋体" w:cs="宋体"/>
          <w:bCs/>
          <w:highlight w:val="none"/>
        </w:rPr>
        <w:t xml:space="preserve">                                    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pStyle w:val="911"/>
        <w:spacing w:line="240" w:lineRule="atLeast"/>
        <w:rPr>
          <w:rFonts w:hint="eastAsia" w:ascii="宋体" w:hAnsi="宋体" w:cs="宋体"/>
          <w:b w:val="0"/>
          <w:highlight w:val="none"/>
        </w:rPr>
      </w:pPr>
      <w:r/>
      <w:bookmarkStart w:id="133" w:name="_Toc103848591"/>
      <w:r/>
      <w:bookmarkStart w:id="134" w:name="_Toc102117323"/>
      <w:r>
        <w:rPr>
          <w:rFonts w:hint="eastAsia" w:ascii="宋体" w:hAnsi="宋体" w:cs="宋体"/>
          <w:bCs w:val="0"/>
          <w:sz w:val="24"/>
          <w:szCs w:val="24"/>
          <w:highlight w:val="none"/>
        </w:rPr>
        <w:br w:type="page" w:clear="all"/>
      </w:r>
      <w:bookmarkStart w:id="135" w:name="_Toc23621"/>
      <w:r/>
      <w:bookmarkStart w:id="136" w:name="_Toc107246287"/>
      <w:r/>
      <w:bookmarkStart w:id="137" w:name="_Toc104560906"/>
      <w:r>
        <w:rPr>
          <w:rFonts w:hint="eastAsia" w:ascii="宋体" w:hAnsi="宋体" w:cs="宋体"/>
          <w:bCs w:val="0"/>
          <w:sz w:val="24"/>
          <w:szCs w:val="24"/>
          <w:highlight w:val="none"/>
        </w:rPr>
        <w:t xml:space="preserve">（7-4）依法缴纳税收的相关材料</w:t>
      </w:r>
      <w:bookmarkEnd w:id="133"/>
      <w:r/>
      <w:bookmarkEnd w:id="134"/>
      <w:r/>
      <w:bookmarkEnd w:id="135"/>
      <w:r/>
      <w:bookmarkEnd w:id="136"/>
      <w:r/>
      <w:bookmarkEnd w:id="137"/>
      <w:r/>
      <w:r/>
    </w:p>
    <w:p>
      <w:pPr>
        <w:jc w:val="left"/>
        <w:spacing w:line="360" w:lineRule="auto"/>
        <w:rPr>
          <w:rFonts w:hint="eastAsia" w:ascii="宋体" w:hAnsi="宋体" w:cs="宋体"/>
          <w:b/>
          <w:bCs/>
          <w:highlight w:val="none"/>
        </w:rPr>
      </w:pPr>
      <w:r>
        <w:rPr>
          <w:rFonts w:hint="eastAsia" w:ascii="宋体" w:hAnsi="宋体" w:cs="宋体"/>
          <w:b/>
          <w:bCs/>
          <w:highlight w:val="none"/>
        </w:rPr>
      </w:r>
      <w:r/>
    </w:p>
    <w:p>
      <w:pPr>
        <w:pStyle w:val="911"/>
        <w:spacing w:line="240" w:lineRule="atLeast"/>
        <w:rPr>
          <w:rFonts w:hint="eastAsia" w:ascii="宋体" w:hAnsi="宋体" w:cs="宋体"/>
          <w:bCs w:val="0"/>
          <w:sz w:val="24"/>
          <w:szCs w:val="24"/>
          <w:highlight w:val="none"/>
        </w:rPr>
      </w:pPr>
      <w:r>
        <w:rPr>
          <w:rFonts w:hint="eastAsia" w:ascii="宋体" w:hAnsi="宋体" w:cs="宋体"/>
          <w:b w:val="0"/>
          <w:sz w:val="24"/>
          <w:highlight w:val="none"/>
        </w:rPr>
        <w:br w:type="page" w:clear="all"/>
      </w:r>
      <w:bookmarkStart w:id="138" w:name="_Toc103848592"/>
      <w:r/>
      <w:bookmarkStart w:id="139" w:name="_Toc104560907"/>
      <w:r/>
      <w:bookmarkStart w:id="140" w:name="_Toc107246288"/>
      <w:r/>
      <w:bookmarkStart w:id="141" w:name="_Toc27570"/>
      <w:r/>
      <w:bookmarkStart w:id="142" w:name="_Toc102117324"/>
      <w:r>
        <w:rPr>
          <w:rFonts w:hint="eastAsia" w:ascii="宋体" w:hAnsi="宋体" w:cs="宋体"/>
          <w:bCs w:val="0"/>
          <w:sz w:val="24"/>
          <w:szCs w:val="24"/>
          <w:highlight w:val="none"/>
        </w:rPr>
        <w:t xml:space="preserve">（7-5）依法缴纳社会保障资金的相关材料</w:t>
      </w:r>
      <w:bookmarkEnd w:id="138"/>
      <w:r/>
      <w:bookmarkEnd w:id="139"/>
      <w:r/>
      <w:bookmarkEnd w:id="140"/>
      <w:r/>
      <w:bookmarkEnd w:id="141"/>
      <w:r/>
      <w:bookmarkEnd w:id="142"/>
      <w:r/>
      <w:r/>
    </w:p>
    <w:p>
      <w:pPr>
        <w:spacing w:line="360" w:lineRule="auto"/>
        <w:rPr>
          <w:rFonts w:hint="eastAsia" w:ascii="宋体" w:hAnsi="宋体" w:cs="宋体"/>
          <w:b/>
          <w:bCs/>
          <w:highlight w:val="none"/>
        </w:rPr>
      </w:pPr>
      <w:r>
        <w:rPr>
          <w:rFonts w:hint="eastAsia" w:ascii="宋体" w:hAnsi="宋体" w:cs="宋体"/>
          <w:b/>
          <w:bCs/>
          <w:highlight w:val="none"/>
        </w:rPr>
      </w:r>
      <w:r/>
    </w:p>
    <w:p>
      <w:pPr>
        <w:pStyle w:val="911"/>
        <w:spacing w:line="240" w:lineRule="atLeast"/>
        <w:rPr>
          <w:rFonts w:hint="eastAsia" w:ascii="宋体" w:hAnsi="宋体" w:cs="宋体"/>
          <w:b w:val="0"/>
          <w:sz w:val="24"/>
          <w:highlight w:val="none"/>
        </w:rPr>
      </w:pPr>
      <w:r>
        <w:rPr>
          <w:rFonts w:hint="eastAsia" w:ascii="宋体" w:hAnsi="宋体" w:cs="宋体"/>
          <w:b w:val="0"/>
          <w:bCs w:val="0"/>
          <w:highlight w:val="none"/>
        </w:rPr>
        <w:br w:type="page" w:clear="all"/>
      </w:r>
      <w:bookmarkStart w:id="143" w:name="_Toc104560909"/>
      <w:r/>
      <w:bookmarkStart w:id="144" w:name="_Toc7693"/>
      <w:r/>
      <w:bookmarkStart w:id="145" w:name="_Toc102117325"/>
      <w:r/>
      <w:bookmarkStart w:id="146" w:name="_Toc107246289"/>
      <w:r/>
      <w:bookmarkStart w:id="147" w:name="_Toc103848594"/>
      <w:r>
        <w:rPr>
          <w:rFonts w:hint="eastAsia" w:ascii="宋体" w:hAnsi="宋体" w:cs="宋体"/>
          <w:bCs w:val="0"/>
          <w:sz w:val="24"/>
          <w:szCs w:val="24"/>
          <w:highlight w:val="none"/>
        </w:rPr>
        <w:t xml:space="preserve">（7-6）没有重大违法记录的书面声明</w:t>
      </w:r>
      <w:bookmarkEnd w:id="143"/>
      <w:r/>
      <w:bookmarkEnd w:id="144"/>
      <w:r/>
      <w:bookmarkEnd w:id="145"/>
      <w:r/>
      <w:bookmarkEnd w:id="146"/>
      <w:r/>
      <w:bookmarkEnd w:id="147"/>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注：参加政府采购活动前3年内在经营活动中没有重大违法记录的书面声明（提供声明函原件）。</w:t>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声  明</w:t>
      </w:r>
      <w:r/>
    </w:p>
    <w:p>
      <w:pPr>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cs="宋体"/>
          <w:bCs/>
          <w:highlight w:val="none"/>
        </w:rPr>
      </w:pPr>
      <w:r>
        <w:rPr>
          <w:rFonts w:hint="eastAsia" w:ascii="宋体" w:hAnsi="宋体" w:cs="宋体"/>
          <w:bCs/>
          <w:highlight w:val="none"/>
        </w:rPr>
        <w:t xml:space="preserve">                                    </w:t>
      </w:r>
      <w:r/>
    </w:p>
    <w:p>
      <w:pPr>
        <w:spacing w:line="360" w:lineRule="auto"/>
        <w:rPr>
          <w:rFonts w:hint="eastAsia" w:ascii="宋体" w:hAnsi="宋体" w:cs="宋体"/>
          <w:bCs/>
          <w:highlight w:val="none"/>
        </w:rPr>
      </w:pPr>
      <w:r>
        <w:rPr>
          <w:rFonts w:hint="eastAsia" w:ascii="宋体" w:hAnsi="宋体" w:cs="宋体"/>
          <w:bCs/>
          <w:highlight w:val="none"/>
        </w:rPr>
      </w:r>
      <w:r/>
    </w:p>
    <w:p>
      <w:pPr>
        <w:spacing w:line="360" w:lineRule="auto"/>
        <w:rPr>
          <w:rFonts w:hint="eastAsia" w:ascii="宋体" w:hAnsi="宋体" w:cs="宋体"/>
          <w:bCs/>
          <w:highlight w:val="none"/>
        </w:rPr>
      </w:pPr>
      <w:r>
        <w:rPr>
          <w:rFonts w:hint="eastAsia" w:ascii="宋体" w:hAnsi="宋体" w:cs="宋体"/>
          <w:bCs/>
          <w:highlight w:val="none"/>
        </w:rPr>
      </w:r>
      <w:r/>
    </w:p>
    <w:p>
      <w:pPr>
        <w:spacing w:line="360" w:lineRule="auto"/>
        <w:rPr>
          <w:rFonts w:hint="eastAsia" w:ascii="宋体" w:hAnsi="宋体" w:cs="宋体"/>
          <w:bCs/>
          <w:highlight w:val="none"/>
        </w:rPr>
      </w:pPr>
      <w:r>
        <w:rPr>
          <w:rFonts w:hint="eastAsia" w:ascii="宋体" w:hAnsi="宋体" w:cs="宋体"/>
          <w:bCs/>
          <w:highlight w:val="none"/>
        </w:rPr>
        <w:t xml:space="preserve">  </w:t>
      </w:r>
      <w:r/>
    </w:p>
    <w:p>
      <w:pPr>
        <w:ind w:firstLine="3990"/>
        <w:spacing w:line="360" w:lineRule="auto"/>
        <w:rPr>
          <w:rFonts w:hint="eastAsia" w:ascii="宋体" w:hAnsi="宋体" w:cs="宋体"/>
          <w:szCs w:val="21"/>
          <w:highlight w:val="none"/>
          <w:u w:val="single"/>
        </w:rPr>
      </w:pPr>
      <w:r>
        <w:rPr>
          <w:rFonts w:hint="eastAsia" w:ascii="宋体" w:hAnsi="宋体" w:cs="宋体"/>
          <w:bCs/>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jc w:val="right"/>
        <w:spacing w:line="360" w:lineRule="auto"/>
        <w:rPr>
          <w:rFonts w:hint="eastAsia" w:ascii="宋体" w:hAnsi="宋体" w:cs="宋体"/>
          <w:bCs/>
          <w:highlight w:val="none"/>
        </w:rPr>
      </w:pP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spacing w:line="360" w:lineRule="auto"/>
        <w:rPr>
          <w:rFonts w:hint="eastAsia" w:ascii="宋体" w:hAnsi="宋体" w:cs="宋体"/>
          <w:b/>
          <w:bCs/>
          <w:highlight w:val="none"/>
        </w:rPr>
      </w:pPr>
      <w:r>
        <w:rPr>
          <w:rFonts w:hint="eastAsia" w:ascii="宋体" w:hAnsi="宋体" w:cs="宋体"/>
          <w:bCs/>
          <w:highlight w:val="none"/>
        </w:rPr>
        <w:t xml:space="preserve">备注：</w:t>
      </w:r>
      <w:r/>
    </w:p>
    <w:p>
      <w:pPr>
        <w:spacing w:line="360" w:lineRule="auto"/>
        <w:rPr>
          <w:rFonts w:hint="eastAsia" w:ascii="宋体" w:hAnsi="宋体" w:cs="宋体"/>
          <w:b/>
          <w:bCs/>
          <w:highlight w:val="none"/>
        </w:rPr>
      </w:pPr>
      <w:r>
        <w:rPr>
          <w:rFonts w:hint="eastAsia" w:ascii="宋体" w:hAnsi="宋体" w:cs="宋体"/>
          <w:bCs/>
          <w:highlight w:val="none"/>
        </w:rPr>
        <w:t xml:space="preserve">较大数额罚款金额规定如下：</w:t>
      </w:r>
      <w:r/>
    </w:p>
    <w:p>
      <w:pPr>
        <w:ind w:firstLine="420"/>
        <w:spacing w:line="360" w:lineRule="auto"/>
        <w:rPr>
          <w:rFonts w:hint="eastAsia" w:ascii="宋体" w:hAnsi="宋体" w:cs="宋体"/>
          <w:b/>
          <w:sz w:val="32"/>
          <w:szCs w:val="32"/>
          <w:highlight w:val="none"/>
        </w:rPr>
      </w:pPr>
      <w:r>
        <w:rPr>
          <w:rFonts w:hint="eastAsia" w:ascii="宋体"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11"/>
        <w:spacing w:line="240" w:lineRule="atLeast"/>
        <w:rPr>
          <w:rFonts w:hint="eastAsia" w:ascii="宋体" w:hAnsi="宋体" w:cs="宋体"/>
          <w:b w:val="0"/>
          <w:sz w:val="24"/>
          <w:szCs w:val="24"/>
          <w:highlight w:val="none"/>
        </w:rPr>
      </w:pPr>
      <w:r>
        <w:rPr>
          <w:rFonts w:hint="eastAsia" w:ascii="宋体" w:hAnsi="宋体" w:cs="宋体"/>
          <w:b w:val="0"/>
          <w:highlight w:val="none"/>
        </w:rPr>
        <w:br w:type="page" w:clear="all"/>
      </w:r>
      <w:bookmarkStart w:id="148" w:name="_Toc16580"/>
      <w:r/>
      <w:bookmarkStart w:id="149" w:name="_Toc107246290"/>
      <w:r/>
      <w:bookmarkStart w:id="150" w:name="_Toc104560910"/>
      <w:r>
        <w:rPr>
          <w:rFonts w:hint="eastAsia" w:ascii="宋体" w:hAnsi="宋体" w:cs="宋体"/>
          <w:bCs w:val="0"/>
          <w:sz w:val="24"/>
          <w:szCs w:val="24"/>
          <w:highlight w:val="none"/>
        </w:rPr>
        <w:t xml:space="preserve">（7-7）承诺函</w:t>
      </w:r>
      <w:bookmarkEnd w:id="148"/>
      <w:r/>
      <w:bookmarkEnd w:id="149"/>
      <w:r/>
      <w:bookmarkEnd w:id="150"/>
      <w:r/>
      <w:r/>
    </w:p>
    <w:p>
      <w:pPr>
        <w:pStyle w:val="1119"/>
        <w:ind w:firstLine="420"/>
        <w:spacing w:line="480" w:lineRule="auto"/>
        <w:rPr>
          <w:rFonts w:hint="eastAsia" w:hAnsi="宋体" w:cs="宋体"/>
          <w:sz w:val="21"/>
          <w:szCs w:val="21"/>
          <w:highlight w:val="none"/>
        </w:rPr>
      </w:pPr>
      <w:r>
        <w:rPr>
          <w:rFonts w:hint="eastAsia" w:hAnsi="宋体" w:cs="宋体"/>
          <w:sz w:val="21"/>
          <w:szCs w:val="21"/>
          <w:highlight w:val="none"/>
        </w:rPr>
        <w:t xml:space="preserve">（一）本单位郑重承诺满足以下要求：</w:t>
      </w:r>
      <w:r/>
    </w:p>
    <w:p>
      <w:pPr>
        <w:pStyle w:val="1119"/>
        <w:ind w:firstLine="420"/>
        <w:spacing w:line="480" w:lineRule="auto"/>
        <w:rPr>
          <w:rFonts w:hint="eastAsia" w:hAnsi="宋体" w:cs="宋体"/>
          <w:sz w:val="21"/>
          <w:szCs w:val="21"/>
          <w:highlight w:val="none"/>
        </w:rPr>
      </w:pPr>
      <w:r>
        <w:rPr>
          <w:rFonts w:hint="eastAsia" w:hAnsi="宋体" w:cs="宋体"/>
          <w:sz w:val="21"/>
          <w:szCs w:val="21"/>
          <w:highlight w:val="none"/>
        </w:rPr>
        <w:t xml:space="preserve">1.供应商单位负责人为同一人或者存在直接控股、管理关系的不同供应商，不得同时参加本项目的采购活动。</w:t>
      </w:r>
      <w:r/>
    </w:p>
    <w:p>
      <w:pPr>
        <w:pStyle w:val="1119"/>
        <w:ind w:firstLine="420"/>
        <w:spacing w:line="480" w:lineRule="auto"/>
        <w:rPr>
          <w:rFonts w:hint="eastAsia" w:hAnsi="宋体" w:cs="宋体"/>
          <w:sz w:val="21"/>
          <w:szCs w:val="21"/>
          <w:highlight w:val="none"/>
        </w:rPr>
      </w:pPr>
      <w:r>
        <w:rPr>
          <w:rFonts w:hint="eastAsia" w:hAnsi="宋体" w:cs="宋体"/>
          <w:sz w:val="21"/>
          <w:szCs w:val="21"/>
          <w:highlight w:val="none"/>
        </w:rPr>
        <w:t xml:space="preserve">2.凡为采购项目提供整体设计、规范编制或者项目管理、监理、检测等服务的供应商，不得再参加本项目的采购活动。</w:t>
      </w:r>
      <w:r/>
    </w:p>
    <w:p>
      <w:pPr>
        <w:pStyle w:val="1119"/>
        <w:ind w:firstLine="420"/>
        <w:spacing w:line="480" w:lineRule="auto"/>
        <w:rPr>
          <w:rFonts w:hint="eastAsia" w:hAnsi="宋体" w:cs="宋体"/>
          <w:sz w:val="21"/>
          <w:szCs w:val="21"/>
          <w:highlight w:val="none"/>
        </w:rPr>
      </w:pPr>
      <w:r>
        <w:rPr>
          <w:rFonts w:hint="eastAsia" w:hAnsi="宋体" w:cs="宋体"/>
          <w:sz w:val="21"/>
          <w:szCs w:val="21"/>
          <w:highlight w:val="none"/>
        </w:rPr>
        <w:t xml:space="preserve">（二）本单位郑重承诺，我单位无以下不良信用记录情形：</w:t>
      </w:r>
      <w:r/>
    </w:p>
    <w:p>
      <w:pPr>
        <w:pStyle w:val="1119"/>
        <w:ind w:firstLine="420"/>
        <w:spacing w:line="480" w:lineRule="auto"/>
        <w:rPr>
          <w:rFonts w:hint="eastAsia" w:hAnsi="宋体" w:cs="宋体"/>
          <w:sz w:val="21"/>
          <w:szCs w:val="21"/>
          <w:highlight w:val="none"/>
        </w:rPr>
      </w:pPr>
      <w:r>
        <w:rPr>
          <w:rFonts w:hint="eastAsia" w:hAnsi="宋体" w:cs="宋体"/>
          <w:sz w:val="21"/>
          <w:szCs w:val="21"/>
          <w:highlight w:val="none"/>
        </w:rPr>
        <w:t xml:space="preserve">1.被人民法院列入失信被执行人；</w:t>
      </w:r>
      <w:r/>
    </w:p>
    <w:p>
      <w:pPr>
        <w:pStyle w:val="1119"/>
        <w:ind w:firstLine="420"/>
        <w:spacing w:line="480" w:lineRule="auto"/>
        <w:rPr>
          <w:rFonts w:hint="eastAsia" w:hAnsi="宋体" w:cs="宋体"/>
          <w:sz w:val="21"/>
          <w:szCs w:val="21"/>
          <w:highlight w:val="none"/>
        </w:rPr>
      </w:pPr>
      <w:r>
        <w:rPr>
          <w:rFonts w:hint="eastAsia" w:hAnsi="宋体" w:cs="宋体"/>
          <w:sz w:val="21"/>
          <w:szCs w:val="21"/>
          <w:highlight w:val="none"/>
        </w:rPr>
        <w:t xml:space="preserve">2.被税务部门列入重大税收违法案件当事人名单；</w:t>
      </w:r>
      <w:r/>
    </w:p>
    <w:p>
      <w:pPr>
        <w:pStyle w:val="1119"/>
        <w:ind w:firstLine="420"/>
        <w:spacing w:line="480" w:lineRule="auto"/>
        <w:rPr>
          <w:rFonts w:hint="eastAsia" w:hAnsi="宋体" w:cs="宋体"/>
          <w:sz w:val="21"/>
          <w:szCs w:val="21"/>
          <w:highlight w:val="none"/>
        </w:rPr>
      </w:pPr>
      <w:r>
        <w:rPr>
          <w:rFonts w:hint="eastAsia" w:hAnsi="宋体" w:cs="宋体"/>
          <w:sz w:val="21"/>
          <w:szCs w:val="21"/>
          <w:highlight w:val="none"/>
        </w:rPr>
        <w:t xml:space="preserve">3.被政府采购监管部门列入政府采购严重违法失信行为记录名单；</w:t>
      </w:r>
      <w:r/>
    </w:p>
    <w:p>
      <w:pPr>
        <w:pStyle w:val="1119"/>
        <w:ind w:firstLine="420"/>
        <w:spacing w:line="480" w:lineRule="auto"/>
        <w:rPr>
          <w:rFonts w:hint="eastAsia" w:hAnsi="宋体" w:cs="宋体"/>
          <w:sz w:val="21"/>
          <w:szCs w:val="21"/>
          <w:highlight w:val="none"/>
        </w:rPr>
      </w:pPr>
      <w:r>
        <w:rPr>
          <w:rFonts w:hint="eastAsia" w:hAnsi="宋体" w:cs="宋体"/>
          <w:sz w:val="21"/>
          <w:szCs w:val="21"/>
          <w:highlight w:val="none"/>
        </w:rPr>
        <w:t xml:space="preserve">4.不符合《政府采购法》第二十二条规定的条件。</w:t>
      </w:r>
      <w:r/>
    </w:p>
    <w:p>
      <w:pPr>
        <w:pStyle w:val="1119"/>
        <w:ind w:firstLine="420"/>
        <w:spacing w:line="480" w:lineRule="auto"/>
        <w:rPr>
          <w:rFonts w:hint="eastAsia" w:hAnsi="宋体" w:cs="宋体"/>
          <w:sz w:val="21"/>
          <w:szCs w:val="21"/>
          <w:highlight w:val="none"/>
        </w:rPr>
      </w:pPr>
      <w:r>
        <w:rPr>
          <w:rFonts w:hint="eastAsia" w:hAnsi="宋体" w:cs="宋体"/>
          <w:sz w:val="21"/>
          <w:szCs w:val="21"/>
          <w:highlight w:val="none"/>
        </w:rPr>
        <w:t xml:space="preserve">我单位已就上述不良信用行为按照采购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1119"/>
        <w:ind w:firstLine="0"/>
        <w:rPr>
          <w:rFonts w:hint="eastAsia" w:hAnsi="宋体" w:cs="宋体"/>
          <w:highlight w:val="none"/>
        </w:rPr>
      </w:pPr>
      <w:r>
        <w:rPr>
          <w:rFonts w:hint="eastAsia" w:hAnsi="宋体" w:cs="宋体"/>
          <w:highlight w:val="none"/>
        </w:rPr>
      </w:r>
      <w:r/>
    </w:p>
    <w:p>
      <w:pPr>
        <w:pStyle w:val="1119"/>
        <w:ind w:firstLine="400"/>
        <w:rPr>
          <w:rFonts w:hint="eastAsia" w:hAnsi="宋体" w:cs="宋体"/>
          <w:highlight w:val="none"/>
        </w:rPr>
      </w:pPr>
      <w:r>
        <w:rPr>
          <w:rFonts w:hint="eastAsia" w:hAnsi="宋体" w:cs="宋体"/>
          <w:highlight w:val="none"/>
        </w:rPr>
      </w:r>
      <w:r/>
    </w:p>
    <w:p>
      <w:pPr>
        <w:ind w:firstLine="3990"/>
        <w:spacing w:line="360" w:lineRule="auto"/>
        <w:rPr>
          <w:rFonts w:hint="eastAsia" w:ascii="宋体" w:hAnsi="宋体" w:cs="宋体"/>
          <w:szCs w:val="21"/>
          <w:highlight w:val="none"/>
          <w:u w:val="single"/>
        </w:rPr>
      </w:pPr>
      <w:r/>
      <w:bookmarkStart w:id="151" w:name="_Toc102117326"/>
      <w:r/>
      <w:bookmarkStart w:id="152" w:name="_Toc103848596"/>
      <w:r>
        <w:rPr>
          <w:rFonts w:hint="eastAsia" w:ascii="宋体" w:hAnsi="宋体" w:cs="宋体"/>
          <w:bCs/>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pStyle w:val="1119"/>
        <w:ind w:firstLine="420"/>
        <w:jc w:val="right"/>
        <w:spacing w:line="480" w:lineRule="auto"/>
        <w:rPr>
          <w:rFonts w:hint="eastAsia" w:hAnsi="宋体" w:cs="宋体"/>
          <w:bCs/>
          <w:highlight w:val="none"/>
        </w:rPr>
      </w:pPr>
      <w:r>
        <w:rPr>
          <w:rFonts w:hint="eastAsia" w:hAnsi="宋体" w:cs="宋体"/>
          <w:bCs/>
          <w:highlight w:val="none"/>
        </w:rPr>
        <w:t xml:space="preserve">日期：______年</w:t>
      </w:r>
      <w:r>
        <w:rPr>
          <w:rFonts w:hint="eastAsia" w:hAnsi="宋体" w:cs="宋体"/>
          <w:bCs/>
          <w:highlight w:val="none"/>
          <w:u w:val="single"/>
        </w:rPr>
        <w:t xml:space="preserve">    </w:t>
      </w:r>
      <w:r>
        <w:rPr>
          <w:rFonts w:hint="eastAsia" w:hAnsi="宋体" w:cs="宋体"/>
          <w:bCs/>
          <w:highlight w:val="none"/>
        </w:rPr>
        <w:t xml:space="preserve">月</w:t>
      </w:r>
      <w:r>
        <w:rPr>
          <w:rFonts w:hint="eastAsia" w:hAnsi="宋体" w:cs="宋体"/>
          <w:bCs/>
          <w:highlight w:val="none"/>
          <w:u w:val="single"/>
        </w:rPr>
        <w:t xml:space="preserve">    </w:t>
      </w:r>
      <w:r>
        <w:rPr>
          <w:rFonts w:hint="eastAsia" w:hAnsi="宋体" w:cs="宋体"/>
          <w:bCs/>
          <w:highlight w:val="none"/>
        </w:rPr>
        <w:t xml:space="preserve">日</w:t>
      </w:r>
      <w:r/>
    </w:p>
    <w:p>
      <w:pPr>
        <w:pStyle w:val="1119"/>
        <w:ind w:firstLine="420"/>
        <w:jc w:val="left"/>
        <w:spacing w:line="480" w:lineRule="auto"/>
        <w:rPr>
          <w:rFonts w:hint="eastAsia" w:hAnsi="宋体" w:cs="宋体"/>
          <w:b/>
          <w:sz w:val="24"/>
          <w:szCs w:val="24"/>
          <w:highlight w:val="none"/>
        </w:rPr>
      </w:pPr>
      <w:r>
        <w:rPr>
          <w:rFonts w:hint="eastAsia" w:hAnsi="宋体" w:cs="宋体"/>
          <w:sz w:val="24"/>
          <w:szCs w:val="24"/>
          <w:highlight w:val="none"/>
        </w:rPr>
        <w:br w:type="page" w:clear="all"/>
      </w:r>
      <w:bookmarkStart w:id="153" w:name="_Toc104560911"/>
      <w:r/>
      <w:bookmarkStart w:id="154" w:name="_Toc107246291"/>
      <w:r>
        <w:rPr>
          <w:rFonts w:hint="eastAsia" w:hAnsi="宋体" w:cs="宋体"/>
          <w:b/>
          <w:sz w:val="21"/>
          <w:szCs w:val="21"/>
          <w:highlight w:val="none"/>
        </w:rPr>
        <w:t xml:space="preserve">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p>
      <w:pPr>
        <w:rPr>
          <w:rFonts w:hint="eastAsia" w:ascii="宋体" w:hAnsi="宋体" w:cs="宋体"/>
          <w:sz w:val="24"/>
          <w:highlight w:val="none"/>
        </w:rPr>
      </w:pPr>
      <w:r>
        <w:rPr>
          <w:rFonts w:hint="eastAsia" w:ascii="宋体" w:hAnsi="宋体" w:cs="宋体"/>
          <w:sz w:val="24"/>
          <w:highlight w:val="none"/>
        </w:rPr>
        <w:br w:type="page" w:clear="all"/>
      </w:r>
      <w:r/>
    </w:p>
    <w:p>
      <w:pPr>
        <w:pStyle w:val="911"/>
        <w:spacing w:before="0" w:line="360" w:lineRule="auto"/>
        <w:rPr>
          <w:rFonts w:hint="eastAsia" w:ascii="宋体" w:hAnsi="宋体" w:cs="宋体"/>
          <w:bCs w:val="0"/>
          <w:sz w:val="24"/>
          <w:szCs w:val="24"/>
          <w:highlight w:val="none"/>
        </w:rPr>
      </w:pPr>
      <w:r/>
      <w:bookmarkStart w:id="155" w:name="_Toc22587"/>
      <w:r>
        <w:rPr>
          <w:rFonts w:hint="eastAsia" w:ascii="宋体" w:hAnsi="宋体" w:cs="宋体"/>
          <w:bCs w:val="0"/>
          <w:sz w:val="24"/>
          <w:szCs w:val="24"/>
          <w:highlight w:val="none"/>
        </w:rPr>
        <w:t xml:space="preserve">（7-8）</w:t>
      </w:r>
      <w:bookmarkEnd w:id="151"/>
      <w:r>
        <w:rPr>
          <w:rFonts w:hint="eastAsia" w:ascii="宋体" w:hAnsi="宋体" w:cs="宋体"/>
          <w:bCs w:val="0"/>
          <w:sz w:val="24"/>
          <w:szCs w:val="24"/>
          <w:highlight w:val="none"/>
        </w:rPr>
        <w:t xml:space="preserve">采购文件要求的其它实质性资格资信证明文件</w:t>
      </w:r>
      <w:bookmarkEnd w:id="153"/>
      <w:r/>
      <w:bookmarkEnd w:id="154"/>
      <w:r/>
      <w:bookmarkEnd w:id="155"/>
      <w:r/>
      <w:r/>
    </w:p>
    <w:p>
      <w:pPr>
        <w:pStyle w:val="1119"/>
        <w:ind w:firstLine="0"/>
        <w:jc w:val="left"/>
        <w:rPr>
          <w:rFonts w:hint="eastAsia" w:hAnsi="宋体" w:cs="宋体"/>
          <w:b/>
          <w:sz w:val="21"/>
          <w:szCs w:val="21"/>
          <w:highlight w:val="none"/>
        </w:rPr>
      </w:pPr>
      <w:r/>
      <w:bookmarkStart w:id="156" w:name="_Toc107246292"/>
      <w:r/>
      <w:r/>
    </w:p>
    <w:p>
      <w:pPr>
        <w:pStyle w:val="1119"/>
        <w:ind w:firstLine="420"/>
        <w:jc w:val="left"/>
        <w:rPr>
          <w:rFonts w:hint="eastAsia" w:hAnsi="宋体" w:cs="宋体"/>
          <w:b/>
          <w:sz w:val="21"/>
          <w:szCs w:val="21"/>
          <w:highlight w:val="none"/>
        </w:rPr>
      </w:pPr>
      <w:r>
        <w:rPr>
          <w:rFonts w:hint="eastAsia" w:hAnsi="宋体" w:cs="宋体"/>
          <w:b/>
          <w:sz w:val="21"/>
          <w:szCs w:val="21"/>
          <w:highlight w:val="none"/>
        </w:rPr>
        <w:t xml:space="preserve">如有，格式自拟。</w:t>
      </w:r>
      <w:r/>
    </w:p>
    <w:p>
      <w:pPr>
        <w:rPr>
          <w:rFonts w:hint="eastAsia" w:ascii="宋体" w:hAnsi="宋体" w:cs="宋体"/>
          <w:b/>
          <w:bCs/>
          <w:highlight w:val="none"/>
        </w:rPr>
      </w:pPr>
      <w:r>
        <w:rPr>
          <w:rFonts w:hint="eastAsia" w:ascii="宋体" w:hAnsi="宋体" w:cs="宋体"/>
          <w:highlight w:val="none"/>
        </w:rPr>
        <w:br w:type="page" w:clear="all"/>
      </w:r>
      <w:bookmarkEnd w:id="152"/>
      <w:r/>
      <w:bookmarkEnd w:id="156"/>
      <w:r/>
      <w:r/>
    </w:p>
    <w:p>
      <w:pPr>
        <w:pStyle w:val="911"/>
        <w:rPr>
          <w:rFonts w:hint="eastAsia" w:ascii="宋体" w:hAnsi="宋体" w:cs="宋体"/>
          <w:sz w:val="24"/>
          <w:szCs w:val="24"/>
          <w:highlight w:val="none"/>
        </w:rPr>
      </w:pPr>
      <w:r/>
      <w:bookmarkStart w:id="157" w:name="_Toc19505"/>
      <w:r/>
      <w:bookmarkStart w:id="158" w:name="_Toc103848598"/>
      <w:r/>
      <w:bookmarkStart w:id="159" w:name="_Toc104560915"/>
      <w:r/>
      <w:bookmarkStart w:id="160" w:name="_Toc107246296"/>
      <w:r/>
      <w:bookmarkStart w:id="161" w:name="_Toc102117330"/>
      <w:r>
        <w:rPr>
          <w:rFonts w:hint="eastAsia" w:ascii="宋体" w:hAnsi="宋体" w:cs="宋体"/>
          <w:sz w:val="24"/>
          <w:szCs w:val="24"/>
          <w:highlight w:val="none"/>
        </w:rPr>
        <w:t xml:space="preserve">（8）关于资格证明文件的书面承诺</w:t>
      </w:r>
      <w:bookmarkEnd w:id="157"/>
      <w:r/>
      <w:r/>
    </w:p>
    <w:p>
      <w:pPr>
        <w:jc w:val="center"/>
        <w:spacing w:before="320" w:after="320"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关于资格证明文件的书面承诺</w:t>
      </w:r>
      <w:r/>
    </w:p>
    <w:p>
      <w:pPr>
        <w:ind w:firstLine="360"/>
        <w:jc w:val="left"/>
        <w:spacing w:before="240" w:after="240" w:line="360" w:lineRule="auto"/>
        <w:widowControl/>
        <w:rPr>
          <w:rFonts w:hint="eastAsia" w:ascii="宋体" w:hAnsi="宋体" w:cs="宋体"/>
          <w:sz w:val="24"/>
          <w:highlight w:val="none"/>
        </w:rPr>
      </w:pPr>
      <w:r>
        <w:rPr>
          <w:rFonts w:hint="eastAsia" w:ascii="宋体" w:hAnsi="宋体" w:cs="宋体"/>
          <w:sz w:val="24"/>
          <w:highlight w:val="none"/>
        </w:rPr>
      </w:r>
      <w:r/>
    </w:p>
    <w:p>
      <w:pPr>
        <w:ind w:firstLine="360"/>
        <w:jc w:val="left"/>
        <w:spacing w:before="240" w:after="240" w:line="360" w:lineRule="auto"/>
        <w:widowControl/>
        <w:rPr>
          <w:rFonts w:hint="eastAsia" w:ascii="宋体" w:hAnsi="宋体" w:cs="宋体"/>
          <w:szCs w:val="21"/>
          <w:highlight w:val="none"/>
        </w:rPr>
      </w:pPr>
      <w:r>
        <w:rPr>
          <w:rFonts w:hint="eastAsia" w:ascii="宋体" w:hAnsi="宋体" w:cs="宋体"/>
          <w:szCs w:val="21"/>
          <w:highlight w:val="none"/>
        </w:rPr>
        <w:t xml:space="preserve">我单位郑重承诺：本单位所提交的响应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hint="eastAsia" w:ascii="宋体" w:hAnsi="宋体" w:cs="宋体"/>
          <w:szCs w:val="21"/>
          <w:highlight w:val="none"/>
        </w:rPr>
      </w:pPr>
      <w:r>
        <w:rPr>
          <w:rFonts w:hint="eastAsia" w:ascii="宋体" w:hAnsi="宋体" w:cs="宋体"/>
          <w:szCs w:val="21"/>
          <w:highlight w:val="none"/>
        </w:rPr>
      </w:r>
      <w:r/>
    </w:p>
    <w:p>
      <w:pPr>
        <w:jc w:val="right"/>
        <w:spacing w:line="360" w:lineRule="auto"/>
        <w:widowControl/>
        <w:rPr>
          <w:rFonts w:hint="eastAsia" w:ascii="宋体" w:hAnsi="宋体" w:cs="宋体"/>
          <w:szCs w:val="21"/>
          <w:highlight w:val="none"/>
        </w:rPr>
      </w:pPr>
      <w:r>
        <w:rPr>
          <w:rFonts w:hint="eastAsia" w:ascii="宋体" w:hAnsi="宋体" w:cs="宋体"/>
          <w:szCs w:val="21"/>
          <w:highlight w:val="none"/>
        </w:rPr>
        <w:t xml:space="preserve">       投标单位（加盖公章）：</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p>
    <w:p>
      <w:pPr>
        <w:pStyle w:val="890"/>
        <w:ind w:left="0" w:right="0"/>
        <w:jc w:val="right"/>
        <w:spacing w:after="0" w:line="360" w:lineRule="auto"/>
        <w:rPr>
          <w:rFonts w:hint="eastAsia" w:ascii="宋体" w:hAnsi="宋体" w:cs="宋体"/>
          <w:highlight w:val="none"/>
        </w:rPr>
      </w:pPr>
      <w:r>
        <w:rPr>
          <w:rFonts w:hint="eastAsia" w:ascii="宋体" w:hAnsi="宋体" w:cs="宋体"/>
          <w:szCs w:val="21"/>
          <w:highlight w:val="none"/>
        </w:rPr>
        <w:t xml:space="preserve">日期：</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年</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月</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日</w:t>
      </w:r>
      <w:r/>
    </w:p>
    <w:p>
      <w:pPr>
        <w:pStyle w:val="890"/>
        <w:rPr>
          <w:rFonts w:hint="eastAsia" w:ascii="宋体" w:hAnsi="宋体" w:cs="宋体"/>
          <w:szCs w:val="21"/>
          <w:highlight w:val="none"/>
        </w:rPr>
      </w:pPr>
      <w:r>
        <w:rPr>
          <w:rFonts w:hint="eastAsia" w:ascii="宋体" w:hAnsi="宋体" w:cs="宋体"/>
          <w:szCs w:val="21"/>
          <w:highlight w:val="none"/>
        </w:rPr>
      </w:r>
      <w:r/>
    </w:p>
    <w:p>
      <w:pPr>
        <w:pStyle w:val="890"/>
        <w:rPr>
          <w:rFonts w:hint="eastAsia" w:ascii="宋体" w:hAnsi="宋体" w:cs="宋体"/>
          <w:szCs w:val="21"/>
          <w:highlight w:val="none"/>
        </w:rPr>
        <w:sectPr>
          <w:footerReference w:type="default" r:id="rId17"/>
          <w:footerReference w:type="even" r:id="rId18"/>
          <w:footerReference w:type="first" r:id="rId19"/>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cs="宋体"/>
          <w:szCs w:val="21"/>
          <w:highlight w:val="none"/>
        </w:rPr>
      </w:r>
      <w:r/>
    </w:p>
    <w:p>
      <w:pPr>
        <w:pStyle w:val="911"/>
        <w:rPr>
          <w:rFonts w:hint="eastAsia" w:ascii="宋体" w:hAnsi="宋体" w:cs="宋体"/>
          <w:b w:val="0"/>
          <w:sz w:val="24"/>
          <w:szCs w:val="24"/>
          <w:highlight w:val="none"/>
        </w:rPr>
      </w:pPr>
      <w:r/>
      <w:bookmarkStart w:id="162" w:name="_Toc21935"/>
      <w:r>
        <w:rPr>
          <w:rFonts w:hint="eastAsia" w:ascii="宋体" w:hAnsi="宋体" w:cs="宋体"/>
          <w:sz w:val="24"/>
          <w:szCs w:val="24"/>
          <w:highlight w:val="none"/>
        </w:rPr>
        <w:t xml:space="preserve">（9）公章授权书（如需）</w:t>
      </w:r>
      <w:bookmarkEnd w:id="158"/>
      <w:r/>
      <w:bookmarkEnd w:id="159"/>
      <w:r/>
      <w:bookmarkEnd w:id="160"/>
      <w:r/>
      <w:bookmarkEnd w:id="161"/>
      <w:r/>
      <w:bookmarkEnd w:id="162"/>
      <w:r/>
      <w:r/>
    </w:p>
    <w:p>
      <w:pPr>
        <w:pStyle w:val="1119"/>
        <w:ind w:firstLine="0"/>
        <w:rPr>
          <w:rFonts w:hint="eastAsia" w:hAnsi="宋体" w:cs="宋体"/>
          <w:b/>
          <w:sz w:val="21"/>
          <w:szCs w:val="21"/>
          <w:highlight w:val="none"/>
        </w:rPr>
      </w:pPr>
      <w:r>
        <w:rPr>
          <w:rFonts w:hint="eastAsia" w:hAnsi="宋体" w:cs="宋体"/>
          <w:b/>
          <w:sz w:val="21"/>
          <w:szCs w:val="21"/>
          <w:highlight w:val="none"/>
        </w:rPr>
      </w:r>
      <w:r/>
    </w:p>
    <w:p>
      <w:pPr>
        <w:pStyle w:val="1119"/>
        <w:ind w:firstLine="0"/>
        <w:rPr>
          <w:rFonts w:hint="eastAsia" w:hAnsi="宋体" w:cs="宋体"/>
          <w:sz w:val="21"/>
          <w:szCs w:val="21"/>
          <w:highlight w:val="none"/>
        </w:rPr>
      </w:pPr>
      <w:r>
        <w:rPr>
          <w:rFonts w:hint="eastAsia" w:hAnsi="宋体" w:cs="宋体"/>
          <w:sz w:val="21"/>
          <w:szCs w:val="21"/>
          <w:highlight w:val="none"/>
        </w:rPr>
        <w:t xml:space="preserve">______________________（采购人）</w:t>
      </w:r>
      <w:r/>
    </w:p>
    <w:p>
      <w:pPr>
        <w:pStyle w:val="1119"/>
        <w:ind w:firstLine="420"/>
        <w:rPr>
          <w:rFonts w:hint="eastAsia" w:hAnsi="宋体" w:cs="宋体"/>
          <w:sz w:val="21"/>
          <w:szCs w:val="21"/>
          <w:highlight w:val="none"/>
        </w:rPr>
      </w:pPr>
      <w:r>
        <w:rPr>
          <w:rFonts w:hint="eastAsia" w:hAnsi="宋体" w:cs="宋体"/>
          <w:sz w:val="21"/>
          <w:szCs w:val="21"/>
          <w:highlight w:val="none"/>
        </w:rPr>
        <w:t xml:space="preserve">______</w:t>
      </w:r>
      <w:r>
        <w:rPr>
          <w:rFonts w:hint="eastAsia" w:hAnsi="宋体" w:cs="宋体"/>
          <w:sz w:val="21"/>
          <w:szCs w:val="21"/>
          <w:highlight w:val="none"/>
          <w:u w:val="single"/>
        </w:rPr>
        <w:t xml:space="preserve">(供应商名称)</w:t>
      </w:r>
      <w:r>
        <w:rPr>
          <w:rFonts w:hint="eastAsia" w:hAnsi="宋体" w:cs="宋体"/>
          <w:sz w:val="21"/>
          <w:szCs w:val="21"/>
          <w:highlight w:val="none"/>
        </w:rPr>
        <w:t xml:space="preserve">______，中华人民共和国合法企业，法定地址：____________________。在参与</w:t>
      </w:r>
      <w:r>
        <w:rPr>
          <w:rFonts w:hint="eastAsia" w:hAnsi="宋体" w:cs="宋体"/>
          <w:sz w:val="21"/>
          <w:szCs w:val="21"/>
          <w:highlight w:val="none"/>
          <w:u w:val="single"/>
          <w:lang w:eastAsia="zh-CN"/>
        </w:rPr>
        <w:t xml:space="preserve">2026年高效液相色谱仪飞行时间质谱联用仪等35台大型仪器运维服务采购</w:t>
      </w:r>
      <w:r>
        <w:rPr>
          <w:rFonts w:hint="eastAsia" w:hAnsi="宋体" w:cs="宋体"/>
          <w:sz w:val="21"/>
          <w:szCs w:val="21"/>
          <w:highlight w:val="none"/>
          <w:u w:val="single"/>
        </w:rPr>
        <w:t xml:space="preserve">（项目名称）（项目编号：</w:t>
      </w:r>
      <w:r>
        <w:rPr>
          <w:rFonts w:hint="eastAsia" w:hAnsi="宋体" w:cs="宋体"/>
          <w:sz w:val="21"/>
          <w:szCs w:val="21"/>
          <w:highlight w:val="none"/>
          <w:u w:val="single"/>
          <w:lang w:eastAsia="zh-CN"/>
        </w:rPr>
        <w:t xml:space="preserve">JSZC-320000-JITC-D2026-0327</w:t>
      </w:r>
      <w:r>
        <w:rPr>
          <w:rFonts w:hint="eastAsia" w:hAnsi="宋体" w:cs="宋体"/>
          <w:sz w:val="21"/>
          <w:szCs w:val="21"/>
          <w:highlight w:val="none"/>
          <w:u w:val="single"/>
        </w:rPr>
        <w:t xml:space="preserve">）</w:t>
      </w:r>
      <w:r>
        <w:rPr>
          <w:rFonts w:hint="eastAsia" w:hAnsi="宋体" w:cs="宋体"/>
          <w:sz w:val="21"/>
          <w:szCs w:val="21"/>
          <w:highlight w:val="none"/>
        </w:rPr>
        <w:t xml:space="preserve">协商活动中，我单位授权</w:t>
      </w: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（样式附后）在此次活动中代为公章使用。</w:t>
      </w:r>
      <w:r/>
    </w:p>
    <w:p>
      <w:pPr>
        <w:pStyle w:val="1119"/>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所签署的响应文件、澄清等，我单位承认并同意具备与我单位公章签署等同的法律效力。</w:t>
      </w:r>
      <w:r/>
    </w:p>
    <w:p>
      <w:pPr>
        <w:pStyle w:val="1119"/>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签署的所有文件、协议不因授权的撤销而失效。</w:t>
      </w:r>
      <w:r/>
    </w:p>
    <w:p>
      <w:pPr>
        <w:pStyle w:val="1119"/>
        <w:ind w:right="840" w:firstLine="0"/>
        <w:rPr>
          <w:rFonts w:hint="eastAsia" w:hAnsi="宋体" w:cs="宋体"/>
          <w:sz w:val="21"/>
          <w:szCs w:val="21"/>
          <w:highlight w:val="none"/>
        </w:rPr>
      </w:pPr>
      <w:r>
        <w:rPr>
          <w:rFonts w:hint="eastAsia" w:hAnsi="宋体" w:cs="宋体"/>
          <w:sz w:val="21"/>
          <w:szCs w:val="21"/>
          <w:highlight w:val="none"/>
        </w:rPr>
      </w:r>
      <w:r/>
    </w:p>
    <w:p>
      <w:pPr>
        <w:pStyle w:val="1119"/>
        <w:ind w:right="840" w:firstLine="199"/>
        <w:rPr>
          <w:rFonts w:hint="eastAsia" w:hAnsi="宋体" w:cs="宋体"/>
          <w:sz w:val="21"/>
          <w:szCs w:val="21"/>
          <w:highlight w:val="none"/>
        </w:rPr>
      </w:pPr>
      <w:r>
        <w:rPr>
          <w:rFonts w:hint="eastAsia" w:hAnsi="宋体" w:cs="宋体"/>
          <w:sz w:val="21"/>
          <w:szCs w:val="21"/>
          <w:highlight w:val="none"/>
        </w:rPr>
        <w:t xml:space="preserve">其他形式的印章名称：______________</w:t>
      </w:r>
      <w:r/>
    </w:p>
    <w:p>
      <w:pPr>
        <w:pStyle w:val="1119"/>
        <w:ind w:right="420" w:firstLine="190"/>
        <w:rPr>
          <w:rFonts w:hint="eastAsia" w:hAnsi="宋体" w:cs="宋体"/>
          <w:sz w:val="21"/>
          <w:szCs w:val="21"/>
          <w:highlight w:val="none"/>
        </w:rPr>
      </w:pPr>
      <w:r>
        <w:rPr>
          <w:rFonts w:hint="eastAsia" w:hAnsi="宋体"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a:solidFill>
                            <a:srgbClr val="000000"/>
                          </a:solidFill>
                        </a:ln>
                      </wps:spPr>
                      <wps:txbx>
                        <w:txbxContent>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w10:wrap type="square"/>
                <v:textbox inset="0,0,0,0">
                  <w:txbxContent>
                    <w:p>
                      <w:r/>
                      <w:r/>
                    </w:p>
                    <w:p>
                      <w:r/>
                      <w:r/>
                    </w:p>
                  </w:txbxContent>
                </v:textbox>
              </v:shape>
            </w:pict>
          </mc:Fallback>
        </mc:AlternateContent>
      </w:r>
      <w:r>
        <w:rPr>
          <w:rFonts w:hint="eastAsia" w:hAnsi="宋体" w:cs="宋体"/>
          <w:sz w:val="21"/>
          <w:szCs w:val="21"/>
          <w:highlight w:val="none"/>
        </w:rPr>
        <w:t xml:space="preserve">印章样式：</w:t>
      </w:r>
      <w:r/>
    </w:p>
    <w:p>
      <w:pPr>
        <w:pStyle w:val="1119"/>
        <w:ind w:right="420" w:firstLine="4819"/>
        <w:rPr>
          <w:rFonts w:hint="eastAsia" w:hAnsi="宋体" w:cs="宋体"/>
          <w:sz w:val="21"/>
          <w:szCs w:val="21"/>
          <w:highlight w:val="none"/>
        </w:rPr>
      </w:pPr>
      <w:r>
        <w:rPr>
          <w:rFonts w:hint="eastAsia" w:hAnsi="宋体" w:cs="宋体"/>
          <w:sz w:val="21"/>
          <w:szCs w:val="21"/>
          <w:highlight w:val="none"/>
        </w:rPr>
      </w:r>
      <w:r/>
    </w:p>
    <w:p>
      <w:pPr>
        <w:pStyle w:val="1119"/>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19"/>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19"/>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19"/>
        <w:ind w:right="420" w:firstLine="3150"/>
        <w:jc w:val="left"/>
        <w:spacing w:line="276" w:lineRule="auto"/>
        <w:rPr>
          <w:rFonts w:hint="eastAsia" w:hAnsi="宋体" w:cs="宋体"/>
          <w:sz w:val="21"/>
          <w:szCs w:val="21"/>
          <w:highlight w:val="none"/>
          <w:u w:val="singl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p>
    <w:p>
      <w:pPr>
        <w:pStyle w:val="1119"/>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               </w:t>
      </w:r>
      <w:r/>
    </w:p>
    <w:p>
      <w:pPr>
        <w:pStyle w:val="1119"/>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法定代表人</w:t>
      </w:r>
      <w:r/>
    </w:p>
    <w:p>
      <w:pPr>
        <w:pStyle w:val="1119"/>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t xml:space="preserve">或其授权代表（签字或盖章）：_________________</w:t>
      </w:r>
      <w:r/>
    </w:p>
    <w:p>
      <w:pPr>
        <w:pStyle w:val="1119"/>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jc w:val="left"/>
        <w:spacing w:line="276" w:lineRule="auto"/>
        <w:rPr>
          <w:rFonts w:hint="eastAsia" w:ascii="宋体" w:hAnsi="宋体" w:cs="宋体"/>
          <w:bCs/>
          <w:highlight w:val="none"/>
        </w:rPr>
      </w:pPr>
      <w:r>
        <w:rPr>
          <w:rFonts w:hint="eastAsia" w:ascii="宋体" w:hAnsi="宋体" w:cs="宋体"/>
          <w:spacing w:val="-3"/>
          <w:highlight w:val="none"/>
        </w:rPr>
        <w:t xml:space="preserve">                                </w:t>
      </w:r>
      <w:r>
        <w:rPr>
          <w:rFonts w:hint="eastAsia" w:ascii="宋体" w:hAnsi="宋体" w:cs="宋体"/>
          <w:bCs/>
          <w:highlight w:val="none"/>
        </w:rPr>
        <w:t xml:space="preserve">日期：______年</w:t>
      </w:r>
      <w:r>
        <w:rPr>
          <w:rFonts w:hint="eastAsia" w:ascii="宋体" w:hAnsi="宋体" w:cs="宋体"/>
          <w:bCs/>
          <w:highlight w:val="none"/>
          <w:u w:val="single"/>
        </w:rPr>
        <w:t xml:space="preserve">    </w:t>
      </w:r>
      <w:r>
        <w:rPr>
          <w:rFonts w:hint="eastAsia" w:ascii="宋体" w:hAnsi="宋体" w:cs="宋体"/>
          <w:bCs/>
          <w:highlight w:val="none"/>
        </w:rPr>
        <w:t xml:space="preserve">月</w:t>
      </w:r>
      <w:r>
        <w:rPr>
          <w:rFonts w:hint="eastAsia" w:ascii="宋体" w:hAnsi="宋体" w:cs="宋体"/>
          <w:bCs/>
          <w:highlight w:val="none"/>
          <w:u w:val="single"/>
        </w:rPr>
        <w:t xml:space="preserve">    </w:t>
      </w:r>
      <w:r>
        <w:rPr>
          <w:rFonts w:hint="eastAsia" w:ascii="宋体" w:hAnsi="宋体" w:cs="宋体"/>
          <w:bCs/>
          <w:highlight w:val="none"/>
        </w:rPr>
        <w:t xml:space="preserve">日</w:t>
      </w:r>
      <w:r/>
    </w:p>
    <w:p>
      <w:pPr>
        <w:rPr>
          <w:rFonts w:hint="eastAsia" w:ascii="宋体" w:hAnsi="宋体" w:cs="宋体"/>
          <w:highlight w:val="none"/>
        </w:rPr>
      </w:pPr>
      <w:r/>
      <w:bookmarkStart w:id="163" w:name="_Toc104560916"/>
      <w:r/>
      <w:bookmarkStart w:id="164" w:name="_Toc107246299"/>
      <w:r/>
      <w:bookmarkStart w:id="165" w:name="_Toc103848599"/>
      <w:r/>
      <w:r/>
    </w:p>
    <w:p>
      <w:pPr>
        <w:jc w:val="left"/>
        <w:widowControl/>
        <w:rPr>
          <w:rFonts w:hint="eastAsia" w:ascii="宋体" w:hAnsi="宋体" w:cs="宋体"/>
          <w:b/>
          <w:bCs/>
          <w:sz w:val="28"/>
          <w:highlight w:val="none"/>
        </w:rPr>
      </w:pPr>
      <w:r>
        <w:rPr>
          <w:rFonts w:hint="eastAsia" w:ascii="宋体" w:hAnsi="宋体" w:cs="宋体"/>
          <w:sz w:val="28"/>
          <w:highlight w:val="none"/>
        </w:rPr>
        <w:br w:type="page" w:clear="all"/>
      </w:r>
      <w:r/>
    </w:p>
    <w:p>
      <w:pPr>
        <w:pStyle w:val="911"/>
        <w:rPr>
          <w:rFonts w:hint="eastAsia" w:ascii="宋体" w:hAnsi="宋体" w:cs="宋体"/>
          <w:sz w:val="24"/>
          <w:szCs w:val="24"/>
          <w:highlight w:val="none"/>
        </w:rPr>
      </w:pPr>
      <w:r/>
      <w:bookmarkStart w:id="166" w:name="_Toc3009"/>
      <w:r>
        <w:rPr>
          <w:rFonts w:hint="eastAsia" w:ascii="宋体" w:hAnsi="宋体" w:cs="宋体"/>
          <w:sz w:val="28"/>
          <w:szCs w:val="24"/>
          <w:highlight w:val="none"/>
        </w:rPr>
        <w:t xml:space="preserve">二、</w:t>
      </w:r>
      <w:bookmarkEnd w:id="163"/>
      <w:r/>
      <w:bookmarkEnd w:id="164"/>
      <w:r/>
      <w:bookmarkEnd w:id="165"/>
      <w:r>
        <w:rPr>
          <w:rFonts w:hint="eastAsia" w:ascii="宋体" w:hAnsi="宋体" w:cs="宋体"/>
          <w:sz w:val="28"/>
          <w:szCs w:val="24"/>
          <w:highlight w:val="none"/>
        </w:rPr>
        <w:t xml:space="preserve">采购需求响应文件</w:t>
      </w:r>
      <w:bookmarkEnd w:id="166"/>
      <w:r/>
      <w:r/>
    </w:p>
    <w:p>
      <w:pPr>
        <w:pStyle w:val="1169"/>
        <w:spacing w:line="240" w:lineRule="atLeast"/>
        <w:rPr>
          <w:rFonts w:ascii="Times New Roman" w:hAnsi="Times New Roman"/>
          <w:bCs w:val="0"/>
          <w:sz w:val="24"/>
          <w:szCs w:val="24"/>
          <w:highlight w:val="none"/>
        </w:rPr>
      </w:pPr>
      <w:r/>
      <w:bookmarkStart w:id="167" w:name="_Toc10708"/>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1</w:t>
      </w:r>
      <w:r>
        <w:rPr>
          <w:rFonts w:ascii="Times New Roman" w:hAnsi="Times New Roman"/>
          <w:bCs w:val="0"/>
          <w:sz w:val="24"/>
          <w:szCs w:val="24"/>
          <w:highlight w:val="none"/>
        </w:rPr>
        <w:t xml:space="preserve">）采购需求偏离表</w:t>
      </w:r>
      <w:bookmarkEnd w:id="167"/>
      <w:r/>
      <w:r/>
    </w:p>
    <w:p>
      <w:pPr>
        <w:rPr>
          <w:highlight w:val="none"/>
        </w:rPr>
      </w:pPr>
      <w:r>
        <w:rPr>
          <w:highlight w:val="none"/>
        </w:rPr>
      </w:r>
      <w:r/>
    </w:p>
    <w:tbl>
      <w:tblPr>
        <w:tblStyle w:val="880"/>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2835"/>
        <w:gridCol w:w="1842"/>
        <w:gridCol w:w="1843"/>
        <w:gridCol w:w="1276"/>
      </w:tblGrid>
      <w:tr>
        <w:trPr>
          <w:jc w:val="center"/>
          <w:trHeight w:val="1053"/>
        </w:trPr>
        <w:tc>
          <w:tcPr>
            <w:tcW w:w="925" w:type="dxa"/>
            <w:vAlign w:val="center"/>
            <w:textDirection w:val="lrTb"/>
            <w:noWrap w:val="false"/>
          </w:tcPr>
          <w:p>
            <w:pPr>
              <w:jc w:val="center"/>
              <w:spacing w:line="400" w:lineRule="exact"/>
              <w:rPr>
                <w:b/>
                <w:szCs w:val="21"/>
                <w:highlight w:val="none"/>
              </w:rPr>
            </w:pPr>
            <w:r>
              <w:rPr>
                <w:b/>
                <w:szCs w:val="21"/>
                <w:highlight w:val="none"/>
              </w:rPr>
              <w:t xml:space="preserve">序号</w:t>
            </w:r>
            <w:r/>
          </w:p>
        </w:tc>
        <w:tc>
          <w:tcPr>
            <w:tcW w:w="2835" w:type="dxa"/>
            <w:vAlign w:val="center"/>
            <w:textDirection w:val="lrTb"/>
            <w:noWrap w:val="false"/>
          </w:tcPr>
          <w:p>
            <w:pPr>
              <w:jc w:val="center"/>
              <w:spacing w:line="400" w:lineRule="exact"/>
              <w:rPr>
                <w:b/>
                <w:szCs w:val="21"/>
                <w:highlight w:val="none"/>
              </w:rPr>
            </w:pPr>
            <w:r>
              <w:rPr>
                <w:b/>
                <w:szCs w:val="21"/>
                <w:highlight w:val="none"/>
              </w:rPr>
              <w:t xml:space="preserve">采购文件要求</w:t>
            </w:r>
            <w:r/>
          </w:p>
        </w:tc>
        <w:tc>
          <w:tcPr>
            <w:tcW w:w="1842" w:type="dxa"/>
            <w:vAlign w:val="center"/>
            <w:textDirection w:val="lrTb"/>
            <w:noWrap w:val="false"/>
          </w:tcPr>
          <w:p>
            <w:pPr>
              <w:jc w:val="center"/>
              <w:spacing w:line="400" w:lineRule="exact"/>
              <w:rPr>
                <w:b/>
                <w:szCs w:val="21"/>
                <w:highlight w:val="none"/>
              </w:rPr>
            </w:pPr>
            <w:r>
              <w:rPr>
                <w:rFonts w:hint="eastAsia"/>
                <w:b/>
                <w:szCs w:val="21"/>
                <w:highlight w:val="none"/>
              </w:rPr>
              <w:t xml:space="preserve">供应商</w:t>
            </w:r>
            <w:r>
              <w:rPr>
                <w:b/>
                <w:szCs w:val="21"/>
                <w:highlight w:val="none"/>
              </w:rPr>
              <w:t xml:space="preserve">响应内容</w:t>
            </w:r>
            <w:r/>
          </w:p>
        </w:tc>
        <w:tc>
          <w:tcPr>
            <w:tcW w:w="1843" w:type="dxa"/>
            <w:vAlign w:val="center"/>
            <w:textDirection w:val="lrTb"/>
            <w:noWrap w:val="false"/>
          </w:tcPr>
          <w:p>
            <w:pPr>
              <w:jc w:val="center"/>
              <w:spacing w:line="400" w:lineRule="exact"/>
              <w:rPr>
                <w:b/>
                <w:szCs w:val="21"/>
                <w:highlight w:val="none"/>
              </w:rPr>
            </w:pPr>
            <w:r>
              <w:rPr>
                <w:b/>
                <w:szCs w:val="21"/>
                <w:highlight w:val="none"/>
              </w:rPr>
              <w:t xml:space="preserve">偏离情况</w:t>
            </w:r>
            <w:r/>
          </w:p>
          <w:p>
            <w:pPr>
              <w:jc w:val="center"/>
              <w:spacing w:line="400" w:lineRule="exact"/>
              <w:rPr>
                <w:b/>
                <w:szCs w:val="21"/>
                <w:highlight w:val="none"/>
              </w:rPr>
            </w:pPr>
            <w:r>
              <w:rPr>
                <w:b/>
                <w:szCs w:val="21"/>
                <w:highlight w:val="none"/>
              </w:rPr>
              <w:t xml:space="preserve">（据实填写）</w:t>
            </w:r>
            <w:r/>
          </w:p>
        </w:tc>
        <w:tc>
          <w:tcPr>
            <w:tcW w:w="1276" w:type="dxa"/>
            <w:vAlign w:val="center"/>
            <w:textDirection w:val="lrTb"/>
            <w:noWrap w:val="false"/>
          </w:tcPr>
          <w:p>
            <w:pPr>
              <w:jc w:val="center"/>
              <w:spacing w:line="400" w:lineRule="exact"/>
              <w:rPr>
                <w:b/>
                <w:szCs w:val="21"/>
                <w:highlight w:val="none"/>
              </w:rPr>
            </w:pPr>
            <w:r>
              <w:rPr>
                <w:b/>
                <w:szCs w:val="21"/>
                <w:highlight w:val="none"/>
              </w:rPr>
              <w:t xml:space="preserve">说明</w:t>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925" w:type="dxa"/>
            <w:vAlign w:val="center"/>
            <w:textDirection w:val="lrTb"/>
            <w:noWrap w:val="false"/>
          </w:tcPr>
          <w:p>
            <w:pPr>
              <w:jc w:val="center"/>
              <w:rPr>
                <w:color w:val="000000"/>
                <w:sz w:val="24"/>
                <w:highlight w:val="none"/>
              </w:rPr>
            </w:pPr>
            <w:r>
              <w:rPr>
                <w:color w:val="000000"/>
                <w:sz w:val="24"/>
                <w:highlight w:val="none"/>
              </w:rPr>
            </w:r>
            <w:r/>
          </w:p>
        </w:tc>
        <w:tc>
          <w:tcPr>
            <w:tcW w:w="2835" w:type="dxa"/>
            <w:vAlign w:val="center"/>
            <w:textDirection w:val="lrTb"/>
            <w:noWrap w:val="false"/>
          </w:tcPr>
          <w:p>
            <w:pPr>
              <w:jc w:val="center"/>
              <w:rPr>
                <w:color w:val="000000"/>
                <w:sz w:val="24"/>
                <w:highlight w:val="none"/>
              </w:rPr>
            </w:pPr>
            <w:r>
              <w:rPr>
                <w:color w:val="000000"/>
                <w:sz w:val="24"/>
                <w:highlight w:val="none"/>
              </w:rPr>
            </w:r>
            <w:r/>
          </w:p>
        </w:tc>
        <w:tc>
          <w:tcPr>
            <w:tcW w:w="1842" w:type="dxa"/>
            <w:vAlign w:val="center"/>
            <w:textDirection w:val="lrTb"/>
            <w:noWrap w:val="false"/>
          </w:tcPr>
          <w:p>
            <w:pPr>
              <w:jc w:val="center"/>
              <w:rPr>
                <w:color w:val="000000"/>
                <w:sz w:val="24"/>
                <w:highlight w:val="none"/>
              </w:rPr>
            </w:pPr>
            <w:r>
              <w:rPr>
                <w:color w:val="000000"/>
                <w:sz w:val="24"/>
                <w:highlight w:val="none"/>
              </w:rPr>
            </w:r>
            <w:r/>
          </w:p>
        </w:tc>
        <w:tc>
          <w:tcPr>
            <w:tcW w:w="1843"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r>
    </w:tbl>
    <w:p>
      <w:pPr>
        <w:spacing w:before="120" w:line="360" w:lineRule="auto"/>
        <w:rPr>
          <w:szCs w:val="18"/>
          <w:highlight w:val="none"/>
        </w:rPr>
      </w:pPr>
      <w:r>
        <w:rPr>
          <w:szCs w:val="18"/>
          <w:highlight w:val="none"/>
        </w:rPr>
      </w:r>
      <w:r/>
    </w:p>
    <w:p>
      <w:pPr>
        <w:spacing w:before="120" w:line="360" w:lineRule="auto"/>
        <w:rPr>
          <w:sz w:val="18"/>
          <w:szCs w:val="18"/>
          <w:highlight w:val="none"/>
        </w:rPr>
      </w:pPr>
      <w:r>
        <w:rPr>
          <w:szCs w:val="18"/>
          <w:highlight w:val="none"/>
        </w:rPr>
        <w:t xml:space="preserve">供应商名称（公章）：</w:t>
      </w:r>
      <w:r>
        <w:rPr>
          <w:szCs w:val="18"/>
          <w:highlight w:val="none"/>
          <w:u w:val="single"/>
        </w:rPr>
        <w:tab/>
      </w:r>
      <w:r>
        <w:rPr>
          <w:szCs w:val="18"/>
          <w:highlight w:val="none"/>
          <w:u w:val="single"/>
        </w:rPr>
        <w:t xml:space="preserve">     </w:t>
      </w:r>
      <w:r>
        <w:rPr>
          <w:szCs w:val="18"/>
          <w:highlight w:val="none"/>
          <w:u w:val="single"/>
        </w:rPr>
        <w:tab/>
      </w:r>
      <w:r>
        <w:rPr>
          <w:szCs w:val="18"/>
          <w:highlight w:val="none"/>
          <w:u w:val="single"/>
        </w:rPr>
        <w:t xml:space="preserve">     </w:t>
      </w:r>
      <w:r>
        <w:rPr>
          <w:szCs w:val="18"/>
          <w:highlight w:val="none"/>
          <w:u w:val="single"/>
        </w:rPr>
        <w:tab/>
      </w:r>
      <w:r>
        <w:rPr>
          <w:szCs w:val="18"/>
          <w:highlight w:val="none"/>
          <w:u w:val="single"/>
        </w:rPr>
        <w:t xml:space="preserve">       </w:t>
      </w:r>
      <w:r/>
    </w:p>
    <w:p>
      <w:pPr>
        <w:spacing w:line="360" w:lineRule="auto"/>
        <w:rPr>
          <w:szCs w:val="21"/>
          <w:highlight w:val="none"/>
        </w:rPr>
      </w:pPr>
      <w:r>
        <w:rPr>
          <w:szCs w:val="21"/>
          <w:highlight w:val="none"/>
        </w:rPr>
      </w:r>
      <w:r/>
    </w:p>
    <w:p>
      <w:pPr>
        <w:spacing w:line="360" w:lineRule="auto"/>
        <w:rPr>
          <w:szCs w:val="21"/>
          <w:highlight w:val="none"/>
        </w:rPr>
      </w:pPr>
      <w:r>
        <w:rPr>
          <w:szCs w:val="21"/>
          <w:highlight w:val="none"/>
        </w:rPr>
        <w:t xml:space="preserve">法定代表人（单位负责人）</w:t>
      </w:r>
      <w:r/>
    </w:p>
    <w:p>
      <w:pPr>
        <w:spacing w:line="360" w:lineRule="auto"/>
        <w:rPr>
          <w:szCs w:val="21"/>
          <w:highlight w:val="none"/>
          <w:u w:val="single"/>
        </w:rPr>
      </w:pPr>
      <w:r>
        <w:rPr>
          <w:szCs w:val="21"/>
          <w:highlight w:val="none"/>
        </w:rPr>
        <w:t xml:space="preserve">或授权代表（签字或盖章）：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spacing w:line="360" w:lineRule="auto"/>
        <w:rPr>
          <w:szCs w:val="21"/>
          <w:highlight w:val="none"/>
          <w:u w:val="single"/>
        </w:rPr>
      </w:pPr>
      <w:r>
        <w:rPr>
          <w:szCs w:val="21"/>
          <w:highlight w:val="none"/>
          <w:u w:val="single"/>
        </w:rPr>
      </w:r>
      <w:r/>
    </w:p>
    <w:p>
      <w:pPr>
        <w:jc w:val="left"/>
        <w:spacing w:line="360" w:lineRule="auto"/>
        <w:rPr>
          <w:rFonts w:eastAsia="黑体"/>
          <w:b/>
          <w:sz w:val="32"/>
          <w:szCs w:val="32"/>
          <w:highlight w:val="none"/>
        </w:rPr>
      </w:pP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spacing w:line="360" w:lineRule="exact"/>
        <w:rPr>
          <w:szCs w:val="21"/>
          <w:highlight w:val="none"/>
        </w:rPr>
      </w:pPr>
      <w:r>
        <w:rPr>
          <w:szCs w:val="21"/>
          <w:highlight w:val="none"/>
        </w:rPr>
      </w:r>
      <w:r/>
    </w:p>
    <w:p>
      <w:pPr>
        <w:pStyle w:val="1173"/>
        <w:spacing w:line="360" w:lineRule="exact"/>
        <w:rPr>
          <w:rFonts w:ascii="Times New Roman" w:hAnsi="Times New Roman"/>
          <w:b/>
          <w:bCs/>
          <w:highlight w:val="none"/>
        </w:rPr>
      </w:pPr>
      <w:r>
        <w:rPr>
          <w:rFonts w:ascii="Times New Roman" w:hAnsi="Times New Roman"/>
          <w:b/>
          <w:bCs/>
          <w:highlight w:val="none"/>
        </w:rPr>
        <w:t xml:space="preserve">注：</w:t>
      </w:r>
      <w:r/>
    </w:p>
    <w:p>
      <w:pPr>
        <w:pStyle w:val="1173"/>
        <w:spacing w:line="360" w:lineRule="exact"/>
        <w:rPr>
          <w:rFonts w:ascii="Times New Roman" w:hAnsi="Times New Roman"/>
          <w:b/>
          <w:bCs/>
          <w:highlight w:val="none"/>
        </w:rPr>
      </w:pPr>
      <w:r>
        <w:rPr>
          <w:rFonts w:hint="eastAsia" w:ascii="Times New Roman" w:hAnsi="Times New Roman"/>
          <w:b/>
          <w:bCs/>
          <w:highlight w:val="none"/>
        </w:rPr>
        <w:t xml:space="preserve">1. 供应商须根据第三章《采购需求》要求填写此表，作为响应文件的组成部分。</w:t>
      </w:r>
      <w:r/>
    </w:p>
    <w:p>
      <w:pPr>
        <w:pStyle w:val="1173"/>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所有偏离必须在本表中列出，未在本偏离表中列出偏离，将视为供应商已完全接受采购文件要求。如完全无偏离，也无其他说明，可在本表第一行填写“全部无偏离”。</w:t>
      </w:r>
      <w:r/>
    </w:p>
    <w:p>
      <w:pPr>
        <w:pStyle w:val="1173"/>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偏离包括正、负偏离，正偏离指供应商的响应高于采购文件要求，负偏离指供应商的响应低于采购文件要求。</w:t>
      </w:r>
      <w:r/>
    </w:p>
    <w:p>
      <w:pPr>
        <w:pStyle w:val="1173"/>
        <w:spacing w:line="360" w:lineRule="exact"/>
        <w:rPr>
          <w:rFonts w:ascii="Times New Roman" w:hAnsi="Times New Roman"/>
          <w:b/>
          <w:bCs/>
          <w:highlight w:val="none"/>
        </w:rPr>
      </w:pPr>
      <w:r>
        <w:rPr>
          <w:rFonts w:hint="eastAsia"/>
          <w:b/>
          <w:highlight w:val="none"/>
        </w:rPr>
        <w:t xml:space="preserve">4. 如供应商将此表空白，视为供应商无任何偏离。</w:t>
      </w:r>
      <w:bookmarkStart w:id="168" w:name="_Toc102117337"/>
      <w:r/>
      <w:bookmarkEnd w:id="168"/>
      <w:r/>
      <w:r/>
    </w:p>
    <w:p>
      <w:pPr>
        <w:pStyle w:val="1119"/>
        <w:ind w:firstLine="420"/>
        <w:rPr>
          <w:rFonts w:hint="eastAsia" w:hAnsi="宋体" w:cs="宋体"/>
          <w:sz w:val="21"/>
          <w:szCs w:val="21"/>
          <w:highlight w:val="none"/>
        </w:rPr>
      </w:pPr>
      <w:r>
        <w:rPr>
          <w:rFonts w:hint="eastAsia" w:hAnsi="宋体" w:cs="宋体"/>
          <w:sz w:val="21"/>
          <w:szCs w:val="21"/>
          <w:highlight w:val="none"/>
        </w:rPr>
      </w:r>
      <w:r/>
    </w:p>
    <w:p>
      <w:pPr>
        <w:pStyle w:val="1119"/>
        <w:ind w:firstLine="3780"/>
        <w:rPr>
          <w:rFonts w:hint="eastAsia" w:hAnsi="宋体" w:cs="宋体"/>
          <w:sz w:val="21"/>
          <w:szCs w:val="21"/>
          <w:highlight w:val="none"/>
        </w:rPr>
      </w:pPr>
      <w:r>
        <w:rPr>
          <w:rFonts w:hint="eastAsia" w:hAnsi="宋体" w:cs="宋体"/>
          <w:sz w:val="21"/>
          <w:szCs w:val="21"/>
          <w:highlight w:val="none"/>
        </w:rPr>
        <w:t xml:space="preserve">供应商名称(公章)：____________</w:t>
      </w:r>
      <w:r/>
    </w:p>
    <w:p>
      <w:pPr>
        <w:pStyle w:val="1119"/>
        <w:ind w:firstLine="3780"/>
        <w:rPr>
          <w:rFonts w:hint="eastAsia" w:hAnsi="宋体" w:cs="宋体"/>
          <w:b/>
          <w:sz w:val="24"/>
          <w:highlight w:val="none"/>
        </w:rPr>
      </w:pPr>
      <w:r>
        <w:rPr>
          <w:rFonts w:hint="eastAsia" w:hAnsi="宋体" w:cs="宋体"/>
          <w:sz w:val="21"/>
          <w:szCs w:val="21"/>
          <w:highlight w:val="none"/>
        </w:rPr>
        <w:t xml:space="preserve">日期：______年____月____日</w:t>
      </w:r>
      <w:r>
        <w:rPr>
          <w:rFonts w:hint="eastAsia" w:hAnsi="宋体" w:cs="宋体"/>
          <w:bCs/>
          <w:sz w:val="24"/>
          <w:highlight w:val="none"/>
        </w:rPr>
        <w:br w:type="page" w:clear="all"/>
      </w:r>
      <w:r/>
    </w:p>
    <w:p>
      <w:pPr>
        <w:pStyle w:val="1169"/>
        <w:spacing w:line="240" w:lineRule="atLeast"/>
        <w:rPr>
          <w:rFonts w:ascii="Times New Roman" w:hAnsi="Times New Roman"/>
          <w:b w:val="0"/>
          <w:bCs w:val="0"/>
          <w:szCs w:val="18"/>
          <w:highlight w:val="none"/>
        </w:rPr>
      </w:pPr>
      <w:r/>
      <w:bookmarkStart w:id="169" w:name="_Toc9972"/>
      <w:r>
        <w:rPr>
          <w:rFonts w:hint="eastAsia" w:ascii="Times New Roman" w:hAnsi="Times New Roman"/>
          <w:sz w:val="24"/>
          <w:szCs w:val="24"/>
          <w:highlight w:val="none"/>
        </w:rPr>
        <w:t xml:space="preserve">（2</w:t>
      </w:r>
      <w:r>
        <w:rPr>
          <w:rFonts w:ascii="Times New Roman" w:hAnsi="Times New Roman"/>
          <w:sz w:val="24"/>
          <w:szCs w:val="24"/>
          <w:highlight w:val="none"/>
        </w:rPr>
        <w:t xml:space="preserve">）供应商认为需提供的其他文件或证明材料</w:t>
      </w:r>
      <w:bookmarkEnd w:id="169"/>
      <w:r/>
      <w:r/>
    </w:p>
    <w:p>
      <w:pPr>
        <w:pStyle w:val="1169"/>
        <w:rPr>
          <w:rFonts w:ascii="Times New Roman" w:hAnsi="Times New Roman"/>
          <w:sz w:val="24"/>
          <w:szCs w:val="24"/>
          <w:highlight w:val="none"/>
        </w:rPr>
      </w:pPr>
      <w:r>
        <w:rPr>
          <w:rFonts w:ascii="Times New Roman" w:hAnsi="Times New Roman"/>
          <w:highlight w:val="none"/>
        </w:rPr>
        <w:br w:type="page" w:clear="all"/>
      </w:r>
      <w:bookmarkStart w:id="170" w:name="_Toc102117339"/>
      <w:r/>
      <w:bookmarkStart w:id="171" w:name="_Toc8446"/>
      <w:r>
        <w:rPr>
          <w:rFonts w:ascii="Times New Roman" w:hAnsi="Times New Roman"/>
          <w:sz w:val="24"/>
          <w:szCs w:val="24"/>
          <w:highlight w:val="none"/>
        </w:rPr>
        <w:t xml:space="preserve">（</w:t>
      </w:r>
      <w:r>
        <w:rPr>
          <w:rFonts w:hint="eastAsia" w:ascii="Times New Roman" w:hAnsi="Times New Roman"/>
          <w:sz w:val="24"/>
          <w:szCs w:val="24"/>
          <w:highlight w:val="none"/>
        </w:rPr>
        <w:t xml:space="preserve">3</w:t>
      </w:r>
      <w:r>
        <w:rPr>
          <w:rFonts w:ascii="Times New Roman" w:hAnsi="Times New Roman"/>
          <w:sz w:val="24"/>
          <w:szCs w:val="24"/>
          <w:highlight w:val="none"/>
        </w:rPr>
        <w:t xml:space="preserve">）要求供应商提交的其他文件材料或证明材料</w:t>
      </w:r>
      <w:bookmarkEnd w:id="170"/>
      <w:r/>
      <w:bookmarkEnd w:id="171"/>
      <w:r/>
      <w:r/>
    </w:p>
    <w:p>
      <w:pPr>
        <w:ind w:firstLine="372"/>
        <w:rPr>
          <w:rFonts w:hint="eastAsia" w:ascii="宋体" w:hAnsi="宋体" w:cs="宋体"/>
          <w:color w:val="000000"/>
          <w:highlight w:val="none"/>
        </w:rPr>
      </w:pPr>
      <w:r>
        <w:rPr>
          <w:sz w:val="24"/>
          <w:highlight w:val="none"/>
        </w:rPr>
        <w:br w:type="page" w:clear="all"/>
      </w:r>
      <w:bookmarkEnd w:id="85"/>
      <w:r/>
      <w:r/>
    </w:p>
    <w:p>
      <w:pPr>
        <w:pStyle w:val="911"/>
        <w:spacing w:before="0"/>
        <w:rPr>
          <w:rFonts w:hint="eastAsia" w:ascii="宋体" w:hAnsi="宋体" w:cs="宋体"/>
          <w:highlight w:val="none"/>
        </w:rPr>
      </w:pPr>
      <w:r/>
      <w:bookmarkStart w:id="172" w:name="_Toc14415"/>
      <w:r/>
      <w:bookmarkStart w:id="173" w:name="_Toc107246305"/>
      <w:r/>
      <w:bookmarkStart w:id="174" w:name="_Toc103848605"/>
      <w:r/>
      <w:bookmarkStart w:id="175" w:name="_Toc104560922"/>
      <w:r/>
      <w:bookmarkStart w:id="176" w:name="_Toc100905289"/>
      <w:r/>
      <w:bookmarkStart w:id="177" w:name="_Toc96347904"/>
      <w:r>
        <w:rPr>
          <w:rFonts w:hint="eastAsia" w:ascii="宋体" w:hAnsi="宋体" w:cs="宋体"/>
          <w:sz w:val="28"/>
          <w:szCs w:val="24"/>
          <w:highlight w:val="none"/>
        </w:rPr>
        <w:t xml:space="preserve">三、其他部分</w:t>
      </w:r>
      <w:bookmarkEnd w:id="172"/>
      <w:r/>
      <w:bookmarkEnd w:id="173"/>
      <w:r/>
      <w:bookmarkEnd w:id="174"/>
      <w:r/>
      <w:bookmarkEnd w:id="175"/>
      <w:r/>
      <w:r/>
    </w:p>
    <w:p>
      <w:pPr>
        <w:pStyle w:val="911"/>
        <w:spacing w:before="0"/>
        <w:rPr>
          <w:rFonts w:hint="eastAsia" w:ascii="宋体" w:hAnsi="宋体" w:cs="宋体"/>
          <w:bCs w:val="0"/>
          <w:sz w:val="24"/>
          <w:szCs w:val="24"/>
          <w:highlight w:val="none"/>
        </w:rPr>
      </w:pPr>
      <w:r/>
      <w:bookmarkStart w:id="178" w:name="_Toc107246308"/>
      <w:r/>
      <w:bookmarkStart w:id="179" w:name="_Toc5372"/>
      <w:r/>
      <w:bookmarkStart w:id="180" w:name="_Toc103848608"/>
      <w:r/>
      <w:bookmarkStart w:id="181" w:name="_Toc104560925"/>
      <w:r/>
      <w:bookmarkStart w:id="182" w:name="_Toc100905295"/>
      <w:r/>
      <w:bookmarkStart w:id="183" w:name="_Toc103848607"/>
      <w:r/>
      <w:bookmarkStart w:id="184" w:name="_Toc104560924"/>
      <w:r/>
      <w:bookmarkStart w:id="185" w:name="_Toc107246307"/>
      <w:r/>
      <w:bookmarkStart w:id="186" w:name="_Toc107246306"/>
      <w:r/>
      <w:bookmarkStart w:id="187" w:name="_Toc103848606"/>
      <w:r/>
      <w:bookmarkStart w:id="188" w:name="_Toc104560923"/>
      <w:r>
        <w:rPr>
          <w:rFonts w:hint="eastAsia" w:ascii="宋体" w:hAnsi="宋体" w:cs="宋体"/>
          <w:bCs w:val="0"/>
          <w:sz w:val="24"/>
          <w:szCs w:val="24"/>
          <w:highlight w:val="none"/>
        </w:rPr>
        <w:t xml:space="preserve">（1）要求供应商提交的其他文件材料或证明材料</w:t>
      </w:r>
      <w:bookmarkEnd w:id="178"/>
      <w:r/>
      <w:bookmarkEnd w:id="179"/>
      <w:r/>
      <w:bookmarkEnd w:id="180"/>
      <w:r/>
      <w:bookmarkEnd w:id="181"/>
      <w:r/>
      <w:r/>
    </w:p>
    <w:p>
      <w:pPr>
        <w:pStyle w:val="891"/>
        <w:ind w:left="1260"/>
        <w:rPr>
          <w:rFonts w:hint="eastAsia" w:hAnsi="宋体" w:cs="宋体"/>
          <w:highlight w:val="none"/>
        </w:rPr>
      </w:pPr>
      <w:r>
        <w:rPr>
          <w:rFonts w:hint="eastAsia" w:hAnsi="宋体" w:cs="宋体"/>
          <w:highlight w:val="none"/>
        </w:rPr>
        <w:br w:type="page" w:clear="all"/>
      </w:r>
      <w:r/>
    </w:p>
    <w:p>
      <w:pPr>
        <w:pStyle w:val="911"/>
        <w:spacing w:before="0"/>
        <w:rPr>
          <w:rFonts w:hint="eastAsia" w:ascii="宋体" w:hAnsi="宋体" w:cs="宋体"/>
          <w:bCs w:val="0"/>
          <w:sz w:val="24"/>
          <w:szCs w:val="24"/>
          <w:highlight w:val="none"/>
        </w:rPr>
      </w:pPr>
      <w:r/>
      <w:bookmarkStart w:id="189" w:name="_Toc15942"/>
      <w:r>
        <w:rPr>
          <w:rFonts w:hint="eastAsia" w:ascii="宋体" w:hAnsi="宋体" w:cs="宋体"/>
          <w:bCs w:val="0"/>
          <w:sz w:val="24"/>
          <w:szCs w:val="24"/>
          <w:highlight w:val="none"/>
        </w:rPr>
        <w:t xml:space="preserve">（2）供应商认为需提供的其他</w:t>
      </w:r>
      <w:bookmarkEnd w:id="182"/>
      <w:r>
        <w:rPr>
          <w:rFonts w:hint="eastAsia" w:ascii="宋体" w:hAnsi="宋体" w:cs="宋体"/>
          <w:bCs w:val="0"/>
          <w:sz w:val="24"/>
          <w:szCs w:val="24"/>
          <w:highlight w:val="none"/>
        </w:rPr>
        <w:t xml:space="preserve">文件或证明材料</w:t>
      </w:r>
      <w:bookmarkEnd w:id="183"/>
      <w:r/>
      <w:bookmarkEnd w:id="184"/>
      <w:r/>
      <w:bookmarkEnd w:id="185"/>
      <w:r/>
      <w:bookmarkEnd w:id="189"/>
      <w:r/>
      <w:r/>
    </w:p>
    <w:p>
      <w:pPr>
        <w:rPr>
          <w:rFonts w:hint="eastAsia" w:ascii="宋体" w:hAnsi="宋体" w:cs="宋体"/>
          <w:highlight w:val="none"/>
        </w:rPr>
      </w:pPr>
      <w:r>
        <w:rPr>
          <w:rFonts w:hint="eastAsia" w:ascii="宋体" w:hAnsi="宋体" w:cs="宋体"/>
          <w:highlight w:val="none"/>
        </w:rPr>
        <w:br w:type="page" w:clear="all"/>
      </w:r>
      <w:bookmarkEnd w:id="176"/>
      <w:r/>
      <w:bookmarkEnd w:id="177"/>
      <w:r/>
      <w:bookmarkEnd w:id="186"/>
      <w:r/>
      <w:bookmarkEnd w:id="187"/>
      <w:r/>
      <w:bookmarkEnd w:id="188"/>
      <w:r/>
      <w:r/>
    </w:p>
    <w:sectPr>
      <w:footerReference w:type="default" r:id="rId20"/>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
  </w:p>
  <w:p>
    <w:pPr>
      <w:pStyle w:val="8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99"/>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99"/>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89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10</w:t>
    </w:r>
    <w:r>
      <w:fldChar w:fldCharType="end"/>
    </w:r>
    <w:r/>
  </w:p>
  <w:p>
    <w:pPr>
      <w:pStyle w:val="899"/>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54</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end"/>
    </w:r>
    <w:r/>
  </w:p>
  <w:p>
    <w:pPr>
      <w:ind w:right="360"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32</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-351155</wp:posOffset>
              </wp:positionH>
              <wp:positionV relativeFrom="paragraph">
                <wp:posOffset>-198120</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27.6pt;mso-position-horizontal:absolute;mso-position-vertical-relative:text;margin-top:-15.6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江苏省招标中心有限公司采购文件</w:t>
    </w:r>
    <w:r/>
  </w:p>
  <w:p>
    <w:pPr>
      <w:pStyle w:val="900"/>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2026年高效液相色谱仪飞行时间质谱联用仪等35台大型仪器运维服务采购</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-351155</wp:posOffset>
              </wp:positionH>
              <wp:positionV relativeFrom="paragraph">
                <wp:posOffset>-198120</wp:posOffset>
              </wp:positionV>
              <wp:extent cx="515620" cy="561340"/>
              <wp:effectExtent l="0" t="0" r="8255" b="635"/>
              <wp:wrapSquare wrapText="bothSides"/>
              <wp:docPr id="2"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margin;margin-left:-27.6pt;mso-position-horizontal:absolute;mso-position-vertical-relative:text;margin-top:-15.6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江苏省招标中心有限公司采购文件</w:t>
    </w:r>
    <w:r/>
  </w:p>
  <w:p>
    <w:pPr>
      <w:pStyle w:val="900"/>
      <w:rPr>
        <w:rFonts w:hint="eastAsia" w:eastAsia="宋体"/>
        <w:lang w:val="en-US" w:eastAsia="zh-CN"/>
      </w:rPr>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2026年高效液相色谱仪飞行时间质谱联用仪等35台大型仪器运维服务采购</w:t>
    </w:r>
    <w:r>
      <w:rPr>
        <w:rFonts w:hint="eastAsia" w:ascii="宋体" w:hAnsi="宋体" w:cs="宋体"/>
        <w:color w:val="000000"/>
        <w:sz w:val="22"/>
        <w:szCs w:val="22"/>
      </w:rPr>
      <w:t xml:space="preserve">）</w:t>
    </w:r>
    <w:r>
      <w:rPr>
        <w:rFonts w:hint="eastAsia" w:ascii="宋体" w:hAnsi="宋体" w:cs="宋体"/>
        <w:color w:val="000000"/>
        <w:sz w:val="22"/>
        <w:szCs w:val="22"/>
        <w:lang w:val="en-US" w:eastAsia="zh-CN"/>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7">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1143"/>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144"/>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lowerLetter"/>
      <w:isLgl w:val="false"/>
      <w:suff w:val="tab"/>
      <w:lvlText w:val="%1)"/>
      <w:lvlJc w:val="left"/>
      <w:pPr>
        <w:ind w:left="840" w:hanging="420"/>
        <w:tabs>
          <w:tab w:val="left" w:pos="840" w:leader="none"/>
        </w:tabs>
      </w:pPr>
      <w:rPr>
        <w:rFonts w:hint="eastAsia"/>
        <w:b w:val="0"/>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lowerLetter"/>
      <w:isLgl w:val="false"/>
      <w:suff w:val="tab"/>
      <w:lvlText w:val="%1)"/>
      <w:lvlJc w:val="left"/>
      <w:pPr>
        <w:ind w:left="989" w:hanging="420"/>
      </w:pPr>
    </w:lvl>
    <w:lvl w:ilvl="1">
      <w:start w:val="1"/>
      <w:numFmt w:val="lowerLetter"/>
      <w:isLgl w:val="false"/>
      <w:suff w:val="tab"/>
      <w:lvlText w:val="%2)"/>
      <w:lvlJc w:val="left"/>
      <w:pPr>
        <w:ind w:left="1409" w:hanging="420"/>
      </w:pPr>
    </w:lvl>
    <w:lvl w:ilvl="2">
      <w:start w:val="1"/>
      <w:numFmt w:val="lowerRoman"/>
      <w:isLgl w:val="false"/>
      <w:suff w:val="tab"/>
      <w:lvlText w:val="%3."/>
      <w:lvlJc w:val="right"/>
      <w:pPr>
        <w:ind w:left="1829" w:hanging="420"/>
      </w:pPr>
    </w:lvl>
    <w:lvl w:ilvl="3">
      <w:start w:val="1"/>
      <w:numFmt w:val="decimal"/>
      <w:isLgl w:val="false"/>
      <w:suff w:val="tab"/>
      <w:lvlText w:val="%4."/>
      <w:lvlJc w:val="left"/>
      <w:pPr>
        <w:ind w:left="2249" w:hanging="420"/>
      </w:pPr>
    </w:lvl>
    <w:lvl w:ilvl="4">
      <w:start w:val="1"/>
      <w:numFmt w:val="lowerLetter"/>
      <w:isLgl w:val="false"/>
      <w:suff w:val="tab"/>
      <w:lvlText w:val="%5)"/>
      <w:lvlJc w:val="left"/>
      <w:pPr>
        <w:ind w:left="2669" w:hanging="420"/>
      </w:pPr>
    </w:lvl>
    <w:lvl w:ilvl="5">
      <w:start w:val="1"/>
      <w:numFmt w:val="lowerRoman"/>
      <w:isLgl w:val="false"/>
      <w:suff w:val="tab"/>
      <w:lvlText w:val="%6."/>
      <w:lvlJc w:val="right"/>
      <w:pPr>
        <w:ind w:left="3089" w:hanging="420"/>
      </w:pPr>
    </w:lvl>
    <w:lvl w:ilvl="6">
      <w:start w:val="1"/>
      <w:numFmt w:val="decimal"/>
      <w:isLgl w:val="false"/>
      <w:suff w:val="tab"/>
      <w:lvlText w:val="%7."/>
      <w:lvlJc w:val="left"/>
      <w:pPr>
        <w:ind w:left="3509" w:hanging="420"/>
      </w:pPr>
    </w:lvl>
    <w:lvl w:ilvl="7">
      <w:start w:val="1"/>
      <w:numFmt w:val="lowerLetter"/>
      <w:isLgl w:val="false"/>
      <w:suff w:val="tab"/>
      <w:lvlText w:val="%8)"/>
      <w:lvlJc w:val="left"/>
      <w:pPr>
        <w:ind w:left="3929" w:hanging="420"/>
      </w:pPr>
    </w:lvl>
    <w:lvl w:ilvl="8">
      <w:start w:val="1"/>
      <w:numFmt w:val="lowerRoman"/>
      <w:isLgl w:val="false"/>
      <w:suff w:val="tab"/>
      <w:lvlText w:val="%9."/>
      <w:lvlJc w:val="right"/>
      <w:pPr>
        <w:ind w:left="4349" w:hanging="420"/>
      </w:pPr>
    </w:lvl>
  </w:abstractNum>
  <w:abstractNum w:abstractNumId="1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2">
    <w:multiLevelType w:val="hybridMultilevel"/>
    <w:lvl w:ilvl="0">
      <w:start w:val="1"/>
      <w:numFmt w:val="lowerLetter"/>
      <w:isLgl w:val="false"/>
      <w:suff w:val="tab"/>
      <w:lvlText w:val="%1)"/>
      <w:lvlJc w:val="left"/>
      <w:pPr>
        <w:ind w:left="840" w:hanging="420"/>
        <w:tabs>
          <w:tab w:val="left" w:pos="840" w:leader="none"/>
        </w:tabs>
      </w:pPr>
      <w:rPr>
        <w:rFonts w:hint="eastAsia"/>
        <w:b w:val="0"/>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5"/>
      <w:numFmt w:val="decimal"/>
      <w:isLgl w:val="false"/>
      <w:suff w:val="tab"/>
      <w:lvlText w:val="%5．"/>
      <w:lvlJc w:val="left"/>
      <w:pPr>
        <w:ind w:left="2400" w:hanging="720"/>
        <w:tabs>
          <w:tab w:val="left" w:pos="2400" w:leader="none"/>
        </w:tabs>
      </w:pPr>
      <w:rPr>
        <w:rFonts w:hint="eastAsia"/>
      </w:rPr>
    </w:lvl>
    <w:lvl w:ilvl="5">
      <w:start w:val="5"/>
      <w:numFmt w:val="decimal"/>
      <w:isLgl w:val="false"/>
      <w:suff w:val="tab"/>
      <w:lvlText w:val="%6"/>
      <w:lvlJc w:val="left"/>
      <w:pPr>
        <w:ind w:left="2460" w:hanging="360"/>
        <w:tabs>
          <w:tab w:val="left" w:pos="2460" w:leader="none"/>
        </w:tabs>
      </w:pPr>
      <w:rPr>
        <w:rFonts w:hint="eastAsia"/>
      </w:r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184"/>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16">
    <w:multiLevelType w:val="hybridMultilevel"/>
    <w:lvl w:ilvl="0">
      <w:start w:val="1"/>
      <w:numFmt w:val="decimal"/>
      <w:isLgl w:val="false"/>
      <w:suff w:val="tab"/>
      <w:lvlText w:val="%1."/>
      <w:lvlJc w:val="left"/>
      <w:pPr>
        <w:ind w:left="1259" w:hanging="1259"/>
        <w:tabs>
          <w:tab w:val="left" w:pos="1259" w:leader="none"/>
        </w:tabs>
      </w:pPr>
      <w:rPr>
        <w:rFonts w:hint="eastAsia"/>
        <w:b w:val="0"/>
        <w:i w:val="0"/>
      </w:rPr>
    </w:lvl>
    <w:lvl w:ilvl="1">
      <w:start w:val="2"/>
      <w:numFmt w:val="lowerLetter"/>
      <w:isLgl w:val="false"/>
      <w:suff w:val="tab"/>
      <w:lvlText w:val="%2)"/>
      <w:lvlJc w:val="left"/>
      <w:pPr>
        <w:ind w:left="780" w:hanging="360"/>
        <w:tabs>
          <w:tab w:val="left" w:pos="78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tab"/>
      <w:lvlText w:val="%1)"/>
      <w:lvlJc w:val="left"/>
      <w:pPr>
        <w:ind w:left="989" w:hanging="420"/>
      </w:pPr>
    </w:lvl>
    <w:lvl w:ilvl="1">
      <w:start w:val="1"/>
      <w:numFmt w:val="lowerLetter"/>
      <w:isLgl w:val="false"/>
      <w:suff w:val="tab"/>
      <w:lvlText w:val="%2)"/>
      <w:lvlJc w:val="left"/>
      <w:pPr>
        <w:ind w:left="1409" w:hanging="420"/>
      </w:pPr>
    </w:lvl>
    <w:lvl w:ilvl="2">
      <w:start w:val="1"/>
      <w:numFmt w:val="lowerRoman"/>
      <w:isLgl w:val="false"/>
      <w:suff w:val="tab"/>
      <w:lvlText w:val="%3."/>
      <w:lvlJc w:val="right"/>
      <w:pPr>
        <w:ind w:left="1829" w:hanging="420"/>
      </w:pPr>
    </w:lvl>
    <w:lvl w:ilvl="3">
      <w:start w:val="1"/>
      <w:numFmt w:val="decimal"/>
      <w:isLgl w:val="false"/>
      <w:suff w:val="tab"/>
      <w:lvlText w:val="%4."/>
      <w:lvlJc w:val="left"/>
      <w:pPr>
        <w:ind w:left="2249" w:hanging="420"/>
      </w:pPr>
    </w:lvl>
    <w:lvl w:ilvl="4">
      <w:start w:val="1"/>
      <w:numFmt w:val="lowerLetter"/>
      <w:isLgl w:val="false"/>
      <w:suff w:val="tab"/>
      <w:lvlText w:val="%5)"/>
      <w:lvlJc w:val="left"/>
      <w:pPr>
        <w:ind w:left="2669" w:hanging="420"/>
      </w:pPr>
    </w:lvl>
    <w:lvl w:ilvl="5">
      <w:start w:val="1"/>
      <w:numFmt w:val="lowerRoman"/>
      <w:isLgl w:val="false"/>
      <w:suff w:val="tab"/>
      <w:lvlText w:val="%6."/>
      <w:lvlJc w:val="right"/>
      <w:pPr>
        <w:ind w:left="3089" w:hanging="420"/>
      </w:pPr>
    </w:lvl>
    <w:lvl w:ilvl="6">
      <w:start w:val="1"/>
      <w:numFmt w:val="decimal"/>
      <w:isLgl w:val="false"/>
      <w:suff w:val="tab"/>
      <w:lvlText w:val="%7."/>
      <w:lvlJc w:val="left"/>
      <w:pPr>
        <w:ind w:left="3509" w:hanging="420"/>
      </w:pPr>
    </w:lvl>
    <w:lvl w:ilvl="7">
      <w:start w:val="1"/>
      <w:numFmt w:val="lowerLetter"/>
      <w:isLgl w:val="false"/>
      <w:suff w:val="tab"/>
      <w:lvlText w:val="%8)"/>
      <w:lvlJc w:val="left"/>
      <w:pPr>
        <w:ind w:left="3929" w:hanging="420"/>
      </w:pPr>
    </w:lvl>
    <w:lvl w:ilvl="8">
      <w:start w:val="1"/>
      <w:numFmt w:val="lowerRoman"/>
      <w:isLgl w:val="false"/>
      <w:suff w:val="tab"/>
      <w:lvlText w:val="%9."/>
      <w:lvlJc w:val="right"/>
      <w:pPr>
        <w:ind w:left="4349" w:hanging="420"/>
      </w:pPr>
    </w:lvl>
  </w:abstractNum>
  <w:abstractNum w:abstractNumId="1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9">
    <w:multiLevelType w:val="hybridMultilevel"/>
    <w:lvl w:ilvl="0">
      <w:start w:val="1"/>
      <w:numFmt w:val="lowerLetter"/>
      <w:isLgl w:val="false"/>
      <w:suff w:val="tab"/>
      <w:lvlText w:val="%1)"/>
      <w:lvlJc w:val="left"/>
      <w:pPr>
        <w:ind w:left="989" w:hanging="420"/>
      </w:pPr>
    </w:lvl>
    <w:lvl w:ilvl="1">
      <w:start w:val="1"/>
      <w:numFmt w:val="decimal"/>
      <w:isLgl w:val="false"/>
      <w:suff w:val="tab"/>
      <w:lvlText w:val="%2、"/>
      <w:lvlJc w:val="left"/>
      <w:pPr>
        <w:ind w:left="1349" w:hanging="360"/>
      </w:pPr>
      <w:rPr>
        <w:rFonts w:hint="default"/>
      </w:rPr>
    </w:lvl>
    <w:lvl w:ilvl="2">
      <w:start w:val="1"/>
      <w:numFmt w:val="lowerRoman"/>
      <w:isLgl w:val="false"/>
      <w:suff w:val="tab"/>
      <w:lvlText w:val="%3."/>
      <w:lvlJc w:val="right"/>
      <w:pPr>
        <w:ind w:left="1829" w:hanging="420"/>
      </w:pPr>
    </w:lvl>
    <w:lvl w:ilvl="3">
      <w:start w:val="1"/>
      <w:numFmt w:val="decimal"/>
      <w:isLgl w:val="false"/>
      <w:suff w:val="tab"/>
      <w:lvlText w:val="%4."/>
      <w:lvlJc w:val="left"/>
      <w:pPr>
        <w:ind w:left="2249" w:hanging="420"/>
      </w:pPr>
    </w:lvl>
    <w:lvl w:ilvl="4">
      <w:start w:val="1"/>
      <w:numFmt w:val="lowerLetter"/>
      <w:isLgl w:val="false"/>
      <w:suff w:val="tab"/>
      <w:lvlText w:val="%5)"/>
      <w:lvlJc w:val="left"/>
      <w:pPr>
        <w:ind w:left="2669" w:hanging="420"/>
      </w:pPr>
    </w:lvl>
    <w:lvl w:ilvl="5">
      <w:start w:val="1"/>
      <w:numFmt w:val="lowerRoman"/>
      <w:isLgl w:val="false"/>
      <w:suff w:val="tab"/>
      <w:lvlText w:val="%6."/>
      <w:lvlJc w:val="right"/>
      <w:pPr>
        <w:ind w:left="3089" w:hanging="420"/>
      </w:pPr>
    </w:lvl>
    <w:lvl w:ilvl="6">
      <w:start w:val="1"/>
      <w:numFmt w:val="decimal"/>
      <w:isLgl w:val="false"/>
      <w:suff w:val="tab"/>
      <w:lvlText w:val="%7."/>
      <w:lvlJc w:val="left"/>
      <w:pPr>
        <w:ind w:left="3509" w:hanging="420"/>
      </w:pPr>
    </w:lvl>
    <w:lvl w:ilvl="7">
      <w:start w:val="1"/>
      <w:numFmt w:val="lowerLetter"/>
      <w:isLgl w:val="false"/>
      <w:suff w:val="tab"/>
      <w:lvlText w:val="%8)"/>
      <w:lvlJc w:val="left"/>
      <w:pPr>
        <w:ind w:left="3929" w:hanging="420"/>
      </w:pPr>
    </w:lvl>
    <w:lvl w:ilvl="8">
      <w:start w:val="1"/>
      <w:numFmt w:val="lowerRoman"/>
      <w:isLgl w:val="false"/>
      <w:suff w:val="tab"/>
      <w:lvlText w:val="%9."/>
      <w:lvlJc w:val="right"/>
      <w:pPr>
        <w:ind w:left="4349" w:hanging="420"/>
      </w:pPr>
    </w:lvl>
  </w:abstractNum>
  <w:abstractNum w:abstractNumId="2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1">
    <w:multiLevelType w:val="hybridMultilevel"/>
    <w:lvl w:ilvl="0">
      <w:start w:val="1"/>
      <w:numFmt w:val="lowerLetter"/>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6"/>
  </w:num>
  <w:num w:numId="4">
    <w:abstractNumId w:val="12"/>
  </w:num>
  <w:num w:numId="5">
    <w:abstractNumId w:val="17"/>
  </w:num>
  <w:num w:numId="6">
    <w:abstractNumId w:val="10"/>
  </w:num>
  <w:num w:numId="7">
    <w:abstractNumId w:val="19"/>
  </w:num>
  <w:num w:numId="8">
    <w:abstractNumId w:val="9"/>
  </w:num>
  <w:num w:numId="9">
    <w:abstractNumId w:val="21"/>
  </w:num>
  <w:num w:numId="10">
    <w:abstractNumId w:val="5"/>
  </w:num>
  <w:num w:numId="11">
    <w:abstractNumId w:val="11"/>
  </w:num>
  <w:num w:numId="12">
    <w:abstractNumId w:val="1"/>
  </w:num>
  <w:num w:numId="13">
    <w:abstractNumId w:val="6"/>
  </w:num>
  <w:num w:numId="14">
    <w:abstractNumId w:val="4"/>
  </w:num>
  <w:num w:numId="15">
    <w:abstractNumId w:val="20"/>
  </w:num>
  <w:num w:numId="16">
    <w:abstractNumId w:val="3"/>
  </w:num>
  <w:num w:numId="17">
    <w:abstractNumId w:val="18"/>
  </w:num>
  <w:num w:numId="18">
    <w:abstractNumId w:val="13"/>
  </w:num>
  <w:num w:numId="19">
    <w:abstractNumId w:val="2"/>
  </w:num>
  <w:num w:numId="20">
    <w:abstractNumId w:val="0"/>
  </w:num>
  <w:num w:numId="21">
    <w:abstractNumId w:val="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879"/>
    <w:link w:val="874"/>
    <w:uiPriority w:val="9"/>
    <w:rPr>
      <w:rFonts w:ascii="Arial" w:hAnsi="Arial" w:eastAsia="Arial" w:cs="Arial"/>
      <w:b/>
      <w:bCs/>
      <w:sz w:val="24"/>
      <w:szCs w:val="24"/>
    </w:rPr>
  </w:style>
  <w:style w:type="character" w:styleId="25">
    <w:name w:val="Heading 7 Char"/>
    <w:basedOn w:val="879"/>
    <w:link w:val="876"/>
    <w:uiPriority w:val="9"/>
    <w:rPr>
      <w:rFonts w:ascii="Arial" w:hAnsi="Arial" w:eastAsia="Arial" w:cs="Arial"/>
      <w:b/>
      <w:bCs/>
      <w:i/>
      <w:iCs/>
      <w:sz w:val="22"/>
      <w:szCs w:val="22"/>
    </w:rPr>
  </w:style>
  <w:style w:type="character" w:styleId="29">
    <w:name w:val="Heading 9 Char"/>
    <w:basedOn w:val="879"/>
    <w:link w:val="878"/>
    <w:uiPriority w:val="9"/>
    <w:rPr>
      <w:rFonts w:ascii="Arial" w:hAnsi="Arial" w:eastAsia="Arial" w:cs="Arial"/>
      <w:i/>
      <w:iCs/>
      <w:sz w:val="21"/>
      <w:szCs w:val="21"/>
    </w:rPr>
  </w:style>
  <w:style w:type="character" w:styleId="36">
    <w:name w:val="Subtitle Char"/>
    <w:basedOn w:val="879"/>
    <w:link w:val="903"/>
    <w:uiPriority w:val="11"/>
    <w:rPr>
      <w:sz w:val="24"/>
      <w:szCs w:val="24"/>
    </w:rPr>
  </w:style>
  <w:style w:type="character" w:styleId="38">
    <w:name w:val="Quote Char"/>
    <w:link w:val="943"/>
    <w:uiPriority w:val="29"/>
    <w:rPr>
      <w:i/>
    </w:rPr>
  </w:style>
  <w:style w:type="character" w:styleId="40">
    <w:name w:val="Intense Quote Char"/>
    <w:link w:val="945"/>
    <w:uiPriority w:val="30"/>
    <w:rPr>
      <w:i/>
    </w:rPr>
  </w:style>
  <w:style w:type="table" w:styleId="49">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04"/>
    <w:uiPriority w:val="99"/>
    <w:rPr>
      <w:sz w:val="18"/>
    </w:rPr>
  </w:style>
  <w:style w:type="character" w:styleId="178">
    <w:name w:val="Endnote Text Char"/>
    <w:link w:val="897"/>
    <w:uiPriority w:val="99"/>
    <w:rPr>
      <w:sz w:val="20"/>
    </w:rPr>
  </w:style>
  <w:style w:type="paragraph" w:styleId="189">
    <w:name w:val="TOC Heading"/>
    <w:uiPriority w:val="39"/>
    <w:unhideWhenUsed/>
  </w:style>
  <w:style w:type="paragraph" w:styleId="8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link w:val="930"/>
    <w:uiPriority w:val="0"/>
    <w:qFormat/>
    <w:pPr>
      <w:ind w:left="100" w:right="100"/>
      <w:keepLines/>
      <w:keepNext/>
      <w:spacing w:before="120" w:after="120"/>
      <w:outlineLvl w:val="0"/>
    </w:pPr>
    <w:rPr>
      <w:b/>
      <w:bCs/>
      <w:szCs w:val="44"/>
    </w:rPr>
  </w:style>
  <w:style w:type="paragraph" w:styleId="871">
    <w:name w:val="Heading 2"/>
    <w:basedOn w:val="869"/>
    <w:next w:val="869"/>
    <w:link w:val="925"/>
    <w:uiPriority w:val="0"/>
    <w:qFormat/>
    <w:pPr>
      <w:keepLines/>
      <w:keepNext/>
      <w:spacing w:before="260" w:after="260" w:line="416" w:lineRule="auto"/>
      <w:outlineLvl w:val="1"/>
    </w:pPr>
    <w:rPr>
      <w:rFonts w:ascii="等线 Light" w:hAnsi="等线 Light" w:eastAsia="等线 Light"/>
      <w:b/>
      <w:bCs/>
      <w:sz w:val="32"/>
      <w:szCs w:val="32"/>
    </w:rPr>
  </w:style>
  <w:style w:type="paragraph" w:styleId="872">
    <w:name w:val="Heading 3"/>
    <w:basedOn w:val="869"/>
    <w:next w:val="869"/>
    <w:link w:val="923"/>
    <w:uiPriority w:val="9"/>
    <w:qFormat/>
    <w:pPr>
      <w:keepLines/>
      <w:keepNext/>
      <w:spacing w:before="260" w:after="260" w:line="416" w:lineRule="auto"/>
      <w:outlineLvl w:val="2"/>
    </w:pPr>
    <w:rPr>
      <w:b/>
      <w:bCs/>
      <w:sz w:val="32"/>
      <w:szCs w:val="32"/>
    </w:rPr>
  </w:style>
  <w:style w:type="paragraph" w:styleId="873">
    <w:name w:val="Heading 4"/>
    <w:basedOn w:val="869"/>
    <w:next w:val="869"/>
    <w:link w:val="1078"/>
    <w:uiPriority w:val="0"/>
    <w:qFormat/>
    <w:pPr>
      <w:keepLines/>
      <w:keepNext/>
      <w:spacing w:before="280" w:after="290" w:line="376" w:lineRule="auto"/>
      <w:outlineLvl w:val="3"/>
    </w:pPr>
    <w:rPr>
      <w:rFonts w:ascii="等线 Light" w:hAnsi="等线 Light" w:eastAsia="等线 Light"/>
      <w:b/>
      <w:bCs/>
      <w:sz w:val="28"/>
      <w:szCs w:val="28"/>
    </w:rPr>
  </w:style>
  <w:style w:type="paragraph" w:styleId="874">
    <w:name w:val="Heading 5"/>
    <w:basedOn w:val="869"/>
    <w:next w:val="869"/>
    <w:link w:val="936"/>
    <w:uiPriority w:val="9"/>
    <w:unhideWhenUsed/>
    <w:qFormat/>
    <w:pPr>
      <w:keepLines/>
      <w:keepNext/>
      <w:spacing w:before="320" w:after="200"/>
      <w:outlineLvl w:val="4"/>
    </w:pPr>
    <w:rPr>
      <w:rFonts w:ascii="Arial" w:hAnsi="Arial" w:eastAsia="Arial" w:cs="Arial"/>
      <w:b/>
      <w:bCs/>
      <w:sz w:val="24"/>
    </w:rPr>
  </w:style>
  <w:style w:type="paragraph" w:styleId="875">
    <w:name w:val="Heading 6"/>
    <w:basedOn w:val="869"/>
    <w:next w:val="869"/>
    <w:link w:val="1079"/>
    <w:uiPriority w:val="0"/>
    <w:qFormat/>
    <w:pPr>
      <w:keepLines/>
      <w:keepNext/>
      <w:spacing w:before="240" w:after="64" w:line="320" w:lineRule="auto"/>
      <w:outlineLvl w:val="5"/>
    </w:pPr>
    <w:rPr>
      <w:rFonts w:ascii="等线 Light" w:hAnsi="等线 Light" w:eastAsia="等线 Light"/>
      <w:b/>
      <w:bCs/>
      <w:sz w:val="24"/>
    </w:rPr>
  </w:style>
  <w:style w:type="paragraph" w:styleId="876">
    <w:name w:val="Heading 7"/>
    <w:basedOn w:val="869"/>
    <w:next w:val="869"/>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1080"/>
    <w:uiPriority w:val="0"/>
    <w:qFormat/>
    <w:pPr>
      <w:keepLines/>
      <w:keepNext/>
      <w:spacing w:before="240" w:after="64" w:line="320" w:lineRule="auto"/>
      <w:outlineLvl w:val="7"/>
    </w:pPr>
    <w:rPr>
      <w:rFonts w:ascii="等线 Light" w:hAnsi="等线 Light" w:eastAsia="等线 Light"/>
      <w:sz w:val="24"/>
    </w:rPr>
  </w:style>
  <w:style w:type="paragraph" w:styleId="878">
    <w:name w:val="Heading 9"/>
    <w:basedOn w:val="869"/>
    <w:next w:val="869"/>
    <w:link w:val="940"/>
    <w:uiPriority w:val="9"/>
    <w:unhideWhenUsed/>
    <w:qFormat/>
    <w:pPr>
      <w:keepLines/>
      <w:keepNext/>
      <w:spacing w:before="320" w:after="200"/>
      <w:outlineLvl w:val="8"/>
    </w:pPr>
    <w:rPr>
      <w:rFonts w:ascii="Arial" w:hAnsi="Arial" w:eastAsia="Arial" w:cs="Arial"/>
      <w:i/>
      <w:iCs/>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List 3"/>
    <w:basedOn w:val="869"/>
    <w:uiPriority w:val="0"/>
    <w:qFormat/>
    <w:pPr>
      <w:contextualSpacing/>
      <w:ind w:left="100" w:hanging="200"/>
      <w:jc w:val="left"/>
      <w:widowControl/>
    </w:pPr>
    <w:rPr>
      <w:sz w:val="20"/>
      <w:szCs w:val="20"/>
    </w:rPr>
  </w:style>
  <w:style w:type="paragraph" w:styleId="882">
    <w:name w:val="toc 7"/>
    <w:basedOn w:val="869"/>
    <w:next w:val="869"/>
    <w:uiPriority w:val="39"/>
    <w:unhideWhenUsed/>
    <w:qFormat/>
    <w:pPr>
      <w:ind w:left="1701"/>
      <w:spacing w:after="57"/>
    </w:pPr>
  </w:style>
  <w:style w:type="paragraph" w:styleId="883">
    <w:name w:val="Normal Indent"/>
    <w:basedOn w:val="869"/>
    <w:link w:val="1082"/>
    <w:uiPriority w:val="99"/>
    <w:qFormat/>
    <w:pPr>
      <w:ind w:firstLine="420"/>
    </w:pPr>
    <w:rPr>
      <w:szCs w:val="20"/>
    </w:rPr>
  </w:style>
  <w:style w:type="paragraph" w:styleId="884">
    <w:name w:val="Caption"/>
    <w:basedOn w:val="869"/>
    <w:next w:val="869"/>
    <w:uiPriority w:val="35"/>
    <w:semiHidden/>
    <w:unhideWhenUsed/>
    <w:qFormat/>
    <w:pPr>
      <w:spacing w:line="276" w:lineRule="auto"/>
    </w:pPr>
    <w:rPr>
      <w:b/>
      <w:bCs/>
      <w:color w:val="4472c4"/>
      <w:sz w:val="18"/>
      <w:szCs w:val="18"/>
    </w:rPr>
  </w:style>
  <w:style w:type="paragraph" w:styleId="885">
    <w:name w:val="Document Map"/>
    <w:basedOn w:val="869"/>
    <w:link w:val="1083"/>
    <w:uiPriority w:val="0"/>
    <w:qFormat/>
    <w:pPr>
      <w:shd w:val="clear" w:color="auto" w:fill="000080"/>
    </w:pPr>
  </w:style>
  <w:style w:type="paragraph" w:styleId="886">
    <w:name w:val="annotation text"/>
    <w:basedOn w:val="869"/>
    <w:link w:val="1180"/>
    <w:uiPriority w:val="99"/>
    <w:semiHidden/>
    <w:unhideWhenUsed/>
    <w:qFormat/>
    <w:pPr>
      <w:jc w:val="left"/>
    </w:pPr>
  </w:style>
  <w:style w:type="paragraph" w:styleId="887">
    <w:name w:val="Body Text"/>
    <w:basedOn w:val="869"/>
    <w:link w:val="1085"/>
    <w:uiPriority w:val="1"/>
    <w:qFormat/>
    <w:pPr>
      <w:spacing w:after="120"/>
    </w:pPr>
  </w:style>
  <w:style w:type="paragraph" w:styleId="888">
    <w:name w:val="Body Text Indent"/>
    <w:basedOn w:val="869"/>
    <w:next w:val="889"/>
    <w:uiPriority w:val="0"/>
    <w:qFormat/>
    <w:pPr>
      <w:ind w:left="420"/>
      <w:spacing w:after="120"/>
    </w:pPr>
  </w:style>
  <w:style w:type="paragraph" w:styleId="889">
    <w:name w:val="envelope return"/>
    <w:basedOn w:val="869"/>
    <w:uiPriority w:val="0"/>
    <w:qFormat/>
    <w:rPr>
      <w:rFonts w:ascii="Arial" w:hAnsi="Arial" w:cs="Arial"/>
      <w:szCs w:val="20"/>
    </w:rPr>
  </w:style>
  <w:style w:type="paragraph" w:styleId="890">
    <w:name w:val="Block Text"/>
    <w:basedOn w:val="869"/>
    <w:uiPriority w:val="0"/>
    <w:qFormat/>
    <w:pPr>
      <w:ind w:left="1440" w:right="700"/>
      <w:spacing w:after="120"/>
    </w:pPr>
  </w:style>
  <w:style w:type="paragraph" w:styleId="891">
    <w:name w:val="index 4"/>
    <w:basedOn w:val="869"/>
    <w:next w:val="869"/>
    <w:uiPriority w:val="99"/>
    <w:unhideWhenUsed/>
    <w:qFormat/>
    <w:pPr>
      <w:ind w:left="600"/>
    </w:pPr>
    <w:rPr>
      <w:rFonts w:ascii="宋体"/>
      <w:b/>
      <w:position w:val="-10"/>
      <w:sz w:val="24"/>
      <w:szCs w:val="20"/>
    </w:rPr>
  </w:style>
  <w:style w:type="paragraph" w:styleId="892">
    <w:name w:val="toc 5"/>
    <w:basedOn w:val="869"/>
    <w:next w:val="869"/>
    <w:uiPriority w:val="39"/>
    <w:unhideWhenUsed/>
    <w:qFormat/>
    <w:pPr>
      <w:ind w:left="1134"/>
      <w:spacing w:after="57"/>
    </w:pPr>
  </w:style>
  <w:style w:type="paragraph" w:styleId="893">
    <w:name w:val="toc 3"/>
    <w:basedOn w:val="869"/>
    <w:next w:val="869"/>
    <w:uiPriority w:val="39"/>
    <w:unhideWhenUsed/>
    <w:qFormat/>
    <w:pPr>
      <w:ind w:left="567"/>
      <w:spacing w:after="57"/>
    </w:pPr>
  </w:style>
  <w:style w:type="paragraph" w:styleId="894">
    <w:name w:val="Plain Text"/>
    <w:basedOn w:val="869"/>
    <w:uiPriority w:val="0"/>
    <w:qFormat/>
    <w:rPr>
      <w:rFonts w:ascii="宋体" w:hAnsi="Courier New" w:cs="Courier New"/>
      <w:szCs w:val="21"/>
    </w:rPr>
  </w:style>
  <w:style w:type="paragraph" w:styleId="895">
    <w:name w:val="toc 8"/>
    <w:basedOn w:val="869"/>
    <w:next w:val="869"/>
    <w:uiPriority w:val="39"/>
    <w:unhideWhenUsed/>
    <w:qFormat/>
    <w:pPr>
      <w:ind w:left="1984"/>
      <w:spacing w:after="57"/>
    </w:pPr>
  </w:style>
  <w:style w:type="paragraph" w:styleId="896">
    <w:name w:val="Date"/>
    <w:basedOn w:val="869"/>
    <w:next w:val="869"/>
    <w:link w:val="1091"/>
    <w:uiPriority w:val="0"/>
    <w:qFormat/>
    <w:rPr>
      <w:sz w:val="24"/>
      <w:szCs w:val="20"/>
    </w:rPr>
  </w:style>
  <w:style w:type="paragraph" w:styleId="897">
    <w:name w:val="endnote text"/>
    <w:basedOn w:val="869"/>
    <w:link w:val="1076"/>
    <w:uiPriority w:val="99"/>
    <w:semiHidden/>
    <w:unhideWhenUsed/>
    <w:qFormat/>
    <w:rPr>
      <w:sz w:val="20"/>
    </w:rPr>
  </w:style>
  <w:style w:type="paragraph" w:styleId="898">
    <w:name w:val="Balloon Text"/>
    <w:basedOn w:val="869"/>
    <w:link w:val="1092"/>
    <w:uiPriority w:val="0"/>
    <w:qFormat/>
    <w:rPr>
      <w:sz w:val="18"/>
      <w:szCs w:val="18"/>
    </w:rPr>
  </w:style>
  <w:style w:type="paragraph" w:styleId="899">
    <w:name w:val="Footer"/>
    <w:basedOn w:val="869"/>
    <w:link w:val="1093"/>
    <w:uiPriority w:val="99"/>
    <w:qFormat/>
    <w:pPr>
      <w:jc w:val="left"/>
      <w:tabs>
        <w:tab w:val="center" w:pos="4153" w:leader="none"/>
        <w:tab w:val="right" w:pos="8306" w:leader="none"/>
      </w:tabs>
    </w:pPr>
    <w:rPr>
      <w:sz w:val="18"/>
      <w:szCs w:val="18"/>
    </w:rPr>
  </w:style>
  <w:style w:type="paragraph" w:styleId="900">
    <w:name w:val="Header"/>
    <w:basedOn w:val="869"/>
    <w:link w:val="1094"/>
    <w:uiPriority w:val="99"/>
    <w:qFormat/>
    <w:pPr>
      <w:jc w:val="center"/>
      <w:tabs>
        <w:tab w:val="center" w:pos="4153" w:leader="none"/>
        <w:tab w:val="right" w:pos="8306" w:leader="none"/>
      </w:tabs>
      <w:pBdr>
        <w:bottom w:val="single" w:color="000000" w:sz="6" w:space="1"/>
      </w:pBdr>
    </w:pPr>
    <w:rPr>
      <w:sz w:val="18"/>
      <w:szCs w:val="18"/>
    </w:rPr>
  </w:style>
  <w:style w:type="paragraph" w:styleId="901">
    <w:name w:val="toc 1"/>
    <w:basedOn w:val="869"/>
    <w:next w:val="869"/>
    <w:uiPriority w:val="39"/>
    <w:unhideWhenUsed/>
    <w:qFormat/>
    <w:pPr>
      <w:spacing w:after="57"/>
    </w:pPr>
  </w:style>
  <w:style w:type="paragraph" w:styleId="902">
    <w:name w:val="toc 4"/>
    <w:basedOn w:val="869"/>
    <w:next w:val="869"/>
    <w:uiPriority w:val="39"/>
    <w:unhideWhenUsed/>
    <w:qFormat/>
    <w:pPr>
      <w:ind w:left="850"/>
      <w:spacing w:after="57"/>
    </w:pPr>
  </w:style>
  <w:style w:type="paragraph" w:styleId="903">
    <w:name w:val="Subtitle"/>
    <w:basedOn w:val="869"/>
    <w:next w:val="869"/>
    <w:link w:val="942"/>
    <w:uiPriority w:val="11"/>
    <w:qFormat/>
    <w:pPr>
      <w:spacing w:before="200" w:after="200"/>
    </w:pPr>
    <w:rPr>
      <w:sz w:val="24"/>
    </w:rPr>
  </w:style>
  <w:style w:type="paragraph" w:styleId="904">
    <w:name w:val="footnote text"/>
    <w:basedOn w:val="869"/>
    <w:link w:val="1075"/>
    <w:uiPriority w:val="99"/>
    <w:semiHidden/>
    <w:unhideWhenUsed/>
    <w:qFormat/>
    <w:pPr>
      <w:spacing w:after="40"/>
    </w:pPr>
    <w:rPr>
      <w:sz w:val="18"/>
    </w:rPr>
  </w:style>
  <w:style w:type="paragraph" w:styleId="905">
    <w:name w:val="toc 6"/>
    <w:basedOn w:val="869"/>
    <w:next w:val="869"/>
    <w:uiPriority w:val="39"/>
    <w:unhideWhenUsed/>
    <w:qFormat/>
    <w:pPr>
      <w:ind w:left="1417"/>
      <w:spacing w:after="57"/>
    </w:pPr>
  </w:style>
  <w:style w:type="paragraph" w:styleId="906">
    <w:name w:val="table of figures"/>
    <w:basedOn w:val="869"/>
    <w:next w:val="869"/>
    <w:uiPriority w:val="99"/>
    <w:unhideWhenUsed/>
    <w:qFormat/>
  </w:style>
  <w:style w:type="paragraph" w:styleId="907">
    <w:name w:val="toc 2"/>
    <w:basedOn w:val="869"/>
    <w:next w:val="869"/>
    <w:uiPriority w:val="39"/>
    <w:unhideWhenUsed/>
    <w:qFormat/>
    <w:pPr>
      <w:ind w:left="283"/>
      <w:spacing w:after="57"/>
    </w:pPr>
  </w:style>
  <w:style w:type="paragraph" w:styleId="908">
    <w:name w:val="toc 9"/>
    <w:basedOn w:val="869"/>
    <w:next w:val="869"/>
    <w:uiPriority w:val="39"/>
    <w:unhideWhenUsed/>
    <w:qFormat/>
    <w:pPr>
      <w:ind w:left="2268"/>
      <w:spacing w:after="57"/>
    </w:pPr>
  </w:style>
  <w:style w:type="paragraph" w:styleId="909">
    <w:name w:val="Body Text 2"/>
    <w:basedOn w:val="869"/>
    <w:link w:val="1100"/>
    <w:uiPriority w:val="0"/>
    <w:qFormat/>
    <w:pPr>
      <w:spacing w:after="120" w:line="480" w:lineRule="auto"/>
    </w:pPr>
    <w:rPr>
      <w:rFonts w:ascii="Calibri" w:hAnsi="Calibri"/>
    </w:rPr>
  </w:style>
  <w:style w:type="paragraph" w:styleId="910">
    <w:name w:val="Normal (Web)"/>
    <w:basedOn w:val="869"/>
    <w:uiPriority w:val="99"/>
    <w:qFormat/>
    <w:pPr>
      <w:jc w:val="left"/>
      <w:spacing w:before="100" w:beforeAutospacing="1" w:after="100" w:afterAutospacing="1"/>
      <w:widowControl/>
    </w:pPr>
    <w:rPr>
      <w:sz w:val="24"/>
    </w:rPr>
  </w:style>
  <w:style w:type="paragraph" w:styleId="911">
    <w:name w:val="Title"/>
    <w:basedOn w:val="869"/>
    <w:next w:val="869"/>
    <w:link w:val="1101"/>
    <w:uiPriority w:val="0"/>
    <w:qFormat/>
    <w:pPr>
      <w:jc w:val="center"/>
      <w:spacing w:before="240" w:after="60"/>
      <w:outlineLvl w:val="0"/>
    </w:pPr>
    <w:rPr>
      <w:rFonts w:ascii="等线 Light" w:hAnsi="等线 Light"/>
      <w:b/>
      <w:bCs/>
      <w:sz w:val="32"/>
      <w:szCs w:val="32"/>
    </w:rPr>
  </w:style>
  <w:style w:type="paragraph" w:styleId="912">
    <w:name w:val="annotation subject"/>
    <w:basedOn w:val="886"/>
    <w:next w:val="886"/>
    <w:link w:val="1181"/>
    <w:uiPriority w:val="99"/>
    <w:semiHidden/>
    <w:unhideWhenUsed/>
    <w:qFormat/>
    <w:rPr>
      <w:b/>
      <w:bCs/>
    </w:rPr>
  </w:style>
  <w:style w:type="paragraph" w:styleId="913">
    <w:name w:val="Body Text First Indent 2"/>
    <w:basedOn w:val="888"/>
    <w:next w:val="869"/>
    <w:uiPriority w:val="99"/>
    <w:unhideWhenUsed/>
    <w:qFormat/>
    <w:pPr>
      <w:ind w:firstLine="420"/>
    </w:pPr>
  </w:style>
  <w:style w:type="table" w:styleId="914">
    <w:name w:val="Table Grid"/>
    <w:basedOn w:val="9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5" w:customStyle="1">
    <w:name w:val="Table Normal"/>
    <w:uiPriority w:val="99"/>
    <w:semiHidden/>
    <w:unhideWhenUsed/>
    <w:qFormat/>
    <w:tblPr>
      <w:tblCellMar>
        <w:left w:w="0" w:type="dxa"/>
        <w:top w:w="0" w:type="dxa"/>
        <w:right w:w="0" w:type="dxa"/>
        <w:bottom w:w="0" w:type="dxa"/>
      </w:tblCellMar>
    </w:tblPr>
  </w:style>
  <w:style w:type="character" w:styleId="916">
    <w:name w:val="Strong"/>
    <w:basedOn w:val="879"/>
    <w:uiPriority w:val="0"/>
    <w:qFormat/>
    <w:rPr>
      <w:b/>
      <w:bCs/>
    </w:rPr>
  </w:style>
  <w:style w:type="character" w:styleId="917">
    <w:name w:val="endnote reference"/>
    <w:basedOn w:val="879"/>
    <w:uiPriority w:val="99"/>
    <w:semiHidden/>
    <w:unhideWhenUsed/>
    <w:qFormat/>
    <w:rPr>
      <w:vertAlign w:val="superscript"/>
    </w:rPr>
  </w:style>
  <w:style w:type="character" w:styleId="918">
    <w:name w:val="page number"/>
    <w:uiPriority w:val="0"/>
    <w:qFormat/>
  </w:style>
  <w:style w:type="character" w:styleId="919">
    <w:name w:val="Emphasis"/>
    <w:uiPriority w:val="0"/>
    <w:qFormat/>
    <w:rPr>
      <w:i/>
      <w:iCs/>
    </w:rPr>
  </w:style>
  <w:style w:type="character" w:styleId="920">
    <w:name w:val="Hyperlink"/>
    <w:uiPriority w:val="99"/>
    <w:qFormat/>
    <w:rPr>
      <w:color w:val="000000"/>
      <w:u w:val="none"/>
    </w:rPr>
  </w:style>
  <w:style w:type="character" w:styleId="921">
    <w:name w:val="annotation reference"/>
    <w:basedOn w:val="879"/>
    <w:uiPriority w:val="0"/>
    <w:qFormat/>
    <w:rPr>
      <w:sz w:val="21"/>
      <w:szCs w:val="21"/>
    </w:rPr>
  </w:style>
  <w:style w:type="character" w:styleId="922">
    <w:name w:val="footnote reference"/>
    <w:basedOn w:val="879"/>
    <w:uiPriority w:val="99"/>
    <w:unhideWhenUsed/>
    <w:qFormat/>
    <w:rPr>
      <w:vertAlign w:val="superscript"/>
    </w:rPr>
  </w:style>
  <w:style w:type="character" w:styleId="923" w:customStyle="1">
    <w:name w:val="标题 3 字符"/>
    <w:link w:val="872"/>
    <w:uiPriority w:val="9"/>
    <w:qFormat/>
    <w:rPr>
      <w:rFonts w:eastAsia="宋体"/>
      <w:b/>
      <w:bCs/>
      <w:sz w:val="32"/>
      <w:szCs w:val="32"/>
      <w:lang w:val="en-US" w:eastAsia="zh-CN" w:bidi="ar-SA"/>
    </w:rPr>
  </w:style>
  <w:style w:type="paragraph" w:styleId="924" w:customStyle="1">
    <w:name w:val="列表段落1"/>
    <w:basedOn w:val="869"/>
    <w:uiPriority w:val="99"/>
    <w:qFormat/>
    <w:pPr>
      <w:ind w:firstLine="420"/>
    </w:pPr>
  </w:style>
  <w:style w:type="character" w:styleId="925" w:customStyle="1">
    <w:name w:val="标题 2 字符"/>
    <w:link w:val="871"/>
    <w:uiPriority w:val="0"/>
    <w:semiHidden/>
    <w:qFormat/>
    <w:rPr>
      <w:rFonts w:ascii="等线 Light" w:hAnsi="等线 Light" w:eastAsia="等线 Light" w:cs="Times New Roman"/>
      <w:b/>
      <w:bCs/>
      <w:sz w:val="32"/>
      <w:szCs w:val="32"/>
    </w:rPr>
  </w:style>
  <w:style w:type="paragraph" w:styleId="926" w:customStyle="1">
    <w:name w:val="首行缩进"/>
    <w:basedOn w:val="869"/>
    <w:uiPriority w:val="0"/>
    <w:qFormat/>
    <w:pPr>
      <w:ind w:firstLine="480"/>
      <w:jc w:val="left"/>
      <w:spacing w:line="360" w:lineRule="auto"/>
    </w:pPr>
    <w:rPr>
      <w:rFonts w:ascii="宋体" w:hAnsi="宋体"/>
      <w:sz w:val="24"/>
    </w:rPr>
  </w:style>
  <w:style w:type="paragraph" w:styleId="927" w:customStyle="1">
    <w:name w:val="Comment Text"/>
    <w:basedOn w:val="869"/>
    <w:link w:val="1084"/>
    <w:uiPriority w:val="0"/>
    <w:qFormat/>
    <w:pPr>
      <w:jc w:val="left"/>
    </w:pPr>
  </w:style>
  <w:style w:type="paragraph" w:styleId="928" w:customStyle="1">
    <w:name w:val="Comment Subject"/>
    <w:basedOn w:val="927"/>
    <w:next w:val="927"/>
    <w:link w:val="1102"/>
    <w:uiPriority w:val="0"/>
    <w:qFormat/>
    <w:rPr>
      <w:b/>
      <w:bCs/>
    </w:rPr>
  </w:style>
  <w:style w:type="character" w:styleId="929" w:customStyle="1">
    <w:name w:val="Comment Reference"/>
    <w:uiPriority w:val="0"/>
    <w:qFormat/>
    <w:rPr>
      <w:sz w:val="21"/>
      <w:szCs w:val="21"/>
    </w:rPr>
  </w:style>
  <w:style w:type="character" w:styleId="930" w:customStyle="1">
    <w:name w:val="标题 1 字符"/>
    <w:link w:val="870"/>
    <w:uiPriority w:val="0"/>
    <w:qFormat/>
    <w:rPr>
      <w:b/>
      <w:bCs/>
      <w:sz w:val="21"/>
      <w:szCs w:val="44"/>
    </w:rPr>
  </w:style>
  <w:style w:type="paragraph" w:styleId="931" w:customStyle="1">
    <w:name w:val="列出段落1"/>
    <w:basedOn w:val="869"/>
    <w:uiPriority w:val="1"/>
    <w:qFormat/>
    <w:pPr>
      <w:ind w:left="400" w:firstLine="420"/>
      <w:jc w:val="left"/>
    </w:pPr>
    <w:rPr>
      <w:rFonts w:ascii="宋体" w:hAnsi="宋体" w:cs="宋体"/>
      <w:sz w:val="22"/>
      <w:szCs w:val="22"/>
      <w:lang w:val="zh-CN" w:bidi="zh-CN"/>
    </w:rPr>
  </w:style>
  <w:style w:type="character" w:styleId="932" w:customStyle="1">
    <w:name w:val="Heading 1 Char"/>
    <w:basedOn w:val="879"/>
    <w:uiPriority w:val="9"/>
    <w:qFormat/>
    <w:rPr>
      <w:rFonts w:ascii="Arial" w:hAnsi="Arial" w:eastAsia="Arial" w:cs="Arial"/>
      <w:sz w:val="40"/>
      <w:szCs w:val="40"/>
    </w:rPr>
  </w:style>
  <w:style w:type="character" w:styleId="933" w:customStyle="1">
    <w:name w:val="Heading 2 Char"/>
    <w:basedOn w:val="879"/>
    <w:uiPriority w:val="9"/>
    <w:qFormat/>
    <w:rPr>
      <w:rFonts w:ascii="Arial" w:hAnsi="Arial" w:eastAsia="Arial" w:cs="Arial"/>
      <w:sz w:val="34"/>
    </w:rPr>
  </w:style>
  <w:style w:type="character" w:styleId="934" w:customStyle="1">
    <w:name w:val="Heading 3 Char"/>
    <w:basedOn w:val="879"/>
    <w:uiPriority w:val="9"/>
    <w:qFormat/>
    <w:rPr>
      <w:rFonts w:ascii="Arial" w:hAnsi="Arial" w:eastAsia="Arial" w:cs="Arial"/>
      <w:sz w:val="30"/>
      <w:szCs w:val="30"/>
    </w:rPr>
  </w:style>
  <w:style w:type="character" w:styleId="935" w:customStyle="1">
    <w:name w:val="Heading 4 Char"/>
    <w:basedOn w:val="879"/>
    <w:uiPriority w:val="9"/>
    <w:qFormat/>
    <w:rPr>
      <w:rFonts w:ascii="Arial" w:hAnsi="Arial" w:eastAsia="Arial" w:cs="Arial"/>
      <w:b/>
      <w:bCs/>
      <w:sz w:val="26"/>
      <w:szCs w:val="26"/>
    </w:rPr>
  </w:style>
  <w:style w:type="character" w:styleId="936" w:customStyle="1">
    <w:name w:val="标题 5 字符"/>
    <w:basedOn w:val="879"/>
    <w:link w:val="874"/>
    <w:uiPriority w:val="9"/>
    <w:qFormat/>
    <w:rPr>
      <w:rFonts w:ascii="Arial" w:hAnsi="Arial" w:eastAsia="Arial" w:cs="Arial"/>
      <w:b/>
      <w:bCs/>
      <w:sz w:val="24"/>
      <w:szCs w:val="24"/>
    </w:rPr>
  </w:style>
  <w:style w:type="character" w:styleId="937" w:customStyle="1">
    <w:name w:val="Heading 6 Char"/>
    <w:basedOn w:val="879"/>
    <w:uiPriority w:val="9"/>
    <w:qFormat/>
    <w:rPr>
      <w:rFonts w:ascii="Arial" w:hAnsi="Arial" w:eastAsia="Arial" w:cs="Arial"/>
      <w:b/>
      <w:bCs/>
      <w:sz w:val="22"/>
      <w:szCs w:val="22"/>
    </w:rPr>
  </w:style>
  <w:style w:type="character" w:styleId="938" w:customStyle="1">
    <w:name w:val="标题 7 字符"/>
    <w:basedOn w:val="879"/>
    <w:link w:val="876"/>
    <w:uiPriority w:val="9"/>
    <w:qFormat/>
    <w:rPr>
      <w:rFonts w:ascii="Arial" w:hAnsi="Arial" w:eastAsia="Arial" w:cs="Arial"/>
      <w:b/>
      <w:bCs/>
      <w:i/>
      <w:iCs/>
      <w:sz w:val="22"/>
      <w:szCs w:val="22"/>
    </w:rPr>
  </w:style>
  <w:style w:type="character" w:styleId="939" w:customStyle="1">
    <w:name w:val="Heading 8 Char"/>
    <w:basedOn w:val="879"/>
    <w:uiPriority w:val="9"/>
    <w:qFormat/>
    <w:rPr>
      <w:rFonts w:ascii="Arial" w:hAnsi="Arial" w:eastAsia="Arial" w:cs="Arial"/>
      <w:i/>
      <w:iCs/>
      <w:sz w:val="22"/>
      <w:szCs w:val="22"/>
    </w:rPr>
  </w:style>
  <w:style w:type="character" w:styleId="940" w:customStyle="1">
    <w:name w:val="标题 9 字符"/>
    <w:basedOn w:val="879"/>
    <w:link w:val="878"/>
    <w:uiPriority w:val="9"/>
    <w:qFormat/>
    <w:rPr>
      <w:rFonts w:ascii="Arial" w:hAnsi="Arial" w:eastAsia="Arial" w:cs="Arial"/>
      <w:i/>
      <w:iCs/>
      <w:sz w:val="21"/>
      <w:szCs w:val="21"/>
    </w:rPr>
  </w:style>
  <w:style w:type="character" w:styleId="941" w:customStyle="1">
    <w:name w:val="Title Char"/>
    <w:basedOn w:val="879"/>
    <w:uiPriority w:val="10"/>
    <w:qFormat/>
    <w:rPr>
      <w:sz w:val="48"/>
      <w:szCs w:val="48"/>
    </w:rPr>
  </w:style>
  <w:style w:type="character" w:styleId="942" w:customStyle="1">
    <w:name w:val="副标题 字符"/>
    <w:basedOn w:val="879"/>
    <w:link w:val="903"/>
    <w:uiPriority w:val="11"/>
    <w:qFormat/>
    <w:rPr>
      <w:sz w:val="24"/>
      <w:szCs w:val="24"/>
    </w:rPr>
  </w:style>
  <w:style w:type="paragraph" w:styleId="943">
    <w:name w:val="Quote"/>
    <w:basedOn w:val="869"/>
    <w:next w:val="869"/>
    <w:link w:val="944"/>
    <w:uiPriority w:val="29"/>
    <w:qFormat/>
    <w:pPr>
      <w:ind w:left="720" w:right="720"/>
    </w:pPr>
    <w:rPr>
      <w:i/>
    </w:rPr>
  </w:style>
  <w:style w:type="character" w:styleId="944" w:customStyle="1">
    <w:name w:val="引用 字符"/>
    <w:link w:val="943"/>
    <w:uiPriority w:val="29"/>
    <w:qFormat/>
    <w:rPr>
      <w:i/>
    </w:rPr>
  </w:style>
  <w:style w:type="paragraph" w:styleId="945">
    <w:name w:val="Intense Quote"/>
    <w:basedOn w:val="869"/>
    <w:next w:val="869"/>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字符"/>
    <w:link w:val="945"/>
    <w:uiPriority w:val="30"/>
    <w:qFormat/>
    <w:rPr>
      <w:i/>
    </w:rPr>
  </w:style>
  <w:style w:type="character" w:styleId="947" w:customStyle="1">
    <w:name w:val="Header Char"/>
    <w:basedOn w:val="879"/>
    <w:uiPriority w:val="99"/>
    <w:qFormat/>
  </w:style>
  <w:style w:type="character" w:styleId="948" w:customStyle="1">
    <w:name w:val="Footer Char"/>
    <w:basedOn w:val="879"/>
    <w:uiPriority w:val="99"/>
    <w:qFormat/>
  </w:style>
  <w:style w:type="character" w:styleId="949" w:customStyle="1">
    <w:name w:val="Caption Char"/>
    <w:uiPriority w:val="99"/>
    <w:qFormat/>
  </w:style>
  <w:style w:type="table" w:styleId="950" w:customStyle="1">
    <w:name w:val="Table Grid Light"/>
    <w:basedOn w:val="915"/>
    <w:uiPriority w:val="59"/>
    <w:qFormat/>
    <w:tblPr/>
  </w:style>
  <w:style w:type="table" w:styleId="951" w:customStyle="1">
    <w:name w:val="无格式表格 11"/>
    <w:basedOn w:val="915"/>
    <w:uiPriority w:val="59"/>
    <w:qFormat/>
    <w:tblPr/>
  </w:style>
  <w:style w:type="table" w:styleId="952" w:customStyle="1">
    <w:name w:val="无格式表格 21"/>
    <w:basedOn w:val="915"/>
    <w:uiPriority w:val="59"/>
    <w:qFormat/>
    <w:tblPr/>
  </w:style>
  <w:style w:type="table" w:styleId="953" w:customStyle="1">
    <w:name w:val="无格式表格 31"/>
    <w:basedOn w:val="915"/>
    <w:uiPriority w:val="99"/>
    <w:qFormat/>
    <w:tblPr/>
  </w:style>
  <w:style w:type="table" w:styleId="954" w:customStyle="1">
    <w:name w:val="无格式表格 41"/>
    <w:basedOn w:val="915"/>
    <w:uiPriority w:val="99"/>
    <w:qFormat/>
    <w:tblPr/>
  </w:style>
  <w:style w:type="table" w:styleId="955" w:customStyle="1">
    <w:name w:val="无格式表格 51"/>
    <w:basedOn w:val="915"/>
    <w:uiPriority w:val="99"/>
    <w:qFormat/>
    <w:tblPr/>
  </w:style>
  <w:style w:type="table" w:styleId="956" w:customStyle="1">
    <w:name w:val="网格表 1 浅色1"/>
    <w:basedOn w:val="915"/>
    <w:uiPriority w:val="99"/>
    <w:qFormat/>
    <w:tblPr/>
  </w:style>
  <w:style w:type="table" w:styleId="957" w:customStyle="1">
    <w:name w:val="Grid Table 1 Light - Accent 1"/>
    <w:basedOn w:val="915"/>
    <w:uiPriority w:val="99"/>
    <w:qFormat/>
    <w:tblPr/>
  </w:style>
  <w:style w:type="table" w:styleId="958" w:customStyle="1">
    <w:name w:val="Grid Table 1 Light - Accent 2"/>
    <w:basedOn w:val="915"/>
    <w:uiPriority w:val="99"/>
    <w:qFormat/>
    <w:tblPr/>
  </w:style>
  <w:style w:type="table" w:styleId="959" w:customStyle="1">
    <w:name w:val="Grid Table 1 Light - Accent 3"/>
    <w:basedOn w:val="915"/>
    <w:uiPriority w:val="99"/>
    <w:qFormat/>
    <w:tblPr/>
  </w:style>
  <w:style w:type="table" w:styleId="960" w:customStyle="1">
    <w:name w:val="Grid Table 1 Light - Accent 4"/>
    <w:basedOn w:val="915"/>
    <w:uiPriority w:val="99"/>
    <w:qFormat/>
    <w:tblPr/>
  </w:style>
  <w:style w:type="table" w:styleId="961" w:customStyle="1">
    <w:name w:val="Grid Table 1 Light - Accent 5"/>
    <w:basedOn w:val="915"/>
    <w:uiPriority w:val="99"/>
    <w:qFormat/>
    <w:tblPr/>
  </w:style>
  <w:style w:type="table" w:styleId="962" w:customStyle="1">
    <w:name w:val="Grid Table 1 Light - Accent 6"/>
    <w:basedOn w:val="915"/>
    <w:uiPriority w:val="99"/>
    <w:qFormat/>
    <w:tblPr/>
  </w:style>
  <w:style w:type="table" w:styleId="963" w:customStyle="1">
    <w:name w:val="网格表 21"/>
    <w:basedOn w:val="915"/>
    <w:uiPriority w:val="99"/>
    <w:qFormat/>
    <w:tblPr/>
  </w:style>
  <w:style w:type="table" w:styleId="964" w:customStyle="1">
    <w:name w:val="Grid Table 2 - Accent 1"/>
    <w:basedOn w:val="915"/>
    <w:uiPriority w:val="99"/>
    <w:qFormat/>
    <w:tblPr/>
  </w:style>
  <w:style w:type="table" w:styleId="965" w:customStyle="1">
    <w:name w:val="Grid Table 2 - Accent 2"/>
    <w:basedOn w:val="915"/>
    <w:uiPriority w:val="99"/>
    <w:qFormat/>
    <w:tblPr/>
  </w:style>
  <w:style w:type="table" w:styleId="966" w:customStyle="1">
    <w:name w:val="Grid Table 2 - Accent 3"/>
    <w:basedOn w:val="915"/>
    <w:uiPriority w:val="99"/>
    <w:qFormat/>
    <w:tblPr/>
  </w:style>
  <w:style w:type="table" w:styleId="967" w:customStyle="1">
    <w:name w:val="Grid Table 2 - Accent 4"/>
    <w:basedOn w:val="915"/>
    <w:uiPriority w:val="99"/>
    <w:qFormat/>
    <w:tblPr/>
  </w:style>
  <w:style w:type="table" w:styleId="968" w:customStyle="1">
    <w:name w:val="Grid Table 2 - Accent 5"/>
    <w:basedOn w:val="915"/>
    <w:uiPriority w:val="99"/>
    <w:qFormat/>
    <w:tblPr/>
  </w:style>
  <w:style w:type="table" w:styleId="969" w:customStyle="1">
    <w:name w:val="Grid Table 2 - Accent 6"/>
    <w:basedOn w:val="915"/>
    <w:uiPriority w:val="99"/>
    <w:qFormat/>
    <w:tblPr/>
  </w:style>
  <w:style w:type="table" w:styleId="970" w:customStyle="1">
    <w:name w:val="网格表 31"/>
    <w:basedOn w:val="915"/>
    <w:uiPriority w:val="99"/>
    <w:qFormat/>
    <w:tblPr/>
  </w:style>
  <w:style w:type="table" w:styleId="971" w:customStyle="1">
    <w:name w:val="Grid Table 3 - Accent 1"/>
    <w:basedOn w:val="915"/>
    <w:uiPriority w:val="99"/>
    <w:qFormat/>
    <w:tblPr/>
  </w:style>
  <w:style w:type="table" w:styleId="972" w:customStyle="1">
    <w:name w:val="Grid Table 3 - Accent 2"/>
    <w:basedOn w:val="915"/>
    <w:uiPriority w:val="99"/>
    <w:qFormat/>
    <w:tblPr/>
  </w:style>
  <w:style w:type="table" w:styleId="973" w:customStyle="1">
    <w:name w:val="Grid Table 3 - Accent 3"/>
    <w:basedOn w:val="915"/>
    <w:uiPriority w:val="99"/>
    <w:qFormat/>
    <w:tblPr/>
  </w:style>
  <w:style w:type="table" w:styleId="974" w:customStyle="1">
    <w:name w:val="Grid Table 3 - Accent 4"/>
    <w:basedOn w:val="915"/>
    <w:uiPriority w:val="99"/>
    <w:qFormat/>
    <w:tblPr/>
  </w:style>
  <w:style w:type="table" w:styleId="975" w:customStyle="1">
    <w:name w:val="Grid Table 3 - Accent 5"/>
    <w:basedOn w:val="915"/>
    <w:uiPriority w:val="99"/>
    <w:qFormat/>
    <w:tblPr/>
  </w:style>
  <w:style w:type="table" w:styleId="976" w:customStyle="1">
    <w:name w:val="Grid Table 3 - Accent 6"/>
    <w:basedOn w:val="915"/>
    <w:uiPriority w:val="99"/>
    <w:qFormat/>
    <w:tblPr/>
  </w:style>
  <w:style w:type="table" w:styleId="977" w:customStyle="1">
    <w:name w:val="网格表 41"/>
    <w:basedOn w:val="915"/>
    <w:uiPriority w:val="59"/>
    <w:qFormat/>
    <w:tblPr/>
  </w:style>
  <w:style w:type="table" w:styleId="978" w:customStyle="1">
    <w:name w:val="Grid Table 4 - Accent 1"/>
    <w:basedOn w:val="915"/>
    <w:uiPriority w:val="59"/>
    <w:qFormat/>
    <w:tblPr/>
  </w:style>
  <w:style w:type="table" w:styleId="979" w:customStyle="1">
    <w:name w:val="Grid Table 4 - Accent 2"/>
    <w:basedOn w:val="915"/>
    <w:uiPriority w:val="59"/>
    <w:qFormat/>
    <w:tblPr/>
  </w:style>
  <w:style w:type="table" w:styleId="980" w:customStyle="1">
    <w:name w:val="Grid Table 4 - Accent 3"/>
    <w:basedOn w:val="915"/>
    <w:uiPriority w:val="59"/>
    <w:qFormat/>
    <w:tblPr/>
  </w:style>
  <w:style w:type="table" w:styleId="981" w:customStyle="1">
    <w:name w:val="Grid Table 4 - Accent 4"/>
    <w:basedOn w:val="915"/>
    <w:uiPriority w:val="59"/>
    <w:qFormat/>
    <w:tblPr/>
  </w:style>
  <w:style w:type="table" w:styleId="982" w:customStyle="1">
    <w:name w:val="Grid Table 4 - Accent 5"/>
    <w:basedOn w:val="915"/>
    <w:uiPriority w:val="59"/>
    <w:qFormat/>
    <w:tblPr/>
  </w:style>
  <w:style w:type="table" w:styleId="983" w:customStyle="1">
    <w:name w:val="Grid Table 4 - Accent 6"/>
    <w:basedOn w:val="915"/>
    <w:uiPriority w:val="59"/>
    <w:qFormat/>
    <w:tblPr/>
  </w:style>
  <w:style w:type="table" w:styleId="984" w:customStyle="1">
    <w:name w:val="网格表 5 深色1"/>
    <w:basedOn w:val="915"/>
    <w:uiPriority w:val="99"/>
    <w:qFormat/>
    <w:tblPr/>
  </w:style>
  <w:style w:type="table" w:styleId="985" w:customStyle="1">
    <w:name w:val="Grid Table 5 Dark- Accent 1"/>
    <w:basedOn w:val="915"/>
    <w:uiPriority w:val="99"/>
    <w:qFormat/>
    <w:tblPr/>
  </w:style>
  <w:style w:type="table" w:styleId="986" w:customStyle="1">
    <w:name w:val="Grid Table 5 Dark - Accent 2"/>
    <w:basedOn w:val="915"/>
    <w:uiPriority w:val="99"/>
    <w:qFormat/>
    <w:tblPr/>
  </w:style>
  <w:style w:type="table" w:styleId="987" w:customStyle="1">
    <w:name w:val="Grid Table 5 Dark - Accent 3"/>
    <w:basedOn w:val="915"/>
    <w:uiPriority w:val="99"/>
    <w:qFormat/>
    <w:tblPr/>
  </w:style>
  <w:style w:type="table" w:styleId="988" w:customStyle="1">
    <w:name w:val="Grid Table 5 Dark- Accent 4"/>
    <w:basedOn w:val="915"/>
    <w:uiPriority w:val="99"/>
    <w:qFormat/>
    <w:tblPr/>
  </w:style>
  <w:style w:type="table" w:styleId="989" w:customStyle="1">
    <w:name w:val="Grid Table 5 Dark - Accent 5"/>
    <w:basedOn w:val="915"/>
    <w:uiPriority w:val="99"/>
    <w:qFormat/>
    <w:tblPr/>
  </w:style>
  <w:style w:type="table" w:styleId="990" w:customStyle="1">
    <w:name w:val="Grid Table 5 Dark - Accent 6"/>
    <w:basedOn w:val="915"/>
    <w:uiPriority w:val="99"/>
    <w:qFormat/>
    <w:tblPr/>
  </w:style>
  <w:style w:type="table" w:styleId="991" w:customStyle="1">
    <w:name w:val="网格表 6 彩色1"/>
    <w:basedOn w:val="915"/>
    <w:uiPriority w:val="99"/>
    <w:qFormat/>
    <w:tblPr/>
  </w:style>
  <w:style w:type="table" w:styleId="992" w:customStyle="1">
    <w:name w:val="Grid Table 6 Colorful - Accent 1"/>
    <w:basedOn w:val="915"/>
    <w:uiPriority w:val="99"/>
    <w:qFormat/>
    <w:tblPr/>
  </w:style>
  <w:style w:type="table" w:styleId="993" w:customStyle="1">
    <w:name w:val="Grid Table 6 Colorful - Accent 2"/>
    <w:basedOn w:val="915"/>
    <w:uiPriority w:val="99"/>
    <w:qFormat/>
    <w:tblPr/>
  </w:style>
  <w:style w:type="table" w:styleId="994" w:customStyle="1">
    <w:name w:val="Grid Table 6 Colorful - Accent 3"/>
    <w:basedOn w:val="915"/>
    <w:uiPriority w:val="99"/>
    <w:qFormat/>
    <w:tblPr/>
  </w:style>
  <w:style w:type="table" w:styleId="995" w:customStyle="1">
    <w:name w:val="Grid Table 6 Colorful - Accent 4"/>
    <w:basedOn w:val="915"/>
    <w:uiPriority w:val="99"/>
    <w:qFormat/>
    <w:tblPr/>
  </w:style>
  <w:style w:type="table" w:styleId="996" w:customStyle="1">
    <w:name w:val="Grid Table 6 Colorful - Accent 5"/>
    <w:basedOn w:val="915"/>
    <w:uiPriority w:val="99"/>
    <w:qFormat/>
    <w:tblPr/>
  </w:style>
  <w:style w:type="table" w:styleId="997" w:customStyle="1">
    <w:name w:val="Grid Table 6 Colorful - Accent 6"/>
    <w:basedOn w:val="915"/>
    <w:uiPriority w:val="99"/>
    <w:qFormat/>
    <w:tblPr/>
  </w:style>
  <w:style w:type="table" w:styleId="998" w:customStyle="1">
    <w:name w:val="网格表 7 彩色1"/>
    <w:basedOn w:val="915"/>
    <w:uiPriority w:val="99"/>
    <w:qFormat/>
    <w:tblPr/>
  </w:style>
  <w:style w:type="table" w:styleId="999" w:customStyle="1">
    <w:name w:val="Grid Table 7 Colorful - Accent 1"/>
    <w:basedOn w:val="915"/>
    <w:uiPriority w:val="99"/>
    <w:qFormat/>
    <w:tblPr/>
  </w:style>
  <w:style w:type="table" w:styleId="1000" w:customStyle="1">
    <w:name w:val="Grid Table 7 Colorful - Accent 2"/>
    <w:basedOn w:val="915"/>
    <w:uiPriority w:val="99"/>
    <w:qFormat/>
    <w:tblPr/>
  </w:style>
  <w:style w:type="table" w:styleId="1001" w:customStyle="1">
    <w:name w:val="Grid Table 7 Colorful - Accent 3"/>
    <w:basedOn w:val="915"/>
    <w:uiPriority w:val="99"/>
    <w:qFormat/>
    <w:tblPr/>
  </w:style>
  <w:style w:type="table" w:styleId="1002" w:customStyle="1">
    <w:name w:val="Grid Table 7 Colorful - Accent 4"/>
    <w:basedOn w:val="915"/>
    <w:uiPriority w:val="99"/>
    <w:qFormat/>
    <w:tblPr/>
  </w:style>
  <w:style w:type="table" w:styleId="1003" w:customStyle="1">
    <w:name w:val="Grid Table 7 Colorful - Accent 5"/>
    <w:basedOn w:val="915"/>
    <w:uiPriority w:val="99"/>
    <w:qFormat/>
    <w:tblPr/>
  </w:style>
  <w:style w:type="table" w:styleId="1004" w:customStyle="1">
    <w:name w:val="Grid Table 7 Colorful - Accent 6"/>
    <w:basedOn w:val="915"/>
    <w:uiPriority w:val="99"/>
    <w:qFormat/>
    <w:tblPr/>
  </w:style>
  <w:style w:type="table" w:styleId="1005" w:customStyle="1">
    <w:name w:val="清单表 1 浅色1"/>
    <w:basedOn w:val="915"/>
    <w:uiPriority w:val="99"/>
    <w:qFormat/>
    <w:tblPr/>
  </w:style>
  <w:style w:type="table" w:styleId="1006" w:customStyle="1">
    <w:name w:val="List Table 1 Light - Accent 1"/>
    <w:basedOn w:val="915"/>
    <w:uiPriority w:val="99"/>
    <w:qFormat/>
    <w:tblPr/>
  </w:style>
  <w:style w:type="table" w:styleId="1007" w:customStyle="1">
    <w:name w:val="List Table 1 Light - Accent 2"/>
    <w:basedOn w:val="915"/>
    <w:uiPriority w:val="99"/>
    <w:qFormat/>
    <w:tblPr/>
  </w:style>
  <w:style w:type="table" w:styleId="1008" w:customStyle="1">
    <w:name w:val="List Table 1 Light - Accent 3"/>
    <w:basedOn w:val="915"/>
    <w:uiPriority w:val="99"/>
    <w:qFormat/>
    <w:tblPr/>
  </w:style>
  <w:style w:type="table" w:styleId="1009" w:customStyle="1">
    <w:name w:val="List Table 1 Light - Accent 4"/>
    <w:basedOn w:val="915"/>
    <w:uiPriority w:val="99"/>
    <w:qFormat/>
    <w:tblPr/>
  </w:style>
  <w:style w:type="table" w:styleId="1010" w:customStyle="1">
    <w:name w:val="List Table 1 Light - Accent 5"/>
    <w:basedOn w:val="915"/>
    <w:uiPriority w:val="99"/>
    <w:qFormat/>
    <w:tblPr/>
  </w:style>
  <w:style w:type="table" w:styleId="1011" w:customStyle="1">
    <w:name w:val="List Table 1 Light - Accent 6"/>
    <w:basedOn w:val="915"/>
    <w:uiPriority w:val="99"/>
    <w:qFormat/>
    <w:tblPr/>
  </w:style>
  <w:style w:type="table" w:styleId="1012" w:customStyle="1">
    <w:name w:val="清单表 21"/>
    <w:basedOn w:val="915"/>
    <w:uiPriority w:val="99"/>
    <w:qFormat/>
    <w:tblPr/>
  </w:style>
  <w:style w:type="table" w:styleId="1013" w:customStyle="1">
    <w:name w:val="List Table 2 - Accent 1"/>
    <w:basedOn w:val="915"/>
    <w:uiPriority w:val="99"/>
    <w:qFormat/>
    <w:tblPr/>
  </w:style>
  <w:style w:type="table" w:styleId="1014" w:customStyle="1">
    <w:name w:val="List Table 2 - Accent 2"/>
    <w:basedOn w:val="915"/>
    <w:uiPriority w:val="99"/>
    <w:qFormat/>
    <w:tblPr/>
  </w:style>
  <w:style w:type="table" w:styleId="1015" w:customStyle="1">
    <w:name w:val="List Table 2 - Accent 3"/>
    <w:basedOn w:val="915"/>
    <w:uiPriority w:val="99"/>
    <w:qFormat/>
    <w:tblPr/>
  </w:style>
  <w:style w:type="table" w:styleId="1016" w:customStyle="1">
    <w:name w:val="List Table 2 - Accent 4"/>
    <w:basedOn w:val="915"/>
    <w:uiPriority w:val="99"/>
    <w:qFormat/>
    <w:tblPr/>
  </w:style>
  <w:style w:type="table" w:styleId="1017" w:customStyle="1">
    <w:name w:val="List Table 2 - Accent 5"/>
    <w:basedOn w:val="915"/>
    <w:uiPriority w:val="99"/>
    <w:qFormat/>
    <w:tblPr/>
  </w:style>
  <w:style w:type="table" w:styleId="1018" w:customStyle="1">
    <w:name w:val="List Table 2 - Accent 6"/>
    <w:basedOn w:val="915"/>
    <w:uiPriority w:val="99"/>
    <w:qFormat/>
    <w:tblPr/>
  </w:style>
  <w:style w:type="table" w:styleId="1019" w:customStyle="1">
    <w:name w:val="清单表 31"/>
    <w:basedOn w:val="915"/>
    <w:uiPriority w:val="99"/>
    <w:qFormat/>
    <w:tblPr/>
  </w:style>
  <w:style w:type="table" w:styleId="1020" w:customStyle="1">
    <w:name w:val="List Table 3 - Accent 1"/>
    <w:basedOn w:val="915"/>
    <w:uiPriority w:val="99"/>
    <w:qFormat/>
    <w:tblPr/>
  </w:style>
  <w:style w:type="table" w:styleId="1021" w:customStyle="1">
    <w:name w:val="List Table 3 - Accent 2"/>
    <w:basedOn w:val="915"/>
    <w:uiPriority w:val="99"/>
    <w:qFormat/>
    <w:tblPr/>
  </w:style>
  <w:style w:type="table" w:styleId="1022" w:customStyle="1">
    <w:name w:val="List Table 3 - Accent 3"/>
    <w:basedOn w:val="915"/>
    <w:uiPriority w:val="99"/>
    <w:qFormat/>
    <w:tblPr/>
  </w:style>
  <w:style w:type="table" w:styleId="1023" w:customStyle="1">
    <w:name w:val="List Table 3 - Accent 4"/>
    <w:basedOn w:val="915"/>
    <w:uiPriority w:val="99"/>
    <w:qFormat/>
    <w:tblPr/>
  </w:style>
  <w:style w:type="table" w:styleId="1024" w:customStyle="1">
    <w:name w:val="List Table 3 - Accent 5"/>
    <w:basedOn w:val="915"/>
    <w:uiPriority w:val="99"/>
    <w:qFormat/>
    <w:tblPr/>
  </w:style>
  <w:style w:type="table" w:styleId="1025" w:customStyle="1">
    <w:name w:val="List Table 3 - Accent 6"/>
    <w:basedOn w:val="915"/>
    <w:uiPriority w:val="99"/>
    <w:qFormat/>
    <w:tblPr/>
  </w:style>
  <w:style w:type="table" w:styleId="1026" w:customStyle="1">
    <w:name w:val="清单表 41"/>
    <w:basedOn w:val="915"/>
    <w:uiPriority w:val="99"/>
    <w:qFormat/>
    <w:tblPr/>
  </w:style>
  <w:style w:type="table" w:styleId="1027" w:customStyle="1">
    <w:name w:val="List Table 4 - Accent 1"/>
    <w:basedOn w:val="915"/>
    <w:uiPriority w:val="99"/>
    <w:qFormat/>
    <w:tblPr/>
  </w:style>
  <w:style w:type="table" w:styleId="1028" w:customStyle="1">
    <w:name w:val="List Table 4 - Accent 2"/>
    <w:basedOn w:val="915"/>
    <w:uiPriority w:val="99"/>
    <w:qFormat/>
    <w:tblPr/>
  </w:style>
  <w:style w:type="table" w:styleId="1029" w:customStyle="1">
    <w:name w:val="List Table 4 - Accent 3"/>
    <w:basedOn w:val="915"/>
    <w:uiPriority w:val="99"/>
    <w:qFormat/>
    <w:tblPr/>
  </w:style>
  <w:style w:type="table" w:styleId="1030" w:customStyle="1">
    <w:name w:val="List Table 4 - Accent 4"/>
    <w:basedOn w:val="915"/>
    <w:uiPriority w:val="99"/>
    <w:qFormat/>
    <w:tblPr/>
  </w:style>
  <w:style w:type="table" w:styleId="1031" w:customStyle="1">
    <w:name w:val="List Table 4 - Accent 5"/>
    <w:basedOn w:val="915"/>
    <w:uiPriority w:val="99"/>
    <w:qFormat/>
    <w:tblPr/>
  </w:style>
  <w:style w:type="table" w:styleId="1032" w:customStyle="1">
    <w:name w:val="List Table 4 - Accent 6"/>
    <w:basedOn w:val="915"/>
    <w:uiPriority w:val="99"/>
    <w:qFormat/>
    <w:tblPr/>
  </w:style>
  <w:style w:type="table" w:styleId="1033" w:customStyle="1">
    <w:name w:val="清单表 5 深色1"/>
    <w:basedOn w:val="915"/>
    <w:uiPriority w:val="99"/>
    <w:qFormat/>
    <w:tblPr/>
  </w:style>
  <w:style w:type="table" w:styleId="1034" w:customStyle="1">
    <w:name w:val="List Table 5 Dark - Accent 1"/>
    <w:basedOn w:val="915"/>
    <w:uiPriority w:val="99"/>
    <w:qFormat/>
    <w:tblPr/>
  </w:style>
  <w:style w:type="table" w:styleId="1035" w:customStyle="1">
    <w:name w:val="List Table 5 Dark - Accent 2"/>
    <w:basedOn w:val="915"/>
    <w:uiPriority w:val="99"/>
    <w:qFormat/>
    <w:tblPr/>
  </w:style>
  <w:style w:type="table" w:styleId="1036" w:customStyle="1">
    <w:name w:val="List Table 5 Dark - Accent 3"/>
    <w:basedOn w:val="915"/>
    <w:uiPriority w:val="99"/>
    <w:qFormat/>
    <w:tblPr/>
  </w:style>
  <w:style w:type="table" w:styleId="1037" w:customStyle="1">
    <w:name w:val="List Table 5 Dark - Accent 4"/>
    <w:basedOn w:val="915"/>
    <w:uiPriority w:val="99"/>
    <w:qFormat/>
    <w:tblPr/>
  </w:style>
  <w:style w:type="table" w:styleId="1038" w:customStyle="1">
    <w:name w:val="List Table 5 Dark - Accent 5"/>
    <w:basedOn w:val="915"/>
    <w:uiPriority w:val="99"/>
    <w:qFormat/>
    <w:tblPr/>
  </w:style>
  <w:style w:type="table" w:styleId="1039" w:customStyle="1">
    <w:name w:val="List Table 5 Dark - Accent 6"/>
    <w:basedOn w:val="915"/>
    <w:uiPriority w:val="99"/>
    <w:qFormat/>
    <w:tblPr/>
  </w:style>
  <w:style w:type="table" w:styleId="1040" w:customStyle="1">
    <w:name w:val="清单表 6 彩色1"/>
    <w:basedOn w:val="915"/>
    <w:uiPriority w:val="99"/>
    <w:qFormat/>
    <w:tblPr/>
  </w:style>
  <w:style w:type="table" w:styleId="1041" w:customStyle="1">
    <w:name w:val="List Table 6 Colorful - Accent 1"/>
    <w:basedOn w:val="915"/>
    <w:uiPriority w:val="99"/>
    <w:qFormat/>
    <w:tblPr/>
  </w:style>
  <w:style w:type="table" w:styleId="1042" w:customStyle="1">
    <w:name w:val="List Table 6 Colorful - Accent 2"/>
    <w:basedOn w:val="915"/>
    <w:uiPriority w:val="99"/>
    <w:qFormat/>
    <w:tblPr/>
  </w:style>
  <w:style w:type="table" w:styleId="1043" w:customStyle="1">
    <w:name w:val="List Table 6 Colorful - Accent 3"/>
    <w:basedOn w:val="915"/>
    <w:uiPriority w:val="99"/>
    <w:qFormat/>
    <w:tblPr/>
  </w:style>
  <w:style w:type="table" w:styleId="1044" w:customStyle="1">
    <w:name w:val="List Table 6 Colorful - Accent 4"/>
    <w:basedOn w:val="915"/>
    <w:uiPriority w:val="99"/>
    <w:qFormat/>
    <w:tblPr/>
  </w:style>
  <w:style w:type="table" w:styleId="1045" w:customStyle="1">
    <w:name w:val="List Table 6 Colorful - Accent 5"/>
    <w:basedOn w:val="915"/>
    <w:uiPriority w:val="99"/>
    <w:qFormat/>
    <w:tblPr/>
  </w:style>
  <w:style w:type="table" w:styleId="1046" w:customStyle="1">
    <w:name w:val="List Table 6 Colorful - Accent 6"/>
    <w:basedOn w:val="915"/>
    <w:uiPriority w:val="99"/>
    <w:qFormat/>
    <w:tblPr/>
  </w:style>
  <w:style w:type="table" w:styleId="1047" w:customStyle="1">
    <w:name w:val="清单表 7 彩色1"/>
    <w:basedOn w:val="915"/>
    <w:uiPriority w:val="99"/>
    <w:qFormat/>
    <w:tblPr/>
  </w:style>
  <w:style w:type="table" w:styleId="1048" w:customStyle="1">
    <w:name w:val="List Table 7 Colorful - Accent 1"/>
    <w:basedOn w:val="915"/>
    <w:uiPriority w:val="99"/>
    <w:qFormat/>
    <w:tblPr/>
  </w:style>
  <w:style w:type="table" w:styleId="1049" w:customStyle="1">
    <w:name w:val="List Table 7 Colorful - Accent 2"/>
    <w:basedOn w:val="915"/>
    <w:uiPriority w:val="99"/>
    <w:qFormat/>
    <w:tblPr/>
  </w:style>
  <w:style w:type="table" w:styleId="1050" w:customStyle="1">
    <w:name w:val="List Table 7 Colorful - Accent 3"/>
    <w:basedOn w:val="915"/>
    <w:uiPriority w:val="99"/>
    <w:qFormat/>
    <w:tblPr/>
  </w:style>
  <w:style w:type="table" w:styleId="1051" w:customStyle="1">
    <w:name w:val="List Table 7 Colorful - Accent 4"/>
    <w:basedOn w:val="915"/>
    <w:uiPriority w:val="99"/>
    <w:qFormat/>
    <w:tblPr/>
  </w:style>
  <w:style w:type="table" w:styleId="1052" w:customStyle="1">
    <w:name w:val="List Table 7 Colorful - Accent 5"/>
    <w:basedOn w:val="915"/>
    <w:uiPriority w:val="99"/>
    <w:qFormat/>
    <w:tblPr/>
  </w:style>
  <w:style w:type="table" w:styleId="1053" w:customStyle="1">
    <w:name w:val="List Table 7 Colorful - Accent 6"/>
    <w:basedOn w:val="915"/>
    <w:uiPriority w:val="99"/>
    <w:qFormat/>
    <w:tblPr/>
  </w:style>
  <w:style w:type="table" w:styleId="1054" w:customStyle="1">
    <w:name w:val="Lined - Accent"/>
    <w:basedOn w:val="915"/>
    <w:uiPriority w:val="99"/>
    <w:qFormat/>
    <w:rPr>
      <w:color w:val="404040"/>
    </w:rPr>
    <w:tblPr/>
  </w:style>
  <w:style w:type="table" w:styleId="1055" w:customStyle="1">
    <w:name w:val="Lined - Accent 1"/>
    <w:basedOn w:val="915"/>
    <w:uiPriority w:val="99"/>
    <w:qFormat/>
    <w:rPr>
      <w:color w:val="404040"/>
    </w:rPr>
    <w:tblPr/>
  </w:style>
  <w:style w:type="table" w:styleId="1056" w:customStyle="1">
    <w:name w:val="Lined - Accent 2"/>
    <w:basedOn w:val="915"/>
    <w:uiPriority w:val="99"/>
    <w:qFormat/>
    <w:rPr>
      <w:color w:val="404040"/>
    </w:rPr>
    <w:tblPr/>
  </w:style>
  <w:style w:type="table" w:styleId="1057" w:customStyle="1">
    <w:name w:val="Lined - Accent 3"/>
    <w:basedOn w:val="915"/>
    <w:uiPriority w:val="99"/>
    <w:qFormat/>
    <w:rPr>
      <w:color w:val="404040"/>
    </w:rPr>
    <w:tblPr/>
  </w:style>
  <w:style w:type="table" w:styleId="1058" w:customStyle="1">
    <w:name w:val="Lined - Accent 4"/>
    <w:basedOn w:val="915"/>
    <w:uiPriority w:val="99"/>
    <w:qFormat/>
    <w:rPr>
      <w:color w:val="404040"/>
    </w:rPr>
    <w:tblPr/>
  </w:style>
  <w:style w:type="table" w:styleId="1059" w:customStyle="1">
    <w:name w:val="Lined - Accent 5"/>
    <w:basedOn w:val="915"/>
    <w:uiPriority w:val="99"/>
    <w:qFormat/>
    <w:rPr>
      <w:color w:val="404040"/>
    </w:rPr>
    <w:tblPr/>
  </w:style>
  <w:style w:type="table" w:styleId="1060" w:customStyle="1">
    <w:name w:val="Lined - Accent 6"/>
    <w:basedOn w:val="915"/>
    <w:uiPriority w:val="99"/>
    <w:qFormat/>
    <w:rPr>
      <w:color w:val="404040"/>
    </w:rPr>
    <w:tblPr/>
  </w:style>
  <w:style w:type="table" w:styleId="1061" w:customStyle="1">
    <w:name w:val="Bordered &amp; Lined - Accent"/>
    <w:basedOn w:val="915"/>
    <w:uiPriority w:val="99"/>
    <w:qFormat/>
    <w:rPr>
      <w:color w:val="404040"/>
    </w:rPr>
    <w:tblPr/>
  </w:style>
  <w:style w:type="table" w:styleId="1062" w:customStyle="1">
    <w:name w:val="Bordered &amp; Lined - Accent 1"/>
    <w:basedOn w:val="915"/>
    <w:uiPriority w:val="99"/>
    <w:qFormat/>
    <w:rPr>
      <w:color w:val="404040"/>
    </w:rPr>
    <w:tblPr/>
  </w:style>
  <w:style w:type="table" w:styleId="1063" w:customStyle="1">
    <w:name w:val="Bordered &amp; Lined - Accent 2"/>
    <w:basedOn w:val="915"/>
    <w:uiPriority w:val="99"/>
    <w:qFormat/>
    <w:rPr>
      <w:color w:val="404040"/>
    </w:rPr>
    <w:tblPr/>
  </w:style>
  <w:style w:type="table" w:styleId="1064" w:customStyle="1">
    <w:name w:val="Bordered &amp; Lined - Accent 3"/>
    <w:basedOn w:val="915"/>
    <w:uiPriority w:val="99"/>
    <w:qFormat/>
    <w:rPr>
      <w:color w:val="404040"/>
    </w:rPr>
    <w:tblPr/>
  </w:style>
  <w:style w:type="table" w:styleId="1065" w:customStyle="1">
    <w:name w:val="Bordered &amp; Lined - Accent 4"/>
    <w:basedOn w:val="915"/>
    <w:uiPriority w:val="99"/>
    <w:qFormat/>
    <w:rPr>
      <w:color w:val="404040"/>
    </w:rPr>
    <w:tblPr/>
  </w:style>
  <w:style w:type="table" w:styleId="1066" w:customStyle="1">
    <w:name w:val="Bordered &amp; Lined - Accent 5"/>
    <w:basedOn w:val="915"/>
    <w:uiPriority w:val="99"/>
    <w:qFormat/>
    <w:rPr>
      <w:color w:val="404040"/>
    </w:rPr>
    <w:tblPr/>
  </w:style>
  <w:style w:type="table" w:styleId="1067" w:customStyle="1">
    <w:name w:val="Bordered &amp; Lined - Accent 6"/>
    <w:basedOn w:val="915"/>
    <w:uiPriority w:val="99"/>
    <w:qFormat/>
    <w:rPr>
      <w:color w:val="404040"/>
    </w:rPr>
    <w:tblPr/>
  </w:style>
  <w:style w:type="table" w:styleId="1068" w:customStyle="1">
    <w:name w:val="Bordered"/>
    <w:basedOn w:val="915"/>
    <w:uiPriority w:val="99"/>
    <w:qFormat/>
    <w:tblPr/>
  </w:style>
  <w:style w:type="table" w:styleId="1069" w:customStyle="1">
    <w:name w:val="Bordered - Accent 1"/>
    <w:basedOn w:val="915"/>
    <w:uiPriority w:val="99"/>
    <w:qFormat/>
    <w:tblPr/>
  </w:style>
  <w:style w:type="table" w:styleId="1070" w:customStyle="1">
    <w:name w:val="Bordered - Accent 2"/>
    <w:basedOn w:val="915"/>
    <w:uiPriority w:val="99"/>
    <w:qFormat/>
    <w:tblPr/>
  </w:style>
  <w:style w:type="table" w:styleId="1071" w:customStyle="1">
    <w:name w:val="Bordered - Accent 3"/>
    <w:basedOn w:val="915"/>
    <w:uiPriority w:val="99"/>
    <w:qFormat/>
    <w:tblPr/>
  </w:style>
  <w:style w:type="table" w:styleId="1072" w:customStyle="1">
    <w:name w:val="Bordered - Accent 4"/>
    <w:basedOn w:val="915"/>
    <w:uiPriority w:val="99"/>
    <w:qFormat/>
    <w:tblPr/>
  </w:style>
  <w:style w:type="table" w:styleId="1073" w:customStyle="1">
    <w:name w:val="Bordered - Accent 5"/>
    <w:basedOn w:val="915"/>
    <w:uiPriority w:val="99"/>
    <w:qFormat/>
    <w:tblPr/>
  </w:style>
  <w:style w:type="table" w:styleId="1074" w:customStyle="1">
    <w:name w:val="Bordered - Accent 6"/>
    <w:basedOn w:val="915"/>
    <w:uiPriority w:val="99"/>
    <w:qFormat/>
    <w:tblPr/>
  </w:style>
  <w:style w:type="character" w:styleId="1075" w:customStyle="1">
    <w:name w:val="脚注文本 字符"/>
    <w:link w:val="904"/>
    <w:uiPriority w:val="99"/>
    <w:qFormat/>
    <w:rPr>
      <w:sz w:val="18"/>
    </w:rPr>
  </w:style>
  <w:style w:type="character" w:styleId="1076" w:customStyle="1">
    <w:name w:val="尾注文本 字符"/>
    <w:link w:val="897"/>
    <w:uiPriority w:val="99"/>
    <w:qFormat/>
    <w:rPr>
      <w:sz w:val="20"/>
    </w:rPr>
  </w:style>
  <w:style w:type="paragraph" w:styleId="1077" w:customStyle="1">
    <w:name w:val="TOC 标题1"/>
    <w:uiPriority w:val="39"/>
    <w:unhideWhenUsed/>
    <w:qFormat/>
    <w:rPr>
      <w:rFonts w:ascii="Calibri" w:hAnsi="Calibri" w:eastAsia="宋体" w:cs="Times New Roman"/>
      <w:lang w:val="en-US" w:eastAsia="zh-CN" w:bidi="ar-SA"/>
    </w:rPr>
  </w:style>
  <w:style w:type="character" w:styleId="1078" w:customStyle="1">
    <w:name w:val="标题 4 字符"/>
    <w:link w:val="873"/>
    <w:uiPriority w:val="0"/>
    <w:semiHidden/>
    <w:qFormat/>
    <w:rPr>
      <w:rFonts w:ascii="等线 Light" w:hAnsi="等线 Light" w:eastAsia="等线 Light" w:cs="Times New Roman"/>
      <w:b/>
      <w:bCs/>
      <w:sz w:val="28"/>
      <w:szCs w:val="28"/>
    </w:rPr>
  </w:style>
  <w:style w:type="character" w:styleId="1079" w:customStyle="1">
    <w:name w:val="标题 6 字符"/>
    <w:link w:val="875"/>
    <w:uiPriority w:val="0"/>
    <w:qFormat/>
    <w:rPr>
      <w:rFonts w:ascii="等线 Light" w:hAnsi="等线 Light" w:eastAsia="等线 Light" w:cs="Times New Roman"/>
      <w:b/>
      <w:bCs/>
      <w:sz w:val="24"/>
      <w:szCs w:val="24"/>
    </w:rPr>
  </w:style>
  <w:style w:type="character" w:styleId="1080" w:customStyle="1">
    <w:name w:val="标题 8 字符"/>
    <w:link w:val="877"/>
    <w:uiPriority w:val="0"/>
    <w:semiHidden/>
    <w:qFormat/>
    <w:rPr>
      <w:rFonts w:ascii="等线 Light" w:hAnsi="等线 Light" w:eastAsia="等线 Light" w:cs="Times New Roman"/>
      <w:sz w:val="24"/>
      <w:szCs w:val="24"/>
    </w:rPr>
  </w:style>
  <w:style w:type="paragraph" w:styleId="1081" w:customStyle="1">
    <w:name w:val="目录 71"/>
    <w:basedOn w:val="869"/>
    <w:next w:val="869"/>
    <w:uiPriority w:val="39"/>
    <w:unhideWhenUsed/>
    <w:qFormat/>
    <w:pPr>
      <w:ind w:left="2520"/>
    </w:pPr>
    <w:rPr>
      <w:rFonts w:ascii="等线" w:hAnsi="等线" w:eastAsia="等线"/>
      <w:szCs w:val="22"/>
    </w:rPr>
  </w:style>
  <w:style w:type="character" w:styleId="1082" w:customStyle="1">
    <w:name w:val="正文缩进 字符"/>
    <w:link w:val="883"/>
    <w:uiPriority w:val="0"/>
    <w:qFormat/>
    <w:rPr>
      <w:sz w:val="21"/>
    </w:rPr>
  </w:style>
  <w:style w:type="character" w:styleId="1083" w:customStyle="1">
    <w:name w:val="文档结构图 字符"/>
    <w:link w:val="885"/>
    <w:uiPriority w:val="0"/>
    <w:qFormat/>
    <w:rPr>
      <w:sz w:val="21"/>
      <w:szCs w:val="24"/>
      <w:shd w:val="clear" w:color="auto" w:fill="000080"/>
    </w:rPr>
  </w:style>
  <w:style w:type="character" w:styleId="1084" w:customStyle="1">
    <w:name w:val="批注文字 字符"/>
    <w:link w:val="927"/>
    <w:uiPriority w:val="0"/>
    <w:qFormat/>
    <w:rPr>
      <w:sz w:val="21"/>
      <w:szCs w:val="24"/>
    </w:rPr>
  </w:style>
  <w:style w:type="character" w:styleId="1085" w:customStyle="1">
    <w:name w:val="正文文本 字符"/>
    <w:link w:val="887"/>
    <w:uiPriority w:val="1"/>
    <w:qFormat/>
    <w:rPr>
      <w:sz w:val="21"/>
      <w:szCs w:val="24"/>
    </w:rPr>
  </w:style>
  <w:style w:type="paragraph" w:styleId="1086" w:customStyle="1">
    <w:name w:val="目录 51"/>
    <w:basedOn w:val="869"/>
    <w:next w:val="869"/>
    <w:uiPriority w:val="39"/>
    <w:unhideWhenUsed/>
    <w:qFormat/>
    <w:pPr>
      <w:ind w:left="1680"/>
    </w:pPr>
    <w:rPr>
      <w:rFonts w:ascii="等线" w:hAnsi="等线" w:eastAsia="等线"/>
      <w:szCs w:val="22"/>
    </w:rPr>
  </w:style>
  <w:style w:type="paragraph" w:styleId="1087" w:customStyle="1">
    <w:name w:val="目录 31"/>
    <w:basedOn w:val="869"/>
    <w:next w:val="869"/>
    <w:uiPriority w:val="39"/>
    <w:unhideWhenUsed/>
    <w:qFormat/>
    <w:pPr>
      <w:ind w:left="440"/>
      <w:jc w:val="left"/>
      <w:spacing w:after="100" w:line="259" w:lineRule="auto"/>
      <w:widowControl/>
    </w:pPr>
    <w:rPr>
      <w:rFonts w:ascii="等线" w:hAnsi="等线" w:eastAsia="等线"/>
      <w:sz w:val="22"/>
      <w:szCs w:val="22"/>
    </w:rPr>
  </w:style>
  <w:style w:type="character" w:styleId="1088" w:customStyle="1">
    <w:name w:val="纯文本 字符"/>
    <w:link w:val="1089"/>
    <w:uiPriority w:val="0"/>
    <w:qFormat/>
    <w:rPr>
      <w:rFonts w:ascii="宋体" w:hAnsi="Courier New"/>
      <w:sz w:val="20"/>
      <w:szCs w:val="21"/>
    </w:rPr>
  </w:style>
  <w:style w:type="paragraph" w:styleId="1089" w:customStyle="1">
    <w:name w:val="纯文本1"/>
    <w:basedOn w:val="869"/>
    <w:link w:val="1088"/>
    <w:uiPriority w:val="0"/>
    <w:qFormat/>
    <w:rPr>
      <w:rFonts w:ascii="宋体" w:hAnsi="Courier New"/>
      <w:sz w:val="20"/>
      <w:szCs w:val="21"/>
    </w:rPr>
  </w:style>
  <w:style w:type="paragraph" w:styleId="1090" w:customStyle="1">
    <w:name w:val="目录 81"/>
    <w:basedOn w:val="869"/>
    <w:next w:val="869"/>
    <w:uiPriority w:val="39"/>
    <w:unhideWhenUsed/>
    <w:qFormat/>
    <w:pPr>
      <w:ind w:left="2940"/>
    </w:pPr>
    <w:rPr>
      <w:rFonts w:ascii="等线" w:hAnsi="等线" w:eastAsia="等线"/>
      <w:szCs w:val="22"/>
    </w:rPr>
  </w:style>
  <w:style w:type="character" w:styleId="1091" w:customStyle="1">
    <w:name w:val="日期 字符"/>
    <w:link w:val="896"/>
    <w:uiPriority w:val="0"/>
    <w:qFormat/>
    <w:rPr>
      <w:sz w:val="24"/>
    </w:rPr>
  </w:style>
  <w:style w:type="character" w:styleId="1092" w:customStyle="1">
    <w:name w:val="批注框文本 字符"/>
    <w:link w:val="898"/>
    <w:uiPriority w:val="0"/>
    <w:qFormat/>
    <w:rPr>
      <w:sz w:val="18"/>
      <w:szCs w:val="18"/>
    </w:rPr>
  </w:style>
  <w:style w:type="character" w:styleId="1093" w:customStyle="1">
    <w:name w:val="页脚 字符"/>
    <w:link w:val="899"/>
    <w:uiPriority w:val="99"/>
    <w:qFormat/>
    <w:rPr>
      <w:sz w:val="18"/>
      <w:szCs w:val="18"/>
    </w:rPr>
  </w:style>
  <w:style w:type="character" w:styleId="1094" w:customStyle="1">
    <w:name w:val="页眉 字符"/>
    <w:link w:val="900"/>
    <w:uiPriority w:val="99"/>
    <w:qFormat/>
    <w:rPr>
      <w:sz w:val="18"/>
      <w:szCs w:val="18"/>
    </w:rPr>
  </w:style>
  <w:style w:type="paragraph" w:styleId="1095" w:customStyle="1">
    <w:name w:val="目录 11"/>
    <w:basedOn w:val="869"/>
    <w:next w:val="869"/>
    <w:uiPriority w:val="39"/>
    <w:qFormat/>
    <w:rPr>
      <w:rFonts w:ascii="仿宋_GB2312" w:eastAsia="仿宋_GB2312"/>
      <w:sz w:val="24"/>
    </w:rPr>
  </w:style>
  <w:style w:type="paragraph" w:styleId="1096" w:customStyle="1">
    <w:name w:val="目录 41"/>
    <w:basedOn w:val="869"/>
    <w:next w:val="869"/>
    <w:uiPriority w:val="39"/>
    <w:unhideWhenUsed/>
    <w:qFormat/>
    <w:pPr>
      <w:ind w:left="1260"/>
    </w:pPr>
    <w:rPr>
      <w:rFonts w:ascii="等线" w:hAnsi="等线" w:eastAsia="等线"/>
      <w:szCs w:val="22"/>
    </w:rPr>
  </w:style>
  <w:style w:type="paragraph" w:styleId="1097" w:customStyle="1">
    <w:name w:val="目录 61"/>
    <w:basedOn w:val="869"/>
    <w:next w:val="869"/>
    <w:uiPriority w:val="39"/>
    <w:unhideWhenUsed/>
    <w:qFormat/>
    <w:pPr>
      <w:ind w:left="2100"/>
    </w:pPr>
    <w:rPr>
      <w:rFonts w:ascii="等线" w:hAnsi="等线" w:eastAsia="等线"/>
      <w:szCs w:val="22"/>
    </w:rPr>
  </w:style>
  <w:style w:type="paragraph" w:styleId="1098" w:customStyle="1">
    <w:name w:val="目录 21"/>
    <w:basedOn w:val="869"/>
    <w:next w:val="869"/>
    <w:uiPriority w:val="39"/>
    <w:unhideWhenUsed/>
    <w:qFormat/>
    <w:pPr>
      <w:ind w:left="220"/>
      <w:jc w:val="left"/>
      <w:spacing w:after="100" w:line="259" w:lineRule="auto"/>
      <w:widowControl/>
    </w:pPr>
    <w:rPr>
      <w:rFonts w:ascii="等线" w:hAnsi="等线" w:eastAsia="等线"/>
      <w:sz w:val="22"/>
      <w:szCs w:val="22"/>
    </w:rPr>
  </w:style>
  <w:style w:type="paragraph" w:styleId="1099" w:customStyle="1">
    <w:name w:val="目录 91"/>
    <w:basedOn w:val="869"/>
    <w:next w:val="869"/>
    <w:uiPriority w:val="39"/>
    <w:unhideWhenUsed/>
    <w:qFormat/>
    <w:pPr>
      <w:ind w:left="3360"/>
    </w:pPr>
    <w:rPr>
      <w:rFonts w:ascii="等线" w:hAnsi="等线" w:eastAsia="等线"/>
      <w:szCs w:val="22"/>
    </w:rPr>
  </w:style>
  <w:style w:type="character" w:styleId="1100" w:customStyle="1">
    <w:name w:val="正文文本 2 字符"/>
    <w:link w:val="909"/>
    <w:uiPriority w:val="0"/>
    <w:qFormat/>
    <w:rPr>
      <w:rFonts w:ascii="Calibri" w:hAnsi="Calibri"/>
      <w:sz w:val="21"/>
      <w:szCs w:val="24"/>
    </w:rPr>
  </w:style>
  <w:style w:type="character" w:styleId="1101" w:customStyle="1">
    <w:name w:val="标题 字符"/>
    <w:link w:val="911"/>
    <w:uiPriority w:val="0"/>
    <w:qFormat/>
    <w:rPr>
      <w:rFonts w:ascii="等线 Light" w:hAnsi="等线 Light" w:cs="Times New Roman"/>
      <w:b/>
      <w:bCs/>
      <w:sz w:val="32"/>
      <w:szCs w:val="32"/>
    </w:rPr>
  </w:style>
  <w:style w:type="character" w:styleId="1102" w:customStyle="1">
    <w:name w:val="批注主题 字符"/>
    <w:link w:val="928"/>
    <w:uiPriority w:val="0"/>
    <w:qFormat/>
    <w:rPr>
      <w:b/>
      <w:bCs/>
      <w:sz w:val="21"/>
      <w:szCs w:val="24"/>
    </w:rPr>
  </w:style>
  <w:style w:type="character" w:styleId="1103" w:customStyle="1">
    <w:name w:val="p0 Char"/>
    <w:link w:val="1104"/>
    <w:uiPriority w:val="0"/>
    <w:qFormat/>
    <w:rPr>
      <w:rFonts w:eastAsia="宋体"/>
      <w:sz w:val="21"/>
      <w:szCs w:val="21"/>
      <w:lang w:val="en-US" w:eastAsia="zh-CN" w:bidi="ar-SA"/>
    </w:rPr>
  </w:style>
  <w:style w:type="paragraph" w:styleId="1104" w:customStyle="1">
    <w:name w:val="p0"/>
    <w:basedOn w:val="869"/>
    <w:link w:val="1103"/>
    <w:uiPriority w:val="0"/>
    <w:qFormat/>
    <w:pPr>
      <w:widowControl/>
    </w:pPr>
    <w:rPr>
      <w:szCs w:val="21"/>
    </w:rPr>
  </w:style>
  <w:style w:type="character" w:styleId="1105" w:customStyle="1">
    <w:name w:val="标题 2 Char Char Char"/>
    <w:uiPriority w:val="0"/>
    <w:qFormat/>
    <w:rPr>
      <w:rFonts w:ascii="Arial" w:hAnsi="Arial" w:eastAsia="黑体"/>
      <w:b/>
      <w:bCs/>
      <w:sz w:val="32"/>
      <w:szCs w:val="32"/>
      <w:lang w:val="en-US" w:eastAsia="zh-CN" w:bidi="ar-SA"/>
    </w:rPr>
  </w:style>
  <w:style w:type="character" w:styleId="1106" w:customStyle="1">
    <w:name w:val="NormalCharacter1"/>
    <w:uiPriority w:val="0"/>
    <w:semiHidden/>
    <w:qFormat/>
  </w:style>
  <w:style w:type="paragraph" w:styleId="1107" w:customStyle="1">
    <w:name w:val="Heading 2_0"/>
    <w:basedOn w:val="869"/>
    <w:next w:val="869"/>
    <w:uiPriority w:val="0"/>
    <w:qFormat/>
    <w:pPr>
      <w:jc w:val="center"/>
      <w:keepNext/>
      <w:widowControl/>
    </w:pPr>
    <w:rPr>
      <w:rFonts w:ascii="楷体_GB2312" w:eastAsia="楷体_GB2312"/>
      <w:sz w:val="18"/>
      <w:szCs w:val="20"/>
    </w:rPr>
  </w:style>
  <w:style w:type="paragraph" w:styleId="1108" w:customStyle="1">
    <w:name w:val="TOC 标题11"/>
    <w:basedOn w:val="870"/>
    <w:next w:val="86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0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10" w:customStyle="1">
    <w:name w:val="样式1"/>
    <w:basedOn w:val="870"/>
    <w:link w:val="1111"/>
    <w:uiPriority w:val="0"/>
    <w:qFormat/>
    <w:pPr>
      <w:ind w:left="210" w:right="210"/>
    </w:pPr>
  </w:style>
  <w:style w:type="character" w:styleId="1111" w:customStyle="1">
    <w:name w:val="样式1 字符"/>
    <w:link w:val="1110"/>
    <w:uiPriority w:val="0"/>
    <w:qFormat/>
  </w:style>
  <w:style w:type="paragraph" w:styleId="1112" w:customStyle="1">
    <w:name w:val="标题 21"/>
    <w:basedOn w:val="86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13" w:customStyle="1">
    <w:name w:val="Table Paragraph"/>
    <w:basedOn w:val="869"/>
    <w:uiPriority w:val="1"/>
    <w:qFormat/>
    <w:pPr>
      <w:jc w:val="left"/>
    </w:pPr>
    <w:rPr>
      <w:rFonts w:ascii="宋体" w:hAnsi="宋体" w:cs="宋体"/>
      <w:sz w:val="22"/>
      <w:szCs w:val="22"/>
      <w:lang w:val="zh-CN" w:bidi="zh-CN"/>
    </w:rPr>
  </w:style>
  <w:style w:type="character" w:styleId="1114" w:customStyle="1">
    <w:name w:val="ask-title2"/>
    <w:uiPriority w:val="0"/>
    <w:qFormat/>
  </w:style>
  <w:style w:type="paragraph" w:styleId="1115" w:customStyle="1">
    <w:name w:val="列出段落2"/>
    <w:basedOn w:val="869"/>
    <w:uiPriority w:val="99"/>
    <w:unhideWhenUsed/>
    <w:qFormat/>
    <w:pPr>
      <w:ind w:firstLine="420"/>
      <w:jc w:val="left"/>
    </w:pPr>
    <w:rPr>
      <w:rFonts w:ascii="宋体"/>
      <w:sz w:val="20"/>
      <w:szCs w:val="20"/>
    </w:rPr>
  </w:style>
  <w:style w:type="character" w:styleId="1116" w:customStyle="1">
    <w:name w:val="纯文本 Char2"/>
    <w:uiPriority w:val="0"/>
    <w:qFormat/>
    <w:rPr>
      <w:rFonts w:ascii="宋体" w:hAnsi="Courier New"/>
      <w:sz w:val="21"/>
    </w:rPr>
  </w:style>
  <w:style w:type="paragraph" w:styleId="1117" w:customStyle="1">
    <w:name w:val="列出段落11"/>
    <w:basedOn w:val="869"/>
    <w:uiPriority w:val="0"/>
    <w:qFormat/>
    <w:pPr>
      <w:ind w:firstLine="420"/>
      <w:spacing w:line="0" w:lineRule="atLeast"/>
    </w:pPr>
    <w:rPr>
      <w:rFonts w:eastAsia="微软雅黑"/>
      <w:sz w:val="20"/>
      <w:szCs w:val="20"/>
    </w:rPr>
  </w:style>
  <w:style w:type="character" w:styleId="1118" w:customStyle="1">
    <w:name w:val="纯文本 Char"/>
    <w:link w:val="1119"/>
    <w:uiPriority w:val="0"/>
    <w:qFormat/>
    <w:rPr>
      <w:rFonts w:ascii="宋体" w:hAnsi="Courier New"/>
    </w:rPr>
  </w:style>
  <w:style w:type="paragraph" w:styleId="1119" w:customStyle="1">
    <w:name w:val="纯文本2"/>
    <w:basedOn w:val="869"/>
    <w:link w:val="1118"/>
    <w:uiPriority w:val="0"/>
    <w:qFormat/>
    <w:pPr>
      <w:ind w:firstLine="200"/>
      <w:spacing w:line="360" w:lineRule="auto"/>
    </w:pPr>
    <w:rPr>
      <w:rFonts w:ascii="宋体" w:hAnsi="Courier New"/>
      <w:sz w:val="20"/>
      <w:szCs w:val="20"/>
    </w:rPr>
  </w:style>
  <w:style w:type="character" w:styleId="1120" w:customStyle="1">
    <w:name w:val="页脚 Char"/>
    <w:uiPriority w:val="0"/>
    <w:qFormat/>
    <w:rPr>
      <w:sz w:val="18"/>
      <w:szCs w:val="18"/>
    </w:rPr>
  </w:style>
  <w:style w:type="paragraph" w:styleId="1121" w:customStyle="1">
    <w:name w:val="_Style 83"/>
    <w:basedOn w:val="869"/>
    <w:next w:val="931"/>
    <w:uiPriority w:val="99"/>
    <w:qFormat/>
    <w:pPr>
      <w:ind w:firstLine="420"/>
    </w:pPr>
  </w:style>
  <w:style w:type="character" w:styleId="1122">
    <w:name w:val="Placeholder Text"/>
    <w:basedOn w:val="879"/>
    <w:uiPriority w:val="99"/>
    <w:unhideWhenUsed/>
    <w:qFormat/>
    <w:rPr>
      <w:color w:val="808080"/>
    </w:rPr>
  </w:style>
  <w:style w:type="paragraph" w:styleId="1123" w:customStyle="1">
    <w:name w:val="pf0"/>
    <w:basedOn w:val="869"/>
    <w:uiPriority w:val="0"/>
    <w:qFormat/>
    <w:pPr>
      <w:jc w:val="left"/>
      <w:spacing w:before="100" w:beforeAutospacing="1" w:after="100" w:afterAutospacing="1"/>
      <w:widowControl/>
    </w:pPr>
    <w:rPr>
      <w:rFonts w:ascii="宋体" w:hAnsi="宋体" w:cs="宋体"/>
      <w:sz w:val="24"/>
    </w:rPr>
  </w:style>
  <w:style w:type="character" w:styleId="1124" w:customStyle="1">
    <w:name w:val="cf01"/>
    <w:basedOn w:val="879"/>
    <w:uiPriority w:val="0"/>
    <w:qFormat/>
    <w:rPr>
      <w:rFonts w:hint="eastAsia" w:ascii="Microsoft YaHei UI" w:hAnsi="Microsoft YaHei UI" w:eastAsia="Microsoft YaHei UI"/>
      <w:sz w:val="18"/>
      <w:szCs w:val="18"/>
    </w:rPr>
  </w:style>
  <w:style w:type="character" w:styleId="1125" w:customStyle="1">
    <w:name w:val="cf11"/>
    <w:basedOn w:val="879"/>
    <w:uiPriority w:val="0"/>
    <w:qFormat/>
    <w:rPr>
      <w:rFonts w:hint="eastAsia" w:ascii="Microsoft YaHei UI" w:hAnsi="Microsoft YaHei UI" w:eastAsia="Microsoft YaHei UI"/>
      <w:sz w:val="18"/>
      <w:szCs w:val="18"/>
    </w:rPr>
  </w:style>
  <w:style w:type="paragraph" w:styleId="1126">
    <w:name w:val="List Paragraph"/>
    <w:basedOn w:val="869"/>
    <w:uiPriority w:val="1"/>
    <w:qFormat/>
    <w:pPr>
      <w:ind w:firstLine="420"/>
    </w:pPr>
  </w:style>
  <w:style w:type="paragraph" w:styleId="1127" w:customStyle="1">
    <w:name w:val="标题1，章节第一层"/>
    <w:basedOn w:val="869"/>
    <w:next w:val="869"/>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28" w:customStyle="1">
    <w:name w:val="标准文本"/>
    <w:basedOn w:val="869"/>
    <w:uiPriority w:val="0"/>
    <w:qFormat/>
    <w:pPr>
      <w:ind w:firstLine="480"/>
      <w:spacing w:line="360" w:lineRule="auto"/>
    </w:pPr>
    <w:rPr>
      <w:rFonts w:ascii="Calibri" w:hAnsi="Calibri" w:eastAsia="Calibri" w:cs="宋体"/>
      <w:sz w:val="24"/>
      <w:lang w:val="zh-CN"/>
    </w:rPr>
  </w:style>
  <w:style w:type="character" w:styleId="1129" w:customStyle="1">
    <w:name w:val="标准文本 Char Char"/>
    <w:uiPriority w:val="0"/>
    <w:qFormat/>
    <w:rPr>
      <w:rFonts w:eastAsia="宋体" w:cs="宋体"/>
      <w:sz w:val="24"/>
      <w:szCs w:val="24"/>
      <w:lang w:val="en-US" w:eastAsia="zh-CN" w:bidi="ar-SA"/>
    </w:rPr>
  </w:style>
  <w:style w:type="character" w:styleId="1130" w:customStyle="1">
    <w:name w:val="标准小四 Char Char"/>
    <w:uiPriority w:val="0"/>
    <w:qFormat/>
    <w:rPr>
      <w:rFonts w:ascii="Arial" w:hAnsi="Arial" w:eastAsia="宋体"/>
      <w:sz w:val="24"/>
      <w:szCs w:val="21"/>
      <w:lang w:val="en-US" w:eastAsia="zh-CN" w:bidi="ar-SA"/>
    </w:rPr>
  </w:style>
  <w:style w:type="character" w:styleId="1131" w:customStyle="1">
    <w:name w:val="标准文本 Char"/>
    <w:uiPriority w:val="0"/>
    <w:qFormat/>
    <w:rPr>
      <w:rFonts w:eastAsia="宋体" w:cs="宋体"/>
      <w:sz w:val="24"/>
      <w:szCs w:val="24"/>
      <w:lang w:val="en-US" w:eastAsia="zh-CN" w:bidi="ar-SA"/>
    </w:rPr>
  </w:style>
  <w:style w:type="character" w:styleId="1132" w:customStyle="1">
    <w:name w:val="未处理的提及1"/>
    <w:basedOn w:val="879"/>
    <w:uiPriority w:val="99"/>
    <w:semiHidden/>
    <w:unhideWhenUsed/>
    <w:qFormat/>
    <w:rPr>
      <w:color w:val="605e5c"/>
      <w:shd w:val="clear" w:color="auto" w:fill="e1dfdd"/>
    </w:rPr>
  </w:style>
  <w:style w:type="paragraph" w:styleId="1133" w:customStyle="1">
    <w:name w:val="Normal_0_3"/>
    <w:uiPriority w:val="0"/>
    <w:qFormat/>
    <w:rPr>
      <w:rFonts w:ascii="Times New Roman" w:hAnsi="Times New Roman" w:eastAsia="Times New Roman" w:cs="Times New Roman"/>
      <w:sz w:val="24"/>
      <w:szCs w:val="24"/>
      <w:lang w:val="en-US" w:eastAsia="zh-CN" w:bidi="ar-SA"/>
    </w:rPr>
  </w:style>
  <w:style w:type="character" w:styleId="1134" w:customStyle="1">
    <w:name w:val="默认段落字体13"/>
    <w:uiPriority w:val="1"/>
    <w:unhideWhenUsed/>
    <w:qFormat/>
    <w:rPr>
      <w:rFonts w:ascii="Times New Roman" w:hAnsi="Times New Roman" w:eastAsia="宋体" w:cs="Times New Roman"/>
      <w:sz w:val="21"/>
      <w:szCs w:val="24"/>
      <w:lang w:val="en-US" w:eastAsia="zh-CN" w:bidi="ar-SA"/>
    </w:rPr>
  </w:style>
  <w:style w:type="paragraph" w:styleId="1135" w:customStyle="1">
    <w:name w:val="正文文本11"/>
    <w:basedOn w:val="869"/>
    <w:uiPriority w:val="99"/>
    <w:qFormat/>
    <w:rPr>
      <w:rFonts w:ascii="楷体_GB2312" w:hAnsi="宋体" w:eastAsia="楷体_GB2312"/>
      <w:sz w:val="28"/>
      <w:szCs w:val="28"/>
    </w:rPr>
  </w:style>
  <w:style w:type="paragraph" w:styleId="1136" w:customStyle="1">
    <w:name w:val="正文文本1"/>
    <w:basedOn w:val="1137"/>
    <w:next w:val="869"/>
    <w:uiPriority w:val="0"/>
    <w:qFormat/>
    <w:pPr>
      <w:spacing w:after="120"/>
    </w:pPr>
    <w:rPr>
      <w:sz w:val="28"/>
    </w:rPr>
  </w:style>
  <w:style w:type="paragraph" w:styleId="1137" w:customStyle="1">
    <w:name w:val="正文1"/>
    <w:next w:val="1136"/>
    <w:uiPriority w:val="0"/>
    <w:qFormat/>
    <w:pPr>
      <w:jc w:val="both"/>
      <w:widowControl w:val="off"/>
    </w:pPr>
    <w:rPr>
      <w:rFonts w:ascii="Calibri" w:hAnsi="Calibri" w:eastAsia="宋体" w:cs="Times New Roman"/>
      <w:sz w:val="21"/>
      <w:szCs w:val="22"/>
      <w:lang w:val="en-US" w:eastAsia="zh-CN" w:bidi="ar-SA"/>
    </w:rPr>
  </w:style>
  <w:style w:type="paragraph" w:styleId="1138" w:customStyle="1">
    <w:name w:val="Normal_12"/>
    <w:next w:val="1139"/>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首行缩进_0"/>
    <w:basedOn w:val="1140"/>
    <w:uiPriority w:val="0"/>
    <w:qFormat/>
    <w:pPr>
      <w:ind w:firstLine="480"/>
      <w:jc w:val="left"/>
      <w:spacing w:line="360" w:lineRule="auto"/>
    </w:pPr>
    <w:rPr>
      <w:rFonts w:ascii="宋体" w:hAnsi="宋体"/>
      <w:sz w:val="24"/>
    </w:rPr>
  </w:style>
  <w:style w:type="paragraph" w:styleId="1140" w:customStyle="1">
    <w:name w:val="Normal_0"/>
    <w:next w:val="1139"/>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Body Text Indent_0"/>
    <w:basedOn w:val="1140"/>
    <w:uiPriority w:val="99"/>
    <w:unhideWhenUsed/>
    <w:qFormat/>
    <w:pPr>
      <w:ind w:left="420"/>
      <w:spacing w:after="120"/>
    </w:pPr>
  </w:style>
  <w:style w:type="paragraph" w:styleId="1142" w:customStyle="1">
    <w:name w:val="Normal_1_1"/>
    <w:uiPriority w:val="0"/>
    <w:qFormat/>
    <w:rPr>
      <w:rFonts w:ascii="Times New Roman" w:hAnsi="Times New Roman" w:eastAsia="Times New Roman" w:cs="Times New Roman"/>
      <w:sz w:val="24"/>
      <w:szCs w:val="24"/>
      <w:lang w:val="en-US" w:eastAsia="zh-CN" w:bidi="ar-SA"/>
    </w:rPr>
  </w:style>
  <w:style w:type="paragraph" w:styleId="1143" w:customStyle="1">
    <w:name w:val="标2"/>
    <w:basedOn w:val="869"/>
    <w:uiPriority w:val="0"/>
    <w:qFormat/>
    <w:pPr>
      <w:numPr>
        <w:ilvl w:val="1"/>
        <w:numId w:val="1"/>
      </w:numPr>
      <w:spacing w:before="156" w:after="156" w:line="240" w:lineRule="atLeast"/>
      <w:tabs>
        <w:tab w:val="left" w:pos="1440" w:leader="none"/>
      </w:tabs>
      <w:outlineLvl w:val="1"/>
    </w:pPr>
    <w:rPr>
      <w:rFonts w:ascii="宋体" w:hAnsi="宋体"/>
      <w:b/>
      <w:sz w:val="24"/>
    </w:rPr>
  </w:style>
  <w:style w:type="paragraph" w:styleId="1144" w:customStyle="1">
    <w:name w:val="标3"/>
    <w:basedOn w:val="869"/>
    <w:uiPriority w:val="0"/>
    <w:qFormat/>
    <w:pPr>
      <w:numPr>
        <w:ilvl w:val="2"/>
        <w:numId w:val="1"/>
      </w:numPr>
      <w:spacing w:before="156" w:line="240" w:lineRule="atLeast"/>
      <w:outlineLvl w:val="2"/>
    </w:pPr>
    <w:rPr>
      <w:rFonts w:ascii="Arial Narrow" w:hAnsi="Arial Narrow" w:eastAsia="仿宋_GB2312" w:cs="宋体"/>
      <w:sz w:val="24"/>
    </w:rPr>
  </w:style>
  <w:style w:type="paragraph" w:styleId="1145" w:customStyle="1">
    <w:name w:val="表格文字"/>
    <w:basedOn w:val="869"/>
    <w:uiPriority w:val="0"/>
    <w:qFormat/>
    <w:pPr>
      <w:jc w:val="left"/>
      <w:spacing w:line="420" w:lineRule="atLeast"/>
    </w:pPr>
    <w:rPr>
      <w:szCs w:val="20"/>
    </w:rPr>
  </w:style>
  <w:style w:type="paragraph" w:styleId="1146" w:customStyle="1">
    <w:name w:val="Normal_13"/>
    <w:next w:val="1139"/>
    <w:uiPriority w:val="0"/>
    <w:qFormat/>
    <w:rPr>
      <w:rFonts w:ascii="Times New Roman" w:hAnsi="Times New Roman" w:eastAsia="Times New Roman" w:cs="Times New Roman"/>
      <w:sz w:val="24"/>
      <w:szCs w:val="24"/>
      <w:lang w:val="en-US" w:eastAsia="zh-CN" w:bidi="ar-SA"/>
    </w:rPr>
  </w:style>
  <w:style w:type="paragraph" w:styleId="1147" w:customStyle="1">
    <w:name w:val="Normal_0_4"/>
    <w:uiPriority w:val="0"/>
    <w:qFormat/>
    <w:rPr>
      <w:rFonts w:ascii="Times New Roman" w:hAnsi="Times New Roman" w:eastAsia="Times New Roman" w:cs="Times New Roman"/>
      <w:sz w:val="24"/>
      <w:szCs w:val="24"/>
      <w:lang w:val="en-US" w:eastAsia="zh-CN" w:bidi="ar-SA"/>
    </w:rPr>
  </w:style>
  <w:style w:type="paragraph" w:styleId="1148" w:customStyle="1">
    <w:name w:val="Normal_0_0_0"/>
    <w:uiPriority w:val="0"/>
    <w:qFormat/>
    <w:rPr>
      <w:rFonts w:ascii="Times New Roman" w:hAnsi="Times New Roman" w:eastAsia="Times New Roman" w:cs="Times New Roman"/>
      <w:sz w:val="24"/>
      <w:szCs w:val="24"/>
      <w:lang w:val="en-US" w:eastAsia="zh-CN" w:bidi="ar-SA"/>
    </w:rPr>
  </w:style>
  <w:style w:type="paragraph" w:styleId="1149" w:customStyle="1">
    <w:name w:val="正文文本缩进1"/>
    <w:next w:val="1150"/>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150"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151" w:customStyle="1">
    <w:name w:val="Normal_17"/>
    <w:uiPriority w:val="0"/>
    <w:qFormat/>
    <w:rPr>
      <w:rFonts w:ascii="Times New Roman" w:hAnsi="Times New Roman" w:eastAsia="Times New Roman" w:cs="Times New Roman"/>
      <w:sz w:val="24"/>
      <w:szCs w:val="24"/>
      <w:lang w:val="en-US" w:eastAsia="zh-CN" w:bidi="ar-SA"/>
    </w:rPr>
  </w:style>
  <w:style w:type="paragraph" w:styleId="1152" w:customStyle="1">
    <w:name w:val="Normal_18"/>
    <w:uiPriority w:val="0"/>
    <w:qFormat/>
    <w:rPr>
      <w:rFonts w:ascii="Times New Roman" w:hAnsi="Times New Roman" w:eastAsia="Times New Roman" w:cs="Times New Roman"/>
      <w:sz w:val="24"/>
      <w:szCs w:val="24"/>
      <w:lang w:val="en-US" w:eastAsia="zh-CN" w:bidi="ar-SA"/>
    </w:rPr>
  </w:style>
  <w:style w:type="character" w:styleId="1153" w:customStyle="1">
    <w:name w:val="默认段落字体11"/>
    <w:uiPriority w:val="1"/>
    <w:unhideWhenUsed/>
    <w:qFormat/>
  </w:style>
  <w:style w:type="paragraph" w:styleId="1154" w:customStyle="1">
    <w:name w:val="Normal_0_1"/>
    <w:uiPriority w:val="0"/>
    <w:qFormat/>
    <w:rPr>
      <w:rFonts w:ascii="Times New Roman" w:hAnsi="Times New Roman" w:eastAsia="Times New Roman" w:cs="Times New Roman"/>
      <w:sz w:val="24"/>
      <w:szCs w:val="24"/>
      <w:lang w:val="en-US" w:eastAsia="zh-CN" w:bidi="ar-SA"/>
    </w:rPr>
  </w:style>
  <w:style w:type="paragraph" w:styleId="1155" w:customStyle="1">
    <w:name w:val="Normal_0_0_0_0"/>
    <w:basedOn w:val="869"/>
    <w:uiPriority w:val="0"/>
    <w:qFormat/>
    <w:pPr>
      <w:jc w:val="left"/>
      <w:widowControl/>
    </w:pPr>
    <w:rPr>
      <w:rFonts w:eastAsia="Times New Roman"/>
      <w:sz w:val="24"/>
    </w:rPr>
  </w:style>
  <w:style w:type="paragraph" w:styleId="1156" w:customStyle="1">
    <w:name w:val="Normal_0_1_0"/>
    <w:basedOn w:val="869"/>
    <w:uiPriority w:val="0"/>
    <w:qFormat/>
    <w:pPr>
      <w:jc w:val="left"/>
      <w:widowControl/>
    </w:pPr>
    <w:rPr>
      <w:rFonts w:eastAsia="Times New Roman"/>
      <w:sz w:val="24"/>
    </w:rPr>
  </w:style>
  <w:style w:type="paragraph" w:styleId="1157" w:customStyle="1">
    <w:name w:val="Normal_2_1"/>
    <w:uiPriority w:val="0"/>
    <w:qFormat/>
    <w:rPr>
      <w:rFonts w:ascii="Times New Roman" w:hAnsi="Times New Roman" w:eastAsia="Times New Roman" w:cs="Times New Roman"/>
      <w:sz w:val="24"/>
      <w:szCs w:val="24"/>
      <w:lang w:val="en-US" w:eastAsia="zh-CN" w:bidi="ar-SA"/>
    </w:rPr>
  </w:style>
  <w:style w:type="paragraph" w:styleId="1158" w:customStyle="1">
    <w:name w:val="Normal_0_2_0"/>
    <w:uiPriority w:val="0"/>
    <w:qFormat/>
    <w:rPr>
      <w:rFonts w:ascii="Times New Roman" w:hAnsi="Times New Roman" w:eastAsia="Times New Roman" w:cs="Times New Roman"/>
      <w:sz w:val="24"/>
      <w:szCs w:val="24"/>
      <w:lang w:val="en-US" w:eastAsia="zh-CN" w:bidi="ar-SA"/>
    </w:rPr>
  </w:style>
  <w:style w:type="paragraph" w:styleId="1159" w:customStyle="1">
    <w:name w:val="Normal_2_0"/>
    <w:uiPriority w:val="0"/>
    <w:qFormat/>
    <w:rPr>
      <w:rFonts w:ascii="Times New Roman" w:hAnsi="Times New Roman" w:eastAsia="Times New Roman" w:cs="Times New Roman"/>
      <w:sz w:val="24"/>
      <w:szCs w:val="24"/>
      <w:lang w:val="en-US" w:eastAsia="zh-CN" w:bidi="ar-SA"/>
    </w:rPr>
  </w:style>
  <w:style w:type="paragraph" w:styleId="1160" w:customStyle="1">
    <w:name w:val="Normal_4_0"/>
    <w:uiPriority w:val="0"/>
    <w:qFormat/>
    <w:rPr>
      <w:rFonts w:ascii="Times New Roman" w:hAnsi="Times New Roman" w:eastAsia="Times New Roman" w:cs="Times New Roman"/>
      <w:sz w:val="24"/>
      <w:szCs w:val="24"/>
      <w:lang w:val="en-US" w:eastAsia="zh-CN" w:bidi="ar-SA"/>
    </w:rPr>
  </w:style>
  <w:style w:type="paragraph" w:styleId="1161" w:customStyle="1">
    <w:name w:val="Normal_19"/>
    <w:uiPriority w:val="0"/>
    <w:qFormat/>
    <w:rPr>
      <w:rFonts w:ascii="Times New Roman" w:hAnsi="Times New Roman" w:eastAsia="Times New Roman" w:cs="Times New Roman"/>
      <w:sz w:val="24"/>
      <w:szCs w:val="24"/>
      <w:lang w:val="en-US" w:eastAsia="zh-CN" w:bidi="ar-SA"/>
    </w:rPr>
  </w:style>
  <w:style w:type="paragraph" w:styleId="1162" w:customStyle="1">
    <w:name w:val="Normal_1_2"/>
    <w:uiPriority w:val="0"/>
    <w:qFormat/>
    <w:rPr>
      <w:rFonts w:ascii="Times New Roman" w:hAnsi="Times New Roman" w:eastAsia="Times New Roman" w:cs="Times New Roman"/>
      <w:sz w:val="24"/>
      <w:szCs w:val="24"/>
      <w:lang w:val="en-US" w:eastAsia="zh-CN" w:bidi="ar-SA"/>
    </w:rPr>
  </w:style>
  <w:style w:type="paragraph" w:styleId="1163" w:customStyle="1">
    <w:name w:val="Normal_2_2"/>
    <w:uiPriority w:val="0"/>
    <w:qFormat/>
    <w:rPr>
      <w:rFonts w:ascii="Times New Roman" w:hAnsi="Times New Roman" w:eastAsia="Times New Roman" w:cs="Times New Roman"/>
      <w:sz w:val="24"/>
      <w:szCs w:val="24"/>
      <w:lang w:val="en-US" w:eastAsia="zh-CN" w:bidi="ar-SA"/>
    </w:rPr>
  </w:style>
  <w:style w:type="paragraph" w:styleId="1164" w:customStyle="1">
    <w:name w:val="Normal_2_3"/>
    <w:uiPriority w:val="0"/>
    <w:qFormat/>
    <w:rPr>
      <w:rFonts w:ascii="Times New Roman" w:hAnsi="Times New Roman" w:eastAsia="Times New Roman" w:cs="Times New Roman"/>
      <w:sz w:val="24"/>
      <w:szCs w:val="24"/>
      <w:lang w:val="en-US" w:eastAsia="zh-CN" w:bidi="ar-SA"/>
    </w:rPr>
  </w:style>
  <w:style w:type="character" w:styleId="1165" w:customStyle="1">
    <w:name w:val="font31"/>
    <w:basedOn w:val="879"/>
    <w:uiPriority w:val="0"/>
    <w:qFormat/>
    <w:rPr>
      <w:rFonts w:hint="eastAsia" w:ascii="宋体" w:hAnsi="宋体" w:eastAsia="宋体" w:cs="宋体"/>
      <w:color w:val="000000"/>
      <w:sz w:val="20"/>
      <w:szCs w:val="20"/>
      <w:u w:val="none"/>
    </w:rPr>
  </w:style>
  <w:style w:type="paragraph" w:styleId="1166" w:customStyle="1">
    <w:name w:val="标题11"/>
    <w:basedOn w:val="869"/>
    <w:uiPriority w:val="0"/>
    <w:qFormat/>
    <w:pPr>
      <w:jc w:val="center"/>
      <w:spacing w:before="240" w:after="60"/>
      <w:outlineLvl w:val="0"/>
    </w:pPr>
    <w:rPr>
      <w:rFonts w:ascii="Arial" w:hAnsi="Arial" w:eastAsia="黑体"/>
      <w:b/>
      <w:bCs/>
      <w:sz w:val="44"/>
      <w:szCs w:val="32"/>
    </w:rPr>
  </w:style>
  <w:style w:type="paragraph" w:styleId="1167" w:customStyle="1">
    <w:name w:val="Normal_6_1"/>
    <w:uiPriority w:val="0"/>
    <w:qFormat/>
    <w:rPr>
      <w:rFonts w:ascii="Times New Roman" w:hAnsi="Times New Roman" w:eastAsia="Times New Roman" w:cs="Times New Roman"/>
      <w:sz w:val="24"/>
      <w:szCs w:val="24"/>
      <w:lang w:val="en-US" w:eastAsia="zh-CN" w:bidi="ar-SA"/>
    </w:rPr>
  </w:style>
  <w:style w:type="paragraph" w:styleId="1168" w:customStyle="1">
    <w:name w:val="Normal_7_0"/>
    <w:uiPriority w:val="0"/>
    <w:qFormat/>
    <w:rPr>
      <w:rFonts w:ascii="Times New Roman" w:hAnsi="Times New Roman" w:eastAsia="Times New Roman" w:cs="Times New Roman"/>
      <w:sz w:val="24"/>
      <w:szCs w:val="24"/>
      <w:lang w:val="en-US" w:eastAsia="zh-CN" w:bidi="ar-SA"/>
    </w:rPr>
  </w:style>
  <w:style w:type="paragraph" w:styleId="1169" w:customStyle="1">
    <w:name w:val="标题1"/>
    <w:basedOn w:val="869"/>
    <w:next w:val="869"/>
    <w:uiPriority w:val="0"/>
    <w:qFormat/>
    <w:pPr>
      <w:jc w:val="center"/>
      <w:spacing w:before="240" w:after="60"/>
      <w:outlineLvl w:val="0"/>
    </w:pPr>
    <w:rPr>
      <w:rFonts w:ascii="等线 Light" w:hAnsi="等线 Light"/>
      <w:b/>
      <w:bCs/>
      <w:sz w:val="32"/>
      <w:szCs w:val="32"/>
    </w:rPr>
  </w:style>
  <w:style w:type="paragraph" w:styleId="1170" w:customStyle="1">
    <w:name w:val="页脚1"/>
    <w:basedOn w:val="869"/>
    <w:uiPriority w:val="99"/>
    <w:qFormat/>
    <w:pPr>
      <w:jc w:val="left"/>
      <w:tabs>
        <w:tab w:val="center" w:pos="4153" w:leader="none"/>
        <w:tab w:val="right" w:pos="8306" w:leader="none"/>
      </w:tabs>
    </w:pPr>
    <w:rPr>
      <w:sz w:val="18"/>
      <w:szCs w:val="18"/>
    </w:rPr>
  </w:style>
  <w:style w:type="paragraph" w:styleId="1171" w:customStyle="1">
    <w:name w:val="标题 11"/>
    <w:basedOn w:val="869"/>
    <w:next w:val="869"/>
    <w:uiPriority w:val="0"/>
    <w:qFormat/>
    <w:pPr>
      <w:ind w:left="100" w:right="100"/>
      <w:keepLines/>
      <w:keepNext/>
      <w:spacing w:before="120" w:after="120"/>
      <w:outlineLvl w:val="0"/>
    </w:pPr>
    <w:rPr>
      <w:b/>
      <w:bCs/>
      <w:szCs w:val="44"/>
    </w:rPr>
  </w:style>
  <w:style w:type="paragraph" w:styleId="1172" w:customStyle="1">
    <w:name w:val="索引 41"/>
    <w:basedOn w:val="869"/>
    <w:next w:val="869"/>
    <w:uiPriority w:val="99"/>
    <w:unhideWhenUsed/>
    <w:qFormat/>
    <w:pPr>
      <w:ind w:left="600"/>
    </w:pPr>
    <w:rPr>
      <w:rFonts w:ascii="宋体"/>
      <w:b/>
      <w:position w:val="-10"/>
      <w:sz w:val="24"/>
      <w:szCs w:val="20"/>
    </w:rPr>
  </w:style>
  <w:style w:type="paragraph" w:styleId="1173" w:customStyle="1">
    <w:name w:val="正文文本 21"/>
    <w:basedOn w:val="869"/>
    <w:uiPriority w:val="0"/>
    <w:qFormat/>
    <w:pPr>
      <w:spacing w:after="120" w:line="480" w:lineRule="auto"/>
    </w:pPr>
    <w:rPr>
      <w:rFonts w:ascii="Calibri" w:hAnsi="Calibri"/>
    </w:rPr>
  </w:style>
  <w:style w:type="paragraph" w:styleId="1174" w:customStyle="1">
    <w:name w:val="普通(网站)1"/>
    <w:basedOn w:val="869"/>
    <w:uiPriority w:val="0"/>
    <w:qFormat/>
    <w:pPr>
      <w:jc w:val="left"/>
      <w:spacing w:before="100" w:beforeAutospacing="1" w:after="100" w:afterAutospacing="1"/>
      <w:widowControl/>
    </w:pPr>
    <w:rPr>
      <w:rFonts w:ascii="宋体" w:hAnsi="宋体" w:cs="宋体"/>
      <w:sz w:val="24"/>
    </w:rPr>
  </w:style>
  <w:style w:type="table" w:styleId="1175" w:customStyle="1">
    <w:name w:val="网格型1"/>
    <w:basedOn w:val="1176"/>
    <w:uiPriority w:val="0"/>
    <w:qFormat/>
    <w:tblPr/>
  </w:style>
  <w:style w:type="table" w:styleId="1176" w:customStyle="1">
    <w:name w:val="普通表格1"/>
    <w:uiPriority w:val="0"/>
    <w:semiHidden/>
    <w:qFormat/>
    <w:tblPr>
      <w:tblCellMar>
        <w:left w:w="0" w:type="dxa"/>
        <w:top w:w="0" w:type="dxa"/>
        <w:right w:w="0" w:type="dxa"/>
        <w:bottom w:w="0" w:type="dxa"/>
      </w:tblCellMar>
    </w:tblPr>
  </w:style>
  <w:style w:type="paragraph" w:styleId="1177" w:customStyle="1">
    <w:name w:val="Normal_14"/>
    <w:uiPriority w:val="0"/>
    <w:qFormat/>
    <w:rPr>
      <w:rFonts w:ascii="Calibri" w:hAnsi="Calibri" w:eastAsia="Times New Roman" w:cs="Times New Roman"/>
      <w:sz w:val="24"/>
      <w:szCs w:val="24"/>
      <w:lang w:val="en-US" w:eastAsia="zh-CN" w:bidi="ar-SA"/>
    </w:rPr>
  </w:style>
  <w:style w:type="paragraph" w:styleId="1178" w:customStyle="1">
    <w:name w:val="Normal_22"/>
    <w:uiPriority w:val="0"/>
    <w:qFormat/>
    <w:rPr>
      <w:rFonts w:ascii="Calibri" w:hAnsi="Calibri" w:eastAsia="Times New Roman" w:cs="Times New Roman"/>
      <w:sz w:val="24"/>
      <w:szCs w:val="24"/>
      <w:lang w:val="en-US" w:eastAsia="zh-CN" w:bidi="ar-SA"/>
    </w:rPr>
  </w:style>
  <w:style w:type="paragraph" w:styleId="1179" w:customStyle="1">
    <w:name w:val="Normal_49"/>
    <w:uiPriority w:val="0"/>
    <w:qFormat/>
    <w:rPr>
      <w:rFonts w:ascii="Times New Roman" w:hAnsi="Times New Roman" w:eastAsia="Times New Roman" w:cs="Times New Roman"/>
      <w:sz w:val="24"/>
      <w:szCs w:val="24"/>
      <w:lang w:val="en-US" w:eastAsia="zh-CN" w:bidi="ar-SA"/>
    </w:rPr>
  </w:style>
  <w:style w:type="character" w:styleId="1180" w:customStyle="1">
    <w:name w:val="批注文字 字符1"/>
    <w:basedOn w:val="879"/>
    <w:link w:val="886"/>
    <w:uiPriority w:val="99"/>
    <w:semiHidden/>
    <w:qFormat/>
    <w:rPr>
      <w:rFonts w:ascii="Times New Roman" w:hAnsi="Times New Roman"/>
      <w:sz w:val="21"/>
      <w:szCs w:val="24"/>
    </w:rPr>
  </w:style>
  <w:style w:type="character" w:styleId="1181" w:customStyle="1">
    <w:name w:val="批注主题 字符1"/>
    <w:basedOn w:val="1180"/>
    <w:link w:val="912"/>
    <w:uiPriority w:val="99"/>
    <w:semiHidden/>
    <w:qFormat/>
    <w:rPr>
      <w:rFonts w:ascii="Times New Roman" w:hAnsi="Times New Roman"/>
      <w:b/>
      <w:bCs/>
      <w:sz w:val="21"/>
      <w:szCs w:val="24"/>
    </w:rPr>
  </w:style>
  <w:style w:type="paragraph" w:styleId="1182"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83"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84" w:customStyle="1">
    <w:name w:val="标题 5（有编号）（绿盟科技）"/>
    <w:next w:val="1185"/>
    <w:uiPriority w:val="0"/>
    <w:qFormat/>
    <w:pPr>
      <w:numPr>
        <w:ilvl w:val="4"/>
        <w:numId w:val="2"/>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185" w:customStyle="1">
    <w:name w:val="正文（绿盟科技）"/>
    <w:uiPriority w:val="0"/>
    <w:qFormat/>
    <w:pPr>
      <w:spacing w:line="300" w:lineRule="auto"/>
    </w:pPr>
    <w:rPr>
      <w:rFonts w:ascii="Arial" w:hAnsi="Arial" w:eastAsia="宋体" w:cs="黑体"/>
      <w:sz w:val="21"/>
      <w:szCs w:val="21"/>
      <w:lang w:val="en-US" w:eastAsia="zh-CN" w:bidi="ar-SA"/>
    </w:rPr>
  </w:style>
  <w:style w:type="numbering" w:styleId="10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呼禹</cp:lastModifiedBy>
  <cp:revision>33</cp:revision>
  <dcterms:created xsi:type="dcterms:W3CDTF">2023-10-17T18:18:00Z</dcterms:created>
  <dcterms:modified xsi:type="dcterms:W3CDTF">2026-09-30T05:43:33Z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eyJoZGlkIjoiODQ5ZmY0MzUwMzgyYzY4YjRjMDM1ZTY0YzU0OWIxYzYiLCJ1c2VySWQiOiIxMjE0MDc0NTk5In0=</vt:lpwstr>
  </property>
  <property fmtid="{D5CDD505-2E9C-101B-9397-08002B2CF9AE}" pid="3" name="KSOProductBuildVer">
    <vt:lpwstr>2052-12.1.0.28505</vt:lpwstr>
  </property>
  <property fmtid="{D5CDD505-2E9C-101B-9397-08002B2CF9AE}" pid="4" name="ICV">
    <vt:lpwstr>8941EF34B22E47FABC6B108086D39641_13</vt:lpwstr>
  </property>
</Properties>
</file>