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6"/>
          <w:szCs w:val="36"/>
          <w:highlight w:val="none"/>
        </w:rPr>
      </w:pPr>
      <w:r>
        <w:rPr>
          <w:b/>
          <w:color w:val="auto"/>
          <w:sz w:val="36"/>
          <w:szCs w:val="36"/>
          <w:highlight w:val="none"/>
        </w:rPr>
      </w:r>
      <w:r/>
    </w:p>
    <w:p>
      <w:pPr>
        <w:pStyle w:val="901"/>
        <w:ind w:firstLine="0"/>
        <w:jc w:val="center"/>
        <w:spacing w:line="240" w:lineRule="auto"/>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如皋市政府采购公开招标文件</w:t>
      </w:r>
      <w:r/>
    </w:p>
    <w:p>
      <w:pPr>
        <w:pStyle w:val="901"/>
        <w:ind w:firstLine="0"/>
        <w:jc w:val="center"/>
        <w:spacing w:line="240" w:lineRule="auto"/>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901"/>
        <w:ind w:firstLine="1372"/>
        <w:spacing w:line="240" w:lineRule="auto"/>
        <w:rPr>
          <w:b/>
          <w:bCs/>
          <w:color w:val="auto"/>
          <w:sz w:val="32"/>
          <w:highlight w:val="none"/>
          <w:u w:val="single"/>
        </w:rPr>
      </w:pPr>
      <w:r>
        <w:rPr>
          <w:b/>
          <w:bCs/>
          <w:color w:val="auto"/>
          <w:sz w:val="32"/>
          <w:highlight w:val="none"/>
        </w:rPr>
        <w:t xml:space="preserve">项目名称：</w:t>
      </w:r>
      <w:r>
        <w:rPr>
          <w:rFonts w:hint="eastAsia"/>
          <w:b/>
          <w:bCs/>
          <w:color w:val="auto"/>
          <w:sz w:val="32"/>
          <w:highlight w:val="none"/>
        </w:rPr>
        <w:t xml:space="preserve">如皋市主城区LED灯具采购项目</w:t>
      </w:r>
      <w:r/>
    </w:p>
    <w:p>
      <w:pPr>
        <w:pStyle w:val="901"/>
        <w:ind w:firstLine="1372"/>
        <w:spacing w:line="240" w:lineRule="auto"/>
        <w:rPr>
          <w:b/>
          <w:bCs/>
          <w:color w:val="auto"/>
          <w:sz w:val="32"/>
          <w:highlight w:val="none"/>
          <w:u w:val="single"/>
        </w:rPr>
      </w:pPr>
      <w:r>
        <w:rPr>
          <w:rFonts w:hint="eastAsia"/>
          <w:b/>
          <w:bCs/>
          <w:color w:val="auto"/>
          <w:sz w:val="32"/>
          <w:highlight w:val="none"/>
        </w:rPr>
        <w:t xml:space="preserve">项目编号：JSZC-320682-RGCJ-G2026-0009</w:t>
      </w:r>
      <w:r/>
    </w:p>
    <w:p>
      <w:pPr>
        <w:pStyle w:val="901"/>
        <w:ind w:firstLine="0"/>
        <w:jc w:val="center"/>
        <w:spacing w:line="240" w:lineRule="auto"/>
        <w:rPr>
          <w:b/>
          <w:bCs/>
          <w:color w:val="auto"/>
          <w:sz w:val="32"/>
          <w:highlight w:val="none"/>
        </w:rPr>
      </w:pPr>
      <w:r>
        <w:rPr>
          <w:b/>
          <w:bCs/>
          <w:color w:val="auto"/>
          <w:sz w:val="32"/>
          <w:highlight w:val="none"/>
        </w:rPr>
      </w:r>
      <w:r/>
    </w:p>
    <w:p>
      <w:pPr>
        <w:pStyle w:val="901"/>
        <w:ind w:firstLine="0"/>
        <w:jc w:val="center"/>
        <w:spacing w:line="240" w:lineRule="auto"/>
        <w:rPr>
          <w:b/>
          <w:bCs/>
          <w:color w:val="auto"/>
          <w:sz w:val="32"/>
          <w:highlight w:val="none"/>
        </w:rPr>
      </w:pPr>
      <w:r>
        <w:rPr>
          <w:b/>
          <w:bCs/>
          <w:color w:val="auto"/>
          <w:sz w:val="32"/>
          <w:highlight w:val="none"/>
        </w:rPr>
      </w:r>
      <w:r/>
    </w:p>
    <w:p>
      <w:pPr>
        <w:pStyle w:val="901"/>
        <w:ind w:firstLine="0"/>
        <w:jc w:val="center"/>
        <w:spacing w:line="240" w:lineRule="auto"/>
        <w:rPr>
          <w:b/>
          <w:bCs/>
          <w:color w:val="auto"/>
          <w:sz w:val="32"/>
          <w:highlight w:val="none"/>
        </w:rPr>
      </w:pPr>
      <w:r>
        <w:rPr>
          <w:b/>
          <w:bCs/>
          <w:color w:val="auto"/>
          <w:sz w:val="32"/>
          <w:highlight w:val="none"/>
        </w:rPr>
      </w:r>
      <w:r/>
    </w:p>
    <w:p>
      <w:pPr>
        <w:pStyle w:val="901"/>
        <w:ind w:firstLine="0"/>
        <w:jc w:val="center"/>
        <w:spacing w:line="240" w:lineRule="auto"/>
        <w:rPr>
          <w:b/>
          <w:bCs/>
          <w:color w:val="auto"/>
          <w:sz w:val="32"/>
          <w:highlight w:val="none"/>
        </w:rPr>
      </w:pPr>
      <w:r>
        <w:rPr>
          <w:b/>
          <w:bCs/>
          <w:color w:val="auto"/>
          <w:sz w:val="32"/>
          <w:highlight w:val="none"/>
        </w:rPr>
      </w:r>
      <w:r/>
    </w:p>
    <w:p>
      <w:pPr>
        <w:pStyle w:val="901"/>
        <w:ind w:firstLine="0"/>
        <w:jc w:val="center"/>
        <w:spacing w:line="240" w:lineRule="auto"/>
        <w:rPr>
          <w:b/>
          <w:bCs/>
          <w:color w:val="auto"/>
          <w:sz w:val="32"/>
          <w:highlight w:val="none"/>
        </w:rPr>
      </w:pPr>
      <w:r>
        <w:rPr>
          <w:b/>
          <w:bCs/>
          <w:color w:val="auto"/>
          <w:sz w:val="32"/>
          <w:highlight w:val="none"/>
        </w:rPr>
      </w:r>
      <w:r/>
    </w:p>
    <w:p>
      <w:pPr>
        <w:pStyle w:val="901"/>
        <w:ind w:firstLine="0"/>
        <w:jc w:val="center"/>
        <w:spacing w:line="240" w:lineRule="auto"/>
        <w:rPr>
          <w:b/>
          <w:bCs/>
          <w:color w:val="auto"/>
          <w:sz w:val="32"/>
          <w:highlight w:val="none"/>
        </w:rPr>
      </w:pPr>
      <w:r>
        <w:rPr>
          <w:b/>
          <w:bCs/>
          <w:color w:val="auto"/>
          <w:sz w:val="32"/>
          <w:highlight w:val="none"/>
        </w:rPr>
      </w:r>
      <w:r/>
    </w:p>
    <w:p>
      <w:pPr>
        <w:pStyle w:val="901"/>
        <w:ind w:firstLine="1635"/>
        <w:spacing w:line="240" w:lineRule="auto"/>
        <w:rPr>
          <w:b/>
          <w:bCs/>
          <w:color w:val="auto"/>
          <w:sz w:val="32"/>
          <w:highlight w:val="none"/>
          <w:u w:val="single"/>
        </w:rPr>
      </w:pPr>
      <w:r>
        <w:rPr>
          <w:rFonts w:hint="eastAsia"/>
          <w:b/>
          <w:bCs/>
          <w:color w:val="auto"/>
          <w:sz w:val="32"/>
          <w:highlight w:val="none"/>
        </w:rPr>
        <w:t xml:space="preserve">采购人名称：如皋市城市建设管理中心</w:t>
      </w:r>
      <w:r/>
    </w:p>
    <w:p>
      <w:pPr>
        <w:pStyle w:val="901"/>
        <w:ind w:firstLine="993"/>
        <w:spacing w:line="240" w:lineRule="auto"/>
        <w:rPr>
          <w:b/>
          <w:bCs/>
          <w:color w:val="auto"/>
          <w:sz w:val="32"/>
          <w:highlight w:val="none"/>
        </w:rPr>
      </w:pPr>
      <w:r>
        <w:rPr>
          <w:rFonts w:hint="eastAsia"/>
          <w:b/>
          <w:bCs/>
          <w:color w:val="auto"/>
          <w:sz w:val="32"/>
          <w:highlight w:val="none"/>
        </w:rPr>
        <w:t xml:space="preserve">采购代理机构名称：如皋市城建工程项目管理有限公司</w:t>
      </w:r>
      <w:r/>
    </w:p>
    <w:p>
      <w:pPr>
        <w:pStyle w:val="901"/>
        <w:ind w:firstLine="0"/>
        <w:jc w:val="center"/>
        <w:spacing w:line="240" w:lineRule="auto"/>
        <w:rPr>
          <w:b/>
          <w:bCs/>
          <w:color w:val="auto"/>
          <w:sz w:val="32"/>
          <w:highlight w:val="none"/>
        </w:rPr>
      </w:pPr>
      <w:r>
        <w:rPr>
          <w:rFonts w:hint="eastAsia"/>
          <w:b/>
          <w:bCs/>
          <w:color w:val="auto"/>
          <w:sz w:val="32"/>
          <w:highlight w:val="none"/>
        </w:rPr>
        <w:t xml:space="preserve">2026年</w:t>
      </w:r>
      <w:r>
        <w:rPr>
          <w:rFonts w:hint="eastAsia"/>
          <w:b/>
          <w:bCs/>
          <w:color w:val="auto"/>
          <w:sz w:val="32"/>
          <w:highlight w:val="none"/>
          <w:lang w:val="en-US" w:eastAsia="zh-CN"/>
        </w:rPr>
        <w:t xml:space="preserve">10</w:t>
      </w:r>
      <w:r>
        <w:rPr>
          <w:rFonts w:hint="eastAsia"/>
          <w:b/>
          <w:bCs/>
          <w:color w:val="auto"/>
          <w:sz w:val="32"/>
          <w:highlight w:val="none"/>
        </w:rPr>
        <w:t xml:space="preserve">月</w:t>
      </w:r>
      <w:r>
        <w:rPr>
          <w:rFonts w:hint="eastAsia"/>
          <w:b/>
          <w:bCs/>
          <w:color w:val="auto"/>
          <w:sz w:val="32"/>
          <w:highlight w:val="none"/>
          <w:lang w:val="en-US" w:eastAsia="zh-CN"/>
        </w:rPr>
        <w:t xml:space="preserve">16</w:t>
      </w:r>
      <w:r>
        <w:rPr>
          <w:rFonts w:hint="eastAsia"/>
          <w:b/>
          <w:bCs/>
          <w:color w:val="auto"/>
          <w:sz w:val="32"/>
          <w:highlight w:val="none"/>
        </w:rPr>
        <w:t xml:space="preserve">日</w:t>
      </w:r>
      <w:r/>
    </w:p>
    <w:p>
      <w:pPr>
        <w:pStyle w:val="901"/>
        <w:ind w:firstLine="0"/>
        <w:jc w:val="center"/>
        <w:spacing w:line="240" w:lineRule="auto"/>
        <w:rPr>
          <w:rFonts w:ascii="方正小标宋简体" w:eastAsia="方正小标宋简体"/>
          <w:bCs/>
          <w:color w:val="auto"/>
          <w:sz w:val="32"/>
          <w:szCs w:val="32"/>
          <w:highlight w:val="none"/>
        </w:rPr>
      </w:pPr>
      <w:r>
        <w:rPr>
          <w:b/>
          <w:bCs/>
          <w:color w:val="auto"/>
          <w:sz w:val="32"/>
          <w:highlight w:val="none"/>
        </w:rPr>
        <w:br w:type="page" w:clear="all"/>
      </w:r>
      <w:r>
        <w:rPr>
          <w:rFonts w:hint="eastAsia" w:ascii="方正小标宋简体" w:eastAsia="方正小标宋简体"/>
          <w:bCs/>
          <w:color w:val="auto"/>
          <w:sz w:val="32"/>
          <w:szCs w:val="32"/>
          <w:highlight w:val="none"/>
        </w:rPr>
        <w:t xml:space="preserve">第1章 公开招标公告</w:t>
      </w:r>
      <w:r/>
    </w:p>
    <w:p>
      <w:pPr>
        <w:pStyle w:val="876"/>
        <w:ind w:firstLine="560"/>
        <w:spacing w:after="0" w:line="500" w:lineRule="exact"/>
        <w:rPr>
          <w:rFonts w:ascii="黑体" w:hAnsi="黑体" w:eastAsia="黑体"/>
          <w:color w:val="auto"/>
          <w:sz w:val="28"/>
          <w:szCs w:val="28"/>
          <w:highlight w:val="none"/>
        </w:rPr>
      </w:pPr>
      <w:r/>
      <w:bookmarkStart w:id="0" w:name="_Toc35393629"/>
      <w:r/>
      <w:bookmarkStart w:id="1" w:name="_Toc28359089"/>
      <w:r/>
      <w:bookmarkStart w:id="2" w:name="_Toc28359012"/>
      <w:r/>
      <w:bookmarkStart w:id="3" w:name="_Toc35393798"/>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项目名称：如皋市主城区LED灯具采购项目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项目编号：JSZC-320682-RGCJ-G2026-0009</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预算金额：600万元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最高限价：585.78万元</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 采购需求：本项目为城市道路照明养护LED灯具采购项目，采购标的物包括：100W、150W、200W LED灯具（同一系列产品）、250WLED 灯具，55WLED灯泡，单灯智能控制器。详见第三章。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 合同履行期限：合同签订之日起3个月内，完成供货、安装。</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 本项目是否接受进口产品：是。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 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 本项目是否专门面向中小企业采购：</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 项目类型：货物。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 项目所属行业：</w:t>
      </w:r>
      <w:r>
        <w:rPr>
          <w:rFonts w:ascii="仿宋" w:hAnsi="仿宋" w:eastAsia="仿宋"/>
          <w:color w:val="auto"/>
          <w:sz w:val="28"/>
          <w:szCs w:val="28"/>
          <w:highlight w:val="none"/>
        </w:rPr>
        <w:t xml:space="preserve">工业</w:t>
      </w:r>
      <w:r/>
    </w:p>
    <w:p>
      <w:pPr>
        <w:pStyle w:val="876"/>
        <w:ind w:firstLine="560"/>
        <w:spacing w:after="0" w:line="500" w:lineRule="exact"/>
        <w:rPr>
          <w:rFonts w:ascii="黑体" w:hAnsi="黑体" w:eastAsia="黑体"/>
          <w:color w:val="auto"/>
          <w:sz w:val="28"/>
          <w:szCs w:val="28"/>
          <w:highlight w:val="none"/>
        </w:rPr>
      </w:pPr>
      <w:r/>
      <w:bookmarkStart w:id="5" w:name="_Toc28359013"/>
      <w:r/>
      <w:bookmarkStart w:id="6" w:name="_Toc35393799"/>
      <w:r/>
      <w:bookmarkStart w:id="7" w:name="_Toc35393630"/>
      <w:r/>
      <w:bookmarkStart w:id="8" w:name="_Toc28359090"/>
      <w:r>
        <w:rPr>
          <w:rFonts w:hint="eastAsia" w:ascii="黑体" w:hAnsi="黑体" w:eastAsia="黑体"/>
          <w:color w:val="auto"/>
          <w:sz w:val="28"/>
          <w:szCs w:val="28"/>
          <w:highlight w:val="none"/>
        </w:rPr>
        <w:t xml:space="preserve">二、投标人的资格要求</w:t>
      </w:r>
      <w:bookmarkEnd w:id="5"/>
      <w:r/>
      <w:bookmarkEnd w:id="6"/>
      <w:r/>
      <w:bookmarkEnd w:id="7"/>
      <w:r/>
      <w:bookmarkEnd w:id="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8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9" w:name="_Toc28359014"/>
      <w:r/>
      <w:bookmarkStart w:id="10" w:name="_Toc28359091"/>
      <w:r>
        <w:rPr>
          <w:rFonts w:hint="eastAsia" w:ascii="仿宋" w:hAnsi="仿宋" w:eastAsia="仿宋" w:cs="Times New Roman"/>
          <w:color w:val="auto"/>
          <w:sz w:val="28"/>
          <w:szCs w:val="28"/>
          <w:highlight w:val="none"/>
        </w:rPr>
        <w:t xml:space="preserve">（1）具有独立承担民事责任的能力;</w:t>
      </w:r>
      <w:r/>
    </w:p>
    <w:p>
      <w:pPr>
        <w:pStyle w:val="8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8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8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8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8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883"/>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883"/>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883"/>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883"/>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本项目的特定资格要求：无。</w:t>
      </w:r>
      <w:r/>
    </w:p>
    <w:p>
      <w:pPr>
        <w:pStyle w:val="883"/>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auto"/>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6"/>
        <w:ind w:firstLine="560"/>
        <w:spacing w:after="0" w:line="500" w:lineRule="exact"/>
        <w:rPr>
          <w:rFonts w:ascii="黑体" w:hAnsi="黑体" w:eastAsia="黑体"/>
          <w:color w:val="auto"/>
          <w:sz w:val="28"/>
          <w:szCs w:val="28"/>
          <w:highlight w:val="none"/>
        </w:rPr>
      </w:pPr>
      <w:r/>
      <w:bookmarkStart w:id="11" w:name="_Toc35393631"/>
      <w:r/>
      <w:bookmarkStart w:id="12" w:name="_Toc35393800"/>
      <w:r>
        <w:rPr>
          <w:rFonts w:hint="eastAsia" w:ascii="黑体" w:hAnsi="黑体" w:eastAsia="黑体"/>
          <w:color w:val="auto"/>
          <w:sz w:val="28"/>
          <w:szCs w:val="28"/>
          <w:highlight w:val="none"/>
        </w:rPr>
        <w:t xml:space="preserve">三、获取公开招标文件</w:t>
      </w:r>
      <w:bookmarkEnd w:id="9"/>
      <w:r/>
      <w:bookmarkEnd w:id="10"/>
      <w:r/>
      <w:bookmarkEnd w:id="11"/>
      <w:r/>
      <w:bookmarkEnd w:id="12"/>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1.时间：：2026年11月9日9点00分。</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2.地点：江苏省政府采购网。</w:t>
      </w:r>
      <w:r/>
    </w:p>
    <w:p>
      <w:pPr>
        <w:ind w:firstLine="600"/>
        <w:spacing w:line="360"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3.方式：本项目采用“苏采云”系统网上注册登记方式，具体详见《江苏省政府采购管理交易系统（苏采云）投标人操作手册》。</w:t>
      </w:r>
      <w:r/>
    </w:p>
    <w:p>
      <w:pPr>
        <w:pStyle w:val="876"/>
        <w:ind w:firstLine="560"/>
        <w:spacing w:after="0" w:line="500" w:lineRule="exact"/>
        <w:rPr>
          <w:rFonts w:ascii="黑体" w:hAnsi="黑体" w:eastAsia="黑体"/>
          <w:color w:val="auto"/>
          <w:sz w:val="28"/>
          <w:szCs w:val="28"/>
          <w:highlight w:val="none"/>
        </w:rPr>
      </w:pPr>
      <w:r/>
      <w:bookmarkStart w:id="13" w:name="_Toc35393632"/>
      <w:r/>
      <w:bookmarkStart w:id="14" w:name="_Toc35393801"/>
      <w:r/>
      <w:bookmarkStart w:id="15" w:name="_Toc28359015"/>
      <w:r/>
      <w:bookmarkStart w:id="16" w:name="_Toc28359092"/>
      <w:r>
        <w:rPr>
          <w:rFonts w:hint="eastAsia" w:ascii="黑体" w:hAnsi="黑体" w:eastAsia="黑体"/>
          <w:color w:val="auto"/>
          <w:sz w:val="28"/>
          <w:szCs w:val="28"/>
          <w:highlight w:val="none"/>
        </w:rPr>
        <w:t xml:space="preserve">四、提交投标文件</w:t>
      </w:r>
      <w:bookmarkEnd w:id="13"/>
      <w:r/>
      <w:bookmarkEnd w:id="14"/>
      <w:r/>
      <w:bookmarkEnd w:id="15"/>
      <w:r/>
      <w:bookmarkEnd w:id="16"/>
      <w:r>
        <w:rPr>
          <w:rFonts w:hint="eastAsia" w:ascii="黑体" w:hAnsi="黑体" w:eastAsia="黑体"/>
          <w:color w:val="auto"/>
          <w:sz w:val="28"/>
          <w:szCs w:val="28"/>
          <w:highlight w:val="none"/>
        </w:rPr>
        <w:t xml:space="preserve">截止时间、开标时间和地点</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11</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9</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开标时间：</w:t>
      </w:r>
      <w:r>
        <w:rPr>
          <w:rFonts w:hint="eastAsia" w:ascii="仿宋" w:hAnsi="仿宋" w:eastAsia="仿宋"/>
          <w:bCs/>
          <w:color w:val="auto"/>
          <w:sz w:val="28"/>
          <w:szCs w:val="28"/>
          <w:highlight w:val="none"/>
        </w:rPr>
        <w:t xml:space="preserve">2026年11月9日9点00分（北京时间）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color w:val="auto"/>
          <w:sz w:val="28"/>
          <w:szCs w:val="28"/>
          <w:highlight w:val="none"/>
        </w:rPr>
        <w:t xml:space="preserve">“苏采云”系统（网址：http://jszfcg.jsczt.cn/）“开标大厅”。</w:t>
      </w:r>
      <w:r/>
    </w:p>
    <w:p>
      <w:pPr>
        <w:pStyle w:val="876"/>
        <w:ind w:firstLine="560"/>
        <w:spacing w:after="0" w:line="500" w:lineRule="exact"/>
        <w:rPr>
          <w:rFonts w:ascii="黑体" w:hAnsi="黑体" w:eastAsia="黑体"/>
          <w:color w:val="auto"/>
          <w:sz w:val="28"/>
          <w:szCs w:val="28"/>
          <w:highlight w:val="none"/>
        </w:rPr>
      </w:pPr>
      <w:r/>
      <w:bookmarkStart w:id="17" w:name="_Toc28359017"/>
      <w:r/>
      <w:bookmarkStart w:id="18" w:name="_Toc28359094"/>
      <w:r/>
      <w:bookmarkStart w:id="19" w:name="_Toc35393634"/>
      <w:r/>
      <w:bookmarkStart w:id="20" w:name="_Toc35393803"/>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自本公告发布之日起5个工作日。</w:t>
      </w:r>
      <w:r/>
    </w:p>
    <w:p>
      <w:pPr>
        <w:pStyle w:val="876"/>
        <w:ind w:firstLine="560"/>
        <w:spacing w:after="0" w:line="500" w:lineRule="exact"/>
        <w:rPr>
          <w:rFonts w:ascii="黑体" w:hAnsi="黑体" w:eastAsia="黑体"/>
          <w:color w:val="auto"/>
          <w:sz w:val="28"/>
          <w:szCs w:val="28"/>
          <w:highlight w:val="none"/>
        </w:rPr>
      </w:pPr>
      <w:r/>
      <w:bookmarkStart w:id="21" w:name="_Toc35393804"/>
      <w:r/>
      <w:bookmarkStart w:id="22" w:name="_Toc35393635"/>
      <w:r>
        <w:rPr>
          <w:rFonts w:hint="eastAsia" w:ascii="黑体" w:hAnsi="黑体" w:eastAsia="黑体"/>
          <w:color w:val="auto"/>
          <w:sz w:val="28"/>
          <w:szCs w:val="28"/>
          <w:highlight w:val="none"/>
        </w:rPr>
        <w:t xml:space="preserve">六、其他补充事宜</w:t>
      </w:r>
      <w:bookmarkEnd w:id="21"/>
      <w:r/>
      <w:bookmarkEnd w:id="2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887"/>
          <w:rFonts w:ascii="仿宋" w:hAnsi="仿宋" w:eastAsia="仿宋" w:cs="宋体"/>
          <w:bCs/>
          <w:color w:val="auto"/>
          <w:sz w:val="28"/>
          <w:szCs w:val="28"/>
          <w:highlight w:val="none"/>
        </w:rPr>
        <w:t xml:space="preserve">http://jsxcmm.com/help/gys.html</w:t>
      </w:r>
      <w:r>
        <w:rPr>
          <w:rStyle w:val="887"/>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480"/>
        <w:spacing w:line="500" w:lineRule="exact"/>
        <w:rPr>
          <w:rFonts w:ascii="仿宋" w:hAnsi="仿宋" w:eastAsia="仿宋"/>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履约保证金</w:t>
      </w:r>
      <w:r>
        <w:rPr>
          <w:rFonts w:ascii="仿宋" w:hAnsi="仿宋" w:eastAsia="仿宋" w:cs="宋体"/>
          <w:color w:val="auto"/>
          <w:sz w:val="28"/>
          <w:szCs w:val="28"/>
          <w:highlight w:val="none"/>
        </w:rPr>
        <w:t xml:space="preserve">：</w:t>
      </w:r>
      <w:r>
        <w:rPr>
          <w:rFonts w:hint="eastAsia" w:ascii="仿宋" w:hAnsi="仿宋" w:eastAsia="仿宋" w:cs="宋体"/>
          <w:color w:val="auto"/>
          <w:sz w:val="28"/>
          <w:szCs w:val="28"/>
          <w:highlight w:val="none"/>
        </w:rPr>
        <w:t xml:space="preserve">中标人按照成交金额10%向采购单位缴纳履约保证金。</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w:t>
      </w:r>
      <w:r>
        <w:rPr>
          <w:rFonts w:ascii="仿宋" w:hAnsi="仿宋" w:eastAsia="仿宋" w:cs="宋体"/>
          <w:color w:val="auto"/>
          <w:sz w:val="28"/>
          <w:szCs w:val="28"/>
          <w:highlight w:val="none"/>
        </w:rPr>
        <w:t xml:space="preserve">样品</w:t>
      </w:r>
      <w:r>
        <w:rPr>
          <w:rFonts w:hint="eastAsia" w:ascii="仿宋" w:hAnsi="仿宋" w:eastAsia="仿宋" w:cs="宋体"/>
          <w:color w:val="auto"/>
          <w:sz w:val="28"/>
          <w:szCs w:val="28"/>
          <w:highlight w:val="none"/>
        </w:rPr>
        <w:t xml:space="preserve">：提供符合招标文件技术要求的样品。</w:t>
      </w:r>
      <w:r/>
    </w:p>
    <w:p>
      <w:pPr>
        <w:pStyle w:val="876"/>
        <w:ind w:firstLine="560"/>
        <w:spacing w:after="0" w:line="500" w:lineRule="exact"/>
        <w:rPr>
          <w:rFonts w:ascii="黑体" w:hAnsi="黑体" w:cs="宋体"/>
          <w:b/>
          <w:color w:val="auto"/>
          <w:sz w:val="28"/>
          <w:szCs w:val="28"/>
          <w:highlight w:val="none"/>
        </w:rPr>
      </w:pPr>
      <w:r/>
      <w:bookmarkStart w:id="23" w:name="_Toc35393805"/>
      <w:r/>
      <w:bookmarkStart w:id="24" w:name="_Toc35393636"/>
      <w:r/>
      <w:bookmarkStart w:id="25" w:name="_Toc28359095"/>
      <w:r/>
      <w:bookmarkStart w:id="26"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color w:val="auto"/>
          <w:sz w:val="28"/>
          <w:szCs w:val="28"/>
          <w:highlight w:val="none"/>
        </w:rPr>
      </w:pPr>
      <w:r/>
      <w:bookmarkStart w:id="27" w:name="_Toc35393806"/>
      <w:r/>
      <w:bookmarkStart w:id="28" w:name="_Toc28359096"/>
      <w:r/>
      <w:bookmarkStart w:id="29" w:name="_Toc35393637"/>
      <w:r/>
      <w:bookmarkStart w:id="30" w:name="_Toc28359019"/>
      <w:r>
        <w:rPr>
          <w:rFonts w:hint="eastAsia" w:ascii="仿宋" w:hAnsi="仿宋" w:eastAsia="仿宋" w:cs="宋体"/>
          <w:color w:val="auto"/>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u w:val="single"/>
        </w:rPr>
        <w:t xml:space="preserve">如皋市城市建设管理中心</w:t>
      </w:r>
      <w:r/>
    </w:p>
    <w:p>
      <w:pPr>
        <w:ind w:left="1129" w:hanging="350"/>
        <w:jc w:val="left"/>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地    址：</w:t>
      </w:r>
      <w:r>
        <w:rPr>
          <w:rFonts w:hint="eastAsia" w:ascii="仿宋" w:hAnsi="仿宋" w:eastAsia="仿宋"/>
          <w:color w:val="auto"/>
          <w:sz w:val="28"/>
          <w:szCs w:val="28"/>
          <w:highlight w:val="none"/>
          <w:u w:val="single"/>
        </w:rPr>
        <w:t xml:space="preserve">如皋市宁海路408号 </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u w:val="single"/>
        </w:rPr>
        <w:t xml:space="preserve">王健</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u w:val="single"/>
        </w:rPr>
        <w:t xml:space="preserve">0513-87513047 </w:t>
      </w:r>
      <w:r/>
    </w:p>
    <w:p>
      <w:pPr>
        <w:ind w:firstLine="540"/>
        <w:spacing w:line="500" w:lineRule="exact"/>
        <w:rPr>
          <w:rFonts w:ascii="仿宋" w:hAnsi="仿宋" w:eastAsia="仿宋" w:cs="宋体"/>
          <w:color w:val="auto"/>
          <w:sz w:val="28"/>
          <w:szCs w:val="28"/>
          <w:highlight w:val="none"/>
        </w:rPr>
      </w:pPr>
      <w:r/>
      <w:bookmarkStart w:id="31" w:name="_Toc35393807"/>
      <w:r/>
      <w:bookmarkStart w:id="32" w:name="_Toc28359097"/>
      <w:r/>
      <w:bookmarkStart w:id="33" w:name="_Toc35393638"/>
      <w:r/>
      <w:bookmarkStart w:id="34" w:name="_Toc28359020"/>
      <w:r>
        <w:rPr>
          <w:rFonts w:hint="eastAsia" w:ascii="仿宋" w:hAnsi="仿宋" w:eastAsia="仿宋" w:cs="宋体"/>
          <w:color w:val="auto"/>
          <w:sz w:val="28"/>
          <w:szCs w:val="28"/>
          <w:highlight w:val="none"/>
        </w:rPr>
        <w:t xml:space="preserve">2. 采购代理机构信息（如有）</w:t>
      </w:r>
      <w:bookmarkEnd w:id="31"/>
      <w:r/>
      <w:bookmarkEnd w:id="32"/>
      <w:r/>
      <w:bookmarkEnd w:id="33"/>
      <w:r/>
      <w:bookmarkEnd w:id="34"/>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u w:val="single"/>
        </w:rPr>
        <w:t xml:space="preserve">如皋市城建工程项目管理有限公司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ascii="仿宋" w:hAnsi="仿宋" w:eastAsia="仿宋"/>
          <w:color w:val="auto"/>
          <w:sz w:val="28"/>
          <w:szCs w:val="28"/>
          <w:highlight w:val="none"/>
          <w:u w:val="single"/>
        </w:rPr>
        <w:t xml:space="preserve">如皋市</w:t>
      </w:r>
      <w:r>
        <w:rPr>
          <w:rFonts w:hint="eastAsia" w:ascii="仿宋" w:hAnsi="仿宋" w:eastAsia="仿宋"/>
          <w:color w:val="auto"/>
          <w:sz w:val="28"/>
          <w:szCs w:val="28"/>
          <w:highlight w:val="none"/>
          <w:u w:val="single"/>
        </w:rPr>
        <w:t xml:space="preserve">大司马南路8号</w:t>
      </w:r>
      <w:r>
        <w:rPr>
          <w:rFonts w:ascii="仿宋" w:hAnsi="仿宋" w:eastAsia="仿宋"/>
          <w:color w:val="auto"/>
          <w:sz w:val="28"/>
          <w:szCs w:val="28"/>
          <w:highlight w:val="none"/>
          <w:u w:val="single"/>
        </w:rPr>
        <w:t xml:space="preserve">前一楼</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u w:val="single"/>
        </w:rPr>
        <w:t xml:space="preserve">徐相芹</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u w:val="single"/>
        </w:rPr>
        <w:t xml:space="preserve">13773800561</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rPr>
        <w:t xml:space="preserve"> 1.南通市政府采购线上合同信用融资政策告知函</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w:t>
      </w:r>
      <w:r>
        <w:rPr>
          <w:rFonts w:ascii="仿宋" w:hAnsi="仿宋" w:eastAsia="仿宋"/>
          <w:b/>
          <w:color w:val="auto"/>
          <w:sz w:val="28"/>
          <w:szCs w:val="28"/>
          <w:highlight w:val="none"/>
        </w:rPr>
        <w:t xml:space="preserve">招标文件</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ind w:firstLine="840"/>
        <w:jc w:val="center"/>
        <w:rPr>
          <w:rFonts w:ascii="方正小标宋简体" w:eastAsia="方正小标宋简体"/>
          <w:bCs/>
          <w:color w:val="auto"/>
          <w:sz w:val="32"/>
          <w:szCs w:val="32"/>
          <w:highlight w:val="none"/>
        </w:rPr>
      </w:pPr>
      <w:r>
        <w:rPr>
          <w:rFonts w:ascii="仿宋" w:hAnsi="仿宋" w:eastAsia="仿宋"/>
          <w:color w:val="auto"/>
          <w:sz w:val="28"/>
          <w:szCs w:val="28"/>
          <w:highlight w:val="none"/>
          <w:u w:val="single"/>
        </w:rPr>
        <w:br w:type="page" w:clear="all"/>
      </w:r>
      <w:r>
        <w:rPr>
          <w:rFonts w:hint="eastAsia" w:ascii="方正小标宋简体" w:eastAsia="方正小标宋简体"/>
          <w:bCs/>
          <w:color w:val="auto"/>
          <w:sz w:val="32"/>
          <w:szCs w:val="32"/>
          <w:highlight w:val="none"/>
        </w:rPr>
        <w:t xml:space="preserve">第2章 投标须知</w:t>
      </w:r>
      <w:r/>
    </w:p>
    <w:p>
      <w:pPr>
        <w:ind w:firstLine="548"/>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 投标费用</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 招标文件的约束力</w:t>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color w:val="auto"/>
          <w:sz w:val="28"/>
          <w:szCs w:val="28"/>
          <w:highlight w:val="none"/>
        </w:rPr>
      </w:pPr>
      <w:r/>
      <w:bookmarkStart w:id="35" w:name="_Hlt26670348"/>
      <w:r/>
      <w:bookmarkEnd w:id="35"/>
      <w:r/>
      <w:bookmarkStart w:id="36" w:name="_Hlt26668969"/>
      <w:r/>
      <w:bookmarkEnd w:id="36"/>
      <w:r/>
      <w:bookmarkStart w:id="37" w:name="_Hlt26954832"/>
      <w:r/>
      <w:bookmarkEnd w:id="37"/>
      <w:r/>
      <w:bookmarkStart w:id="38" w:name="_Hlt26670345"/>
      <w:r/>
      <w:bookmarkEnd w:id="38"/>
      <w:r/>
      <w:bookmarkStart w:id="39" w:name="_Hlt26954828"/>
      <w:r/>
      <w:bookmarkEnd w:id="39"/>
      <w:r/>
      <w:bookmarkStart w:id="40" w:name="_Hlt26954830"/>
      <w:r/>
      <w:bookmarkEnd w:id="40"/>
      <w:r/>
      <w:bookmarkStart w:id="41" w:name="_Hlt26670354"/>
      <w:r/>
      <w:bookmarkEnd w:id="41"/>
      <w:r>
        <w:rPr>
          <w:rFonts w:hint="eastAsia" w:ascii="黑体" w:hAnsi="黑体" w:eastAsia="黑体"/>
          <w:color w:val="auto"/>
          <w:sz w:val="28"/>
          <w:szCs w:val="28"/>
          <w:highlight w:val="none"/>
        </w:rPr>
        <w:t xml:space="preserve">3.投标文件编制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除技术性能另有规定外，投标文件所使用的度量衡单位，均须采用国家法定计量单位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 投标文件由开标一览表、资格审查文件、商务技术文件和报价文件等四部分组成，</w:t>
      </w:r>
      <w:r>
        <w:rPr>
          <w:rFonts w:hint="eastAsia" w:ascii="仿宋" w:hAnsi="仿宋" w:eastAsia="仿宋"/>
          <w:bCs/>
          <w:color w:val="auto"/>
          <w:sz w:val="28"/>
          <w:szCs w:val="28"/>
          <w:highlight w:val="none"/>
        </w:rPr>
        <w:t xml:space="preserve">具体按照“第6章 投标文件组成”要求编写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4. 投标文件提交、撤回和修改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5. 开标和评标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w:t>
      </w:r>
      <w:r>
        <w:rPr>
          <w:rFonts w:hint="eastAsia" w:ascii="仿宋" w:hAnsi="仿宋" w:eastAsia="仿宋"/>
          <w:bCs/>
          <w:color w:val="auto"/>
          <w:sz w:val="28"/>
          <w:szCs w:val="28"/>
          <w:highlight w:val="none"/>
        </w:rPr>
        <w:t xml:space="preserve">供应商在评标全过程中应保持通讯畅通，并安排专人与采购人或采购代理机构及评标委员会联系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5.6 开标结束后，</w:t>
      </w:r>
      <w:r>
        <w:rPr>
          <w:rFonts w:ascii="仿宋" w:hAnsi="仿宋" w:eastAsia="仿宋"/>
          <w:bCs/>
          <w:color w:val="auto"/>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w:t>
      </w:r>
      <w:r>
        <w:rPr>
          <w:rFonts w:ascii="仿宋" w:hAnsi="仿宋" w:eastAsia="仿宋"/>
          <w:color w:val="auto"/>
          <w:sz w:val="28"/>
          <w:szCs w:val="28"/>
          <w:highlight w:val="none"/>
        </w:rPr>
        <w:t xml:space="preserve">评标委员会由采购人代表和评审专家组成，成员人数应当为5人以上单数，其中评审专家不得少于成员总数的三分之二。对于</w:t>
      </w:r>
      <w:r>
        <w:rPr>
          <w:color w:val="auto"/>
          <w:highlight w:val="none"/>
        </w:rPr>
        <w:fldChar w:fldCharType="begin"/>
      </w:r>
      <w:r>
        <w:rPr>
          <w:color w:val="auto"/>
          <w:highlight w:val="none"/>
        </w:rPr>
        <w:instrText xml:space="preserve"> HYPERLINK "https://baike.baidu.com/item/%E9%87%87%E8%B4%AD%E9%A2%84%E7%AE%97/6362950?fromModule=lemma_inlink" \t "_blank" </w:instrText>
      </w:r>
      <w:r>
        <w:rPr>
          <w:color w:val="auto"/>
          <w:highlight w:val="none"/>
        </w:rPr>
        <w:fldChar w:fldCharType="separate"/>
      </w:r>
      <w:r>
        <w:rPr>
          <w:rFonts w:ascii="仿宋" w:hAnsi="仿宋" w:eastAsia="仿宋"/>
          <w:color w:val="auto"/>
          <w:sz w:val="28"/>
          <w:szCs w:val="28"/>
          <w:highlight w:val="none"/>
        </w:rPr>
        <w:t xml:space="preserve">预算</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金额在1000万元以上</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技术复杂</w:t>
      </w:r>
      <w:r>
        <w:rPr>
          <w:rFonts w:hint="eastAsia" w:ascii="仿宋" w:hAnsi="仿宋" w:eastAsia="仿宋"/>
          <w:color w:val="auto"/>
          <w:sz w:val="28"/>
          <w:szCs w:val="28"/>
          <w:highlight w:val="none"/>
        </w:rPr>
        <w:t xml:space="preserve">或者</w:t>
      </w:r>
      <w:r>
        <w:rPr>
          <w:rFonts w:ascii="仿宋" w:hAnsi="仿宋" w:eastAsia="仿宋"/>
          <w:color w:val="auto"/>
          <w:sz w:val="28"/>
          <w:szCs w:val="28"/>
          <w:highlight w:val="none"/>
        </w:rPr>
        <w:t xml:space="preserve">社会影响较大的采购项目，评标委员会成员人数应当为7人以上单数</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ascii="仿宋" w:hAnsi="仿宋" w:eastAsia="仿宋"/>
          <w:color w:val="auto"/>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ascii="仿宋" w:hAnsi="仿宋" w:eastAsia="仿宋"/>
          <w:color w:val="auto"/>
          <w:sz w:val="28"/>
          <w:szCs w:val="28"/>
          <w:highlight w:val="none"/>
        </w:rPr>
        <w:t xml:space="preserve">对技术复杂、专业性强的采购项目，通过随机方式难以确定合适评审专家的，经主管</w:t>
      </w:r>
      <w:r>
        <w:rPr>
          <w:color w:val="auto"/>
          <w:highlight w:val="none"/>
        </w:rPr>
        <w:fldChar w:fldCharType="begin"/>
      </w:r>
      <w:r>
        <w:rPr>
          <w:color w:val="auto"/>
          <w:highlight w:val="none"/>
        </w:rPr>
        <w:instrText xml:space="preserve"> HYPERLINK "https://baike.baidu.com/item/%E9%A2%84%E7%AE%97%E5%8D%95%E4%BD%8D/2793664?fromModule=lemma_inlink" \t "_blank" </w:instrText>
      </w:r>
      <w:r>
        <w:rPr>
          <w:color w:val="auto"/>
          <w:highlight w:val="none"/>
        </w:rPr>
        <w:fldChar w:fldCharType="separate"/>
      </w:r>
      <w:r>
        <w:rPr>
          <w:rFonts w:ascii="仿宋" w:hAnsi="仿宋" w:eastAsia="仿宋"/>
          <w:color w:val="auto"/>
          <w:sz w:val="28"/>
          <w:szCs w:val="28"/>
          <w:highlight w:val="none"/>
        </w:rPr>
        <w:t xml:space="preserve">预算单位</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同意，采购人可以自行选定相应专业领域的评审专家。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 除了第5.9条规定的情形之外，</w:t>
      </w:r>
      <w:r>
        <w:rPr>
          <w:rFonts w:ascii="仿宋" w:hAnsi="仿宋" w:eastAsia="仿宋"/>
          <w:color w:val="auto"/>
          <w:sz w:val="28"/>
          <w:szCs w:val="28"/>
          <w:highlight w:val="none"/>
        </w:rPr>
        <w:t xml:space="preserve">评审专家对本单位的采购项目只能作为采购人代表参与评标。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5.13 </w:t>
      </w:r>
      <w:r>
        <w:rPr>
          <w:rFonts w:hint="eastAsia" w:ascii="仿宋" w:hAnsi="仿宋" w:eastAsia="仿宋"/>
          <w:bCs/>
          <w:color w:val="auto"/>
          <w:sz w:val="28"/>
          <w:szCs w:val="28"/>
          <w:highlight w:val="none"/>
        </w:rPr>
        <w:t xml:space="preserve">接到澄清要求的供应商，应在评标委员会规定的时间内做出澄清，澄清的内容作为投标文件的补充部分，</w:t>
      </w:r>
      <w:r>
        <w:rPr>
          <w:rFonts w:hint="eastAsia" w:ascii="仿宋" w:hAnsi="仿宋" w:eastAsia="仿宋"/>
          <w:color w:val="auto"/>
          <w:sz w:val="28"/>
          <w:szCs w:val="28"/>
          <w:highlight w:val="none"/>
        </w:rPr>
        <w:t xml:space="preserve">但澄清、说明或者更正不得超出投标文件的范围或者改变投标文件的实质性内容。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5.14出现下列情形之一的，评标委员会应当启动异常低价投标审查程序：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5.14.1.投标报价低于全部通过符合性审查供应商投标报价平均值50%的，即投标报价&lt;全部通过符合性审查供应商投标报价平均值×50%；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5.14.2.投标报价低于通过符合性审查的次低报价供应商投标报价50%的，即投标报价&lt;通过符合性审查的次低报价供应商投标报价×50%；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5.14.3.投标报价低于采购项目最高限价45%的，即投标报价&lt;采购项目最高限价×45%；</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5.14.4.评标委员会基于专业判断，认为供应商报价过低，有可能影响产品质量或者不能诚信履约的其他情形。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标委员会应当要求相关供应商在评审现场不少于30分钟时间内对投标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5.15.2大写金额和小写金额不一致的，以大写金额为准；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5.18</w:t>
      </w:r>
      <w:r>
        <w:rPr>
          <w:rFonts w:ascii="仿宋" w:hAnsi="仿宋" w:eastAsia="仿宋"/>
          <w:color w:val="auto"/>
          <w:sz w:val="28"/>
          <w:szCs w:val="28"/>
          <w:highlight w:val="none"/>
        </w:rPr>
        <w:t xml:space="preserve"> 评标结果汇总完成后，除</w:t>
      </w:r>
      <w:r>
        <w:rPr>
          <w:rFonts w:hint="eastAsia" w:ascii="仿宋" w:hAnsi="仿宋" w:eastAsia="仿宋"/>
          <w:color w:val="auto"/>
          <w:sz w:val="28"/>
          <w:szCs w:val="28"/>
          <w:highlight w:val="none"/>
        </w:rPr>
        <w:t xml:space="preserve">了</w:t>
      </w:r>
      <w:r>
        <w:rPr>
          <w:rFonts w:ascii="仿宋" w:hAnsi="仿宋" w:eastAsia="仿宋"/>
          <w:color w:val="auto"/>
          <w:sz w:val="28"/>
          <w:szCs w:val="28"/>
          <w:highlight w:val="none"/>
        </w:rPr>
        <w:t xml:space="preserve">分值汇总计算错误</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分项评分超出评分标准范围</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评标委员会成员对客观评审因素评分不一致</w:t>
      </w:r>
      <w:r>
        <w:rPr>
          <w:rFonts w:hint="eastAsia" w:ascii="仿宋" w:hAnsi="仿宋" w:eastAsia="仿宋"/>
          <w:color w:val="auto"/>
          <w:sz w:val="28"/>
          <w:szCs w:val="28"/>
          <w:highlight w:val="none"/>
        </w:rPr>
        <w:t xml:space="preserve">、或者</w:t>
      </w:r>
      <w:r>
        <w:rPr>
          <w:rFonts w:ascii="仿宋" w:hAnsi="仿宋" w:eastAsia="仿宋"/>
          <w:color w:val="auto"/>
          <w:sz w:val="28"/>
          <w:szCs w:val="28"/>
          <w:highlight w:val="none"/>
        </w:rPr>
        <w:t xml:space="preserve">经评标委员会认定评分畸高、畸低</w:t>
      </w:r>
      <w:r>
        <w:rPr>
          <w:rFonts w:hint="eastAsia" w:ascii="仿宋" w:hAnsi="仿宋" w:eastAsia="仿宋"/>
          <w:color w:val="auto"/>
          <w:sz w:val="28"/>
          <w:szCs w:val="28"/>
          <w:highlight w:val="none"/>
        </w:rPr>
        <w:t xml:space="preserve">等</w:t>
      </w:r>
      <w:r>
        <w:rPr>
          <w:rFonts w:ascii="仿宋" w:hAnsi="仿宋" w:eastAsia="仿宋"/>
          <w:color w:val="auto"/>
          <w:sz w:val="28"/>
          <w:szCs w:val="28"/>
          <w:highlight w:val="none"/>
        </w:rPr>
        <w:t xml:space="preserve">情形之外，任何人不得修改评标结果</w:t>
      </w:r>
      <w:r>
        <w:rPr>
          <w:rFonts w:hint="eastAsia" w:ascii="仿宋" w:hAnsi="仿宋" w:eastAsia="仿宋"/>
          <w:color w:val="auto"/>
          <w:sz w:val="28"/>
          <w:szCs w:val="28"/>
          <w:highlight w:val="none"/>
        </w:rPr>
        <w:t xml:space="preserve">。</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 有下列情形之一的，视为投标人串通投标，其投标无效：</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5.19.1不同投标人的投标文件由同一单位或者个人编制；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5.19.2不同投标人的电子投标文件由同一台电子设备编制、打包、加密或者上传；</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5.19.3 不同投标人的投标文件由同一投标人的电子设备打印、复印；</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5.19.4不同投标人的投标报价用同一个预算编制软件密码锁制作或者出自同一投标人的电子文档；</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5.19.5不同投标人从同一个投标单位或者同一个自然人的互联网协议地址下载招标文件、上传投标文件；</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5.19.6 不同投标人的投标文件异常一致或者投标报价呈规律性差异；</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5.19.7 不同投标人委托同一单位或者个人办理投标事宜；</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5.19.8不同投标人的投标文件载明的项目管理成员或者联系人员为同一人；</w:t>
      </w:r>
      <w:r/>
    </w:p>
    <w:p>
      <w:pPr>
        <w:ind w:firstLine="57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6. 中标和合同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7.政府采购政策功能落实</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869"/>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黑体" w:hAnsi="黑体" w:eastAsia="黑体"/>
          <w:bCs/>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8.无效投标和招标活动终止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出现下列情形之一的，作无效投标处理。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不具备招标文件中规定的资格要求的。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不符合法律、法规和招标文件中规定的其他实质性要求的。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投标文件含有采购人不能接受的附加条件的。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投标文件未按照招标文件要求加盖电子签章。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供应商在系统规定的时间内未成功解密电子投标文件的。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未完整上传投标文件电子文档的,或上传的文件打不开的。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不同的供应商投标文件制作机器码、文件创建标识码一致的。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 不同投标人委托同一单位或者个人办理投标事宜。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8.1.16其他法律、法规及本招标文件规定的属无效投标的情形。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出现下列情形之一的，本次招标活动将被终止：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合格</w:t>
      </w:r>
      <w:r>
        <w:rPr>
          <w:rFonts w:ascii="仿宋" w:hAnsi="仿宋" w:eastAsia="仿宋"/>
          <w:color w:val="auto"/>
          <w:sz w:val="28"/>
          <w:szCs w:val="28"/>
          <w:highlight w:val="none"/>
        </w:rPr>
        <w:t xml:space="preserve">投标人不足</w:t>
      </w:r>
      <w:r>
        <w:rPr>
          <w:rFonts w:hint="eastAsia" w:ascii="仿宋" w:hAnsi="仿宋" w:eastAsia="仿宋"/>
          <w:color w:val="auto"/>
          <w:sz w:val="28"/>
          <w:szCs w:val="28"/>
          <w:highlight w:val="none"/>
        </w:rPr>
        <w:t xml:space="preserve">3家</w:t>
      </w:r>
      <w:r>
        <w:rPr>
          <w:rFonts w:ascii="仿宋" w:hAnsi="仿宋" w:eastAsia="仿宋"/>
          <w:color w:val="auto"/>
          <w:sz w:val="28"/>
          <w:szCs w:val="28"/>
          <w:highlight w:val="none"/>
        </w:rPr>
        <w:t xml:space="preserve">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因重大变故，采购任务取消的。</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9. 询问、质疑和投诉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，见招标文件第</w:t>
      </w:r>
      <w:r>
        <w:rPr>
          <w:rFonts w:hint="eastAsia" w:ascii="仿宋" w:hAnsi="仿宋" w:eastAsia="仿宋"/>
          <w:b/>
          <w:color w:val="auto"/>
          <w:sz w:val="28"/>
          <w:szCs w:val="28"/>
          <w:highlight w:val="none"/>
        </w:rPr>
        <w:t xml:space="preserve">1章</w:t>
      </w:r>
      <w:r>
        <w:rPr>
          <w:rFonts w:ascii="仿宋" w:hAnsi="仿宋" w:eastAsia="仿宋"/>
          <w:b/>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A座814室，联系电话0513-87623860）。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10. 政府采购合同信用融资扶持政策</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bookmarkEnd w:id="4"/>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firstLine="560"/>
        <w:jc w:val="left"/>
        <w:spacing w:line="50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11.1 采购代理服务费收取标准：</w:t>
      </w:r>
      <w:r>
        <w:rPr>
          <w:rFonts w:hint="eastAsia" w:ascii="仿宋" w:hAnsi="仿宋" w:eastAsia="仿宋"/>
          <w:color w:val="auto"/>
          <w:sz w:val="28"/>
          <w:szCs w:val="28"/>
          <w:highlight w:val="none"/>
          <w:lang w:val="zh-CN"/>
        </w:rPr>
        <w:t xml:space="preserve">采购代理服务费以成交价为基数，采用差额定率累进法（100万元以下部分，费率1.5%；100万元（含）~500万元部分，费率为1.1%；500万元（含）~1000万元部分，费率0.8%；1000万元（含）~5000万元部分，费率为0.5%）分段计算后汇总，不足</w:t>
      </w:r>
      <w:r>
        <w:rPr>
          <w:rFonts w:hint="eastAsia" w:ascii="仿宋" w:hAnsi="仿宋" w:eastAsia="仿宋"/>
          <w:color w:val="auto"/>
          <w:sz w:val="28"/>
          <w:szCs w:val="28"/>
          <w:highlight w:val="none"/>
        </w:rPr>
        <w:t xml:space="preserve">叁</w:t>
      </w:r>
      <w:r>
        <w:rPr>
          <w:rFonts w:hint="eastAsia" w:ascii="仿宋" w:hAnsi="仿宋" w:eastAsia="仿宋"/>
          <w:color w:val="auto"/>
          <w:sz w:val="28"/>
          <w:szCs w:val="28"/>
          <w:highlight w:val="none"/>
          <w:lang w:val="zh-CN"/>
        </w:rPr>
        <w:t xml:space="preserve">仟按</w:t>
      </w:r>
      <w:r>
        <w:rPr>
          <w:rFonts w:hint="eastAsia" w:ascii="仿宋" w:hAnsi="仿宋" w:eastAsia="仿宋"/>
          <w:color w:val="auto"/>
          <w:sz w:val="28"/>
          <w:szCs w:val="28"/>
          <w:highlight w:val="none"/>
        </w:rPr>
        <w:t xml:space="preserve">叁</w:t>
      </w:r>
      <w:r>
        <w:rPr>
          <w:rFonts w:hint="eastAsia" w:ascii="仿宋" w:hAnsi="仿宋" w:eastAsia="仿宋"/>
          <w:color w:val="auto"/>
          <w:sz w:val="28"/>
          <w:szCs w:val="28"/>
          <w:highlight w:val="none"/>
          <w:lang w:val="zh-CN"/>
        </w:rPr>
        <w:t xml:space="preserve">仟元计取，</w:t>
      </w:r>
      <w:r>
        <w:rPr>
          <w:rFonts w:hint="eastAsia" w:ascii="仿宋" w:hAnsi="仿宋" w:eastAsia="仿宋"/>
          <w:color w:val="auto"/>
          <w:sz w:val="28"/>
          <w:szCs w:val="28"/>
          <w:highlight w:val="none"/>
        </w:rPr>
        <w:t xml:space="preserve">代理费上限5万元，</w:t>
      </w:r>
      <w:r>
        <w:rPr>
          <w:rFonts w:hint="eastAsia" w:ascii="仿宋" w:hAnsi="仿宋" w:eastAsia="仿宋"/>
          <w:color w:val="auto"/>
          <w:sz w:val="28"/>
          <w:szCs w:val="28"/>
          <w:highlight w:val="none"/>
          <w:lang w:val="zh-CN"/>
        </w:rPr>
        <w:t xml:space="preserve">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（1）收款单位名称：如皋市城建工程项目管理有限公司</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（2）账户号码：32001647264059668888</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（3）开户行：中国建设银行股份有限公司如皋城中支行</w:t>
      </w:r>
      <w:r/>
    </w:p>
    <w:p>
      <w:pPr>
        <w:ind w:firstLine="560"/>
        <w:jc w:val="left"/>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12.其他事项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12.1产品要求：</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12.2产品品牌与型号：</w:t>
      </w:r>
      <w:r/>
    </w:p>
    <w:p>
      <w:pPr>
        <w:ind w:firstLine="560"/>
        <w:jc w:val="left"/>
        <w:spacing w:line="500" w:lineRule="exact"/>
        <w:rPr>
          <w:rFonts w:ascii="仿宋" w:hAnsi="仿宋" w:eastAsia="仿宋"/>
          <w:color w:val="auto"/>
          <w:sz w:val="28"/>
          <w:szCs w:val="28"/>
          <w:highlight w:val="none"/>
        </w:rPr>
        <w:outlineLvl w:val="1"/>
      </w:pPr>
      <w:r>
        <w:rPr>
          <w:rFonts w:hint="eastAsia" w:ascii="仿宋" w:hAnsi="仿宋" w:eastAsia="仿宋"/>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jc w:val="left"/>
        <w:spacing w:line="500" w:lineRule="exact"/>
        <w:rPr>
          <w:rFonts w:ascii="仿宋" w:hAnsi="仿宋" w:eastAsia="仿宋"/>
          <w:color w:val="auto"/>
          <w:sz w:val="28"/>
          <w:szCs w:val="28"/>
          <w:highlight w:val="none"/>
        </w:rPr>
        <w:outlineLvl w:val="1"/>
      </w:pPr>
      <w:r>
        <w:rPr>
          <w:rFonts w:ascii="仿宋" w:hAnsi="仿宋" w:eastAsia="仿宋"/>
          <w:color w:val="auto"/>
          <w:sz w:val="28"/>
          <w:szCs w:val="28"/>
          <w:highlight w:val="none"/>
        </w:rPr>
      </w:r>
      <w:r/>
    </w:p>
    <w:p>
      <w:pPr>
        <w:ind w:firstLine="560"/>
        <w:jc w:val="left"/>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00" w:lineRule="exact"/>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第3章 采购需求</w:t>
      </w:r>
      <w:r/>
    </w:p>
    <w:p>
      <w:pPr>
        <w:ind w:firstLine="562"/>
        <w:jc w:val="center"/>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投标人在制作投标文件时仔细研究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olor w:val="auto"/>
          <w:sz w:val="28"/>
          <w:szCs w:val="28"/>
          <w:highlight w:val="none"/>
        </w:rPr>
      </w:pPr>
      <w:r>
        <w:rPr>
          <w:rFonts w:ascii="仿宋" w:hAnsi="仿宋" w:eastAsia="仿宋"/>
          <w:b/>
          <w:bCs/>
          <w:color w:val="auto"/>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一、项目简介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本项目为城市道路照明养护LED灯具采购项目，采购标的物包括：100W、150W、200W LED灯具（同一系列产品）、250WLED 灯具、55WLED灯泡，单灯智能控制器。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所有灯具须为同一系列设计，外观造型、结构工艺、表面处理、光学系统、电气接口完全一致，仅功率配置不同。</w:t>
      </w:r>
      <w:r/>
    </w:p>
    <w:p>
      <w:pPr>
        <w:numPr>
          <w:ilvl w:val="0"/>
          <w:numId w:val="3"/>
        </w:num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采购内容</w:t>
      </w:r>
      <w:r/>
    </w:p>
    <w:tbl>
      <w:tblPr>
        <w:tblStyle w:val="869"/>
        <w:tblW w:w="9570" w:type="dxa"/>
        <w:jc w:val="center"/>
        <w:tblLayout w:type="autofit"/>
        <w:tblCellMar>
          <w:left w:w="108" w:type="dxa"/>
          <w:top w:w="0" w:type="dxa"/>
          <w:right w:w="108" w:type="dxa"/>
          <w:bottom w:w="0" w:type="dxa"/>
        </w:tblCellMar>
        <w:tblLook w:val="04A0" w:firstRow="1" w:lastRow="0" w:firstColumn="1" w:lastColumn="0" w:noHBand="0" w:noVBand="1"/>
      </w:tblPr>
      <w:tblGrid>
        <w:gridCol w:w="659"/>
        <w:gridCol w:w="2991"/>
        <w:gridCol w:w="873"/>
        <w:gridCol w:w="898"/>
        <w:gridCol w:w="900"/>
        <w:gridCol w:w="900"/>
        <w:gridCol w:w="900"/>
        <w:gridCol w:w="1449"/>
      </w:tblGrid>
      <w:tr>
        <w:trPr>
          <w:jc w:val="center"/>
          <w:trHeight w:val="567"/>
          <w:tblHeader/>
        </w:trPr>
        <w:tc>
          <w:tcPr>
            <w:gridSpan w:val="8"/>
            <w:shd w:val="clear" w:color="auto" w:fill="auto"/>
            <w:tcBorders>
              <w:top w:val="none" w:color="000000" w:sz="4" w:space="0"/>
              <w:left w:val="none" w:color="000000" w:sz="4" w:space="0"/>
              <w:bottom w:val="none" w:color="000000" w:sz="4" w:space="0"/>
              <w:right w:val="none" w:color="000000" w:sz="4" w:space="0"/>
            </w:tcBorders>
            <w:tcW w:w="9570" w:type="dxa"/>
            <w:vAlign w:val="center"/>
            <w:textDirection w:val="lrTb"/>
            <w:noWrap/>
          </w:tcPr>
          <w:p>
            <w:pPr>
              <w:jc w:val="center"/>
              <w:widowControl/>
              <w:rPr>
                <w:rFonts w:ascii="宋体" w:hAnsi="宋体" w:cs="宋体"/>
                <w:b/>
                <w:bCs/>
                <w:color w:val="auto"/>
                <w:sz w:val="52"/>
                <w:szCs w:val="52"/>
                <w:highlight w:val="none"/>
              </w:rPr>
            </w:pPr>
            <w:r>
              <w:rPr>
                <w:rFonts w:hint="eastAsia" w:ascii="宋体" w:hAnsi="宋体" w:cs="宋体"/>
                <w:b/>
                <w:bCs/>
                <w:color w:val="auto"/>
                <w:sz w:val="52"/>
                <w:szCs w:val="52"/>
                <w:highlight w:val="none"/>
              </w:rPr>
              <w:t xml:space="preserve">LED改造供货清单</w:t>
            </w:r>
            <w:r/>
          </w:p>
        </w:tc>
      </w:tr>
      <w:tr>
        <w:trPr>
          <w:jc w:val="cente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55w（灯泡）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100w（两模）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150w（三模）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200w（四模）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250w（五模）</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单灯控制器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中山路（花市路以西）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347</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怡年路（益寿路以西）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宁海路（李渔路-紫光路）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32</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宁海路（益寿路-花市路）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72</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宁海西路（大寿星路以西）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解放路（花市路以西）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314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钱王大道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花市路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291</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大寿星路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230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科技路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300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城西大道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创业大道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创业园南路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创业园西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志颐路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127</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海阳路华灯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红十四军华灯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紫光路（惠政路-中山路）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310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李渔路（惠政路-丞相大道）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172</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万寿路(惠政路以南）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574</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海阳路（惠政路以南）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708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长宁路（惠政路-创智大道）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长宁路（惠政路-解放路）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湖心路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36</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创智大道（海阳路-益寿路）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208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福寿路（李渔路-紫光路）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86</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绿园路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18</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tcPr>
          <w:p>
            <w:pPr>
              <w:jc w:val="center"/>
              <w:widowControl/>
              <w:rPr>
                <w:rFonts w:ascii="宋体" w:hAnsi="宋体" w:cs="宋体"/>
                <w:b/>
                <w:color w:val="auto"/>
                <w:sz w:val="22"/>
                <w:szCs w:val="22"/>
                <w:highlight w:val="none"/>
              </w:rPr>
            </w:pPr>
            <w:r>
              <w:rPr>
                <w:rFonts w:hint="eastAsia" w:ascii="宋体" w:hAnsi="宋体" w:cs="宋体"/>
                <w:b/>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991" w:type="dxa"/>
            <w:vAlign w:val="center"/>
            <w:textDirection w:val="lrTb"/>
            <w:noWrap/>
          </w:tcPr>
          <w:p>
            <w:pPr>
              <w:jc w:val="center"/>
              <w:widowControl/>
              <w:rPr>
                <w:rFonts w:ascii="宋体" w:hAnsi="宋体" w:cs="宋体"/>
                <w:b/>
                <w:color w:val="auto"/>
                <w:sz w:val="22"/>
                <w:szCs w:val="22"/>
                <w:highlight w:val="none"/>
              </w:rPr>
            </w:pPr>
            <w:r>
              <w:rPr>
                <w:rFonts w:hint="eastAsia" w:ascii="宋体" w:hAnsi="宋体" w:cs="宋体"/>
                <w:b/>
                <w:color w:val="auto"/>
                <w:sz w:val="22"/>
                <w:szCs w:val="22"/>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widowControl/>
              <w:rPr>
                <w:rFonts w:ascii="宋体" w:hAnsi="宋体" w:cs="宋体"/>
                <w:b/>
                <w:color w:val="auto"/>
                <w:sz w:val="22"/>
                <w:szCs w:val="22"/>
                <w:highlight w:val="none"/>
              </w:rPr>
            </w:pPr>
            <w:r>
              <w:rPr>
                <w:rFonts w:hint="eastAsia" w:ascii="宋体" w:hAnsi="宋体" w:cs="宋体"/>
                <w:b/>
                <w:color w:val="auto"/>
                <w:sz w:val="22"/>
                <w:szCs w:val="22"/>
                <w:highlight w:val="none"/>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jc w:val="center"/>
              <w:widowControl/>
              <w:rPr>
                <w:rFonts w:ascii="宋体" w:hAnsi="宋体" w:cs="宋体"/>
                <w:b/>
                <w:color w:val="auto"/>
                <w:sz w:val="22"/>
                <w:szCs w:val="22"/>
                <w:highlight w:val="none"/>
              </w:rPr>
            </w:pPr>
            <w:r>
              <w:rPr>
                <w:rFonts w:hint="eastAsia" w:ascii="宋体" w:hAnsi="宋体" w:cs="宋体"/>
                <w:b/>
                <w:color w:val="auto"/>
                <w:sz w:val="22"/>
                <w:szCs w:val="22"/>
                <w:highlight w:val="none"/>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b/>
                <w:color w:val="auto"/>
                <w:sz w:val="22"/>
                <w:szCs w:val="22"/>
                <w:highlight w:val="none"/>
              </w:rPr>
            </w:pPr>
            <w:r>
              <w:rPr>
                <w:rFonts w:hint="eastAsia" w:ascii="宋体" w:hAnsi="宋体" w:cs="宋体"/>
                <w:b/>
                <w:color w:val="auto"/>
                <w:sz w:val="22"/>
                <w:szCs w:val="22"/>
                <w:highlight w:val="none"/>
              </w:rPr>
              <w:t xml:space="preserve">1910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b/>
                <w:color w:val="auto"/>
                <w:sz w:val="22"/>
                <w:szCs w:val="22"/>
                <w:highlight w:val="none"/>
              </w:rPr>
            </w:pPr>
            <w:r>
              <w:rPr>
                <w:rFonts w:hint="eastAsia" w:ascii="宋体" w:hAnsi="宋体" w:cs="宋体"/>
                <w:b/>
                <w:color w:val="auto"/>
                <w:sz w:val="22"/>
                <w:szCs w:val="22"/>
                <w:highlight w:val="none"/>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widowControl/>
              <w:rPr>
                <w:rFonts w:ascii="宋体" w:hAnsi="宋体" w:cs="宋体"/>
                <w:b/>
                <w:color w:val="auto"/>
                <w:sz w:val="22"/>
                <w:szCs w:val="22"/>
                <w:highlight w:val="none"/>
              </w:rPr>
            </w:pPr>
            <w:r>
              <w:rPr>
                <w:rFonts w:hint="eastAsia" w:ascii="宋体" w:hAnsi="宋体" w:cs="宋体"/>
                <w:b/>
                <w:color w:val="auto"/>
                <w:sz w:val="22"/>
                <w:szCs w:val="22"/>
                <w:highlight w:val="none"/>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49" w:type="dxa"/>
            <w:vAlign w:val="center"/>
            <w:textDirection w:val="lrTb"/>
            <w:noWrap/>
          </w:tcPr>
          <w:p>
            <w:pPr>
              <w:jc w:val="center"/>
              <w:widowControl/>
              <w:rPr>
                <w:rFonts w:ascii="宋体" w:hAnsi="宋体" w:cs="宋体"/>
                <w:b/>
                <w:color w:val="auto"/>
                <w:sz w:val="22"/>
                <w:szCs w:val="22"/>
                <w:highlight w:val="none"/>
              </w:rPr>
            </w:pPr>
            <w:r>
              <w:rPr>
                <w:rFonts w:hint="eastAsia" w:ascii="宋体" w:hAnsi="宋体" w:cs="宋体"/>
                <w:b/>
                <w:color w:val="auto"/>
                <w:sz w:val="22"/>
                <w:szCs w:val="22"/>
                <w:highlight w:val="none"/>
              </w:rPr>
              <w:t xml:space="preserve">4690</w:t>
            </w:r>
            <w:r/>
          </w:p>
        </w:tc>
      </w:tr>
    </w:tbl>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三、技术要求</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（一）规范性引用文件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凡注日期的引用文件，仅所注日期版本适用。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 7000.1　灯具 第1部分：一般要求与试验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 7000.203　灯具 第2-3部分：特殊要求 道路与街路照明灯具</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9468　灯具分布光度测量的一般要求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24827　道路与街路照明灯具性能要求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31832　LED城市道路照明应用技术要求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35269　LED照明应用与接口要求 非集成式LED模块的道路灯具</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34846　LED道路隧道照明专用模块规格和接口技术要求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 17625.1　电磁兼容 限制 谐波电流发射限值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 17625.2　电磁兼容 限制 电压变化、电压波动和闪烁的限值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 17743　电器照明和类似设备的无线电骚扰特性的限值和测量方法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18595　一般照明用设备电磁兼容抗扰度要求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33721　灯具振动测试标准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20138　电器设备外壳对外界机械碰撞的防护等级（IK代码）</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GB/T 2423.17　电工电子产品环境试验 盐雾试验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GB 19510.1 / GB 19510.14　灯的控制装置安全要求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CJJ 45　城市道路照明设计标准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T/CMEA 001　LED道路照明应用技术导则</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IES LM-79-19　固态照明产品电气和光度测量方法</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二</w:t>
      </w:r>
      <w:r>
        <w:rPr>
          <w:rFonts w:hint="eastAsia" w:ascii="黑体" w:hAnsi="黑体" w:eastAsia="黑体"/>
          <w:color w:val="auto"/>
          <w:sz w:val="28"/>
          <w:szCs w:val="28"/>
          <w:highlight w:val="none"/>
        </w:rPr>
        <w:t xml:space="preserve">）LED灯泡技术要求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要求：灯泡的安装接口与传统高压钠灯（E40）相同，在不改变钠灯灯壳结构的前提下可实现直接替换。具有防雷保护、电压保护、超载保护、高低温保护、温控式主动散热等功能。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安装方式：螺口E40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额定功率：55w</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光通量：≥8000lm</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色温：3000K±200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工作电压：175V-265V AC</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频率范围：50-60HZ</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产品尺寸：直径≤65mm，长度≤250mm</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光束角度: 轴向120-150°，垂直轴向360°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显色指数：Ra≥80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散热方式：温控式主动散热（风扇）</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三</w:t>
      </w:r>
      <w:r>
        <w:rPr>
          <w:rFonts w:hint="eastAsia" w:ascii="黑体" w:hAnsi="黑体" w:eastAsia="黑体"/>
          <w:color w:val="auto"/>
          <w:sz w:val="28"/>
          <w:szCs w:val="28"/>
          <w:highlight w:val="none"/>
        </w:rPr>
        <w:t xml:space="preserve">）、灯具结构与壳体技术要求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.1 外形尺寸与重量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100WLED灯具:长650mm - 850mm，宽330mm -430mm，高 80mm - 180mm;总重量≥5.Okg。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150W LED灯具:长 650mm - 850mm, 宽330mm - 430mm, 高 80mm - 180mm;总重量≥</w:t>
      </w:r>
      <w:r>
        <w:rPr>
          <w:rFonts w:hint="eastAsia" w:ascii="仿宋" w:hAnsi="仿宋" w:eastAsia="仿宋"/>
          <w:color w:val="auto"/>
          <w:sz w:val="28"/>
          <w:szCs w:val="28"/>
          <w:highlight w:val="none"/>
          <w:lang w:val="en-US" w:eastAsia="zh-CN"/>
        </w:rPr>
        <w:t xml:space="preserve">6.0</w:t>
      </w:r>
      <w:r>
        <w:rPr>
          <w:rFonts w:hint="eastAsia" w:ascii="仿宋" w:hAnsi="仿宋" w:eastAsia="仿宋"/>
          <w:color w:val="auto"/>
          <w:sz w:val="28"/>
          <w:szCs w:val="28"/>
          <w:highlight w:val="none"/>
        </w:rPr>
        <w:t xml:space="preserve">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200W LED灯具:长780mm -1000mm， 宽330mm -430mm，高80mm - 180mm;总重量≥6.</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250W LED灯具:长780mm -1000mm， 宽330mm -430mm，高80mm - 180mm;总重量≥</w:t>
      </w:r>
      <w:r>
        <w:rPr>
          <w:rFonts w:hint="eastAsia" w:ascii="仿宋" w:hAnsi="仿宋" w:eastAsia="仿宋"/>
          <w:color w:val="auto"/>
          <w:sz w:val="28"/>
          <w:szCs w:val="28"/>
          <w:highlight w:val="none"/>
          <w:lang w:val="en-US" w:eastAsia="zh-CN"/>
        </w:rPr>
        <w:t xml:space="preserve">8.5</w:t>
      </w:r>
      <w:r>
        <w:rPr>
          <w:rFonts w:hint="eastAsia" w:ascii="仿宋" w:hAnsi="仿宋" w:eastAsia="仿宋"/>
          <w:color w:val="auto"/>
          <w:sz w:val="28"/>
          <w:szCs w:val="28"/>
          <w:highlight w:val="none"/>
        </w:rPr>
        <w:t xml:space="preserve">kg。</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.2 材质与表面处理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壳体材质采用ADC12及以上国标铝合金整体高压压铸成型，不得采用拼接式或型材组装结构。壳体壁厚满足结构强度与散热需求，表面须经静电喷塑处理，防腐等级不低于WF2，质保期内不变色、不剥落。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所有插销、铰链、螺钉、螺丝、螺母、垫片  等连接件、紧固件须全部采用304及以上不锈钢材质。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灯具密封件须耐温、耐老化、耐道路腐蚀性气体；灯具上油漆部件涂层符合QB/T 1551-1992中Ⅱ类使用条件，电镀或化学覆盖件符合QB/T 3741-1999中Ⅲ类使用条件；表面处理工艺设计寿命不低于5年。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.3 防护与密封</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防机械碰撞等级不低于IK08。</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灯具采用无工具开启方式（如不锈钢活卡扣、掀盖式等），便于现场维护。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盖与腔体之间须配密封胶条，实现硅橡胶密封圈防水防尘，不得使用胶水密封。</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电器腔须为独立空间 ，与光源腔完全隔离，避免热源与电器元件相互干扰，配独立散热通道。</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灯具须配有304不锈钢防坠落装置（不锈钢钢丝直径不小于3mm，并有PE管保护），防坠落装置必须装在LED灯具前端防模块掉落。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.4 安装接口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安装管径：按现场实际需求供货（不得使用转接套件）；灯臂接口插入深度不低于100mm。</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.5 导线与接线</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内部导线采用耐高温导线，灯具引出线线径不小于1.5mm²；相线与零线颜色必须有明显区别。</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灯具应有特设的导线出入口不锈钢密封装置；外部接线和内部接线穿过硬质材料时应有保护措施。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灯具内应设电源接线端子，内部接线使用快接插头，确保电源和LED模组可在现场灯杆上替换。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4.6铭牌与标识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每个灯具外壳须具有永久性注册商标。灯具外壳须铸有永久性硬性注册品牌名称（非贴纸或喷码），字体清晰、不可磨灭。</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四</w:t>
      </w:r>
      <w:r>
        <w:rPr>
          <w:rFonts w:hint="eastAsia" w:ascii="黑体" w:hAnsi="黑体" w:eastAsia="黑体"/>
          <w:color w:val="auto"/>
          <w:sz w:val="28"/>
          <w:szCs w:val="28"/>
          <w:highlight w:val="none"/>
        </w:rPr>
        <w:t xml:space="preserve">）LED光源模组技术要求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.1 芯片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LED芯片需为原厂封装芯片，不得采用集成式芯片，采用单颗粒LED芯片结构且单颗芯片实际使用功率≥1W。</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.2 结构与互换性</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模组须为非集成式独立模组，尺寸符合GB/T 35269-2017：总长度L0≤300mm，安装孔中心间距L1=286mm，发光面长度L2≤272mm；总宽度W0≤70mm，宽度方向安装孔中心间距W1=30mm，安装腰孔长度W2=15mm；总高度H0≤60mm。</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模组采用并联方式连接；模组结构和机械互换性符合GB/T 35269-2017或GB/T 34846-2017，可现场随意拆换组合。</w:t>
      </w:r>
      <w:r/>
    </w:p>
    <w:p>
      <w:pPr>
        <w:ind w:firstLine="560"/>
        <w:spacing w:line="500" w:lineRule="exact"/>
        <w:rPr>
          <w:color w:val="auto"/>
          <w:highlight w:val="none"/>
        </w:rPr>
      </w:pPr>
      <w:r>
        <w:rPr>
          <w:rFonts w:hint="eastAsia" w:ascii="仿宋" w:hAnsi="仿宋" w:eastAsia="仿宋"/>
          <w:color w:val="auto"/>
          <w:sz w:val="28"/>
          <w:szCs w:val="28"/>
          <w:highlight w:val="none"/>
        </w:rPr>
        <w:t xml:space="preserve">每个模组具有独立的散热、防水和配光系统。</w:t>
      </w:r>
      <w:r/>
    </w:p>
    <w:p>
      <w:pPr>
        <w:pStyle w:val="871"/>
        <w:numPr>
          <w:ilvl w:val="0"/>
          <w:numId w:val="0"/>
        </w:numPr>
        <w:contextualSpacing/>
        <w:spacing w:after="60" w:line="276" w:lineRule="auto"/>
        <w:rPr>
          <w:rFonts w:ascii="宋体" w:hAnsi="宋体"/>
          <w:color w:val="auto"/>
          <w:highlight w:val="none"/>
        </w:rPr>
      </w:pPr>
      <w:r>
        <w:rPr>
          <w:rFonts w:ascii="宋体" w:hAnsi="宋体" w:cs="仿宋"/>
          <w:color w:val="auto"/>
          <w:sz w:val="24"/>
          <w:highlight w:val="none"/>
        </w:rPr>
        <mc:AlternateContent>
          <mc:Choice Requires="wpg">
            <w:drawing>
              <wp:inline xmlns:wp="http://schemas.openxmlformats.org/drawingml/2006/wordprocessingDrawing" distT="0" distB="0" distL="0" distR="0">
                <wp:extent cx="5276215" cy="3073400"/>
                <wp:effectExtent l="0" t="0" r="12065" b="5080"/>
                <wp:docPr id="1"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5276761" cy="30734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4pt;height:242.0pt;mso-wrap-distance-left:0.0pt;mso-wrap-distance-top:0.0pt;mso-wrap-distance-right:0.0pt;mso-wrap-distance-bottom:0.0pt;" stroked="f">
                <v:path textboxrect="0,0,0,0"/>
                <v:imagedata r:id="rId12" o:title=""/>
              </v:shape>
            </w:pict>
          </mc:Fallback>
        </mc:AlternateContent>
      </w:r>
      <w:r>
        <w:rPr>
          <w:rFonts w:ascii="宋体" w:hAnsi="宋体" w:cs="仿宋"/>
          <w:color w:val="auto"/>
          <w:sz w:val="24"/>
          <w:highlight w:val="none"/>
        </w:rPr>
        <mc:AlternateContent>
          <mc:Choice Requires="wpg">
            <w:drawing>
              <wp:inline xmlns:wp="http://schemas.openxmlformats.org/drawingml/2006/wordprocessingDrawing" distT="0" distB="0" distL="0" distR="0">
                <wp:extent cx="3485515" cy="2596515"/>
                <wp:effectExtent l="0" t="0" r="4445" b="9525"/>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rcRect l="0" t="-1010" r="-215" b="-436"/>
                        <a:stretch/>
                      </pic:blipFill>
                      <pic:spPr bwMode="auto">
                        <a:xfrm>
                          <a:off x="0" y="0"/>
                          <a:ext cx="3486061" cy="2597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4.4pt;height:204.4pt;mso-wrap-distance-left:0.0pt;mso-wrap-distance-top:0.0pt;mso-wrap-distance-right:0.0pt;mso-wrap-distance-bottom:0.0pt;" stroked="f">
                <v:path textboxrect="0,0,0,0"/>
                <v:imagedata r:id="rId13" o:title=""/>
              </v:shape>
            </w:pict>
          </mc:Fallback>
        </mc:AlternateConten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.3 铭牌与标识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每个模组须具有独立永久性标识：品牌、型号、功率、电压等信息。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.4 防水等级</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单个LED模组防护等级达到IP67。</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.5 色温与功率配置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模组色温：3000K±200；单个模组额定功率50W。</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功率配置：100W灯具配2个模组；150W灯具配3个模组；200W灯具配4个模组。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.6 连接器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模组与灯体之间、控制装置与灯体之间通过可插接式防水电子连接器  软线连接，连接器防护等级不低于IP65。</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插针距离L1=6.3mm，插针直径D1=1.5mm；正负端引线颜色：正极棕色，负极蓝色。</w:t>
      </w:r>
      <w:r/>
    </w:p>
    <w:p>
      <w:pPr>
        <w:pStyle w:val="871"/>
        <w:numPr>
          <w:ilvl w:val="0"/>
          <w:numId w:val="0"/>
        </w:numPr>
        <w:ind w:firstLine="480"/>
        <w:widowControl/>
        <w:rPr>
          <w:color w:val="auto"/>
          <w:highlight w:val="none"/>
        </w:rPr>
      </w:pPr>
      <w:r>
        <w:rPr>
          <w:rFonts w:ascii="宋体" w:hAnsi="宋体" w:cs="仿宋"/>
          <w:color w:val="auto"/>
          <w:sz w:val="24"/>
          <w:highlight w:val="none"/>
        </w:rPr>
        <mc:AlternateContent>
          <mc:Choice Requires="wpg">
            <w:drawing>
              <wp:inline xmlns:wp="http://schemas.openxmlformats.org/drawingml/2006/wordprocessingDrawing" distT="0" distB="0" distL="0" distR="0">
                <wp:extent cx="3879215" cy="2305050"/>
                <wp:effectExtent l="0" t="0" r="6985" b="11430"/>
                <wp:docPr id="3"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3879736" cy="2305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5.4pt;height:181.5pt;mso-wrap-distance-left:0.0pt;mso-wrap-distance-top:0.0pt;mso-wrap-distance-right:0.0pt;mso-wrap-distance-bottom:0.0pt;" stroked="f">
                <v:path textboxrect="0,0,0,0"/>
                <v:imagedata r:id="rId14" o:title=""/>
              </v:shape>
            </w:pict>
          </mc:Fallback>
        </mc:AlternateConten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五</w:t>
      </w:r>
      <w:r>
        <w:rPr>
          <w:rFonts w:hint="eastAsia" w:ascii="黑体" w:hAnsi="黑体" w:eastAsia="黑体"/>
          <w:color w:val="auto"/>
          <w:sz w:val="28"/>
          <w:szCs w:val="28"/>
          <w:highlight w:val="none"/>
        </w:rPr>
        <w:t xml:space="preserve">）、驱动电源与电气安全要求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.1 强制性认证</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驱动电源须通过国家强制性CCC认证，安全性能符合GB 19510.1、GB 19510.14要求。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.2 功率配置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驱动电源功率需与负载匹配。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.3 性能参数</w:t>
      </w:r>
      <w:r/>
    </w:p>
    <w:p>
      <w:pPr>
        <w:pStyle w:val="871"/>
        <w:numPr>
          <w:ilvl w:val="0"/>
          <w:numId w:val="0"/>
        </w:numPr>
        <w:ind w:firstLine="560"/>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具备0–10Vdc / PWM调光功能（可对接单灯监控），防护等级≥IP67。</w:t>
      </w:r>
      <w:r/>
    </w:p>
    <w:p>
      <w:pPr>
        <w:pStyle w:val="871"/>
        <w:numPr>
          <w:ilvl w:val="0"/>
          <w:numId w:val="0"/>
        </w:numPr>
        <w:ind w:firstLine="560"/>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宽电压输入范围90V–305V，功率因数不低于0.97。</w:t>
      </w:r>
      <w:r/>
    </w:p>
    <w:p>
      <w:pPr>
        <w:pStyle w:val="871"/>
        <w:numPr>
          <w:ilvl w:val="0"/>
          <w:numId w:val="0"/>
        </w:numPr>
        <w:ind w:firstLine="560"/>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输出直流电压需与LED负载（模组并联连接）匹配，提供恒定直流电流驱动；具备输入欠压、过压保护，输出开路、短路保护等完善的保护功能。</w:t>
      </w:r>
      <w:r/>
    </w:p>
    <w:p>
      <w:pPr>
        <w:pStyle w:val="871"/>
        <w:numPr>
          <w:ilvl w:val="0"/>
          <w:numId w:val="0"/>
        </w:numPr>
        <w:ind w:firstLine="560"/>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必须预留智能控制接口，内置在灯具里，与光源模组连接可靠，便于维护，整体美观。</w:t>
      </w:r>
      <w:r/>
    </w:p>
    <w:p>
      <w:pPr>
        <w:pStyle w:val="871"/>
        <w:numPr>
          <w:ilvl w:val="0"/>
          <w:numId w:val="0"/>
        </w:numPr>
        <w:ind w:firstLine="420"/>
        <w:widowControl/>
        <w:rPr>
          <w:color w:val="auto"/>
          <w:highlight w:val="none"/>
        </w:rPr>
      </w:pPr>
      <w:r>
        <w:rPr>
          <w:color w:val="auto"/>
          <w:highlight w:val="none"/>
        </w:rPr>
        <mc:AlternateContent>
          <mc:Choice Requires="wpg">
            <w:drawing>
              <wp:inline xmlns:wp="http://schemas.openxmlformats.org/drawingml/2006/wordprocessingDrawing" distT="0" distB="0" distL="0" distR="0">
                <wp:extent cx="5487670" cy="1326515"/>
                <wp:effectExtent l="0" t="0" r="13970" b="14604"/>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487670" cy="1326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2.1pt;height:104.4pt;mso-wrap-distance-left:0.0pt;mso-wrap-distance-top:0.0pt;mso-wrap-distance-right:0.0pt;mso-wrap-distance-bottom:0.0pt;" stroked="f">
                <v:path textboxrect="0,0,0,0"/>
                <v:imagedata r:id="rId15" o:title=""/>
              </v:shape>
            </w:pict>
          </mc:Fallback>
        </mc:AlternateContent>
      </w:r>
      <w:r/>
    </w:p>
    <w:p>
      <w:pPr>
        <w:pStyle w:val="871"/>
        <w:numPr>
          <w:ilvl w:val="0"/>
          <w:numId w:val="0"/>
        </w:numPr>
        <w:ind w:firstLine="420"/>
        <w:widowControl/>
        <w:rPr>
          <w:color w:val="auto"/>
          <w:highlight w:val="none"/>
        </w:rPr>
      </w:pPr>
      <w:r>
        <w:rPr>
          <w:color w:val="auto"/>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.4 防雷与浪涌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电源须内置防雷击及浪涌保护装置，性能符合IEC 61000-4（Level 4）检测标准，抗浪涌能力≥10kV。</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抗浪涌保护器应符合GB/T 18802.11规定，使用Ⅲ类实验方法进行实验。</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六</w:t>
      </w:r>
      <w:r>
        <w:rPr>
          <w:rFonts w:hint="eastAsia" w:ascii="黑体" w:hAnsi="黑体" w:eastAsia="黑体"/>
          <w:color w:val="auto"/>
          <w:sz w:val="28"/>
          <w:szCs w:val="28"/>
          <w:highlight w:val="none"/>
        </w:rPr>
        <w:t xml:space="preserve">）灯具光学与色度性能要求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在色温3000K±200、显色指数Ra≥70、功率因数≥0.97、色容差＜5SDCM条件下，整灯光效≥170lm/W。</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输入功率偏差：额定电压和功率下，实际消耗功率与额定功率之差不大于5%。</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）包装、运输与标识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每盏灯独立包装。外箱采用封口胶封箱，外箱须有明显标识。包装箱内须放置灯具说明书。</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）单灯控制器需求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.1 控制功能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w:t>
      </w:r>
      <w:r>
        <w:rPr>
          <w:rFonts w:hint="eastAsia" w:ascii="仿宋" w:hAnsi="仿宋" w:eastAsia="仿宋"/>
          <w:b/>
          <w:bCs/>
          <w:color w:val="auto"/>
          <w:sz w:val="28"/>
          <w:szCs w:val="28"/>
          <w:highlight w:val="none"/>
        </w:rPr>
        <w:t xml:space="preserve">控制软件必须同时具备电脑、手机APP报警自动推送功能，确保采购人第一时间得到报警信息。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单灯独立开关控制;支持远程对单路灯具执行开、关指令；支持批量分组控制，按照路段、区域、组别，批量进行灯具开关操作。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调光控制:支持0</w:t>
      </w:r>
      <w:r>
        <w:rPr>
          <w:rFonts w:hint="eastAsia" w:ascii="仿宋" w:hAnsi="仿宋" w:eastAsia="仿宋"/>
          <w:color w:val="auto"/>
          <w:sz w:val="28"/>
          <w:szCs w:val="28"/>
          <w:highlight w:val="none"/>
        </w:rPr>
        <w:noBreakHyphen/>
      </w:r>
      <w:r>
        <w:rPr>
          <w:rFonts w:hint="eastAsia" w:ascii="仿宋" w:hAnsi="仿宋" w:eastAsia="仿宋"/>
          <w:color w:val="auto"/>
          <w:sz w:val="28"/>
          <w:szCs w:val="28"/>
          <w:highlight w:val="none"/>
        </w:rPr>
        <w:t xml:space="preserve">10V、PWM两种调光方式，实现灯光亮度无级调节；可预设多套调光曲线，依据时间、节假日自动调节灯具亮度。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时序策略:内置硬件时钟，支持本地定时策略；可自定义开关灯时间、分时段调光方案；依托经纬度自动适配日出日落启停灯，可自动修正晨昏时刻。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（5）策略模式切换:远程可切换4类工作模式：远程受控模式、本地自主模式、强制全开、强制全关。</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 应急强制控制:管控平台下发应急指令之后，控制器优先执行应急开关、调光操作，跳过本地定时任务。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.2  数据采集功能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电气参数采集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采集灯具回路电压、电流、有功功率、用电量。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灯具状态</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获取灯具开关状态、调光输出数值。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数据上报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支持定时周期上报、平台主动召测；可灵活修改数据上报周期。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（4）电能统计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累计用电量、按月统计能耗数据，为能耗数据分析提供支撑。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.3  故障检测与告警功能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灯具故障</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识别灯具不亮故障、局部不亮故障（单个模组损坏）检测告警。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回路故障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触发过压、欠压、过流告警。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（3）设备故障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控制器通信异常告警。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告警推送规则</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故障主动上报，附带故障类别、故障发生时间；故障解除之后自动推送恢复事件。</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 故障报警</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月故障误报率小于等于3%。</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.4  通信功能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基础通信方式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采用4G CAT</w:t>
      </w:r>
      <w:r>
        <w:rPr>
          <w:rFonts w:hint="eastAsia" w:ascii="仿宋" w:hAnsi="仿宋" w:eastAsia="仿宋"/>
          <w:color w:val="auto"/>
          <w:sz w:val="28"/>
          <w:szCs w:val="28"/>
          <w:highlight w:val="none"/>
        </w:rPr>
        <w:noBreakHyphen/>
      </w:r>
      <w:r>
        <w:rPr>
          <w:rFonts w:hint="eastAsia" w:ascii="仿宋" w:hAnsi="仿宋" w:eastAsia="仿宋"/>
          <w:color w:val="auto"/>
          <w:sz w:val="28"/>
          <w:szCs w:val="28"/>
          <w:highlight w:val="none"/>
        </w:rPr>
        <w:t xml:space="preserve">1通信；具备组网能力，可以和网关、管控平台双向通讯。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断网缓存续传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网络断开时本地储存控制策略、采集数据；网络恢复后补发全部历史数据，保障关键告警不会丢失。</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在线心跳检测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定时上传心跳数据包，上报在线状态，平台识别设备离线情况。</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传输加密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全部传输数据加密处理，防止远程控制指令被篡改。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.5  本地操作与脱网运行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脱网自主运行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网络断开之后，设备依靠本地储存的定时、经纬度策略正常开关灯、调光，无需依赖云端平台。</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参数本地存储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定时方案、调光参数、设备地址等配置断电不会丢失。</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设备ID管理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设备搭载唯一硬件ID；可远程修改设备名称、分组信息。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.6  电源输入端设置防雷浪涌保护，适配路灯电网电压波动。</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宽电压输入：100-400V。</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.7  防护等级：IP67及以上，户外防水防尘。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.8 控制器具备国家认可的CQC认证证书</w:t>
      </w:r>
      <w:r/>
    </w:p>
    <w:p>
      <w:pPr>
        <w:ind w:firstLine="560"/>
        <w:spacing w:line="50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.9  </w:t>
      </w:r>
      <w:r>
        <w:rPr>
          <w:rFonts w:hint="eastAsia" w:ascii="仿宋" w:hAnsi="仿宋" w:eastAsia="仿宋"/>
          <w:b/>
          <w:bCs/>
          <w:color w:val="auto"/>
          <w:sz w:val="28"/>
          <w:szCs w:val="28"/>
          <w:highlight w:val="none"/>
        </w:rPr>
        <w:t xml:space="preserve">单灯控制器的流量卡（ESIM卡）质保期满后，投标人要无条件配合采购人进行过户，保证后续数据正常上报。提供可供业主查询的网址及物联卡的相关参数资料，确保单灯控制器出厂时已包含10年流量套餐和服务期。</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）路灯控制软件平台需求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.1  平台与软件功能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远程参数配置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远程修改启停灯时间、调光曲线、告警阈值、数据上报周期。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设备分组管控</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设备支持分组，能够按分组下发控制策略。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本地事件日志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本地储存运行日志：开关灯操作记录、告警记录、参数修改记录。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.2 软件平台部署要求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（1）投标人提供的软件系统应采用本地化部署方式，满足采购人现有国产信创环境部署要求，并实现与如皋市城市生命线安全监管平台的统一接入和协同监管。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（2）投标人应负责完成系统软件部署、环境适配、设备接入、接口开发、系统联调、数据交换及上线运行等工作，确保系统安全、稳定、可靠运行。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（3）本项目软件平台部署于采购人现有国产信创服务器环境中，投标人应根据采购人提供的服务器、操作系统、数据库及网络环境完成系统适配部署。</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采购人现有部署环境如下：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类别 | 配置要求</w:t>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信创环境 | 国产信息技术应用创新环境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CPU架构 | ARM架构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CPU配置 | 16核</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内存配置 | 32GB</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存储类型 | HDD硬盘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服务器厂商 | 浪潮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操作系统 | 银河麒麟V10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网络环境 | 政务网环境部署，互联网访问通过互联网前置机进行安全映射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数据库类型 | 海量数据库</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数据库版本 | Vastbase G100 V2.2</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数据库模式 | PostgreSQL兼容模式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投标人应保证所提供的软件系统能够在上述指定环境下完成安装部署、正常运行及稳定维护，不得因服务器架构、操作系统、数据库环境等适配问题影响项目实施。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.3 国产信创适配要求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投标人提供的软件系统应满足国产信创环境部署要求，支持银河麒麟V10操作系统运行。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系统应适配ARM架构服务器环境，软件运行所需程序组件、中间件、运行环境等不得依赖仅支持X86架构的环境。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系统涉及的数据库、中间件及相关基础软件应满足国产化部署要求。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投标人负责完成系统安装部署、环境配置、运行调试及兼容性问题处理。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.4  数据库适配要求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系统数据库应适配采购人现有海量数据库环境。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 数据库环境：Vastbase G100 V2.2，PostgreSQL兼容模式。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 投标人应完成数据库结构设计、初始化部署、数据存储、查询统计及维护等适配工作。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.5  网络部署要求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 系统平台部署于采购人政务网络环境内。</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 涉及移动端访问、互联网访问等功能时，应通过采购人互联网前置机进行安全映射，不允许系统服务器直接暴露于互联网环境。</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 投标人应配合采购人完成网络访问策略配置、安全策略调整及系统联调工作。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.6 设备通信及数据传输协议要求</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路灯</w:t>
      </w:r>
      <w:r>
        <w:rPr>
          <w:rFonts w:hint="eastAsia" w:ascii="仿宋" w:hAnsi="仿宋" w:eastAsia="仿宋"/>
          <w:color w:val="auto"/>
          <w:sz w:val="28"/>
          <w:szCs w:val="28"/>
          <w:highlight w:val="none"/>
        </w:rPr>
        <w:t xml:space="preserve">单灯控制器</w:t>
      </w:r>
      <w:r>
        <w:rPr>
          <w:rFonts w:ascii="仿宋" w:hAnsi="仿宋" w:eastAsia="仿宋"/>
          <w:color w:val="auto"/>
          <w:sz w:val="28"/>
          <w:szCs w:val="28"/>
          <w:highlight w:val="none"/>
        </w:rPr>
        <w:t xml:space="preserve">与管理平台之间应采用</w:t>
      </w:r>
      <w:r>
        <w:rPr>
          <w:rFonts w:hint="eastAsia" w:ascii="仿宋" w:hAnsi="仿宋" w:eastAsia="仿宋"/>
          <w:color w:val="auto"/>
          <w:sz w:val="28"/>
          <w:szCs w:val="28"/>
          <w:highlight w:val="none"/>
        </w:rPr>
        <w:t xml:space="preserve">商用标准化</w:t>
      </w:r>
      <w:r>
        <w:rPr>
          <w:rFonts w:ascii="仿宋" w:hAnsi="仿宋" w:eastAsia="仿宋"/>
          <w:color w:val="auto"/>
          <w:sz w:val="28"/>
          <w:szCs w:val="28"/>
          <w:highlight w:val="none"/>
        </w:rPr>
        <w:t xml:space="preserve">协议进行数据通信，实现设备与平台之间的数据双向交互。</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系统应满足：</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 支持设备注册、身份认证及安全接入管理。</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 支持在线状态、开关状态、电压、电流、功率、电量、故障状态等数据实时上传。</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 支持单灯控制、分组控制、区域控制、定时控制及参数配置。</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4. 支持心跳检测、自动重连、消息可靠传输、离线缓存及异常恢复。</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5. 提供完整通信协议说明，包括Topic定义、数据字段说明、消息格式及接口调用方式。</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.7  城市生命线安全监管平台集成要求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.7.1. 本项目路灯智能控制系统应纳入如皋市城市生命线安全监管平台统一监管，不得形成独立信息孤岛。</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.7.2. 投标人负责完成系统与城市生命线安全监管平台之间的数据接口开发、系统联调、数据接入及运行保障。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.7.3. 实现基础信息数据、设备运行数据、告警事件数据、运维管理数据共享。</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.7.4. 支持MQTT、TCP、HTTP/HTTPS、RESTful API等接口方式进行数据交换。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.7.5. 投标人负责完成数据字段映射、接口开发、数据校验、联调测试及上线运行保障。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.7.6. 项目产生的数据归采购人所有，投标人不得限制采购人后续数据访问、调用、共享及扩展使用。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系统交付要求</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项目实施完成后，投标人应提供：</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 系统部署说明文档；</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 软件安装配置文档；</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 数据库初始化脚本及结构说明；</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4. 通信协议文档；</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5. 平台接口文档；</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6. 系统操作手册；</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7. 系统运维手册；</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8. 系统部署及联调测试报告。</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确保系统能够在采购人指定国产信创环境中稳定运行，并实现与如皋市城市生命线安全监管平台的数据互联互通。</w:t>
      </w:r>
      <w:r/>
    </w:p>
    <w:p>
      <w:pPr>
        <w:numPr>
          <w:ilvl w:val="0"/>
          <w:numId w:val="4"/>
        </w:num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质量标准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1.供应商须明确所投货物的生产厂家、品牌、型号、规格、外形和尺寸等。</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3.产品的包装，国家或行业主管部门有规定的，按规定执行。 </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4.供应商应保证提供的产品不得侵犯第三方专利权、商标权和工业设计权、版权等。否则，成交供应商应负全部责任，并承担由此引起的一切后果。</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5.供应商应保证其货物在正确安装、正常使用和保养条件下，在其使用寿命期内应具有满意的性能。</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6.供应商应采取必要的安全措施保证货物的运输及安装的安全，并承担货物的运输及安装过程中产生的风险。</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7.供应商必须保证所提供的产品符合国家相应质量要求，供货时必须随产品提供出厂材料，包括但不限于检验报告（复印件）、产品合格证（原件）以及设备的测试、运行、保养手册。</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8.供应商所供货物最终验收后，成交供应商应对由于设计、工艺或材料的缺陷而发生的任何不足或故障负责，并承担由此引起的一切后果。</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ascii="黑体" w:hAnsi="黑体" w:eastAsia="黑体"/>
          <w:color w:val="auto"/>
          <w:sz w:val="28"/>
          <w:szCs w:val="28"/>
          <w:highlight w:val="none"/>
        </w:rPr>
      </w:pPr>
      <w:r>
        <w:rPr>
          <w:rFonts w:hint="eastAsia" w:ascii="仿宋" w:hAnsi="仿宋" w:eastAsia="仿宋" w:cs="仿宋"/>
          <w:color w:val="auto"/>
          <w:sz w:val="28"/>
          <w:szCs w:val="28"/>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五、交货期限和地点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交货期限：合同签订之日起3个月内，完成供货、安装。</w:t>
      </w:r>
      <w:r/>
    </w:p>
    <w:p>
      <w:pPr>
        <w:ind w:firstLine="560"/>
        <w:spacing w:line="500" w:lineRule="exact"/>
        <w:rPr>
          <w:rFonts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地点：如皋市</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六、验收方案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1.验收依据：国家/行业/地方相关标准、本招标文件技术要求。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2.供货并安装结束后7个工作日内，采购单位通知供应厂商共同组织验收；通知而未参加的视同接受验收结论。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3.验收不合格，供应厂商须在2个工作日内响应并整改，整改完毕后重新组织验收。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4.提出异议期限：2个工作日。</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5.制造商必须是投标文件所明确的生产制造厂商，供货方对质量问题负责包退、包换、包修，费用由供货方承担。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6.合同有效期内，如国家质量标准发生变化，以最新颁布的标准及规范执行；如有不符合，由供方承担全部责任。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在发货前，供货方应对货物的质量、规格、性能、数量等进行准确而全面的检验，并出具一份证明货物符合合同规定的证书。该证书将作为提交付款单据的一部分，但有关质量、规格、性能、数量的检验不应视为最终检验。按技术要求进行检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到货验收时，如果货物的质量和规格与合同规定相符，采购方应及时填写验收表；如果货物的质量、规格与合同规定不符，或在质量保证期内发现货物是有缺陷的（包括潜在缺陷或使用不符合要求的材料），采购方有权单方委托有资质的司法鉴定机构进行检验检测或鉴定，采购方有权凭其出具的检验报告或鉴定意见向供货方提出索赔。</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9.严重偏离招标技术标准供货，采购方要求全部退货的，供方须支付合同总价款5%的违约金，并赔偿损失。</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10.未按期供货的，每延迟1天按未按期供货货款的1%扣减；供货出现瑕疵但尚未影响使用的，按供货货款的1%–5%扣减。</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11.发生5次及以上不能按期、按质供货，采购方有权单方面终止合同，损失由供方承担。</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七、质量保证期限</w:t>
      </w:r>
      <w:r/>
    </w:p>
    <w:p>
      <w:pPr>
        <w:ind w:firstLine="560"/>
        <w:spacing w:line="500" w:lineRule="exact"/>
        <w:rPr>
          <w:rFonts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自交货并验收合格之日起计伍年。</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八、售后服务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硬件安装交付结束后，质保期内，供应商需在采购人仓库储备不低于采购数量1%的各类维修配件，如产品出现故障由采购人负责更换，但设备接入及调试由供应商负责。年更换率大于等于3%的部分，由供应商承担更换时产生的人工及机械费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2.质保期内确保控制软件正常运行，数据按监管要求正常上报到城市生命线平台。</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九、付款方式</w:t>
      </w:r>
      <w:r/>
    </w:p>
    <w:p>
      <w:pPr>
        <w:ind w:firstLine="560"/>
        <w:spacing w:line="50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供货并安装调试结束后由甲方组织验收，验收合格满一年后，支付实际金额的</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val="zh-CN"/>
        </w:rPr>
        <w:t xml:space="preserve">0%，验收合格满两年后支付实际金额的</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val="zh-CN"/>
        </w:rPr>
        <w:t xml:space="preserve">0%，验收合格满三年后</w:t>
      </w:r>
      <w:r>
        <w:rPr>
          <w:rFonts w:hint="eastAsia" w:ascii="仿宋" w:hAnsi="仿宋" w:eastAsia="仿宋"/>
          <w:color w:val="auto"/>
          <w:sz w:val="28"/>
          <w:szCs w:val="28"/>
          <w:highlight w:val="none"/>
          <w:lang w:val="en-US" w:eastAsia="zh-CN"/>
        </w:rPr>
        <w:t xml:space="preserve">付至</w:t>
      </w:r>
      <w:r>
        <w:rPr>
          <w:rFonts w:hint="eastAsia" w:ascii="仿宋" w:hAnsi="仿宋" w:eastAsia="仿宋"/>
          <w:color w:val="auto"/>
          <w:sz w:val="28"/>
          <w:szCs w:val="28"/>
          <w:highlight w:val="none"/>
          <w:lang w:val="zh-CN"/>
        </w:rPr>
        <w:t xml:space="preserve">实际金额的</w:t>
      </w:r>
      <w:r>
        <w:rPr>
          <w:rFonts w:hint="eastAsia" w:ascii="仿宋" w:hAnsi="仿宋" w:eastAsia="仿宋"/>
          <w:color w:val="auto"/>
          <w:sz w:val="28"/>
          <w:szCs w:val="28"/>
          <w:highlight w:val="none"/>
          <w:lang w:val="en-US" w:eastAsia="zh-CN"/>
        </w:rPr>
        <w:t xml:space="preserve">97</w:t>
      </w:r>
      <w:r>
        <w:rPr>
          <w:rFonts w:hint="eastAsia" w:ascii="仿宋" w:hAnsi="仿宋" w:eastAsia="仿宋"/>
          <w:color w:val="auto"/>
          <w:sz w:val="28"/>
          <w:szCs w:val="28"/>
          <w:highlight w:val="none"/>
          <w:lang w:val="zh-CN"/>
        </w:rPr>
        <w:t xml:space="preserve">%，</w:t>
      </w:r>
      <w:r>
        <w:rPr>
          <w:rFonts w:hint="eastAsia" w:ascii="仿宋" w:hAnsi="仿宋" w:eastAsia="仿宋"/>
          <w:color w:val="auto"/>
          <w:sz w:val="28"/>
          <w:szCs w:val="28"/>
          <w:highlight w:val="none"/>
          <w:lang w:val="en-US" w:eastAsia="zh-CN"/>
        </w:rPr>
        <w:t xml:space="preserve">余款待质保期结束后付清</w:t>
      </w:r>
      <w:r>
        <w:rPr>
          <w:rFonts w:hint="eastAsia" w:ascii="仿宋" w:hAnsi="仿宋" w:eastAsia="仿宋"/>
          <w:color w:val="auto"/>
          <w:sz w:val="28"/>
          <w:szCs w:val="28"/>
          <w:highlight w:val="none"/>
          <w:lang w:val="zh-CN"/>
        </w:rPr>
        <w:t xml:space="preserve">。每次支付前，乙方均应出具符合甲方财务规定以及开票报税要求的相应金额的正式发票，双方结算均通过银行基本账户进行。</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十、履约保证金</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一）中标（成交）通知书发出后30日内，成交单位按照成交金额10%向采购单位缴纳履约保证金并签订合同。履约验收完毕后，采购人在（成交单位申请后）30日内退还履约保证金，采购人逾期退还履约保证金的，除应当退还履约保证金本金外，还应当按商业银行同期贷款利率支付资金占用费。</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（二）履约保证金由供应商与采购人协商，自主选择银行转账、电汇、网银、银行见索即付不可撤销的履约保函（纸质和电子形式均可）</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（三）若采取银行保函形式提交的，应由中标企业基本账户开户行出具，且保函期限需比计划工期延长6个月</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（四）采用银行转账形式缴纳的，履约保证金原则上应在项目验收合格后30天内退还。 </w:t>
      </w:r>
      <w:r/>
    </w:p>
    <w:p>
      <w:pPr>
        <w:ind w:firstLine="560"/>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十一、报价要求</w:t>
      </w:r>
      <w:r/>
    </w:p>
    <w:p>
      <w:pPr>
        <w:ind w:firstLine="560"/>
        <w:spacing w:line="520" w:lineRule="exact"/>
        <w:rPr>
          <w:rFonts w:ascii="仿宋" w:hAnsi="仿宋" w:eastAsia="仿宋"/>
          <w:color w:val="auto"/>
          <w:sz w:val="28"/>
          <w:szCs w:val="28"/>
          <w:highlight w:val="none"/>
        </w:rPr>
        <w:outlineLvl w:val="1"/>
      </w:pPr>
      <w:r>
        <w:rPr>
          <w:rFonts w:hint="eastAsia" w:ascii="仿宋" w:hAnsi="仿宋" w:eastAsia="仿宋" w:cs="仿宋"/>
          <w:color w:val="auto"/>
          <w:sz w:val="28"/>
          <w:szCs w:val="28"/>
          <w:highlight w:val="none"/>
        </w:rPr>
        <w:t xml:space="preserve">1.</w:t>
      </w:r>
      <w:r>
        <w:rPr>
          <w:rFonts w:hint="eastAsia" w:ascii="仿宋" w:hAnsi="仿宋" w:eastAsia="仿宋"/>
          <w:bCs/>
          <w:color w:val="auto"/>
          <w:sz w:val="28"/>
          <w:szCs w:val="28"/>
          <w:highlight w:val="none"/>
        </w:rPr>
        <w:t xml:space="preserve">报价要求：固定单价报价，</w:t>
      </w:r>
      <w:r>
        <w:rPr>
          <w:rFonts w:hint="eastAsia" w:ascii="仿宋" w:hAnsi="仿宋" w:eastAsia="仿宋" w:cs="仿宋"/>
          <w:color w:val="auto"/>
          <w:sz w:val="28"/>
          <w:szCs w:val="28"/>
          <w:highlight w:val="none"/>
        </w:rPr>
        <w:t xml:space="preserve">响应供应商</w:t>
      </w:r>
      <w:r>
        <w:rPr>
          <w:rFonts w:hint="eastAsia" w:ascii="仿宋" w:hAnsi="仿宋" w:eastAsia="仿宋"/>
          <w:color w:val="auto"/>
          <w:sz w:val="28"/>
          <w:szCs w:val="28"/>
          <w:highlight w:val="none"/>
          <w:lang w:val="zh-CN"/>
        </w:rPr>
        <w:t xml:space="preserve">报价应包含本项目产品（货物）的研发、制造、检验、包装、运输、装卸、保险、安装调试、人员培训、验收、税金等一切与之相关费用。</w:t>
      </w:r>
      <w:r>
        <w:rPr>
          <w:rFonts w:hint="eastAsia" w:ascii="仿宋" w:hAnsi="仿宋" w:eastAsia="仿宋"/>
          <w:color w:val="auto"/>
          <w:sz w:val="28"/>
          <w:szCs w:val="28"/>
          <w:highlight w:val="none"/>
        </w:rPr>
        <w:t xml:space="preserve">具体数量以实际供货量结算。</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的报价应对采购文件内的全部内容进行报价，采购文件未列明，而供应商认为其他必需的费用也需列入报价。在合同实施时，采购方将不予支付成交人没有填列的项目费用，并认为此项目的费用已包括在报价中。</w:t>
      </w:r>
      <w:r/>
    </w:p>
    <w:p>
      <w:pPr>
        <w:ind w:firstLine="560"/>
        <w:spacing w:line="500" w:lineRule="exact"/>
        <w:rPr>
          <w:rFonts w:ascii="仿宋" w:hAnsi="仿宋" w:eastAsia="黑体"/>
          <w:color w:val="auto"/>
          <w:sz w:val="28"/>
          <w:szCs w:val="28"/>
          <w:highlight w:val="none"/>
        </w:rPr>
      </w:pPr>
      <w:r>
        <w:rPr>
          <w:rFonts w:hint="eastAsia" w:ascii="黑体" w:hAnsi="黑体" w:eastAsia="黑体"/>
          <w:color w:val="auto"/>
          <w:sz w:val="28"/>
          <w:szCs w:val="28"/>
          <w:highlight w:val="none"/>
        </w:rPr>
        <w:t xml:space="preserve">十二、其他要求</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负责全部设备运输及安装到位，采购人不再承担任何运输及安装费用。除合同另有规定外，成交供应商提供的全部货物均按标准保护措施进行包装。该包装应适应于远距离运输、防潮、防震、防锈和防野蛮装卸，以确保货物安全无损运抵指定现场。由于包装不善所引起的货物锈蚀、损坏和损失均由成交供应商承担。</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2.响应供应商所报配置为主要配置，其他按标准配置配备；不得在原厂标准配置的基础上减少或降低技术配置。报价含交付使用前一切费用及保修期费用，不接受选择性报价。</w:t>
      </w:r>
      <w:r/>
    </w:p>
    <w:p>
      <w:pPr>
        <w:ind w:firstLine="560"/>
        <w:spacing w:line="520" w:lineRule="exact"/>
        <w:rPr>
          <w:rFonts w:ascii="仿宋" w:hAnsi="仿宋" w:eastAsia="仿宋"/>
          <w:bCs/>
          <w:color w:val="auto"/>
          <w:sz w:val="28"/>
          <w:szCs w:val="28"/>
          <w:highlight w:val="none"/>
        </w:rPr>
      </w:pPr>
      <w:r>
        <w:rPr>
          <w:rFonts w:hint="eastAsia" w:ascii="仿宋" w:hAnsi="仿宋" w:eastAsia="仿宋" w:cs="仿宋"/>
          <w:color w:val="auto"/>
          <w:sz w:val="28"/>
          <w:szCs w:val="28"/>
          <w:highlight w:val="none"/>
        </w:rPr>
        <w:t xml:space="preserve">3.成交供应商所交的产品不符合项目需求要求、响应文件承诺及国家有关质量标准的，采购人有权拒收，成交供应商愿意更换但逾期交付的，按成交供应商逾期交付处理。成交供应商拒绝更换的，采购人可单方面解除合同，并由成交供应商赔偿由此造成的采购人全部损失。</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响应供应商应依照规定提交各类声明函、承诺函等，不要求提供原件备查或有关部门出具的相关证明文件，承诺函之内容应全面符合采购人要求，如若成交后在核查过程中出现负偏离，则视为无效响应，相应后果及损失由中标或成交供应商承担。</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中标或成交供应商应做好提交声明函、承诺函等响应原件的核查准备，核查后发现虚假应标或违背承诺的，将上报采购监管部门，依照相关法律法规规定处理。</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5.质量检测与违约处理条款</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中标人所供货物须接受采购人随机抽样，并送至国家认可的第三方检测机构检验。若检测结果不符合招标文件约定的技术参数、国家标准（GB）或行业规范要求，采购人有权按以下方式处理：</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退货换货：采购人有权拒收该批次全部或部分不合格产品，中标人须在接到通知后7日内无条件更换为符合要求的合格产品，并承担由此产生的全部运输、装卸及检测费用；</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合同解除：若同一批次累计出现2次检测不合格，采购人有权单方面解除合同，中标人须退还已支付的全部货款，并承担由此给采购人造成的直接经济损失；</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违约赔偿：中标人须向采购人支付合同总价10%的违约金；若违约金不足以弥补采购人损失，中标人应补足差额部分；</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信用记录：采购人有权将中标人的违约行为报送相关政府采购监管部门，记入供应商不良信用记录。</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所有检测费用由中标人先行垫付；检测合格的，检测费用由采购人承担；检测不合格的，检测费用及后续相关费用均由中标人承担。</w:t>
      </w:r>
      <w:r/>
    </w:p>
    <w:p>
      <w:pPr>
        <w:ind w:firstLine="560"/>
        <w:spacing w:line="50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十三、</w:t>
      </w:r>
      <w:r>
        <w:rPr>
          <w:rFonts w:hint="eastAsia" w:ascii="黑体" w:hAnsi="黑体" w:eastAsia="黑体"/>
          <w:color w:val="auto"/>
          <w:sz w:val="28"/>
          <w:szCs w:val="28"/>
          <w:highlight w:val="none"/>
        </w:rPr>
        <w:t xml:space="preserve">样品</w:t>
      </w:r>
      <w:r/>
    </w:p>
    <w:p>
      <w:pPr>
        <w:ind w:firstLine="560"/>
        <w:jc w:val="left"/>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（1）本</w:t>
      </w:r>
      <w:r>
        <w:rPr>
          <w:rFonts w:ascii="仿宋" w:hAnsi="仿宋" w:eastAsia="仿宋"/>
          <w:b/>
          <w:bCs/>
          <w:color w:val="auto"/>
          <w:sz w:val="28"/>
          <w:szCs w:val="28"/>
          <w:highlight w:val="none"/>
        </w:rPr>
        <w:t xml:space="preserve">项目要求提供样品，</w:t>
      </w:r>
      <w:r>
        <w:rPr>
          <w:rFonts w:hint="eastAsia" w:ascii="仿宋" w:hAnsi="仿宋" w:eastAsia="仿宋"/>
          <w:b/>
          <w:bCs/>
          <w:color w:val="auto"/>
          <w:sz w:val="28"/>
          <w:szCs w:val="28"/>
          <w:highlight w:val="none"/>
        </w:rPr>
        <w:t xml:space="preserve">成</w:t>
      </w:r>
      <w:r>
        <w:rPr>
          <w:rFonts w:ascii="仿宋" w:hAnsi="仿宋" w:eastAsia="仿宋"/>
          <w:b/>
          <w:bCs/>
          <w:color w:val="auto"/>
          <w:sz w:val="28"/>
          <w:szCs w:val="28"/>
          <w:highlight w:val="none"/>
        </w:rPr>
        <w:t xml:space="preserve">交供应商的样品由</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负责保管、封存，并作为履约验收的参考</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未</w:t>
      </w:r>
      <w:r>
        <w:rPr>
          <w:rFonts w:hint="eastAsia" w:ascii="仿宋" w:hAnsi="仿宋" w:eastAsia="仿宋"/>
          <w:b/>
          <w:bCs/>
          <w:color w:val="auto"/>
          <w:sz w:val="28"/>
          <w:szCs w:val="28"/>
          <w:highlight w:val="none"/>
        </w:rPr>
        <w:t xml:space="preserve">成</w:t>
      </w:r>
      <w:r>
        <w:rPr>
          <w:rFonts w:ascii="仿宋" w:hAnsi="仿宋" w:eastAsia="仿宋"/>
          <w:b/>
          <w:bCs/>
          <w:color w:val="auto"/>
          <w:sz w:val="28"/>
          <w:szCs w:val="28"/>
          <w:highlight w:val="none"/>
        </w:rPr>
        <w:t xml:space="preserve">交供应商</w:t>
      </w:r>
      <w:r>
        <w:rPr>
          <w:rFonts w:hint="eastAsia" w:ascii="仿宋" w:hAnsi="仿宋" w:eastAsia="仿宋"/>
          <w:b/>
          <w:bCs/>
          <w:color w:val="auto"/>
          <w:sz w:val="28"/>
          <w:szCs w:val="28"/>
          <w:highlight w:val="none"/>
        </w:rPr>
        <w:t xml:space="preserve">的样品必须于评审结束后及时搬离样品存放区，采购人、采购代理公司不承担样品的保管责任。</w:t>
      </w:r>
      <w:r/>
    </w:p>
    <w:p>
      <w:pPr>
        <w:ind w:firstLine="560"/>
        <w:jc w:val="left"/>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请供应商提供所投货物的样品</w:t>
      </w:r>
      <w:r>
        <w:rPr>
          <w:rFonts w:hint="eastAsia" w:ascii="仿宋" w:hAnsi="仿宋" w:eastAsia="仿宋"/>
          <w:b/>
          <w:bCs/>
          <w:color w:val="auto"/>
          <w:sz w:val="28"/>
          <w:szCs w:val="28"/>
          <w:highlight w:val="none"/>
        </w:rPr>
        <w:t xml:space="preserve">要求</w:t>
      </w:r>
      <w:r>
        <w:rPr>
          <w:rFonts w:ascii="仿宋" w:hAnsi="仿宋" w:eastAsia="仿宋"/>
          <w:b/>
          <w:bCs/>
          <w:color w:val="auto"/>
          <w:sz w:val="28"/>
          <w:szCs w:val="28"/>
          <w:highlight w:val="none"/>
        </w:rPr>
        <w:t xml:space="preserve">如下：</w:t>
      </w:r>
      <w:r/>
    </w:p>
    <w:p>
      <w:pPr>
        <w:ind w:firstLine="560"/>
        <w:jc w:val="left"/>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投标人须按招标文件要求提供符合技术参数的实物样品，未提供或提供不全的，作无效投标处理。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100W、150W、200W LED灯具须为同一系列产品，外观、结构、材质、工艺完全一致，250WLED 灯具（该灯型可提供非同一系列产品），所有灯具需同一制造商。</w:t>
      </w:r>
      <w:r/>
    </w:p>
    <w:tbl>
      <w:tblPr>
        <w:tblStyle w:val="869"/>
        <w:tblW w:w="9843" w:type="dxa"/>
        <w:jc w:val="center"/>
        <w:tblLayout w:type="fixed"/>
        <w:tblCellMar>
          <w:left w:w="108" w:type="dxa"/>
          <w:top w:w="0" w:type="dxa"/>
          <w:right w:w="108" w:type="dxa"/>
          <w:bottom w:w="0" w:type="dxa"/>
        </w:tblCellMar>
        <w:tblLook w:val="04A0" w:firstRow="1" w:lastRow="0" w:firstColumn="1" w:lastColumn="0" w:noHBand="0" w:noVBand="1"/>
      </w:tblPr>
      <w:tblGrid>
        <w:gridCol w:w="742"/>
        <w:gridCol w:w="1005"/>
        <w:gridCol w:w="512"/>
        <w:gridCol w:w="384"/>
        <w:gridCol w:w="7200"/>
      </w:tblGrid>
      <w:tr>
        <w:trPr>
          <w:jc w:val="center"/>
        </w:trPr>
        <w:tc>
          <w:tcPr>
            <w:gridSpan w:val="5"/>
            <w:shd w:val="clear" w:color="auto" w:fill="auto"/>
            <w:tcBorders>
              <w:top w:val="none" w:color="000000" w:sz="4" w:space="0"/>
              <w:left w:val="none" w:color="000000" w:sz="4" w:space="0"/>
              <w:bottom w:val="none" w:color="000000" w:sz="4" w:space="0"/>
              <w:right w:val="none" w:color="000000" w:sz="4" w:space="0"/>
            </w:tcBorders>
            <w:tcW w:w="9843" w:type="dxa"/>
            <w:vAlign w:val="center"/>
            <w:textDirection w:val="lrTb"/>
            <w:noWrap/>
          </w:tcPr>
          <w:p>
            <w:pPr>
              <w:jc w:val="center"/>
              <w:keepNext/>
              <w:widowControl/>
              <w:rPr>
                <w:rFonts w:ascii="宋体" w:hAnsi="宋体" w:cs="宋体"/>
                <w:b/>
                <w:bCs/>
                <w:color w:val="auto"/>
                <w:sz w:val="40"/>
                <w:szCs w:val="40"/>
                <w:highlight w:val="none"/>
              </w:rPr>
            </w:pPr>
            <w:r>
              <w:rPr>
                <w:rFonts w:hint="eastAsia" w:ascii="宋体" w:hAnsi="宋体" w:cs="宋体"/>
                <w:b/>
                <w:bCs/>
                <w:color w:val="auto"/>
                <w:sz w:val="40"/>
                <w:szCs w:val="40"/>
                <w:highlight w:val="none"/>
              </w:rPr>
              <w:t xml:space="preserve">样品清单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技术</w:t>
            </w:r>
            <w:r>
              <w:rPr>
                <w:rFonts w:hint="eastAsia" w:ascii="宋体" w:hAnsi="宋体" w:cs="宋体"/>
                <w:b/>
                <w:bCs/>
                <w:color w:val="auto"/>
                <w:sz w:val="22"/>
                <w:szCs w:val="22"/>
                <w:highlight w:val="none"/>
              </w:rPr>
              <w:t xml:space="preserve">要求（</w:t>
            </w:r>
            <w:r>
              <w:rPr>
                <w:rFonts w:hint="eastAsia" w:ascii="宋体" w:hAnsi="宋体" w:cs="宋体"/>
                <w:b/>
                <w:bCs/>
                <w:color w:val="auto"/>
                <w:sz w:val="22"/>
                <w:szCs w:val="22"/>
                <w:highlight w:val="none"/>
                <w:lang w:val="en-US" w:eastAsia="zh-CN"/>
              </w:rPr>
              <w:t xml:space="preserve">样品需满足以下要求</w:t>
            </w:r>
            <w:r>
              <w:rPr>
                <w:rFonts w:hint="eastAsia" w:ascii="宋体" w:hAnsi="宋体" w:cs="宋体"/>
                <w:b/>
                <w:bCs/>
                <w:color w:val="auto"/>
                <w:sz w:val="22"/>
                <w:szCs w:val="22"/>
                <w:highlight w:val="none"/>
              </w:rPr>
              <w:t xml:space="preserve">）</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0</w:t>
            </w:r>
            <w:r>
              <w:rPr>
                <w:rFonts w:hint="eastAsia" w:ascii="宋体" w:hAnsi="宋体" w:cs="宋体"/>
                <w:color w:val="auto"/>
                <w:sz w:val="22"/>
                <w:szCs w:val="22"/>
                <w:highlight w:val="none"/>
              </w:rPr>
              <w:t xml:space="preserve">0WLED灯具</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①外形尺寸---长度：100WLED灯具:长650mm - 850mm，宽330mm -430mm，高 80mm - 180mm;</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②灯具总重量：≥5.</w:t>
            </w:r>
            <w:r>
              <w:rPr>
                <w:rFonts w:hint="eastAsia" w:ascii="宋体" w:hAnsi="宋体" w:cs="宋体"/>
                <w:color w:val="auto"/>
                <w:sz w:val="22"/>
                <w:szCs w:val="22"/>
                <w:highlight w:val="none"/>
                <w:lang w:val="en-US" w:eastAsia="zh-CN"/>
              </w:rPr>
              <w:t xml:space="preserve">0</w:t>
            </w:r>
            <w:r>
              <w:rPr>
                <w:rFonts w:hint="eastAsia" w:ascii="宋体" w:hAnsi="宋体" w:cs="宋体"/>
                <w:color w:val="auto"/>
                <w:sz w:val="22"/>
                <w:szCs w:val="22"/>
                <w:highlight w:val="none"/>
              </w:rPr>
              <w:t xml:space="preserve">kg（灯具除正常配件外，不得恶意增加假模挡板与电器腔电器固定板份量）；</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③灯具材质：整体采用高压压铸成型，不得采用拼接式或型材组装结构；所有紧固件、连接件均为304不锈钢材质；灯具须配备304不锈钢防掉链（防坠索）；</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④灯具结构：电器腔须为独立空间，以满足驱动电源及单灯控制装置的安装需求；灯具采用无工具开启设计（含电器部分、光源部分），上盖具有开启支撑装置；</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⑤连接器：模组与灯体之间、控制装置与灯体之间通过可插接式防水电子连接器（并联）。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150WLED灯具</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①外形尺寸---长度：650mm–850mm，宽度：330mm–430mm，高度：80mm–180mm；</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②灯具总重量：≥</w:t>
            </w:r>
            <w:r>
              <w:rPr>
                <w:rFonts w:hint="eastAsia" w:ascii="宋体" w:hAnsi="宋体" w:cs="宋体"/>
                <w:color w:val="auto"/>
                <w:sz w:val="22"/>
                <w:szCs w:val="22"/>
                <w:highlight w:val="none"/>
                <w:lang w:val="en-US" w:eastAsia="zh-CN"/>
              </w:rPr>
              <w:t xml:space="preserve">6.0</w:t>
            </w:r>
            <w:r>
              <w:rPr>
                <w:rFonts w:hint="eastAsia" w:ascii="宋体" w:hAnsi="宋体" w:cs="宋体"/>
                <w:color w:val="auto"/>
                <w:sz w:val="22"/>
                <w:szCs w:val="22"/>
                <w:highlight w:val="none"/>
              </w:rPr>
              <w:t xml:space="preserve">kg（灯具除正常配件外，不得恶意增加假模挡板与电器腔电器固定板份量）；</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③灯具材质：整体采用高压压铸成型，不得采用拼接式或型材组装结构；所有紧固件、连接件均为304不锈钢材质；灯具须配备304不锈钢防掉链（防坠索）；</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④灯具结构：电器腔须为独立空间，以满足驱动电源及单灯控制装置的安装需求；灯具采用无工具开启设计（含电器部分、光源部分），上盖具有开启支撑装置；</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⑤连接器：模组与灯体之间、控制装置与灯体之间通过可插接式防水电子连接器（并联）。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0</w:t>
            </w:r>
            <w:r>
              <w:rPr>
                <w:rFonts w:hint="eastAsia" w:ascii="宋体" w:hAnsi="宋体" w:cs="宋体"/>
                <w:color w:val="auto"/>
                <w:sz w:val="22"/>
                <w:szCs w:val="22"/>
                <w:highlight w:val="none"/>
              </w:rPr>
              <w:t xml:space="preserve">0wLED灯具</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①外形尺寸---长度：780mm–1000mm，宽度：330mm–430mm，高度：80mm–180mm；</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②灯具总重量：≥6.</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kg（灯具除正常配件外，不得恶意增加假模挡板与电器腔电器固定板份量）；</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③灯具材质：整体采用高压压铸成型，不得采用拼接式或型材组装结构；所有紧固件、连接件均为304不锈钢材质；灯具须配备304不锈钢防掉链（防坠索）；</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④灯具结构：电器腔须为独立空间，以满足驱动电源及单灯控制装置的安装需求；灯具采用无工具开启设计（含电器部分、光源部分），上盖具有开启支撑装置；</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⑤连接器：模组与灯体之间、控制装置与灯体之间通过可插接式防水电子连接器（并联）。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0wLED灯具</w:t>
            </w:r>
            <w:r/>
          </w:p>
        </w:tc>
        <w:tc>
          <w:tcPr>
            <w:shd w:val="clear" w:color="auto" w:fill="auto"/>
            <w:tcBorders>
              <w:top w:val="single" w:color="000000" w:sz="4" w:space="0"/>
              <w:left w:val="single" w:color="000000" w:sz="4" w:space="0"/>
              <w:bottom w:val="single" w:color="000000" w:sz="4" w:space="0"/>
              <w:right w:val="single" w:color="000000" w:sz="4" w:space="0"/>
            </w:tcBorders>
            <w:tcW w:w="512"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jc w:val="left"/>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①外形尺寸---长度：长780mm -1000mm， 宽330mm -430mm，高80mm - 180mm；</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②灯具总重量：≥</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kg（灯具除正常配件外，不得恶意增加假模挡板与电器腔电器固定板份量）；</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③灯具材质：整体采用高压压铸成型，不得采用拼接式或型材组装结构；所有紧固件、连接件均为304不锈钢材质；灯具须配备304不锈钢防掉链（防坠索）；</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④灯具结构：电器腔须为独立空间，以满足驱动电源及单灯控制装置的安装需求；灯具采用无工具开启设计（含电器部分、光源部分），上盖具有开启支撑装置；</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⑤连接器：模组与灯体之间、控制装置与灯体之间通过可插接式防水电子连接器（并联）。</w:t>
            </w:r>
            <w:r/>
          </w:p>
        </w:tc>
      </w:tr>
    </w:tbl>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（3）样品提交完成时间：2026年</w:t>
      </w: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9</w:t>
      </w:r>
      <w:bookmarkStart w:id="45" w:name="_GoBack"/>
      <w:r/>
      <w:bookmarkEnd w:id="45"/>
      <w:r>
        <w:rPr>
          <w:rFonts w:hint="eastAsia" w:ascii="仿宋" w:hAnsi="仿宋" w:eastAsia="仿宋"/>
          <w:color w:val="auto"/>
          <w:sz w:val="28"/>
          <w:szCs w:val="28"/>
          <w:highlight w:val="none"/>
        </w:rPr>
        <w:t xml:space="preserve">日</w:t>
      </w:r>
      <w:r>
        <w:rPr>
          <w:rFonts w:hint="eastAsia" w:ascii="仿宋" w:hAnsi="仿宋" w:eastAsia="仿宋" w:cs="仿宋"/>
          <w:bCs/>
          <w:color w:val="auto"/>
          <w:sz w:val="28"/>
          <w:szCs w:val="28"/>
          <w:highlight w:val="none"/>
        </w:rPr>
        <w:t xml:space="preserve">08时30分</w:t>
      </w:r>
      <w:r>
        <w:rPr>
          <w:rFonts w:hint="eastAsia" w:ascii="仿宋" w:hAnsi="仿宋" w:eastAsia="仿宋"/>
          <w:color w:val="auto"/>
          <w:sz w:val="28"/>
          <w:szCs w:val="28"/>
          <w:highlight w:val="none"/>
        </w:rPr>
        <w:t xml:space="preserve">起至</w:t>
      </w:r>
      <w:r>
        <w:rPr>
          <w:rFonts w:hint="eastAsia" w:ascii="仿宋" w:hAnsi="仿宋" w:eastAsia="仿宋" w:cs="仿宋"/>
          <w:bCs/>
          <w:color w:val="auto"/>
          <w:sz w:val="28"/>
          <w:szCs w:val="28"/>
          <w:highlight w:val="none"/>
        </w:rPr>
        <w:t xml:space="preserve">09时00分</w:t>
      </w:r>
      <w:r>
        <w:rPr>
          <w:rFonts w:hint="eastAsia" w:ascii="仿宋" w:hAnsi="仿宋" w:eastAsia="仿宋"/>
          <w:color w:val="auto"/>
          <w:sz w:val="28"/>
          <w:szCs w:val="28"/>
          <w:highlight w:val="none"/>
        </w:rPr>
        <w:t xml:space="preserve">止（北京时间）</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采购代理</w:t>
      </w:r>
      <w:r>
        <w:rPr>
          <w:rFonts w:ascii="仿宋" w:hAnsi="仿宋" w:eastAsia="仿宋"/>
          <w:color w:val="auto"/>
          <w:sz w:val="28"/>
          <w:szCs w:val="28"/>
          <w:highlight w:val="none"/>
        </w:rPr>
        <w:t xml:space="preserve">负责接收样品</w:t>
      </w:r>
      <w:r>
        <w:rPr>
          <w:rFonts w:hint="eastAsia" w:ascii="仿宋" w:hAnsi="仿宋" w:eastAsia="仿宋"/>
          <w:color w:val="auto"/>
          <w:sz w:val="28"/>
          <w:szCs w:val="28"/>
          <w:highlight w:val="none"/>
        </w:rPr>
        <w:t xml:space="preserve">，</w:t>
      </w:r>
      <w:r>
        <w:rPr>
          <w:rFonts w:hint="eastAsia" w:ascii="仿宋" w:hAnsi="仿宋" w:eastAsia="仿宋" w:cs="仿宋"/>
          <w:bCs/>
          <w:color w:val="auto"/>
          <w:sz w:val="28"/>
          <w:szCs w:val="28"/>
          <w:highlight w:val="none"/>
        </w:rPr>
        <w:t xml:space="preserve">逾期不予接收。</w:t>
      </w:r>
      <w:r>
        <w:rPr>
          <w:rFonts w:ascii="仿宋" w:hAnsi="仿宋" w:eastAsia="仿宋"/>
          <w:color w:val="auto"/>
          <w:sz w:val="28"/>
          <w:szCs w:val="28"/>
          <w:highlight w:val="none"/>
        </w:rPr>
        <w:t xml:space="preserve">样品递交地点：</w:t>
      </w:r>
      <w:r>
        <w:rPr>
          <w:rFonts w:hint="eastAsia" w:ascii="仿宋" w:hAnsi="仿宋" w:eastAsia="仿宋"/>
          <w:color w:val="auto"/>
          <w:sz w:val="28"/>
          <w:szCs w:val="28"/>
          <w:highlight w:val="none"/>
        </w:rPr>
        <w:t xml:space="preserve">如皋市惠政路1799号公共资源中心三楼样品室</w:t>
      </w:r>
      <w:r>
        <w:rPr>
          <w:rFonts w:ascii="仿宋" w:hAnsi="仿宋" w:eastAsia="仿宋"/>
          <w:color w:val="auto"/>
          <w:sz w:val="28"/>
          <w:szCs w:val="28"/>
          <w:highlight w:val="none"/>
        </w:rPr>
        <w:t xml:space="preserve">，样品递交联系方式：</w:t>
      </w:r>
      <w:r>
        <w:rPr>
          <w:rFonts w:hint="eastAsia" w:ascii="仿宋" w:hAnsi="仿宋" w:eastAsia="仿宋"/>
          <w:color w:val="auto"/>
          <w:sz w:val="28"/>
          <w:szCs w:val="28"/>
          <w:highlight w:val="none"/>
        </w:rPr>
        <w:t xml:space="preserve">13773800561</w:t>
      </w:r>
      <w:r>
        <w:rPr>
          <w:rFonts w:ascii="仿宋" w:hAnsi="仿宋" w:eastAsia="仿宋"/>
          <w:color w:val="auto"/>
          <w:sz w:val="28"/>
          <w:szCs w:val="28"/>
          <w:highlight w:val="none"/>
        </w:rPr>
        <w:t xml:space="preserve">。</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（4）密封要求：提供的样品须装箱密封，样品上不能标注</w:t>
      </w:r>
      <w:r>
        <w:rPr>
          <w:rFonts w:hint="eastAsia" w:ascii="仿宋" w:hAnsi="仿宋" w:eastAsia="仿宋" w:cs="仿宋"/>
          <w:bCs/>
          <w:color w:val="auto"/>
          <w:sz w:val="28"/>
          <w:szCs w:val="28"/>
          <w:highlight w:val="none"/>
          <w:lang w:val="en-US" w:eastAsia="zh-CN"/>
        </w:rPr>
        <w:t xml:space="preserve">投标</w:t>
      </w:r>
      <w:r>
        <w:rPr>
          <w:rFonts w:hint="eastAsia" w:ascii="仿宋" w:hAnsi="仿宋" w:eastAsia="仿宋" w:cs="仿宋"/>
          <w:bCs/>
          <w:color w:val="auto"/>
          <w:sz w:val="28"/>
          <w:szCs w:val="28"/>
          <w:highlight w:val="none"/>
        </w:rPr>
        <w:t xml:space="preserve">供应商名称或具有</w:t>
      </w:r>
      <w:r>
        <w:rPr>
          <w:rFonts w:hint="eastAsia" w:ascii="仿宋" w:hAnsi="仿宋" w:eastAsia="仿宋" w:cs="仿宋"/>
          <w:bCs/>
          <w:color w:val="auto"/>
          <w:sz w:val="28"/>
          <w:szCs w:val="28"/>
          <w:highlight w:val="none"/>
          <w:lang w:val="en-US" w:eastAsia="zh-CN"/>
        </w:rPr>
        <w:t xml:space="preserve">投标</w:t>
      </w:r>
      <w:r>
        <w:rPr>
          <w:rFonts w:hint="eastAsia" w:ascii="仿宋" w:hAnsi="仿宋" w:eastAsia="仿宋" w:cs="仿宋"/>
          <w:bCs/>
          <w:color w:val="auto"/>
          <w:sz w:val="28"/>
          <w:szCs w:val="28"/>
          <w:highlight w:val="none"/>
        </w:rPr>
        <w:t xml:space="preserve">供应商单位的标志（如有，必须有效遮盖），否则视为无效</w:t>
      </w:r>
      <w:r>
        <w:rPr>
          <w:rFonts w:hint="eastAsia" w:ascii="仿宋" w:hAnsi="仿宋" w:eastAsia="仿宋" w:cs="仿宋"/>
          <w:bCs/>
          <w:color w:val="auto"/>
          <w:sz w:val="28"/>
          <w:szCs w:val="28"/>
          <w:highlight w:val="none"/>
          <w:lang w:val="en-US" w:eastAsia="zh-CN"/>
        </w:rPr>
        <w:t xml:space="preserve">投标人</w:t>
      </w:r>
      <w:r>
        <w:rPr>
          <w:rFonts w:hint="eastAsia" w:ascii="仿宋" w:hAnsi="仿宋" w:eastAsia="仿宋" w:cs="仿宋"/>
          <w:bCs/>
          <w:color w:val="auto"/>
          <w:sz w:val="28"/>
          <w:szCs w:val="28"/>
          <w:highlight w:val="none"/>
        </w:rPr>
        <w:t xml:space="preserve">。各供应商样品编号由采购人单位监督人员负责随机编号，评委会以样品编号为单位进行独立评定。</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采购人及代理机构均不承担样品制造及送达所产生的任何费用。采购人及代理机构对响应供应商所递交样品的破损或质量不负任何责任。响应供应商如递交样品，视为同意评审时评标委员会可打开投标样品包装进行仔细观察。</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（6）成交供应商样品需要封样留存，成交供应商须按样品标准提供产品，供货时如与样品不相符或抽检不符合采购人技术要求的，采购人有权终止合同，一切后果由成交供应商自行承担。</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（7）样品要求：</w:t>
      </w:r>
      <w:r/>
    </w:p>
    <w:p>
      <w:pPr>
        <w:ind w:firstLine="560"/>
        <w:jc w:val="left"/>
        <w:spacing w:line="500" w:lineRule="exact"/>
        <w:rPr>
          <w:rFonts w:ascii="仿宋" w:hAnsi="仿宋" w:eastAsia="仿宋"/>
          <w:b/>
          <w:bCs/>
          <w:color w:val="auto"/>
          <w:sz w:val="28"/>
          <w:szCs w:val="28"/>
          <w:highlight w:val="none"/>
        </w:rPr>
      </w:pP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递交的样品要严格按照</w:t>
      </w:r>
      <w:r>
        <w:rPr>
          <w:rFonts w:hint="eastAsia" w:ascii="仿宋" w:hAnsi="仿宋" w:eastAsia="仿宋"/>
          <w:color w:val="auto"/>
          <w:sz w:val="28"/>
          <w:szCs w:val="28"/>
          <w:highlight w:val="none"/>
        </w:rPr>
        <w:t xml:space="preserve">技术要求中叙述的参数提供，如样品技术参数出现偏差视为未响应</w:t>
      </w:r>
      <w:r>
        <w:rPr>
          <w:rFonts w:hint="eastAsia" w:ascii="仿宋" w:hAnsi="仿宋" w:eastAsia="仿宋"/>
          <w:color w:val="auto"/>
          <w:sz w:val="28"/>
          <w:szCs w:val="28"/>
          <w:highlight w:val="none"/>
          <w:lang w:val="en-US" w:eastAsia="zh-CN"/>
        </w:rPr>
        <w:t xml:space="preserve">投标</w:t>
      </w:r>
      <w:r>
        <w:rPr>
          <w:rFonts w:hint="eastAsia" w:ascii="仿宋" w:hAnsi="仿宋" w:eastAsia="仿宋"/>
          <w:color w:val="auto"/>
          <w:sz w:val="28"/>
          <w:szCs w:val="28"/>
          <w:highlight w:val="none"/>
        </w:rPr>
        <w:t xml:space="preserve">文件。</w:t>
      </w:r>
      <w:r/>
    </w:p>
    <w:p>
      <w:pPr>
        <w:pStyle w:val="901"/>
        <w:ind w:firstLine="0"/>
        <w:jc w:val="both"/>
        <w:spacing w:line="240" w:lineRule="auto"/>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r>
      <w:r/>
    </w:p>
    <w:p>
      <w:pPr>
        <w:pStyle w:val="901"/>
        <w:ind w:firstLine="0"/>
        <w:jc w:val="both"/>
        <w:spacing w:line="240" w:lineRule="auto"/>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r>
      <w:r/>
    </w:p>
    <w:p>
      <w:pPr>
        <w:pStyle w:val="901"/>
        <w:ind w:firstLine="0"/>
        <w:jc w:val="both"/>
        <w:spacing w:line="240" w:lineRule="auto"/>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r>
      <w:r/>
    </w:p>
    <w:p>
      <w:pPr>
        <w:pStyle w:val="901"/>
        <w:ind w:firstLine="0"/>
        <w:jc w:val="both"/>
        <w:spacing w:line="240" w:lineRule="auto"/>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r>
      <w:r/>
    </w:p>
    <w:p>
      <w:pPr>
        <w:pStyle w:val="901"/>
        <w:ind w:firstLine="0"/>
        <w:jc w:val="both"/>
        <w:spacing w:line="240" w:lineRule="auto"/>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r>
      <w:r/>
    </w:p>
    <w:p>
      <w:pPr>
        <w:pStyle w:val="901"/>
        <w:ind w:firstLine="0"/>
        <w:jc w:val="both"/>
        <w:spacing w:line="240" w:lineRule="auto"/>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r>
      <w:r/>
    </w:p>
    <w:p>
      <w:pPr>
        <w:pStyle w:val="901"/>
        <w:ind w:firstLine="0"/>
        <w:jc w:val="both"/>
        <w:spacing w:line="240" w:lineRule="auto"/>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 xml:space="preserve">第4章 合同文本</w:t>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甲方 : 如皋市城市建设管理中心</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ind w:firstLine="480"/>
        <w:spacing w:before="19"/>
        <w:widowControl/>
        <w:rPr>
          <w:rFonts w:ascii="仿宋" w:hAnsi="仿宋" w:eastAsia="仿宋"/>
          <w:color w:val="auto"/>
          <w:sz w:val="24"/>
          <w:highlight w:val="none"/>
        </w:rPr>
      </w:pPr>
      <w:r>
        <w:rPr>
          <w:rFonts w:hint="eastAsia" w:ascii="仿宋_GB2312" w:hAnsi="宋体" w:eastAsia="仿宋_GB2312"/>
          <w:color w:val="auto"/>
          <w:sz w:val="24"/>
          <w:highlight w:val="none"/>
        </w:rPr>
        <w:t xml:space="preserve">如皋市城市建设管理中心就如皋市主城区LED灯具采购项目委托如皋市城建工程项目管理有限公司进行了政府采购。按照评委会评审推荐、甲方确定乙方为中标单位。现甲乙双方协商同意签订本合同。</w:t>
      </w:r>
      <w:r/>
    </w:p>
    <w:p>
      <w:pPr>
        <w:numPr>
          <w:ilvl w:val="0"/>
          <w:numId w:val="5"/>
        </w:numPr>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p>
    <w:tbl>
      <w:tblPr>
        <w:tblStyle w:val="869"/>
        <w:tblW w:w="9567" w:type="dxa"/>
        <w:tblInd w:w="96" w:type="dxa"/>
        <w:tblLayout w:type="fixed"/>
        <w:tblCellMar>
          <w:left w:w="108" w:type="dxa"/>
          <w:top w:w="0" w:type="dxa"/>
          <w:right w:w="108" w:type="dxa"/>
          <w:bottom w:w="0" w:type="dxa"/>
        </w:tblCellMar>
        <w:tblLook w:val="04A0" w:firstRow="1" w:lastRow="0" w:firstColumn="1" w:lastColumn="0" w:noHBand="0" w:noVBand="1"/>
      </w:tblPr>
      <w:tblGrid>
        <w:gridCol w:w="575"/>
        <w:gridCol w:w="988"/>
        <w:gridCol w:w="600"/>
        <w:gridCol w:w="767"/>
        <w:gridCol w:w="4611"/>
        <w:gridCol w:w="1013"/>
        <w:gridCol w:w="1013"/>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项目/品类</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总价（元）</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55wLED灯泡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安装方式：螺口E40</w:t>
            </w:r>
            <w:r>
              <w:rPr>
                <w:rFonts w:hint="eastAsia" w:ascii="宋体" w:hAnsi="宋体" w:cs="宋体"/>
                <w:color w:val="auto"/>
                <w:sz w:val="24"/>
                <w:highlight w:val="none"/>
              </w:rPr>
              <w:br/>
            </w:r>
            <w:r>
              <w:rPr>
                <w:rFonts w:hint="eastAsia" w:ascii="宋体" w:hAnsi="宋体" w:cs="宋体"/>
                <w:color w:val="auto"/>
                <w:sz w:val="24"/>
                <w:highlight w:val="none"/>
              </w:rPr>
              <w:t xml:space="preserve">额定功率：55w</w:t>
            </w:r>
            <w:r>
              <w:rPr>
                <w:rFonts w:hint="eastAsia" w:ascii="宋体" w:hAnsi="宋体" w:cs="宋体"/>
                <w:color w:val="auto"/>
                <w:sz w:val="24"/>
                <w:highlight w:val="none"/>
              </w:rPr>
              <w:br/>
            </w:r>
            <w:r>
              <w:rPr>
                <w:rFonts w:hint="eastAsia" w:ascii="宋体" w:hAnsi="宋体" w:cs="宋体"/>
                <w:color w:val="auto"/>
                <w:sz w:val="24"/>
                <w:highlight w:val="none"/>
              </w:rPr>
              <w:t xml:space="preserve">光通量：≥8000lm</w:t>
            </w:r>
            <w:r>
              <w:rPr>
                <w:rFonts w:hint="eastAsia" w:ascii="宋体" w:hAnsi="宋体" w:cs="宋体"/>
                <w:color w:val="auto"/>
                <w:sz w:val="24"/>
                <w:highlight w:val="none"/>
              </w:rPr>
              <w:br/>
            </w:r>
            <w:r>
              <w:rPr>
                <w:rFonts w:hint="eastAsia" w:ascii="宋体" w:hAnsi="宋体" w:cs="宋体"/>
                <w:color w:val="auto"/>
                <w:sz w:val="24"/>
                <w:highlight w:val="none"/>
              </w:rPr>
              <w:t xml:space="preserve">色温：3000K±200</w:t>
            </w:r>
            <w:r>
              <w:rPr>
                <w:rFonts w:hint="eastAsia" w:ascii="宋体" w:hAnsi="宋体" w:cs="宋体"/>
                <w:color w:val="auto"/>
                <w:sz w:val="24"/>
                <w:highlight w:val="none"/>
              </w:rPr>
              <w:br/>
            </w:r>
            <w:r>
              <w:rPr>
                <w:rFonts w:hint="eastAsia" w:ascii="宋体" w:hAnsi="宋体" w:cs="宋体"/>
                <w:color w:val="auto"/>
                <w:sz w:val="24"/>
                <w:highlight w:val="none"/>
              </w:rPr>
              <w:t xml:space="preserve">工作电压：175V-265V AC</w:t>
            </w:r>
            <w:r>
              <w:rPr>
                <w:rFonts w:hint="eastAsia" w:ascii="宋体" w:hAnsi="宋体" w:cs="宋体"/>
                <w:color w:val="auto"/>
                <w:sz w:val="24"/>
                <w:highlight w:val="none"/>
              </w:rPr>
              <w:br/>
            </w:r>
            <w:r>
              <w:rPr>
                <w:rFonts w:hint="eastAsia" w:ascii="宋体" w:hAnsi="宋体" w:cs="宋体"/>
                <w:color w:val="auto"/>
                <w:sz w:val="24"/>
                <w:highlight w:val="none"/>
              </w:rPr>
              <w:t xml:space="preserve">频率范围：50-60HZ</w:t>
            </w:r>
            <w:r>
              <w:rPr>
                <w:rFonts w:hint="eastAsia" w:ascii="宋体" w:hAnsi="宋体" w:cs="宋体"/>
                <w:color w:val="auto"/>
                <w:sz w:val="24"/>
                <w:highlight w:val="none"/>
              </w:rPr>
              <w:br/>
            </w:r>
            <w:r>
              <w:rPr>
                <w:rFonts w:hint="eastAsia" w:ascii="宋体" w:hAnsi="宋体" w:cs="宋体"/>
                <w:color w:val="auto"/>
                <w:sz w:val="24"/>
                <w:highlight w:val="none"/>
              </w:rPr>
              <w:t xml:space="preserve">产品尺寸：直径≤65mm，长度≤250mm</w:t>
            </w:r>
            <w:r>
              <w:rPr>
                <w:rFonts w:hint="eastAsia" w:ascii="宋体" w:hAnsi="宋体" w:cs="宋体"/>
                <w:color w:val="auto"/>
                <w:sz w:val="24"/>
                <w:highlight w:val="none"/>
              </w:rPr>
              <w:br/>
            </w:r>
            <w:r>
              <w:rPr>
                <w:rFonts w:hint="eastAsia" w:ascii="宋体" w:hAnsi="宋体" w:cs="宋体"/>
                <w:color w:val="auto"/>
                <w:sz w:val="24"/>
                <w:highlight w:val="none"/>
              </w:rPr>
              <w:t xml:space="preserve">光束角度: 轴向120-150°，垂直轴向360°</w:t>
            </w:r>
            <w:r>
              <w:rPr>
                <w:rFonts w:hint="eastAsia" w:ascii="宋体" w:hAnsi="宋体" w:cs="宋体"/>
                <w:color w:val="auto"/>
                <w:sz w:val="24"/>
                <w:highlight w:val="none"/>
              </w:rPr>
              <w:br/>
            </w:r>
            <w:r>
              <w:rPr>
                <w:rFonts w:hint="eastAsia" w:ascii="宋体" w:hAnsi="宋体" w:cs="宋体"/>
                <w:color w:val="auto"/>
                <w:sz w:val="24"/>
                <w:highlight w:val="none"/>
              </w:rPr>
              <w:t xml:space="preserve">显色指数：Ra≥80</w:t>
            </w:r>
            <w:r>
              <w:rPr>
                <w:rFonts w:hint="eastAsia" w:ascii="宋体" w:hAnsi="宋体" w:cs="宋体"/>
                <w:color w:val="auto"/>
                <w:sz w:val="24"/>
                <w:highlight w:val="none"/>
              </w:rPr>
              <w:br/>
            </w:r>
            <w:r>
              <w:rPr>
                <w:rFonts w:hint="eastAsia" w:ascii="宋体" w:hAnsi="宋体" w:cs="宋体"/>
                <w:color w:val="auto"/>
                <w:sz w:val="24"/>
                <w:highlight w:val="none"/>
              </w:rPr>
              <w:t xml:space="preserve">散热方式：温控式主动散热（风扇）</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100wLED灯具</w:t>
            </w:r>
            <w:r>
              <w:rPr>
                <w:rFonts w:hint="eastAsia" w:ascii="宋体" w:hAnsi="宋体" w:cs="宋体"/>
                <w:color w:val="auto"/>
                <w:sz w:val="24"/>
                <w:highlight w:val="none"/>
              </w:rPr>
              <w:br/>
            </w:r>
            <w:r>
              <w:rPr>
                <w:rFonts w:hint="eastAsia" w:ascii="宋体" w:hAnsi="宋体" w:cs="宋体"/>
                <w:color w:val="auto"/>
                <w:sz w:val="24"/>
                <w:highlight w:val="none"/>
              </w:rPr>
              <w:t xml:space="preserve">（两模）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b/>
                <w:bCs/>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①外形尺寸与重量：长650mm–850mm，宽330mm–430mm，高80mm–180mm；总重量≥5.</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散热铝板厚度不低于1.2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150wLED灯具</w:t>
            </w:r>
            <w:r>
              <w:rPr>
                <w:rFonts w:hint="eastAsia" w:ascii="宋体" w:hAnsi="宋体" w:cs="宋体"/>
                <w:color w:val="auto"/>
                <w:sz w:val="24"/>
                <w:highlight w:val="none"/>
              </w:rPr>
              <w:br/>
            </w:r>
            <w:r>
              <w:rPr>
                <w:rFonts w:hint="eastAsia" w:ascii="宋体" w:hAnsi="宋体" w:cs="宋体"/>
                <w:color w:val="auto"/>
                <w:sz w:val="24"/>
                <w:highlight w:val="none"/>
              </w:rPr>
              <w:t xml:space="preserve">（三模）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1910</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①外形尺寸与重量：长650mm–850mm，宽330mm–430mm，高80mm–180mm；总重量≥</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p>
          <w:p>
            <w:pPr>
              <w:jc w:val="left"/>
              <w:widowControl/>
              <w:rPr>
                <w:rFonts w:ascii="宋体" w:hAnsi="宋体" w:cs="宋体"/>
                <w:b/>
                <w:bCs/>
                <w:color w:val="auto"/>
                <w:sz w:val="24"/>
                <w:highlight w:val="none"/>
              </w:rPr>
            </w:pP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200wLED灯具</w:t>
            </w:r>
            <w:r>
              <w:rPr>
                <w:rFonts w:hint="eastAsia" w:ascii="宋体" w:hAnsi="宋体" w:cs="宋体"/>
                <w:color w:val="auto"/>
                <w:sz w:val="24"/>
                <w:highlight w:val="none"/>
              </w:rPr>
              <w:br/>
            </w:r>
            <w:r>
              <w:rPr>
                <w:rFonts w:hint="eastAsia" w:ascii="宋体" w:hAnsi="宋体" w:cs="宋体"/>
                <w:color w:val="auto"/>
                <w:sz w:val="24"/>
                <w:highlight w:val="none"/>
              </w:rPr>
              <w:t xml:space="preserve">（四模）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b/>
                <w:bCs/>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①外形尺寸与重量：长780mm–1000mm，宽330mm–430mm，高80mm–180mm；总重量≥6.</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整灯防护等级不低于IP66，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250wLED灯具</w:t>
            </w:r>
            <w:r>
              <w:rPr>
                <w:rFonts w:hint="eastAsia" w:ascii="宋体" w:hAnsi="宋体" w:cs="宋体"/>
                <w:color w:val="auto"/>
                <w:sz w:val="24"/>
                <w:highlight w:val="none"/>
              </w:rPr>
              <w:br/>
            </w:r>
            <w:r>
              <w:rPr>
                <w:rFonts w:hint="eastAsia" w:ascii="宋体" w:hAnsi="宋体" w:cs="宋体"/>
                <w:color w:val="auto"/>
                <w:sz w:val="24"/>
                <w:highlight w:val="none"/>
              </w:rPr>
              <w:t xml:space="preserve">（五模）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①外形尺寸与重量：长780mm -1000mm， 宽330mm -430mm，高80mm - 180mm;总重量≥</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kg。</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整灯防护等级不低于IP66，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4690</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一、控制功能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控制软件必须同时具备电脑、手机APP报警自动推送功能，确保采购人第一时间得到报警信息。</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单灯独立开关控制;支持远程对单路灯具执行开、关指令；支持批量分组控制，按照路段、区域、组别，批量进行灯具开关操作。</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调光控制:支持0</w:t>
            </w:r>
            <w:r>
              <w:rPr>
                <w:rFonts w:hint="eastAsia" w:ascii="宋体" w:hAnsi="宋体" w:cs="宋体"/>
                <w:color w:val="auto"/>
                <w:sz w:val="24"/>
                <w:highlight w:val="none"/>
              </w:rPr>
              <w:noBreakHyphen/>
            </w:r>
            <w:r>
              <w:rPr>
                <w:rFonts w:hint="eastAsia" w:ascii="宋体" w:hAnsi="宋体" w:cs="宋体"/>
                <w:color w:val="auto"/>
                <w:sz w:val="24"/>
                <w:highlight w:val="none"/>
              </w:rPr>
              <w:t xml:space="preserve">10V、PWM两种调光方式，实现灯光亮度无级调节；可预设多套调光曲线，依据时间、节假日自动调节灯具亮度。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 时序策略:内置硬件时钟，支持本地定时策略；可自定义开关灯时间、分时段调光方案；依托经纬度自动适配日出日落启停灯，可自动修正晨昏时刻。</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⑤</w:t>
            </w:r>
            <w:r>
              <w:rPr>
                <w:rFonts w:hint="eastAsia" w:ascii="宋体" w:hAnsi="宋体" w:cs="宋体"/>
                <w:color w:val="auto"/>
                <w:sz w:val="24"/>
                <w:highlight w:val="none"/>
              </w:rPr>
              <w:t xml:space="preserve">策略模式切换:远程可切换4类工作模式：远程受控模式、本地自主模式、强制全开、强制全关。</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⑥</w:t>
            </w:r>
            <w:r>
              <w:rPr>
                <w:rFonts w:hint="eastAsia" w:ascii="宋体" w:hAnsi="宋体" w:cs="宋体"/>
                <w:color w:val="auto"/>
                <w:sz w:val="24"/>
                <w:highlight w:val="none"/>
              </w:rPr>
              <w:t xml:space="preserve"> 应急强制控制:管控平台下发应急指令之后，控制器优先执行应急开关、调光操作，跳过本地定时任务。</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二、数据采集功能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电气参数采集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采集灯具回路电压、电流、有功功率、用电量。</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灯具状态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获取灯具开关状态、调光输出数值。</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数据上报</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支持定时周期上报、平台主动召测；可灵活修改数据上报周期。</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④电能统计</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累计用电量、按月统计能耗数据，为能耗数据分析提供支撑。</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三、故障检测与告警功能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灯具故障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识别灯具不亮故障、局部不亮故障（单个模组损坏）检测告警。</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回路故障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触发过压、欠压、过流告警。</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设备故障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控制器通信异常告警。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④告警推送规则</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故障主动上报，附带故障类别、故障发生时间；故障解除之后自动推送恢复事件。</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⑤</w:t>
            </w:r>
            <w:r>
              <w:rPr>
                <w:rFonts w:hint="eastAsia" w:ascii="宋体" w:hAnsi="宋体" w:cs="宋体"/>
                <w:color w:val="auto"/>
                <w:sz w:val="24"/>
                <w:highlight w:val="none"/>
              </w:rPr>
              <w:t xml:space="preserve">故障报警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月故障误报率小于等于3%。</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四、通信功能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基础通信方式</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采用4G CAT</w:t>
            </w:r>
            <w:r>
              <w:rPr>
                <w:rFonts w:hint="eastAsia" w:ascii="宋体" w:hAnsi="宋体" w:cs="宋体"/>
                <w:color w:val="auto"/>
                <w:sz w:val="24"/>
                <w:highlight w:val="none"/>
              </w:rPr>
              <w:noBreakHyphen/>
            </w:r>
            <w:r>
              <w:rPr>
                <w:rFonts w:hint="eastAsia" w:ascii="宋体" w:hAnsi="宋体" w:cs="宋体"/>
                <w:color w:val="auto"/>
                <w:sz w:val="24"/>
                <w:highlight w:val="none"/>
              </w:rPr>
              <w:t xml:space="preserve">1通信；具备组网能力，可以和网关、管控平台双向通讯。</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断网缓存续传</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网络断开时本地储存控制策略、采集数据；网络恢复后补发全部历史数据，保障关键告警不会丢失。</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在线心跳检测</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定时上传心跳数据包，上报在线状态，平台识别设备离线情况。</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④传输加密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全部传输数据加密处理，防止远程控制指令被篡改。</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五、本地操作与脱网运行</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脱网自主运行</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网络断开之后，设备依靠本地储存的定时、经纬度策略正常开关灯、调光，无需依赖云端平台。</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参数本地存储</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定时方案、调光参数、设备地址等配置断电不会丢失。</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设备ID管理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设备搭载唯一硬件ID；可远程修改设备名称、分组信息。</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六、电源输入端设置防雷浪涌保护，适配路灯电网电压波动。</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宽电压输入：100-400V。</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七、防护等级：IP67及以上，户外防水防尘。</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八、 控制器具备国家认可的CQC认证证书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九、 单灯控制器的流量卡（ESIM卡）质保期满后，投标人要无条件配合采购人进行过户，保证后续数据正常上报。提供可供业主查询的网址及物联卡的相关参数资料，确保单灯控制器出厂时已包含10年流量套餐和服务期。</w:t>
            </w:r>
            <w:r/>
          </w:p>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004"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：自验收合格之日起5年</w:t>
      </w:r>
      <w:r/>
    </w:p>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：合同签订之日起3个月内，完成供货、安装。</w:t>
      </w:r>
      <w:r/>
    </w:p>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：甲方指定地点。</w:t>
      </w:r>
      <w:r/>
    </w:p>
    <w:p>
      <w:pPr>
        <w:numPr>
          <w:ilvl w:val="0"/>
          <w:numId w:val="5"/>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：供货并安装调试结束后由甲方组织验收，</w:t>
      </w:r>
      <w:r>
        <w:rPr>
          <w:rFonts w:hint="eastAsia" w:ascii="仿宋" w:hAnsi="仿宋" w:eastAsia="仿宋"/>
          <w:color w:val="auto"/>
          <w:sz w:val="24"/>
          <w:highlight w:val="none"/>
          <w:lang w:val="en-US" w:eastAsia="zh-CN"/>
        </w:rPr>
        <w:t xml:space="preserve">验收合格满一年后，支付实际金额的40%，验收合格满两年后支付实际金额的70%，</w:t>
      </w:r>
      <w:r>
        <w:rPr>
          <w:rFonts w:hint="eastAsia" w:ascii="仿宋" w:hAnsi="仿宋" w:eastAsia="仿宋"/>
          <w:color w:val="auto"/>
          <w:sz w:val="24"/>
          <w:highlight w:val="none"/>
          <w:lang w:val="zh-CN"/>
        </w:rPr>
        <w:t xml:space="preserve">验收合格满三年后</w:t>
      </w:r>
      <w:r>
        <w:rPr>
          <w:rFonts w:hint="eastAsia" w:ascii="仿宋" w:hAnsi="仿宋" w:eastAsia="仿宋"/>
          <w:color w:val="auto"/>
          <w:sz w:val="24"/>
          <w:highlight w:val="none"/>
          <w:lang w:val="en-US" w:eastAsia="zh-CN"/>
        </w:rPr>
        <w:t xml:space="preserve">付至</w:t>
      </w:r>
      <w:r>
        <w:rPr>
          <w:rFonts w:hint="eastAsia" w:ascii="仿宋" w:hAnsi="仿宋" w:eastAsia="仿宋"/>
          <w:color w:val="auto"/>
          <w:sz w:val="24"/>
          <w:highlight w:val="none"/>
          <w:lang w:val="zh-CN"/>
        </w:rPr>
        <w:t xml:space="preserve">实际金额的</w:t>
      </w:r>
      <w:r>
        <w:rPr>
          <w:rFonts w:hint="eastAsia" w:ascii="仿宋" w:hAnsi="仿宋" w:eastAsia="仿宋"/>
          <w:color w:val="auto"/>
          <w:sz w:val="24"/>
          <w:highlight w:val="none"/>
          <w:lang w:val="en-US" w:eastAsia="zh-CN"/>
        </w:rPr>
        <w:t xml:space="preserve">97</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余款待质保期结束后付清</w:t>
      </w: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rPr>
        <w:t xml:space="preserve">每次支付前，乙方均应出具符合甲方财务规定以及开票报税要求的相应金额的正式发票，双方结算均通过银行基本账户进行。</w:t>
      </w:r>
      <w:r/>
    </w:p>
    <w:p>
      <w:pPr>
        <w:numPr>
          <w:ilvl w:val="0"/>
          <w:numId w:val="5"/>
        </w:num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项目管理服务</w:t>
      </w:r>
      <w:r/>
    </w:p>
    <w:p>
      <w:pPr>
        <w:ind w:left="426"/>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甲方项目负责人姓名：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联系电话：</w:t>
      </w:r>
      <w:r>
        <w:rPr>
          <w:rFonts w:hint="eastAsia" w:ascii="仿宋" w:hAnsi="仿宋" w:eastAsia="仿宋"/>
          <w:color w:val="auto"/>
          <w:sz w:val="24"/>
          <w:highlight w:val="none"/>
          <w:u w:val="single"/>
        </w:rPr>
        <w:t xml:space="preserve">         。</w:t>
      </w:r>
      <w:r/>
    </w:p>
    <w:p>
      <w:pPr>
        <w:ind w:left="426"/>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乙方要指定不少于一人全权全程负责本项目服务的落实，包括服务的咨询、执行和后续工作。项目负责人姓名：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联系电话：</w:t>
      </w:r>
      <w:r>
        <w:rPr>
          <w:rFonts w:hint="eastAsia" w:ascii="仿宋" w:hAnsi="仿宋" w:eastAsia="仿宋"/>
          <w:color w:val="auto"/>
          <w:sz w:val="24"/>
          <w:highlight w:val="none"/>
          <w:u w:val="single"/>
        </w:rPr>
        <w:t xml:space="preserve">          。</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5"/>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本合同一式陆份，甲方持肆份，乙方持贰份。</w:t>
      </w:r>
      <w:r/>
    </w:p>
    <w:tbl>
      <w:tblPr>
        <w:tblStyle w:val="869"/>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甲方（公章）：</w:t>
            </w:r>
            <w:r/>
          </w:p>
          <w:p>
            <w:pPr>
              <w:spacing w:before="19"/>
              <w:widowControl/>
              <w:rPr>
                <w:rFonts w:ascii="仿宋" w:hAnsi="仿宋" w:eastAsia="仿宋"/>
                <w:b/>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rPr>
              <w:t xml:space="preserve">年月日</w:t>
            </w:r>
            <w:r/>
          </w:p>
        </w:tc>
        <w:tc>
          <w:tcPr>
            <w:tcW w:w="4261" w:type="dxa"/>
            <w:textDirection w:val="lrTb"/>
            <w:noWrap w:val="false"/>
          </w:tcPr>
          <w:p>
            <w:pPr>
              <w:spacing w:before="19"/>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乙方（公章）：</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户名：</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开户银行：</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账号：</w:t>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center"/>
        <w:spacing w:before="19"/>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乙方应按</w:t>
      </w:r>
      <w:r>
        <w:rPr>
          <w:rFonts w:hint="eastAsia" w:ascii="仿宋" w:hAnsi="仿宋" w:eastAsia="仿宋"/>
          <w:color w:val="auto"/>
          <w:sz w:val="24"/>
          <w:highlight w:val="none"/>
        </w:rPr>
        <w:t xml:space="preserve">照招标</w:t>
      </w:r>
      <w:r>
        <w:rPr>
          <w:rFonts w:ascii="仿宋" w:hAnsi="仿宋" w:eastAsia="仿宋"/>
          <w:color w:val="auto"/>
          <w:sz w:val="24"/>
          <w:highlight w:val="none"/>
        </w:rPr>
        <w:t xml:space="preserve">文件规定</w:t>
      </w:r>
      <w:r>
        <w:rPr>
          <w:rFonts w:hint="eastAsia" w:ascii="仿宋" w:hAnsi="仿宋" w:eastAsia="仿宋"/>
          <w:color w:val="auto"/>
          <w:sz w:val="24"/>
          <w:highlight w:val="none"/>
        </w:rPr>
        <w:t xml:space="preserve">及投标文件承诺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硬件安装交付结束后，质保期内，供应商需在采购人仓库储备不低于采购数量1%的各类维修配件，如产品出现故障由采购人负责更换，但设备接入及调试由供应商负责。年更换率大于等于3%的部分，由供应商承担更换时产生的人工及机械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2.质保期内确保控制软件正常运行，数据按监管要求正常上报到城市生命线平台。</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按乙方投标文件执行。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1.验收依据：国家/行业/地方相关标准、本招标文件技术要求。</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2.供货并安装结束后7个工作日内，采购单位通知供应厂商共同组织验收；通知而未参加的视同接受验收结论。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3.验收不合格，供应厂商须在2个工作日内响应并整改，整改完毕后重新组织验收。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4.提出异议期限：2个工作日。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5.制造商必须是投标文件所明确的生产制造厂商，供货方对质量问题负责包退、包换、包修，费用由供货方承担。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6.合同有效期内，如国家质量标准发生变化，以最新颁布的标准及规范执行；如有不符合，由供方承担全部责任。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在发货前，供货方应对货物的质量、规格、性能、数量等进行准确而全面的检验，并出具一份证明货物符合合同规定的证书。该证书将作为提交付款单据的一部分，但有关质量、规格、性能、数量的检验不应视为最终检验。按技术要求进行检验。</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到货验收时，如果货物的质量和规格与合同规定相符，采购方应及时填写验收表；如果货物的质量、规格与合同规定不符，或在质量保证期内发现货物是有缺陷的（包括潜在缺陷或使用不符合要求的材料），采购方有权单方委托有资质的司法鉴定机构进行检验检测或鉴定，采购方有权凭其出具的检验报告或鉴定意见向供货方提出索赔。</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9.严重偏离招标技术标准供货，采购方要求全部退货的，供方须支付合同总价款5%的违约金，并赔偿损失。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10.未按期供货的，每延迟1天按未按期供货货款的1%扣减；供货出现瑕疵但尚未影响使用的，按供货货款的1%–5%扣减。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11.发生5次及以上不能按期、按质供货，采购方有权单方面终止合同，损失由供方承担。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12、乙方应按照本合同规定的时间、地点和方式向甲方交付货物。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13、乙方交付的货物应当完全符合本合同所规定的货物、数量和规格要求。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14、甲方应当在到货后五日内对货物进行验收，验收包括：型号、规格、数量、外观质量、及货物包装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第六条  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1.灯具维修率：每年不大于1%；如达不到要求，按合同约定追究违约责任。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2.质保期内因产品质量问题导致的损坏，制造商须免费更换或维修。</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3.备品备件：质保期内，乙方需在甲方仓库储备不低于采购数量1%的各类维修配件。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4.在免费质保期内设备发生非人为故障，乙方应免费上门检修维修，免费更换原厂原规格同质量的零部件。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5.在免费质保期内，乙方接需方电话后2小时内响应，4～6小时内到达现场维修，非甲方人为引起的故障一概由乙方负责并承担一切费用，免费保修期内因维修所延误时间顺延免费保修期。</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质保期内如果乙方对于产品故障未在规定时间内进行处理，甲方有权交具有资质的第三方进行维修处理，所产生的费用在余款中扣除。</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6.负责终身维修。质保期满后若设备出现故障，乙方在接到用户通知后12小时内派维修人员上门修理。保修期外供货方提供有偿服务或签订维护服务合约委托供货方进行定期维护，零配件按成交价分解结算。</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7.技术服务信息（要求提供成交供应商设有的售后服务机构名称、地址，以及专业技术人员名单和联系电话）</w:t>
      </w:r>
      <w:r/>
    </w:p>
    <w:p>
      <w:pPr>
        <w:ind w:firstLine="482"/>
        <w:spacing w:line="400" w:lineRule="exact"/>
        <w:rPr>
          <w:rFonts w:ascii="仿宋" w:hAnsi="仿宋" w:eastAsia="仿宋"/>
          <w:b/>
          <w:color w:val="auto"/>
          <w:sz w:val="24"/>
          <w:highlight w:val="none"/>
        </w:rPr>
      </w:pPr>
      <w:r>
        <w:rPr>
          <w:rFonts w:hint="eastAsia" w:ascii="仿宋" w:hAnsi="仿宋" w:eastAsia="仿宋"/>
          <w:b/>
          <w:color w:val="auto"/>
          <w:sz w:val="24"/>
          <w:highlight w:val="none"/>
        </w:rPr>
        <w:t xml:space="preserve">第六条 履约保证金</w:t>
      </w:r>
      <w:r/>
    </w:p>
    <w:p>
      <w:pPr>
        <w:ind w:firstLine="482"/>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中标（成交）通知书发出后30日内，</w:t>
      </w:r>
      <w:r>
        <w:rPr>
          <w:rFonts w:hint="eastAsia" w:ascii="仿宋" w:hAnsi="仿宋" w:eastAsia="仿宋"/>
          <w:color w:val="auto"/>
          <w:sz w:val="24"/>
          <w:highlight w:val="none"/>
        </w:rPr>
        <w:t xml:space="preserve">乙方</w:t>
      </w:r>
      <w:r>
        <w:rPr>
          <w:rFonts w:ascii="仿宋" w:hAnsi="仿宋" w:eastAsia="仿宋"/>
          <w:color w:val="auto"/>
          <w:sz w:val="24"/>
          <w:highlight w:val="none"/>
        </w:rPr>
        <w:t xml:space="preserve">按照成交金额10%向</w:t>
      </w:r>
      <w:r>
        <w:rPr>
          <w:rFonts w:hint="eastAsia" w:ascii="仿宋" w:hAnsi="仿宋" w:eastAsia="仿宋"/>
          <w:color w:val="auto"/>
          <w:sz w:val="24"/>
          <w:highlight w:val="none"/>
        </w:rPr>
        <w:t xml:space="preserve">甲方</w:t>
      </w:r>
      <w:r>
        <w:rPr>
          <w:rFonts w:ascii="仿宋" w:hAnsi="仿宋" w:eastAsia="仿宋"/>
          <w:color w:val="auto"/>
          <w:sz w:val="24"/>
          <w:highlight w:val="none"/>
        </w:rPr>
        <w:t xml:space="preserve">缴纳履约保证金并签订合同。履约终验收合格且乙方无逾期供货或质量问题后，</w:t>
      </w:r>
      <w:r>
        <w:rPr>
          <w:rFonts w:hint="eastAsia" w:ascii="仿宋" w:hAnsi="仿宋" w:eastAsia="仿宋"/>
          <w:color w:val="auto"/>
          <w:sz w:val="24"/>
          <w:highlight w:val="none"/>
        </w:rPr>
        <w:t xml:space="preserve">甲方</w:t>
      </w:r>
      <w:r>
        <w:rPr>
          <w:rFonts w:ascii="仿宋" w:hAnsi="仿宋" w:eastAsia="仿宋"/>
          <w:color w:val="auto"/>
          <w:sz w:val="24"/>
          <w:highlight w:val="none"/>
        </w:rPr>
        <w:t xml:space="preserve">在（成交单位申请后）30日内退还履约保证金。</w:t>
      </w:r>
      <w:r/>
    </w:p>
    <w:p>
      <w:pPr>
        <w:ind w:firstLine="482"/>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违反合同义务且未承担违约责任：履约保证金作为</w:t>
      </w:r>
      <w:r>
        <w:rPr>
          <w:rFonts w:hint="eastAsia" w:ascii="仿宋" w:hAnsi="仿宋" w:eastAsia="仿宋"/>
          <w:color w:val="auto"/>
          <w:sz w:val="24"/>
          <w:highlight w:val="none"/>
        </w:rPr>
        <w:t xml:space="preserve">乙方</w:t>
      </w:r>
      <w:r>
        <w:rPr>
          <w:rFonts w:ascii="仿宋" w:hAnsi="仿宋" w:eastAsia="仿宋"/>
          <w:color w:val="auto"/>
          <w:sz w:val="24"/>
          <w:highlight w:val="none"/>
        </w:rPr>
        <w:t xml:space="preserve">承担违约责任的担保，如果</w:t>
      </w:r>
      <w:r>
        <w:rPr>
          <w:rFonts w:hint="eastAsia" w:ascii="仿宋" w:hAnsi="仿宋" w:eastAsia="仿宋"/>
          <w:color w:val="auto"/>
          <w:sz w:val="24"/>
          <w:highlight w:val="none"/>
        </w:rPr>
        <w:t xml:space="preserve">乙方</w:t>
      </w:r>
      <w:r>
        <w:rPr>
          <w:rFonts w:ascii="仿宋" w:hAnsi="仿宋" w:eastAsia="仿宋"/>
          <w:color w:val="auto"/>
          <w:sz w:val="24"/>
          <w:highlight w:val="none"/>
        </w:rPr>
        <w:t xml:space="preserve">没有及时承担违约责任，履约保证金可作为</w:t>
      </w:r>
      <w:r>
        <w:rPr>
          <w:rFonts w:hint="eastAsia" w:ascii="仿宋" w:hAnsi="仿宋" w:eastAsia="仿宋"/>
          <w:color w:val="auto"/>
          <w:sz w:val="24"/>
          <w:highlight w:val="none"/>
        </w:rPr>
        <w:t xml:space="preserve">甲方</w:t>
      </w:r>
      <w:r>
        <w:rPr>
          <w:rFonts w:ascii="仿宋" w:hAnsi="仿宋" w:eastAsia="仿宋"/>
          <w:color w:val="auto"/>
          <w:sz w:val="24"/>
          <w:highlight w:val="none"/>
        </w:rPr>
        <w:t xml:space="preserve">弥补损失的一种手段。</w:t>
      </w:r>
      <w:r/>
    </w:p>
    <w:p>
      <w:pPr>
        <w:ind w:firstLine="482"/>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未按时履行违约责任：若</w:t>
      </w:r>
      <w:r>
        <w:rPr>
          <w:rFonts w:hint="eastAsia" w:ascii="仿宋" w:hAnsi="仿宋" w:eastAsia="仿宋"/>
          <w:color w:val="auto"/>
          <w:sz w:val="24"/>
          <w:highlight w:val="none"/>
        </w:rPr>
        <w:t xml:space="preserve">乙方</w:t>
      </w:r>
      <w:r>
        <w:rPr>
          <w:rFonts w:ascii="仿宋" w:hAnsi="仿宋" w:eastAsia="仿宋"/>
          <w:color w:val="auto"/>
          <w:sz w:val="24"/>
          <w:highlight w:val="none"/>
        </w:rPr>
        <w:t xml:space="preserve">未能按时履行其违约责任，履约保证金将被视为弥补</w:t>
      </w:r>
      <w:r>
        <w:rPr>
          <w:rFonts w:hint="eastAsia" w:ascii="仿宋" w:hAnsi="仿宋" w:eastAsia="仿宋"/>
          <w:color w:val="auto"/>
          <w:sz w:val="24"/>
          <w:highlight w:val="none"/>
        </w:rPr>
        <w:t xml:space="preserve">甲方</w:t>
      </w:r>
      <w:r>
        <w:rPr>
          <w:rFonts w:ascii="仿宋" w:hAnsi="仿宋" w:eastAsia="仿宋"/>
          <w:color w:val="auto"/>
          <w:sz w:val="24"/>
          <w:highlight w:val="none"/>
        </w:rPr>
        <w:t xml:space="preserve">所遭受损失的一种手段。由甲方从履约保证金中予以扣除，不足部分仍有权向乙方主张。</w:t>
      </w:r>
      <w:r/>
    </w:p>
    <w:p>
      <w:pPr>
        <w:ind w:firstLine="482"/>
        <w:spacing w:line="400" w:lineRule="exact"/>
        <w:rPr>
          <w:rFonts w:ascii="仿宋" w:hAnsi="仿宋" w:eastAsia="仿宋"/>
          <w:b/>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未能履行与</w:t>
      </w:r>
      <w:r>
        <w:rPr>
          <w:rFonts w:hint="eastAsia" w:ascii="仿宋" w:hAnsi="仿宋" w:eastAsia="仿宋"/>
          <w:color w:val="auto"/>
          <w:sz w:val="24"/>
          <w:highlight w:val="none"/>
        </w:rPr>
        <w:t xml:space="preserve">甲方</w:t>
      </w:r>
      <w:r>
        <w:rPr>
          <w:rFonts w:ascii="仿宋" w:hAnsi="仿宋" w:eastAsia="仿宋"/>
          <w:color w:val="auto"/>
          <w:sz w:val="24"/>
          <w:highlight w:val="none"/>
        </w:rPr>
        <w:t xml:space="preserve">签订的合同：若</w:t>
      </w:r>
      <w:r>
        <w:rPr>
          <w:rFonts w:hint="eastAsia" w:ascii="仿宋" w:hAnsi="仿宋" w:eastAsia="仿宋"/>
          <w:color w:val="auto"/>
          <w:sz w:val="24"/>
          <w:highlight w:val="none"/>
        </w:rPr>
        <w:t xml:space="preserve">乙方</w:t>
      </w:r>
      <w:r>
        <w:rPr>
          <w:rFonts w:ascii="仿宋" w:hAnsi="仿宋" w:eastAsia="仿宋"/>
          <w:color w:val="auto"/>
          <w:sz w:val="24"/>
          <w:highlight w:val="none"/>
        </w:rPr>
        <w:t xml:space="preserve">未能履行与</w:t>
      </w:r>
      <w:r>
        <w:rPr>
          <w:rFonts w:hint="eastAsia" w:ascii="仿宋" w:hAnsi="仿宋" w:eastAsia="仿宋"/>
          <w:color w:val="auto"/>
          <w:sz w:val="24"/>
          <w:highlight w:val="none"/>
        </w:rPr>
        <w:t xml:space="preserve">甲方</w:t>
      </w:r>
      <w:r>
        <w:rPr>
          <w:rFonts w:ascii="仿宋" w:hAnsi="仿宋" w:eastAsia="仿宋"/>
          <w:color w:val="auto"/>
          <w:sz w:val="24"/>
          <w:highlight w:val="none"/>
        </w:rPr>
        <w:t xml:space="preserve">签订的合同，履约保证金将不予退还。同时，如给</w:t>
      </w:r>
      <w:r>
        <w:rPr>
          <w:rFonts w:hint="eastAsia" w:ascii="仿宋" w:hAnsi="仿宋" w:eastAsia="仿宋"/>
          <w:color w:val="auto"/>
          <w:sz w:val="24"/>
          <w:highlight w:val="none"/>
        </w:rPr>
        <w:t xml:space="preserve">甲方</w:t>
      </w:r>
      <w:r>
        <w:rPr>
          <w:rFonts w:ascii="仿宋" w:hAnsi="仿宋" w:eastAsia="仿宋"/>
          <w:color w:val="auto"/>
          <w:sz w:val="24"/>
          <w:highlight w:val="none"/>
        </w:rPr>
        <w:t xml:space="preserve">带来的损失超出履约保证金的金额，</w:t>
      </w:r>
      <w:r>
        <w:rPr>
          <w:rFonts w:hint="eastAsia" w:ascii="仿宋" w:hAnsi="仿宋" w:eastAsia="仿宋"/>
          <w:color w:val="auto"/>
          <w:sz w:val="24"/>
          <w:highlight w:val="none"/>
        </w:rPr>
        <w:t xml:space="preserve">乙方</w:t>
      </w:r>
      <w:r>
        <w:rPr>
          <w:rFonts w:ascii="仿宋" w:hAnsi="仿宋" w:eastAsia="仿宋"/>
          <w:color w:val="auto"/>
          <w:sz w:val="24"/>
          <w:highlight w:val="none"/>
        </w:rPr>
        <w:t xml:space="preserve">还应对超额部分进行赔偿。</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第七条 货款支付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供货并安装调试结束后由甲方组织验收，验收合格后，每年支付合同金额的20%。每次支付前，乙方均应出具符合甲方财务规定以及开票报税要求的相应金额的正式发票，双方结算均通过银行基本账户进行。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第八条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2、如乙方不能交付货物，乙方应向甲方支付合同总价５％的违约金。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6、乙方未按本合同的规定和服务承诺提供服务的，应按合同总价款的_3_%向甲方承担违约责任。</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第九条 合同的变更和终止</w:t>
      </w:r>
      <w:r/>
    </w:p>
    <w:p>
      <w:pPr>
        <w:pStyle w:val="880"/>
        <w:ind w:firstLine="480"/>
        <w:tabs>
          <w:tab w:val="clear" w:pos="4153" w:leader="none"/>
          <w:tab w:val="clear" w:pos="8306"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第十条 合同的转让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第十一条 争议的解决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2、因履行本合同引起的或与本合同有关的争议，甲、乙双方应首先通过友好协商解决，如果协商不能解决争议，向如皋市人民法院提起诉讼。</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第十二条 合同生效及其他</w:t>
      </w:r>
      <w:r/>
    </w:p>
    <w:p>
      <w:pPr>
        <w:ind w:firstLine="480"/>
        <w:rPr>
          <w:rFonts w:ascii="仿宋" w:hAnsi="仿宋" w:eastAsia="仿宋"/>
          <w:color w:val="auto"/>
          <w:sz w:val="24"/>
          <w:highlight w:val="none"/>
        </w:rPr>
        <w:outlineLvl w:val="0"/>
      </w:pPr>
      <w:r>
        <w:rPr>
          <w:rFonts w:hint="eastAsia" w:ascii="仿宋" w:hAnsi="仿宋" w:eastAsia="仿宋"/>
          <w:color w:val="auto"/>
          <w:sz w:val="24"/>
          <w:highlight w:val="none"/>
        </w:rPr>
        <w:t xml:space="preserve">1、本合同自签订之日起生效。</w:t>
      </w:r>
      <w:r/>
    </w:p>
    <w:p>
      <w:pPr>
        <w:pStyle w:val="901"/>
        <w:ind w:firstLine="0"/>
        <w:jc w:val="both"/>
        <w:spacing w:line="240" w:lineRule="auto"/>
        <w:rPr>
          <w:b/>
          <w:color w:val="auto"/>
          <w:highlight w:val="none"/>
        </w:rPr>
      </w:pPr>
      <w:r>
        <w:rPr>
          <w:rFonts w:ascii="仿宋" w:hAnsi="仿宋" w:eastAsia="仿宋"/>
          <w:color w:val="auto"/>
          <w:highlight w:val="none"/>
        </w:rPr>
        <w:br w:type="page" w:clear="all"/>
      </w:r>
      <w:r>
        <w:rPr>
          <w:rFonts w:hint="eastAsia" w:ascii="方正小标宋简体" w:eastAsia="方正小标宋简体"/>
          <w:bCs/>
          <w:color w:val="auto"/>
          <w:sz w:val="32"/>
          <w:szCs w:val="32"/>
          <w:highlight w:val="none"/>
        </w:rPr>
        <w:t xml:space="preserve">第5章 评标标准和方法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一、最低评标价法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投标文件满足招标文件全部实质性要求，且投标报价最低的投标人为中标候选人。</w:t>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pStyle w:val="901"/>
        <w:ind w:firstLine="0"/>
        <w:jc w:val="center"/>
        <w:spacing w:line="240" w:lineRule="auto"/>
        <w:rPr>
          <w:rFonts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t xml:space="preserve">第6章 投标文件组成</w:t>
      </w:r>
      <w:r/>
    </w:p>
    <w:p>
      <w:pPr>
        <w:pStyle w:val="9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如皋市政府采购投标文件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w:t>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项目编号：</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876"/>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876"/>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color w:val="auto"/>
          <w:sz w:val="28"/>
          <w:szCs w:val="28"/>
          <w:highlight w:val="none"/>
        </w:rPr>
      </w:pPr>
      <w:r>
        <w:rPr>
          <w:rFonts w:ascii="宋体" w:hAnsi="宋体"/>
          <w:b/>
          <w:color w:val="auto"/>
          <w:sz w:val="24"/>
          <w:highlight w:val="none"/>
        </w:rPr>
        <w:br w:type="page" w:clear="all"/>
      </w:r>
      <w:r>
        <w:rPr>
          <w:rFonts w:hint="eastAsia" w:ascii="黑体" w:hAnsi="黑体" w:eastAsia="黑体"/>
          <w:color w:val="auto"/>
          <w:sz w:val="28"/>
          <w:szCs w:val="28"/>
          <w:highlight w:val="none"/>
        </w:rPr>
        <w:t xml:space="preserve">一、开标一览表</w:t>
      </w:r>
      <w:r/>
    </w:p>
    <w:p>
      <w:pPr>
        <w:ind w:firstLine="720"/>
        <w:jc w:val="center"/>
        <w:rPr>
          <w:rFonts w:ascii="方正小标宋简体" w:hAnsi="方正小标宋简体" w:eastAsia="方正小标宋简体"/>
          <w:color w:val="auto"/>
          <w:sz w:val="36"/>
          <w:szCs w:val="36"/>
          <w:highlight w:val="none"/>
        </w:rPr>
      </w:pPr>
      <w:r>
        <w:rPr>
          <w:rFonts w:hint="eastAsia" w:ascii="方正小标宋简体" w:hAnsi="方正小标宋简体" w:eastAsia="方正小标宋简体"/>
          <w:color w:val="auto"/>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　                </w:t>
      </w:r>
      <w:r/>
    </w:p>
    <w:p>
      <w:pPr>
        <w:ind w:left="1080" w:right="-867" w:hanging="540"/>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                 包号：         </w:t>
      </w:r>
      <w:r/>
    </w:p>
    <w:tbl>
      <w:tblPr>
        <w:tblStyle w:val="869"/>
        <w:tblW w:w="9362"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444"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249"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249"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2126"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r>
    </w:tbl>
    <w:p>
      <w:pPr>
        <w:ind w:firstLine="560"/>
        <w:rPr>
          <w:rFonts w:ascii="仿宋" w:hAnsi="仿宋" w:eastAsia="仿宋"/>
          <w:color w:val="auto"/>
          <w:sz w:val="28"/>
          <w:szCs w:val="28"/>
          <w:highlight w:val="none"/>
        </w:rPr>
      </w:pPr>
      <w:r>
        <w:rPr>
          <w:rFonts w:ascii="仿宋" w:hAnsi="仿宋" w:eastAsia="仿宋"/>
          <w:color w:val="auto"/>
          <w:sz w:val="28"/>
          <w:szCs w:val="28"/>
          <w:highlight w:val="none"/>
        </w:rPr>
        <w:t xml:space="preserve">投标总报价：</w:t>
      </w:r>
      <w:r>
        <w:rPr>
          <w:rFonts w:hint="eastAsia" w:ascii="仿宋" w:hAnsi="仿宋" w:eastAsia="仿宋"/>
          <w:color w:val="auto"/>
          <w:sz w:val="28"/>
          <w:szCs w:val="28"/>
          <w:highlight w:val="none"/>
        </w:rPr>
        <w:t xml:space="preserve">万元（小写）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万元（大写）</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二、资格证明文件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在投标截止时间节点，没有被“信用中国”（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）、“信用江苏”（</w:t>
      </w:r>
      <w:r>
        <w:rPr>
          <w:rFonts w:ascii="仿宋" w:hAnsi="仿宋" w:eastAsia="仿宋"/>
          <w:color w:val="auto"/>
          <w:sz w:val="28"/>
          <w:szCs w:val="28"/>
          <w:highlight w:val="none"/>
        </w:rPr>
        <w:t xml:space="preserve">www.jscredit.cn/index.htm</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）法定代表人身份证明及身份证复印件</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。（法定代表人参加招标活动的，无需提供）</w:t>
      </w:r>
      <w:r/>
    </w:p>
    <w:p>
      <w:pPr>
        <w:jc w:val="center"/>
        <w:spacing w:line="500" w:lineRule="exact"/>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90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90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0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3"/>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0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03"/>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0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0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03"/>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03"/>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3"/>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03"/>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03"/>
        <w:ind w:firstLine="480"/>
        <w:spacing w:line="500" w:lineRule="exact"/>
        <w:rPr>
          <w:rFonts w:ascii="仿宋" w:hAnsi="仿宋" w:eastAsia="仿宋"/>
          <w:color w:val="auto"/>
          <w:sz w:val="28"/>
          <w:szCs w:val="28"/>
          <w:highlight w:val="none"/>
        </w:rPr>
      </w:pPr>
      <w:r/>
      <w:bookmarkStart w:id="42" w:name="_Hlt26955070"/>
      <w:r/>
      <w:bookmarkEnd w:id="42"/>
      <w:r/>
      <w:bookmarkStart w:id="43" w:name="_Hlt26671380"/>
      <w:r/>
      <w:bookmarkEnd w:id="43"/>
      <w:r/>
      <w:bookmarkStart w:id="44" w:name="_格式3__银行出具的资信证明"/>
      <w:r/>
      <w:bookmarkEnd w:id="44"/>
      <w:r/>
      <w:r/>
    </w:p>
    <w:p>
      <w:pPr>
        <w:pStyle w:val="870"/>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70"/>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八</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投标函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投标函</w:t>
      </w:r>
      <w:r/>
    </w:p>
    <w:p>
      <w:pPr>
        <w:pStyle w:val="90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致：采购人或者代理机构</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如皋市主城区LED灯具采购项目</w:t>
      </w:r>
      <w:r>
        <w:rPr>
          <w:rFonts w:hint="eastAsia" w:ascii="仿宋" w:hAnsi="仿宋" w:eastAsia="仿宋"/>
          <w:color w:val="auto"/>
          <w:sz w:val="28"/>
          <w:szCs w:val="28"/>
          <w:highlight w:val="none"/>
        </w:rPr>
        <w:t xml:space="preserve">（项目编号：JSZC-320682-RGCJ-G2026-0009）招标文件，正式授权下述签字人_________ (姓名和职务)代表我方______________（供应商的名称），全权处理本次项目招标采购的有关事宜。</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903"/>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90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0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0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0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03"/>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jc w:val="left"/>
        <w:spacing w:before="5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olor w:val="auto"/>
          <w:sz w:val="28"/>
          <w:szCs w:val="28"/>
          <w:highlight w:val="none"/>
        </w:rPr>
        <w:t xml:space="preserve">其他资格证明材料</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三、商务技术文件</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（一）符合技术要求或者服务要求的相关证明材料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1、样品</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投标人须按招标文件要求提供符合技术参数的实物样品，未提供或提供不全的，作无效投标处理。</w:t>
      </w:r>
      <w:r/>
    </w:p>
    <w:p>
      <w:p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100W、150W、200W LED灯具须为同一系列产品，外观、结构、材质、工艺完全一致，250WLED 灯具（该灯型可提供非同一系列产品），所有灯具需同一制造商。</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tbl>
      <w:tblPr>
        <w:tblStyle w:val="869"/>
        <w:tblW w:w="9570" w:type="dxa"/>
        <w:jc w:val="center"/>
        <w:tblLayout w:type="fixed"/>
        <w:tblCellMar>
          <w:left w:w="108" w:type="dxa"/>
          <w:top w:w="0" w:type="dxa"/>
          <w:right w:w="108" w:type="dxa"/>
          <w:bottom w:w="0" w:type="dxa"/>
        </w:tblCellMar>
        <w:tblLook w:val="04A0" w:firstRow="1" w:lastRow="0" w:firstColumn="1" w:lastColumn="0" w:noHBand="0" w:noVBand="1"/>
      </w:tblPr>
      <w:tblGrid>
        <w:gridCol w:w="742"/>
        <w:gridCol w:w="1678"/>
        <w:gridCol w:w="743"/>
        <w:gridCol w:w="743"/>
        <w:gridCol w:w="5664"/>
      </w:tblGrid>
      <w:tr>
        <w:trPr>
          <w:jc w:val="center"/>
        </w:trPr>
        <w:tc>
          <w:tcPr>
            <w:gridSpan w:val="5"/>
            <w:shd w:val="clear" w:color="auto" w:fill="auto"/>
            <w:tcBorders>
              <w:top w:val="none" w:color="000000" w:sz="4" w:space="0"/>
              <w:left w:val="none" w:color="000000" w:sz="4" w:space="0"/>
              <w:bottom w:val="none" w:color="000000" w:sz="4" w:space="0"/>
              <w:right w:val="none" w:color="000000" w:sz="4" w:space="0"/>
            </w:tcBorders>
            <w:tcW w:w="9570" w:type="dxa"/>
            <w:vAlign w:val="center"/>
            <w:textDirection w:val="lrTb"/>
            <w:noWrap/>
          </w:tcPr>
          <w:p>
            <w:pPr>
              <w:jc w:val="center"/>
              <w:keepNext/>
              <w:widowControl/>
              <w:rPr>
                <w:rFonts w:ascii="宋体" w:hAnsi="宋体" w:cs="宋体"/>
                <w:b/>
                <w:bCs/>
                <w:color w:val="auto"/>
                <w:sz w:val="40"/>
                <w:szCs w:val="40"/>
                <w:highlight w:val="none"/>
              </w:rPr>
            </w:pPr>
            <w:r>
              <w:rPr>
                <w:rFonts w:hint="eastAsia" w:ascii="宋体" w:hAnsi="宋体" w:cs="宋体"/>
                <w:b/>
                <w:bCs/>
                <w:color w:val="auto"/>
                <w:sz w:val="40"/>
                <w:szCs w:val="40"/>
                <w:highlight w:val="none"/>
              </w:rPr>
              <w:t xml:space="preserve">样品清单</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664" w:type="dxa"/>
            <w:vAlign w:val="center"/>
            <w:textDirection w:val="lrTb"/>
            <w:noWrap/>
          </w:tcPr>
          <w:p>
            <w:pPr>
              <w:jc w:val="center"/>
              <w:keepNext/>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响应要求（部分）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en-US" w:eastAsia="zh-CN"/>
              </w:rPr>
              <w:t xml:space="preserve">0</w:t>
            </w:r>
            <w:r>
              <w:rPr>
                <w:rFonts w:hint="eastAsia" w:ascii="宋体" w:hAnsi="宋体" w:cs="宋体"/>
                <w:color w:val="auto"/>
                <w:sz w:val="22"/>
                <w:szCs w:val="22"/>
                <w:highlight w:val="none"/>
              </w:rPr>
              <w:t xml:space="preserve">0WLED灯具</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64" w:type="dxa"/>
            <w:vAlign w:val="center"/>
            <w:textDirection w:val="lrTb"/>
            <w:noWrap w:val="false"/>
          </w:tcPr>
          <w:p>
            <w:pPr>
              <w:jc w:val="left"/>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①外形尺寸---长度：100WLED灯具:长650mm - 850mm，宽330mm -430mm，高 80mm - 180mm;</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②灯具总重量：≥5.</w:t>
            </w:r>
            <w:r>
              <w:rPr>
                <w:rFonts w:hint="eastAsia" w:ascii="宋体" w:hAnsi="宋体" w:cs="宋体"/>
                <w:color w:val="auto"/>
                <w:sz w:val="22"/>
                <w:szCs w:val="22"/>
                <w:highlight w:val="none"/>
                <w:lang w:val="en-US" w:eastAsia="zh-CN"/>
              </w:rPr>
              <w:t xml:space="preserve">0</w:t>
            </w:r>
            <w:r>
              <w:rPr>
                <w:rFonts w:hint="eastAsia" w:ascii="宋体" w:hAnsi="宋体" w:cs="宋体"/>
                <w:color w:val="auto"/>
                <w:sz w:val="22"/>
                <w:szCs w:val="22"/>
                <w:highlight w:val="none"/>
              </w:rPr>
              <w:t xml:space="preserve">kg（灯具除正常配件外，不得恶意增加假模挡板与电器腔电器固定板份量）；</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③灯具材质：整体采用高压压铸成型，不得采用拼接式或型材组装结构；所有紧固件、连接件均为304不锈钢材质；灯具须配备304不锈钢防掉链（防坠索）；</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④灯具结构：电器腔须为独立空间，以满足驱动电源及单灯控制装置的安装需求；灯具采用无工具开启设计（含电器部分、光源部分），上盖具有开启支撑装置；</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⑤连接器：模组与灯体之间、控制装置与灯体之间通过可插接式防水电子连接器（并联）。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150WLED灯具</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64" w:type="dxa"/>
            <w:vAlign w:val="center"/>
            <w:textDirection w:val="lrTb"/>
            <w:noWrap w:val="false"/>
          </w:tcPr>
          <w:p>
            <w:pPr>
              <w:jc w:val="left"/>
              <w:keepNex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①外形尺寸---长度：650mm–850mm，宽度：330mm–430mm，高度：80mm–180mm；</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②灯具总重量：≥</w:t>
            </w:r>
            <w:r>
              <w:rPr>
                <w:rFonts w:hint="eastAsia" w:ascii="宋体" w:hAnsi="宋体" w:cs="宋体"/>
                <w:color w:val="auto"/>
                <w:sz w:val="22"/>
                <w:szCs w:val="22"/>
                <w:highlight w:val="none"/>
                <w:lang w:val="en-US" w:eastAsia="zh-CN"/>
              </w:rPr>
              <w:t xml:space="preserve">6.0</w:t>
            </w:r>
            <w:r>
              <w:rPr>
                <w:rFonts w:hint="eastAsia" w:ascii="宋体" w:hAnsi="宋体" w:cs="宋体"/>
                <w:color w:val="auto"/>
                <w:sz w:val="22"/>
                <w:szCs w:val="22"/>
                <w:highlight w:val="none"/>
              </w:rPr>
              <w:t xml:space="preserve">kg（灯具除正常配件外，不得恶意增加假模挡板与电器腔电器固定板份量）；</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③灯具材质：整体采用高压压铸成型，不得采用拼接式或型材组装结构；所有紧固件、连接件均为304不锈钢材质；灯具须配备304不锈钢防掉链（防坠索）；</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④灯具结构：电器腔须为独立空间，以满足驱动电源及单灯控制装置的安装需求；灯具采用无工具开启设计（含电器部分、光源部分），上盖具有开启支撑装置；</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⑤连接器：模组与灯体之间、控制装置与灯体之间通过可插接式防水电子连接器（并联）。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0</w:t>
            </w:r>
            <w:r>
              <w:rPr>
                <w:rFonts w:hint="eastAsia" w:ascii="宋体" w:hAnsi="宋体" w:cs="宋体"/>
                <w:color w:val="auto"/>
                <w:sz w:val="22"/>
                <w:szCs w:val="22"/>
                <w:highlight w:val="none"/>
              </w:rPr>
              <w:t xml:space="preserve">0wLED灯具</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64" w:type="dxa"/>
            <w:vAlign w:val="center"/>
            <w:textDirection w:val="lrTb"/>
            <w:noWrap w:val="false"/>
          </w:tcPr>
          <w:p>
            <w:pPr>
              <w:jc w:val="left"/>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①外形尺寸---长度：780mm–1000mm，宽度：330mm–430mm，高度：80mm–180mm；</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②灯具总重量：≥6.</w:t>
            </w:r>
            <w:r>
              <w:rPr>
                <w:rFonts w:hint="eastAsia" w:ascii="宋体" w:hAnsi="宋体" w:cs="宋体"/>
                <w:color w:val="auto"/>
                <w:sz w:val="22"/>
                <w:szCs w:val="22"/>
                <w:highlight w:val="none"/>
                <w:lang w:val="en-US" w:eastAsia="zh-CN"/>
              </w:rPr>
              <w:t xml:space="preserve">0</w:t>
            </w:r>
            <w:r>
              <w:rPr>
                <w:rFonts w:hint="eastAsia" w:ascii="宋体" w:hAnsi="宋体" w:cs="宋体"/>
                <w:color w:val="auto"/>
                <w:sz w:val="22"/>
                <w:szCs w:val="22"/>
                <w:highlight w:val="none"/>
              </w:rPr>
              <w:t xml:space="preserve">kg（灯具除正常配件外，不得恶意增加假模挡板与电器腔电器固定板份量）；</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③灯具材质：整体采用高压压铸成型，不得采用拼接式或型材组装结构；所有紧固件、连接件均为304不锈钢材质；灯具须配备304不锈钢防掉链（防坠索）；</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④灯具结构：电器腔须为独立空间，以满足驱动电源及单灯控制装置的安装需求；灯具采用无工具开启设计（含电器部分、光源部分），上盖具有开启支撑装置；</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⑤连接器：模组与灯体之间、控制装置与灯体之间通过可插接式防水电子连接器（并联）。</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0wLED灯具</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64" w:type="dxa"/>
            <w:vAlign w:val="center"/>
            <w:textDirection w:val="lrTb"/>
            <w:noWrap w:val="false"/>
          </w:tcPr>
          <w:p>
            <w:pPr>
              <w:jc w:val="left"/>
              <w:keepNex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①外形尺寸---长度：长780mm -1000mm， 宽330mm -430mm，高80mm - 180mm；</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②灯具总重量：≥</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0</w:t>
            </w:r>
            <w:r>
              <w:rPr>
                <w:rFonts w:hint="eastAsia" w:ascii="宋体" w:hAnsi="宋体" w:cs="宋体"/>
                <w:color w:val="auto"/>
                <w:sz w:val="22"/>
                <w:szCs w:val="22"/>
                <w:highlight w:val="none"/>
              </w:rPr>
              <w:t xml:space="preserve">kg（灯具除正常配件外，不得恶意增加假模挡板与电器腔电器固定板份量）；</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③灯具材质：整体采用高压压铸成型，不得采用拼接式或型材组装结构；所有紧固件、连接件均为304不锈钢材质；灯具须配备304不锈钢防掉链（防坠索）；</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④灯具结构：电器腔须为独立空间，以满足驱动电源及单灯控制装置的安装需求；灯具采用无工具开启设计（含电器部分、光源部分），上盖具有开启支撑装置；</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⑤连接器：模组与灯体之间、控制装置与灯体之间通过可插接式防水电子连接器（并联）。</w:t>
            </w:r>
            <w:r/>
          </w:p>
        </w:tc>
      </w:tr>
    </w:tbl>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一、认证证书</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① CQC产品认证证书（安全相关）</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投标产品须取得中国质量认证中心（CQC）颁发的产品安全认证证书，认证依据标准为：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GB/T 7000.1《灯具 第1部分：一般要求与试验》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GB 7000.203《灯具 第2-3部分：特殊要求 道路与街路照明灯具》</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GB/T 17743《电气照明和类似设备的无线电骚扰特性的限值和测量方法》（电磁兼容）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GB 17625.1《电磁兼容 限值 谐波电流发射限值》</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② CQC中国节能认证证书</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投标产品须取得CQC中国节能产品认证证书，能效指标须符合 GB 37478《道路和隧道照明用LED灯具能效限定值及能效等级》及CQC认证规则要求。申请节能认证的产品须首先通过安全认证（含电磁兼容）。</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二、检测报告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① 风力试验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检测依据：GB 7000.203 及 GB/T 31897.201（灯具性能 抗风载荷要求），参照 IEC 60598-2-3。</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试验结果须达到16级风力（风速≥52 m/s）或以上；试验后产品功能正常，结构无损坏、无变形。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② 震动试验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检测依据：GB/T 33721《LED灯具可靠性试验方法》（正弦振动试验）。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扫频范围5～30 Hz，加速度3 g，分别在X/Y/Z三个方向固定频率各振动10万次；试验后产品功能正常，结构无松动或损坏，电气连接可靠。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③ 光效检测报告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检测依据：GB/T 31897.201《灯具性能 第2-1部分：LED灯具特殊要求》（光通量、光效、相关色温、显色指数测试方法）。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检测结果须同时满足：色温3000 K±200、显色指数Ra≥70、功率因数≥0.97、色容差≤5 SDCM、光效≥170 lm/W。</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④ 灯具光通维持率试验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检测依据：GB/T 33721《LED灯具可靠性试验方法》及 IES LM-80/TM-21 相关规定。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须采用实测方式，燃点20000小时后光通维持率≥85%。不接受推算值，须提供实测数据。</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⑤ 灯具盐雾试验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检测依据：GB/T 10125《人造气氛腐蚀试验 盐雾试验》（等效采用 ISO 9227）。</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试验时间≥1000小时；试验后产品表面无严重腐蚀，功能正常。</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⑥ 机械碰撞试验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检测依据：GB/T 20138《电器设备外壳对外界机械碰撞的防护等级（IK代码）》（等效采用 IEC 62262）。</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防护等级须≥IK08（即须承受5焦耳能量冲击）；试验后外壳无破裂，功能正常。</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⑦ 灯具IP防护试验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检测依据：GB/T 4208《外壳防护等级（IP代码）》（等效采用 IEC 60529）。</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防护等级须≥IP66，即完全防尘、承受强力喷水无有害影响。</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⑧ 模组IP防护试验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检测依据：GB/T 4208《外壳防护等级（IP代码）》（等效采用 IEC 60529）。</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防护等级须≥IP67，即完全防尘、短时浸水无有害影响。</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w:t>
      </w:r>
      <w:r>
        <w:rPr>
          <w:rFonts w:hint="eastAsia" w:ascii="仿宋" w:hAnsi="仿宋" w:eastAsia="仿宋"/>
          <w:b/>
          <w:bCs/>
          <w:color w:val="auto"/>
          <w:sz w:val="28"/>
          <w:szCs w:val="28"/>
          <w:highlight w:val="none"/>
        </w:rPr>
        <w:t xml:space="preserve">上述检测报告须由具有CMA资质认定的第三方检验检测机构出具(同时具有CNAS认可的优先)，报告的检测能力范围须涵盖对应检测项目和标准。投标时须提供检测机构资质证书及资质附表复印件备查。</w:t>
      </w:r>
      <w:r/>
    </w:p>
    <w:p>
      <w:p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w:t>
      </w:r>
      <w:r>
        <w:rPr>
          <w:rFonts w:hint="eastAsia" w:ascii="仿宋" w:hAnsi="仿宋" w:eastAsia="仿宋"/>
          <w:b/>
          <w:bCs/>
          <w:color w:val="auto"/>
          <w:sz w:val="28"/>
          <w:szCs w:val="28"/>
          <w:highlight w:val="none"/>
        </w:rPr>
        <w:t xml:space="preserve">中标后，采购人可对检测报告真伪进行核实。如有伪造、变造情形，取消中标资格并依法追究责任。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3、承诺函</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 xml:space="preserve">致：如皋市城市建设管理中心‌</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我方（投标人名称）参与了贵方组织的 ‌[如皋市主城区LED灯具采购项目]‌ （项目编号：‌[项目编号]‌ ）的投标活动。若我方有幸中标，为确保供货质量符合招标文件及合同约定要求，现郑重作出如下承诺：</w:t>
      </w:r>
      <w:r/>
    </w:p>
    <w:p>
      <w:pPr>
        <w:numPr>
          <w:ilvl w:val="0"/>
          <w:numId w:val="6"/>
        </w:numPr>
        <w:ind w:left="559"/>
        <w:rPr>
          <w:rFonts w:ascii="仿宋" w:hAnsi="仿宋" w:eastAsia="仿宋"/>
          <w:bCs/>
          <w:color w:val="auto"/>
          <w:sz w:val="28"/>
          <w:szCs w:val="28"/>
          <w:highlight w:val="none"/>
        </w:rPr>
      </w:pPr>
      <w:r>
        <w:rPr>
          <w:rFonts w:ascii="仿宋" w:hAnsi="仿宋" w:eastAsia="仿宋"/>
          <w:bCs/>
          <w:color w:val="auto"/>
          <w:sz w:val="28"/>
          <w:szCs w:val="28"/>
          <w:highlight w:val="none"/>
        </w:rPr>
        <w:t xml:space="preserve">‌样品一致性承诺‌</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我方保证，在合同履行期间所供应的所有货物，其材质、规格、型号、工艺、性能指标、外观颜色及功能配置等，均与我方在投标阶段提供的并经贵方确认的样品完全一致。绝不以次充好、以假充真，绝不擅自降低标准或更换未经书面确认的替代材料。</w:t>
      </w:r>
      <w:r/>
    </w:p>
    <w:p>
      <w:pPr>
        <w:numPr>
          <w:ilvl w:val="0"/>
          <w:numId w:val="6"/>
        </w:numPr>
        <w:ind w:left="559"/>
        <w:rPr>
          <w:rFonts w:ascii="仿宋" w:hAnsi="仿宋" w:eastAsia="仿宋"/>
          <w:bCs/>
          <w:color w:val="auto"/>
          <w:sz w:val="28"/>
          <w:szCs w:val="28"/>
          <w:highlight w:val="none"/>
        </w:rPr>
      </w:pPr>
      <w:r>
        <w:rPr>
          <w:rFonts w:ascii="仿宋" w:hAnsi="仿宋" w:eastAsia="仿宋"/>
          <w:bCs/>
          <w:color w:val="auto"/>
          <w:sz w:val="28"/>
          <w:szCs w:val="28"/>
          <w:highlight w:val="none"/>
        </w:rPr>
        <w:t xml:space="preserve">‌违约责任‌</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 xml:space="preserve">若经贵方验收或在使用过程中发现所供货物与样品不一致，或存在质量缺陷，我方自愿承担以下责任：</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无条件接受退货或换货处理，并承担由此产生的一切费用（包括但不限于运输费、检测费、误工费等）。</w:t>
      </w:r>
      <w:r/>
    </w:p>
    <w:p>
      <w:pPr>
        <w:ind w:firstLine="112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112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112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‌承诺单位（盖章）：_________________</w:t>
      </w:r>
      <w:r/>
    </w:p>
    <w:p>
      <w:pPr>
        <w:ind w:firstLine="112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‌法定代表人或授权代表（签字）：‌ _________________</w:t>
      </w:r>
      <w:r/>
    </w:p>
    <w:p>
      <w:pPr>
        <w:ind w:firstLine="112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‌日期：‌ 2026年____月____日</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（二）技术部分正负偏离表</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技术部分正负偏离表</w:t>
      </w:r>
      <w:r/>
    </w:p>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1.货物名称、品牌、型号和制造商</w:t>
      </w:r>
      <w:r/>
    </w:p>
    <w:tbl>
      <w:tblPr>
        <w:tblStyle w:val="869"/>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174"/>
        <w:gridCol w:w="4480"/>
        <w:gridCol w:w="108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4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7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55w</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（灯泡）</w:t>
            </w:r>
            <w:r/>
          </w:p>
        </w:tc>
        <w:tc>
          <w:tcPr>
            <w:tcBorders>
              <w:top w:val="single" w:color="auto" w:sz="4" w:space="0"/>
              <w:left w:val="single" w:color="auto" w:sz="4" w:space="0"/>
              <w:bottom w:val="single" w:color="auto" w:sz="4" w:space="0"/>
              <w:right w:val="single" w:color="auto" w:sz="4" w:space="0"/>
            </w:tcBorders>
            <w:tcW w:w="4480" w:type="dxa"/>
            <w:textDirection w:val="lrTb"/>
            <w:noWrap w:val="false"/>
          </w:tcPr>
          <w:p>
            <w:pPr>
              <w:jc w:val="center"/>
              <w:rPr>
                <w:rFonts w:ascii="仿宋" w:hAnsi="仿宋" w:eastAsia="仿宋"/>
                <w:color w:val="auto"/>
                <w:sz w:val="24"/>
                <w:highlight w:val="none"/>
              </w:rPr>
            </w:pPr>
            <w:r>
              <w:rPr>
                <w:rFonts w:hint="eastAsia" w:ascii="宋体" w:hAnsi="宋体" w:cs="宋体"/>
                <w:color w:val="auto"/>
                <w:sz w:val="24"/>
                <w:highlight w:val="none"/>
              </w:rPr>
              <w:t xml:space="preserve">安装方式：螺口E40</w:t>
            </w:r>
            <w:r>
              <w:rPr>
                <w:rFonts w:hint="eastAsia" w:ascii="宋体" w:hAnsi="宋体" w:cs="宋体"/>
                <w:color w:val="auto"/>
                <w:sz w:val="24"/>
                <w:highlight w:val="none"/>
              </w:rPr>
              <w:br/>
            </w:r>
            <w:r>
              <w:rPr>
                <w:rFonts w:hint="eastAsia" w:ascii="宋体" w:hAnsi="宋体" w:cs="宋体"/>
                <w:color w:val="auto"/>
                <w:sz w:val="24"/>
                <w:highlight w:val="none"/>
              </w:rPr>
              <w:t xml:space="preserve">额定功率：55w</w:t>
            </w:r>
            <w:r>
              <w:rPr>
                <w:rFonts w:hint="eastAsia" w:ascii="宋体" w:hAnsi="宋体" w:cs="宋体"/>
                <w:color w:val="auto"/>
                <w:sz w:val="24"/>
                <w:highlight w:val="none"/>
              </w:rPr>
              <w:br/>
            </w:r>
            <w:r>
              <w:rPr>
                <w:rFonts w:hint="eastAsia" w:ascii="宋体" w:hAnsi="宋体" w:cs="宋体"/>
                <w:color w:val="auto"/>
                <w:sz w:val="24"/>
                <w:highlight w:val="none"/>
              </w:rPr>
              <w:t xml:space="preserve">光通量：≥8000lm</w:t>
            </w:r>
            <w:r>
              <w:rPr>
                <w:rFonts w:hint="eastAsia" w:ascii="宋体" w:hAnsi="宋体" w:cs="宋体"/>
                <w:color w:val="auto"/>
                <w:sz w:val="24"/>
                <w:highlight w:val="none"/>
              </w:rPr>
              <w:br/>
            </w:r>
            <w:r>
              <w:rPr>
                <w:rFonts w:hint="eastAsia" w:ascii="宋体" w:hAnsi="宋体" w:cs="宋体"/>
                <w:color w:val="auto"/>
                <w:sz w:val="24"/>
                <w:highlight w:val="none"/>
              </w:rPr>
              <w:t xml:space="preserve">色温：3000K±200</w:t>
            </w:r>
            <w:r>
              <w:rPr>
                <w:rFonts w:hint="eastAsia" w:ascii="宋体" w:hAnsi="宋体" w:cs="宋体"/>
                <w:color w:val="auto"/>
                <w:sz w:val="24"/>
                <w:highlight w:val="none"/>
              </w:rPr>
              <w:br/>
            </w:r>
            <w:r>
              <w:rPr>
                <w:rFonts w:hint="eastAsia" w:ascii="宋体" w:hAnsi="宋体" w:cs="宋体"/>
                <w:color w:val="auto"/>
                <w:sz w:val="24"/>
                <w:highlight w:val="none"/>
              </w:rPr>
              <w:t xml:space="preserve">工作电压：175V-265V AC</w:t>
            </w:r>
            <w:r>
              <w:rPr>
                <w:rFonts w:hint="eastAsia" w:ascii="宋体" w:hAnsi="宋体" w:cs="宋体"/>
                <w:color w:val="auto"/>
                <w:sz w:val="24"/>
                <w:highlight w:val="none"/>
              </w:rPr>
              <w:br/>
            </w:r>
            <w:r>
              <w:rPr>
                <w:rFonts w:hint="eastAsia" w:ascii="宋体" w:hAnsi="宋体" w:cs="宋体"/>
                <w:color w:val="auto"/>
                <w:sz w:val="24"/>
                <w:highlight w:val="none"/>
              </w:rPr>
              <w:t xml:space="preserve">频率范围：50-60HZ</w:t>
            </w:r>
            <w:r>
              <w:rPr>
                <w:rFonts w:hint="eastAsia" w:ascii="宋体" w:hAnsi="宋体" w:cs="宋体"/>
                <w:color w:val="auto"/>
                <w:sz w:val="24"/>
                <w:highlight w:val="none"/>
              </w:rPr>
              <w:br/>
            </w:r>
            <w:r>
              <w:rPr>
                <w:rFonts w:hint="eastAsia" w:ascii="宋体" w:hAnsi="宋体" w:cs="宋体"/>
                <w:color w:val="auto"/>
                <w:sz w:val="24"/>
                <w:highlight w:val="none"/>
              </w:rPr>
              <w:t xml:space="preserve">产品尺寸：直径≤65mm，长度≤250mm</w:t>
            </w:r>
            <w:r>
              <w:rPr>
                <w:rFonts w:hint="eastAsia" w:ascii="宋体" w:hAnsi="宋体" w:cs="宋体"/>
                <w:color w:val="auto"/>
                <w:sz w:val="24"/>
                <w:highlight w:val="none"/>
              </w:rPr>
              <w:br/>
            </w:r>
            <w:r>
              <w:rPr>
                <w:rFonts w:hint="eastAsia" w:ascii="宋体" w:hAnsi="宋体" w:cs="宋体"/>
                <w:color w:val="auto"/>
                <w:sz w:val="24"/>
                <w:highlight w:val="none"/>
              </w:rPr>
              <w:t xml:space="preserve">光束角度: 轴向120-150°，垂直轴向360°</w:t>
            </w:r>
            <w:r>
              <w:rPr>
                <w:rFonts w:hint="eastAsia" w:ascii="宋体" w:hAnsi="宋体" w:cs="宋体"/>
                <w:color w:val="auto"/>
                <w:sz w:val="24"/>
                <w:highlight w:val="none"/>
              </w:rPr>
              <w:br/>
            </w:r>
            <w:r>
              <w:rPr>
                <w:rFonts w:hint="eastAsia" w:ascii="宋体" w:hAnsi="宋体" w:cs="宋体"/>
                <w:color w:val="auto"/>
                <w:sz w:val="24"/>
                <w:highlight w:val="none"/>
              </w:rPr>
              <w:t xml:space="preserve">显色指数：Ra≥80</w:t>
            </w:r>
            <w:r>
              <w:rPr>
                <w:rFonts w:hint="eastAsia" w:ascii="宋体" w:hAnsi="宋体" w:cs="宋体"/>
                <w:color w:val="auto"/>
                <w:sz w:val="24"/>
                <w:highlight w:val="none"/>
              </w:rPr>
              <w:br/>
            </w:r>
            <w:r>
              <w:rPr>
                <w:rFonts w:hint="eastAsia" w:ascii="宋体" w:hAnsi="宋体" w:cs="宋体"/>
                <w:color w:val="auto"/>
                <w:sz w:val="24"/>
                <w:highlight w:val="none"/>
              </w:rPr>
              <w:t xml:space="preserve">散热方式：温控式主动散热（风扇）</w:t>
            </w:r>
            <w:r/>
          </w:p>
        </w:tc>
        <w:tc>
          <w:tcPr>
            <w:tcBorders>
              <w:top w:val="single" w:color="auto" w:sz="4" w:space="0"/>
              <w:left w:val="single" w:color="auto" w:sz="4" w:space="0"/>
              <w:bottom w:val="single" w:color="auto" w:sz="4" w:space="0"/>
              <w:right w:val="single" w:color="auto" w:sz="4" w:space="0"/>
            </w:tcBorders>
            <w:tcW w:w="108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2.货物名称、品牌、型号和制造商</w:t>
      </w:r>
      <w:r/>
    </w:p>
    <w:tbl>
      <w:tblPr>
        <w:tblStyle w:val="869"/>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174"/>
        <w:gridCol w:w="4448"/>
        <w:gridCol w:w="1119"/>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7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74"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100w</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（两模）</w:t>
            </w:r>
            <w:r/>
          </w:p>
        </w:tc>
        <w:tc>
          <w:tcPr>
            <w:tcBorders>
              <w:top w:val="single" w:color="auto" w:sz="4" w:space="0"/>
              <w:left w:val="single" w:color="auto" w:sz="4" w:space="0"/>
              <w:bottom w:val="single" w:color="auto" w:sz="4" w:space="0"/>
              <w:right w:val="single" w:color="auto" w:sz="4" w:space="0"/>
            </w:tcBorders>
            <w:tcW w:w="4448" w:type="dxa"/>
            <w:vAlign w:val="top"/>
            <w:textDirection w:val="lrTb"/>
            <w:noWrap w:val="false"/>
          </w:tcPr>
          <w:p>
            <w:pPr>
              <w:jc w:val="center"/>
              <w:rPr>
                <w:rFonts w:ascii="仿宋" w:hAnsi="仿宋" w:eastAsia="仿宋"/>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①外形尺寸与重量：长650mm–850mm，宽330mm–430mm，高80mm–180mm；总重量≥5.</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散热铝板厚度不低于1.2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3.货物名称、品牌、型号和制造商</w:t>
      </w:r>
      <w:r/>
    </w:p>
    <w:tbl>
      <w:tblPr>
        <w:tblStyle w:val="869"/>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158"/>
        <w:gridCol w:w="4448"/>
        <w:gridCol w:w="1135"/>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5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150w</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（三模）</w:t>
            </w:r>
            <w:r/>
          </w:p>
        </w:tc>
        <w:tc>
          <w:tcPr>
            <w:tcBorders>
              <w:top w:val="single" w:color="auto" w:sz="4" w:space="0"/>
              <w:left w:val="single" w:color="auto" w:sz="4" w:space="0"/>
              <w:bottom w:val="single" w:color="auto" w:sz="4" w:space="0"/>
              <w:right w:val="single" w:color="auto" w:sz="4" w:space="0"/>
            </w:tcBorders>
            <w:tcW w:w="4448" w:type="dxa"/>
            <w:vAlign w:val="top"/>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①外形尺寸与重量：长650mm–850mm，宽330mm–430mm，高80mm–180mm；总重量≥</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p>
          <w:p>
            <w:pPr>
              <w:jc w:val="center"/>
              <w:rPr>
                <w:rFonts w:ascii="仿宋" w:hAnsi="仿宋" w:eastAsia="仿宋"/>
                <w:color w:val="auto"/>
                <w:sz w:val="24"/>
                <w:highlight w:val="none"/>
              </w:rPr>
            </w:pP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tcBorders>
              <w:top w:val="single" w:color="auto" w:sz="4" w:space="0"/>
              <w:left w:val="single" w:color="auto" w:sz="4" w:space="0"/>
              <w:bottom w:val="single" w:color="auto" w:sz="4" w:space="0"/>
              <w:right w:val="single" w:color="auto" w:sz="4" w:space="0"/>
            </w:tcBorders>
            <w:tcW w:w="1135"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4.货物名称、品牌、型号和制造商</w:t>
      </w:r>
      <w:r/>
    </w:p>
    <w:tbl>
      <w:tblPr>
        <w:tblStyle w:val="869"/>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126"/>
        <w:gridCol w:w="4496"/>
        <w:gridCol w:w="1119"/>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49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200w</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（四模）</w:t>
            </w:r>
            <w:r/>
          </w:p>
        </w:tc>
        <w:tc>
          <w:tcPr>
            <w:tcBorders>
              <w:top w:val="single" w:color="auto" w:sz="4" w:space="0"/>
              <w:left w:val="single" w:color="auto" w:sz="4" w:space="0"/>
              <w:bottom w:val="single" w:color="auto" w:sz="4" w:space="0"/>
              <w:right w:val="single" w:color="auto" w:sz="4" w:space="0"/>
            </w:tcBorders>
            <w:tcW w:w="4496" w:type="dxa"/>
            <w:vAlign w:val="top"/>
            <w:textDirection w:val="lrTb"/>
            <w:noWrap w:val="false"/>
          </w:tcPr>
          <w:p>
            <w:pPr>
              <w:jc w:val="center"/>
              <w:rPr>
                <w:rFonts w:ascii="仿宋" w:hAnsi="仿宋" w:eastAsia="仿宋"/>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①外形尺寸与重量：长780mm–1000mm，宽330mm–430mm，高80mm–180mm；总重量≥6.</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整灯防护等级不低于IP66，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tcBorders>
              <w:top w:val="single" w:color="auto" w:sz="4" w:space="0"/>
              <w:left w:val="single" w:color="auto" w:sz="4" w:space="0"/>
              <w:bottom w:val="single" w:color="auto" w:sz="4" w:space="0"/>
              <w:right w:val="single" w:color="auto" w:sz="4" w:space="0"/>
            </w:tcBorders>
            <w:tcW w:w="111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5.货物名称、品牌、型号和制造商</w:t>
      </w:r>
      <w:r/>
    </w:p>
    <w:tbl>
      <w:tblPr>
        <w:tblStyle w:val="869"/>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078"/>
        <w:gridCol w:w="4560"/>
        <w:gridCol w:w="1103"/>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250w</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（五模）</w:t>
            </w:r>
            <w:r/>
          </w:p>
        </w:tc>
        <w:tc>
          <w:tcPr>
            <w:tcBorders>
              <w:top w:val="single" w:color="auto" w:sz="4" w:space="0"/>
              <w:left w:val="single" w:color="auto" w:sz="4" w:space="0"/>
              <w:bottom w:val="single" w:color="auto" w:sz="4" w:space="0"/>
              <w:right w:val="single" w:color="auto" w:sz="4" w:space="0"/>
            </w:tcBorders>
            <w:tcW w:w="4560" w:type="dxa"/>
            <w:vAlign w:val="top"/>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①外形尺寸与重量：长780mm -1000mm， 宽330mm -430mm，高80mm - 180mm;总重量≥</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kg。</w:t>
            </w:r>
            <w:r/>
          </w:p>
          <w:p>
            <w:pPr>
              <w:jc w:val="center"/>
              <w:rPr>
                <w:rFonts w:ascii="仿宋" w:hAnsi="仿宋" w:eastAsia="仿宋"/>
                <w:color w:val="auto"/>
                <w:sz w:val="24"/>
                <w:highlight w:val="none"/>
              </w:rPr>
            </w:pP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整灯防护等级不低于IP66，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tcBorders>
              <w:top w:val="single" w:color="auto" w:sz="4" w:space="0"/>
              <w:left w:val="single" w:color="auto" w:sz="4" w:space="0"/>
              <w:bottom w:val="single" w:color="auto" w:sz="4" w:space="0"/>
              <w:right w:val="single" w:color="auto" w:sz="4" w:space="0"/>
            </w:tcBorders>
            <w:tcW w:w="1103"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641"/>
        <w:jc w:val="lef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641"/>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6.货物名称、品牌、型号和制造商</w:t>
      </w:r>
      <w:r/>
    </w:p>
    <w:tbl>
      <w:tblPr>
        <w:tblStyle w:val="869"/>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110"/>
        <w:gridCol w:w="4560"/>
        <w:gridCol w:w="1071"/>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10" w:type="dxa"/>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单灯控制器</w:t>
            </w:r>
            <w:r/>
          </w:p>
        </w:tc>
        <w:tc>
          <w:tcPr>
            <w:tcBorders>
              <w:top w:val="single" w:color="auto" w:sz="4" w:space="0"/>
              <w:left w:val="single" w:color="auto" w:sz="4" w:space="0"/>
              <w:bottom w:val="single" w:color="auto" w:sz="4" w:space="0"/>
              <w:right w:val="single" w:color="auto" w:sz="4" w:space="0"/>
            </w:tcBorders>
            <w:tcW w:w="4560" w:type="dxa"/>
            <w:vAlign w:val="top"/>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一、控制功能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控制软件必须同时具备电脑、手机APP报警自动推送功能，确保采购人第一时间得到报警信息。</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单灯独立开关控制;支持远程对单路灯具执行开、关指令；支持批量分组控制，按照路段、区域、组别，批量进行灯具开关操作。</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调光控制:支持0</w:t>
            </w:r>
            <w:r>
              <w:rPr>
                <w:rFonts w:hint="eastAsia" w:ascii="宋体" w:hAnsi="宋体" w:cs="宋体"/>
                <w:color w:val="auto"/>
                <w:sz w:val="24"/>
                <w:highlight w:val="none"/>
              </w:rPr>
              <w:noBreakHyphen/>
            </w:r>
            <w:r>
              <w:rPr>
                <w:rFonts w:hint="eastAsia" w:ascii="宋体" w:hAnsi="宋体" w:cs="宋体"/>
                <w:color w:val="auto"/>
                <w:sz w:val="24"/>
                <w:highlight w:val="none"/>
              </w:rPr>
              <w:t xml:space="preserve">10V、PWM两种调光方式，实现灯光亮度无级调节；可预设多套调光曲线，依据时间、节假日自动调节灯具亮度。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 时序策略:内置硬件时钟，支持本地定时策略；可自定义开关灯时间、分时段调光方案；依托经纬度自动适配日出日落启停灯，可自动修正晨昏时刻。</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⑤</w:t>
            </w:r>
            <w:r>
              <w:rPr>
                <w:rFonts w:hint="eastAsia" w:ascii="宋体" w:hAnsi="宋体" w:cs="宋体"/>
                <w:color w:val="auto"/>
                <w:sz w:val="24"/>
                <w:highlight w:val="none"/>
              </w:rPr>
              <w:t xml:space="preserve">策略模式切换:远程可切换4类工作模式：远程受控模式、本地自主模式、强制全开、强制全关。</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⑥</w:t>
            </w:r>
            <w:r>
              <w:rPr>
                <w:rFonts w:hint="eastAsia" w:ascii="宋体" w:hAnsi="宋体" w:cs="宋体"/>
                <w:color w:val="auto"/>
                <w:sz w:val="24"/>
                <w:highlight w:val="none"/>
              </w:rPr>
              <w:t xml:space="preserve"> 应急强制控制:管控平台下发应急指令之后，控制器优先执行应急开关、调光操作，跳过本地定时任务。</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二、数据采集功能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电气参数采集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采集灯具回路电压、电流、有功功率、用电量。</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灯具状态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获取灯具开关状态、调光输出数值。</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数据上报</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支持定时周期上报、平台主动召测；可灵活修改数据上报周期。</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④电能统计</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累计用电量、按月统计能耗数据，为能耗数据分析提供支撑。</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三、故障检测与告警功能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灯具故障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识别灯具不亮故障、局部不亮故障（单个模组损坏）检测告警。</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回路故障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触发过压、欠压、过流告警。</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设备故障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控制器通信异常告警。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④告警推送规则</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故障主动上报，附带故障类别、故障发生时间；故障解除之后自动推送恢复事件。</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⑤</w:t>
            </w:r>
            <w:r>
              <w:rPr>
                <w:rFonts w:hint="eastAsia" w:ascii="宋体" w:hAnsi="宋体" w:cs="宋体"/>
                <w:color w:val="auto"/>
                <w:sz w:val="24"/>
                <w:highlight w:val="none"/>
              </w:rPr>
              <w:t xml:space="preserve">故障报警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月故障误报率小于等于3%。</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四、通信功能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基础通信方式</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采用4G CAT</w:t>
            </w:r>
            <w:r>
              <w:rPr>
                <w:rFonts w:hint="eastAsia" w:ascii="宋体" w:hAnsi="宋体" w:cs="宋体"/>
                <w:color w:val="auto"/>
                <w:sz w:val="24"/>
                <w:highlight w:val="none"/>
              </w:rPr>
              <w:noBreakHyphen/>
            </w:r>
            <w:r>
              <w:rPr>
                <w:rFonts w:hint="eastAsia" w:ascii="宋体" w:hAnsi="宋体" w:cs="宋体"/>
                <w:color w:val="auto"/>
                <w:sz w:val="24"/>
                <w:highlight w:val="none"/>
              </w:rPr>
              <w:t xml:space="preserve">1通信；具备组网能力，可以和网关、管控平台双向通讯。</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断网缓存续传</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网络断开时本地储存控制策略、采集数据；网络恢复后补发全部历史数据，保障关键告警不会丢失。</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在线心跳检测</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定时上传心跳数据包，上报在线状态，平台识别设备离线情况。</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④传输加密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全部传输数据加密处理，防止远程控制指令被篡改。</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五、本地操作与脱网运行</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脱网自主运行</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网络断开之后，设备依靠本地储存的定时、经纬度策略正常开关灯、调光，无需依赖云端平台。</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参数本地存储</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定时方案、调光参数、设备地址等配置断电不会丢失。</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设备ID管理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设备搭载唯一硬件ID；可远程修改设备名称、分组信息。</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六、电源输入端设置防雷浪涌保护，适配路灯电网电压波动。</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宽电压输入：100-400V。</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七、防护等级：IP67及以上，户外防水防尘。</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八、 控制器具备国家认可的CQC认证证书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九、 单灯控制器的流量卡（ESIM卡）质保期满后，投标人要无条件配合采购人进行过户，保证后续数据正常上报。提供可供业主查询的网址及物联卡的相关参数资料，确保单灯控制器出厂时已包含10年流量套餐和服务期。</w:t>
            </w:r>
            <w:r/>
          </w:p>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71"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480"/>
        <w:rPr>
          <w:rFonts w:ascii="仿宋" w:hAnsi="仿宋" w:eastAsia="仿宋"/>
          <w:color w:val="auto"/>
          <w:sz w:val="24"/>
          <w:highlight w:val="none"/>
        </w:rPr>
      </w:pPr>
      <w:r>
        <w:rPr>
          <w:rFonts w:ascii="仿宋" w:hAnsi="仿宋" w:eastAsia="仿宋"/>
          <w:color w:val="auto"/>
          <w:sz w:val="24"/>
          <w:highlight w:val="none"/>
        </w:rPr>
      </w:r>
      <w:r/>
    </w:p>
    <w:p>
      <w:pPr>
        <w:ind w:firstLine="641"/>
        <w:jc w:val="center"/>
        <w:rPr>
          <w:rFonts w:ascii="仿宋" w:hAnsi="仿宋" w:eastAsia="仿宋"/>
          <w:color w:val="auto"/>
          <w:sz w:val="28"/>
          <w:szCs w:val="28"/>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869"/>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043"/>
        <w:gridCol w:w="3840"/>
        <w:gridCol w:w="1553"/>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55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质量标准</w:t>
            </w:r>
            <w:r/>
          </w:p>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1.供应商须明确所投货物的生产厂家、品牌、型号、规格、外形和尺寸等。</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3.产品的包装，国家或行业主管部门有规定的，按规定执行。 </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4.供应商应保证提供的产品不得侵犯第三方专利权、商标权和工业设计权、版权等。否则，成交供应商应负全部责任，并承担由此引起的一切后果。</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5.供应商应保证其货物在正确安装、正常使用和保养条件下，在其使用寿命期内应具有满意的性能。</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6.供应商应采取必要的安全措施保证货物的运输及安装的安全，并承担货物的运输及安装过程中产生的风险。</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7.供应商必须保证所提供的产品符合国家相应质量要求，供货时必须随产品提供出厂材料，包括但不限于检验报告（复印件）、产品合格证（原件）以及设备的测试、运行、保养手册。</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8.供应商所供货物最终验收后，成交供应商应对由于设计、工艺或材料的缺陷而发生的任何不足或故障负责，并承担由此引起的一切后果。</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9.成交产品的技术标准按国家标准执行，无国家标准的，按行业标准执行，无国家和行业标准的，按企业标准执行；但在采购文件中有特别要求的，按采购文件中规定的要求执行，并且符合相关法律、法规规定的要求。</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55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交货期限</w:t>
            </w:r>
            <w:r/>
          </w:p>
        </w:tc>
        <w:tc>
          <w:tcPr>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合同签订之日起3个月内，完成供货、安装。</w:t>
            </w:r>
            <w:r/>
          </w:p>
        </w:tc>
        <w:tc>
          <w:tcPr>
            <w:tcBorders>
              <w:top w:val="single" w:color="auto" w:sz="4" w:space="0"/>
              <w:left w:val="single" w:color="auto" w:sz="4" w:space="0"/>
              <w:bottom w:val="single" w:color="auto" w:sz="4" w:space="0"/>
              <w:right w:val="single" w:color="auto" w:sz="4" w:space="0"/>
            </w:tcBorders>
            <w:tcW w:w="155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55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自交货并验收合格之日起计伍年。</w:t>
            </w:r>
            <w:r/>
          </w:p>
        </w:tc>
        <w:tc>
          <w:tcPr>
            <w:tcBorders>
              <w:top w:val="single" w:color="auto" w:sz="4" w:space="0"/>
              <w:left w:val="single" w:color="auto" w:sz="4" w:space="0"/>
              <w:bottom w:val="single" w:color="auto" w:sz="4" w:space="0"/>
              <w:right w:val="single" w:color="auto" w:sz="4" w:space="0"/>
            </w:tcBorders>
            <w:tcW w:w="155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硬件安装交付结束后，质保期内，供应商需在采购人仓库储备不低于采购数量1%的各类维修配件，如产品出现故障由采购人负责更换，但设备接入及调试由供应商负责。年更换率大于等于3%的部分，由供应商承担更换时产生的人工及机械费用。</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2.质保期内确保控制软件正常运行，数据按监管要求正常上报到城市生命线平台。</w:t>
            </w:r>
            <w:r/>
          </w:p>
        </w:tc>
        <w:tc>
          <w:tcPr>
            <w:tcBorders>
              <w:top w:val="single" w:color="auto" w:sz="4" w:space="0"/>
              <w:left w:val="single" w:color="auto" w:sz="4" w:space="0"/>
              <w:bottom w:val="single" w:color="auto" w:sz="4" w:space="0"/>
              <w:right w:val="single" w:color="auto" w:sz="4" w:space="0"/>
            </w:tcBorders>
            <w:tcW w:w="155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840" w:type="dxa"/>
            <w:vAlign w:val="center"/>
            <w:textDirection w:val="lrTb"/>
            <w:noWrap w:val="false"/>
          </w:tcPr>
          <w:p>
            <w:pPr>
              <w:jc w:val="center"/>
              <w:rPr>
                <w:rFonts w:ascii="仿宋" w:hAnsi="仿宋" w:eastAsia="仿宋"/>
                <w:color w:val="auto"/>
                <w:sz w:val="24"/>
                <w:highlight w:val="none"/>
                <w:lang w:val="zh-CN"/>
              </w:rPr>
            </w:pPr>
            <w:r>
              <w:rPr>
                <w:rFonts w:hint="eastAsia" w:ascii="仿宋" w:hAnsi="仿宋" w:eastAsia="仿宋"/>
                <w:color w:val="auto"/>
                <w:sz w:val="24"/>
                <w:highlight w:val="none"/>
                <w:lang w:val="zh-CN"/>
              </w:rPr>
              <w:t xml:space="preserve">供货并安装调试结束后由甲方组织验收，</w:t>
            </w:r>
            <w:r>
              <w:rPr>
                <w:rFonts w:hint="eastAsia" w:ascii="仿宋" w:hAnsi="仿宋" w:eastAsia="仿宋"/>
                <w:color w:val="auto"/>
                <w:sz w:val="24"/>
                <w:highlight w:val="none"/>
                <w:lang w:val="en-US" w:eastAsia="zh-CN"/>
              </w:rPr>
              <w:t xml:space="preserve">验收合格满一年后，支付实际金额的40%，验收合格满两年后支付实际金额的70%，</w:t>
            </w:r>
            <w:r>
              <w:rPr>
                <w:rFonts w:hint="eastAsia" w:ascii="仿宋" w:hAnsi="仿宋" w:eastAsia="仿宋"/>
                <w:color w:val="auto"/>
                <w:sz w:val="24"/>
                <w:highlight w:val="none"/>
                <w:lang w:val="zh-CN" w:eastAsia="zh-CN"/>
              </w:rPr>
              <w:t xml:space="preserve">验收合格满三年后</w:t>
            </w:r>
            <w:r>
              <w:rPr>
                <w:rFonts w:hint="eastAsia" w:ascii="仿宋" w:hAnsi="仿宋" w:eastAsia="仿宋"/>
                <w:color w:val="auto"/>
                <w:sz w:val="24"/>
                <w:highlight w:val="none"/>
                <w:lang w:val="en-US" w:eastAsia="zh-CN"/>
              </w:rPr>
              <w:t xml:space="preserve">付至</w:t>
            </w:r>
            <w:r>
              <w:rPr>
                <w:rFonts w:hint="eastAsia" w:ascii="仿宋" w:hAnsi="仿宋" w:eastAsia="仿宋"/>
                <w:color w:val="auto"/>
                <w:sz w:val="24"/>
                <w:highlight w:val="none"/>
                <w:lang w:val="zh-CN" w:eastAsia="zh-CN"/>
              </w:rPr>
              <w:t xml:space="preserve">实际金额的</w:t>
            </w:r>
            <w:r>
              <w:rPr>
                <w:rFonts w:hint="eastAsia" w:ascii="仿宋" w:hAnsi="仿宋" w:eastAsia="仿宋"/>
                <w:color w:val="auto"/>
                <w:sz w:val="24"/>
                <w:highlight w:val="none"/>
                <w:lang w:val="en-US" w:eastAsia="zh-CN"/>
              </w:rPr>
              <w:t xml:space="preserve">97</w:t>
            </w:r>
            <w:r>
              <w:rPr>
                <w:rFonts w:hint="eastAsia" w:ascii="仿宋" w:hAnsi="仿宋" w:eastAsia="仿宋"/>
                <w:color w:val="auto"/>
                <w:sz w:val="24"/>
                <w:highlight w:val="none"/>
                <w:lang w:val="zh-CN" w:eastAsia="zh-CN"/>
              </w:rPr>
              <w:t xml:space="preserve">%，</w:t>
            </w:r>
            <w:r>
              <w:rPr>
                <w:rFonts w:hint="eastAsia" w:ascii="仿宋" w:hAnsi="仿宋" w:eastAsia="仿宋"/>
                <w:color w:val="auto"/>
                <w:sz w:val="24"/>
                <w:highlight w:val="none"/>
                <w:lang w:val="en-US" w:eastAsia="zh-CN"/>
              </w:rPr>
              <w:t xml:space="preserve">余款待质保期结束后付清</w:t>
            </w:r>
            <w:r>
              <w:rPr>
                <w:rFonts w:hint="eastAsia" w:ascii="仿宋" w:hAnsi="仿宋" w:eastAsia="仿宋"/>
                <w:color w:val="auto"/>
                <w:sz w:val="24"/>
                <w:highlight w:val="none"/>
                <w:lang w:val="zh-CN" w:eastAsia="zh-CN"/>
              </w:rPr>
              <w:t xml:space="preserve">。每</w:t>
            </w:r>
            <w:r>
              <w:rPr>
                <w:rFonts w:hint="eastAsia" w:ascii="仿宋" w:hAnsi="仿宋" w:eastAsia="仿宋"/>
                <w:color w:val="auto"/>
                <w:sz w:val="24"/>
                <w:highlight w:val="none"/>
                <w:lang w:val="zh-CN"/>
              </w:rPr>
              <w:t xml:space="preserve">次支付前，乙方均应出具符合甲方财务规定以及开票报税要求的相应金额的正式发票，双方结算均通过银行基本账户进行。</w:t>
            </w:r>
            <w:r/>
          </w:p>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55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注：按照招标文件要求详细填列，可增减行。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四、报价文件</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公开招标响应报价表</w:t>
      </w:r>
      <w:r/>
    </w:p>
    <w:tbl>
      <w:tblPr>
        <w:tblStyle w:val="86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小微企业、残疾人福利单位或者监狱和戒毒企业制造的产品或者承接的服务，报价折扣</w:t>
            </w:r>
            <w:r>
              <w:rPr>
                <w:rFonts w:hint="eastAsia" w:ascii="仿宋" w:hAnsi="仿宋" w:eastAsia="仿宋" w:cs="宋体"/>
                <w:color w:val="auto"/>
                <w:sz w:val="24"/>
                <w:highlight w:val="none"/>
                <w:u w:val="single"/>
              </w:rPr>
              <w:t xml:space="preserve">10%</w:t>
            </w:r>
            <w:r>
              <w:rPr>
                <w:rFonts w:hint="eastAsia" w:ascii="仿宋" w:hAnsi="仿宋" w:eastAsia="仿宋" w:cs="宋体"/>
                <w:color w:val="auto"/>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olor w:val="auto"/>
                <w:sz w:val="24"/>
                <w:highlight w:val="non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color w:val="auto"/>
                <w:sz w:val="24"/>
                <w:highlight w:val="none"/>
                <w:u w:val="single"/>
              </w:rPr>
              <w:t xml:space="preserve">4%</w:t>
            </w:r>
            <w:r>
              <w:rPr>
                <w:rFonts w:hint="eastAsia" w:ascii="仿宋" w:hAnsi="仿宋" w:eastAsia="仿宋"/>
                <w:color w:val="auto"/>
                <w:sz w:val="24"/>
                <w:highlight w:val="none"/>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350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（二）公开招标响应报价明细表</w:t>
      </w:r>
      <w:r/>
    </w:p>
    <w:p>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公开招标响应报价明细表</w:t>
      </w:r>
      <w:r/>
    </w:p>
    <w:p>
      <w:pPr>
        <w:rPr>
          <w:rFonts w:ascii="宋体" w:hAnsi="宋体"/>
          <w:color w:val="auto"/>
          <w:highlight w:val="none"/>
        </w:rPr>
      </w:pPr>
      <w:r>
        <w:rPr>
          <w:rFonts w:ascii="宋体" w:hAnsi="宋体"/>
          <w:color w:val="auto"/>
          <w:highlight w:val="none"/>
        </w:rPr>
      </w:r>
      <w:r/>
    </w:p>
    <w:p>
      <w:pPr>
        <w:pStyle w:val="877"/>
        <w:rPr>
          <w:rFonts w:ascii="仿宋" w:hAnsi="仿宋" w:eastAsia="仿宋"/>
          <w:color w:val="auto"/>
          <w:szCs w:val="24"/>
          <w:highlight w:val="none"/>
        </w:rPr>
      </w:pPr>
      <w:r>
        <w:rPr>
          <w:rFonts w:hint="eastAsia" w:ascii="仿宋" w:hAnsi="仿宋" w:eastAsia="仿宋"/>
          <w:color w:val="auto"/>
          <w:szCs w:val="24"/>
          <w:highlight w:val="none"/>
        </w:rPr>
        <w:t xml:space="preserve">项目名称： </w:t>
      </w:r>
      <w:r/>
    </w:p>
    <w:p>
      <w:pPr>
        <w:rPr>
          <w:rFonts w:ascii="仿宋" w:hAnsi="仿宋" w:eastAsia="仿宋"/>
          <w:color w:val="auto"/>
          <w:sz w:val="24"/>
          <w:highlight w:val="none"/>
        </w:rPr>
      </w:pPr>
      <w:r>
        <w:rPr>
          <w:rFonts w:hint="eastAsia" w:ascii="仿宋" w:hAnsi="仿宋" w:eastAsia="仿宋"/>
          <w:color w:val="auto"/>
          <w:sz w:val="24"/>
          <w:highlight w:val="none"/>
        </w:rPr>
        <w:t xml:space="preserve">项目编号：                                      分包号：                   </w:t>
      </w:r>
      <w:r/>
    </w:p>
    <w:tbl>
      <w:tblPr>
        <w:tblStyle w:val="869"/>
        <w:tblW w:w="9567" w:type="dxa"/>
        <w:tblInd w:w="96" w:type="dxa"/>
        <w:tblLayout w:type="fixed"/>
        <w:tblCellMar>
          <w:left w:w="108" w:type="dxa"/>
          <w:top w:w="0" w:type="dxa"/>
          <w:right w:w="108" w:type="dxa"/>
          <w:bottom w:w="0" w:type="dxa"/>
        </w:tblCellMar>
        <w:tblLook w:val="04A0" w:firstRow="1" w:lastRow="0" w:firstColumn="1" w:lastColumn="0" w:noHBand="0" w:noVBand="1"/>
      </w:tblPr>
      <w:tblGrid>
        <w:gridCol w:w="575"/>
        <w:gridCol w:w="988"/>
        <w:gridCol w:w="600"/>
        <w:gridCol w:w="767"/>
        <w:gridCol w:w="4611"/>
        <w:gridCol w:w="1013"/>
        <w:gridCol w:w="1013"/>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项目/品类</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规格或者技术要求</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总价（元）</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55wLED灯泡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安装方式：螺口E40</w:t>
            </w:r>
            <w:r>
              <w:rPr>
                <w:rFonts w:hint="eastAsia" w:ascii="宋体" w:hAnsi="宋体" w:cs="宋体"/>
                <w:color w:val="auto"/>
                <w:sz w:val="24"/>
                <w:highlight w:val="none"/>
              </w:rPr>
              <w:br/>
            </w:r>
            <w:r>
              <w:rPr>
                <w:rFonts w:hint="eastAsia" w:ascii="宋体" w:hAnsi="宋体" w:cs="宋体"/>
                <w:color w:val="auto"/>
                <w:sz w:val="24"/>
                <w:highlight w:val="none"/>
              </w:rPr>
              <w:t xml:space="preserve">额定功率：55w</w:t>
            </w:r>
            <w:r>
              <w:rPr>
                <w:rFonts w:hint="eastAsia" w:ascii="宋体" w:hAnsi="宋体" w:cs="宋体"/>
                <w:color w:val="auto"/>
                <w:sz w:val="24"/>
                <w:highlight w:val="none"/>
              </w:rPr>
              <w:br/>
            </w:r>
            <w:r>
              <w:rPr>
                <w:rFonts w:hint="eastAsia" w:ascii="宋体" w:hAnsi="宋体" w:cs="宋体"/>
                <w:color w:val="auto"/>
                <w:sz w:val="24"/>
                <w:highlight w:val="none"/>
              </w:rPr>
              <w:t xml:space="preserve">光通量：≥8000lm</w:t>
            </w:r>
            <w:r>
              <w:rPr>
                <w:rFonts w:hint="eastAsia" w:ascii="宋体" w:hAnsi="宋体" w:cs="宋体"/>
                <w:color w:val="auto"/>
                <w:sz w:val="24"/>
                <w:highlight w:val="none"/>
              </w:rPr>
              <w:br/>
            </w:r>
            <w:r>
              <w:rPr>
                <w:rFonts w:hint="eastAsia" w:ascii="宋体" w:hAnsi="宋体" w:cs="宋体"/>
                <w:color w:val="auto"/>
                <w:sz w:val="24"/>
                <w:highlight w:val="none"/>
              </w:rPr>
              <w:t xml:space="preserve">色温：3000K±200</w:t>
            </w:r>
            <w:r>
              <w:rPr>
                <w:rFonts w:hint="eastAsia" w:ascii="宋体" w:hAnsi="宋体" w:cs="宋体"/>
                <w:color w:val="auto"/>
                <w:sz w:val="24"/>
                <w:highlight w:val="none"/>
              </w:rPr>
              <w:br/>
            </w:r>
            <w:r>
              <w:rPr>
                <w:rFonts w:hint="eastAsia" w:ascii="宋体" w:hAnsi="宋体" w:cs="宋体"/>
                <w:color w:val="auto"/>
                <w:sz w:val="24"/>
                <w:highlight w:val="none"/>
              </w:rPr>
              <w:t xml:space="preserve">工作电压：175V-265V AC</w:t>
            </w:r>
            <w:r>
              <w:rPr>
                <w:rFonts w:hint="eastAsia" w:ascii="宋体" w:hAnsi="宋体" w:cs="宋体"/>
                <w:color w:val="auto"/>
                <w:sz w:val="24"/>
                <w:highlight w:val="none"/>
              </w:rPr>
              <w:br/>
            </w:r>
            <w:r>
              <w:rPr>
                <w:rFonts w:hint="eastAsia" w:ascii="宋体" w:hAnsi="宋体" w:cs="宋体"/>
                <w:color w:val="auto"/>
                <w:sz w:val="24"/>
                <w:highlight w:val="none"/>
              </w:rPr>
              <w:t xml:space="preserve">频率范围：50-60HZ</w:t>
            </w:r>
            <w:r>
              <w:rPr>
                <w:rFonts w:hint="eastAsia" w:ascii="宋体" w:hAnsi="宋体" w:cs="宋体"/>
                <w:color w:val="auto"/>
                <w:sz w:val="24"/>
                <w:highlight w:val="none"/>
              </w:rPr>
              <w:br/>
            </w:r>
            <w:r>
              <w:rPr>
                <w:rFonts w:hint="eastAsia" w:ascii="宋体" w:hAnsi="宋体" w:cs="宋体"/>
                <w:color w:val="auto"/>
                <w:sz w:val="24"/>
                <w:highlight w:val="none"/>
              </w:rPr>
              <w:t xml:space="preserve">产品尺寸：直径≤65mm，长度≤250mm</w:t>
            </w:r>
            <w:r>
              <w:rPr>
                <w:rFonts w:hint="eastAsia" w:ascii="宋体" w:hAnsi="宋体" w:cs="宋体"/>
                <w:color w:val="auto"/>
                <w:sz w:val="24"/>
                <w:highlight w:val="none"/>
              </w:rPr>
              <w:br/>
            </w:r>
            <w:r>
              <w:rPr>
                <w:rFonts w:hint="eastAsia" w:ascii="宋体" w:hAnsi="宋体" w:cs="宋体"/>
                <w:color w:val="auto"/>
                <w:sz w:val="24"/>
                <w:highlight w:val="none"/>
              </w:rPr>
              <w:t xml:space="preserve">光束角度: 轴向120-150°，垂直轴向360°</w:t>
            </w:r>
            <w:r>
              <w:rPr>
                <w:rFonts w:hint="eastAsia" w:ascii="宋体" w:hAnsi="宋体" w:cs="宋体"/>
                <w:color w:val="auto"/>
                <w:sz w:val="24"/>
                <w:highlight w:val="none"/>
              </w:rPr>
              <w:br/>
            </w:r>
            <w:r>
              <w:rPr>
                <w:rFonts w:hint="eastAsia" w:ascii="宋体" w:hAnsi="宋体" w:cs="宋体"/>
                <w:color w:val="auto"/>
                <w:sz w:val="24"/>
                <w:highlight w:val="none"/>
              </w:rPr>
              <w:t xml:space="preserve">显色指数：Ra≥80</w:t>
            </w:r>
            <w:r>
              <w:rPr>
                <w:rFonts w:hint="eastAsia" w:ascii="宋体" w:hAnsi="宋体" w:cs="宋体"/>
                <w:color w:val="auto"/>
                <w:sz w:val="24"/>
                <w:highlight w:val="none"/>
              </w:rPr>
              <w:br/>
            </w:r>
            <w:r>
              <w:rPr>
                <w:rFonts w:hint="eastAsia" w:ascii="宋体" w:hAnsi="宋体" w:cs="宋体"/>
                <w:color w:val="auto"/>
                <w:sz w:val="24"/>
                <w:highlight w:val="none"/>
              </w:rPr>
              <w:t xml:space="preserve">散热方式：温控式主动散热（风扇）</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100wLED灯具</w:t>
            </w:r>
            <w:r>
              <w:rPr>
                <w:rFonts w:hint="eastAsia" w:ascii="宋体" w:hAnsi="宋体" w:cs="宋体"/>
                <w:color w:val="auto"/>
                <w:sz w:val="24"/>
                <w:highlight w:val="none"/>
              </w:rPr>
              <w:br/>
            </w:r>
            <w:r>
              <w:rPr>
                <w:rFonts w:hint="eastAsia" w:ascii="宋体" w:hAnsi="宋体" w:cs="宋体"/>
                <w:color w:val="auto"/>
                <w:sz w:val="24"/>
                <w:highlight w:val="none"/>
              </w:rPr>
              <w:t xml:space="preserve">（两模）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2020</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①外形尺寸与重量：长650mm–850mm，宽330mm–430mm，高80mm–180mm；总重量≥5.</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散热铝板厚度不低于1.2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150wLED灯具</w:t>
            </w:r>
            <w:r>
              <w:rPr>
                <w:rFonts w:hint="eastAsia" w:ascii="宋体" w:hAnsi="宋体" w:cs="宋体"/>
                <w:color w:val="auto"/>
                <w:sz w:val="24"/>
                <w:highlight w:val="none"/>
              </w:rPr>
              <w:br/>
            </w:r>
            <w:r>
              <w:rPr>
                <w:rFonts w:hint="eastAsia" w:ascii="宋体" w:hAnsi="宋体" w:cs="宋体"/>
                <w:color w:val="auto"/>
                <w:sz w:val="24"/>
                <w:highlight w:val="none"/>
              </w:rPr>
              <w:t xml:space="preserve">（三模）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1910</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①外形尺寸与重量：长650mm–850mm，宽330mm–430mm，高80mm–180mm；总重量≥</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200wLED灯具</w:t>
            </w:r>
            <w:r>
              <w:rPr>
                <w:rFonts w:hint="eastAsia" w:ascii="宋体" w:hAnsi="宋体" w:cs="宋体"/>
                <w:color w:val="auto"/>
                <w:sz w:val="24"/>
                <w:highlight w:val="none"/>
              </w:rPr>
              <w:br/>
            </w:r>
            <w:r>
              <w:rPr>
                <w:rFonts w:hint="eastAsia" w:ascii="宋体" w:hAnsi="宋体" w:cs="宋体"/>
                <w:color w:val="auto"/>
                <w:sz w:val="24"/>
                <w:highlight w:val="none"/>
              </w:rPr>
              <w:t xml:space="preserve">（四模）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①外形尺寸与重量：长780mm–1000mm，宽330mm–430mm，高80mm–180mm；总重量≥6.</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kg。</w:t>
            </w:r>
            <w:r>
              <w:rPr>
                <w:rFonts w:hint="eastAsia" w:ascii="宋体" w:hAnsi="宋体" w:cs="宋体"/>
                <w:color w:val="auto"/>
                <w:sz w:val="24"/>
                <w:highlight w:val="none"/>
              </w:rPr>
              <w:br/>
            </w: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整灯防护等级不低于IP66，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250wLED灯具</w:t>
            </w:r>
            <w:r>
              <w:rPr>
                <w:rFonts w:hint="eastAsia" w:ascii="宋体" w:hAnsi="宋体" w:cs="宋体"/>
                <w:color w:val="auto"/>
                <w:sz w:val="24"/>
                <w:highlight w:val="none"/>
              </w:rPr>
              <w:br/>
            </w:r>
            <w:r>
              <w:rPr>
                <w:rFonts w:hint="eastAsia" w:ascii="宋体" w:hAnsi="宋体" w:cs="宋体"/>
                <w:color w:val="auto"/>
                <w:sz w:val="24"/>
                <w:highlight w:val="none"/>
              </w:rPr>
              <w:t xml:space="preserve">（五模）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一、灯具结构与壳体技术要求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①外形尺寸与重量：长780mm -1000mm， 宽330mm -430mm，高80mm - 180mm;总重量≥</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kg。</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②材质与表面处理：壳体材质采用ADC12及以上国标铝合金整体高压</w:t>
            </w:r>
            <w:r>
              <w:rPr>
                <w:rFonts w:hint="eastAsia" w:ascii="宋体" w:hAnsi="宋体" w:cs="宋体"/>
                <w:color w:val="auto"/>
                <w:sz w:val="24"/>
                <w:highlight w:val="none"/>
              </w:rPr>
              <w:t xml:space="preserve">压铸成型，不得采用拼接式或型材组装结构。壳体壁厚满足结构强度与散热需求，表面须经静电喷塑处理，防腐等级不低于WF2，质保期内不变色、不剥落；灯具外壳须铸有永久性硬性注册品牌名称（非贴纸或喷码），字体清晰、不可磨灭；所有插销、铰链、螺钉、螺丝、螺母、垫片  等连接件、紧固件须全部采用304及以上不锈钢材质；灯具密封件须耐温、耐老化、耐道路腐蚀性气体；灯具上油漆部件涂层符合QB/T 1551-1992中Ⅱ类使用条件，电镀或化学覆盖件符合QB/T 3741-1999中Ⅲ类使用条件；表面处理工艺设计寿命不低于5年。</w:t>
            </w:r>
            <w:r>
              <w:rPr>
                <w:rFonts w:hint="eastAsia" w:ascii="宋体" w:hAnsi="宋体" w:cs="宋体"/>
                <w:color w:val="auto"/>
                <w:sz w:val="24"/>
                <w:highlight w:val="none"/>
              </w:rPr>
              <w:br/>
            </w:r>
            <w:r>
              <w:rPr>
                <w:rFonts w:hint="eastAsia" w:ascii="宋体" w:hAnsi="宋体" w:cs="宋体"/>
                <w:color w:val="auto"/>
                <w:sz w:val="24"/>
                <w:highlight w:val="none"/>
              </w:rPr>
              <w:t xml:space="preserve">③防护与密封：整灯防护等级不低于IP66，防机械碰撞等级不低于IK08；灯具采用无工具开启方式（如不锈钢活卡扣、掀盖式等），便于现场维护；盖与腔体之间须配密封胶条，实现硅橡胶密封圈防水防尘，不得使用胶水密封；电器腔须为独立空间 ，与光源腔完全隔离，避免热源与电器元件相互干扰，配独立散热通道。</w:t>
            </w:r>
            <w:r>
              <w:rPr>
                <w:rFonts w:hint="eastAsia" w:ascii="宋体" w:hAnsi="宋体" w:cs="宋体"/>
                <w:color w:val="auto"/>
                <w:sz w:val="24"/>
                <w:highlight w:val="none"/>
              </w:rPr>
              <w:br/>
            </w:r>
            <w:r>
              <w:rPr>
                <w:rFonts w:hint="eastAsia" w:ascii="宋体" w:hAnsi="宋体" w:cs="宋体"/>
                <w:color w:val="auto"/>
                <w:sz w:val="24"/>
                <w:highlight w:val="none"/>
              </w:rPr>
              <w:t xml:space="preserve">灯具须配有304不锈钢防坠落装置（不锈钢钢丝直径不小于3mm，并有PE管保护），防坠落装置必须装在LED灯具前端防模块掉落。</w:t>
            </w:r>
            <w:r>
              <w:rPr>
                <w:rFonts w:hint="eastAsia" w:ascii="宋体" w:hAnsi="宋体" w:cs="宋体"/>
                <w:color w:val="auto"/>
                <w:sz w:val="24"/>
                <w:highlight w:val="none"/>
              </w:rPr>
              <w:br/>
            </w:r>
            <w:r>
              <w:rPr>
                <w:rFonts w:hint="eastAsia" w:ascii="宋体" w:hAnsi="宋体" w:cs="宋体"/>
                <w:color w:val="auto"/>
                <w:sz w:val="24"/>
                <w:highlight w:val="none"/>
              </w:rPr>
              <w:t xml:space="preserve">④安装接口：安装管径按现场实际需求供货（不得使用转接套件）；灯臂接口插入深度不低于100mm。</w:t>
            </w:r>
            <w:r>
              <w:rPr>
                <w:rFonts w:hint="eastAsia" w:ascii="宋体" w:hAnsi="宋体" w:cs="宋体"/>
                <w:color w:val="auto"/>
                <w:sz w:val="24"/>
                <w:highlight w:val="none"/>
              </w:rPr>
              <w:br/>
            </w:r>
            <w:r>
              <w:rPr>
                <w:rFonts w:hint="eastAsia" w:ascii="宋体" w:hAnsi="宋体" w:cs="宋体"/>
                <w:color w:val="auto"/>
                <w:sz w:val="24"/>
                <w:highlight w:val="none"/>
              </w:rPr>
              <w:t xml:space="preserve">⑤导线与接线：内部导线采用耐高温导线，灯具引出线线径不小于1.5mm²；相线与零线颜色必须有明显区别；灯具应有特设的导线出入口不锈钢密封装置；外部接线和内部接线穿过硬质材料时应有保护措施；灯具内应设电源接线端子，内部接线使用快接插头，确保电源和LED模组可在现场灯杆上替换。</w:t>
            </w:r>
            <w:r>
              <w:rPr>
                <w:rFonts w:hint="eastAsia" w:ascii="宋体" w:hAnsi="宋体" w:cs="宋体"/>
                <w:color w:val="auto"/>
                <w:sz w:val="24"/>
                <w:highlight w:val="none"/>
              </w:rPr>
              <w:br/>
            </w:r>
            <w:r>
              <w:rPr>
                <w:rFonts w:hint="eastAsia" w:ascii="宋体" w:hAnsi="宋体" w:cs="宋体"/>
                <w:color w:val="auto"/>
                <w:sz w:val="24"/>
                <w:highlight w:val="none"/>
              </w:rPr>
              <w:t xml:space="preserve">⑥铭牌与标识：每个灯具外壳须具有永久性注册商标。灯具外壳须铸有永久性硬性注册品牌名称（非贴纸或喷码），字体清晰、不可磨灭。</w:t>
            </w:r>
            <w:r>
              <w:rPr>
                <w:rFonts w:hint="eastAsia" w:ascii="宋体" w:hAnsi="宋体" w:cs="宋体"/>
                <w:color w:val="auto"/>
                <w:sz w:val="24"/>
                <w:highlight w:val="none"/>
              </w:rPr>
              <w:br/>
            </w:r>
            <w:r>
              <w:rPr>
                <w:rFonts w:hint="eastAsia" w:ascii="宋体" w:hAnsi="宋体" w:cs="宋体"/>
                <w:color w:val="auto"/>
                <w:sz w:val="24"/>
                <w:highlight w:val="none"/>
              </w:rPr>
              <w:t xml:space="preserve">二、LED光源模组技术要求</w:t>
            </w:r>
            <w:r>
              <w:rPr>
                <w:rFonts w:hint="eastAsia" w:ascii="宋体" w:hAnsi="宋体" w:cs="宋体"/>
                <w:color w:val="auto"/>
                <w:sz w:val="24"/>
                <w:highlight w:val="none"/>
              </w:rPr>
              <w:br/>
            </w:r>
            <w:r>
              <w:rPr>
                <w:rFonts w:hint="eastAsia" w:ascii="宋体" w:hAnsi="宋体" w:cs="宋体"/>
                <w:color w:val="auto"/>
                <w:sz w:val="24"/>
                <w:highlight w:val="none"/>
              </w:rPr>
              <w:t xml:space="preserve">①芯片：LED芯片需为原厂封装芯片，不得采用集成式芯片，采用单颗粒LED芯片结构且单颗芯片实际使用功率≥1W。</w:t>
            </w:r>
            <w:r>
              <w:rPr>
                <w:rFonts w:hint="eastAsia" w:ascii="宋体" w:hAnsi="宋体" w:cs="宋体"/>
                <w:color w:val="auto"/>
                <w:sz w:val="24"/>
                <w:highlight w:val="none"/>
              </w:rPr>
              <w:br/>
            </w:r>
            <w:r>
              <w:rPr>
                <w:rFonts w:hint="eastAsia" w:ascii="宋体" w:hAnsi="宋体" w:cs="宋体"/>
                <w:color w:val="auto"/>
                <w:sz w:val="24"/>
                <w:highlight w:val="none"/>
              </w:rPr>
              <w:t xml:space="preserve">②结构与互换性：模组须为非集成式独立模组，尺寸符合GB/T 35269-2017：总长度L0≤300mm，安装孔中心间距L1=286mm，发光面长度L2≤272mm；总宽度W0≤70mm，宽度方向安装孔中心间距W1=30mm，安装腰孔长度W2=15mm；总高度H0≤60mm；模组采用并联方式连接；模组结构和机械互换性符合GB/T 35269-2017或GB/T 34846-2017，可现场随意拆换组合；每个模组具有独立的散热、防水和配光系统。</w:t>
            </w:r>
            <w:r>
              <w:rPr>
                <w:rFonts w:hint="eastAsia" w:ascii="宋体" w:hAnsi="宋体" w:cs="宋体"/>
                <w:color w:val="auto"/>
                <w:sz w:val="24"/>
                <w:highlight w:val="none"/>
              </w:rPr>
              <w:br/>
            </w:r>
            <w:r>
              <w:rPr>
                <w:rFonts w:hint="eastAsia" w:ascii="宋体" w:hAnsi="宋体" w:cs="宋体"/>
                <w:color w:val="auto"/>
                <w:sz w:val="24"/>
                <w:highlight w:val="none"/>
              </w:rPr>
              <w:t xml:space="preserve">③铭牌与标识：每个模组须具有独立永久性标识：品牌、型号、功率、电压等信息。</w:t>
            </w:r>
            <w:r>
              <w:rPr>
                <w:rFonts w:hint="eastAsia" w:ascii="宋体" w:hAnsi="宋体" w:cs="宋体"/>
                <w:color w:val="auto"/>
                <w:sz w:val="24"/>
                <w:highlight w:val="none"/>
              </w:rPr>
              <w:br/>
            </w:r>
            <w:r>
              <w:rPr>
                <w:rFonts w:hint="eastAsia" w:ascii="宋体" w:hAnsi="宋体" w:cs="宋体"/>
                <w:color w:val="auto"/>
                <w:sz w:val="24"/>
                <w:highlight w:val="none"/>
              </w:rPr>
              <w:t xml:space="preserve">④防水等级：单个LED模组防护等级达到IP67。</w:t>
            </w:r>
            <w:r>
              <w:rPr>
                <w:rFonts w:hint="eastAsia" w:ascii="宋体" w:hAnsi="宋体" w:cs="宋体"/>
                <w:color w:val="auto"/>
                <w:sz w:val="24"/>
                <w:highlight w:val="none"/>
              </w:rPr>
              <w:br/>
            </w:r>
            <w:r>
              <w:rPr>
                <w:rFonts w:hint="eastAsia" w:ascii="宋体" w:hAnsi="宋体" w:cs="宋体"/>
                <w:color w:val="auto"/>
                <w:sz w:val="24"/>
                <w:highlight w:val="none"/>
              </w:rPr>
              <w:t xml:space="preserve">⑤色温与功率配置：模组色温：3000K±200；单个模组额定功率50W。</w:t>
            </w:r>
            <w:r>
              <w:rPr>
                <w:rFonts w:hint="eastAsia" w:ascii="宋体" w:hAnsi="宋体" w:cs="宋体"/>
                <w:color w:val="auto"/>
                <w:sz w:val="24"/>
                <w:highlight w:val="none"/>
              </w:rPr>
              <w:br/>
            </w:r>
            <w:r>
              <w:rPr>
                <w:rFonts w:hint="eastAsia" w:ascii="宋体" w:hAnsi="宋体" w:cs="宋体"/>
                <w:color w:val="auto"/>
                <w:sz w:val="24"/>
                <w:highlight w:val="none"/>
              </w:rPr>
              <w:t xml:space="preserve">⑥连接器：模组与灯体之间、控制装置与灯体之间通过可插接式防水电子连接器  软线连接，连接器防护等级不低于IP65；插针距离L1=6.3mm，插针直径D1=1.5mm；正负端引线颜色：正极棕色，负极蓝色。</w:t>
            </w:r>
            <w:r>
              <w:rPr>
                <w:rFonts w:hint="eastAsia" w:ascii="宋体" w:hAnsi="宋体" w:cs="宋体"/>
                <w:color w:val="auto"/>
                <w:sz w:val="24"/>
                <w:highlight w:val="none"/>
              </w:rPr>
              <w:br/>
            </w:r>
            <w:r>
              <w:rPr>
                <w:rFonts w:hint="eastAsia" w:ascii="宋体" w:hAnsi="宋体" w:cs="宋体"/>
                <w:color w:val="auto"/>
                <w:sz w:val="24"/>
                <w:highlight w:val="none"/>
              </w:rPr>
              <w:t xml:space="preserve">三、驱动电源与电气安全要求</w:t>
            </w:r>
            <w:r>
              <w:rPr>
                <w:rFonts w:hint="eastAsia" w:ascii="宋体" w:hAnsi="宋体" w:cs="宋体"/>
                <w:color w:val="auto"/>
                <w:sz w:val="24"/>
                <w:highlight w:val="none"/>
              </w:rPr>
              <w:br/>
            </w:r>
            <w:r>
              <w:rPr>
                <w:rFonts w:hint="eastAsia" w:ascii="宋体" w:hAnsi="宋体" w:cs="宋体"/>
                <w:color w:val="auto"/>
                <w:sz w:val="24"/>
                <w:highlight w:val="none"/>
              </w:rPr>
              <w:t xml:space="preserve">①强制性认证：驱动电源须通过国家强制性CCC认证，安全性能符合GB 19510.1、GB 19510.14要求。</w:t>
            </w:r>
            <w:r>
              <w:rPr>
                <w:rFonts w:hint="eastAsia" w:ascii="宋体" w:hAnsi="宋体" w:cs="宋体"/>
                <w:color w:val="auto"/>
                <w:sz w:val="24"/>
                <w:highlight w:val="none"/>
              </w:rPr>
              <w:br/>
            </w:r>
            <w:r>
              <w:rPr>
                <w:rFonts w:hint="eastAsia" w:ascii="宋体" w:hAnsi="宋体" w:cs="宋体"/>
                <w:color w:val="auto"/>
                <w:sz w:val="24"/>
                <w:highlight w:val="none"/>
              </w:rPr>
              <w:t xml:space="preserve">②功率配置：驱动电源功率需与负载匹配。</w:t>
            </w:r>
            <w:r>
              <w:rPr>
                <w:rFonts w:hint="eastAsia" w:ascii="宋体" w:hAnsi="宋体" w:cs="宋体"/>
                <w:color w:val="auto"/>
                <w:sz w:val="24"/>
                <w:highlight w:val="none"/>
              </w:rPr>
              <w:br/>
            </w:r>
            <w:r>
              <w:rPr>
                <w:rFonts w:hint="eastAsia" w:ascii="宋体" w:hAnsi="宋体" w:cs="宋体"/>
                <w:color w:val="auto"/>
                <w:sz w:val="24"/>
                <w:highlight w:val="none"/>
              </w:rPr>
              <w:t xml:space="preserve">③性能参数：具备0–10Vdc / PWM调光功能（可对接单灯监控），防护等级≥IP67；宽电压输入范围90V–305V，功率因数不低于0.97；输出直流电压需与LED负载（模组并联连接）匹配，提供恒定直流电流驱动；具备输入欠压、过压保护，输出开路、短路保护等完善的保护功能；必须预留智能控制接口，内置在灯具里，与光源模组连接可靠，便于维护，整体美观。</w:t>
            </w:r>
            <w:r>
              <w:rPr>
                <w:rFonts w:hint="eastAsia" w:ascii="宋体" w:hAnsi="宋体" w:cs="宋体"/>
                <w:color w:val="auto"/>
                <w:sz w:val="24"/>
                <w:highlight w:val="none"/>
              </w:rPr>
              <w:br/>
            </w:r>
            <w:r>
              <w:rPr>
                <w:rFonts w:hint="eastAsia" w:ascii="宋体" w:hAnsi="宋体" w:cs="宋体"/>
                <w:color w:val="auto"/>
                <w:sz w:val="24"/>
                <w:highlight w:val="none"/>
              </w:rPr>
              <w:t xml:space="preserve">④防雷与浪涌：电源须内置防雷击及浪涌保护装置，性能符合IEC 61000-4（Level 4）检测标准，抗浪涌能力≥10kV；抗浪涌保护器应符合GB/T 18802.11规定，使用Ⅲ类实验方法进行实验。</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4690</w:t>
            </w:r>
            <w:r/>
          </w:p>
        </w:tc>
        <w:tc>
          <w:tcPr>
            <w:shd w:val="clear" w:color="auto" w:fill="auto"/>
            <w:tcBorders>
              <w:top w:val="single" w:color="000000" w:sz="4" w:space="0"/>
              <w:left w:val="single" w:color="000000" w:sz="4" w:space="0"/>
              <w:bottom w:val="single" w:color="000000" w:sz="4" w:space="0"/>
              <w:right w:val="single" w:color="000000" w:sz="4" w:space="0"/>
            </w:tcBorders>
            <w:tcW w:w="4611"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一、控制功能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控制软件必须同时具备电脑、手机APP报警自动推送功能，确保采购人第一时间得到报警信息。</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单灯独立开关控制;支持远程对单路灯具执行开、关指令；支持批量分组控制，按照路段、区域、组别，批量进行灯具开关操作。</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调光控制:支持0</w:t>
            </w:r>
            <w:r>
              <w:rPr>
                <w:rFonts w:hint="eastAsia" w:ascii="宋体" w:hAnsi="宋体" w:cs="宋体"/>
                <w:color w:val="auto"/>
                <w:sz w:val="24"/>
                <w:highlight w:val="none"/>
              </w:rPr>
              <w:noBreakHyphen/>
            </w:r>
            <w:r>
              <w:rPr>
                <w:rFonts w:hint="eastAsia" w:ascii="宋体" w:hAnsi="宋体" w:cs="宋体"/>
                <w:color w:val="auto"/>
                <w:sz w:val="24"/>
                <w:highlight w:val="none"/>
              </w:rPr>
              <w:t xml:space="preserve">10V、PWM两种调光方式，实现灯光亮度无级调节；可预设多套调光曲线，依据时间、节假日自动调节灯具亮度。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 时序策略:内置硬件时钟，支持本地定时策略；可自定义开关灯时间、分时段调光方案；依托经纬度自动适配日出日落启停灯，可自动修正晨昏时刻。</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⑤</w:t>
            </w:r>
            <w:r>
              <w:rPr>
                <w:rFonts w:hint="eastAsia" w:ascii="宋体" w:hAnsi="宋体" w:cs="宋体"/>
                <w:color w:val="auto"/>
                <w:sz w:val="24"/>
                <w:highlight w:val="none"/>
              </w:rPr>
              <w:t xml:space="preserve">策略模式切换:远程可切换4类工作模式：远程受控模式、本地自主模式、强制全开、强制全关。</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⑥</w:t>
            </w:r>
            <w:r>
              <w:rPr>
                <w:rFonts w:hint="eastAsia" w:ascii="宋体" w:hAnsi="宋体" w:cs="宋体"/>
                <w:color w:val="auto"/>
                <w:sz w:val="24"/>
                <w:highlight w:val="none"/>
              </w:rPr>
              <w:t xml:space="preserve"> 应急强制控制:管控平台下发应急指令之后，控制器优先执行应急开关、调光操作，跳过本地定时任务。</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二、数据采集功能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电气参数采集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采集灯具回路电压、电流、有功功率、用电量。</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灯具状态</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获取灯具开关状态、调光输出数值。</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数据上报</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支持定时周期上报、平台主动召测；可灵活修改数据上报周期。</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④电能统计</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累计用电量、按月统计能耗数据，为能耗数据分析提供支撑。</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三、故障检测与告警功能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灯具故障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识别灯具不亮故障、局部不亮故障（单个模组损坏）检测告警。</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回路故障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触发过压、欠压、过流告警。</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设备故障</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控制器通信异常告警。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④告警推送规则</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故障主动上报，附带故障类别、故障发生时间；故障解除之后自动推送恢复事件。</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⑤</w:t>
            </w:r>
            <w:r>
              <w:rPr>
                <w:rFonts w:hint="eastAsia" w:ascii="宋体" w:hAnsi="宋体" w:cs="宋体"/>
                <w:color w:val="auto"/>
                <w:sz w:val="24"/>
                <w:highlight w:val="none"/>
              </w:rPr>
              <w:t xml:space="preserve">故障报警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月故障误报率小于等于3%。</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四、通信功能</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基础通信方式</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采用4G CAT</w:t>
            </w:r>
            <w:r>
              <w:rPr>
                <w:rFonts w:hint="eastAsia" w:ascii="宋体" w:hAnsi="宋体" w:cs="宋体"/>
                <w:color w:val="auto"/>
                <w:sz w:val="24"/>
                <w:highlight w:val="none"/>
              </w:rPr>
              <w:noBreakHyphen/>
            </w:r>
            <w:r>
              <w:rPr>
                <w:rFonts w:hint="eastAsia" w:ascii="宋体" w:hAnsi="宋体" w:cs="宋体"/>
                <w:color w:val="auto"/>
                <w:sz w:val="24"/>
                <w:highlight w:val="none"/>
              </w:rPr>
              <w:t xml:space="preserve">1通信；具备组网能力，可以和网关、管控平台双向通讯。</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断网缓存续传</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网络断开时本地储存控制策略、采集数据；网络恢复后补发全部历史数据，保障关键告警不会丢失。</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在线心跳检测</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定时上传心跳数据包，上报在线状态，平台识别设备离线情况。</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④传输加密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全部传输数据加密处理，防止远程控制指令被篡改。</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五、本地操作与脱网运行</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①</w:t>
            </w:r>
            <w:r>
              <w:rPr>
                <w:rFonts w:hint="eastAsia" w:ascii="宋体" w:hAnsi="宋体" w:cs="宋体"/>
                <w:color w:val="auto"/>
                <w:sz w:val="24"/>
                <w:highlight w:val="none"/>
              </w:rPr>
              <w:t xml:space="preserve"> 脱网自主运行</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网络断开之后，设备依靠本地储存的定时、经纬度策略正常开关灯、调光，无需依赖云端平台。</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②</w:t>
            </w:r>
            <w:r>
              <w:rPr>
                <w:rFonts w:hint="eastAsia" w:ascii="宋体" w:hAnsi="宋体" w:cs="宋体"/>
                <w:color w:val="auto"/>
                <w:sz w:val="24"/>
                <w:highlight w:val="none"/>
              </w:rPr>
              <w:t xml:space="preserve">参数本地存储</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定时方案、调光参数、设备地址等配置断电不会丢失。</w:t>
            </w:r>
            <w:r/>
          </w:p>
          <w:p>
            <w:pPr>
              <w:jc w:val="left"/>
              <w:widowControl/>
              <w:rPr>
                <w:rFonts w:ascii="宋体" w:hAnsi="宋体" w:cs="宋体"/>
                <w:color w:val="auto"/>
                <w:sz w:val="24"/>
                <w:highlight w:val="none"/>
              </w:rPr>
            </w:pPr>
            <w:r>
              <w:rPr>
                <w:rFonts w:hint="eastAsia" w:ascii="仿宋" w:hAnsi="仿宋" w:eastAsia="仿宋" w:cs="仿宋"/>
                <w:color w:val="auto"/>
                <w:sz w:val="24"/>
                <w:highlight w:val="none"/>
              </w:rPr>
              <w:t xml:space="preserve">③</w:t>
            </w:r>
            <w:r>
              <w:rPr>
                <w:rFonts w:hint="eastAsia" w:ascii="宋体" w:hAnsi="宋体" w:cs="宋体"/>
                <w:color w:val="auto"/>
                <w:sz w:val="24"/>
                <w:highlight w:val="none"/>
              </w:rPr>
              <w:t xml:space="preserve"> 设备ID管理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设备搭载唯一硬件ID；可远程修改设备名称、分组信息。</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六、电源输入端设置防雷浪涌保护，适配路灯电网电压波动。</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宽电压输入：100-400V。</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七、防护等级：IP67及以上，户外防水防尘。</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八、 控制器具备国家认可的CQC认证证书</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九、 单灯控制器的流量卡（ESIM卡）质保期满后，投标人要无条件配合采购人进行过户，保证后续数据正常上报。提供可供业主查询的网址及物联卡的相关参数资料，确保单灯控制器出厂时已包含10年流量套餐和服务期。</w:t>
            </w:r>
            <w:r/>
          </w:p>
          <w:p>
            <w:pPr>
              <w:jc w:val="left"/>
              <w:widowControl/>
              <w:rPr>
                <w:rFonts w:ascii="宋体" w:hAnsi="宋体" w:cs="宋体"/>
                <w:color w:val="auto"/>
                <w:sz w:val="24"/>
                <w:highlight w:val="none"/>
              </w:rPr>
            </w:pPr>
            <w:r>
              <w:rPr>
                <w:rFonts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004" w:type="dxa"/>
            <w:vAlign w:val="center"/>
            <w:textDirection w:val="lrTb"/>
            <w:noWrap/>
          </w:tcPr>
          <w:p>
            <w:pPr>
              <w:rPr>
                <w:rFonts w:ascii="宋体" w:hAnsi="宋体" w:cs="宋体"/>
                <w:color w:val="auto"/>
                <w:sz w:val="22"/>
                <w:szCs w:val="22"/>
                <w:highlight w:val="none"/>
              </w:rPr>
            </w:pPr>
            <w:r>
              <w:rPr>
                <w:rFonts w:ascii="宋体" w:hAnsi="宋体" w:cs="宋体"/>
                <w:color w:val="auto"/>
                <w:sz w:val="22"/>
                <w:szCs w:val="22"/>
                <w:highlight w:val="none"/>
              </w:rPr>
            </w:r>
            <w:r/>
          </w:p>
        </w:tc>
      </w:tr>
    </w:tbl>
    <w:p>
      <w:pPr>
        <w:rPr>
          <w:rFonts w:ascii="仿宋" w:hAnsi="仿宋" w:eastAsia="仿宋"/>
          <w:color w:val="auto"/>
          <w:szCs w:val="21"/>
          <w:highlight w:val="none"/>
        </w:rPr>
      </w:pPr>
      <w:r>
        <w:rPr>
          <w:rFonts w:ascii="仿宋" w:hAnsi="仿宋" w:eastAsia="仿宋"/>
          <w:color w:val="auto"/>
          <w:szCs w:val="21"/>
          <w:highlight w:val="none"/>
        </w:rPr>
      </w:r>
      <w:r/>
    </w:p>
    <w:p>
      <w:pPr>
        <w:rPr>
          <w:rFonts w:ascii="仿宋" w:hAnsi="仿宋" w:eastAsia="仿宋"/>
          <w:color w:val="auto"/>
          <w:szCs w:val="21"/>
          <w:highlight w:val="none"/>
        </w:rPr>
      </w:pPr>
      <w:r>
        <w:rPr>
          <w:rFonts w:ascii="仿宋" w:hAnsi="仿宋" w:eastAsia="仿宋"/>
          <w:color w:val="auto"/>
          <w:szCs w:val="21"/>
          <w:highlight w:val="none"/>
        </w:rPr>
      </w:r>
      <w:r/>
    </w:p>
    <w:p>
      <w:pPr>
        <w:rPr>
          <w:rFonts w:ascii="仿宋" w:hAnsi="仿宋" w:eastAsia="仿宋"/>
          <w:b/>
          <w:color w:val="auto"/>
          <w:szCs w:val="21"/>
          <w:highlight w:val="none"/>
        </w:rPr>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pPr>
      <w:r>
        <w:rPr>
          <w:rFonts w:hint="eastAsia" w:ascii="仿宋" w:hAnsi="仿宋" w:eastAsia="仿宋"/>
          <w:color w:val="auto"/>
          <w:szCs w:val="21"/>
          <w:highlight w:val="none"/>
        </w:rPr>
        <w:t xml:space="preserve">2、项目如有分包，请各投标人按投报的分包分别列表。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（三）中小企业声明函</w:t>
      </w:r>
      <w:r/>
    </w:p>
    <w:p>
      <w:pPr>
        <w:jc w:val="center"/>
        <w:spacing w:line="500" w:lineRule="exact"/>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中小企业声明函（货物）</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 xml:space="preserve">（单位名称）</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如皋市主城区LED灯具采购项目</w:t>
      </w:r>
      <w:r>
        <w:rPr>
          <w:rFonts w:hint="eastAsia" w:ascii="仿宋" w:hAnsi="仿宋" w:eastAsia="仿宋"/>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 </w:t>
      </w:r>
      <w:r>
        <w:rPr>
          <w:rFonts w:hint="eastAsia" w:ascii="仿宋" w:hAnsi="仿宋" w:eastAsia="仿宋"/>
          <w:i/>
          <w:color w:val="auto"/>
          <w:sz w:val="32"/>
          <w:szCs w:val="32"/>
          <w:highlight w:val="none"/>
          <w:u w:val="single"/>
        </w:rPr>
        <w:t xml:space="preserve">55w（灯泡）</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 </w:t>
      </w:r>
      <w:r>
        <w:rPr>
          <w:rFonts w:hint="eastAsia" w:ascii="仿宋" w:hAnsi="仿宋" w:eastAsia="仿宋"/>
          <w:i/>
          <w:color w:val="auto"/>
          <w:sz w:val="32"/>
          <w:szCs w:val="32"/>
          <w:highlight w:val="none"/>
          <w:u w:val="single"/>
        </w:rPr>
        <w:t xml:space="preserve">100w（两模）</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w:t>
      </w:r>
      <w:r>
        <w:rPr>
          <w:rFonts w:hint="eastAsia" w:ascii="仿宋" w:hAnsi="仿宋" w:eastAsia="仿宋"/>
          <w:i/>
          <w:color w:val="auto"/>
          <w:sz w:val="32"/>
          <w:szCs w:val="32"/>
          <w:highlight w:val="none"/>
          <w:u w:val="single"/>
        </w:rPr>
        <w:t xml:space="preserve"> （企业名称） </w:t>
      </w:r>
      <w:r>
        <w:rPr>
          <w:rFonts w:hint="eastAsia" w:ascii="仿宋" w:hAnsi="仿宋" w:eastAsia="仿宋"/>
          <w:color w:val="auto"/>
          <w:sz w:val="32"/>
          <w:szCs w:val="32"/>
          <w:highlight w:val="none"/>
        </w:rPr>
        <w:t xml:space="preserve">，从业人员人，营业收入为万元，资产总额为万元，属于</w:t>
      </w:r>
      <w:r>
        <w:rPr>
          <w:rFonts w:hint="eastAsia" w:ascii="仿宋" w:hAnsi="仿宋" w:eastAsia="仿宋"/>
          <w:i/>
          <w:color w:val="auto"/>
          <w:sz w:val="32"/>
          <w:szCs w:val="32"/>
          <w:highlight w:val="none"/>
          <w:u w:val="single"/>
        </w:rPr>
        <w:t xml:space="preserve"> （中型企业、小型企业、微型企业）</w:t>
      </w:r>
      <w:r>
        <w:rPr>
          <w:rFonts w:hint="eastAsia" w:ascii="仿宋" w:hAnsi="仿宋" w:eastAsia="仿宋"/>
          <w:color w:val="auto"/>
          <w:sz w:val="32"/>
          <w:szCs w:val="32"/>
          <w:highlight w:val="none"/>
        </w:rPr>
        <w:t xml:space="preserve"> ；</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3. </w:t>
      </w:r>
      <w:r>
        <w:rPr>
          <w:rFonts w:hint="eastAsia" w:ascii="仿宋" w:hAnsi="仿宋" w:eastAsia="仿宋"/>
          <w:i/>
          <w:color w:val="auto"/>
          <w:sz w:val="32"/>
          <w:szCs w:val="32"/>
          <w:highlight w:val="none"/>
          <w:u w:val="single"/>
        </w:rPr>
        <w:t xml:space="preserve">150w（三模）</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w:t>
      </w:r>
      <w:r>
        <w:rPr>
          <w:rFonts w:hint="eastAsia" w:ascii="仿宋" w:hAnsi="仿宋" w:eastAsia="仿宋"/>
          <w:i/>
          <w:color w:val="auto"/>
          <w:sz w:val="32"/>
          <w:szCs w:val="32"/>
          <w:highlight w:val="none"/>
          <w:u w:val="single"/>
        </w:rPr>
        <w:t xml:space="preserve"> （企业名称） </w:t>
      </w:r>
      <w:r>
        <w:rPr>
          <w:rFonts w:hint="eastAsia" w:ascii="仿宋" w:hAnsi="仿宋" w:eastAsia="仿宋"/>
          <w:color w:val="auto"/>
          <w:sz w:val="32"/>
          <w:szCs w:val="32"/>
          <w:highlight w:val="none"/>
        </w:rPr>
        <w:t xml:space="preserve">，从业人员人，营业收入为万元，资产总额为万元，属于</w:t>
      </w:r>
      <w:r>
        <w:rPr>
          <w:rFonts w:hint="eastAsia" w:ascii="仿宋" w:hAnsi="仿宋" w:eastAsia="仿宋"/>
          <w:i/>
          <w:color w:val="auto"/>
          <w:sz w:val="32"/>
          <w:szCs w:val="32"/>
          <w:highlight w:val="none"/>
          <w:u w:val="single"/>
        </w:rPr>
        <w:t xml:space="preserve"> （中型企业、小型企业、微型企业）</w:t>
      </w:r>
      <w:r>
        <w:rPr>
          <w:rFonts w:hint="eastAsia" w:ascii="仿宋" w:hAnsi="仿宋" w:eastAsia="仿宋"/>
          <w:color w:val="auto"/>
          <w:sz w:val="32"/>
          <w:szCs w:val="32"/>
          <w:highlight w:val="none"/>
        </w:rPr>
        <w:t xml:space="preserve"> ；</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4. </w:t>
      </w:r>
      <w:r>
        <w:rPr>
          <w:rFonts w:hint="eastAsia" w:ascii="仿宋" w:hAnsi="仿宋" w:eastAsia="仿宋"/>
          <w:i/>
          <w:color w:val="auto"/>
          <w:sz w:val="32"/>
          <w:szCs w:val="32"/>
          <w:highlight w:val="none"/>
          <w:u w:val="single"/>
        </w:rPr>
        <w:t xml:space="preserve">200w（四模）</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w:t>
      </w:r>
      <w:r>
        <w:rPr>
          <w:rFonts w:hint="eastAsia" w:ascii="仿宋" w:hAnsi="仿宋" w:eastAsia="仿宋"/>
          <w:i/>
          <w:color w:val="auto"/>
          <w:sz w:val="32"/>
          <w:szCs w:val="32"/>
          <w:highlight w:val="none"/>
          <w:u w:val="single"/>
        </w:rPr>
        <w:t xml:space="preserve"> （企业名称） </w:t>
      </w:r>
      <w:r>
        <w:rPr>
          <w:rFonts w:hint="eastAsia" w:ascii="仿宋" w:hAnsi="仿宋" w:eastAsia="仿宋"/>
          <w:color w:val="auto"/>
          <w:sz w:val="32"/>
          <w:szCs w:val="32"/>
          <w:highlight w:val="none"/>
        </w:rPr>
        <w:t xml:space="preserve">，从业人员人，营业收入为万元，资产总额为万元，属于</w:t>
      </w:r>
      <w:r>
        <w:rPr>
          <w:rFonts w:hint="eastAsia" w:ascii="仿宋" w:hAnsi="仿宋" w:eastAsia="仿宋"/>
          <w:i/>
          <w:color w:val="auto"/>
          <w:sz w:val="32"/>
          <w:szCs w:val="32"/>
          <w:highlight w:val="none"/>
          <w:u w:val="single"/>
        </w:rPr>
        <w:t xml:space="preserve"> （中型企业、小型企业、微型企业）</w:t>
      </w:r>
      <w:r>
        <w:rPr>
          <w:rFonts w:hint="eastAsia" w:ascii="仿宋" w:hAnsi="仿宋" w:eastAsia="仿宋"/>
          <w:color w:val="auto"/>
          <w:sz w:val="32"/>
          <w:szCs w:val="32"/>
          <w:highlight w:val="none"/>
        </w:rPr>
        <w:t xml:space="preserve"> ；</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5.  </w:t>
      </w:r>
      <w:r>
        <w:rPr>
          <w:rFonts w:hint="eastAsia" w:ascii="仿宋" w:hAnsi="仿宋" w:eastAsia="仿宋"/>
          <w:i/>
          <w:color w:val="auto"/>
          <w:sz w:val="32"/>
          <w:szCs w:val="32"/>
          <w:highlight w:val="none"/>
          <w:u w:val="single"/>
        </w:rPr>
        <w:t xml:space="preserve">250w（五模）</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w:t>
      </w:r>
      <w:r>
        <w:rPr>
          <w:rFonts w:hint="eastAsia" w:ascii="仿宋" w:hAnsi="仿宋" w:eastAsia="仿宋"/>
          <w:i/>
          <w:color w:val="auto"/>
          <w:sz w:val="32"/>
          <w:szCs w:val="32"/>
          <w:highlight w:val="none"/>
          <w:u w:val="single"/>
        </w:rPr>
        <w:t xml:space="preserve"> （企业名称） </w:t>
      </w:r>
      <w:r>
        <w:rPr>
          <w:rFonts w:hint="eastAsia" w:ascii="仿宋" w:hAnsi="仿宋" w:eastAsia="仿宋"/>
          <w:color w:val="auto"/>
          <w:sz w:val="32"/>
          <w:szCs w:val="32"/>
          <w:highlight w:val="none"/>
        </w:rPr>
        <w:t xml:space="preserve">，从业人员人，营业收入为万元，资产总额为万元，属于</w:t>
      </w:r>
      <w:r>
        <w:rPr>
          <w:rFonts w:hint="eastAsia" w:ascii="仿宋" w:hAnsi="仿宋" w:eastAsia="仿宋"/>
          <w:i/>
          <w:color w:val="auto"/>
          <w:sz w:val="32"/>
          <w:szCs w:val="32"/>
          <w:highlight w:val="none"/>
          <w:u w:val="single"/>
        </w:rPr>
        <w:t xml:space="preserve"> （中型企业、小型企业、微型企业）</w:t>
      </w:r>
      <w:r>
        <w:rPr>
          <w:rFonts w:hint="eastAsia" w:ascii="仿宋" w:hAnsi="仿宋" w:eastAsia="仿宋"/>
          <w:color w:val="auto"/>
          <w:sz w:val="32"/>
          <w:szCs w:val="32"/>
          <w:highlight w:val="none"/>
        </w:rPr>
        <w:t xml:space="preserve"> ；</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6. </w:t>
      </w:r>
      <w:r>
        <w:rPr>
          <w:rFonts w:hint="eastAsia" w:ascii="仿宋" w:hAnsi="仿宋" w:eastAsia="仿宋"/>
          <w:i/>
          <w:color w:val="auto"/>
          <w:sz w:val="32"/>
          <w:szCs w:val="32"/>
          <w:highlight w:val="none"/>
          <w:u w:val="single"/>
        </w:rPr>
        <w:t xml:space="preserve">单灯控制器</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工业行业</w:t>
      </w:r>
      <w:r>
        <w:rPr>
          <w:rFonts w:hint="eastAsia" w:ascii="仿宋" w:hAnsi="仿宋" w:eastAsia="仿宋"/>
          <w:color w:val="auto"/>
          <w:sz w:val="32"/>
          <w:szCs w:val="32"/>
          <w:highlight w:val="none"/>
        </w:rPr>
        <w:t xml:space="preserve"> ；制造商为</w:t>
      </w:r>
      <w:r>
        <w:rPr>
          <w:rFonts w:hint="eastAsia" w:ascii="仿宋" w:hAnsi="仿宋" w:eastAsia="仿宋"/>
          <w:i/>
          <w:color w:val="auto"/>
          <w:sz w:val="32"/>
          <w:szCs w:val="32"/>
          <w:highlight w:val="none"/>
          <w:u w:val="single"/>
        </w:rPr>
        <w:t xml:space="preserve"> （企业名称） </w:t>
      </w:r>
      <w:r>
        <w:rPr>
          <w:rFonts w:hint="eastAsia" w:ascii="仿宋" w:hAnsi="仿宋" w:eastAsia="仿宋"/>
          <w:color w:val="auto"/>
          <w:sz w:val="32"/>
          <w:szCs w:val="32"/>
          <w:highlight w:val="none"/>
        </w:rPr>
        <w:t xml:space="preserve">，从业人员人，营业收入为万元，资产总额为万元，属于</w:t>
      </w:r>
      <w:r>
        <w:rPr>
          <w:rFonts w:hint="eastAsia" w:ascii="仿宋" w:hAnsi="仿宋" w:eastAsia="仿宋"/>
          <w:i/>
          <w:color w:val="auto"/>
          <w:sz w:val="32"/>
          <w:szCs w:val="32"/>
          <w:highlight w:val="none"/>
          <w:u w:val="single"/>
        </w:rPr>
        <w:t xml:space="preserve"> （中型企业、小型企业、微型企业）</w:t>
      </w:r>
      <w:r>
        <w:rPr>
          <w:rFonts w:hint="eastAsia" w:ascii="仿宋" w:hAnsi="仿宋" w:eastAsia="仿宋"/>
          <w:color w:val="auto"/>
          <w:sz w:val="32"/>
          <w:szCs w:val="32"/>
          <w:highlight w:val="none"/>
        </w:rPr>
        <w:t xml:space="preserve"> ；</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 从业人员、营业收入、资产总额填报上一年度数据，无上一年度数据的新成立企业可不填报。</w:t>
      </w:r>
      <w:r/>
    </w:p>
    <w:p>
      <w:pPr>
        <w:jc w:val="left"/>
        <w:widowControl/>
        <w:rPr>
          <w:rFonts w:ascii="Calibri" w:hAnsi="Calibri"/>
          <w:color w:val="auto"/>
          <w:szCs w:val="22"/>
          <w:highlight w:val="none"/>
        </w:rPr>
      </w:pPr>
      <w:r>
        <w:rPr>
          <w:rFonts w:ascii="Calibri" w:hAnsi="Calibri"/>
          <w:color w:val="auto"/>
          <w:szCs w:val="22"/>
          <w:highlight w:val="none"/>
        </w:rPr>
        <w:br w:type="page" w:clear="all"/>
      </w:r>
      <w:r/>
    </w:p>
    <w:p>
      <w:pPr>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Arial"/>
          <w:color w:val="auto"/>
          <w:sz w:val="28"/>
          <w:szCs w:val="28"/>
          <w:highlight w:val="none"/>
        </w:rPr>
        <w:t xml:space="preserve">残疾人福利性单位声明函</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00" w:lineRule="exact"/>
        <w:rPr>
          <w:rFonts w:ascii="仿宋" w:hAnsi="仿宋" w:eastAsia="仿宋"/>
          <w:color w:val="auto"/>
          <w:szCs w:val="21"/>
          <w:highlight w:val="none"/>
        </w:rPr>
      </w:pPr>
      <w:r>
        <w:rPr>
          <w:rFonts w:hint="eastAsia" w:ascii="仿宋" w:hAnsi="仿宋" w:eastAsia="仿宋"/>
          <w:b/>
          <w:color w:val="auto"/>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81</w:t>
    </w:r>
    <w:r>
      <w:fldChar w:fldCharType="end"/>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886"/>
      </w:rPr>
      <w:framePr w:wrap="around" w:vAnchor="text" w:hAnchor="margin" w:xAlign="center" w:y="1"/>
    </w:pPr>
    <w:r>
      <w:fldChar w:fldCharType="begin"/>
    </w:r>
    <w:r>
      <w:rPr>
        <w:rStyle w:val="886"/>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abstractNum w:abstractNumId="5">
    <w:multiLevelType w:val="hybridMultilevel"/>
    <w:lvl w:ilvl="0">
      <w:start w:val="1"/>
      <w:numFmt w:val="bullet"/>
      <w:pStyle w:val="87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8"/>
    <w:link w:val="864"/>
    <w:uiPriority w:val="9"/>
    <w:rPr>
      <w:rFonts w:ascii="Arial" w:hAnsi="Arial" w:eastAsia="Arial" w:cs="Arial"/>
      <w:sz w:val="40"/>
      <w:szCs w:val="40"/>
    </w:rPr>
  </w:style>
  <w:style w:type="character" w:styleId="694">
    <w:name w:val="Heading 2 Char"/>
    <w:basedOn w:val="868"/>
    <w:link w:val="865"/>
    <w:uiPriority w:val="9"/>
    <w:rPr>
      <w:rFonts w:ascii="Arial" w:hAnsi="Arial" w:eastAsia="Arial" w:cs="Arial"/>
      <w:sz w:val="34"/>
    </w:rPr>
  </w:style>
  <w:style w:type="character" w:styleId="695">
    <w:name w:val="Heading 3 Char"/>
    <w:basedOn w:val="868"/>
    <w:link w:val="866"/>
    <w:uiPriority w:val="9"/>
    <w:rPr>
      <w:rFonts w:ascii="Arial" w:hAnsi="Arial" w:eastAsia="Arial" w:cs="Arial"/>
      <w:sz w:val="30"/>
      <w:szCs w:val="30"/>
    </w:rPr>
  </w:style>
  <w:style w:type="character" w:styleId="696">
    <w:name w:val="Heading 4 Char"/>
    <w:basedOn w:val="868"/>
    <w:link w:val="867"/>
    <w:uiPriority w:val="9"/>
    <w:rPr>
      <w:rFonts w:ascii="Arial" w:hAnsi="Arial" w:eastAsia="Arial" w:cs="Arial"/>
      <w:b/>
      <w:bCs/>
      <w:sz w:val="26"/>
      <w:szCs w:val="26"/>
    </w:rPr>
  </w:style>
  <w:style w:type="paragraph" w:styleId="697">
    <w:name w:val="Heading 5"/>
    <w:basedOn w:val="863"/>
    <w:next w:val="863"/>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8"/>
    <w:link w:val="697"/>
    <w:uiPriority w:val="9"/>
    <w:rPr>
      <w:rFonts w:ascii="Arial" w:hAnsi="Arial" w:eastAsia="Arial" w:cs="Arial"/>
      <w:b/>
      <w:bCs/>
      <w:sz w:val="24"/>
      <w:szCs w:val="24"/>
    </w:rPr>
  </w:style>
  <w:style w:type="paragraph" w:styleId="699">
    <w:name w:val="Heading 6"/>
    <w:basedOn w:val="863"/>
    <w:next w:val="863"/>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8"/>
    <w:link w:val="699"/>
    <w:uiPriority w:val="9"/>
    <w:rPr>
      <w:rFonts w:ascii="Arial" w:hAnsi="Arial" w:eastAsia="Arial" w:cs="Arial"/>
      <w:b/>
      <w:bCs/>
      <w:sz w:val="22"/>
      <w:szCs w:val="22"/>
    </w:rPr>
  </w:style>
  <w:style w:type="paragraph" w:styleId="701">
    <w:name w:val="Heading 7"/>
    <w:basedOn w:val="863"/>
    <w:next w:val="863"/>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8"/>
    <w:link w:val="701"/>
    <w:uiPriority w:val="9"/>
    <w:rPr>
      <w:rFonts w:ascii="Arial" w:hAnsi="Arial" w:eastAsia="Arial" w:cs="Arial"/>
      <w:b/>
      <w:bCs/>
      <w:i/>
      <w:iCs/>
      <w:sz w:val="22"/>
      <w:szCs w:val="22"/>
    </w:rPr>
  </w:style>
  <w:style w:type="paragraph" w:styleId="703">
    <w:name w:val="Heading 8"/>
    <w:basedOn w:val="863"/>
    <w:next w:val="863"/>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8"/>
    <w:link w:val="703"/>
    <w:uiPriority w:val="9"/>
    <w:rPr>
      <w:rFonts w:ascii="Arial" w:hAnsi="Arial" w:eastAsia="Arial" w:cs="Arial"/>
      <w:i/>
      <w:iCs/>
      <w:sz w:val="22"/>
      <w:szCs w:val="22"/>
    </w:rPr>
  </w:style>
  <w:style w:type="paragraph" w:styleId="705">
    <w:name w:val="Heading 9"/>
    <w:basedOn w:val="863"/>
    <w:next w:val="863"/>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8"/>
    <w:link w:val="705"/>
    <w:uiPriority w:val="9"/>
    <w:rPr>
      <w:rFonts w:ascii="Arial" w:hAnsi="Arial" w:eastAsia="Arial" w:cs="Arial"/>
      <w:i/>
      <w:iCs/>
      <w:sz w:val="21"/>
      <w:szCs w:val="21"/>
    </w:rPr>
  </w:style>
  <w:style w:type="paragraph" w:styleId="707">
    <w:name w:val="List Paragraph"/>
    <w:basedOn w:val="863"/>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3"/>
    <w:next w:val="863"/>
    <w:link w:val="710"/>
    <w:uiPriority w:val="10"/>
    <w:qFormat/>
    <w:pPr>
      <w:contextualSpacing/>
      <w:spacing w:before="300" w:after="200"/>
    </w:pPr>
    <w:rPr>
      <w:sz w:val="48"/>
      <w:szCs w:val="48"/>
    </w:rPr>
  </w:style>
  <w:style w:type="character" w:styleId="710">
    <w:name w:val="Title Char"/>
    <w:basedOn w:val="868"/>
    <w:link w:val="709"/>
    <w:uiPriority w:val="10"/>
    <w:rPr>
      <w:sz w:val="48"/>
      <w:szCs w:val="48"/>
    </w:rPr>
  </w:style>
  <w:style w:type="paragraph" w:styleId="711">
    <w:name w:val="Subtitle"/>
    <w:basedOn w:val="863"/>
    <w:next w:val="863"/>
    <w:link w:val="712"/>
    <w:uiPriority w:val="11"/>
    <w:qFormat/>
    <w:pPr>
      <w:spacing w:before="200" w:after="200"/>
    </w:pPr>
    <w:rPr>
      <w:sz w:val="24"/>
      <w:szCs w:val="24"/>
    </w:rPr>
  </w:style>
  <w:style w:type="character" w:styleId="712">
    <w:name w:val="Subtitle Char"/>
    <w:basedOn w:val="868"/>
    <w:link w:val="711"/>
    <w:uiPriority w:val="11"/>
    <w:rPr>
      <w:sz w:val="24"/>
      <w:szCs w:val="24"/>
    </w:rPr>
  </w:style>
  <w:style w:type="paragraph" w:styleId="713">
    <w:name w:val="Quote"/>
    <w:basedOn w:val="863"/>
    <w:next w:val="863"/>
    <w:link w:val="714"/>
    <w:uiPriority w:val="29"/>
    <w:qFormat/>
    <w:pPr>
      <w:ind w:left="720" w:right="720"/>
    </w:pPr>
    <w:rPr>
      <w:i/>
    </w:rPr>
  </w:style>
  <w:style w:type="character" w:styleId="714">
    <w:name w:val="Quote Char"/>
    <w:link w:val="713"/>
    <w:uiPriority w:val="29"/>
    <w:rPr>
      <w:i/>
    </w:rPr>
  </w:style>
  <w:style w:type="paragraph" w:styleId="715">
    <w:name w:val="Intense Quote"/>
    <w:basedOn w:val="863"/>
    <w:next w:val="86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8"/>
    <w:link w:val="881"/>
    <w:uiPriority w:val="99"/>
  </w:style>
  <w:style w:type="character" w:styleId="718">
    <w:name w:val="Footer Char"/>
    <w:basedOn w:val="868"/>
    <w:link w:val="880"/>
    <w:uiPriority w:val="99"/>
  </w:style>
  <w:style w:type="paragraph" w:styleId="719">
    <w:name w:val="Caption"/>
    <w:basedOn w:val="863"/>
    <w:next w:val="863"/>
    <w:uiPriority w:val="35"/>
    <w:semiHidden/>
    <w:unhideWhenUsed/>
    <w:qFormat/>
    <w:pPr>
      <w:spacing w:line="276" w:lineRule="auto"/>
    </w:pPr>
    <w:rPr>
      <w:b/>
      <w:bCs/>
      <w:color w:val="4f81bd" w:themeColor="accent1"/>
      <w:sz w:val="18"/>
      <w:szCs w:val="18"/>
    </w:rPr>
  </w:style>
  <w:style w:type="character" w:styleId="720">
    <w:name w:val="Caption Char"/>
    <w:basedOn w:val="719"/>
    <w:link w:val="880"/>
    <w:uiPriority w:val="99"/>
  </w:style>
  <w:style w:type="table" w:styleId="721">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3"/>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8"/>
    <w:uiPriority w:val="99"/>
    <w:unhideWhenUsed/>
    <w:rPr>
      <w:vertAlign w:val="superscript"/>
    </w:rPr>
  </w:style>
  <w:style w:type="paragraph" w:styleId="849">
    <w:name w:val="endnote text"/>
    <w:basedOn w:val="86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8"/>
    <w:uiPriority w:val="99"/>
    <w:semiHidden/>
    <w:unhideWhenUsed/>
    <w:rPr>
      <w:vertAlign w:val="superscript"/>
    </w:rPr>
  </w:style>
  <w:style w:type="paragraph" w:styleId="852">
    <w:name w:val="toc 1"/>
    <w:basedOn w:val="863"/>
    <w:next w:val="863"/>
    <w:uiPriority w:val="39"/>
    <w:unhideWhenUsed/>
    <w:pPr>
      <w:ind w:left="0" w:right="0" w:firstLine="0"/>
      <w:spacing w:after="57"/>
    </w:p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4">
    <w:name w:val="Heading 1"/>
    <w:basedOn w:val="863"/>
    <w:next w:val="863"/>
    <w:uiPriority w:val="0"/>
    <w:qFormat/>
    <w:pPr>
      <w:keepLines/>
      <w:keepNext/>
      <w:spacing w:before="340" w:after="330" w:line="578" w:lineRule="auto"/>
      <w:outlineLvl w:val="0"/>
    </w:pPr>
    <w:rPr>
      <w:b/>
      <w:bCs/>
      <w:sz w:val="44"/>
      <w:szCs w:val="44"/>
    </w:rPr>
  </w:style>
  <w:style w:type="paragraph" w:styleId="865">
    <w:name w:val="Heading 2"/>
    <w:basedOn w:val="863"/>
    <w:next w:val="863"/>
    <w:link w:val="907"/>
    <w:uiPriority w:val="0"/>
    <w:qFormat/>
    <w:pPr>
      <w:keepLines/>
      <w:keepNext/>
      <w:spacing w:before="260" w:after="260" w:line="416" w:lineRule="auto"/>
      <w:outlineLvl w:val="1"/>
    </w:pPr>
    <w:rPr>
      <w:rFonts w:ascii="Arial" w:hAnsi="Arial" w:eastAsia="黑体"/>
      <w:b/>
      <w:bCs/>
      <w:sz w:val="32"/>
      <w:szCs w:val="32"/>
    </w:rPr>
  </w:style>
  <w:style w:type="paragraph" w:styleId="866">
    <w:name w:val="Heading 3"/>
    <w:basedOn w:val="863"/>
    <w:next w:val="870"/>
    <w:link w:val="892"/>
    <w:uiPriority w:val="0"/>
    <w:qFormat/>
    <w:pPr>
      <w:keepLines/>
      <w:keepNext/>
      <w:spacing w:before="260" w:after="260" w:line="416" w:lineRule="auto"/>
      <w:outlineLvl w:val="2"/>
    </w:pPr>
    <w:rPr>
      <w:b/>
      <w:sz w:val="32"/>
      <w:szCs w:val="20"/>
    </w:rPr>
  </w:style>
  <w:style w:type="paragraph" w:styleId="867">
    <w:name w:val="Heading 4"/>
    <w:basedOn w:val="863"/>
    <w:next w:val="863"/>
    <w:link w:val="893"/>
    <w:uiPriority w:val="0"/>
    <w:qFormat/>
    <w:pPr>
      <w:keepLines/>
      <w:keepNext/>
      <w:spacing w:before="280" w:after="290" w:line="376" w:lineRule="auto"/>
      <w:outlineLvl w:val="3"/>
    </w:pPr>
    <w:rPr>
      <w:rFonts w:ascii="Arial" w:hAnsi="Arial" w:eastAsia="黑体"/>
      <w:b/>
      <w:bCs/>
      <w:sz w:val="28"/>
      <w:szCs w:val="28"/>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Normal Indent"/>
    <w:basedOn w:val="863"/>
    <w:link w:val="898"/>
    <w:uiPriority w:val="0"/>
    <w:qFormat/>
    <w:pPr>
      <w:ind w:firstLine="420"/>
    </w:pPr>
  </w:style>
  <w:style w:type="paragraph" w:styleId="871">
    <w:name w:val="List Number"/>
    <w:basedOn w:val="863"/>
    <w:uiPriority w:val="0"/>
    <w:qFormat/>
    <w:pPr>
      <w:numPr>
        <w:ilvl w:val="0"/>
        <w:numId w:val="1"/>
      </w:numPr>
    </w:pPr>
  </w:style>
  <w:style w:type="paragraph" w:styleId="872">
    <w:name w:val="List Bullet"/>
    <w:basedOn w:val="863"/>
    <w:uiPriority w:val="0"/>
    <w:qFormat/>
    <w:pPr>
      <w:numPr>
        <w:ilvl w:val="0"/>
        <w:numId w:val="2"/>
      </w:numPr>
    </w:pPr>
  </w:style>
  <w:style w:type="paragraph" w:styleId="873">
    <w:name w:val="Document Map"/>
    <w:basedOn w:val="863"/>
    <w:uiPriority w:val="0"/>
    <w:semiHidden/>
    <w:qFormat/>
    <w:pPr>
      <w:shd w:val="clear" w:color="auto" w:fill="000080"/>
    </w:pPr>
  </w:style>
  <w:style w:type="paragraph" w:styleId="874">
    <w:name w:val="annotation text"/>
    <w:basedOn w:val="863"/>
    <w:uiPriority w:val="0"/>
    <w:qFormat/>
    <w:pPr>
      <w:jc w:val="left"/>
    </w:pPr>
  </w:style>
  <w:style w:type="paragraph" w:styleId="875">
    <w:name w:val="Body Text Indent"/>
    <w:basedOn w:val="863"/>
    <w:uiPriority w:val="0"/>
    <w:qFormat/>
    <w:pPr>
      <w:ind w:left="420"/>
      <w:spacing w:after="120"/>
    </w:pPr>
  </w:style>
  <w:style w:type="paragraph" w:styleId="876">
    <w:name w:val="Plain Text"/>
    <w:basedOn w:val="863"/>
    <w:link w:val="897"/>
    <w:uiPriority w:val="99"/>
    <w:qFormat/>
    <w:pPr>
      <w:jc w:val="left"/>
      <w:spacing w:after="200" w:line="252" w:lineRule="auto"/>
      <w:widowControl/>
    </w:pPr>
    <w:rPr>
      <w:rFonts w:ascii="宋体" w:hAnsi="Courier New"/>
      <w:szCs w:val="20"/>
    </w:rPr>
  </w:style>
  <w:style w:type="paragraph" w:styleId="877">
    <w:name w:val="Date"/>
    <w:basedOn w:val="863"/>
    <w:next w:val="863"/>
    <w:link w:val="888"/>
    <w:uiPriority w:val="0"/>
    <w:qFormat/>
    <w:rPr>
      <w:sz w:val="24"/>
      <w:szCs w:val="20"/>
    </w:rPr>
  </w:style>
  <w:style w:type="paragraph" w:styleId="878">
    <w:name w:val="Body Text Indent 2"/>
    <w:basedOn w:val="863"/>
    <w:link w:val="908"/>
    <w:uiPriority w:val="0"/>
    <w:qFormat/>
    <w:pPr>
      <w:ind w:left="420"/>
      <w:spacing w:after="120" w:line="480" w:lineRule="auto"/>
    </w:pPr>
  </w:style>
  <w:style w:type="paragraph" w:styleId="879">
    <w:name w:val="Balloon Text"/>
    <w:basedOn w:val="863"/>
    <w:link w:val="890"/>
    <w:uiPriority w:val="0"/>
    <w:qFormat/>
    <w:rPr>
      <w:sz w:val="18"/>
      <w:szCs w:val="18"/>
    </w:rPr>
  </w:style>
  <w:style w:type="paragraph" w:styleId="880">
    <w:name w:val="Footer"/>
    <w:basedOn w:val="863"/>
    <w:uiPriority w:val="0"/>
    <w:qFormat/>
    <w:pPr>
      <w:jc w:val="left"/>
      <w:tabs>
        <w:tab w:val="center" w:pos="4153" w:leader="none"/>
        <w:tab w:val="right" w:pos="8306" w:leader="none"/>
      </w:tabs>
    </w:pPr>
    <w:rPr>
      <w:sz w:val="18"/>
      <w:szCs w:val="18"/>
    </w:rPr>
  </w:style>
  <w:style w:type="paragraph" w:styleId="881">
    <w:name w:val="Header"/>
    <w:basedOn w:val="863"/>
    <w:link w:val="899"/>
    <w:uiPriority w:val="99"/>
    <w:qFormat/>
    <w:pPr>
      <w:jc w:val="center"/>
      <w:tabs>
        <w:tab w:val="center" w:pos="4153" w:leader="none"/>
        <w:tab w:val="right" w:pos="8306" w:leader="none"/>
      </w:tabs>
      <w:pBdr>
        <w:bottom w:val="single" w:color="auto" w:sz="6" w:space="1"/>
      </w:pBdr>
    </w:pPr>
    <w:rPr>
      <w:sz w:val="18"/>
      <w:szCs w:val="18"/>
    </w:rPr>
  </w:style>
  <w:style w:type="paragraph" w:styleId="882">
    <w:name w:val="Body Text Indent 3"/>
    <w:basedOn w:val="863"/>
    <w:link w:val="889"/>
    <w:uiPriority w:val="0"/>
    <w:qFormat/>
    <w:pPr>
      <w:ind w:left="420"/>
      <w:spacing w:after="120"/>
    </w:pPr>
    <w:rPr>
      <w:sz w:val="16"/>
      <w:szCs w:val="16"/>
    </w:rPr>
  </w:style>
  <w:style w:type="paragraph" w:styleId="883">
    <w:name w:val="Normal (Web)"/>
    <w:basedOn w:val="863"/>
    <w:uiPriority w:val="99"/>
    <w:unhideWhenUsed/>
    <w:qFormat/>
    <w:pPr>
      <w:jc w:val="left"/>
      <w:spacing w:before="100" w:beforeAutospacing="1" w:after="100" w:afterAutospacing="1"/>
      <w:widowControl/>
    </w:pPr>
    <w:rPr>
      <w:rFonts w:ascii="宋体" w:hAnsi="宋体" w:cs="宋体"/>
      <w:sz w:val="24"/>
    </w:rPr>
  </w:style>
  <w:style w:type="table" w:styleId="884">
    <w:name w:val="Table Grid"/>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basedOn w:val="868"/>
    <w:uiPriority w:val="0"/>
    <w:qFormat/>
    <w:rPr>
      <w:b/>
    </w:rPr>
  </w:style>
  <w:style w:type="character" w:styleId="886">
    <w:name w:val="page number"/>
    <w:basedOn w:val="868"/>
    <w:uiPriority w:val="0"/>
    <w:qFormat/>
  </w:style>
  <w:style w:type="character" w:styleId="887">
    <w:name w:val="Hyperlink"/>
    <w:basedOn w:val="868"/>
    <w:uiPriority w:val="0"/>
    <w:qFormat/>
    <w:rPr>
      <w:color w:val="0000ff"/>
      <w:u w:val="single"/>
    </w:rPr>
  </w:style>
  <w:style w:type="character" w:styleId="888" w:customStyle="1">
    <w:name w:val="日期 Char"/>
    <w:basedOn w:val="868"/>
    <w:link w:val="877"/>
    <w:uiPriority w:val="0"/>
    <w:qFormat/>
    <w:rPr>
      <w:sz w:val="24"/>
    </w:rPr>
  </w:style>
  <w:style w:type="character" w:styleId="889" w:customStyle="1">
    <w:name w:val="正文文本缩进 3 Char"/>
    <w:basedOn w:val="868"/>
    <w:link w:val="882"/>
    <w:uiPriority w:val="0"/>
    <w:qFormat/>
    <w:rPr>
      <w:sz w:val="16"/>
      <w:szCs w:val="16"/>
    </w:rPr>
  </w:style>
  <w:style w:type="character" w:styleId="890" w:customStyle="1">
    <w:name w:val="批注框文本 Char"/>
    <w:basedOn w:val="868"/>
    <w:link w:val="879"/>
    <w:uiPriority w:val="0"/>
    <w:qFormat/>
    <w:rPr>
      <w:sz w:val="18"/>
      <w:szCs w:val="18"/>
    </w:rPr>
  </w:style>
  <w:style w:type="character" w:styleId="891" w:customStyle="1">
    <w:name w:val="纯文本 Char"/>
    <w:uiPriority w:val="99"/>
    <w:qFormat/>
    <w:rPr>
      <w:rFonts w:ascii="宋体" w:hAnsi="Courier New"/>
      <w:sz w:val="21"/>
    </w:rPr>
  </w:style>
  <w:style w:type="character" w:styleId="892" w:customStyle="1">
    <w:name w:val="标题 3 Char"/>
    <w:basedOn w:val="868"/>
    <w:link w:val="866"/>
    <w:uiPriority w:val="0"/>
    <w:qFormat/>
    <w:rPr>
      <w:b/>
      <w:sz w:val="32"/>
    </w:rPr>
  </w:style>
  <w:style w:type="character" w:styleId="893" w:customStyle="1">
    <w:name w:val="标题 4 Char"/>
    <w:basedOn w:val="868"/>
    <w:link w:val="867"/>
    <w:uiPriority w:val="0"/>
    <w:qFormat/>
    <w:rPr>
      <w:rFonts w:ascii="Arial" w:hAnsi="Arial" w:eastAsia="黑体"/>
      <w:b/>
      <w:bCs/>
      <w:sz w:val="28"/>
      <w:szCs w:val="28"/>
    </w:rPr>
  </w:style>
  <w:style w:type="character" w:styleId="894" w:customStyle="1">
    <w:name w:val="正文缩进2格 Char"/>
    <w:link w:val="895"/>
    <w:uiPriority w:val="0"/>
    <w:qFormat/>
    <w:rPr>
      <w:rFonts w:ascii="仿宋_GB2312" w:hAnsi="宋体" w:eastAsia="仿宋_GB2312"/>
      <w:sz w:val="31"/>
      <w:szCs w:val="28"/>
      <w:lang w:bidi="ar-SA"/>
    </w:rPr>
  </w:style>
  <w:style w:type="paragraph" w:styleId="895" w:customStyle="1">
    <w:name w:val="正文缩进2格"/>
    <w:basedOn w:val="863"/>
    <w:link w:val="894"/>
    <w:uiPriority w:val="0"/>
    <w:qFormat/>
    <w:pPr>
      <w:ind w:firstLine="639"/>
      <w:spacing w:line="600" w:lineRule="exact"/>
    </w:pPr>
    <w:rPr>
      <w:rFonts w:ascii="仿宋_GB2312" w:hAnsi="宋体" w:eastAsia="仿宋_GB2312"/>
      <w:sz w:val="31"/>
      <w:szCs w:val="28"/>
    </w:rPr>
  </w:style>
  <w:style w:type="character" w:styleId="896" w:customStyle="1">
    <w:name w:val="纯文本 Char2"/>
    <w:basedOn w:val="868"/>
    <w:uiPriority w:val="0"/>
    <w:qFormat/>
    <w:rPr>
      <w:rFonts w:ascii="宋体" w:hAnsi="Courier New" w:eastAsia="宋体"/>
      <w:sz w:val="24"/>
      <w:lang w:val="en-US" w:eastAsia="zh-CN" w:bidi="ar-SA"/>
    </w:rPr>
  </w:style>
  <w:style w:type="character" w:styleId="897" w:customStyle="1">
    <w:name w:val="纯文本 Char1"/>
    <w:basedOn w:val="868"/>
    <w:link w:val="876"/>
    <w:uiPriority w:val="0"/>
    <w:qFormat/>
    <w:rPr>
      <w:rFonts w:ascii="宋体" w:hAnsi="Courier New" w:cs="Courier New"/>
      <w:sz w:val="21"/>
      <w:szCs w:val="21"/>
    </w:rPr>
  </w:style>
  <w:style w:type="character" w:styleId="898" w:customStyle="1">
    <w:name w:val="正文缩进 Char"/>
    <w:link w:val="870"/>
    <w:uiPriority w:val="0"/>
    <w:qFormat/>
    <w:rPr>
      <w:rFonts w:eastAsia="宋体"/>
      <w:sz w:val="21"/>
      <w:szCs w:val="24"/>
      <w:lang w:val="en-US" w:eastAsia="zh-CN" w:bidi="ar-SA"/>
    </w:rPr>
  </w:style>
  <w:style w:type="character" w:styleId="899" w:customStyle="1">
    <w:name w:val="页眉 Char"/>
    <w:link w:val="881"/>
    <w:uiPriority w:val="99"/>
    <w:qFormat/>
    <w:rPr>
      <w:sz w:val="18"/>
      <w:szCs w:val="18"/>
    </w:rPr>
  </w:style>
  <w:style w:type="paragraph" w:styleId="900" w:customStyle="1">
    <w:name w:val="Char"/>
    <w:basedOn w:val="873"/>
    <w:uiPriority w:val="0"/>
    <w:qFormat/>
    <w:rPr>
      <w:rFonts w:ascii="Tahoma" w:hAnsi="Tahoma"/>
      <w:sz w:val="24"/>
    </w:rPr>
  </w:style>
  <w:style w:type="paragraph" w:styleId="901" w:customStyle="1">
    <w:name w:val="普通正文"/>
    <w:basedOn w:val="863"/>
    <w:uiPriority w:val="0"/>
    <w:qFormat/>
    <w:pPr>
      <w:ind w:firstLine="480"/>
      <w:jc w:val="left"/>
      <w:spacing w:before="120" w:after="120" w:line="360" w:lineRule="auto"/>
    </w:pPr>
    <w:rPr>
      <w:rFonts w:ascii="Arial" w:hAnsi="Arial"/>
      <w:sz w:val="24"/>
    </w:rPr>
  </w:style>
  <w:style w:type="paragraph" w:styleId="902" w:customStyle="1">
    <w:name w:val="msonormalcxspmiddle"/>
    <w:basedOn w:val="863"/>
    <w:uiPriority w:val="0"/>
    <w:qFormat/>
    <w:pPr>
      <w:jc w:val="left"/>
      <w:spacing w:before="100" w:beforeAutospacing="1" w:after="100" w:afterAutospacing="1"/>
      <w:widowControl/>
    </w:pPr>
    <w:rPr>
      <w:rFonts w:ascii="宋体" w:hAnsi="宋体" w:cs="宋体"/>
      <w:sz w:val="24"/>
    </w:rPr>
  </w:style>
  <w:style w:type="paragraph" w:styleId="903" w:customStyle="1">
    <w:name w:val="Char1"/>
    <w:basedOn w:val="863"/>
    <w:uiPriority w:val="0"/>
    <w:qFormat/>
    <w:pPr>
      <w:tabs>
        <w:tab w:val="left" w:pos="360" w:leader="none"/>
      </w:tabs>
    </w:pPr>
    <w:rPr>
      <w:color w:val="000000"/>
      <w:sz w:val="24"/>
    </w:rPr>
  </w:style>
  <w:style w:type="paragraph" w:styleId="904" w:customStyle="1">
    <w:name w:val="Char Char Char Char"/>
    <w:basedOn w:val="873"/>
    <w:uiPriority w:val="0"/>
    <w:qFormat/>
    <w:pPr>
      <w:spacing w:line="360" w:lineRule="auto"/>
    </w:pPr>
    <w:rPr>
      <w:szCs w:val="20"/>
    </w:rPr>
  </w:style>
  <w:style w:type="character" w:styleId="905" w:customStyle="1">
    <w:name w:val="p0 Char"/>
    <w:link w:val="906"/>
    <w:uiPriority w:val="0"/>
    <w:qFormat/>
    <w:rPr>
      <w:sz w:val="21"/>
      <w:szCs w:val="21"/>
    </w:rPr>
  </w:style>
  <w:style w:type="paragraph" w:styleId="906" w:customStyle="1">
    <w:name w:val="p0"/>
    <w:basedOn w:val="863"/>
    <w:link w:val="905"/>
    <w:uiPriority w:val="0"/>
    <w:qFormat/>
    <w:pPr>
      <w:widowControl/>
    </w:pPr>
    <w:rPr>
      <w:szCs w:val="21"/>
    </w:rPr>
  </w:style>
  <w:style w:type="character" w:styleId="907" w:customStyle="1">
    <w:name w:val="标题 2 Char"/>
    <w:link w:val="865"/>
    <w:uiPriority w:val="0"/>
    <w:qFormat/>
    <w:rPr>
      <w:rFonts w:ascii="Arial" w:hAnsi="Arial" w:eastAsia="黑体"/>
      <w:b/>
      <w:bCs/>
      <w:sz w:val="32"/>
      <w:szCs w:val="32"/>
    </w:rPr>
  </w:style>
  <w:style w:type="character" w:styleId="908" w:customStyle="1">
    <w:name w:val="正文文本缩进 2 Char"/>
    <w:basedOn w:val="868"/>
    <w:link w:val="878"/>
    <w:uiPriority w:val="0"/>
    <w:qFormat/>
    <w:rPr>
      <w:sz w:val="21"/>
      <w:szCs w:val="24"/>
    </w:rPr>
  </w:style>
  <w:style w:type="character" w:styleId="909" w:customStyle="1">
    <w:name w:val="font31"/>
    <w:basedOn w:val="868"/>
    <w:uiPriority w:val="0"/>
    <w:qFormat/>
    <w:rPr>
      <w:rFonts w:hint="eastAsia" w:ascii="宋体" w:hAnsi="宋体" w:eastAsia="宋体" w:cs="宋体"/>
      <w:color w:val="000000"/>
      <w:sz w:val="24"/>
      <w:szCs w:val="24"/>
      <w:u w:val="none"/>
    </w:rPr>
  </w:style>
  <w:style w:type="character" w:styleId="910" w:customStyle="1">
    <w:name w:val="font41"/>
    <w:basedOn w:val="868"/>
    <w:uiPriority w:val="0"/>
    <w:qFormat/>
    <w:rPr>
      <w:rFonts w:hint="eastAsia" w:ascii="宋体" w:hAnsi="宋体" w:eastAsia="宋体" w:cs="宋体"/>
      <w:b/>
      <w:bCs/>
      <w:color w:val="000000"/>
      <w:sz w:val="24"/>
      <w:szCs w:val="24"/>
      <w:u w:val="none"/>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徐相芹</cp:lastModifiedBy>
  <cp:revision>6</cp:revision>
  <dcterms:created xsi:type="dcterms:W3CDTF">2026-09-21T01:16:00Z</dcterms:created>
  <dcterms:modified xsi:type="dcterms:W3CDTF">2026-10-16T09:53:08Z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4D899B72C5FD4715BC96BABC0B350960_12</vt:lpwstr>
  </property>
  <property fmtid="{D5CDD505-2E9C-101B-9397-08002B2CF9AE}" pid="4" name="KSOTemplateDocerSaveRecord">
    <vt:lpwstr>eyJoZGlkIjoiMTc2Mzg1NWZhYjRkZTQwOGM3NjM5NjRiYjE5ZTllY2EiLCJ1c2VySWQiOiIxMTQ0NjA5OTI4In0=</vt:lpwstr>
  </property>
</Properties>
</file>