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1214"/>
        <w:rPr>
          <w:color w:val="000000"/>
          <w:highlight w:val="none"/>
        </w:rPr>
      </w:pPr>
      <w:r>
        <w:rPr>
          <w:color w:val="000000"/>
          <w:highlight w:val="none"/>
        </w:rPr>
      </w:r>
      <w:r/>
    </w:p>
    <w:p>
      <w:pPr>
        <w:pStyle w:val="1215"/>
      </w:p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16"/>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14"/>
        <w:rPr>
          <w:color w:val="000000"/>
          <w:highlight w:val="none"/>
        </w:rPr>
      </w:pPr>
      <w:r>
        <w:rPr>
          <w:color w:val="000000"/>
          <w:highlight w:val="none"/>
        </w:rPr>
      </w:r>
      <w:r/>
    </w:p>
    <w:p>
      <w:pPr>
        <w:pStyle w:val="1216"/>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537"/>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无锡市锡山区政务外网核心层升级改造项目</w:t>
      </w:r>
      <w:r/>
    </w:p>
    <w:p>
      <w:pPr>
        <w:ind w:firstLine="537"/>
        <w:jc w:val="left"/>
        <w:spacing w:line="360" w:lineRule="auto"/>
        <w:rPr>
          <w:rFonts w:hint="default" w:ascii="宋体" w:hAnsi="宋体" w:eastAsia="宋体" w:cs="宋体"/>
          <w:b/>
          <w:bCs/>
          <w:color w:val="000000"/>
          <w:spacing w:val="108"/>
          <w:sz w:val="32"/>
          <w:szCs w:val="32"/>
          <w:highlight w:val="yellow"/>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JSZC-320205-JZCG-G2026-0052</w:t>
      </w:r>
      <w:r/>
    </w:p>
    <w:p>
      <w:pPr>
        <w:ind w:firstLine="537"/>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无锡市锡山区区域治理现代化指挥中心</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hint="eastAsia"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十</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二十</w:t>
      </w:r>
      <w:r>
        <w:rPr>
          <w:rFonts w:hint="eastAsia" w:ascii="宋体" w:hAnsi="宋体"/>
          <w:b/>
          <w:color w:val="000000"/>
          <w:sz w:val="40"/>
          <w:szCs w:val="40"/>
          <w:highlight w:val="none"/>
          <w:lang w:val="en-US" w:eastAsia="zh-CN"/>
        </w:rPr>
        <w:t xml:space="preserve">七</w:t>
      </w:r>
      <w:r>
        <w:rPr>
          <w:rFonts w:hint="eastAsia" w:ascii="宋体" w:hAnsi="宋体"/>
          <w:b/>
          <w:color w:val="000000"/>
          <w:sz w:val="40"/>
          <w:szCs w:val="40"/>
          <w:highlight w:val="none"/>
        </w:rPr>
        <w:t xml:space="preserve">日</w:t>
      </w:r>
      <w:r/>
    </w:p>
    <w:p>
      <w:pPr>
        <w:rPr>
          <w:rStyle w:val="1218"/>
          <w:rFonts w:eastAsia="黑体"/>
          <w:bCs/>
          <w:sz w:val="48"/>
          <w:highlight w:val="none"/>
        </w:rPr>
      </w:pPr>
      <w:r>
        <w:rPr>
          <w:rFonts w:eastAsia="黑体"/>
          <w:bCs/>
          <w:sz w:val="48"/>
          <w:highlight w:val="none"/>
        </w:rPr>
      </w:r>
      <w:r/>
    </w:p>
    <w:p>
      <w:pPr>
        <w:rPr>
          <w:rStyle w:val="1218"/>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18"/>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14"/>
        <w:rPr>
          <w:color w:val="000000"/>
          <w:highlight w:val="none"/>
        </w:rPr>
      </w:pPr>
      <w:r>
        <w:rPr>
          <w:color w:val="000000"/>
          <w:highlight w:val="none"/>
        </w:rPr>
      </w:r>
      <w:r/>
    </w:p>
    <w:p>
      <w:pPr>
        <w:pStyle w:val="1219"/>
        <w:jc w:val="both"/>
        <w:rPr>
          <w:rFonts w:ascii="宋体" w:hAnsi="宋体" w:eastAsia="宋体"/>
          <w:bCs/>
          <w:color w:val="000000"/>
          <w:highlight w:val="none"/>
        </w:rPr>
      </w:pPr>
      <w:r>
        <w:rPr>
          <w:rFonts w:hint="eastAsia" w:ascii="宋体" w:hAnsi="宋体" w:eastAsia="宋体"/>
          <w:bCs/>
          <w:color w:val="000000"/>
          <w:highlight w:val="none"/>
        </w:rPr>
        <w:t xml:space="preserve">一、投标邀请函................</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...................3</w:t>
      </w:r>
      <w:r/>
    </w:p>
    <w:p>
      <w:pPr>
        <w:pStyle w:val="1219"/>
        <w:rPr>
          <w:rFonts w:ascii="宋体" w:hAnsi="宋体" w:eastAsia="宋体"/>
          <w:bCs/>
          <w:color w:val="000000"/>
          <w:highlight w:val="none"/>
        </w:rPr>
      </w:pPr>
      <w:r>
        <w:rPr>
          <w:rFonts w:ascii="宋体" w:hAnsi="宋体" w:eastAsia="宋体"/>
          <w:bCs/>
          <w:color w:val="000000"/>
          <w:highlight w:val="none"/>
        </w:rPr>
      </w:r>
      <w:r/>
    </w:p>
    <w:p>
      <w:pPr>
        <w:pStyle w:val="1219"/>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w:t>
      </w:r>
      <w:r/>
    </w:p>
    <w:p>
      <w:pPr>
        <w:pStyle w:val="1219"/>
        <w:rPr>
          <w:rFonts w:ascii="宋体" w:hAnsi="宋体" w:eastAsia="宋体"/>
          <w:bCs/>
          <w:color w:val="000000"/>
          <w:highlight w:val="none"/>
        </w:rPr>
      </w:pPr>
      <w:r>
        <w:rPr>
          <w:rFonts w:ascii="宋体" w:hAnsi="宋体" w:eastAsia="宋体"/>
          <w:bCs/>
          <w:color w:val="000000"/>
          <w:highlight w:val="none"/>
        </w:rPr>
      </w:r>
      <w:r/>
    </w:p>
    <w:p>
      <w:pPr>
        <w:pStyle w:val="121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21</w:t>
      </w:r>
      <w:r/>
    </w:p>
    <w:p>
      <w:pPr>
        <w:pStyle w:val="1219"/>
        <w:rPr>
          <w:rFonts w:ascii="宋体" w:hAnsi="宋体" w:eastAsia="宋体"/>
          <w:bCs/>
          <w:color w:val="000000"/>
          <w:highlight w:val="none"/>
        </w:rPr>
      </w:pPr>
      <w:r>
        <w:rPr>
          <w:rFonts w:ascii="宋体" w:hAnsi="宋体" w:eastAsia="宋体"/>
          <w:bCs/>
          <w:color w:val="000000"/>
          <w:highlight w:val="none"/>
        </w:rPr>
      </w:r>
      <w:r/>
    </w:p>
    <w:p>
      <w:pPr>
        <w:pStyle w:val="121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43</w:t>
      </w:r>
      <w:r/>
    </w:p>
    <w:p>
      <w:pPr>
        <w:pStyle w:val="1219"/>
        <w:ind w:firstLine="320"/>
        <w:jc w:val="both"/>
        <w:rPr>
          <w:rFonts w:ascii="宋体" w:hAnsi="宋体" w:eastAsia="宋体"/>
          <w:bCs/>
          <w:color w:val="000000"/>
          <w:highlight w:val="none"/>
        </w:rPr>
      </w:pPr>
      <w:r>
        <w:rPr>
          <w:rFonts w:ascii="宋体" w:hAnsi="宋体" w:eastAsia="宋体"/>
          <w:bCs/>
          <w:color w:val="000000"/>
          <w:highlight w:val="none"/>
        </w:rPr>
      </w:r>
      <w:r/>
    </w:p>
    <w:p>
      <w:pPr>
        <w:pStyle w:val="121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59</w:t>
      </w:r>
      <w:r/>
    </w:p>
    <w:p>
      <w:pPr>
        <w:pStyle w:val="1214"/>
        <w:rPr>
          <w:color w:val="000000"/>
          <w:highlight w:val="none"/>
        </w:rPr>
      </w:pPr>
      <w:r>
        <w:rPr>
          <w:color w:val="000000"/>
          <w:highlight w:val="none"/>
        </w:rPr>
      </w:r>
      <w:r/>
    </w:p>
    <w:p>
      <w:pPr>
        <w:pStyle w:val="1219"/>
        <w:rPr>
          <w:rFonts w:ascii="宋体" w:hAnsi="宋体" w:eastAsia="宋体"/>
          <w:bCs/>
          <w:color w:val="000000"/>
          <w:highlight w:val="none"/>
        </w:rPr>
      </w:pPr>
      <w:r>
        <w:rPr>
          <w:rFonts w:ascii="宋体" w:hAnsi="宋体" w:eastAsia="宋体"/>
          <w:bCs/>
          <w:color w:val="000000"/>
          <w:highlight w:val="none"/>
        </w:rPr>
      </w:r>
      <w:r/>
    </w:p>
    <w:p>
      <w:pPr>
        <w:pStyle w:val="1219"/>
        <w:rPr>
          <w:rFonts w:ascii="宋体" w:hAnsi="宋体" w:eastAsia="宋体"/>
          <w:bCs/>
          <w:color w:val="000000"/>
          <w:highlight w:val="none"/>
        </w:rPr>
      </w:pPr>
      <w:r>
        <w:rPr>
          <w:rFonts w:ascii="宋体" w:hAnsi="宋体" w:eastAsia="宋体"/>
          <w:bCs/>
          <w:color w:val="000000"/>
          <w:highlight w:val="none"/>
        </w:rPr>
      </w:r>
      <w:r/>
    </w:p>
    <w:p>
      <w:pPr>
        <w:pStyle w:val="1219"/>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20"/>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221"/>
        <w:rPr>
          <w:rStyle w:val="1220"/>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3"/>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无锡市锡山区区域治理现代化指挥中心</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无锡市锡山区政务外网核心层升级改造项目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无锡市锡山区政务外网核心层升级改造项目</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JSZC-320205-JZCG-G2026-0052</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990</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972</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4.合同履约期限：</w:t>
      </w:r>
      <w:r>
        <w:rPr>
          <w:rFonts w:hint="eastAsia" w:ascii="宋体" w:hAnsi="宋体" w:eastAsia="宋体" w:cs="宋体"/>
          <w:color w:val="000000"/>
          <w:sz w:val="24"/>
          <w:szCs w:val="24"/>
          <w:highlight w:val="none"/>
        </w:rPr>
        <w:t xml:space="preserve">合同签订生效后6个月建设完成，6个月试运行后完成终验。项目服务期：5年（终验后进入项目服务期）（具体以签订的合同为准）</w:t>
      </w:r>
      <w:r/>
    </w:p>
    <w:p>
      <w:pPr>
        <w:contextualSpacing/>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5.项目整体质保期：</w:t>
      </w:r>
      <w:r>
        <w:rPr>
          <w:rFonts w:hint="eastAsia" w:asciiTheme="minorEastAsia" w:hAnsiTheme="minorEastAsia" w:eastAsiaTheme="minorEastAsia" w:cstheme="minorEastAsia"/>
          <w:color w:val="000000"/>
          <w:sz w:val="24"/>
          <w:szCs w:val="24"/>
        </w:rPr>
        <w:t xml:space="preserve">终验通过之日起提供5年免费质保服务</w:t>
      </w:r>
      <w:r>
        <w:rPr>
          <w:rFonts w:hint="eastAsia" w:asciiTheme="minorEastAsia" w:hAnsiTheme="minorEastAsia" w:eastAsiaTheme="minorEastAsia" w:cstheme="minorEastAsia"/>
          <w:color w:val="000000"/>
          <w:sz w:val="24"/>
          <w:szCs w:val="24"/>
          <w:lang w:eastAsia="zh-CN"/>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无锡市锡山区区域治理现代化指挥中心</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default"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p>
      <w:pPr>
        <w:ind w:firstLine="456"/>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月5</w:t>
      </w:r>
      <w:r>
        <w:rPr>
          <w:rFonts w:hint="eastAsia" w:ascii="宋体" w:hAnsi="宋体" w:eastAsia="宋体" w:cs="宋体"/>
          <w:color w:val="000000" w:themeColor="text1"/>
          <w:sz w:val="24"/>
          <w:szCs w:val="24"/>
          <w:highlight w:val="none"/>
        </w:rPr>
        <w:t xml:space="preserve">日10:00</w:t>
      </w:r>
      <w:r>
        <w:rPr>
          <w:rFonts w:hint="eastAsia" w:ascii="宋体" w:hAnsi="宋体" w:eastAsia="宋体" w:cs="宋体"/>
          <w:color w:val="000000" w:themeColor="text1"/>
          <w:sz w:val="24"/>
          <w:szCs w:val="24"/>
          <w:highlight w:val="none"/>
          <w14:textFill>
            <w14:solidFill>
              <w14:schemeClr w14:val="tx1"/>
            </w14:solidFill>
          </w14:textFill>
        </w:rPr>
        <w:t xml:space="preserve">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JSZC-320205-JZCG-G2026-0052</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投标截止时间（网上投标截止时间苏采云投标客户端投标）：</w:t>
      </w:r>
      <w:r>
        <w:rPr>
          <w:rFonts w:hint="eastAsia" w:ascii="宋体" w:hAnsi="宋体" w:eastAsia="宋体" w:cs="宋体"/>
          <w:b w:val="0"/>
          <w:bCs w:val="0"/>
          <w:color w:val="000000" w:themeColor="text1"/>
          <w:sz w:val="24"/>
          <w:szCs w:val="24"/>
          <w:highlight w:val="none"/>
          <w:lang w:val="en-US" w:eastAsia="zh-CN"/>
        </w:rPr>
        <w:t xml:space="preserve">2026年11月24日9:30，投标截止时间后的投标文件恕不接受。</w:t>
      </w:r>
      <w:r>
        <w:rPr>
          <w:color w:val="000000" w:themeColor="text1"/>
        </w:rP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开标时间：2026年11月24日9:30</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投标及开标地点：江苏省政府采购（苏采云）平台</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定标时间：评标结束</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陈中飞</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w:t>
      </w:r>
      <w:r>
        <w:rPr>
          <w:rFonts w:hint="eastAsia" w:ascii="宋体" w:hAnsi="宋体" w:eastAsia="宋体"/>
          <w:color w:val="000000"/>
          <w:sz w:val="24"/>
          <w:szCs w:val="24"/>
          <w:highlight w:val="none"/>
          <w:lang w:val="en-US" w:eastAsia="zh-CN"/>
        </w:rPr>
        <w:t xml:space="preserve">81</w:t>
      </w:r>
      <w:r>
        <w:rPr>
          <w:rFonts w:hint="eastAsia" w:ascii="宋体" w:hAnsi="宋体" w:eastAsia="宋体"/>
          <w:color w:val="000000"/>
          <w:sz w:val="24"/>
          <w:szCs w:val="24"/>
          <w:highlight w:val="none"/>
        </w:rPr>
        <w:t xml:space="preserve">7</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无锡市锡山区区域治理现代化指挥中心</w:t>
      </w:r>
      <w:r/>
    </w:p>
    <w:p>
      <w:pPr>
        <w:ind w:firstLine="480"/>
        <w:jc w:val="left"/>
        <w:spacing w:line="360" w:lineRule="auto"/>
        <w:shd w:val="clear" w:color="auto" w:fill="ffffff"/>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吕庆华</w:t>
      </w:r>
      <w:r/>
    </w:p>
    <w:p>
      <w:pPr>
        <w:pStyle w:val="1221"/>
        <w:rPr>
          <w:rFonts w:hint="default" w:ascii="宋体" w:hAnsi="宋体" w:eastAsia="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themeColor="text1"/>
          <w:sz w:val="24"/>
          <w:szCs w:val="24"/>
          <w:highlight w:val="none"/>
          <w14:textFill>
            <w14:solidFill>
              <w14:schemeClr w14:val="tx1"/>
            </w14:solidFill>
          </w14:textFill>
        </w:rPr>
        <w:t xml:space="preserve">电  话：</w:t>
      </w:r>
      <w:r>
        <w:rPr>
          <w:rFonts w:hint="eastAsia" w:ascii="宋体" w:hAnsi="宋体"/>
          <w:color w:val="000000" w:themeColor="text1"/>
          <w:sz w:val="24"/>
          <w:szCs w:val="24"/>
          <w:highlight w:val="none"/>
          <w:lang w:val="en-US" w:eastAsia="zh-CN"/>
          <w14:textFill>
            <w14:solidFill>
              <w14:schemeClr w14:val="tx1"/>
            </w14:solidFill>
          </w14:textFill>
        </w:rPr>
        <w:t xml:space="preserve">13861825489</w:t>
      </w:r>
      <w:r/>
    </w:p>
    <w:p>
      <w:pPr>
        <w:pStyle w:val="1222"/>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11.如是</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7.本项目采用暗标形式，投标人须按《评标方法与评标标准》的相关要求对商务部分和技术部分分别进行制作。其中技术部分属于暗标，投标人在制作技术部分相关内容时不得有体现投标人身份的内容，否则投标人技术部分得分均为0分。上述《评标方法与评标标准》中技术部分不得有体现投标人身份的内容是指：</w:t>
      </w:r>
      <w:r/>
    </w:p>
    <w:p>
      <w:pPr>
        <w:ind w:firstLine="482"/>
        <w:spacing w:line="360" w:lineRule="auto"/>
        <w:rPr>
          <w:rFonts w:hint="eastAsia" w:ascii="宋体" w:hAnsi="宋体" w:eastAsia="宋体" w:cs="宋体"/>
          <w:b/>
          <w:bCs/>
          <w:sz w:val="24"/>
          <w:szCs w:val="24"/>
          <w:lang w:eastAsia="zh-CN"/>
        </w:rPr>
      </w:pPr>
      <w:r/>
      <w:bookmarkStart w:id="14" w:name="_Toc112006917"/>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.1技术部分不得出现能够体现投标人身份、名称的相关描述、材料、文件等内容；</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.2技术部分不得在其中涂改、标注或做任何可以辨认投标人及所属人员身份的名称、印章、商标等标记；</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.3技术部分应当版面整洁、字迹清楚、不许批注或进行底纹、阴影、水印等特殊设置；</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.4不得有其他体现投标人身份的内容。</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223"/>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根据《关于推动解决政府采购异常低价问题的通知》（财库〔2026〕2号）要求，政府采购评审中出现下列情形之一 的，评审委员会应当启动异常低价投标（响应）审查程序：</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 )报价＜全部通过符合性审查供应商投标（响应）报价平均值×50%；</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 )报价＜通过符合性审查的次低报价供应商投标（响应）报价×50%；</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（3）投标（响应）报价低于采购项目最高限价45%的，即投标（响应）报价＜采购项目最高限价×45% ;</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sz w:val="24"/>
          <w:szCs w:val="24"/>
          <w:lang w:val="en-US" w:eastAsia="zh-CN"/>
        </w:rPr>
        <w:t xml:space="preserve">（二）</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评审委员会启动异常</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p>
    <w:p>
      <w:pPr>
        <w:ind w:firstLine="48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200"/>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1200"/>
        <w:tblW w:w="9240" w:type="dxa"/>
        <w:tblInd w:w="17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460"/>
        <w:gridCol w:w="5985"/>
      </w:tblGrid>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985"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79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460"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满足采购需求</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tc>
      </w:tr>
      <w:tr>
        <w:trPr>
          <w:trHeight w:val="582"/>
        </w:trPr>
        <w:tc>
          <w:tcPr>
            <w:tcW w:w="795"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8</w:t>
            </w:r>
            <w:r/>
          </w:p>
        </w:tc>
        <w:tc>
          <w:tcPr>
            <w:tcW w:w="246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98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1"/>
      <w:r/>
      <w:bookmarkStart w:id="18" w:name="_Toc112006920"/>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24"/>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sz w:val="24"/>
          <w:szCs w:val="24"/>
        </w:rPr>
      </w:pPr>
      <w:r>
        <w:rPr>
          <w:rFonts w:hint="eastAsia" w:ascii="宋体" w:hAnsi="宋体" w:eastAsia="宋体" w:cs="宋体"/>
          <w:b/>
          <w:sz w:val="36"/>
          <w:szCs w:val="36"/>
          <w:lang w:bidi="ar"/>
        </w:rPr>
        <w:t xml:space="preserve">项目要求和有关说明</w:t>
      </w:r>
      <w:r/>
    </w:p>
    <w:p>
      <w:pPr>
        <w:ind w:firstLine="480"/>
        <w:spacing w:after="5"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本次采购项目为</w:t>
      </w:r>
      <w:r>
        <w:rPr>
          <w:rFonts w:hint="eastAsia" w:ascii="宋体" w:hAnsi="宋体" w:eastAsia="宋体" w:cs="宋体"/>
          <w:sz w:val="24"/>
          <w:szCs w:val="24"/>
          <w:lang w:eastAsia="zh-CN"/>
        </w:rPr>
        <w:t xml:space="preserve">无锡市锡山区区域治理现代化指挥中心</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rPr>
        <w:t xml:space="preserve">的</w:t>
      </w:r>
      <w:r>
        <w:rPr>
          <w:rFonts w:hint="eastAsia" w:ascii="宋体" w:hAnsi="宋体" w:eastAsia="宋体" w:cs="宋体"/>
          <w:bCs/>
          <w:sz w:val="24"/>
          <w:szCs w:val="24"/>
          <w:lang w:eastAsia="zh-CN"/>
        </w:rPr>
        <w:t xml:space="preserve">无锡市锡山区政务外网核心层升级改造项目</w:t>
      </w: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本项目中的</w:t>
      </w:r>
      <w:r>
        <w:rPr>
          <w:rFonts w:hint="eastAsia" w:asciiTheme="minorEastAsia" w:hAnsiTheme="minorEastAsia" w:eastAsiaTheme="minorEastAsia" w:cstheme="minorEastAsia"/>
          <w:b/>
          <w:bCs/>
          <w:sz w:val="24"/>
          <w:szCs w:val="24"/>
        </w:rPr>
        <w:t xml:space="preserve">核心产品为</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 xml:space="preserve">互联网防火墙</w:t>
      </w:r>
      <w:r>
        <w:rPr>
          <w:rFonts w:hint="eastAsia" w:asciiTheme="minorEastAsia" w:hAnsiTheme="minorEastAsia" w:eastAsiaTheme="minorEastAsia" w:cstheme="minorEastAsia"/>
          <w:b/>
          <w:bCs/>
          <w:sz w:val="24"/>
          <w:szCs w:val="24"/>
          <w:u w:val="none"/>
          <w:lang w:eastAsia="zh-CN"/>
        </w:rPr>
        <w:t xml:space="preserve">，</w:t>
      </w:r>
      <w:r>
        <w:rPr>
          <w:rFonts w:hint="eastAsia" w:ascii="宋体" w:hAnsi="宋体" w:eastAsia="宋体" w:cs="宋体"/>
          <w:sz w:val="24"/>
          <w:szCs w:val="24"/>
        </w:rPr>
        <w:t xml:space="preserve">投标人所投内容必须满足以下要求，不得存在负偏离，否则视为无效投标文件处理。项目需求如下：</w:t>
      </w:r>
      <w:r/>
    </w:p>
    <w:p>
      <w:pPr>
        <w:pStyle w:val="1235"/>
        <w:numPr>
          <w:ilvl w:val="1"/>
          <w:numId w:val="0"/>
        </w:numPr>
        <w:ind w:firstLine="480"/>
        <w:rPr>
          <w:rFonts w:hint="eastAsia" w:ascii="宋体" w:eastAsia="宋体" w:cs="宋体"/>
          <w:sz w:val="24"/>
          <w:szCs w:val="24"/>
        </w:rPr>
      </w:pPr>
      <w:r>
        <w:rPr>
          <w:rFonts w:hint="eastAsia" w:ascii="宋体" w:eastAsia="宋体" w:cs="宋体"/>
          <w:sz w:val="24"/>
          <w:szCs w:val="24"/>
        </w:rPr>
        <w:t xml:space="preserve">本项目属性：货物类。</w:t>
      </w:r>
      <w:r/>
    </w:p>
    <w:p>
      <w:pPr>
        <w:pStyle w:val="1197"/>
        <w:numPr>
          <w:ilvl w:val="3"/>
          <w:numId w:val="0"/>
        </w:numPr>
        <w:ind w:firstLine="482"/>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项目现状</w:t>
      </w:r>
      <w:r/>
    </w:p>
    <w:p>
      <w:pPr>
        <w:pStyle w:val="1198"/>
        <w:numPr>
          <w:ilvl w:val="4"/>
          <w:numId w:val="0"/>
        </w:numPr>
        <w:ind w:firstLine="482"/>
        <w:spacing w:line="6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（一）网络架构现状</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政务外网作为一种资源高度集中和共享的数据中心网络，承载着各类重要业务系统，全区约482接入点，总计约7300用户使用。</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各部门和分支机构通过专线互联互通、纵向网络隔离、横向网络互访、互联网接入、公共资源共享等实现整个系统内的协同办公等。</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网络架构分为核心层、汇聚层、接入层。核心层和汇聚层采用多业务路由器、防火墙、交换机。整个网络千兆骨干、百兆到桌面，各层通过光纤网线互联，接入层可根据各部门业务情况选择不同速率端口的交换机连接上层设备。</w:t>
      </w:r>
      <w:r/>
    </w:p>
    <w:p>
      <w:pPr>
        <w:pStyle w:val="1198"/>
        <w:numPr>
          <w:ilvl w:val="4"/>
          <w:numId w:val="0"/>
        </w:numPr>
        <w:ind w:firstLine="482"/>
        <w:spacing w:line="6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（二）外联链路现状</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外联区域的互联网链路共5条，政务外网链路2条（共计2000Mbps带宽），互联网3条（共计2000Mbps带宽）。具体端口信息如下：</w:t>
      </w:r>
      <w:r/>
    </w:p>
    <w:tbl>
      <w:tblPr>
        <w:tblStyle w:val="120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44"/>
        <w:gridCol w:w="2514"/>
        <w:gridCol w:w="1213"/>
        <w:gridCol w:w="1674"/>
        <w:gridCol w:w="1289"/>
        <w:gridCol w:w="1550"/>
      </w:tblGrid>
      <w:tr>
        <w:trPr>
          <w:trHeight w:val="402"/>
        </w:trPr>
        <w:tc>
          <w:tcPr>
            <w:tcBorders>
              <w:top w:val="single" w:color="auto" w:sz="4" w:space="0"/>
              <w:left w:val="single" w:color="auto" w:sz="4" w:space="0"/>
              <w:bottom w:val="single" w:color="auto" w:sz="4" w:space="0"/>
              <w:right w:val="single" w:color="auto" w:sz="4" w:space="0"/>
            </w:tcBorders>
            <w:tcW w:w="562"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3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6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901" w:type="pct"/>
            <w:vAlign w:val="center"/>
            <w:textDirection w:val="lrTb"/>
            <w:noWrap/>
          </w:tcPr>
          <w:p>
            <w:pPr>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带宽</w:t>
            </w:r>
            <w:r/>
          </w:p>
        </w:tc>
        <w:tc>
          <w:tcPr>
            <w:tcBorders>
              <w:top w:val="single" w:color="auto" w:sz="4" w:space="0"/>
              <w:left w:val="none" w:color="000000" w:sz="4" w:space="0"/>
              <w:bottom w:val="single" w:color="auto" w:sz="4" w:space="0"/>
              <w:right w:val="single" w:color="auto" w:sz="4" w:space="0"/>
            </w:tcBorders>
            <w:tcW w:w="694"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运营商</w:t>
            </w:r>
            <w:r/>
          </w:p>
        </w:tc>
        <w:tc>
          <w:tcPr>
            <w:tcBorders>
              <w:top w:val="single" w:color="auto" w:sz="4" w:space="0"/>
              <w:left w:val="none" w:color="000000" w:sz="4" w:space="0"/>
              <w:bottom w:val="single" w:color="auto" w:sz="4" w:space="0"/>
              <w:right w:val="single" w:color="auto" w:sz="4" w:space="0"/>
            </w:tcBorders>
            <w:tcW w:w="834"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线路类型</w:t>
            </w:r>
            <w:r/>
          </w:p>
        </w:tc>
      </w:tr>
      <w:tr>
        <w:trPr>
          <w:trHeight w:val="402"/>
        </w:trPr>
        <w:tc>
          <w:tcPr>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13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互联网链路1</w:t>
            </w:r>
            <w:r/>
          </w:p>
        </w:tc>
        <w:tc>
          <w:tcPr>
            <w:tcBorders>
              <w:top w:val="none" w:color="000000" w:sz="4" w:space="0"/>
              <w:left w:val="none" w:color="000000" w:sz="4" w:space="0"/>
              <w:bottom w:val="single" w:color="auto" w:sz="4" w:space="0"/>
              <w:right w:val="single" w:color="auto" w:sz="4" w:space="0"/>
            </w:tcBorders>
            <w:tcW w:w="6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500M</w:t>
            </w:r>
            <w:r/>
          </w:p>
        </w:tc>
        <w:tc>
          <w:tcPr>
            <w:tcBorders>
              <w:top w:val="none" w:color="000000" w:sz="4" w:space="0"/>
              <w:left w:val="none" w:color="000000" w:sz="4" w:space="0"/>
              <w:bottom w:val="single" w:color="auto" w:sz="4" w:space="0"/>
              <w:right w:val="single" w:color="auto" w:sz="4" w:space="0"/>
            </w:tcBorders>
            <w:tcW w:w="694"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电信</w:t>
            </w:r>
            <w:r/>
          </w:p>
        </w:tc>
        <w:tc>
          <w:tcPr>
            <w:tcBorders>
              <w:top w:val="none" w:color="000000" w:sz="4" w:space="0"/>
              <w:left w:val="none" w:color="000000" w:sz="4" w:space="0"/>
              <w:bottom w:val="single" w:color="auto" w:sz="4" w:space="0"/>
              <w:right w:val="single" w:color="auto" w:sz="4" w:space="0"/>
            </w:tcBorders>
            <w:tcW w:w="834"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专线</w:t>
            </w:r>
            <w:r/>
          </w:p>
        </w:tc>
      </w:tr>
      <w:tr>
        <w:trPr>
          <w:trHeight w:val="402"/>
        </w:trPr>
        <w:tc>
          <w:tcPr>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353" w:type="pct"/>
            <w:vAlign w:val="center"/>
            <w:textDirection w:val="lrTb"/>
            <w:noWrap/>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互联网链路2</w:t>
            </w:r>
            <w:r/>
          </w:p>
        </w:tc>
        <w:tc>
          <w:tcPr>
            <w:tcBorders>
              <w:top w:val="none" w:color="000000" w:sz="4" w:space="0"/>
              <w:left w:val="none" w:color="000000" w:sz="4" w:space="0"/>
              <w:bottom w:val="single" w:color="auto" w:sz="4" w:space="0"/>
              <w:right w:val="single" w:color="auto" w:sz="4" w:space="0"/>
            </w:tcBorders>
            <w:tcW w:w="6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1000M</w:t>
            </w:r>
            <w:r/>
          </w:p>
        </w:tc>
        <w:tc>
          <w:tcPr>
            <w:tcBorders>
              <w:top w:val="none" w:color="000000" w:sz="4" w:space="0"/>
              <w:left w:val="none" w:color="000000" w:sz="4" w:space="0"/>
              <w:bottom w:val="single" w:color="auto" w:sz="4" w:space="0"/>
              <w:right w:val="single" w:color="auto" w:sz="4" w:space="0"/>
            </w:tcBorders>
            <w:tcW w:w="694" w:type="pct"/>
            <w:vAlign w:val="center"/>
            <w:textDirection w:val="lrTb"/>
            <w:noWrap/>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电信</w:t>
            </w:r>
            <w:r/>
          </w:p>
        </w:tc>
        <w:tc>
          <w:tcPr>
            <w:tcBorders>
              <w:top w:val="none" w:color="000000" w:sz="4" w:space="0"/>
              <w:left w:val="none" w:color="000000" w:sz="4" w:space="0"/>
              <w:bottom w:val="single" w:color="auto" w:sz="4" w:space="0"/>
              <w:right w:val="single" w:color="auto" w:sz="4" w:space="0"/>
            </w:tcBorders>
            <w:tcW w:w="834"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专线</w:t>
            </w:r>
            <w:r/>
          </w:p>
        </w:tc>
      </w:tr>
      <w:tr>
        <w:trPr>
          <w:trHeight w:val="402"/>
        </w:trPr>
        <w:tc>
          <w:tcPr>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353" w:type="pct"/>
            <w:vAlign w:val="center"/>
            <w:textDirection w:val="lrTb"/>
            <w:noWrap/>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互联网链路3</w:t>
            </w:r>
            <w:r/>
          </w:p>
        </w:tc>
        <w:tc>
          <w:tcPr>
            <w:tcBorders>
              <w:top w:val="none" w:color="000000" w:sz="4" w:space="0"/>
              <w:left w:val="none" w:color="000000" w:sz="4" w:space="0"/>
              <w:bottom w:val="single" w:color="auto" w:sz="4" w:space="0"/>
              <w:right w:val="single" w:color="auto" w:sz="4" w:space="0"/>
            </w:tcBorders>
            <w:tcW w:w="6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500M</w:t>
            </w:r>
            <w:r/>
          </w:p>
        </w:tc>
        <w:tc>
          <w:tcPr>
            <w:tcBorders>
              <w:top w:val="none" w:color="000000" w:sz="4" w:space="0"/>
              <w:left w:val="none" w:color="000000" w:sz="4" w:space="0"/>
              <w:bottom w:val="single" w:color="auto" w:sz="4" w:space="0"/>
              <w:right w:val="single" w:color="auto" w:sz="4" w:space="0"/>
            </w:tcBorders>
            <w:tcW w:w="694" w:type="pct"/>
            <w:vAlign w:val="center"/>
            <w:textDirection w:val="lrTb"/>
            <w:noWrap/>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电信</w:t>
            </w:r>
            <w:r/>
          </w:p>
        </w:tc>
        <w:tc>
          <w:tcPr>
            <w:tcBorders>
              <w:top w:val="none" w:color="000000" w:sz="4" w:space="0"/>
              <w:left w:val="none" w:color="000000" w:sz="4" w:space="0"/>
              <w:bottom w:val="single" w:color="auto" w:sz="4" w:space="0"/>
              <w:right w:val="single" w:color="auto" w:sz="4" w:space="0"/>
            </w:tcBorders>
            <w:tcW w:w="834"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专线</w:t>
            </w:r>
            <w:r/>
          </w:p>
        </w:tc>
      </w:tr>
      <w:tr>
        <w:trPr>
          <w:trHeight w:val="402"/>
        </w:trPr>
        <w:tc>
          <w:tcPr>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3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政务外网链路1</w:t>
            </w:r>
            <w:r/>
          </w:p>
        </w:tc>
        <w:tc>
          <w:tcPr>
            <w:tcBorders>
              <w:top w:val="none" w:color="000000" w:sz="4" w:space="0"/>
              <w:left w:val="none" w:color="000000" w:sz="4" w:space="0"/>
              <w:bottom w:val="single" w:color="auto" w:sz="4" w:space="0"/>
              <w:right w:val="single" w:color="auto" w:sz="4" w:space="0"/>
            </w:tcBorders>
            <w:tcW w:w="6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1000M</w:t>
            </w:r>
            <w:r/>
          </w:p>
        </w:tc>
        <w:tc>
          <w:tcPr>
            <w:tcBorders>
              <w:top w:val="none" w:color="000000" w:sz="4" w:space="0"/>
              <w:left w:val="none" w:color="000000" w:sz="4" w:space="0"/>
              <w:bottom w:val="single" w:color="auto" w:sz="4" w:space="0"/>
              <w:right w:val="single" w:color="auto" w:sz="4" w:space="0"/>
            </w:tcBorders>
            <w:tcW w:w="694" w:type="pct"/>
            <w:vAlign w:val="center"/>
            <w:textDirection w:val="lrTb"/>
            <w:noWrap/>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电信</w:t>
            </w:r>
            <w:r/>
          </w:p>
        </w:tc>
        <w:tc>
          <w:tcPr>
            <w:tcBorders>
              <w:top w:val="none" w:color="000000" w:sz="4" w:space="0"/>
              <w:left w:val="none" w:color="000000" w:sz="4" w:space="0"/>
              <w:bottom w:val="single" w:color="auto" w:sz="4" w:space="0"/>
              <w:right w:val="single" w:color="auto" w:sz="4" w:space="0"/>
            </w:tcBorders>
            <w:tcW w:w="834"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光纤</w:t>
            </w:r>
            <w:r/>
          </w:p>
        </w:tc>
      </w:tr>
      <w:tr>
        <w:trPr>
          <w:trHeight w:val="402"/>
        </w:trPr>
        <w:tc>
          <w:tcPr>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3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政务外网链路2</w:t>
            </w:r>
            <w:r/>
          </w:p>
        </w:tc>
        <w:tc>
          <w:tcPr>
            <w:tcBorders>
              <w:top w:val="none" w:color="000000" w:sz="4" w:space="0"/>
              <w:left w:val="none" w:color="000000" w:sz="4" w:space="0"/>
              <w:bottom w:val="single" w:color="auto" w:sz="4" w:space="0"/>
              <w:right w:val="single" w:color="auto" w:sz="4" w:space="0"/>
            </w:tcBorders>
            <w:tcW w:w="65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1000M</w:t>
            </w:r>
            <w:r/>
          </w:p>
        </w:tc>
        <w:tc>
          <w:tcPr>
            <w:tcBorders>
              <w:top w:val="none" w:color="000000" w:sz="4" w:space="0"/>
              <w:left w:val="none" w:color="000000" w:sz="4" w:space="0"/>
              <w:bottom w:val="single" w:color="auto" w:sz="4" w:space="0"/>
              <w:right w:val="single" w:color="auto" w:sz="4" w:space="0"/>
            </w:tcBorders>
            <w:tcW w:w="694" w:type="pct"/>
            <w:vAlign w:val="center"/>
            <w:textDirection w:val="lrTb"/>
            <w:noWrap/>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电信</w:t>
            </w:r>
            <w:r/>
          </w:p>
        </w:tc>
        <w:tc>
          <w:tcPr>
            <w:tcBorders>
              <w:top w:val="none" w:color="000000" w:sz="4" w:space="0"/>
              <w:left w:val="none" w:color="000000" w:sz="4" w:space="0"/>
              <w:bottom w:val="single" w:color="auto" w:sz="4" w:space="0"/>
              <w:right w:val="single" w:color="auto" w:sz="4" w:space="0"/>
            </w:tcBorders>
            <w:tcW w:w="834"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光纤</w:t>
            </w:r>
            <w:r/>
          </w:p>
        </w:tc>
      </w:tr>
    </w:tbl>
    <w:p>
      <w:pPr>
        <w:pStyle w:val="1198"/>
        <w:numPr>
          <w:ilvl w:val="4"/>
          <w:numId w:val="0"/>
        </w:numPr>
        <w:ind w:firstLine="482"/>
        <w:spacing w:line="6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（三）网络安全现状</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在安全技术部分和管理部分均基本达到网络安全等级保护（二级）要求。</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安全技术方面，用户针对网络各区域均进行了合理规划，部署了防火墙、流量管控等必要的安全设备，并且配置了相应的安全策略。同时设置了专门的安全运维管理区域，配套部署了堡垒机、入侵检测、日志审计及态势感知等安全设备，针对计算环境、区域边界、通信网络的安全性进行了规划部署，具备一定的安全防护能力。</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安全管理方面，配备基本的安全管理制度和运维人员，在设备监控、故障处理、系统升级、漏洞扫描等方面具备一定的流程和手段，能够在日常运维中发现一些问题并处置，并且有一定的安全风险防范意识。</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综上，基本达到了以计算环境安全为基础，以区域边界安全、通信网络安全为保障，以安全管理中心为核心的安全保障要求。</w:t>
      </w:r>
      <w:r/>
    </w:p>
    <w:p>
      <w:pPr>
        <w:pStyle w:val="1196"/>
        <w:numPr>
          <w:ilvl w:val="2"/>
          <w:numId w:val="0"/>
        </w:numPr>
        <w:ind w:firstLine="482"/>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项目要求</w:t>
      </w:r>
      <w:r/>
    </w:p>
    <w:p>
      <w:pPr>
        <w:pStyle w:val="1197"/>
        <w:numPr>
          <w:ilvl w:val="3"/>
          <w:numId w:val="0"/>
        </w:numPr>
        <w:ind w:firstLine="482"/>
        <w:spacing w:line="6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（一）建设目标</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接入方式方面：在现有的锡山区电子政务外网基础之上，构建网络第二平面，满足业务接入。</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网络带宽方面：提升内部核心链路带宽，满足高流量高并发需求；骨干网络承载能力根据业务需求平滑升级，满足汇聚流量及移动通信平面流量高并发需求。全面提高网络整体带宽及利用率和对重大灾害事故的应急保障能力。</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网络创新能力方面：一是广连接，从过去的多跳入云简化到一跳入云；二是确定性，减少单跳抖动；三是低时延，从过去的尽力而为、无法保障修复时间，变为控制在微秒的量级；四是自动化，网络故障的恢复时间控制在分钟级；五是安全，把发现安全威胁的时间尽可能缩短。“IPv6+”以SRv6、网络切片、随流检测、新型组播和应用感知网络等技术为代表，可以满足灵活组网、业务快速开通、简化网络运维、差异化保障等承载需求，满足万物互联、千行百业上云带来的多云一网、智能联接、智能运营、智能运维等需求，实现真正的网随云动、万物智联。</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终端准入方面：提升终端接入安全，构建零信任终端管控系统，逐步替换现有准入方式，保护云上业务的安全，支持全区终端的零信任接入，满足政务外网、互联网、专网不同网络模式安全访问和隔离的需求。</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安全管理方面：强化电子政务外网安全立体防控体系建设，全面构建零信任账号认证机制，落实身份可信、权限可控的访问管控要求；科学制定互联网访问行为审计策略，规范网络行为监测、记录与溯源处置流程，严格执行日志留存管理规定，设备日志保存期限不少于6个月，夯实网络安全追溯、事件分析与风险核查基础。</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统一运营运维方面：统一整合各镇（街道）等机构政务网线路；构建统一运维平台，打造适配新一代电子政务外网的一体化运维管理体系，打破部门、层级壁垒，按照省市要求，完成资产/告警/性能/接入点等数据治理并与市级运管平台完成对接，实现资源、运维、运营数据统一汇聚、统一分析、统一调度，保障全网协同高效运行。</w:t>
      </w:r>
      <w:r/>
    </w:p>
    <w:p>
      <w:pPr>
        <w:pStyle w:val="1197"/>
        <w:numPr>
          <w:ilvl w:val="3"/>
          <w:numId w:val="0"/>
        </w:numPr>
        <w:ind w:firstLine="482"/>
        <w:spacing w:line="6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（二）建设内容</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基于锡山区电子政务外网网络现状，基于IPv6+技术体系，全面部署和融合SDN、Flex-E、EVPN、SRv6、IFIT等相关技术，对锡山区电子政务外网核心层进行升级改造，构建电子政务外网新平面，满足业务高速传输、增强业务保障、泛在接入的需求，支持网络韧性、应用感知及智能化管理调度，支撑政务服务、移动办公、行政执法、视频监控、视频会议、应急指挥、物联感知等应用，为应急、交通、生态环境、人社、市监等多部门应用以及数字政府、社会治理各类应用场景提供全面网络支撑。</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遵照网络安全等级保护2.0相关标准，在统一的安全策略指导下，充分利用和依托已有网络安全基础设施，通过建设融合的安全技术体系、安全管理体系、安全服务体系，形成集防护、检测、响应、恢复于一体的安全保障体系，从而实现物理和环境安全、网络和通信安全、设备和计算安全、应用和数据安全、安全管理，构建可信、可控、可管的安全体系。</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3.在各区域边界部署防火墙，实现对互联网区、政务外网区、非可信接入区安全隔离，有效拦截纵向攻击行为与横向病毒传播，从而避免遭受数据资料泄露和入侵危害。</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4.构建零信任终端准入体系的三重架构，控制层（零信任管理平台）、网络层（零信任代理网关）、终端侧（零信任客户端），通过架构解耦进而保障锡山区政务外网终端准入的安全可控。</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在现有的安全运维管理制度的基础上，对照《信息系统安全等级保护基本要求》，在环境管理、资产管理、介质管理、设备管理、监控管理和安全管理中心、网络安全管理、系统安全管理、恶意代码防范管理、密码管理、变更管理、备份与恢复管理、安全事件处置、应急预案管理等方面进行查漏补缺，以达到标准合规。</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完成锡山区电子政务外网配套机房改造。为了满足日益完善和快速发展的数据业务建设，保障电子政务外网设备及系统处于安全、稳定和可靠的运行环境，本项目将对锡山区政府数据中心机房进行升级改造，完成机房精密空调、UPS等改造工作，为电子政务外网设备运行管理和数据信息提供安全、稳定的环境。</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构建统一运维平台，打造适配新一代电子政务外网的一体化运行管理体系；统一整合各镇（街道）等机构的政务网线路，可采集接入点流量及在线情况；按照省市要求，完成资产、告警、性能、接入点等数据治理，并与市级运管平台完成对接，实现资源、运维、运营数据的统一汇聚、统一分析与统一调度，保障全网协同高效运行。</w:t>
      </w:r>
      <w:r/>
    </w:p>
    <w:p>
      <w:pPr>
        <w:pStyle w:val="1197"/>
        <w:numPr>
          <w:ilvl w:val="3"/>
          <w:numId w:val="0"/>
        </w:numPr>
        <w:ind w:firstLine="482"/>
        <w:spacing w:line="6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（三）技术与功能要求</w:t>
      </w:r>
      <w:r/>
    </w:p>
    <w:p>
      <w:pPr>
        <w:pStyle w:val="1198"/>
        <w:numPr>
          <w:ilvl w:val="4"/>
          <w:numId w:val="0"/>
        </w:numPr>
        <w:ind w:firstLine="48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1.设备选型要求</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要求响应国家信息技术应用创新（信创）战略，确保技术方案的安全性和自主可控性。在软硬件选型时，紧密结合国产化与信创要求，根据实际需求，确保技术架构的先进性与合规性。</w:t>
      </w:r>
      <w:r/>
    </w:p>
    <w:p>
      <w:pPr>
        <w:pStyle w:val="1198"/>
        <w:numPr>
          <w:ilvl w:val="4"/>
          <w:numId w:val="0"/>
        </w:numPr>
        <w:ind w:firstLine="48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2.设备功能要求</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2.1区广域路由器由SDN控制器批量下发的SRv6 Poilicy隧道数量≥7K。</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2.2</w:t>
      </w:r>
      <w:r>
        <w:rPr>
          <w:rFonts w:hint="eastAsia" w:asciiTheme="minorEastAsia" w:hAnsiTheme="minorEastAsia" w:eastAsiaTheme="minorEastAsia" w:cstheme="minorEastAsia"/>
          <w:color w:val="ee0000"/>
          <w:sz w:val="24"/>
          <w:szCs w:val="24"/>
        </w:rPr>
        <w:t xml:space="preserve">区广域路由器的视频切片粒度</w:t>
      </w:r>
      <w:r>
        <w:rPr>
          <w:rFonts w:asciiTheme="minorEastAsia" w:hAnsiTheme="minorEastAsia" w:eastAsiaTheme="minorEastAsia" w:cstheme="minorEastAsia"/>
          <w:color w:val="ee0000"/>
          <w:sz w:val="24"/>
          <w:szCs w:val="24"/>
        </w:rPr>
        <w:t xml:space="preserve">≤</w:t>
      </w:r>
      <w:r>
        <w:rPr>
          <w:rFonts w:hint="eastAsia" w:asciiTheme="minorEastAsia" w:hAnsiTheme="minorEastAsia" w:eastAsiaTheme="minorEastAsia" w:cstheme="minorEastAsia"/>
          <w:color w:val="ee0000"/>
          <w:sz w:val="24"/>
          <w:szCs w:val="24"/>
        </w:rPr>
        <w:t xml:space="preserve">3M。</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2.3政务网防火墙系统预定义IPS签名数量≥19000。</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2.4政务网防火墙CVE或CNNVD编号的签名条目数≥10000。</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2.5政务网防火墙支持病毒压缩文件检测≥90层。</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2.6域名管理及IP地址分配管理系统支持从自定义设定线路拨测https目标地址，可配置自动拨测；拨测配置目标状态列表可视化，包括以下字段（HTTP(s)拨测列表、目标、线路、HTTP Cookie、HTTP Header、超时时间、自动拨测、备注、域名、拨测时间、状态、解析IP、HTTP状态码、总时间、解析时间、连接时间、首字节时间、下载时间、下载大小、下载速度、错误信息等，拨测配置目标字段≥18种。</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2.7域名管理及IP地址分配管理系统健康检测策略支持以下类型自定义属性：探测周期、超时时间、最大重试次数、探测地址、发送数据、接收数据、探测端口，用于保证应用服务健康状态探测的准确性、实时性、可靠性。支持的自定义属性≥5种</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2.8超融合软件支持应用商城功能，可通过平台预制的开源应用快速创建云主机，可快速创建Redis、MySQL、RabbitMQ，保证部署效率。支持的应用≥</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2.9超融合软件支持负载均衡功能，负载均衡可配置监听协议、负载均衡算法、服务器分组。可配置方式≥</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2.10超融合软件支持查看负载均衡器的各项监控，健康检查方式，间隔时间，超时时间，健康与不健康阈值设定，上述功能需支持≥</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w:t>
      </w:r>
      <w:r/>
    </w:p>
    <w:p>
      <w:pPr>
        <w:pStyle w:val="1198"/>
        <w:numPr>
          <w:ilvl w:val="4"/>
          <w:numId w:val="0"/>
        </w:numPr>
        <w:ind w:firstLine="48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3.线路汇聚要求</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锡山区各部委办局直连市民中心的政务网线路，由项目中标人统一协调，汇聚至区政府数据中心，若涉及汇聚线路新增，由中标人负责。</w:t>
      </w:r>
      <w:r/>
    </w:p>
    <w:p>
      <w:pPr>
        <w:pStyle w:val="1198"/>
        <w:numPr>
          <w:ilvl w:val="4"/>
          <w:numId w:val="0"/>
        </w:numPr>
        <w:ind w:firstLine="48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4.链路保障要求</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双网并行（新旧网络平面并行）期间，为保证业务不中断、链路不单点，在锡山区政府数据中心与市民中心之间同步提供两条独立链路，分别承载新旧两张政务网，实现双网链路的备份。两条链路采用不同物理路由（不同管道/不同光缆路由）敷设，避免同沟同缆导致的共因故障；任一链路发生中断时，另一链路可继续承载对应网络业务，确保过渡期内市民中心节点的政务业务持续在线、切换无感。待双网并行期结束、旧网业务完成割接后，链路资源可按需回收或转为新网备份链路继续使用，实现资源的平滑过渡与最大化利用。</w:t>
      </w:r>
      <w:r/>
    </w:p>
    <w:p>
      <w:pPr>
        <w:pStyle w:val="1198"/>
        <w:numPr>
          <w:ilvl w:val="4"/>
          <w:numId w:val="0"/>
        </w:numPr>
        <w:ind w:firstLine="48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5.项目辅材及相关</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投标人除提供采购清单中所列的设备外，还应提供配套的软件、设备、线缆、辅材等，还应提供项目所需的安装、调试、培训及售后运维服务等。同时为完成本项目，投标人必须考虑调整或拆除机房内原有的设备和线路。</w:t>
      </w:r>
      <w:r/>
    </w:p>
    <w:p>
      <w:pPr>
        <w:pStyle w:val="1198"/>
        <w:numPr>
          <w:ilvl w:val="4"/>
          <w:numId w:val="0"/>
        </w:numPr>
        <w:ind w:firstLine="48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6.人员要求</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本项目拟派项目负责人1名，具备系统集成项目管理工程师证书（中级）证书；拟派项目技术负责人1名，具备</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网络工程师（中级）证书，</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负责现场技术调试及现场服务调度。除项目负责人和项目技术负责人外，还须配备至少4名项目实施人员，负责项目的施工、维护、服务、售后等工作。项目总体人员不少于6人。</w:t>
      </w:r>
      <w:r/>
    </w:p>
    <w:p>
      <w:pPr>
        <w:pStyle w:val="1197"/>
        <w:numPr>
          <w:ilvl w:val="3"/>
          <w:numId w:val="0"/>
        </w:numPr>
        <w:ind w:firstLine="482"/>
        <w:spacing w:line="6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（四）整体服务要求</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中标供应商所提供的软硬件设备均为原厂全新合格产品。自项目验收通过之日起，提供项目整体五年质保期，其中硬件保修、软件支持、相关特征库订阅都为五年。</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中标供应商严格按照以上功能及技术参数要求履行服务承诺，并通过采购人验收，协助采购人通过二级等保测评。</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1.数据对接服务</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项目中标人需按省、市政务网相关规范及要求，配合数据对接、推送等工作，将数据及资源对接至省、市平台。</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2.备件服务</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中标供应商提供备件服务。当设备故障短时间内无法修复时，应能通过备件渠道紧急调用同品牌型号或高于原品牌功能性能指标的备件，并在最短的时间内用最快的方式发至现场替换。</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3.培训服务</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中标供应商提供完整的培训服务。采用分类、分次培训，使用户可以熟练使用相应系统，以达到维护系统正常运行的要求。培训形式包括集中培训、现场指导、个别培训等。</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4.售后服务</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中标供应商提供本项目的安装和调试服务，并保证其提供的货物符合国家、行业、地方、招投标文件及合同规定的质量、性能和标准，正确安全完成安装。</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提供的服务应按照国家有关法律法规规章、“三包”规定、招标文件要求和中标供应商投标文件中的承诺执行。</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项目终验并进入服务期后，中标供应商提供运行维护服务。包括：</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日常维护：设备的版本、漏洞、补丁升级；设备配置的备份；设备运行情况的分析和评估；处理设备故障等。</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设备策略变更服务：按照采购人提供的变更需求及时进行设备策略的变更，确保采购人业务工作顺畅进行。</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使用咨询服务：中标供应商维保人员应上门服务或及时协助用户进行功能讲解、操作指导或解决相关技术问题等。</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例行巡检服务：中标供应商维保人员定期主动开展设备的例行巡检服务，包括检查系统运行情况、网络的安全性、备份数据的完整性，以及设备的其他相关日志。每月至少巡检一次，并提交例行巡检报告，经双方项目负责人签字后存档。</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标人应当为采购人提供7*24小时技术服务电话，解答采购人在使用中遇到的问题，及时为采购人提出解决问题的建议。在出现系统故障时，30分钟内远程响应，如远程支持无法解决问题时，需1小时内到达采购人现场，4小时内解决问题，24小时内未解决问题的投标人需作出书面解释。</w:t>
      </w:r>
      <w:r/>
    </w:p>
    <w:p>
      <w:pPr>
        <w:pStyle w:val="1197"/>
        <w:numPr>
          <w:ilvl w:val="3"/>
          <w:numId w:val="0"/>
        </w:numPr>
        <w:ind w:firstLine="482"/>
        <w:spacing w:line="600" w:lineRule="exact"/>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（五）其他说明</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1.投标总报价包括满足本项目服务要求的从项目中标起到项目正式交付以及服务期内所发生的一切费用。</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2.进口产品是指通过中国海关报关验放进入中国境内且产自关境外的产品。</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4.投标人必须在满足招标文件要求的基础上进行报价，如有技术偏离请于投标偏离表中说明。</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5.项目周期：合同签订生效后6个月建设完成，6个月试运行后完成终验。项目服务期：5年（终验后进入项目服务期）（具体以签订的合同为准）。</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6.项目整体质保期：终验通过之日起提供5年免费质保服务。</w:t>
      </w:r>
      <w:r/>
    </w:p>
    <w:p>
      <w:pPr>
        <w:ind w:firstLine="640"/>
        <w:spacing w:line="600" w:lineRule="exact"/>
        <w:rPr>
          <w:rFonts w:hint="eastAsia" w:asciiTheme="minorEastAsia" w:hAnsiTheme="minorEastAsia" w:eastAsiaTheme="minorEastAsia" w:cstheme="minorEastAsia"/>
          <w:color w:val="ee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7.付款方式：</w:t>
      </w:r>
      <w:r>
        <w:rPr>
          <w:rFonts w:hint="eastAsia" w:asciiTheme="minorEastAsia" w:hAnsiTheme="minorEastAsia" w:eastAsiaTheme="minorEastAsia" w:cstheme="minorEastAsia"/>
          <w:color w:val="ee0000"/>
          <w:sz w:val="24"/>
          <w:szCs w:val="24"/>
        </w:rPr>
        <w:t xml:space="preserve">合同签订生效后，支付签约合同金额的30%；项目终验合格后，支付至最终审计结算金额的60%；项目终验完成并进入服务期后，剩余款项（即最终审计结算金额的40%）在5年服务期内按年支付，第一年12月支付最终审计结算金额的20%（具体以签订的合同为准），后四年每年12月份支付最终审计结算金额的5%（具体以签订的合同为准）。</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8.交付地点：采购项目交付或执行的地点：无锡市锡山区区政府机房（具体以签订的合同为准）。</w:t>
      </w:r>
      <w:r/>
    </w:p>
    <w:p>
      <w:pPr>
        <w:ind w:firstLine="64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质量及验收：中标人保证向采购人提供的货物是全新、完整、未使用过的；投标人向采购人承诺在质量保证期内，所有非故意性损坏以及正常使用范围内造成的损坏均免费维修或更换。因货物本身质量问题导致采购人无法使用的，若更换后仍不能满足正常使用需求的，采购人有权要求退货。对因采购人的不正当使用所造成的损坏不属于投标人责任，但投标人要积极协助采购人进行维修或更换，并保证提供优惠价格的维修和更换服务。</w:t>
      </w:r>
      <w:r/>
    </w:p>
    <w:p>
      <w:pPr>
        <w:pStyle w:val="1196"/>
        <w:numPr>
          <w:ilvl w:val="2"/>
          <w:numId w:val="0"/>
        </w:numPr>
        <w:ind w:firstLine="562"/>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 xml:space="preserve">采购内容</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投标总报价包括但不限于满足本项目要求的所有产品及其配件、授权（安全产品特征库升级或者licence）、辅材、包装、运输、安装调试、网络割接（含新增链路、板块链路汇聚）及售后服务、数据汇聚及对接、材料归档等从项目中标起到项目正式交付以及运维期内所发生的一切费用。</w:t>
      </w:r>
      <w:r/>
    </w:p>
    <w:p>
      <w:pPr>
        <w:ind w:firstLine="640"/>
        <w:spacing w:line="600" w:lineRule="exact"/>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投标人所投软硬件产品如需相关授权（安全产品特征库升级或者licence）的须提供不少于5年授权（项目验收通过之日起计算），但相关授权服务到期后，不得以任何形式对产品原有功能、既定业务使用权限进行限制、关停、锁机或变相约束，须无条件保障产品原有全部功能持续正常运行，无需后续续费、续授权即可永久正常使用。若因授权到期造成产品功能失效、无法正常使用的，由投标人承担全部违约责任及整改、更换损失。</w:t>
      </w:r>
      <w:r/>
    </w:p>
    <w:p>
      <w:pPr>
        <w:pStyle w:val="1235"/>
        <w:numPr>
          <w:ilvl w:val="1"/>
          <w:numId w:val="0"/>
        </w:numPr>
        <w:ind w:firstLine="480"/>
        <w:rPr>
          <w:rFonts w:hint="eastAsia" w:ascii="宋体" w:eastAsia="宋体" w:cs="宋体"/>
          <w:sz w:val="24"/>
          <w:szCs w:val="24"/>
        </w:rPr>
      </w:pPr>
      <w:r>
        <w:rPr>
          <w:rFonts w:hint="eastAsia" w:ascii="宋体" w:eastAsia="宋体" w:cs="宋体"/>
          <w:sz w:val="24"/>
          <w:szCs w:val="24"/>
        </w:rPr>
      </w:r>
      <w:r/>
    </w:p>
    <w:p>
      <w:pPr>
        <w:pStyle w:val="1235"/>
        <w:numPr>
          <w:ilvl w:val="1"/>
          <w:numId w:val="0"/>
        </w:numPr>
        <w:ind w:firstLine="480"/>
        <w:rPr>
          <w:rFonts w:hint="eastAsia" w:ascii="宋体" w:eastAsia="宋体" w:cs="宋体"/>
          <w:sz w:val="24"/>
          <w:szCs w:val="24"/>
        </w:rPr>
      </w:pPr>
      <w:r>
        <w:rPr>
          <w:rFonts w:hint="eastAsia" w:ascii="宋体" w:eastAsia="宋体" w:cs="宋体"/>
          <w:sz w:val="24"/>
          <w:szCs w:val="24"/>
        </w:rPr>
      </w:r>
      <w:r/>
    </w:p>
    <w:p>
      <w:pPr>
        <w:pStyle w:val="1235"/>
        <w:numPr>
          <w:ilvl w:val="1"/>
          <w:numId w:val="0"/>
        </w:numPr>
        <w:ind w:firstLine="480"/>
        <w:rPr>
          <w:rFonts w:hint="eastAsia" w:ascii="宋体" w:eastAsia="宋体" w:cs="宋体"/>
          <w:sz w:val="24"/>
          <w:szCs w:val="24"/>
        </w:rPr>
      </w:pPr>
      <w:r>
        <w:rPr>
          <w:rFonts w:hint="eastAsia" w:ascii="宋体" w:eastAsia="宋体" w:cs="宋体"/>
          <w:sz w:val="24"/>
          <w:szCs w:val="24"/>
        </w:rPr>
      </w:r>
      <w:r/>
    </w:p>
    <w:p>
      <w:pPr>
        <w:pStyle w:val="1235"/>
        <w:numPr>
          <w:ilvl w:val="1"/>
          <w:numId w:val="0"/>
        </w:numPr>
        <w:ind w:firstLine="480"/>
        <w:rPr>
          <w:rFonts w:hint="eastAsia" w:ascii="宋体" w:eastAsia="宋体" w:cs="宋体"/>
          <w:sz w:val="24"/>
          <w:szCs w:val="24"/>
        </w:rPr>
      </w:pPr>
      <w:r>
        <w:rPr>
          <w:rFonts w:hint="eastAsia" w:ascii="宋体" w:eastAsia="宋体" w:cs="宋体"/>
          <w:sz w:val="24"/>
          <w:szCs w:val="24"/>
        </w:rPr>
      </w:r>
      <w:r/>
    </w:p>
    <w:p>
      <w:pPr>
        <w:contextualSpacing/>
        <w:spacing w:before="240"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一、标的明细表</w:t>
      </w:r>
      <w:r/>
    </w:p>
    <w:p>
      <w:pPr>
        <w:pStyle w:val="120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本项目为货物采购，</w:t>
      </w:r>
      <w:r>
        <w:rPr>
          <w:rFonts w:hint="eastAsia" w:asciiTheme="minorEastAsia" w:hAnsiTheme="minorEastAsia" w:eastAsiaTheme="minorEastAsia" w:cstheme="minorEastAsia"/>
          <w:b/>
          <w:bCs/>
          <w:sz w:val="24"/>
          <w:szCs w:val="24"/>
          <w:lang w:val="en-US" w:eastAsia="zh-CN"/>
        </w:rPr>
        <w:t xml:space="preserve">中小企业声明函、关于符合本国产品标准的声明函所对应的</w:t>
      </w:r>
      <w:r>
        <w:rPr>
          <w:rFonts w:hint="eastAsia" w:asciiTheme="minorEastAsia" w:hAnsiTheme="minorEastAsia" w:eastAsiaTheme="minorEastAsia" w:cstheme="minorEastAsia"/>
          <w:b/>
          <w:bCs/>
          <w:sz w:val="24"/>
          <w:szCs w:val="24"/>
        </w:rPr>
        <w:t xml:space="preserve">采购标的</w:t>
      </w:r>
      <w:r>
        <w:rPr>
          <w:rFonts w:hint="eastAsia" w:asciiTheme="minorEastAsia" w:hAnsiTheme="minorEastAsia" w:eastAsiaTheme="minorEastAsia" w:cstheme="minorEastAsia"/>
          <w:b/>
          <w:bCs/>
          <w:sz w:val="24"/>
          <w:szCs w:val="24"/>
          <w:lang w:val="en-US" w:eastAsia="zh-CN"/>
        </w:rPr>
        <w:t xml:space="preserve">名称</w:t>
      </w:r>
      <w:r>
        <w:rPr>
          <w:rFonts w:hint="eastAsia" w:asciiTheme="minorEastAsia" w:hAnsiTheme="minorEastAsia" w:eastAsiaTheme="minorEastAsia" w:cstheme="minorEastAsia"/>
          <w:b/>
          <w:bCs/>
          <w:sz w:val="24"/>
          <w:szCs w:val="24"/>
        </w:rPr>
        <w:t xml:space="preserve">及对应的中小企业划分标准所属行业如下表：</w:t>
      </w:r>
      <w:r/>
    </w:p>
    <w:tbl>
      <w:tblPr>
        <w:tblStyle w:val="1200"/>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3359"/>
        <w:gridCol w:w="3088"/>
        <w:gridCol w:w="2136"/>
      </w:tblGrid>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备注</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区广域路由器</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出口交换机</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楼层汇聚交换机</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区城域核心路由器</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数据中心汇聚交换机</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光模块</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无线优化</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政务网防火墙</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零信任网关</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互联网防火墙</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上网行为管理</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日志审计</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域名管理及IP地址分配管理系统</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中心机房UPS</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精密空调</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服务器</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零信任授权</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统一运维管理平台</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bidi="ar"/>
              </w:rPr>
              <w:t xml:space="preserve">1</w:t>
            </w:r>
            <w:r>
              <w:rPr>
                <w:rFonts w:hint="eastAsia" w:asciiTheme="minorEastAsia" w:hAnsiTheme="minorEastAsia" w:eastAsiaTheme="minorEastAsia" w:cstheme="minorEastAsia"/>
                <w:color w:val="000000"/>
                <w:sz w:val="24"/>
                <w:szCs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超融合软件</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r>
        <w:trPr>
          <w:trHeight w:val="288"/>
        </w:trPr>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系统集成</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ind w:firstLine="0"/>
              <w:jc w:val="center"/>
              <w:spacing w:line="2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参数详见性能需求</w:t>
            </w:r>
            <w:r/>
          </w:p>
        </w:tc>
      </w:tr>
    </w:tbl>
    <w:p>
      <w:pPr>
        <w:rPr>
          <w:rFonts w:hint="default"/>
        </w:rPr>
      </w:pPr>
      <w:r>
        <w:rPr>
          <w:rFonts w:hint="default"/>
        </w:rPr>
      </w:r>
      <w:r/>
    </w:p>
    <w:p>
      <w:pPr>
        <w:numPr>
          <w:ilvl w:val="0"/>
          <w:numId w:val="4"/>
        </w:numPr>
        <w:contextualSpacing/>
        <w:spacing w:before="240" w:line="360" w:lineRule="auto"/>
        <w:rPr>
          <w:rFonts w:hint="eastAsia" w:ascii="宋体" w:hAnsi="宋体" w:eastAsia="宋体" w:cs="宋体"/>
          <w:b/>
          <w:bCs w:val="0"/>
          <w:sz w:val="28"/>
          <w:szCs w:val="24"/>
          <w:highlight w:val="none"/>
          <w:shd w:val="clear" w:color="auto" w:fill="auto"/>
          <w:lang w:val="en-US" w:eastAsia="zh-CN"/>
        </w:rPr>
      </w:pPr>
      <w:r>
        <w:rPr>
          <w:rFonts w:hint="eastAsia" w:ascii="宋体" w:hAnsi="宋体" w:eastAsia="宋体" w:cs="宋体"/>
          <w:b/>
          <w:bCs w:val="0"/>
          <w:sz w:val="28"/>
          <w:szCs w:val="24"/>
          <w:highlight w:val="none"/>
          <w:shd w:val="clear" w:color="auto" w:fill="auto"/>
          <w:lang w:val="en-US" w:eastAsia="zh-CN"/>
        </w:rPr>
        <w:t xml:space="preserve">技术参数部分</w:t>
      </w:r>
      <w:r/>
    </w:p>
    <w:tbl>
      <w:tblPr>
        <w:tblStyle w:val="1211"/>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123"/>
        <w:gridCol w:w="1333"/>
        <w:gridCol w:w="1276"/>
        <w:gridCol w:w="3072"/>
        <w:gridCol w:w="709"/>
        <w:gridCol w:w="781"/>
      </w:tblGrid>
      <w:tr>
        <w:trPr>
          <w:jc w:val="center"/>
          <w:trHeight w:val="430"/>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序号</w:t>
            </w:r>
            <w:r/>
          </w:p>
        </w:tc>
        <w:tc>
          <w:tcPr>
            <w:tcW w:w="1123"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采购内容</w:t>
            </w:r>
            <w:r/>
          </w:p>
        </w:tc>
        <w:tc>
          <w:tcPr>
            <w:gridSpan w:val="3"/>
            <w:tcW w:w="5681"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技术参数</w:t>
            </w:r>
            <w:r/>
          </w:p>
        </w:tc>
        <w:tc>
          <w:tcPr>
            <w:tcW w:w="709"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数量</w:t>
            </w:r>
            <w:r/>
          </w:p>
        </w:tc>
        <w:tc>
          <w:tcPr>
            <w:tcW w:w="781"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单位</w:t>
            </w:r>
            <w:r/>
          </w:p>
        </w:tc>
      </w:tr>
      <w:tr>
        <w:trPr>
          <w:jc w:val="center"/>
          <w:trHeight w:val="3810"/>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区广域路由器</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1、交换容量：≥230Tbps，包转发性能：≥54000Mpps；</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2、采用国产芯片，自主可控，支持双主控双交换双转发架构，电源、风扇等部件冗余设计，支持主控交换板卡、电源、风扇、业务板卡的热插拔；线卡槽位数≥6；</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符合江苏省电子政务外网技术规范要求，采用SRv6技术为IPv6业务承载提供网络路径可编程能力，结合链路资源使用情况，实时动态调整流量路径；采用网络切片技术为IPv6业务提供确定性带宽保障；具备状态实时感知和故障快速定界能力，实配SRv6，网络切片，随流检测，telemetry等功能；</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4、单台实配：双主控，双电源，万兆光接口≥8；40km万兆单模光模块≥4，10km万兆单模光模块≥4；</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5、提供与市级对接纳管服务，被无锡市电子政务外网SDN控制器统一纳管（含授权）。</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1610"/>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出口交换机</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1、交换容量≥1.3Tbps；包转发率≥290Mpps；</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2、接口：24个10/100/1000BASE-T 以太网端口，4个万兆 SFP+，含4个10km万兆单模光模块；</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3、支持静态路由、 RIP、RIPng、OSPF、OSPFv3 协议；</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4、支持Telemetry、SNMP v1/v2/v3、Telnet、RMON。</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1630"/>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楼层汇聚交换机</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1、交换容量≥1.3Tbps；包转发率≥290Mpps；</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2、接口：24个10/100/1000BASE-T 以太网端口，4个万兆 SFP+，含4个10km万兆单模光模块；</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3、支持静态路由、 RIP、RIPng、OSPF、OSPFv3 协议；</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4、支持Telemetry、SNMP v1/v2/v3、Telnet、RMON。</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3830"/>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区城域核心路由器</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1、交换容量≥440Tbps，包转发性能≥108000Mpps；</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2、采用国产芯片，自主可控，支持双主控双交换双转发架构，电源、风扇等部件冗余设计，支持主控交换板卡、电源、风扇、业务板卡的热插拔；线卡槽位数≥12；</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符合江苏省电子政务外网技术规范要求，采用SRv6技术为IPv6业务承载提供网络路径可编程能力，结合链路资源使用情况，实时动态调整流量路径；采用网络切片技术为IPv6业务提供确定性带宽保障；具备状态实时感知和故障快速定界能力，实配SRv6，网络切片，随流检测，telemetry等功能；</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4、单台实配：双主控，双电源，万兆光接口≥20；10km万兆单模光模块≥10；</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5、提供与市级对接纳管服务，被无锡市电子政务外网SDN控制器统一纳管（含授权）。</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258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数据中心汇聚交换机</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1、交换容量≥100Tbps，包转发率≥76000Mpps，主控引擎≥2，整机业务板槽位数≥4，电源槽位数≥6，采用后出风风道设计；</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2、采用国产化CPU芯片，推动自主可控；</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3、支持静态路由、RIP、RIPng、OSPF、OSPFv3、BGP、BGP4+、ISIS、ISISv6；支持基于IPv6转发平面的段路由，网络切片等功能；</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4、支持Telemetry、SNMP v1/v2/v3、Telnet、RMON；</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5、单台实配：双主控，双电源模块，万兆光口≥48，千兆电口≥48，含SRv6、网络切片等功能。</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69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光模块</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万兆光模块：SFP+10单模模块，1310nm,10km,LC接口</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80</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个</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无线优化</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现有无线AP设备进行点位调整、位置迁移、角度调校、信道优化、功率适配调试等方式，完成无线网络整体性能升级。</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1.AP点位迁移与微调；</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2.补齐区域信号弱覆盖、彻底消除无线盲区；</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3.现场线路整理整治；</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4.设备固定加固。</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w:t>
            </w:r>
            <w:r/>
          </w:p>
        </w:tc>
      </w:tr>
      <w:tr>
        <w:trPr>
          <w:jc w:val="center"/>
          <w:trHeight w:val="415"/>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政务网防火墙</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1、性能要求：防火墙吞吐量≥80Gbps，最大并发连接数≥2500万，每秒新建连接数≥75万；</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2、接口要求：提供不少于8个GE COMBO，4个GE RJ45，10个10GE SFP+；</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3、采用国产化CPU芯片，推动自主可控；</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4、支持冗余电源，冗余风扇，支持科学的前后风道；</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5、单台实配：双电源，1块SSD硬盘，硬盘容量不少于1920G；</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6、五年IPS，AV，URL，Web防护特征库升级服务。</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零信任网关</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1、支持双主控，整机业务扩展插槽≥4，电源和风扇框采用冗余设计；</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2、采用国产化CPU芯片，推动自主可控；</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3、提供≥12000个零信任终端接入能力，安全代理每秒新建连接数 ≥24000，安全代理并发连接数≥24万；</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4、支持作为可信接入检控，对接零信任代理服务，对用户进行认证和鉴权，执行零信任代理服务下发的权限变更命令，实时控制用户访问；对接环境感知代理服务验证终端用户的设备令牌；</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5、支持作为可信接入代理，对接零信任代理服务对用户进行认证和鉴权；对接SDP控制器，根据SDP控制器下发的可信用户信息控制用户的访问；</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6、支持作为SDP网关，对接SDP控制器，根据SDP控制器下发的可信用户信息控制用户的访问；</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7、单台实配：双主控，双电源，万兆光接口≥12，10km万兆单模光模块≥12。</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互联网防火墙</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1、标准机架设备，双电源，防火墙吞吐量≥60Gbps，最大并发连接数≥900万，每秒新建连接数≥75万；</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2、标配不少于4个10/100/1000M自适应千兆电接口，不少于4个千兆SFP接口；配置不少于4端口万兆接口，标配液晶屏；</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3、支持下一代防火墙访问控制、入侵防御、网络防病毒、上网行为及URL分类管理、流控和IPSec VPN模块；</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4、五年IPS特征库、防病毒特征库、应用识别及URL分类库升级。</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上网行为管理</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1、实配不少于4个千兆电口，不少于4个千兆光口，不少于4个万兆光口，支持不少于2对电口Bypass,冗余电源；</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2、适配带宽：5G，网络吞吐量≥20G，最大并发连接数≥800万，推荐用户数：≥100000人； </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3、硬盘存储2T，设备内存64G，CF卡：4G，包含应用识别功能；</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4、五年系统版本、URL库及应用特征库升级许可。</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日志审计</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1、实配不少于6个千兆电口，冗余电源，系统盘≥128G，数据盘≥8T；</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2、日志采集处理速度≥10000EPS，包含500个日志源授权。含日志收集、存储、查询、统计分析、告警响应等功能；</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域名管理及IP地址分配管理系统</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1、设备实配16GB内存，1TB硬盘*1，10/100/1000M网络接口≥4，万兆端口（含模块）≥2，冗余电源；</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2、域名管理功能：QPS≥15万；IP地址分配域管理功能：LPS≥1500；</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3、5年策略库升级。</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零信任授权</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1、复用市级零信任管理平台，完成市级零信任平台对接；</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2、提供不少于9000个PC端永久授权；</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3、完成9000点客户端部署安装；</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4、开展运维赋能工作，通过业务应用发布、系统维护等实操指导，确保运维人员具备独立维护系统的能力。</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套</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统一运维管理平台</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1、支持标准SNMP协议采集，支持网络设备状态、性能数据采集；</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2、提供资源申请及变更退订、支持资源状态查询、故障申报；</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3、支持服务目录管理、业务审批开通、运营分析；</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4、支持告警管理、拓扑管理、自动巡检、网络质量管理、工单管理、统计报表；</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5、支持资产入库、维护、审批操作，提供资产状态查看等功能；</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6、支持消防安全监测、环境监测、视频及联动报警；</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7、完成与市级平台对接，含对接授权及接入设备终端数量授权，终端数量授权不少于200；</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8、5年软件支持。</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套</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超融合软件</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1、提供不少于6颗信创云平台CPU授权，支持信创CPU芯片；</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2、提供计算虚拟化软件模块、存储虚拟化软件模块。通过超融合管理平台上即可实现对计算、存储、网络、安全等资源的统一管理运维；</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3、超融合平台软件永久授权，五年技术支持；</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4、提供原有平台云主机业务迁移服务；</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套</w:t>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17</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中心机房UPS</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1、UPS功率为20KVA，塔式；</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2、输入电压范围为100-288V（相电压）；</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3、UPS的输入功率因数应大于等于0.99；</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4、UPS输出功率因数应不小于0.9；</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5、UPS在正常工作方式情况下，过载125%的工作时间，应不少于10分钟；</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6、设备具有液晶面板，显示UPS运行状态和相关数据。</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7、配套蓄电池：12V100AH*80节</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套</w:t>
            </w:r>
            <w:r/>
          </w:p>
        </w:tc>
      </w:tr>
      <w:tr>
        <w:trPr>
          <w:jc w:val="center"/>
          <w:trHeight w:val="1067"/>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18</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精密空调</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1、恒温恒湿，单系统，上/下送风；</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2、总冷量≥13kW，显冷量≥11.7kW，风量≥3100m3/h，显热比（显冷量/总冷量）≥0.9</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套</w:t>
            </w:r>
            <w:r/>
          </w:p>
        </w:tc>
      </w:tr>
      <w:tr>
        <w:trPr>
          <w:jc w:val="center"/>
          <w:trHeight w:val="56"/>
        </w:trPr>
        <w:tc>
          <w:tcPr>
            <w:tcW w:w="776" w:type="dxa"/>
            <w:vAlign w:val="center"/>
            <w:vMerge w:val="restart"/>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19</w:t>
            </w:r>
            <w:r/>
          </w:p>
        </w:tc>
        <w:tc>
          <w:tcPr>
            <w:tcW w:w="1123" w:type="dxa"/>
            <w:vAlign w:val="center"/>
            <w:vMerge w:val="restart"/>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服务器</w:t>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CPU规格</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CPU信息</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国产化C86架构处理器，单颗核心数≥16C，主频≥2.5GHz，缓存≥32M。</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供应商给出CPU信息，包含CPU型号、物理核心数、主频、末级缓存容量、线程数、热设计功耗及支持内存的最高速率、通道数和位宽</w:t>
            </w:r>
            <w:r/>
          </w:p>
        </w:tc>
        <w:tc>
          <w:tcPr>
            <w:tcW w:w="709" w:type="dxa"/>
            <w:vAlign w:val="center"/>
            <w:vMerge w:val="restart"/>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781" w:type="dxa"/>
            <w:vAlign w:val="center"/>
            <w:vMerge w:val="restart"/>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w:t>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实配CPU数量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主板规格</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主板支持的CPU和内存情况</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供应商给出主板支持的CPU和内存的型号数量</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主板内存槽数量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非板载内存的可扩展插槽数量应≥16个</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主板存储接口</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至少支持SATA、SAS、M.2、U.2等存储接口中的1种</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PCIe插槽接口</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符合PCIe3.0或以上的高速串行计算机扩展总线标准，PCIe的接口速率与位宽需保证向下兼容</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主板PCIe插槽数量及规格</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≥7个标准PCIe槽位</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内存规格</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内存数量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内存规格</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≥DDR4 2933</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内存通道</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支持多个内存接口通道，每个通道可支持1DPC或2DPC，当支持2DPC时，印制电路板上应具备插槽的序号标识，具体通道数应在随机文件中明确</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存储规格</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硬磁盘实配容量和数量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≥2块480G SSD系统盘；</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≥1块3.84T SSD缓存盘；</w:t>
            </w:r>
            <w:r/>
          </w:p>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≥3块16T SATA数据盘；</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硬盘插槽数量及规格</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供应商应给出配置的硬盘尺寸</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网络规格</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网口速率和数量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≥4个万兆光口含光模块；</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≥2个千兆电口</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外部接口规格</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显示接口</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显示接口类型应不少于1种，如：VGA、DP、HDMI等</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USB接口</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配备≥4个USB3.0接口</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电源模块数量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≥2个</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电源功率</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电源模块功率应有一定冗余，满足处理器满载时的需求</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整机规格</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外观和结构</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a)服务器的零部件应紧固无松动，可插拔部件应可靠连接，开关、按钮和其它控制部件应灵活可靠，布局应方便使用；</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b)产品表面不应有明显的凹痕、划伤、裂缝、变形和污染等。表面涂层均匀，不应起泡、龟裂、脱落和磨损，金属零部件无锈蚀及其它机械损伤；</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c)产品表面说明功能的文字、符号和标志应清晰、端正且牢固；</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d)应在服务器的显著位置提供运行状态的指示功能，并在随机文件中明确具体含义；</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f)高密度服务器应给出CPU个数与机柜高度；</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g)服务器尺寸具体要求在随机文件中明确</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尺寸（高×宽×深）</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供应商给出产品尺寸；</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设计应遵循标准化、系列化的要求；</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机箱的内部结构符合通用部件的安装需要</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环境适应性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气候环境适应性应符合GB/T 9813.3的有关规定，工作温度10℃～35℃,贮存运输温度-40℃～55℃;工作相对湿度35%～80%，贮存运输相对湿度20％～93%（40℃);大气压86kPa～106kPa</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机械环境适应性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机械环境适应性应符合GB/T 9813.3的有关规定</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噪声</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符合GB/T 9813.3的有关规定，在产品说明中给出具体测试值塔式服务器噪声在空闲状态下不大于50dB</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机柜规格</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机柜尺寸</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供应商给出长度、高度和深度</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主板功能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主板外部接口种类</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支持USB、显示、管理等接口，如：VGA、DP、HDMI、USB3.0、PS/2接口、BMC管理端口</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网络功能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网络功能</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支持网络连接、网络访问、数据交换和网络管控功能</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CPU功能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计算处理</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支持通用计算及虚拟化功能。处理器需集成整型计算单元、浮点计算单元、内存控制器、I/O模块等，处理器与存储部件、网络部件、I/O部件等组成计算系统，提供数据处理、网络接入等计算相关功能</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密码算法实现</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CPU芯片应符合GM/T 0008的相关规定，或芯片密码模块应符合GB/T 37092或GM/T 0028的相关规定</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电源功能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电源热插拔</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整机电源模块应具备热插拔功能</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电源过流保护</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支持过流及短路保护的功能</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整机功能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散热方式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支持风冷或液冷等散热方式</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管理系统功能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BMC固件基础功能</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1)支持DHCP设置网络功能；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2)支持静态IP设置网络功能；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3)支持设备日志记录，包括但不限于登录日志、操作日志和报警日志等功能；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4)支持日志信息导出和记录删除功能；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5)支持通过管理接口向外输出准确的报警信息功能；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6)设备的BMC管理软件应能够按报警的严重程度进行区分；</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7)支持IPMI2.0、SNMP或Redfish等接口功能；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8)支持键盘、鼠标和视频的重定向、文本控制台的重定向、远程虚拟媒体、高可靠的硬件监控和管理功能；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9)支持基于网络开启、关闭和重启设备的功能，并查询当前设备开机运行状态；</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10)支持故障提示功能，并可通过接口读取服务器故障信息；</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11)支持基于网络的固件更新功能，包括BMC和BIOS等；</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12)支持基于网络安装操作系统的功能，并可通过网络控制台访问设备；</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13)支持通过本地的硬盘或光驱等存储设备，基于网络完成设备的操作系统安装功能；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14)支持通过浏览器打开管理界面并登录功能；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15)支持设置口令策略功能；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16)支持访问权限设置功能，并通过日志记录访问事件；</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17)支持对出厂默认的用户名及口令进行安全保护功能，并提供默认口令修改提示；</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18)支持读取设备主板的工作环境温度功能；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19)支持读取服务器CPU等核心器件的温度功能；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20)支持通过外部管理工具进行BMC参数设置的功能，并可基于网络通过外部管理工具对BMC进行管理；</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21)应支持固件版本查询、固件升级;</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22)支持基于网络实现开关机和复位控制的功能；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23)BMC启动时间应不超过180s，实现功能包括网络、IPMI、散热、传感器服务可用；</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24)支持BMC固件设置的恢复出厂功能</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BIOS固件基础功能</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a）支持查看固件版本、内存信息、主板信息、处理器信息和系统时间信息功能；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b）支持上电初始化界面显示CPU信息、内存信息、固件版本和部分快捷键信息功能；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c）支持设置界面中英文显示切换功能；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d）支持查看PCIe设备信息，SATA设备信息功能；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e）支持操作系统安装和引导功能，应并向操作系统提供计算机主板信息和服务接口；</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f）支持设置启动顺序，并按照设置的启动顺序启动功能；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g）支持安全启动功能；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h）支持设置口令、修改口令、验证口令功能；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i）支持板载显示控制或独立显卡的显示控制功能；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j）支持RAID识别和启动功能；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k）支持串口重定向功能；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l）支持固件更新功能；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m）支持BIOS固件设置的恢复出厂功能；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n）支持网络引导启用和关闭功能</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远程控制</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支持远程关机和重新启动功能</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操作系统及驱动功能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操作系统及驱动的升级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支持通过网络、闪存盘对操作系统、驱动进行升级</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操作系统功能</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a)支持访问控制、安全审计、网络接入鉴别等功能；</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b)操作系统其他功能应满足操作系统政府采购需求</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中文信息处理功能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中文信息处理</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符合GB 18030的有关规定</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关键部件安全要求</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关键部件安全要求</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CPU和操作系统等关键部件应当符合安全可靠测评要求</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固件安全要求</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故障检测</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支持故障检测功能，可以检测到具体的FRU（内存、硬盘等）的故障并发出告警</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弱口令字典检查</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支持弱口令字典检查功能，出现在弱口令字典中的字符串不能被设置为用户口令</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白名单访问控制</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支持基于时间、IP或MAC白名单访问控制</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二次鉴别</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支持二次鉴别功能。对于用户配置、权限配置、公钥导入等重要的管理操作，已登录用户应通过二次鉴别后，才能执行操作</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密码证书安全加密存储</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支持对带外管理系统中的用户口令和证书等敏感信息进行加密存储，禁止使用私有的和业界已知不安全的密码算法</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敏感信息安全加密传输</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支持使用安全的传输加密协议（如SSH或HTTPS等）传输用户的敏感信息</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信息安全要求</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研发过程安全</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物理安全</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物理安全</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安全要求应符合GB 4943.1的规定</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限用物质的限量要求</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限用物质的限量要求</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限用物质的限量应符合GB/T26572的要求</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CPU性能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CPU主频</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≥2.5GHz</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单CPU核数</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单CPU末级缓存容量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≥32MB</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内存性能</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单内存模块容量</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≥32GB</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内存速率</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≥2933MT/s</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电源能耗</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电源能耗</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符合GB/T 9813.3的有关规定</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部件兼容性要求</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内存兼容性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适配3种及以上厂商的内存产品，且均不低于产品支持的内存规格</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固态存储兼容性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适配3种或以上厂商的固态存储产品，且均不低于产品支持的固态存储设备规格</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网卡兼容性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网卡应适配两种或以上厂商产品</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功能卡兼容性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内置或适配符合PCIe的功能卡，如：网络功能卡、存储功能卡及图形显示功能卡</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外设兼容性</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外设兼容性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兼容多种主流生产商的外部设备，包括显示器、键盘、鼠标、闪存盘、移动硬盘、USB光驱及KVM等，要求使用不同厂商的外部设备时，系统均能正常识别和安装驱动</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软件兼容性</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数据库兼容</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兼容3个及以上厂商的数据库产品</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中间件兼容</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兼容3个及以上厂商的中间件产品</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平台软件兼容</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兼容3个及以上厂商的大数据平台</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整机可靠性要求</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整机可靠性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m1值（MTBF的不可接受值）不得低于30000h</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风扇可靠性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风扇寿命应不低于40000h</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部件可靠性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支持硬盘、电源、风扇热插拔(内置风扇除外)</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包装及运输要求</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标志、包装、运输和贮存</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符合GB/T 9813.3和商品包装政府采购需求标准的相关规定</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服务响应</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服务响应</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a）提供电话、电子邮件、远程连接等多种形式服务；</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b）提供同城4小时、异地12小时技术响应服务，2个工作日解决问题，对于未能解决的问题和故障应提供可行的升级方案，并提供周转设备；</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c）服务周期内提供产品的维修、换件和升级服务；</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d）技术支持的方式包括：远程技术服务、现场技术服务、现场备件更换等</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培训服务</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供应商提供培训材料、产品手册、培训视频等培训相关内容</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服务周期</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服务周期</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a)产品免费服务周期（含换件和维修）应不小于5年；</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b)设备停产后继续提供质量保障服务（含备品备件），服务终止时间与最后一批设备交付时间间隔不低于6年；</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c)产品停止服务时间应提前1年告知客户；</w:t>
            </w:r>
            <w:r>
              <w:rPr>
                <w:rFonts w:hint="eastAsia" w:asciiTheme="minorEastAsia" w:hAnsiTheme="minorEastAsia" w:eastAsiaTheme="minorEastAsia" w:cstheme="minorEastAsia"/>
                <w:color w:val="000000" w:themeColor="text1"/>
                <w:sz w:val="24"/>
                <w:szCs w:val="24"/>
                <w14:textFill>
                  <w14:solidFill>
                    <w14:schemeClr w14:val="tx1"/>
                  </w14:solidFill>
                </w14:textFill>
              </w:rPr>
              <w:br w:type="textWrapping"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d)产品发布日期需在随机文件中明确</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服务工具要求</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工具要求</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供应商提供设置服务器硬件、辅助操作系统安装等功能的辅助工具和管理软件。且随附软件应具有合法授权或版权</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驱动安装升级指引</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供应商提供出厂安装的配件所需的驱动程序，形式包括但不限于驱动光盘、驱动下载链接等。其他配件应提供指引</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管理软件</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具备资源管理、系统管理、性能监控、健康监控、基于网络控制、报警设置功能</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增值服务</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厂家升级产品软件与扩容服务</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供应商提供原厂级的部件/软件产品升级和扩容能力</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提供上门服务</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供应商具备提供上门服务的能力(可收费)</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restart"/>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供应链质量</w:t>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抗干扰性</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当产品部件出现供应风险时，应通知客户并提供风险应对方案确保产品的服务保障，必要时应停止相关受影响产品的销售</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5"/>
        </w:trPr>
        <w:tc>
          <w:tcPr>
            <w:tcW w:w="776" w:type="dxa"/>
            <w:vAlign w:val="center"/>
            <w:vMerge w:val="continue"/>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23"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333" w:type="dxa"/>
            <w:vAlign w:val="center"/>
            <w:vMerge w:val="continue"/>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276"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供应能力证明</w:t>
            </w:r>
            <w:r/>
          </w:p>
        </w:tc>
        <w:tc>
          <w:tcPr>
            <w:tcW w:w="3072"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供应商提供供应链稳定承诺书，确保产品的部件在产品服务周期内稳定供货</w:t>
            </w:r>
            <w:r/>
          </w:p>
        </w:tc>
        <w:tc>
          <w:tcPr>
            <w:tcW w:w="709"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781" w:type="dxa"/>
            <w:vAlign w:val="center"/>
            <w:vMerge w:val="continue"/>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1829"/>
        </w:trPr>
        <w:tc>
          <w:tcPr>
            <w:tcW w:w="776" w:type="dxa"/>
            <w:vAlign w:val="center"/>
            <w:textDirection w:val="lrTb"/>
            <w:noWrap w:val="false"/>
          </w:tcPr>
          <w:p>
            <w:pPr>
              <w:ind w:firstLine="0"/>
              <w:jc w:val="center"/>
              <w:spacing w:line="2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w:t>
            </w:r>
            <w:r/>
          </w:p>
        </w:tc>
        <w:tc>
          <w:tcPr>
            <w:tcW w:w="1123"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系统集成</w:t>
            </w:r>
            <w:r/>
          </w:p>
        </w:tc>
        <w:tc>
          <w:tcPr>
            <w:gridSpan w:val="3"/>
            <w:tcW w:w="5681" w:type="dxa"/>
            <w:vAlign w:val="center"/>
            <w:textDirection w:val="lrTb"/>
            <w:noWrap w:val="false"/>
          </w:tcPr>
          <w:p>
            <w:pPr>
              <w:ind w:firstLine="0"/>
              <w:jc w:val="left"/>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完成硬件设备安装调试、软件部署、软硬件集成、网络构建与优化、安全体系建设、运维培训、网络割接、专家服务支持等内容。</w:t>
            </w:r>
            <w:r/>
          </w:p>
        </w:tc>
        <w:tc>
          <w:tcPr>
            <w:tcW w:w="709"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781" w:type="dxa"/>
            <w:vAlign w:val="center"/>
            <w:textDirection w:val="lrTb"/>
            <w:noWrap w:val="false"/>
          </w:tcPr>
          <w:p>
            <w:pPr>
              <w:ind w:firstLine="0"/>
              <w:jc w:val="center"/>
              <w:spacing w:line="2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w:t>
            </w:r>
            <w:r/>
          </w:p>
        </w:tc>
      </w:tr>
    </w:tbl>
    <w:p>
      <w:pPr>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640"/>
        <w:spacing w:line="600" w:lineRule="exact"/>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Cs/>
          <w:sz w:val="24"/>
          <w:szCs w:val="24"/>
        </w:rPr>
        <w:t xml:space="preserve">注：</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依据财政部、发展改革委发布的《节能产品政府采购品目清单》，本项目中</w:t>
      </w:r>
      <w:r>
        <w:rPr>
          <w:rFonts w:hint="eastAsia" w:asciiTheme="minorEastAsia" w:hAnsiTheme="minorEastAsia" w:eastAsiaTheme="minorEastAsia" w:cstheme="minorEastAsia"/>
          <w:b/>
          <w:sz w:val="32"/>
          <w:szCs w:val="32"/>
        </w:rPr>
        <w:t xml:space="preserve">服务器</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依据国家市场监督管理总局发布的《强制性产品认证目录描述与界定》，属于强制性产品认证目录内产品，只能选择具有CCC认证证书的产品进行报价；本项目中信息安全产品，必须选择由中国信息安全认证中心（中国网络安全审查技术与认证中心）颁发认证证书的产品。</w:t>
      </w:r>
      <w:r>
        <w:rPr>
          <w:rFonts w:hint="eastAsia" w:asciiTheme="minorEastAsia" w:hAnsiTheme="minorEastAsia" w:eastAsiaTheme="minorEastAsia" w:cstheme="minorEastAsia"/>
          <w:b/>
          <w:color w:val="000000" w:themeColor="text1"/>
          <w:sz w:val="32"/>
          <w:szCs w:val="32"/>
          <w14:textFill>
            <w14:solidFill>
              <w14:schemeClr w14:val="tx1"/>
            </w14:solidFill>
          </w14:textFill>
        </w:rPr>
        <w:t xml:space="preserve">供应商须承诺中标后按要求提供上述要求提供的证明材料，投标时只需要提供承诺书（格式自拟），未提供承诺书的，作为无效投标处理。</w:t>
      </w:r>
      <w:r/>
    </w:p>
    <w:p>
      <w:pPr>
        <w:ind w:firstLine="480"/>
        <w:spacing w:line="36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w:t>
      </w:r>
      <w:r>
        <w:rPr>
          <w:rFonts w:ascii="宋体" w:hAnsi="宋体" w:eastAsia="宋体" w:cs="宋体"/>
          <w:b/>
          <w:bCs/>
          <w:sz w:val="24"/>
          <w:szCs w:val="24"/>
          <w:lang w:val="zh-CN"/>
        </w:rPr>
        <w:t xml:space="preserve">本采购需求中涉及量化指标区间的，</w:t>
      </w:r>
      <w:r>
        <w:rPr>
          <w:rFonts w:ascii="宋体" w:hAnsi="宋体" w:eastAsia="宋体" w:cs="宋体"/>
          <w:sz w:val="24"/>
          <w:szCs w:val="24"/>
          <w:lang w:val="zh-CN"/>
        </w:rPr>
        <w:t xml:space="preserve">区间首个数值为最低强制性标准，投标人须全部满足，未达标准视为负偏离</w:t>
      </w:r>
      <w:r>
        <w:rPr>
          <w:rFonts w:hint="eastAsia" w:ascii="宋体" w:hAnsi="宋体" w:eastAsia="宋体" w:cs="宋体"/>
          <w:b/>
          <w:bCs/>
          <w:sz w:val="24"/>
          <w:szCs w:val="24"/>
          <w:lang w:val="zh-CN"/>
        </w:rPr>
        <w:t xml:space="preserve">。</w:t>
      </w:r>
      <w:r/>
    </w:p>
    <w:p>
      <w:pPr>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3.本项目</w:t>
      </w:r>
      <w:r>
        <w:rPr>
          <w:rFonts w:hint="eastAsia" w:ascii="宋体" w:hAnsi="宋体" w:eastAsia="宋体" w:cs="宋体"/>
          <w:b/>
          <w:bCs/>
          <w:sz w:val="24"/>
          <w:szCs w:val="24"/>
          <w:lang w:val="en-US" w:eastAsia="zh-CN"/>
        </w:rPr>
        <w:t xml:space="preserve">不</w:t>
      </w:r>
      <w:r>
        <w:rPr>
          <w:rFonts w:hint="eastAsia" w:ascii="宋体" w:hAnsi="宋体" w:eastAsia="宋体" w:cs="宋体"/>
          <w:b/>
          <w:bCs/>
          <w:sz w:val="24"/>
          <w:szCs w:val="24"/>
          <w:lang w:val="zh-CN"/>
        </w:rPr>
        <w:t xml:space="preserve">收取履约保证金，详见合同条款</w:t>
      </w:r>
      <w:r/>
    </w:p>
    <w:p>
      <w:pPr>
        <w:pStyle w:val="120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bookmarkStart w:id="23" w:name="_Toc3995"/>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1202"/>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02"/>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02"/>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02"/>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202"/>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r/>
    </w:p>
    <w:p>
      <w:pPr>
        <w:pStyle w:val="1195"/>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b w:val="0"/>
          <w:bCs w:val="0"/>
          <w:color w:val="000000" w:themeColor="text1"/>
          <w:sz w:val="28"/>
          <w:szCs w:val="28"/>
          <w14:textFill>
            <w14:solidFill>
              <w14:schemeClr w14:val="tx1"/>
            </w14:solidFill>
          </w14:textFill>
        </w:rPr>
        <w:t xml:space="preserve">第一节 </w:t>
      </w:r>
      <w:r>
        <w:rPr>
          <w:rFonts w:hint="eastAsia" w:ascii="黑体" w:hAnsi="华文中宋" w:eastAsia="黑体"/>
          <w:b w:val="0"/>
          <w:bCs w:val="0"/>
          <w:color w:val="000000" w:themeColor="text1"/>
          <w:sz w:val="28"/>
          <w:szCs w:val="28"/>
          <w14:textFill>
            <w14:solidFill>
              <w14:schemeClr w14:val="tx1"/>
            </w14:solidFill>
          </w14:textFill>
        </w:rPr>
        <w:t xml:space="preserve">政府采购合同协议书</w:t>
      </w:r>
      <w:bookmarkEnd w:id="24"/>
      <w:r/>
      <w:r/>
    </w:p>
    <w:p>
      <w:pPr>
        <w:pStyle w:val="1195"/>
        <w:jc w:val="center"/>
        <w:spacing w:line="400" w:lineRule="exact"/>
        <w:rPr>
          <w:rFonts w:hint="eastAsia"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b w:val="0"/>
          <w:bCs w:val="0"/>
          <w:color w:val="000000" w:themeColor="text1"/>
          <w:sz w:val="28"/>
          <w:szCs w:val="28"/>
          <w14:textFill>
            <w14:solidFill>
              <w14:schemeClr w14:val="tx1"/>
            </w14:solidFill>
          </w14:textFill>
        </w:rPr>
      </w:r>
      <w:r/>
    </w:p>
    <w:p>
      <w:pPr>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w:t>
      </w:r>
      <w:r>
        <w:rPr>
          <w:rFonts w:hint="eastAsia" w:ascii="宋体" w:hAnsi="宋体"/>
          <w:color w:val="000000" w:themeColor="text1"/>
          <w:szCs w:val="21"/>
          <w:u w:val="single"/>
          <w:lang w:val="en-US" w:eastAsia="zh-CN"/>
          <w14:textFill>
            <w14:solidFill>
              <w14:schemeClr w14:val="tx1"/>
            </w14:solidFill>
          </w14:textFill>
        </w:rPr>
        <w:t xml:space="preserve">无锡市锡山区区域治理现代化指挥中心</w:t>
      </w:r>
      <w:r>
        <w:rPr>
          <w:rFonts w:hint="eastAsia" w:ascii="宋体" w:hAnsi="宋体"/>
          <w:color w:val="000000" w:themeColor="text1"/>
          <w:szCs w:val="21"/>
          <w14:textFill>
            <w14:solidFill>
              <w14:schemeClr w14:val="tx1"/>
            </w14:solidFill>
          </w14:textFill>
        </w:rPr>
        <w:t xml:space="preserve">（采购人</w:t>
      </w:r>
      <w:r>
        <w:rPr>
          <w:rFonts w:hint="eastAsia" w:ascii="宋体" w:hAnsi="宋体"/>
          <w:color w:val="000000" w:themeColor="text1"/>
          <w:szCs w:val="21"/>
          <w:lang w:eastAsia="zh-CN"/>
          <w14:textFill>
            <w14:solidFill>
              <w14:schemeClr w14:val="tx1"/>
            </w14:solidFill>
          </w14:textFill>
        </w:rPr>
        <w:t xml:space="preserve">、受采购人委托签订合同的单位</w:t>
      </w:r>
      <w:r>
        <w:rPr>
          <w:rFonts w:hint="eastAsia" w:ascii="宋体" w:hAnsi="宋体"/>
          <w:color w:val="000000" w:themeColor="text1"/>
          <w:szCs w:val="21"/>
          <w14:textFill>
            <w14:solidFill>
              <w14:schemeClr w14:val="tx1"/>
            </w14:solidFill>
          </w14:textFill>
        </w:rPr>
        <w:t xml:space="preserve">或采购文件约定的合同甲方）</w:t>
      </w:r>
      <w:r/>
    </w:p>
    <w:p>
      <w:pPr>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w:t>
      </w:r>
      <w:r>
        <w:rPr>
          <w:rFonts w:hint="eastAsia" w:ascii="宋体" w:hAnsi="宋体"/>
          <w:color w:val="000000" w:themeColor="text1"/>
          <w:szCs w:val="21"/>
          <w:lang w:val="en-US" w:eastAsia="zh-CN"/>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before="0" w:line="400" w:lineRule="exact"/>
        <w:rPr>
          <w:rFonts w:hint="eastAsia" w:ascii="宋体" w:hAnsi="宋体"/>
          <w:color w:val="000000" w:themeColor="text1"/>
          <w:szCs w:val="21"/>
          <w14:textFill>
            <w14:solidFill>
              <w14:schemeClr w14:val="tx1"/>
            </w14:solidFill>
          </w14:textFill>
        </w:rPr>
      </w:pPr>
      <w:r>
        <w:rPr>
          <w:rFonts w:hint="eastAsia"/>
          <w:color w:val="000000" w:themeColor="text1"/>
          <w:lang w:eastAsia="zh-CN"/>
          <w14:textFill>
            <w14:solidFill>
              <w14:schemeClr w14:val="tx1"/>
            </w14:solidFill>
          </w14:textFill>
        </w:rPr>
        <w:t xml:space="preserve">乙方</w:t>
      </w:r>
      <w:r>
        <w:rPr>
          <w:rFonts w:hint="eastAsia" w:ascii="宋体" w:hAnsi="宋体"/>
          <w:color w:val="000000" w:themeColor="text1"/>
          <w:szCs w:val="21"/>
          <w:lang w:val="en-US" w:eastAsia="zh-CN"/>
          <w14:textFill>
            <w14:solidFill>
              <w14:schemeClr w14:val="tx1"/>
            </w14:solidFill>
          </w14:textFill>
        </w:rPr>
        <w:t xml:space="preserve">3</w:t>
      </w:r>
      <w:r>
        <w:rPr>
          <w:rFonts w:hint="eastAsia"/>
          <w:color w:val="000000" w:themeColor="text1"/>
          <w:lang w:val="en-US" w:eastAsia="zh-CN"/>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r>
      <w:r/>
    </w:p>
    <w:p>
      <w:pPr>
        <w:pStyle w:val="1205"/>
        <w:ind w:left="0" w:firstLine="420"/>
        <w:spacing w:before="0"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中华人民共和国政府采购法》等有关的法律法规，以及</w:t>
      </w:r>
      <w:r>
        <w:rPr>
          <w:rFonts w:hint="eastAsia" w:ascii="宋体" w:hAnsi="宋体"/>
          <w:i w:val="0"/>
          <w:iCs w:val="0"/>
          <w:color w:val="000000" w:themeColor="text1"/>
          <w:szCs w:val="21"/>
          <w:u w:val="none"/>
          <w:lang w:eastAsia="zh-CN"/>
          <w14:textFill>
            <w14:solidFill>
              <w14:schemeClr w14:val="tx1"/>
            </w14:solidFill>
          </w14:textFill>
        </w:rPr>
        <w:t xml:space="preserve">本采购项目</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lang w:eastAsia="zh-CN"/>
          <w14:textFill>
            <w14:solidFill>
              <w14:schemeClr w14:val="tx1"/>
            </w14:solidFill>
          </w14:textFill>
        </w:rPr>
        <w:t xml:space="preserve">招标</w:t>
      </w:r>
      <w:r>
        <w:rPr>
          <w:rFonts w:hint="eastAsia" w:ascii="宋体" w:hAnsi="宋体"/>
          <w:color w:val="000000" w:themeColor="text1"/>
          <w:szCs w:val="21"/>
          <w:lang w:val="en-US" w:eastAsia="zh-CN"/>
          <w14:textFill>
            <w14:solidFill>
              <w14:schemeClr w14:val="tx1"/>
            </w14:solidFill>
          </w14:textFill>
        </w:rPr>
        <w:t xml:space="preserve">/谈判</w:t>
      </w:r>
      <w:r>
        <w:rPr>
          <w:rFonts w:hint="eastAsia" w:ascii="宋体" w:hAnsi="宋体"/>
          <w:color w:val="000000" w:themeColor="text1"/>
          <w:szCs w:val="21"/>
          <w:lang w:eastAsia="zh-CN"/>
          <w14:textFill>
            <w14:solidFill>
              <w14:schemeClr w14:val="tx1"/>
            </w14:solidFill>
          </w14:textFill>
        </w:rPr>
        <w:t xml:space="preserve">文件等</w:t>
      </w:r>
      <w:r>
        <w:rPr>
          <w:rFonts w:hint="eastAsia" w:ascii="宋体" w:hAnsi="宋体"/>
          <w:color w:val="000000" w:themeColor="text1"/>
          <w:szCs w:val="21"/>
          <w14:textFill>
            <w14:solidFill>
              <w14:schemeClr w14:val="tx1"/>
            </w14:solidFill>
          </w14:textFill>
        </w:rPr>
        <w:t xml:space="preserve">采购文件</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乙方的《投标（响应）文件》及《中标（成交）通知书》，甲乙双方同意签订本合同。具体情况及要求如下：     </w:t>
      </w:r>
      <w:r/>
    </w:p>
    <w:p>
      <w:pPr>
        <w:numPr>
          <w:ilvl w:val="0"/>
          <w:numId w:val="5"/>
        </w:numPr>
        <w:ind w:firstLine="420"/>
        <w:spacing w:before="0"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1205"/>
        <w:numPr>
          <w:ilvl w:val="0"/>
          <w:numId w:val="6"/>
        </w:numPr>
        <w:ind w:left="0" w:firstLine="420"/>
        <w:spacing w:before="0" w:after="0" w:line="40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s="Times New Roman"/>
          <w:color w:val="000000" w:themeColor="text1"/>
          <w:sz w:val="21"/>
          <w:szCs w:val="21"/>
          <w:u w:val="single"/>
          <w:lang w:val="en-US" w:eastAsia="zh-CN" w:bidi="ar-SA"/>
          <w14:textFill>
            <w14:solidFill>
              <w14:schemeClr w14:val="tx1"/>
            </w14:solidFill>
          </w14:textFill>
        </w:rPr>
        <w:t xml:space="preserve">无锡市锡山区政务外网核心层升级改造项目</w:t>
      </w:r>
      <w:r/>
    </w:p>
    <w:p>
      <w:pPr>
        <w:pStyle w:val="1205"/>
        <w:numPr>
          <w:ilvl w:val="-1"/>
          <w:numId w:val="0"/>
        </w:numPr>
        <w:ind w:left="0" w:firstLine="0"/>
        <w:spacing w:before="0" w:after="0" w:line="400" w:lineRule="exact"/>
        <w:tabs>
          <w:tab w:val="left" w:pos="999" w:leader="none"/>
        </w:tabs>
        <w:rPr>
          <w:rFonts w:hint="default" w:ascii="宋体" w:hAnsi="宋体" w:eastAsia="宋体"/>
          <w:color w:val="000000" w:themeColor="text1"/>
          <w:szCs w:val="21"/>
          <w:u w:val="none"/>
          <w:lang w:val="en-US" w:eastAsia="zh-CN"/>
          <w14:textFill>
            <w14:solidFill>
              <w14:schemeClr w14:val="tx1"/>
            </w14:solidFill>
          </w14:textFill>
        </w:rPr>
      </w:pPr>
      <w:r>
        <w:rPr>
          <w:rFonts w:hint="eastAsia" w:ascii="宋体" w:hAnsi="宋体"/>
          <w:color w:val="000000" w:themeColor="text1"/>
          <w:szCs w:val="21"/>
          <w:u w:val="none"/>
          <w:lang w:val="en-US" w:eastAsia="zh-CN"/>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1205"/>
        <w:ind w:left="0" w:firstLine="420"/>
        <w:spacing w:before="0"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before="0" w:line="400" w:lineRule="exac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采购标的及数量</w:t>
      </w:r>
      <w:r>
        <w:rPr>
          <w:rFonts w:hint="eastAsia" w:ascii="宋体" w:hAnsi="宋体"/>
          <w:color w:val="000000" w:themeColor="text1"/>
          <w:szCs w:val="21"/>
          <w:lang w:val="en-US" w:eastAsia="zh-CN"/>
          <w14:textFill>
            <w14:solidFill>
              <w14:schemeClr w14:val="tx1"/>
            </w14:solidFill>
          </w14:textFill>
        </w:rPr>
        <w:t xml:space="preserve">（台/套</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个</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架</w:t>
      </w:r>
      <w:r>
        <w:rPr>
          <w:rFonts w:hint="default" w:ascii="宋体" w:hAnsi="宋体"/>
          <w:color w:val="000000" w:themeColor="text1"/>
          <w:szCs w:val="21"/>
          <w:lang w:val="en" w:eastAsia="zh-CN"/>
          <w14:textFill>
            <w14:solidFill>
              <w14:schemeClr w14:val="tx1"/>
            </w14:solidFill>
          </w14:textFill>
        </w:rPr>
        <w:t xml:space="preserve">/</w:t>
      </w:r>
      <w:r>
        <w:rPr>
          <w:rFonts w:hint="eastAsia" w:ascii="宋体" w:hAnsi="宋体"/>
          <w:color w:val="000000" w:themeColor="text1"/>
          <w:szCs w:val="21"/>
          <w:lang w:val="en" w:eastAsia="zh-CN"/>
          <w14:textFill>
            <w14:solidFill>
              <w14:schemeClr w14:val="tx1"/>
            </w14:solidFill>
          </w14:textFill>
        </w:rPr>
        <w:t xml:space="preserve">组等</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non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 </w:t>
      </w:r>
      <w:r/>
    </w:p>
    <w:p>
      <w:pPr>
        <w:numPr>
          <w:ilvl w:val="-1"/>
          <w:numId w:val="0"/>
        </w:numPr>
        <w:ind w:firstLine="420"/>
        <w:spacing w:before="0" w:line="400" w:lineRule="exact"/>
        <w:rPr>
          <w:rFonts w:hint="default" w:ascii="宋体" w:hAnsi="宋体" w:cs="宋体"/>
          <w:color w:val="000000" w:themeColor="text1"/>
          <w:szCs w:val="21"/>
          <w:lang w:val="en"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品牌：</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none"/>
          <w:lang w:val="en"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规格型号：</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p>
    <w:p>
      <w:pPr>
        <w:ind w:firstLine="945"/>
        <w:spacing w:before="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采购标的的技术要求、商务要求具体见附件。</w:t>
      </w:r>
      <w:r/>
    </w:p>
    <w:p>
      <w:pPr>
        <w:numPr>
          <w:ilvl w:val="-1"/>
          <w:numId w:val="0"/>
        </w:numPr>
        <w:ind w:firstLine="945"/>
        <w:spacing w:before="0" w:line="400" w:lineRule="exact"/>
        <w:rPr>
          <w:rFonts w:hint="eastAsia" w:ascii="宋体" w:hAnsi="宋体" w:cs="宋体"/>
          <w:color w:val="000000" w:themeColor="text1"/>
          <w:szCs w:val="21"/>
          <w:lang w:val="en-US" w:eastAsia="zh-CN"/>
          <w14:textFill>
            <w14:solidFill>
              <w14:schemeClr w14:val="tx1"/>
            </w14:solidFill>
          </w14:textFill>
        </w:rPr>
      </w:pPr>
      <w:r>
        <w:rPr>
          <w:rFonts w:hint="eastAsia" w:ascii="汉仪书宋二S" w:hAnsi="汉仪书宋二S" w:eastAsia="汉仪书宋二S" w:cs="汉仪书宋二S"/>
          <w:color w:val="000000" w:themeColor="text1"/>
          <w:szCs w:val="21"/>
          <w:lang w:val="en-US" w:eastAsia="zh-CN"/>
          <w14:textFill>
            <w14:solidFill>
              <w14:schemeClr w14:val="tx1"/>
            </w14:solidFill>
          </w14:textFill>
        </w:rPr>
        <w:t xml:space="preserve">①</w:t>
      </w:r>
      <w:r>
        <w:rPr>
          <w:rFonts w:hint="eastAsia" w:ascii="宋体" w:hAnsi="宋体" w:cs="宋体"/>
          <w:color w:val="000000" w:themeColor="text1"/>
          <w:szCs w:val="21"/>
          <w:lang w:val="en-US" w:eastAsia="zh-CN"/>
          <w14:textFill>
            <w14:solidFill>
              <w14:schemeClr w14:val="tx1"/>
            </w14:solidFill>
          </w14:textFill>
        </w:rPr>
        <w:t xml:space="preserve">涉及信息类产品，请填写该产品关键部件的品牌、型号：</w:t>
      </w:r>
      <w:r/>
    </w:p>
    <w:p>
      <w:pPr>
        <w:numPr>
          <w:ilvl w:val="-1"/>
          <w:numId w:val="0"/>
        </w:numPr>
        <w:ind w:firstLine="420"/>
        <w:spacing w:before="0" w:line="400" w:lineRule="exact"/>
        <w:rPr>
          <w:rFonts w:hint="eastAsia" w:ascii="宋体" w:hAnsi="宋体" w:cs="宋体"/>
          <w:color w:val="000000" w:themeColor="text1"/>
          <w:szCs w:val="21"/>
          <w:u w:val="single"/>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标的名称：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default" w:ascii="宋体" w:hAnsi="宋体" w:cs="宋体"/>
          <w:color w:val="000000" w:themeColor="text1"/>
          <w:szCs w:val="21"/>
          <w:u w:val="single"/>
          <w:lang w:val="en"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p>
    <w:p>
      <w:pPr>
        <w:numPr>
          <w:ilvl w:val="-1"/>
          <w:numId w:val="0"/>
        </w:numPr>
        <w:ind w:firstLine="420"/>
        <w:spacing w:before="0" w:line="400" w:lineRule="exact"/>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关键部件：</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品牌：</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non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型号：</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p>
    <w:p>
      <w:pPr>
        <w:pStyle w:val="1228"/>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关键部件：</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品牌：</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型号：</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p>
    <w:p>
      <w:pPr>
        <w:pStyle w:val="1228"/>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关键部件：</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品牌：</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型号：</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p>
    <w:p>
      <w:pPr>
        <w:pStyle w:val="1228"/>
        <w:numPr>
          <w:ilvl w:val="-1"/>
          <w:numId w:val="0"/>
        </w:numPr>
        <w:ind w:firstLine="0"/>
        <w:spacing w:before="0"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228"/>
        <w:numPr>
          <w:ilvl w:val="-1"/>
          <w:numId w:val="0"/>
        </w:numPr>
        <w:ind w:firstLine="0"/>
        <w:spacing w:before="0" w:line="400" w:lineRule="exac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汉仪书宋二S" w:hAnsi="汉仪书宋二S" w:eastAsia="汉仪书宋二S" w:cs="汉仪书宋二S"/>
          <w:color w:val="000000" w:themeColor="text1"/>
          <w:sz w:val="21"/>
          <w:szCs w:val="21"/>
          <w:lang w:val="en-US" w:eastAsia="zh-CN"/>
          <w14:textFill>
            <w14:solidFill>
              <w14:schemeClr w14:val="tx1"/>
            </w14:solidFill>
          </w14:textFill>
        </w:rPr>
        <w:t xml:space="preserve">②</w:t>
      </w:r>
      <w:r>
        <w:rPr>
          <w:rFonts w:hint="eastAsia" w:ascii="宋体" w:hAnsi="宋体" w:eastAsia="宋体" w:cs="宋体"/>
          <w:color w:val="000000" w:themeColor="text1"/>
          <w:sz w:val="21"/>
          <w:szCs w:val="21"/>
          <w:lang w:val="en-US" w:eastAsia="zh-CN"/>
          <w14:textFill>
            <w14:solidFill>
              <w14:schemeClr w14:val="tx1"/>
            </w14:solidFill>
          </w14:textFill>
        </w:rPr>
        <w:t xml:space="preserve">涉及车辆采购，请填写是否属于新能源汽车：</w:t>
      </w:r>
      <w:r/>
    </w:p>
    <w:p>
      <w:pPr>
        <w:pStyle w:val="1228"/>
        <w:numPr>
          <w:ilvl w:val="-1"/>
          <w:numId w:val="0"/>
        </w:numPr>
        <w:ind w:firstLine="0"/>
        <w:spacing w:before="0" w:line="400" w:lineRule="exact"/>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14:textFill>
            <w14:solidFill>
              <w14:schemeClr w14:val="tx1"/>
            </w14:solidFill>
          </w14:textFill>
        </w:rPr>
        <w:t xml:space="preserve">是</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，《政府采购品目分类目录》底级品目名称</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金额：</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p>
    <w:p>
      <w:pPr>
        <w:pStyle w:val="1228"/>
        <w:numPr>
          <w:ilvl w:val="-1"/>
          <w:numId w:val="0"/>
        </w:numPr>
        <w:ind w:firstLine="0"/>
        <w:spacing w:before="0" w:line="400" w:lineRule="exact"/>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否</w:t>
      </w:r>
      <w:r/>
    </w:p>
    <w:p>
      <w:pPr>
        <w:pStyle w:val="1228"/>
        <w:numPr>
          <w:ilvl w:val="-1"/>
          <w:numId w:val="0"/>
        </w:numPr>
        <w:ind w:left="0" w:firstLine="0"/>
        <w:spacing w:before="0" w:line="400" w:lineRule="exact"/>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hint="default" w:asciiTheme="minorEastAsia" w:hAnsiTheme="minorEastAsia" w:eastAsiaTheme="minorEastAsia" w:cstheme="minorEastAsia"/>
          <w:iCs w:val="0"/>
          <w:color w:val="000000" w:themeColor="text1"/>
          <w:sz w:val="21"/>
          <w:szCs w:val="21"/>
          <w:lang w:val="en" w:eastAsia="zh-CN"/>
          <w14:textFill>
            <w14:solidFill>
              <w14:schemeClr w14:val="tx1"/>
            </w14:solidFill>
          </w14:textFill>
        </w:rPr>
        <w:t xml:space="preserve">4</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）政府采购组织形式：</w:t>
      </w:r>
      <w:r>
        <w:rPr>
          <w:rFonts w:ascii="Wingdings" w:hAnsi="Wingdings" w:eastAsia="Wingdings" w:cs="Wingdings"/>
          <w:iCs w:val="0"/>
          <w:color w:val="000000" w:themeColor="text1"/>
          <w:sz w:val="21"/>
          <w:szCs w:val="21"/>
          <w14:textFill>
            <w14:solidFill>
              <w14:schemeClr w14:val="tx1"/>
            </w14:solidFill>
          </w14:textFill>
        </w:rPr>
        <w:t xml:space="preserve">þ</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政府集中采购</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部门集中采购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分散采购</w:t>
      </w:r>
      <w:r/>
    </w:p>
    <w:p>
      <w:pPr>
        <w:pStyle w:val="1228"/>
        <w:numPr>
          <w:ilvl w:val="-1"/>
          <w:numId w:val="0"/>
        </w:numPr>
        <w:ind w:left="0" w:firstLine="420"/>
        <w:spacing w:before="0" w:line="400" w:lineRule="exact"/>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w:t>
      </w:r>
      <w:r>
        <w:rPr>
          <w:rFonts w:hint="default" w:asciiTheme="minorEastAsia" w:hAnsiTheme="minorEastAsia" w:eastAsiaTheme="minorEastAsia" w:cstheme="minorEastAsia"/>
          <w:iCs w:val="0"/>
          <w:color w:val="000000" w:themeColor="text1"/>
          <w:sz w:val="21"/>
          <w:szCs w:val="21"/>
          <w:lang w:val="en" w:eastAsia="zh-CN"/>
          <w14:textFill>
            <w14:solidFill>
              <w14:schemeClr w14:val="tx1"/>
            </w14:solidFill>
          </w14:textFill>
        </w:rPr>
        <w:t xml:space="preserve">5</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）政府采购方式：</w:t>
      </w:r>
      <w:r>
        <w:rPr>
          <w:rFonts w:ascii="Wingdings" w:hAnsi="Wingdings" w:eastAsia="Wingdings" w:cs="Wingdings"/>
          <w:iCs w:val="0"/>
          <w:color w:val="000000" w:themeColor="text1"/>
          <w:sz w:val="21"/>
          <w:szCs w:val="21"/>
          <w14:textFill>
            <w14:solidFill>
              <w14:schemeClr w14:val="tx1"/>
            </w14:solidFill>
          </w14:textFill>
        </w:rPr>
        <w:t xml:space="preserve">þ</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公开招标</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邀请招标</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竞争性谈判</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竞争性磋商</w:t>
      </w:r>
      <w:r/>
    </w:p>
    <w:p>
      <w:pPr>
        <w:pStyle w:val="1228"/>
        <w:numPr>
          <w:ilvl w:val="-1"/>
          <w:numId w:val="0"/>
        </w:numPr>
        <w:ind w:left="0" w:firstLine="420"/>
        <w:spacing w:before="0" w:line="400" w:lineRule="exact"/>
        <w:rPr>
          <w:rFonts w:hint="eastAsia" w:ascii="宋体" w:hAnsi="宋体" w:eastAsia="宋体" w:cs="宋体"/>
          <w:iCs w:val="0"/>
          <w:color w:val="000000" w:themeColor="text1"/>
          <w:sz w:val="21"/>
          <w:szCs w:val="21"/>
          <w:u w:val="single"/>
          <w:lang w:val="en-US" w:eastAsia="zh-CN"/>
          <w14:textFill>
            <w14:solidFill>
              <w14:schemeClr w14:val="tx1"/>
            </w14:solidFill>
          </w14:textFill>
        </w:rPr>
      </w:pPr>
      <w:r>
        <w:rPr>
          <w:rFonts w:hint="eastAsia" w:ascii="宋体" w:hAnsi="宋体" w:cs="宋体"/>
          <w:color w:val="000000" w:themeColor="text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询价</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单一来源</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框架协议</w:t>
      </w:r>
      <w:r>
        <w:rPr>
          <w:rFonts w:hint="eastAsia" w:asciiTheme="minorEastAsia" w:hAnsiTheme="minorEastAsia" w:eastAsiaTheme="minorEastAsia" w:cstheme="minorEastAsia"/>
          <w:iCs w:val="0"/>
          <w:color w:val="000000" w:themeColor="text1"/>
          <w:sz w:val="21"/>
          <w:szCs w:val="21"/>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iCs w:val="0"/>
          <w:color w:val="000000" w:themeColor="text1"/>
          <w:sz w:val="21"/>
          <w:szCs w:val="21"/>
          <w:lang w:eastAsia="zh-CN"/>
          <w14:textFill>
            <w14:solidFill>
              <w14:schemeClr w14:val="tx1"/>
            </w14:solidFill>
          </w14:textFill>
        </w:rPr>
        <w:t xml:space="preserve">其他：</w:t>
      </w:r>
      <w:r>
        <w:rPr>
          <w:rFonts w:hint="eastAsia" w:ascii="宋体" w:hAnsi="宋体" w:eastAsia="宋体" w:cs="宋体"/>
          <w:iCs w:val="0"/>
          <w:color w:val="000000" w:themeColor="text1"/>
          <w:sz w:val="21"/>
          <w:szCs w:val="21"/>
          <w:u w:val="single"/>
          <w:lang w:val="en-US" w:eastAsia="zh-CN"/>
          <w14:textFill>
            <w14:solidFill>
              <w14:schemeClr w14:val="tx1"/>
            </w14:solidFill>
          </w14:textFill>
        </w:rPr>
        <w:t xml:space="preserve">          </w:t>
      </w:r>
      <w:r/>
    </w:p>
    <w:p>
      <w:pPr>
        <w:pStyle w:val="1228"/>
        <w:numPr>
          <w:ilvl w:val="-1"/>
          <w:numId w:val="0"/>
        </w:numPr>
        <w:ind w:left="0" w:firstLine="420"/>
        <w:spacing w:before="0" w:line="400" w:lineRule="exact"/>
        <w:rPr>
          <w:rFonts w:hint="default" w:ascii="宋体" w:hAnsi="宋体" w:eastAsia="宋体" w:cs="宋体"/>
          <w:iCs w:val="0"/>
          <w:color w:val="000000" w:themeColor="text1"/>
          <w:sz w:val="21"/>
          <w:szCs w:val="21"/>
          <w:u w:val="none"/>
          <w:lang w:val="en-US" w:eastAsia="zh-CN"/>
          <w14:textFill>
            <w14:solidFill>
              <w14:schemeClr w14:val="tx1"/>
            </w14:solidFill>
          </w14:textFill>
        </w:rPr>
      </w:pPr>
      <w:r>
        <w:rPr>
          <w:rFonts w:hint="eastAsia" w:ascii="宋体" w:hAnsi="宋体" w:eastAsia="宋体" w:cs="宋体"/>
          <w:iCs w:val="0"/>
          <w:color w:val="000000" w:themeColor="text1"/>
          <w:sz w:val="21"/>
          <w:szCs w:val="21"/>
          <w:u w:val="none"/>
          <w:lang w:val="en-US" w:eastAsia="zh-CN"/>
          <w14:textFill>
            <w14:solidFill>
              <w14:schemeClr w14:val="tx1"/>
            </w14:solidFill>
          </w14:textFill>
        </w:rPr>
        <w:t xml:space="preserve">（注：在框架协议采购的第二阶段，可选择使用该合同文本）</w:t>
      </w:r>
      <w:r/>
    </w:p>
    <w:p>
      <w:pPr>
        <w:pStyle w:val="1228"/>
        <w:numPr>
          <w:ilvl w:val="-1"/>
          <w:numId w:val="0"/>
        </w:numPr>
        <w:ind w:firstLine="220"/>
        <w:spacing w:before="0" w:line="400" w:lineRule="exact"/>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default" w:ascii="宋体" w:hAnsi="宋体"/>
          <w:color w:val="000000" w:themeColor="text1"/>
          <w:szCs w:val="21"/>
          <w:lang w:val="en" w:eastAsia="zh-CN"/>
          <w14:textFill>
            <w14:solidFill>
              <w14:schemeClr w14:val="tx1"/>
            </w14:solidFill>
          </w14:textFill>
        </w:rPr>
        <w:t xml:space="preserve">6</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szCs w:val="21"/>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是      </w:t>
      </w:r>
      <w:r>
        <w:rPr>
          <w:rFonts w:ascii="Wingdings" w:hAnsi="Wingdings" w:eastAsia="Wingdings" w:cs="Wingdings"/>
          <w:color w:val="000000" w:themeColor="text1"/>
          <w:sz w:val="21"/>
          <w:szCs w:val="21"/>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否</w:t>
      </w:r>
      <w:r/>
    </w:p>
    <w:p>
      <w:pPr>
        <w:numPr>
          <w:ilvl w:val="-1"/>
          <w:numId w:val="0"/>
        </w:numPr>
        <w:ind w:left="0" w:firstLine="0"/>
        <w:spacing w:before="0" w:line="400" w:lineRule="exact"/>
        <w:rPr>
          <w:rFonts w:hint="eastAsia" w:ascii="宋体" w:hAnsi="宋体"/>
          <w:iCs/>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本合同</w:t>
      </w:r>
      <w:r>
        <w:rPr>
          <w:rFonts w:hint="eastAsia" w:ascii="宋体" w:hAnsi="宋体"/>
          <w:color w:val="000000" w:themeColor="text1"/>
          <w:szCs w:val="21"/>
          <w14:textFill>
            <w14:solidFill>
              <w14:schemeClr w14:val="tx1"/>
            </w14:solidFill>
          </w14:textFill>
        </w:rPr>
        <w:t xml:space="preserve">是否</w:t>
      </w:r>
      <w:r>
        <w:rPr>
          <w:rFonts w:hint="eastAsia" w:ascii="宋体" w:hAnsi="宋体"/>
          <w:color w:val="000000" w:themeColor="text1"/>
          <w:szCs w:val="21"/>
          <w:lang w:eastAsia="zh-CN"/>
          <w14:textFill>
            <w14:solidFill>
              <w14:schemeClr w14:val="tx1"/>
            </w14:solidFill>
          </w14:textFill>
        </w:rPr>
        <w:t xml:space="preserve">为专门面向</w:t>
      </w:r>
      <w:r>
        <w:rPr>
          <w:rFonts w:hint="eastAsia" w:ascii="宋体" w:hAnsi="宋体"/>
          <w:color w:val="000000" w:themeColor="text1"/>
          <w:szCs w:val="21"/>
          <w14:textFill>
            <w14:solidFill>
              <w14:schemeClr w14:val="tx1"/>
            </w14:solidFill>
          </w14:textFill>
        </w:rPr>
        <w:t xml:space="preserve">中小企业</w:t>
      </w:r>
      <w:r>
        <w:rPr>
          <w:rFonts w:hint="eastAsia" w:ascii="宋体" w:hAnsi="宋体"/>
          <w:color w:val="000000" w:themeColor="text1"/>
          <w:szCs w:val="21"/>
          <w:lang w:eastAsia="zh-CN"/>
          <w14:textFill>
            <w14:solidFill>
              <w14:schemeClr w14:val="tx1"/>
            </w14:solidFill>
          </w14:textFill>
        </w:rPr>
        <w:t xml:space="preserve">的采</w:t>
      </w:r>
      <w:r>
        <w:rPr>
          <w:rFonts w:hint="eastAsia" w:ascii="宋体" w:hAnsi="宋体"/>
          <w:color w:val="000000" w:themeColor="text1"/>
          <w:szCs w:val="21"/>
          <w:shd w:val="clear" w:color="auto"/>
          <w:lang w:eastAsia="zh-CN"/>
          <w14:textFill>
            <w14:solidFill>
              <w14:schemeClr w14:val="tx1"/>
            </w14:solidFill>
          </w14:textFill>
        </w:rPr>
        <w:t xml:space="preserve">购</w:t>
      </w:r>
      <w:r>
        <w:rPr>
          <w:rFonts w:hint="eastAsia" w:ascii="宋体" w:hAnsi="宋体"/>
          <w:color w:val="000000" w:themeColor="text1"/>
          <w:szCs w:val="21"/>
          <w:shd w:val="clear" w:color="auto"/>
          <w14:textFill>
            <w14:solidFill>
              <w14:schemeClr w14:val="tx1"/>
            </w14:solidFill>
          </w14:textFill>
        </w:rPr>
        <w:t xml:space="preserve">合同</w:t>
      </w:r>
      <w:r>
        <w:rPr>
          <w:rFonts w:hint="eastAsia" w:ascii="宋体" w:hAnsi="宋体"/>
          <w:color w:val="000000" w:themeColor="text1"/>
          <w:szCs w:val="21"/>
          <w:shd w:val="clear" w:color="auto"/>
          <w:lang w:eastAsia="zh-CN"/>
          <w14:textFill>
            <w14:solidFill>
              <w14:schemeClr w14:val="tx1"/>
            </w14:solidFill>
          </w14:textFill>
        </w:rPr>
        <w:t xml:space="preserve">（中小企业预留合同）</w:t>
      </w:r>
      <w:r>
        <w:rPr>
          <w:rFonts w:hint="eastAsia" w:ascii="宋体" w:hAnsi="宋体"/>
          <w:color w:val="000000" w:themeColor="text1"/>
          <w:szCs w:val="21"/>
          <w:shd w:val="clear" w:color="auto"/>
          <w14:textFill>
            <w14:solidFill>
              <w14:schemeClr w14:val="tx1"/>
            </w14:solidFill>
          </w14:textFill>
        </w:rPr>
        <w:t xml:space="preserve">：</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hint="eastAsia" w:ascii="宋体" w:hAnsi="宋体"/>
          <w:iCs/>
          <w:color w:val="000000" w:themeColor="text1"/>
          <w:szCs w:val="21"/>
          <w:lang w:val="en-US" w:eastAsia="zh-CN"/>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1"/>
          <w:numId w:val="0"/>
        </w:numPr>
        <w:ind w:firstLine="0"/>
        <w:spacing w:before="0" w:line="400" w:lineRule="exact"/>
        <w:rPr>
          <w:rFonts w:hint="eastAsia" w:ascii="宋体" w:hAnsi="宋体"/>
          <w:iCs/>
          <w:color w:val="000000" w:themeColor="text1"/>
          <w:szCs w:val="21"/>
          <w14:textFill>
            <w14:solidFill>
              <w14:schemeClr w14:val="tx1"/>
            </w14:solidFill>
          </w14:textFill>
        </w:rPr>
      </w:pPr>
      <w:r>
        <w:rPr>
          <w:rFonts w:hint="eastAsia"/>
          <w:color w:val="000000" w:themeColor="text1"/>
          <w:lang w:val="en-US" w:eastAsia="zh-CN"/>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1"/>
          <w:numId w:val="0"/>
        </w:numPr>
        <w:ind w:firstLine="0"/>
        <w:spacing w:before="0" w:line="400" w:lineRule="exact"/>
        <w:rPr>
          <w:rFonts w:hint="eastAsia" w:ascii="宋体" w:hAnsi="宋体"/>
          <w:iCs/>
          <w:color w:val="000000" w:themeColor="text1"/>
          <w:szCs w:val="21"/>
          <w14:textFill>
            <w14:solidFill>
              <w14:schemeClr w14:val="tx1"/>
            </w14:solidFill>
          </w14:textFill>
        </w:rPr>
      </w:pPr>
      <w:r>
        <w:rPr>
          <w:rFonts w:hint="eastAsia"/>
          <w:color w:val="000000" w:themeColor="text1"/>
          <w:lang w:val="en-US" w:eastAsia="zh-CN"/>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0"/>
          <w:numId w:val="0"/>
        </w:numPr>
        <w:ind w:firstLine="0"/>
        <w:spacing w:line="400" w:lineRule="exact"/>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default" w:ascii="宋体" w:hAnsi="宋体"/>
          <w:color w:val="000000" w:themeColor="text1"/>
          <w:szCs w:val="21"/>
          <w:lang w:val="en"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分包主要内容：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u w:val="none"/>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w:t>
      </w: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eastAsia="zh-CN"/>
          <w14:textFill>
            <w14:solidFill>
              <w14:schemeClr w14:val="tx1"/>
            </w14:solidFill>
          </w14:textFill>
        </w:rPr>
        <w:t xml:space="preserve">/制造商</w:t>
      </w:r>
      <w:r>
        <w:rPr>
          <w:rFonts w:hint="eastAsia" w:ascii="宋体" w:hAnsi="宋体"/>
          <w:color w:val="000000" w:themeColor="text1"/>
          <w:szCs w:val="21"/>
          <w:highlight w:val="none"/>
          <w14:textFill>
            <w14:solidFill>
              <w14:schemeClr w14:val="tx1"/>
            </w14:solidFill>
          </w14:textFill>
        </w:rPr>
        <w:t xml:space="preserve">名称</w:t>
      </w:r>
      <w:r>
        <w:rPr>
          <w:rFonts w:hint="eastAsia" w:ascii="宋体" w:hAnsi="宋体"/>
          <w:color w:val="000000" w:themeColor="text1"/>
          <w:szCs w:val="21"/>
          <w:highlight w:val="none"/>
          <w:lang w:eastAsia="zh-CN"/>
          <w14:textFill>
            <w14:solidFill>
              <w14:schemeClr w14:val="tx1"/>
            </w14:solidFill>
          </w14:textFill>
        </w:rPr>
        <w:t xml:space="preserve">（如供应商和制造商不同，请分别填写）</w:t>
      </w:r>
      <w:r>
        <w:rPr>
          <w:rFonts w:hint="eastAsia" w:ascii="宋体" w:hAnsi="宋体"/>
          <w:color w:val="000000" w:themeColor="text1"/>
          <w:szCs w:val="21"/>
          <w:highlight w:val="none"/>
          <w14:textFill>
            <w14:solidFill>
              <w14:schemeClr w14:val="tx1"/>
            </w14:solidFill>
          </w14:textFill>
        </w:rPr>
        <w:t xml:space="preserve">：</w:t>
      </w:r>
      <w:r/>
    </w:p>
    <w:p>
      <w:pPr>
        <w:ind w:firstLine="840"/>
        <w:spacing w:before="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分包供应商</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制造商</w:t>
      </w:r>
      <w:r>
        <w:rPr>
          <w:rFonts w:hint="eastAsia" w:ascii="宋体" w:hAnsi="宋体"/>
          <w:color w:val="000000" w:themeColor="text1"/>
          <w:szCs w:val="21"/>
          <w14:textFill>
            <w14:solidFill>
              <w14:schemeClr w14:val="tx1"/>
            </w14:solidFill>
          </w14:textFill>
        </w:rPr>
        <w:t xml:space="preserve">类型</w:t>
      </w:r>
      <w:r>
        <w:rPr>
          <w:rFonts w:hint="eastAsia" w:ascii="宋体" w:hAnsi="宋体"/>
          <w:color w:val="000000" w:themeColor="text1"/>
          <w:szCs w:val="21"/>
          <w:highlight w:val="none"/>
          <w:lang w:eastAsia="zh-CN"/>
          <w14:textFill>
            <w14:solidFill>
              <w14:schemeClr w14:val="tx1"/>
            </w14:solidFill>
          </w14:textFill>
        </w:rPr>
        <w:t xml:space="preserve">（如果供应商和制造商不同，只填写制造商类型）</w:t>
      </w:r>
      <w:r>
        <w:rPr>
          <w:rFonts w:hint="eastAsia" w:ascii="宋体" w:hAnsi="宋体"/>
          <w:color w:val="000000" w:themeColor="text1"/>
          <w:szCs w:val="21"/>
          <w14:textFill>
            <w14:solidFill>
              <w14:schemeClr w14:val="tx1"/>
            </w14:solidFill>
          </w14:textFill>
        </w:rPr>
        <w:t xml:space="preserve">：</w:t>
      </w:r>
      <w:r/>
    </w:p>
    <w:p>
      <w:pPr>
        <w:ind w:firstLine="840"/>
        <w:spacing w:line="400" w:lineRule="exact"/>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w:t>
      </w:r>
      <w:r>
        <w:rPr>
          <w:rFonts w:hint="eastAsia" w:ascii="宋体" w:hAnsi="宋体"/>
          <w:iCs/>
          <w:color w:val="000000" w:themeColor="text1"/>
          <w:szCs w:val="21"/>
          <w:lang w:val="en-US" w:eastAsia="zh-CN"/>
          <w14:textFill>
            <w14:solidFill>
              <w14:schemeClr w14:val="tx1"/>
            </w14:solidFill>
          </w14:textFill>
        </w:rPr>
        <w:t xml:space="preserve">  </w:t>
      </w:r>
      <w:r/>
    </w:p>
    <w:p>
      <w:pPr>
        <w:ind w:firstLine="840"/>
        <w:spacing w:line="400" w:lineRule="exact"/>
        <w:rPr>
          <w:rFonts w:hint="default" w:eastAsia="华文楷体"/>
          <w:color w:val="000000" w:themeColor="text1"/>
          <w:u w:val="none"/>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残疾人福利性单位</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监狱</w:t>
      </w:r>
      <w:r>
        <w:rPr>
          <w:rFonts w:hint="eastAsia" w:ascii="宋体" w:hAnsi="宋体"/>
          <w:iCs/>
          <w:color w:val="000000" w:themeColor="text1"/>
          <w:szCs w:val="21"/>
          <w14:textFill>
            <w14:solidFill>
              <w14:schemeClr w14:val="tx1"/>
            </w14:solidFill>
          </w14:textFill>
        </w:rPr>
        <w:t xml:space="preserve">企业</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其他</w:t>
      </w:r>
      <w:r/>
    </w:p>
    <w:p>
      <w:pPr>
        <w:numPr>
          <w:ilvl w:val="-1"/>
          <w:numId w:val="0"/>
        </w:numPr>
        <w:ind w:left="0" w:firstLine="0"/>
        <w:spacing w:before="0"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highlight w:val="none"/>
          <w:u w:val="none"/>
          <w:lang w:val="en-US" w:eastAsia="zh-CN"/>
          <w14:textFill>
            <w14:solidFill>
              <w14:schemeClr w14:val="tx1"/>
            </w14:solidFill>
          </w14:textFill>
        </w:rPr>
        <w:t xml:space="preserve">（</w:t>
      </w:r>
      <w:r>
        <w:rPr>
          <w:rFonts w:hint="default" w:ascii="宋体" w:hAnsi="宋体" w:cs="宋体"/>
          <w:color w:val="000000" w:themeColor="text1"/>
          <w:szCs w:val="21"/>
          <w:highlight w:val="none"/>
          <w:u w:val="none"/>
          <w:lang w:val="en" w:eastAsia="zh-CN"/>
          <w14:textFill>
            <w14:solidFill>
              <w14:schemeClr w14:val="tx1"/>
            </w14:solidFill>
          </w14:textFill>
        </w:rPr>
        <w:t xml:space="preserve">8</w:t>
      </w:r>
      <w:r>
        <w:rPr>
          <w:rFonts w:hint="eastAsia" w:ascii="宋体" w:hAnsi="宋体" w:cs="宋体"/>
          <w:color w:val="000000" w:themeColor="text1"/>
          <w:szCs w:val="21"/>
          <w:highlight w:val="none"/>
          <w:u w:val="none"/>
          <w:lang w:val="en-US" w:eastAsia="zh-CN"/>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pStyle w:val="1228"/>
        <w:tabs>
          <w:tab w:val="left" w:pos="1340" w:leader="none"/>
        </w:tabs>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外商投资企业类型：</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全部由外国投资者投资  </w:t>
      </w:r>
      <w:r>
        <w:rPr>
          <w:rFonts w:ascii="Wingdings" w:hAnsi="Wingdings" w:eastAsia="Wingdings" w:cs="Wingdings"/>
          <w:iCs/>
          <w:color w:val="000000" w:themeColor="text1"/>
          <w:sz w:val="21"/>
          <w:szCs w:val="21"/>
          <w:highlight w:val="none"/>
          <w14:textFill>
            <w14:solidFill>
              <w14:schemeClr w14:val="tx1"/>
            </w14:solidFill>
          </w14:textFill>
        </w:rPr>
        <w:t xml:space="preserve">¨</w:t>
      </w:r>
      <w:r>
        <w:rPr>
          <w:rFonts w:hint="eastAsia" w:ascii="宋体" w:hAnsi="宋体" w:eastAsia="宋体" w:cs="宋体"/>
          <w:iCs/>
          <w:color w:val="000000" w:themeColor="text1"/>
          <w:sz w:val="21"/>
          <w:szCs w:val="21"/>
          <w:highlight w:val="none"/>
          <w:lang w:val="en-US" w:eastAsia="zh-CN"/>
          <w14:textFill>
            <w14:solidFill>
              <w14:schemeClr w14:val="tx1"/>
            </w14:solidFill>
          </w14:textFill>
        </w:rPr>
        <w:t xml:space="preserve">部分由外国投资者投资</w:t>
      </w:r>
      <w:r/>
    </w:p>
    <w:p>
      <w:pPr>
        <w:numPr>
          <w:ilvl w:val="-1"/>
          <w:numId w:val="0"/>
        </w:numPr>
        <w:ind w:firstLine="420"/>
        <w:spacing w:before="0" w:line="400" w:lineRule="exac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w:t>
      </w:r>
      <w:r>
        <w:rPr>
          <w:rFonts w:hint="default" w:ascii="宋体" w:hAnsi="宋体" w:cs="宋体"/>
          <w:b w:val="0"/>
          <w:bCs w:val="0"/>
          <w:color w:val="000000" w:themeColor="text1"/>
          <w:sz w:val="21"/>
          <w:szCs w:val="21"/>
          <w:u w:val="none"/>
          <w:lang w:val="en" w:eastAsia="zh-CN"/>
          <w14:textFill>
            <w14:solidFill>
              <w14:schemeClr w14:val="tx1"/>
            </w14:solidFill>
          </w14:textFill>
        </w:rPr>
        <w:t xml:space="preserve">9</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）是否涉及进口产品：</w:t>
      </w:r>
      <w:r/>
    </w:p>
    <w:p>
      <w:pPr>
        <w:numPr>
          <w:ilvl w:val="-1"/>
          <w:numId w:val="0"/>
        </w:numPr>
        <w:ind w:firstLine="840"/>
        <w:spacing w:before="0" w:line="400" w:lineRule="exact"/>
        <w:rPr>
          <w:rFonts w:hint="eastAsia" w:ascii="宋体" w:hAnsi="宋体" w:eastAsia="宋体" w:cs="宋体"/>
          <w:color w:val="000000" w:themeColor="text1"/>
          <w:szCs w:val="21"/>
          <w:u w:val="single"/>
          <w:lang w:val="en-US" w:eastAsia="zh-CN"/>
          <w14:textFill>
            <w14:solidFill>
              <w14:schemeClr w14:val="tx1"/>
            </w14:solidFill>
          </w14:textFill>
        </w:rPr>
      </w:pPr>
      <w:r>
        <w:rPr>
          <w:rFonts w:hint="eastAsia" w:ascii="宋体" w:hAnsi="宋体" w:cs="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cs="宋体"/>
          <w:iCs w:val="0"/>
          <w:color w:val="000000" w:themeColor="text1"/>
          <w:szCs w:val="21"/>
          <w14:textFill>
            <w14:solidFill>
              <w14:schemeClr w14:val="tx1"/>
            </w14:solidFill>
          </w14:textFill>
        </w:rPr>
        <w:t xml:space="preserve">是</w:t>
      </w:r>
      <w:r>
        <w:rPr>
          <w:rFonts w:hint="eastAsia" w:ascii="宋体" w:hAnsi="宋体" w:eastAsia="宋体" w:cs="宋体"/>
          <w:iCs w:val="0"/>
          <w:color w:val="000000" w:themeColor="text1"/>
          <w:szCs w:val="21"/>
          <w:lang w:eastAsia="zh-CN"/>
          <w14:textFill>
            <w14:solidFill>
              <w14:schemeClr w14:val="tx1"/>
            </w14:solidFill>
          </w14:textFill>
        </w:rPr>
        <w:t xml:space="preserve">，</w:t>
      </w:r>
      <w:r>
        <w:rPr>
          <w:rFonts w:hint="eastAsia" w:ascii="宋体" w:hAnsi="宋体" w:cs="宋体"/>
          <w:iCs w:val="0"/>
          <w:color w:val="000000" w:themeColor="text1"/>
          <w:szCs w:val="21"/>
          <w:lang w:eastAsia="zh-CN"/>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金额：</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p>
    <w:p>
      <w:pPr>
        <w:numPr>
          <w:ilvl w:val="-1"/>
          <w:numId w:val="0"/>
        </w:numPr>
        <w:ind w:firstLine="840"/>
        <w:spacing w:before="0" w:line="400" w:lineRule="exact"/>
        <w:rPr>
          <w:rFonts w:hint="eastAsia" w:ascii="宋体" w:hAnsi="宋体" w:eastAsia="宋体"/>
          <w:iCs w:val="0"/>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        国别：</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品牌：</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none"/>
          <w:lang w:val="en-US" w:eastAsia="zh-CN"/>
          <w14:textFill>
            <w14:solidFill>
              <w14:schemeClr w14:val="tx1"/>
            </w14:solidFill>
          </w14:textFill>
        </w:rPr>
        <w:t xml:space="preserve"> 规格型号：</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iCs w:val="0"/>
          <w:color w:val="000000" w:themeColor="text1"/>
          <w:szCs w:val="21"/>
          <w14:textFill>
            <w14:solidFill>
              <w14:schemeClr w14:val="tx1"/>
            </w14:solidFill>
          </w14:textFill>
        </w:rPr>
        <w:t xml:space="preserve">      </w:t>
      </w:r>
      <w:r/>
    </w:p>
    <w:p>
      <w:pPr>
        <w:ind w:firstLine="840"/>
        <w:spacing w:before="0" w:line="400" w:lineRule="exact"/>
        <w:rPr>
          <w:rFonts w:hint="eastAsia" w:ascii="宋体" w:hAnsi="宋体"/>
          <w:color w:val="000000" w:themeColor="text1"/>
          <w:szCs w:val="21"/>
          <w:u w:val="none"/>
          <w:lang w:val="en-US" w:eastAsia="zh-CN"/>
          <w14:textFill>
            <w14:solidFill>
              <w14:schemeClr w14:val="tx1"/>
            </w14:solidFill>
          </w14:textFill>
        </w:rPr>
      </w:pPr>
      <w:r>
        <w:rPr>
          <w:rFonts w:hint="eastAsia" w:ascii="宋体" w:hAnsi="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lang w:eastAsia="zh-CN"/>
          <w14:textFill>
            <w14:solidFill>
              <w14:schemeClr w14:val="tx1"/>
            </w14:solidFill>
          </w14:textFill>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（1</w:t>
      </w:r>
      <w:r>
        <w:rPr>
          <w:rFonts w:hint="default" w:ascii="宋体" w:hAnsi="宋体"/>
          <w:b w:val="0"/>
          <w:bCs w:val="0"/>
          <w:color w:val="000000" w:themeColor="text1"/>
          <w:sz w:val="21"/>
          <w:szCs w:val="21"/>
          <w:u w:val="none"/>
          <w:lang w:val="en" w:eastAsia="zh-CN"/>
          <w14:textFill>
            <w14:solidFill>
              <w14:schemeClr w14:val="tx1"/>
            </w14:solidFill>
          </w14:textFill>
        </w:rPr>
        <w:t xml:space="preserve">0</w:t>
      </w:r>
      <w:r>
        <w:rPr>
          <w:rFonts w:hint="eastAsia" w:ascii="宋体" w:hAnsi="宋体"/>
          <w:b w:val="0"/>
          <w:bCs w:val="0"/>
          <w:color w:val="000000" w:themeColor="text1"/>
          <w:sz w:val="21"/>
          <w:szCs w:val="21"/>
          <w:u w:val="none"/>
          <w:lang w:val="en-US" w:eastAsia="zh-CN"/>
          <w14:textFill>
            <w14:solidFill>
              <w14:schemeClr w14:val="tx1"/>
            </w14:solidFill>
          </w14:textFill>
        </w:rPr>
        <w:t xml:space="preserve">）</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是否涉及节能产品：</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w:t>
      </w:r>
      <w:r>
        <w:rPr>
          <w:rFonts w:hint="eastAsia" w:ascii="宋体" w:hAnsi="宋体" w:eastAsia="宋体"/>
          <w:iCs w:val="0"/>
          <w:color w:val="000000" w:themeColor="text1"/>
          <w:szCs w:val="21"/>
          <w:lang w:eastAsia="zh-CN"/>
          <w14:textFill>
            <w14:solidFill>
              <w14:schemeClr w14:val="tx1"/>
            </w14:solidFill>
          </w14:textFill>
        </w:rPr>
        <w:t xml:space="preserve">，</w:t>
      </w:r>
      <w:r>
        <w:rPr>
          <w:rFonts w:hint="eastAsia" w:ascii="宋体" w:hAnsi="宋体"/>
          <w:iCs w:val="0"/>
          <w:color w:val="000000" w:themeColor="text1"/>
          <w:szCs w:val="21"/>
          <w:lang w:eastAsia="zh-CN"/>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eastAsia="宋体"/>
          <w:iCs w:val="0"/>
          <w:color w:val="000000" w:themeColor="text1"/>
          <w:szCs w:val="21"/>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是否涉及</w:t>
      </w:r>
      <w:r>
        <w:rPr>
          <w:rFonts w:hint="eastAsia" w:ascii="宋体" w:hAnsi="宋体"/>
          <w:b w:val="0"/>
          <w:bCs w:val="0"/>
          <w:color w:val="000000" w:themeColor="text1"/>
          <w:sz w:val="21"/>
          <w:szCs w:val="21"/>
          <w:u w:val="none"/>
          <w:lang w:val="en-US" w:eastAsia="zh-CN"/>
          <w14:textFill>
            <w14:solidFill>
              <w14:schemeClr w14:val="tx1"/>
            </w14:solidFill>
          </w14:textFill>
        </w:rPr>
        <w:t xml:space="preserve">环境标志</w:t>
      </w:r>
      <w:r>
        <w:rPr>
          <w:rFonts w:hint="eastAsia" w:ascii="宋体" w:hAnsi="宋体" w:eastAsia="宋体"/>
          <w:b w:val="0"/>
          <w:bCs w:val="0"/>
          <w:color w:val="000000" w:themeColor="text1"/>
          <w:sz w:val="21"/>
          <w:szCs w:val="21"/>
          <w:u w:val="none"/>
          <w:lang w:val="en-US" w:eastAsia="zh-CN"/>
          <w14:textFill>
            <w14:solidFill>
              <w14:schemeClr w14:val="tx1"/>
            </w14:solidFill>
          </w14:textFill>
        </w:rPr>
        <w:t xml:space="preserve">产品：</w:t>
      </w:r>
      <w:r/>
    </w:p>
    <w:p>
      <w:pPr>
        <w:numPr>
          <w:ilvl w:val="-1"/>
          <w:numId w:val="0"/>
        </w:numPr>
        <w:ind w:firstLine="0"/>
        <w:spacing w:before="0" w:line="400" w:lineRule="exact"/>
        <w:tabs>
          <w:tab w:val="left" w:pos="740" w:leader="none"/>
        </w:tabs>
        <w:rPr>
          <w:rFonts w:hint="eastAsia" w:ascii="宋体" w:hAnsi="宋体"/>
          <w:iCs w:val="0"/>
          <w:color w:val="000000" w:themeColor="text1"/>
          <w:szCs w:val="21"/>
          <w:lang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w:t>
      </w:r>
      <w:r>
        <w:rPr>
          <w:rFonts w:hint="eastAsia" w:ascii="宋体" w:hAnsi="宋体" w:eastAsia="宋体"/>
          <w:iCs w:val="0"/>
          <w:color w:val="000000" w:themeColor="text1"/>
          <w:szCs w:val="21"/>
          <w:lang w:eastAsia="zh-CN"/>
          <w14:textFill>
            <w14:solidFill>
              <w14:schemeClr w14:val="tx1"/>
            </w14:solidFill>
          </w14:textFill>
        </w:rPr>
        <w:t xml:space="preserve">，</w:t>
      </w:r>
      <w:r>
        <w:rPr>
          <w:rFonts w:hint="eastAsia" w:ascii="宋体" w:hAnsi="宋体"/>
          <w:iCs w:val="0"/>
          <w:color w:val="000000" w:themeColor="text1"/>
          <w:szCs w:val="21"/>
          <w:lang w:eastAsia="zh-CN"/>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b w:val="0"/>
          <w:bCs w:val="0"/>
          <w:color w:val="000000" w:themeColor="text1"/>
          <w:sz w:val="21"/>
          <w:szCs w:val="21"/>
          <w:u w:val="none"/>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p>
    <w:p>
      <w:pPr>
        <w:pStyle w:val="1228"/>
        <w:numPr>
          <w:ilvl w:val="-1"/>
          <w:numId w:val="0"/>
        </w:numPr>
        <w:ind w:firstLine="0"/>
        <w:spacing w:before="0" w:line="400" w:lineRule="exact"/>
        <w:rPr>
          <w:rFonts w:hint="eastAsia" w:ascii="宋体" w:hAnsi="宋体" w:eastAsia="宋体" w:cs="Times New Roman"/>
          <w:iCs w:val="0"/>
          <w:color w:val="000000" w:themeColor="text1"/>
          <w:sz w:val="21"/>
          <w:szCs w:val="21"/>
          <w:u w:val="none"/>
          <w:lang w:val="en-US" w:eastAsia="zh-CN"/>
          <w14:textFill>
            <w14:solidFill>
              <w14:schemeClr w14:val="tx1"/>
            </w14:solidFill>
          </w14:textFill>
        </w:rPr>
      </w:pPr>
      <w:r>
        <w:rPr>
          <w:rFonts w:hint="eastAsia" w:ascii="宋体" w:hAnsi="宋体"/>
          <w:b w:val="0"/>
          <w:bCs w:val="0"/>
          <w:color w:val="000000" w:themeColor="text1"/>
          <w:sz w:val="21"/>
          <w:szCs w:val="21"/>
          <w:u w:val="none"/>
          <w:lang w:val="en-US" w:eastAsia="zh-CN"/>
          <w14:textFill>
            <w14:solidFill>
              <w14:schemeClr w14:val="tx1"/>
            </w14:solidFill>
          </w14:textFill>
        </w:rPr>
        <w:t xml:space="preserve">          </w:t>
      </w:r>
      <w:r>
        <w:rPr>
          <w:rFonts w:hint="eastAsia" w:ascii="宋体" w:hAnsi="宋体" w:eastAsia="宋体" w:cs="Times New Roman"/>
          <w:b w:val="0"/>
          <w:bCs w:val="0"/>
          <w:color w:val="000000" w:themeColor="text1"/>
          <w:sz w:val="21"/>
          <w:szCs w:val="21"/>
          <w:u w:val="none"/>
          <w:lang w:val="en-US" w:eastAsia="zh-CN"/>
          <w14:textFill>
            <w14:solidFill>
              <w14:schemeClr w14:val="tx1"/>
            </w14:solidFill>
          </w14:textFill>
        </w:rPr>
        <w:t xml:space="preserve">是否涉及绿色产品：</w:t>
      </w: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p>
    <w:p>
      <w:pPr>
        <w:pStyle w:val="1228"/>
        <w:ind w:firstLine="420"/>
        <w:rPr>
          <w:rFonts w:hint="eastAsia" w:ascii="宋体" w:hAnsi="宋体" w:eastAsia="宋体"/>
          <w:color w:val="000000" w:themeColor="text1"/>
          <w:szCs w:val="21"/>
          <w:u w:val="single"/>
          <w:lang w:val="en-US" w:eastAsia="zh-CN"/>
          <w14:textFill>
            <w14:solidFill>
              <w14:schemeClr w14:val="tx1"/>
            </w14:solidFill>
          </w14:textFill>
        </w:rPr>
      </w:pP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u w:val="none"/>
          <w14:textFill>
            <w14:solidFill>
              <w14:schemeClr w14:val="tx1"/>
            </w14:solidFill>
          </w14:textFill>
        </w:rPr>
        <w:t xml:space="preserve">¨</w:t>
      </w:r>
      <w:r>
        <w:rPr>
          <w:rFonts w:hint="eastAsia" w:ascii="宋体" w:hAnsi="宋体" w:eastAsia="宋体" w:cs="Times New Roman"/>
          <w:iCs w:val="0"/>
          <w:color w:val="000000" w:themeColor="text1"/>
          <w:sz w:val="21"/>
          <w:szCs w:val="21"/>
          <w:u w:val="none"/>
          <w14:textFill>
            <w14:solidFill>
              <w14:schemeClr w14:val="tx1"/>
            </w14:solidFill>
          </w14:textFill>
        </w:rPr>
        <w:t xml:space="preserve">是</w:t>
      </w:r>
      <w:r>
        <w:rPr>
          <w:rFonts w:hint="eastAsia" w:ascii="宋体" w:hAnsi="宋体" w:eastAsia="宋体" w:cs="Times New Roman"/>
          <w:iCs w:val="0"/>
          <w:color w:val="000000" w:themeColor="text1"/>
          <w:sz w:val="21"/>
          <w:szCs w:val="21"/>
          <w:u w:val="none"/>
          <w:lang w:eastAsia="zh-CN"/>
          <w14:textFill>
            <w14:solidFill>
              <w14:schemeClr w14:val="tx1"/>
            </w14:solidFill>
          </w14:textFill>
        </w:rPr>
        <w:t xml:space="preserve">，绿色产品政府采购相关政策确定的底级品目名称：</w:t>
      </w:r>
      <w:r>
        <w:rPr>
          <w:rFonts w:hint="eastAsia" w:ascii="宋体" w:hAnsi="宋体" w:eastAsia="宋体"/>
          <w:color w:val="000000" w:themeColor="text1"/>
          <w:szCs w:val="21"/>
          <w:u w:val="single"/>
          <w:lang w:val="en-US" w:eastAsia="zh-CN"/>
          <w14:textFill>
            <w14:solidFill>
              <w14:schemeClr w14:val="tx1"/>
            </w14:solidFill>
          </w14:textFill>
        </w:rPr>
        <w:t xml:space="preserve">         </w:t>
      </w:r>
      <w:r/>
    </w:p>
    <w:p>
      <w:pPr>
        <w:numPr>
          <w:ilvl w:val="-1"/>
          <w:numId w:val="0"/>
        </w:numPr>
        <w:ind w:firstLine="0"/>
        <w:spacing w:before="0" w:line="400" w:lineRule="exact"/>
        <w:tabs>
          <w:tab w:val="left" w:pos="740" w:leader="none"/>
        </w:tabs>
        <w:rPr>
          <w:rFonts w:hint="eastAsia" w:ascii="宋体" w:hAnsi="宋体"/>
          <w:iCs/>
          <w:color w:val="000000" w:themeColor="text1"/>
          <w:szCs w:val="21"/>
          <w:lang w:val="en-US"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强制采购</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优先采购</w:t>
      </w:r>
      <w:r>
        <w:rPr>
          <w:rFonts w:hint="eastAsia" w:ascii="宋体" w:hAnsi="宋体"/>
          <w:iCs/>
          <w:color w:val="000000" w:themeColor="text1"/>
          <w:szCs w:val="21"/>
          <w:lang w:val="en-US" w:eastAsia="zh-CN"/>
          <w14:textFill>
            <w14:solidFill>
              <w14:schemeClr w14:val="tx1"/>
            </w14:solidFill>
          </w14:textFill>
        </w:rPr>
        <w:t xml:space="preserve">    </w:t>
      </w:r>
      <w:r/>
    </w:p>
    <w:p>
      <w:pPr>
        <w:pStyle w:val="1228"/>
        <w:ind w:firstLine="420"/>
        <w:rPr>
          <w:rFonts w:hint="eastAsia" w:ascii="宋体" w:hAnsi="宋体"/>
          <w:b w:val="0"/>
          <w:bCs w:val="0"/>
          <w:color w:val="000000" w:themeColor="text1"/>
          <w:sz w:val="21"/>
          <w:szCs w:val="21"/>
          <w:u w:val="none"/>
          <w:lang w:val="en-US" w:eastAsia="zh-CN"/>
          <w14:textFill>
            <w14:solidFill>
              <w14:schemeClr w14:val="tx1"/>
            </w14:solidFill>
          </w14:textFill>
        </w:rPr>
      </w:pPr>
      <w:r>
        <w:rPr>
          <w:rFonts w:hint="eastAsia" w:ascii="宋体" w:hAnsi="宋体" w:eastAsia="宋体" w:cs="Times New Roman"/>
          <w:iCs w:val="0"/>
          <w:color w:val="000000" w:themeColor="text1"/>
          <w:sz w:val="21"/>
          <w:szCs w:val="21"/>
          <w:u w:val="none"/>
          <w:lang w:val="en-US" w:eastAsia="zh-CN"/>
          <w14:textFill>
            <w14:solidFill>
              <w14:schemeClr w14:val="tx1"/>
            </w14:solidFill>
          </w14:textFill>
        </w:rPr>
        <w:t xml:space="preserve">     </w:t>
      </w:r>
      <w:r>
        <w:rPr>
          <w:rFonts w:ascii="Wingdings" w:hAnsi="Wingdings" w:eastAsia="Wingdings" w:cs="Wingdings"/>
          <w:iCs w:val="0"/>
          <w:color w:val="000000" w:themeColor="text1"/>
          <w:sz w:val="21"/>
          <w:szCs w:val="21"/>
          <w:u w:val="none"/>
          <w14:textFill>
            <w14:solidFill>
              <w14:schemeClr w14:val="tx1"/>
            </w14:solidFill>
          </w14:textFill>
        </w:rPr>
        <w:t xml:space="preserve">¨</w:t>
      </w:r>
      <w:r>
        <w:rPr>
          <w:rFonts w:hint="eastAsia" w:ascii="宋体" w:hAnsi="宋体" w:eastAsia="宋体" w:cs="Times New Roman"/>
          <w:iCs w:val="0"/>
          <w:color w:val="000000" w:themeColor="text1"/>
          <w:sz w:val="21"/>
          <w:szCs w:val="21"/>
          <w:u w:val="none"/>
          <w14:textFill>
            <w14:solidFill>
              <w14:schemeClr w14:val="tx1"/>
            </w14:solidFill>
          </w14:textFill>
        </w:rPr>
        <w:t xml:space="preserve">否</w:t>
      </w:r>
      <w:r/>
    </w:p>
    <w:p>
      <w:pPr>
        <w:numPr>
          <w:ilvl w:val="-1"/>
          <w:numId w:val="0"/>
        </w:numPr>
        <w:ind w:firstLine="0"/>
        <w:spacing w:before="0" w:line="400" w:lineRule="exac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（1</w:t>
      </w:r>
      <w:r>
        <w:rPr>
          <w:rFonts w:hint="default" w:ascii="宋体" w:hAnsi="宋体"/>
          <w:color w:val="000000" w:themeColor="text1"/>
          <w:szCs w:val="21"/>
          <w:lang w:val="en" w:eastAsia="zh-CN"/>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eastAsia="宋体"/>
          <w:color w:val="000000" w:themeColor="text1"/>
          <w:szCs w:val="21"/>
          <w:lang w:val="en-US" w:eastAsia="zh-CN"/>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快递包装政府采购需求标准（试行）》</w:t>
      </w:r>
      <w:r>
        <w:rPr>
          <w:rFonts w:hint="eastAsia" w:ascii="宋体" w:hAnsi="宋体" w:eastAsia="宋体"/>
          <w:color w:val="000000" w:themeColor="text1"/>
          <w:szCs w:val="21"/>
          <w:lang w:eastAsia="zh-CN"/>
          <w14:textFill>
            <w14:solidFill>
              <w14:schemeClr w14:val="tx1"/>
            </w14:solidFill>
          </w14:textFill>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color w:val="000000" w:themeColor="text1"/>
          <w:szCs w:val="21"/>
          <w:lang w:val="en-US" w:eastAsia="zh-CN"/>
          <w14:textFill>
            <w14:solidFill>
              <w14:schemeClr w14:val="tx1"/>
            </w14:solidFill>
          </w14:textFill>
        </w:rPr>
      </w:pP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是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14:textFill>
            <w14:solidFill>
              <w14:schemeClr w14:val="tx1"/>
            </w14:solidFill>
          </w14:textFill>
        </w:rPr>
        <w:t xml:space="preserve">否</w:t>
      </w:r>
      <w:r>
        <w:rPr>
          <w:rFonts w:hint="eastAsia" w:ascii="宋体" w:hAnsi="宋体" w:eastAsia="宋体"/>
          <w:iCs w:val="0"/>
          <w:color w:val="000000" w:themeColor="text1"/>
          <w:szCs w:val="21"/>
          <w:lang w:val="en-US" w:eastAsia="zh-CN"/>
          <w14:textFill>
            <w14:solidFill>
              <w14:schemeClr w14:val="tx1"/>
            </w14:solidFill>
          </w14:textFill>
        </w:rPr>
        <w:t xml:space="preserve">      </w:t>
      </w:r>
      <w:r>
        <w:rPr>
          <w:rFonts w:ascii="Wingdings" w:hAnsi="Wingdings" w:eastAsia="Wingdings" w:cs="Wingdings"/>
          <w:iCs w:val="0"/>
          <w:color w:val="000000" w:themeColor="text1"/>
          <w:szCs w:val="21"/>
          <w14:textFill>
            <w14:solidFill>
              <w14:schemeClr w14:val="tx1"/>
            </w14:solidFill>
          </w14:textFill>
        </w:rPr>
        <w:t xml:space="preserve">¨</w:t>
      </w:r>
      <w:r>
        <w:rPr>
          <w:rFonts w:hint="eastAsia" w:ascii="宋体" w:hAnsi="宋体" w:eastAsia="宋体"/>
          <w:iCs w:val="0"/>
          <w:color w:val="000000" w:themeColor="text1"/>
          <w:szCs w:val="21"/>
          <w:lang w:eastAsia="zh-CN"/>
          <w14:textFill>
            <w14:solidFill>
              <w14:schemeClr w14:val="tx1"/>
            </w14:solidFill>
          </w14:textFill>
        </w:rPr>
        <w:t xml:space="preserve">不涉及</w:t>
      </w:r>
      <w:r/>
    </w:p>
    <w:p>
      <w:pPr>
        <w:numPr>
          <w:ilvl w:val="0"/>
          <w:numId w:val="5"/>
        </w:numPr>
        <w:ind w:firstLine="420"/>
        <w:spacing w:before="0"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left="0" w:firstLine="0"/>
        <w:spacing w:before="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分包金额</w:t>
      </w:r>
      <w:r>
        <w:rPr>
          <w:rFonts w:hint="eastAsia" w:ascii="宋体" w:hAnsi="宋体"/>
          <w:color w:val="000000" w:themeColor="text1"/>
          <w:szCs w:val="21"/>
          <w:lang w:eastAsia="zh-CN"/>
          <w14:textFill>
            <w14:solidFill>
              <w14:schemeClr w14:val="tx1"/>
            </w14:solidFill>
          </w14:textFill>
        </w:rPr>
        <w:t xml:space="preserve">（如有）</w:t>
      </w:r>
      <w:r>
        <w:rPr>
          <w:rFonts w:hint="eastAsia" w:ascii="宋体" w:hAnsi="宋体"/>
          <w:color w:val="000000" w:themeColor="text1"/>
          <w:szCs w:val="21"/>
          <w14:textFill>
            <w14:solidFill>
              <w14:schemeClr w14:val="tx1"/>
            </w14:solidFill>
          </w14:textFill>
        </w:rPr>
        <w:t xml:space="preserve">小写：</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0"/>
        <w:spacing w:before="0" w:line="400" w:lineRule="exac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（注：固定单价合同应填写单价和最高限价）</w:t>
      </w:r>
      <w:r/>
    </w:p>
    <w:p>
      <w:pPr>
        <w:numPr>
          <w:ilvl w:val="-1"/>
          <w:numId w:val="0"/>
        </w:numPr>
        <w:ind w:firstLine="0"/>
        <w:spacing w:before="0"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合同定价方式</w:t>
      </w:r>
      <w:r>
        <w:rPr>
          <w:rFonts w:hint="eastAsia" w:ascii="宋体" w:hAnsi="宋体"/>
          <w:color w:val="000000" w:themeColor="text1"/>
          <w:szCs w:val="21"/>
          <w:lang w:eastAsia="zh-CN"/>
          <w14:textFill>
            <w14:solidFill>
              <w14:schemeClr w14:val="tx1"/>
            </w14:solidFill>
          </w14:textFill>
        </w:rPr>
        <w:t xml:space="preserve">（采用组合定价方式的，可以勾选多项）</w:t>
      </w:r>
      <w:r>
        <w:rPr>
          <w:rFonts w:hint="eastAsia" w:ascii="宋体" w:hAnsi="宋体"/>
          <w:color w:val="000000" w:themeColor="text1"/>
          <w:szCs w:val="21"/>
          <w14:textFill>
            <w14:solidFill>
              <w14:schemeClr w14:val="tx1"/>
            </w14:solidFill>
          </w14:textFill>
        </w:rPr>
        <w:t xml:space="preserve">：</w:t>
      </w:r>
      <w:r/>
    </w:p>
    <w:p>
      <w:pPr>
        <w:ind w:firstLine="420"/>
        <w:spacing w:before="0" w:line="400" w:lineRule="exact"/>
        <w:rPr>
          <w:rFonts w:hint="eastAsia" w:ascii="宋体" w:hAnsi="宋体" w:eastAsia="宋体"/>
          <w:color w:val="000000" w:themeColor="text1"/>
          <w:szCs w:val="21"/>
          <w:lang w:eastAsia="zh-CN"/>
          <w14:textFill>
            <w14:solidFill>
              <w14:schemeClr w14:val="tx1"/>
            </w14:solidFill>
          </w14:textFill>
        </w:rPr>
      </w:pP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固定费率</w:t>
      </w: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w:t>
      </w:r>
      <w:r>
        <w:rPr>
          <w:rFonts w:hint="eastAsia" w:ascii="宋体" w:hAnsi="宋体"/>
          <w:iCs/>
          <w:color w:val="000000" w:themeColor="text1"/>
          <w:szCs w:val="21"/>
          <w:lang w:val="en-US" w:eastAsia="zh-CN"/>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lang w:eastAsia="zh-CN"/>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221"/>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rPr>
          <w:rFonts w:hint="eastAsia" w:ascii="宋体" w:hAnsi="宋体"/>
          <w:color w:val="000000" w:themeColor="text1"/>
          <w:lang w:val="en-US" w:eastAsia="zh-CN"/>
          <w14:textFill>
            <w14:solidFill>
              <w14:schemeClr w14:val="tx1"/>
            </w14:solidFill>
          </w14:textFill>
        </w:rPr>
        <w:t xml:space="preserve">3</w:t>
      </w:r>
      <w:r>
        <w:rPr>
          <w:rFonts w:hint="eastAsia" w:ascii="宋体" w:hAnsi="宋体"/>
          <w:color w:val="000000" w:themeColor="text1"/>
          <w14:textFill>
            <w14:solidFill>
              <w14:schemeClr w14:val="tx1"/>
            </w14:solidFill>
          </w14:textFill>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before="0" w:line="400" w:lineRule="exact"/>
        <w:rPr>
          <w:rFonts w:ascii="宋体" w:hAnsi="宋体"/>
          <w:b/>
          <w:bCs w:val="0"/>
          <w:color w:val="000000" w:themeColor="text1"/>
          <w:szCs w:val="21"/>
          <w:u w:val="single"/>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合同履行</w:t>
      </w:r>
      <w:r/>
    </w:p>
    <w:p>
      <w:pPr>
        <w:ind w:firstLine="420"/>
        <w:spacing w:before="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before="0"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eastAsia="zh-CN"/>
          <w14:textFill>
            <w14:solidFill>
              <w14:schemeClr w14:val="tx1"/>
            </w14:solidFill>
          </w14:textFill>
        </w:rPr>
        <w:t xml:space="preserve">履约</w:t>
      </w:r>
      <w:r>
        <w:rPr>
          <w:rFonts w:hint="eastAsia" w:ascii="宋体" w:hAnsi="宋体" w:cs="宋体"/>
          <w:color w:val="000000" w:themeColor="text1"/>
          <w:szCs w:val="21"/>
          <w14:textFill>
            <w14:solidFill>
              <w14:schemeClr w14:val="tx1"/>
            </w14:solidFill>
          </w14:textFill>
        </w:rPr>
        <w:t xml:space="preserve">地点</w:t>
      </w:r>
      <w:r>
        <w:rPr>
          <w:rFonts w:hint="eastAsia" w:ascii="宋体" w:hAnsi="宋体" w:cs="宋体"/>
          <w:b w:val="0"/>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sz w:val="21"/>
          <w:lang w:val="en-US" w:eastAsia="zh-CN"/>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是</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cs="宋体"/>
          <w:color w:val="000000" w:themeColor="text1"/>
          <w:sz w:val="21"/>
          <w:szCs w:val="21"/>
          <w:lang w:eastAsia="zh-CN"/>
          <w14:textFill>
            <w14:solidFill>
              <w14:schemeClr w14:val="tx1"/>
            </w14:solidFill>
          </w14:textFill>
        </w:rPr>
        <w:t xml:space="preserve">否</w:t>
      </w:r>
      <w:r/>
    </w:p>
    <w:p>
      <w:pPr>
        <w:pStyle w:val="1228"/>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cs="宋体"/>
          <w:bCs/>
          <w:color w:val="000000" w:themeColor="text1"/>
          <w:szCs w:val="21"/>
          <w:u w:val="none"/>
          <w:lang w:val="en-US" w:eastAsia="zh-CN"/>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收取履约保证金形式：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28"/>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收取履约保证金金额：</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履约担保期限：</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28"/>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履约保证金的缴纳时间：</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28"/>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退付办法：</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28"/>
        <w:ind w:left="3360" w:hanging="2730"/>
        <w:rPr>
          <w:rFonts w:hint="default" w:ascii="宋体" w:hAnsi="宋体" w:eastAsia="等线" w:cs="宋体"/>
          <w:bCs/>
          <w:color w:val="000000" w:themeColor="text1"/>
          <w:sz w:val="21"/>
          <w:szCs w:val="21"/>
          <w:u w:val="single"/>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履约保证金不予退还的情形：</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p>
    <w:p>
      <w:pPr>
        <w:ind w:firstLine="63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逾期退还履约保证金的违约责任：</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before="0" w:line="400" w:lineRule="exact"/>
        <w:rPr>
          <w:rFonts w:hint="eastAsia" w:ascii="宋体" w:hAnsi="宋体" w:cs="宋体"/>
          <w:bCs/>
          <w:color w:val="0000ff"/>
          <w:szCs w:val="21"/>
        </w:rPr>
      </w:pPr>
      <w:r>
        <w:rPr>
          <w:rFonts w:hint="eastAsia" w:ascii="宋体" w:hAnsi="宋体" w:cs="宋体"/>
          <w:bCs/>
          <w:color w:val="000000" w:themeColor="text1"/>
          <w:szCs w:val="21"/>
          <w14:textFill>
            <w14:solidFill>
              <w14:schemeClr w14:val="tx1"/>
            </w14:solidFill>
          </w14:textFill>
        </w:rPr>
        <w:t xml:space="preserve">（4）分期履行要求：</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lang w:val="en-US" w:eastAsia="zh-CN"/>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w:t>
      </w:r>
      <w:r>
        <w:rPr>
          <w:rFonts w:hint="eastAsia" w:ascii="宋体" w:hAnsi="宋体" w:cs="宋体"/>
          <w:bCs/>
          <w:color w:val="000000" w:themeColor="text1"/>
          <w:szCs w:val="21"/>
          <w:lang w:eastAsia="zh-CN"/>
          <w14:textFill>
            <w14:solidFill>
              <w14:schemeClr w14:val="tx1"/>
            </w14:solidFill>
          </w14:textFill>
        </w:rPr>
        <w:t xml:space="preserve">风险处置措施和替代方案</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5"/>
        </w:numPr>
        <w:ind w:firstLine="420"/>
        <w:spacing w:before="0"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7"/>
        </w:numPr>
        <w:ind w:firstLine="42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numPr>
          <w:ilvl w:val="0"/>
          <w:numId w:val="0"/>
        </w:numPr>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验收主体：</w:t>
      </w:r>
      <w:r>
        <w:rPr>
          <w:rFonts w:hint="eastAsia" w:ascii="宋体" w:hAnsi="宋体"/>
          <w:bCs/>
          <w:color w:val="000000" w:themeColor="text1"/>
          <w:szCs w:val="21"/>
          <w:u w:val="single"/>
          <w14:textFill>
            <w14:solidFill>
              <w14:schemeClr w14:val="tx1"/>
            </w14:solidFill>
          </w14:textFill>
        </w:rPr>
        <w:t xml:space="preserve">                  </w:t>
      </w:r>
      <w:r/>
    </w:p>
    <w:p>
      <w:pPr>
        <w:ind w:firstLine="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是否邀请本项目的其他供应商</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w:t>
      </w:r>
      <w:r>
        <w:rPr>
          <w:rFonts w:hint="eastAsia" w:ascii="宋体" w:hAnsi="宋体"/>
          <w:bCs/>
          <w:color w:val="000000" w:themeColor="text1"/>
          <w:szCs w:val="21"/>
          <w:lang w:eastAsia="zh-CN"/>
          <w14:textFill>
            <w14:solidFill>
              <w14:schemeClr w14:val="tx1"/>
            </w14:solidFill>
          </w14:textFill>
        </w:rPr>
        <w:t xml:space="preserve">参加验收</w:t>
      </w:r>
      <w:r>
        <w:rPr>
          <w:rFonts w:hint="eastAsia" w:ascii="宋体" w:hAnsi="宋体"/>
          <w:bCs/>
          <w:color w:val="000000" w:themeColor="text1"/>
          <w:szCs w:val="21"/>
          <w14:textFill>
            <w14:solidFill>
              <w14:schemeClr w14:val="tx1"/>
            </w14:solidFill>
          </w14:textFill>
        </w:rPr>
        <w:t xml:space="preserve">：</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w:t>
      </w:r>
      <w:r>
        <w:rPr>
          <w:rFonts w:hint="eastAsia" w:ascii="宋体" w:hAnsi="宋体"/>
          <w:bCs/>
          <w:color w:val="000000" w:themeColor="text1"/>
          <w:szCs w:val="21"/>
          <w:lang w:eastAsia="zh-CN"/>
          <w14:textFill>
            <w14:solidFill>
              <w14:schemeClr w14:val="tx1"/>
            </w14:solidFill>
          </w14:textFill>
        </w:rPr>
        <w:t xml:space="preserve">，抽查比例：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val="en-US" w:eastAsia="zh-CN"/>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eastAsia="宋体"/>
          <w:bCs/>
          <w:color w:val="000000" w:themeColor="text1"/>
          <w:szCs w:val="21"/>
          <w:u w:val="single"/>
          <w:lang w:eastAsia="zh-CN"/>
          <w14:textFill>
            <w14:solidFill>
              <w14:schemeClr w14:val="tx1"/>
            </w14:solidFill>
          </w14:textFill>
        </w:rPr>
      </w:pPr>
      <w:r>
        <w:rPr>
          <w:rFonts w:hint="eastAsia" w:ascii="宋体" w:hAnsi="宋体" w:eastAsia="宋体"/>
          <w:bCs/>
          <w:color w:val="000000" w:themeColor="text1"/>
          <w:szCs w:val="21"/>
          <w:lang w:val="en-US" w:eastAsia="zh-CN"/>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lang w:eastAsia="zh-CN"/>
          <w14:textFill>
            <w14:solidFill>
              <w14:schemeClr w14:val="tx1"/>
            </w14:solidFill>
          </w14:textFill>
        </w:rPr>
        <w:t xml:space="preserve">，</w:t>
      </w:r>
      <w:r>
        <w:rPr>
          <w:rFonts w:hint="eastAsia" w:ascii="宋体" w:hAnsi="宋体" w:eastAsia="宋体"/>
          <w:bCs/>
          <w:color w:val="000000" w:themeColor="text1"/>
          <w:szCs w:val="21"/>
          <w:u w:val="single"/>
          <w:lang w:eastAsia="zh-CN"/>
          <w14:textFill>
            <w14:solidFill>
              <w14:schemeClr w14:val="tx1"/>
            </w14:solidFill>
          </w14:textFill>
        </w:rPr>
        <w:t xml:space="preserve">（应明确对被破坏的检测产品的处理方式）</w:t>
      </w:r>
      <w:r/>
    </w:p>
    <w:p>
      <w:pPr>
        <w:ind w:firstLine="840"/>
        <w:spacing w:before="0" w:line="400" w:lineRule="exact"/>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eastAsia="宋体"/>
          <w:bCs/>
          <w:color w:val="000000" w:themeColor="text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w:t>
      </w:r>
      <w:r>
        <w:rPr>
          <w:rFonts w:hint="eastAsia" w:ascii="宋体" w:hAnsi="宋体"/>
          <w:bCs/>
          <w:color w:val="000000" w:themeColor="text1"/>
          <w:szCs w:val="21"/>
          <w:u w:val="single"/>
          <w:lang w:val="en-US" w:eastAsia="zh-CN"/>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bCs/>
          <w:color w:val="000000" w:themeColor="text1"/>
          <w:szCs w:val="21"/>
          <w14:textFill>
            <w14:solidFill>
              <w14:schemeClr w14:val="tx1"/>
            </w14:solidFill>
          </w14:textFill>
        </w:rPr>
        <w:t xml:space="preserve">一次性验收         </w:t>
      </w:r>
      <w:r/>
    </w:p>
    <w:p>
      <w:pPr>
        <w:ind w:firstLine="0"/>
        <w:spacing w:before="0" w:line="400" w:lineRule="exact"/>
        <w:rPr>
          <w:rFonts w:hint="eastAsia" w:ascii="宋体" w:hAnsi="宋体" w:eastAsia="宋体"/>
          <w:bCs/>
          <w:color w:val="000000" w:themeColor="text1"/>
          <w:szCs w:val="21"/>
          <w:lang w:val="en-US" w:eastAsia="zh-CN"/>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lang w:eastAsia="zh-CN"/>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eastAsia="zh-CN"/>
          <w14:textFill>
            <w14:solidFill>
              <w14:schemeClr w14:val="tx1"/>
            </w14:solidFill>
          </w14:textFill>
        </w:rPr>
        <w:t xml:space="preserve">（应明确分期</w:t>
      </w:r>
      <w:r>
        <w:rPr>
          <w:rFonts w:hint="default" w:ascii="宋体" w:hAnsi="宋体"/>
          <w:bCs/>
          <w:color w:val="000000" w:themeColor="text1"/>
          <w:szCs w:val="21"/>
          <w:u w:val="single"/>
          <w:lang w:val="en" w:eastAsia="zh-CN"/>
          <w14:textFill>
            <w14:solidFill>
              <w14:schemeClr w14:val="tx1"/>
            </w14:solidFill>
          </w14:textFill>
        </w:rPr>
        <w:t xml:space="preserve">/</w:t>
      </w:r>
      <w:r>
        <w:rPr>
          <w:rFonts w:hint="eastAsia" w:ascii="宋体" w:hAnsi="宋体"/>
          <w:bCs/>
          <w:color w:val="000000" w:themeColor="text1"/>
          <w:szCs w:val="21"/>
          <w:u w:val="single"/>
          <w:lang w:val="en" w:eastAsia="zh-CN"/>
          <w14:textFill>
            <w14:solidFill>
              <w14:schemeClr w14:val="tx1"/>
            </w14:solidFill>
          </w14:textFill>
        </w:rPr>
        <w:t xml:space="preserve">分项验收的工作安排</w:t>
      </w:r>
      <w:r>
        <w:rPr>
          <w:rFonts w:hint="eastAsia" w:ascii="宋体" w:hAnsi="宋体"/>
          <w:bCs/>
          <w:color w:val="000000" w:themeColor="text1"/>
          <w:szCs w:val="21"/>
          <w:u w:val="single"/>
          <w:lang w:eastAsia="zh-CN"/>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val="en-US" w:eastAsia="zh-CN"/>
          <w14:textFill>
            <w14:solidFill>
              <w14:schemeClr w14:val="tx1"/>
            </w14:solidFill>
          </w14:textFill>
        </w:rPr>
        <w:t xml:space="preserve"> </w:t>
      </w:r>
      <w:r/>
    </w:p>
    <w:p>
      <w:pPr>
        <w:ind w:firstLine="420"/>
        <w:spacing w:before="0"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eastAsia="zh-CN"/>
          <w14:textFill>
            <w14:solidFill>
              <w14:schemeClr w14:val="tx1"/>
            </w14:solidFill>
          </w14:textFill>
        </w:rPr>
        <w:t xml:space="preserve">（应当包括每一项技术和商务要求的履约情况，特别是落实政府采购扶持中小企业，支持绿色发展和乡村振兴等政策情况）</w:t>
      </w:r>
      <w:r>
        <w:rPr>
          <w:rFonts w:hint="eastAsia" w:ascii="宋体" w:hAnsi="宋体"/>
          <w:bCs/>
          <w:color w:val="000000" w:themeColor="text1"/>
          <w:szCs w:val="21"/>
          <w:u w:val="single"/>
          <w14:textFill>
            <w14:solidFill>
              <w14:schemeClr w14:val="tx1"/>
            </w14:solidFill>
          </w14:textFill>
        </w:rPr>
        <w:t xml:space="preserve">                                      </w:t>
      </w:r>
      <w:r/>
    </w:p>
    <w:p>
      <w:pPr>
        <w:ind w:firstLine="420"/>
        <w:spacing w:before="0" w:line="400" w:lineRule="exact"/>
        <w:rPr>
          <w:rFonts w:hint="eastAsia"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228"/>
        <w:rPr>
          <w:rFonts w:hint="eastAsia" w:ascii="宋体" w:hAnsi="宋体" w:eastAsia="宋体" w:cs="宋体"/>
          <w:color w:val="000000" w:themeColor="text1"/>
          <w:sz w:val="21"/>
          <w:lang w:eastAsia="zh-CN"/>
          <w14:textFill>
            <w14:solidFill>
              <w14:schemeClr w14:val="tx1"/>
            </w14:solidFill>
          </w14:textFill>
        </w:rPr>
      </w:pPr>
      <w:r>
        <w:rPr>
          <w:rFonts w:hint="eastAsia" w:ascii="宋体" w:hAnsi="宋体" w:eastAsia="宋体" w:cs="宋体"/>
          <w:bCs/>
          <w:color w:val="000000" w:themeColor="text1"/>
          <w:sz w:val="21"/>
          <w:szCs w:val="21"/>
          <w:u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u w:val="none"/>
          <w:lang w:eastAsia="zh-CN"/>
          <w14:textFill>
            <w14:solidFill>
              <w14:schemeClr w14:val="tx1"/>
            </w14:solidFill>
          </w14:textFill>
        </w:rPr>
        <w:t xml:space="preserve">）是否以采购活动中供应商提供的样品作为参考：</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否</w:t>
      </w:r>
      <w:r/>
    </w:p>
    <w:p>
      <w:pPr>
        <w:ind w:firstLine="420"/>
        <w:spacing w:before="0"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i w:val="0"/>
          <w:iCs w:val="0"/>
          <w:color w:val="000000" w:themeColor="text1"/>
          <w:szCs w:val="21"/>
          <w:u w:val="single"/>
          <w14:textFill>
            <w14:solidFill>
              <w14:schemeClr w14:val="tx1"/>
            </w14:solidFill>
          </w14:textFill>
        </w:rPr>
        <w:t xml:space="preserve">（产权过户登记等）</w:t>
      </w:r>
      <w:r>
        <w:rPr>
          <w:rFonts w:hint="eastAsia" w:ascii="宋体" w:hAnsi="宋体" w:cs="宋体"/>
          <w:bCs/>
          <w:color w:val="000000" w:themeColor="text1"/>
          <w:szCs w:val="21"/>
          <w:u w:val="single"/>
          <w14:textFill>
            <w14:solidFill>
              <w14:schemeClr w14:val="tx1"/>
            </w14:solidFill>
          </w14:textFill>
        </w:rPr>
        <w:t xml:space="preserve">          </w:t>
      </w:r>
      <w:r/>
    </w:p>
    <w:p>
      <w:pPr>
        <w:numPr>
          <w:ilvl w:val="0"/>
          <w:numId w:val="5"/>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eastAsia="zh-CN"/>
          <w14:textFill>
            <w14:solidFill>
              <w14:schemeClr w14:val="tx1"/>
            </w14:solidFill>
          </w14:textFill>
        </w:rPr>
        <w:t xml:space="preserve">政府采购</w:t>
      </w:r>
      <w:r>
        <w:rPr>
          <w:rFonts w:hint="eastAsia" w:ascii="宋体" w:hAnsi="宋体"/>
          <w:color w:val="000000" w:themeColor="text1"/>
          <w:szCs w:val="21"/>
          <w14:textFill>
            <w14:solidFill>
              <w14:schemeClr w14:val="tx1"/>
            </w14:solidFill>
          </w14:textFill>
        </w:rPr>
        <w:t xml:space="preserve">合同协议书及其变更、补充</w:t>
      </w:r>
      <w:r>
        <w:rPr>
          <w:rFonts w:hint="eastAsia" w:ascii="宋体" w:hAnsi="宋体"/>
          <w:color w:val="000000" w:themeColor="text1"/>
          <w:szCs w:val="21"/>
          <w:lang w:eastAsia="zh-CN"/>
          <w14:textFill>
            <w14:solidFill>
              <w14:schemeClr w14:val="tx1"/>
            </w14:solidFill>
          </w14:textFill>
        </w:rPr>
        <w:t xml:space="preserve">协议</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）政府采购合同专用条款</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）政府采购合同通用条款</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）中标</w:t>
      </w:r>
      <w:r>
        <w:rPr>
          <w:rFonts w:hint="eastAsia" w:ascii="宋体" w:hAnsi="宋体"/>
          <w:color w:val="000000" w:themeColor="text1"/>
          <w:szCs w:val="21"/>
          <w:lang w:eastAsia="zh-CN"/>
          <w14:textFill>
            <w14:solidFill>
              <w14:schemeClr w14:val="tx1"/>
            </w14:solidFill>
          </w14:textFill>
        </w:rPr>
        <w:t xml:space="preserve">（成交）</w:t>
      </w:r>
      <w:r>
        <w:rPr>
          <w:rFonts w:hint="eastAsia" w:ascii="宋体" w:hAnsi="宋体"/>
          <w:color w:val="000000" w:themeColor="text1"/>
          <w:szCs w:val="21"/>
          <w14:textFill>
            <w14:solidFill>
              <w14:schemeClr w14:val="tx1"/>
            </w14:solidFill>
          </w14:textFill>
        </w:rPr>
        <w:t xml:space="preserve">通知书</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）投标（响应）文件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228"/>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5"/>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000000" w:themeColor="text1"/>
          <w:szCs w:val="21"/>
          <w14:textFill>
            <w14:solidFill>
              <w14:schemeClr w14:val="tx1"/>
            </w14:solidFill>
          </w14:textFill>
        </w:rPr>
        <w:t xml:space="preserve">生效。</w:t>
      </w:r>
      <w:r/>
    </w:p>
    <w:p>
      <w:pPr>
        <w:numPr>
          <w:ilvl w:val="0"/>
          <w:numId w:val="5"/>
        </w:numPr>
        <w:ind w:firstLine="420"/>
        <w:spacing w:before="0"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w:t>
      </w:r>
      <w:r>
        <w:rPr>
          <w:rFonts w:hint="eastAsia" w:ascii="宋体" w:hAnsi="宋体"/>
          <w:color w:val="000000" w:themeColor="text1"/>
          <w:szCs w:val="21"/>
          <w:lang w:eastAsia="zh-CN"/>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w:t>
      </w:r>
      <w:r>
        <w:rPr>
          <w:rFonts w:hint="eastAsia" w:ascii="宋体" w:hAnsi="宋体"/>
          <w:color w:val="000000" w:themeColor="text1"/>
          <w:szCs w:val="21"/>
          <w:lang w:eastAsia="zh-CN"/>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before="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before="0"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w:t>
      </w:r>
      <w:r>
        <w:rPr>
          <w:rFonts w:hint="eastAsia" w:ascii="宋体" w:hAnsi="宋体"/>
          <w:color w:val="000000" w:themeColor="text1"/>
          <w:szCs w:val="21"/>
          <w:lang w:eastAsia="zh-CN"/>
          <w14:textFill>
            <w14:solidFill>
              <w14:schemeClr w14:val="tx1"/>
            </w14:solidFill>
          </w14:textFill>
        </w:rPr>
        <w:t xml:space="preserve">的及其</w:t>
      </w:r>
      <w:r>
        <w:rPr>
          <w:rFonts w:hint="eastAsia" w:ascii="宋体" w:hAnsi="宋体"/>
          <w:color w:val="000000" w:themeColor="text1"/>
          <w:szCs w:val="21"/>
          <w:highlight w:val="none"/>
          <w:u w:val="none"/>
          <w:lang w:val="en-US" w:eastAsia="zh-CN"/>
          <w14:textFill>
            <w14:solidFill>
              <w14:schemeClr w14:val="tx1"/>
            </w14:solidFill>
          </w14:textFill>
        </w:rPr>
        <w:t xml:space="preserve">技术要求和商务要求</w:t>
      </w:r>
      <w:r>
        <w:rPr>
          <w:rFonts w:hint="eastAsia" w:ascii="宋体" w:hAnsi="宋体"/>
          <w:color w:val="000000" w:themeColor="text1"/>
          <w:szCs w:val="21"/>
          <w14:textFill>
            <w14:solidFill>
              <w14:schemeClr w14:val="tx1"/>
            </w14:solidFill>
          </w14:textFill>
        </w:rPr>
        <w:t xml:space="preserve">、联合协议、分包</w:t>
      </w:r>
      <w:r>
        <w:rPr>
          <w:rFonts w:hint="eastAsia" w:ascii="宋体" w:hAnsi="宋体"/>
          <w:color w:val="000000" w:themeColor="text1"/>
          <w:szCs w:val="21"/>
          <w:lang w:eastAsia="zh-CN"/>
          <w14:textFill>
            <w14:solidFill>
              <w14:schemeClr w14:val="tx1"/>
            </w14:solidFill>
          </w14:textFill>
        </w:rPr>
        <w:t xml:space="preserve">意向</w:t>
      </w:r>
      <w:r>
        <w:rPr>
          <w:rFonts w:hint="eastAsia" w:ascii="宋体" w:hAnsi="宋体"/>
          <w:color w:val="000000" w:themeColor="text1"/>
          <w:szCs w:val="21"/>
          <w14:textFill>
            <w14:solidFill>
              <w14:schemeClr w14:val="tx1"/>
            </w14:solidFill>
          </w14:textFill>
        </w:rPr>
        <w:t xml:space="preserve">协议等。</w:t>
      </w:r>
      <w:r/>
    </w:p>
    <w:p>
      <w:pPr>
        <w:pStyle w:val="1221"/>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1195"/>
        <w:spacing w:line="400" w:lineRule="exact"/>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pPr>
      <w:r>
        <w:rPr>
          <w:rFonts w:hint="default"/>
          <w:color w:val="000000" w:themeColor="text1"/>
          <w:lang w:val="en"/>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122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120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lang w:eastAsia="zh-CN"/>
                <w14:textFill>
                  <w14:solidFill>
                    <w14:schemeClr w14:val="tx1"/>
                  </w14:solidFill>
                </w14:textFill>
              </w:rPr>
              <w:t xml:space="preserve">、受采购人委托签订合同的单位</w:t>
            </w:r>
            <w:r>
              <w:rPr>
                <w:rFonts w:hint="eastAsia" w:ascii="宋体" w:hAnsi="宋体"/>
                <w:color w:val="000000" w:themeColor="text1"/>
                <w:szCs w:val="21"/>
                <w14:textFill>
                  <w14:solidFill>
                    <w14:schemeClr w14:val="tx1"/>
                  </w14:solidFill>
                </w14:textFill>
              </w:rPr>
              <w:t xml:space="preserve">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w:t>
            </w:r>
            <w:r>
              <w:rPr>
                <w:rFonts w:hint="eastAsia"/>
                <w:color w:val="000000" w:themeColor="text1"/>
                <w:szCs w:val="21"/>
                <w:lang w:eastAsia="zh-CN"/>
                <w14:textFill>
                  <w14:solidFill>
                    <w14:schemeClr w14:val="tx1"/>
                  </w14:solidFill>
                </w14:textFill>
              </w:rPr>
              <w:t xml:space="preserve">或合同章</w:t>
            </w:r>
            <w:r>
              <w:rPr>
                <w:rFonts w:hint="eastAsia"/>
                <w:color w:val="000000" w:themeColor="text1"/>
                <w:szCs w:val="21"/>
                <w14:textFill>
                  <w14:solidFill>
                    <w14:schemeClr w14:val="tx1"/>
                  </w14:solidFill>
                </w14:textFill>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w:t>
            </w:r>
            <w:r>
              <w:rPr>
                <w:rFonts w:hint="eastAsia"/>
                <w:color w:val="000000" w:themeColor="text1"/>
                <w:szCs w:val="21"/>
                <w:lang w:eastAsia="zh-CN"/>
                <w14:textFill>
                  <w14:solidFill>
                    <w14:schemeClr w14:val="tx1"/>
                  </w14:solidFill>
                </w14:textFill>
              </w:rPr>
              <w:t xml:space="preserve">或合同章</w:t>
            </w:r>
            <w:r>
              <w:rPr>
                <w:rFonts w:hint="eastAsia"/>
                <w:color w:val="000000" w:themeColor="text1"/>
                <w:szCs w:val="21"/>
                <w14:textFill>
                  <w14:solidFill>
                    <w14:schemeClr w14:val="tx1"/>
                  </w14:solidFill>
                </w14:textFill>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住</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住</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1205"/>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1195"/>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b w:val="0"/>
          <w:bCs w:val="0"/>
          <w:color w:val="000000" w:themeColor="text1"/>
          <w:sz w:val="28"/>
          <w:szCs w:val="28"/>
          <w14:textFill>
            <w14:solidFill>
              <w14:schemeClr w14:val="tx1"/>
            </w14:solidFill>
          </w14:textFill>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w:t>
      </w:r>
      <w:r>
        <w:rPr>
          <w:rFonts w:hint="eastAsia" w:ascii="宋体" w:hAnsi="宋体" w:eastAsia="宋体" w:cs="宋体"/>
          <w:b/>
          <w:color w:val="000000" w:themeColor="text1"/>
          <w:sz w:val="24"/>
          <w:lang w:val="en-US" w:eastAsia="zh-CN"/>
          <w14:textFill>
            <w14:solidFill>
              <w14:schemeClr w14:val="tx1"/>
            </w14:solidFill>
          </w14:textFill>
        </w:rPr>
        <w:t xml:space="preserve">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（1）采购人（以下称甲方）是指使用财政性资金，通过政府采购方式向供应商购买货物</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及其相关服务的</w:t>
      </w:r>
      <w:r>
        <w:rPr>
          <w:rFonts w:hint="eastAsia" w:ascii="宋体" w:hAnsi="宋体" w:eastAsia="宋体" w:cs="宋体"/>
          <w:color w:val="000000" w:themeColor="text1"/>
          <w:szCs w:val="21"/>
          <w:highlight w:val="none"/>
          <w14:textFill>
            <w14:solidFill>
              <w14:schemeClr w14:val="tx1"/>
            </w14:solidFill>
          </w14:textFill>
        </w:rPr>
        <w:t xml:space="preserve">国家机关、事业单位、团体组织。</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（2）供应商（以下称</w:t>
      </w:r>
      <w:r>
        <w:rPr>
          <w:rFonts w:hint="eastAsia" w:ascii="宋体" w:hAnsi="宋体" w:eastAsia="宋体" w:cs="宋体"/>
          <w:color w:val="000000" w:themeColor="text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Cs w:val="21"/>
          <w:highlight w:val="none"/>
          <w14:textFill>
            <w14:solidFill>
              <w14:schemeClr w14:val="tx1"/>
            </w14:solidFill>
          </w14:textFill>
        </w:rPr>
        <w:t xml:space="preserve">方）是指参加政府采购活动并且中标（成交），向采购人提供</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合同约定的货物及其相关服务的法人、非法人组织或者自然人</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1.2本合同下列术语应解释为：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lang w:eastAsia="zh-CN"/>
          <w14:textFill>
            <w14:solidFill>
              <w14:schemeClr w14:val="tx1"/>
            </w14:solidFill>
          </w14:textFill>
        </w:rPr>
        <w:t xml:space="preserve">政府采购</w:t>
      </w:r>
      <w:r>
        <w:rPr>
          <w:rFonts w:hint="eastAsia" w:ascii="宋体" w:hAnsi="宋体" w:eastAsia="宋体" w:cs="宋体"/>
          <w:color w:val="000000" w:themeColor="text1"/>
          <w:szCs w:val="21"/>
          <w14:textFill>
            <w14:solidFill>
              <w14:schemeClr w14:val="tx1"/>
            </w14:solidFill>
          </w14:textFill>
        </w:rPr>
        <w:t xml:space="preserve">合同协议书及其变更、补充</w:t>
      </w:r>
      <w:r>
        <w:rPr>
          <w:rFonts w:hint="eastAsia" w:ascii="宋体" w:hAnsi="宋体" w:eastAsia="宋体" w:cs="宋体"/>
          <w:color w:val="000000" w:themeColor="text1"/>
          <w:szCs w:val="21"/>
          <w:lang w:eastAsia="zh-CN"/>
          <w14:textFill>
            <w14:solidFill>
              <w14:schemeClr w14:val="tx1"/>
            </w14:solidFill>
          </w14:textFill>
        </w:rPr>
        <w:t xml:space="preserve">协议，</w:t>
      </w:r>
      <w:r>
        <w:rPr>
          <w:rFonts w:hint="eastAsia" w:ascii="宋体" w:hAnsi="宋体" w:eastAsia="宋体" w:cs="宋体"/>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政府采购合同通用条款</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中标</w:t>
      </w:r>
      <w:r>
        <w:rPr>
          <w:rFonts w:hint="eastAsia" w:ascii="宋体" w:hAnsi="宋体" w:eastAsia="宋体" w:cs="宋体"/>
          <w:color w:val="000000" w:themeColor="text1"/>
          <w:szCs w:val="21"/>
          <w:lang w:eastAsia="zh-CN"/>
          <w14:textFill>
            <w14:solidFill>
              <w14:schemeClr w14:val="tx1"/>
            </w14:solidFill>
          </w14:textFill>
        </w:rPr>
        <w:t xml:space="preserve">（成交）</w:t>
      </w:r>
      <w:r>
        <w:rPr>
          <w:rFonts w:hint="eastAsia" w:ascii="宋体" w:hAnsi="宋体" w:eastAsia="宋体" w:cs="宋体"/>
          <w:color w:val="000000" w:themeColor="text1"/>
          <w:szCs w:val="21"/>
          <w14:textFill>
            <w14:solidFill>
              <w14:schemeClr w14:val="tx1"/>
            </w14:solidFill>
          </w14:textFill>
        </w:rPr>
        <w:t xml:space="preserve">通知书</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投标（响应）文件</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采购文件</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有关技术文件</w:t>
      </w:r>
      <w:r>
        <w:rPr>
          <w:rFonts w:hint="eastAsia" w:ascii="宋体" w:hAnsi="宋体" w:eastAsia="宋体" w:cs="宋体"/>
          <w:color w:val="000000" w:themeColor="text1"/>
          <w:szCs w:val="21"/>
          <w:lang w:eastAsia="zh-CN"/>
          <w14:textFill>
            <w14:solidFill>
              <w14:schemeClr w14:val="tx1"/>
            </w14:solidFill>
          </w14:textFill>
        </w:rPr>
        <w:t xml:space="preserve">和</w:t>
      </w:r>
      <w:r>
        <w:rPr>
          <w:rFonts w:hint="eastAsia" w:ascii="宋体" w:hAnsi="宋体" w:eastAsia="宋体" w:cs="宋体"/>
          <w:color w:val="000000" w:themeColor="text1"/>
          <w:szCs w:val="21"/>
          <w14:textFill>
            <w14:solidFill>
              <w14:schemeClr w14:val="tx1"/>
            </w14:solidFill>
          </w14:textFill>
        </w:rPr>
        <w:t xml:space="preserve">图纸</w:t>
      </w:r>
      <w:r>
        <w:rPr>
          <w:rFonts w:hint="eastAsia" w:ascii="宋体" w:hAnsi="宋体" w:eastAsia="宋体" w:cs="宋体"/>
          <w:color w:val="000000" w:themeColor="text1"/>
          <w:szCs w:val="21"/>
          <w:lang w:eastAsia="zh-CN"/>
          <w14:textFill>
            <w14:solidFill>
              <w14:schemeClr w14:val="tx1"/>
            </w14:solidFill>
          </w14:textFill>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）“合同价</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款</w:t>
      </w:r>
      <w:r>
        <w:rPr>
          <w:rFonts w:hint="eastAsia" w:ascii="宋体" w:hAnsi="宋体" w:eastAsia="宋体" w:cs="宋体"/>
          <w:color w:val="000000" w:themeColor="text1"/>
          <w:szCs w:val="21"/>
          <w:highlight w:val="none"/>
          <w14:textFill>
            <w14:solidFill>
              <w14:schemeClr w14:val="tx1"/>
            </w14:solidFill>
          </w14:textFill>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“联合体”系指</w:t>
      </w:r>
      <w:r>
        <w:rPr>
          <w:rFonts w:hint="eastAsia" w:ascii="宋体" w:hAnsi="宋体" w:eastAsia="宋体" w:cs="宋体"/>
          <w:color w:val="000000" w:themeColor="text1"/>
          <w:szCs w:val="21"/>
          <w:lang w:eastAsia="zh-CN"/>
          <w14:textFill>
            <w14:solidFill>
              <w14:schemeClr w14:val="tx1"/>
            </w14:solidFill>
          </w14:textFill>
        </w:rPr>
        <w:t xml:space="preserve">由</w:t>
      </w:r>
      <w:r>
        <w:rPr>
          <w:rFonts w:hint="eastAsia" w:ascii="宋体" w:hAnsi="宋体" w:eastAsia="宋体" w:cs="宋体"/>
          <w:color w:val="000000" w:themeColor="text1"/>
          <w:szCs w:val="21"/>
          <w14:textFill>
            <w14:solidFill>
              <w14:schemeClr w14:val="tx1"/>
            </w14:solidFill>
          </w14:textFill>
        </w:rPr>
        <w:t xml:space="preserve">两个以上的自然人、法人或者</w:t>
      </w:r>
      <w:r>
        <w:rPr>
          <w:rFonts w:hint="eastAsia" w:ascii="宋体" w:hAnsi="宋体" w:eastAsia="宋体" w:cs="宋体"/>
          <w:color w:val="000000" w:themeColor="text1"/>
          <w:szCs w:val="21"/>
          <w:lang w:val="en-US" w:eastAsia="zh-CN"/>
          <w14:textFill>
            <w14:solidFill>
              <w14:schemeClr w14:val="tx1"/>
            </w14:solidFill>
          </w14:textFill>
        </w:rPr>
        <w:t xml:space="preserve">非法人</w:t>
      </w:r>
      <w:r>
        <w:rPr>
          <w:rFonts w:hint="eastAsia" w:ascii="宋体" w:hAnsi="宋体" w:eastAsia="宋体" w:cs="宋体"/>
          <w:color w:val="000000" w:themeColor="text1"/>
          <w:szCs w:val="21"/>
          <w14:textFill>
            <w14:solidFill>
              <w14:schemeClr w14:val="tx1"/>
            </w14:solidFill>
          </w14:textFill>
        </w:rPr>
        <w:t xml:space="preserve">组织组成，</w:t>
      </w:r>
      <w:r>
        <w:rPr>
          <w:rFonts w:hint="eastAsia" w:ascii="宋体" w:hAnsi="宋体" w:eastAsia="宋体" w:cs="宋体"/>
          <w:color w:val="000000" w:themeColor="text1"/>
          <w:szCs w:val="21"/>
          <w:lang w:eastAsia="zh-CN"/>
          <w14:textFill>
            <w14:solidFill>
              <w14:schemeClr w14:val="tx1"/>
            </w14:solidFill>
          </w14:textFill>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0"/>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2.</w:t>
      </w: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21"/>
          <w14:textFill>
            <w14:solidFill>
              <w14:schemeClr w14:val="tx1"/>
            </w14:solidFill>
          </w14:textFill>
        </w:rPr>
        <w:t xml:space="preserve">乙方应当在约定的时间、地点</w:t>
      </w:r>
      <w:r>
        <w:rPr>
          <w:rFonts w:hint="eastAsia" w:ascii="宋体" w:hAnsi="宋体" w:eastAsia="宋体" w:cs="宋体"/>
          <w:color w:val="000000" w:themeColor="text1"/>
          <w:szCs w:val="21"/>
          <w:lang w:eastAsia="zh-CN"/>
          <w14:textFill>
            <w14:solidFill>
              <w14:schemeClr w14:val="tx1"/>
            </w14:solidFill>
          </w14:textFill>
        </w:rPr>
        <w:t xml:space="preserve">，按照约定</w:t>
      </w:r>
      <w:r>
        <w:rPr>
          <w:rFonts w:hint="eastAsia" w:ascii="宋体" w:hAnsi="宋体" w:eastAsia="宋体" w:cs="宋体"/>
          <w:color w:val="000000" w:themeColor="text1"/>
          <w:szCs w:val="21"/>
          <w14:textFill>
            <w14:solidFill>
              <w14:schemeClr w14:val="tx1"/>
            </w14:solidFill>
          </w14:textFill>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1202"/>
        <w:ind w:firstLine="422"/>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1202"/>
        <w:ind w:firstLine="422"/>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国家法律法规规定及【政府采购合同专用条款】约定应由乙方承担的其他义务和责任。</w:t>
      </w:r>
      <w:r/>
    </w:p>
    <w:p>
      <w:pPr>
        <w:numPr>
          <w:ilvl w:val="0"/>
          <w:numId w:val="8"/>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eastAsia="zh-CN"/>
          <w14:textFill>
            <w14:solidFill>
              <w14:schemeClr w14:val="tx1"/>
            </w14:solidFill>
          </w14:textFill>
        </w:rPr>
        <w:t xml:space="preserve">涉及</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themeColor="text1"/>
          <w:szCs w:val="21"/>
          <w14:textFill>
            <w14:solidFill>
              <w14:schemeClr w14:val="tx1"/>
            </w14:solidFill>
          </w14:textFill>
        </w:rPr>
        <w:t xml:space="preserve">乙方在运输到达之前</w:t>
      </w:r>
      <w:r>
        <w:rPr>
          <w:rFonts w:hint="eastAsia" w:ascii="宋体" w:hAnsi="宋体" w:eastAsia="宋体" w:cs="宋体"/>
          <w:color w:val="000000" w:themeColor="text1"/>
          <w:szCs w:val="21"/>
          <w:lang w:eastAsia="zh-CN"/>
          <w14:textFill>
            <w14:solidFill>
              <w14:schemeClr w14:val="tx1"/>
            </w14:solidFill>
          </w14:textFill>
        </w:rPr>
        <w:t xml:space="preserve">应</w:t>
      </w:r>
      <w:r>
        <w:rPr>
          <w:rFonts w:hint="eastAsia" w:ascii="宋体" w:hAnsi="宋体" w:eastAsia="宋体" w:cs="宋体"/>
          <w:color w:val="000000" w:themeColor="text1"/>
          <w:szCs w:val="21"/>
          <w14:textFill>
            <w14:solidFill>
              <w14:schemeClr w14:val="tx1"/>
            </w14:solidFill>
          </w14:textFill>
        </w:rPr>
        <w:t xml:space="preserve">提前通知</w:t>
      </w:r>
      <w:r>
        <w:rPr>
          <w:rFonts w:hint="eastAsia" w:ascii="宋体" w:hAnsi="宋体" w:eastAsia="宋体" w:cs="宋体"/>
          <w:color w:val="000000" w:themeColor="text1"/>
          <w:szCs w:val="21"/>
          <w:lang w:eastAsia="zh-CN"/>
          <w14:textFill>
            <w14:solidFill>
              <w14:schemeClr w14:val="tx1"/>
            </w14:solidFill>
          </w14:textFill>
        </w:rPr>
        <w:t xml:space="preserve">甲方</w:t>
      </w:r>
      <w:r>
        <w:rPr>
          <w:rFonts w:hint="eastAsia" w:ascii="宋体" w:hAnsi="宋体" w:eastAsia="宋体" w:cs="宋体"/>
          <w:color w:val="000000" w:themeColor="text1"/>
          <w:szCs w:val="21"/>
          <w14:textFill>
            <w14:solidFill>
              <w14:schemeClr w14:val="tx1"/>
            </w14:solidFill>
          </w14:textFill>
        </w:rPr>
        <w:t xml:space="preserve">，并提示货物运输装卸的注意事项</w:t>
      </w:r>
      <w:r>
        <w:rPr>
          <w:rFonts w:hint="eastAsia" w:ascii="宋体" w:hAnsi="宋体" w:eastAsia="宋体" w:cs="宋体"/>
          <w:color w:val="000000" w:themeColor="text1"/>
          <w:szCs w:val="21"/>
          <w:lang w:eastAsia="zh-CN"/>
          <w14:textFill>
            <w14:solidFill>
              <w14:schemeClr w14:val="tx1"/>
            </w14:solidFill>
          </w14:textFill>
        </w:rPr>
        <w:t xml:space="preserve">，甲方配合乙方做好货物的接收工作。</w:t>
      </w:r>
      <w:r/>
    </w:p>
    <w:p>
      <w:pPr>
        <w:pStyle w:val="1228"/>
        <w:rPr>
          <w:rFonts w:hint="eastAsia" w:ascii="宋体" w:hAnsi="宋体" w:eastAsia="宋体" w:cs="宋体"/>
          <w:color w:val="000000" w:themeColor="text1"/>
          <w:sz w:val="21"/>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themeColor="text1"/>
          <w:sz w:val="21"/>
          <w:szCs w:val="21"/>
          <w:highlight w:val="none"/>
          <w14:textFill>
            <w14:solidFill>
              <w14:schemeClr w14:val="tx1"/>
            </w14:solidFill>
          </w14:textFill>
        </w:rPr>
        <w:t xml:space="preserve">如因包装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、运输</w:t>
      </w:r>
      <w:r>
        <w:rPr>
          <w:rFonts w:hint="eastAsia" w:ascii="宋体" w:hAnsi="宋体" w:eastAsia="宋体" w:cs="宋体"/>
          <w:color w:val="000000" w:themeColor="text1"/>
          <w:sz w:val="21"/>
          <w:szCs w:val="21"/>
          <w:highlight w:val="none"/>
          <w14:textFill>
            <w14:solidFill>
              <w14:schemeClr w14:val="tx1"/>
            </w14:solidFill>
          </w14:textFill>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themeColor="text1"/>
          <w:sz w:val="21"/>
          <w:szCs w:val="21"/>
          <w:highlight w:val="none"/>
          <w14:textFill>
            <w14:solidFill>
              <w14:schemeClr w14:val="tx1"/>
            </w14:solidFill>
          </w14:textFill>
        </w:rPr>
        <w:t xml:space="preserve">或者品质下降，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有权要求降价、换货、拒收部分或整批货物，由此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产生</w:t>
      </w:r>
      <w:r>
        <w:rPr>
          <w:rFonts w:hint="eastAsia" w:ascii="宋体" w:hAnsi="宋体" w:eastAsia="宋体" w:cs="宋体"/>
          <w:color w:val="000000" w:themeColor="text1"/>
          <w:sz w:val="21"/>
          <w:szCs w:val="21"/>
          <w:highlight w:val="none"/>
          <w14:textFill>
            <w14:solidFill>
              <w14:schemeClr w14:val="tx1"/>
            </w14:solidFill>
          </w14:textFill>
        </w:rPr>
        <w:t xml:space="preserve">的费用和损失，均由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承担。</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质量标准和保证</w:t>
      </w:r>
      <w:r/>
    </w:p>
    <w:p>
      <w:pPr>
        <w:pStyle w:val="1208"/>
        <w:ind w:firstLine="420"/>
        <w:jc w:val="left"/>
        <w:spacing w:before="0"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.1 质量标准</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（1）本合同下</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的货物应符合</w:t>
      </w:r>
      <w:r>
        <w:rPr>
          <w:rFonts w:hint="eastAsia" w:ascii="宋体" w:hAnsi="宋体" w:eastAsia="宋体" w:cs="宋体"/>
          <w:color w:val="000000" w:themeColor="text1"/>
          <w:szCs w:val="21"/>
          <w:highlight w:val="none"/>
          <w:lang w:eastAsia="zh-CN"/>
          <w14:textFill>
            <w14:solidFill>
              <w14:schemeClr w14:val="tx1"/>
            </w14:solidFill>
          </w14:textFill>
        </w:rPr>
        <w:t xml:space="preserve">合同</w:t>
      </w:r>
      <w:r>
        <w:rPr>
          <w:rFonts w:hint="eastAsia" w:ascii="宋体" w:hAnsi="宋体" w:eastAsia="宋体" w:cs="宋体"/>
          <w:color w:val="000000" w:themeColor="text1"/>
          <w:szCs w:val="21"/>
          <w:lang w:eastAsia="zh-CN"/>
          <w14:textFill>
            <w14:solidFill>
              <w14:schemeClr w14:val="tx1"/>
            </w14:solidFill>
          </w14:textFill>
        </w:rPr>
        <w:t xml:space="preserve">约</w:t>
      </w:r>
      <w:r>
        <w:rPr>
          <w:rFonts w:hint="eastAsia" w:ascii="宋体" w:hAnsi="宋体" w:eastAsia="宋体" w:cs="宋体"/>
          <w:color w:val="000000" w:themeColor="text1"/>
          <w:szCs w:val="21"/>
          <w14:textFill>
            <w14:solidFill>
              <w14:schemeClr w14:val="tx1"/>
            </w14:solidFill>
          </w14:textFill>
        </w:rPr>
        <w:t xml:space="preserve">定的品牌、规格型号、技术性能、配置、质量、数量等要求。</w:t>
      </w:r>
      <w:r>
        <w:rPr>
          <w:rFonts w:hint="eastAsia" w:ascii="宋体" w:hAnsi="宋体" w:eastAsia="宋体" w:cs="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pStyle w:val="1208"/>
        <w:ind w:firstLine="420"/>
        <w:jc w:val="left"/>
        <w:spacing w:before="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（2）采用中华人民共和国法定计量单位。</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（3）乙方所</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的货物应符合国家有关安全、环保、卫生</w:t>
      </w:r>
      <w:r>
        <w:rPr>
          <w:rFonts w:hint="eastAsia" w:ascii="宋体" w:hAnsi="宋体" w:eastAsia="宋体" w:cs="宋体"/>
          <w:color w:val="000000" w:themeColor="text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规定。</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（4）乙方应向甲方提交所</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货物的技术文件，包括相应的中文技术文件，如：产品目录、图纸、操作手册、使用说明、维护手册或服务指南</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文件应包装好随货物一同发运。</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.2 保证</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（1）乙方应保证</w:t>
      </w:r>
      <w:r>
        <w:rPr>
          <w:rFonts w:hint="eastAsia" w:ascii="宋体" w:hAnsi="宋体" w:eastAsia="宋体" w:cs="宋体"/>
          <w:color w:val="000000" w:themeColor="text1"/>
          <w:szCs w:val="21"/>
          <w:highlight w:val="none"/>
          <w:lang w:eastAsia="zh-CN"/>
          <w14:textFill>
            <w14:solidFill>
              <w14:schemeClr w14:val="tx1"/>
            </w14:solidFill>
          </w14:textFill>
        </w:rPr>
        <w:t xml:space="preserve">提供的货物</w:t>
      </w:r>
      <w:r>
        <w:rPr>
          <w:rFonts w:hint="eastAsia" w:ascii="宋体" w:hAnsi="宋体" w:eastAsia="宋体" w:cs="宋体"/>
          <w:color w:val="000000" w:themeColor="text1"/>
          <w:szCs w:val="21"/>
          <w:highlight w:val="none"/>
          <w14:textFill>
            <w14:solidFill>
              <w14:schemeClr w14:val="tx1"/>
            </w14:solidFill>
          </w14:textFill>
        </w:rPr>
        <w:t xml:space="preserve">完全符合合同规定的质量、规格和性能要求。乙方应保证货物在正确安装、正常使用和保养条件下，</w:t>
      </w:r>
      <w:r>
        <w:rPr>
          <w:rFonts w:hint="eastAsia" w:ascii="宋体" w:hAnsi="宋体" w:eastAsia="宋体" w:cs="宋体"/>
          <w:color w:val="000000" w:themeColor="text1"/>
          <w:szCs w:val="21"/>
          <w14:textFill>
            <w14:solidFill>
              <w14:schemeClr w14:val="tx1"/>
            </w14:solidFill>
          </w14:textFill>
        </w:rPr>
        <w:t xml:space="preserve">在其使用寿命期内具</w:t>
      </w:r>
      <w:r>
        <w:rPr>
          <w:rFonts w:hint="eastAsia" w:ascii="宋体" w:hAnsi="宋体" w:eastAsia="宋体" w:cs="宋体"/>
          <w:color w:val="000000" w:themeColor="text1"/>
          <w:szCs w:val="21"/>
          <w:lang w:eastAsia="zh-CN"/>
          <w14:textFill>
            <w14:solidFill>
              <w14:schemeClr w14:val="tx1"/>
            </w14:solidFill>
          </w14:textFill>
        </w:rPr>
        <w:t xml:space="preserve">备合同约定</w:t>
      </w:r>
      <w:r>
        <w:rPr>
          <w:rFonts w:hint="eastAsia" w:ascii="宋体" w:hAnsi="宋体" w:eastAsia="宋体" w:cs="宋体"/>
          <w:color w:val="000000" w:themeColor="text1"/>
          <w:szCs w:val="21"/>
          <w14:textFill>
            <w14:solidFill>
              <w14:schemeClr w14:val="tx1"/>
            </w14:solidFill>
          </w14:textFill>
        </w:rPr>
        <w:t xml:space="preserve">的性能</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存在</w:t>
      </w:r>
      <w:r>
        <w:rPr>
          <w:rFonts w:hint="eastAsia" w:ascii="宋体" w:hAnsi="宋体" w:eastAsia="宋体" w:cs="宋体"/>
          <w:color w:val="000000" w:themeColor="text1"/>
          <w:szCs w:val="21"/>
          <w:highlight w:val="none"/>
          <w14:textFill>
            <w14:solidFill>
              <w14:schemeClr w14:val="tx1"/>
            </w14:solidFill>
          </w14:textFill>
        </w:rPr>
        <w:t xml:space="preserve">质量保证期的，货物最终交付验收</w:t>
      </w:r>
      <w:r>
        <w:rPr>
          <w:rFonts w:hint="eastAsia" w:ascii="宋体" w:hAnsi="宋体" w:eastAsia="宋体" w:cs="宋体"/>
          <w:color w:val="000000" w:themeColor="text1"/>
          <w:szCs w:val="21"/>
          <w:highlight w:val="none"/>
          <w:lang w:eastAsia="zh-CN"/>
          <w14:textFill>
            <w14:solidFill>
              <w14:schemeClr w14:val="tx1"/>
            </w14:solidFill>
          </w14:textFill>
        </w:rPr>
        <w:t xml:space="preserve">合格</w:t>
      </w:r>
      <w:r>
        <w:rPr>
          <w:rFonts w:hint="eastAsia" w:ascii="宋体" w:hAnsi="宋体" w:eastAsia="宋体" w:cs="宋体"/>
          <w:color w:val="000000" w:themeColor="text1"/>
          <w:szCs w:val="21"/>
          <w:highlight w:val="none"/>
          <w14:textFill>
            <w14:solidFill>
              <w14:schemeClr w14:val="tx1"/>
            </w14:solidFill>
          </w14:textFill>
        </w:rPr>
        <w:t xml:space="preserve">后</w:t>
      </w:r>
      <w:r>
        <w:rPr>
          <w:rFonts w:hint="eastAsia" w:ascii="宋体" w:hAnsi="宋体" w:eastAsia="宋体" w:cs="宋体"/>
          <w:color w:val="000000" w:themeColor="text1"/>
          <w:szCs w:val="21"/>
          <w:highlight w:val="none"/>
          <w:lang w:eastAsia="zh-CN"/>
          <w14:textFill>
            <w14:solidFill>
              <w14:schemeClr w14:val="tx1"/>
            </w14:solidFill>
          </w14:textFill>
        </w:rPr>
        <w:t xml:space="preserve">在</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规定或乙方</w:t>
      </w:r>
      <w:r>
        <w:rPr>
          <w:rFonts w:hint="eastAsia" w:ascii="宋体" w:hAnsi="宋体" w:eastAsia="宋体" w:cs="宋体"/>
          <w:color w:val="000000" w:themeColor="text1"/>
          <w:szCs w:val="21"/>
          <w:highlight w:val="none"/>
          <w:lang w:eastAsia="zh-CN"/>
          <w14:textFill>
            <w14:solidFill>
              <w14:schemeClr w14:val="tx1"/>
            </w14:solidFill>
          </w14:textFill>
        </w:rPr>
        <w:t xml:space="preserve">书面</w:t>
      </w:r>
      <w:r>
        <w:rPr>
          <w:rFonts w:hint="eastAsia" w:ascii="宋体" w:hAnsi="宋体" w:eastAsia="宋体" w:cs="宋体"/>
          <w:color w:val="000000" w:themeColor="text1"/>
          <w:szCs w:val="21"/>
          <w:highlight w:val="none"/>
          <w14:textFill>
            <w14:solidFill>
              <w14:schemeClr w14:val="tx1"/>
            </w14:solidFill>
          </w14:textFill>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（3）乙方收到通知后</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应在</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000000" w:themeColor="text1"/>
          <w:szCs w:val="21"/>
          <w:highlight w:val="none"/>
          <w14:textFill>
            <w14:solidFill>
              <w14:schemeClr w14:val="tx1"/>
            </w14:solidFill>
          </w14:textFill>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w:t>
      </w:r>
      <w:r>
        <w:rPr>
          <w:rFonts w:hint="eastAsia" w:ascii="宋体" w:hAnsi="宋体" w:eastAsia="宋体" w:cs="宋体"/>
          <w:color w:val="000000" w:themeColor="text1"/>
          <w:szCs w:val="21"/>
          <w:highlight w:val="none"/>
          <w:lang w:eastAsia="zh-CN"/>
          <w14:textFill>
            <w14:solidFill>
              <w14:schemeClr w14:val="tx1"/>
            </w14:solidFill>
          </w14:textFill>
        </w:rPr>
        <w:t xml:space="preserve">约定</w:t>
      </w:r>
      <w:r>
        <w:rPr>
          <w:rFonts w:hint="eastAsia" w:ascii="宋体" w:hAnsi="宋体" w:eastAsia="宋体" w:cs="宋体"/>
          <w:color w:val="000000" w:themeColor="text1"/>
          <w:szCs w:val="21"/>
          <w:highlight w:val="none"/>
          <w14:textFill>
            <w14:solidFill>
              <w14:schemeClr w14:val="tx1"/>
            </w14:solidFill>
          </w14:textFill>
        </w:rPr>
        <w:t xml:space="preserve">对乙方行使的其他权利不受影响。</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highlight w:val="none"/>
          <w14:textFill>
            <w14:solidFill>
              <w14:schemeClr w14:val="tx1"/>
            </w14:solidFill>
          </w14:textFill>
        </w:rPr>
        <w:t xml:space="preserve">。</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保密义务</w:t>
      </w:r>
      <w:r/>
    </w:p>
    <w:p>
      <w:pPr>
        <w:ind w:firstLine="420"/>
        <w:jc w:val="left"/>
        <w:spacing w:before="0" w:line="400" w:lineRule="exact"/>
        <w:rPr>
          <w:rFonts w:hint="eastAsia"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lang w:val="en-US" w:eastAsia="zh-CN"/>
          <w14:textFill>
            <w14:solidFill>
              <w14:schemeClr w14:val="tx1"/>
            </w14:solidFill>
          </w14:textFill>
        </w:rPr>
        <w:t xml:space="preserve">11.1 </w:t>
      </w:r>
      <w:r>
        <w:rPr>
          <w:rFonts w:hint="eastAsia" w:ascii="宋体" w:hAnsi="宋体" w:eastAsia="宋体" w:cs="宋体"/>
          <w:color w:val="000000" w:themeColor="text1"/>
          <w:szCs w:val="15"/>
          <w14:textFill>
            <w14:solidFill>
              <w14:schemeClr w14:val="tx1"/>
            </w14:solidFill>
          </w14:textFill>
        </w:rPr>
        <w:t xml:space="preserve">甲、乙双方</w:t>
      </w:r>
      <w:r>
        <w:rPr>
          <w:rFonts w:hint="eastAsia" w:ascii="宋体" w:hAnsi="宋体" w:eastAsia="宋体" w:cs="宋体"/>
          <w:color w:val="000000" w:themeColor="text1"/>
          <w:szCs w:val="15"/>
          <w:lang w:eastAsia="zh-CN"/>
          <w14:textFill>
            <w14:solidFill>
              <w14:schemeClr w14:val="tx1"/>
            </w14:solidFill>
          </w14:textFill>
        </w:rPr>
        <w:t xml:space="preserve">对</w:t>
      </w:r>
      <w:r>
        <w:rPr>
          <w:rFonts w:hint="eastAsia" w:ascii="宋体" w:hAnsi="宋体" w:eastAsia="宋体" w:cs="宋体"/>
          <w:color w:val="000000" w:themeColor="text1"/>
          <w:szCs w:val="15"/>
          <w14:textFill>
            <w14:solidFill>
              <w14:schemeClr w14:val="tx1"/>
            </w14:solidFill>
          </w14:textFill>
        </w:rPr>
        <w:t xml:space="preserve">采购和合同履行过程中所获悉的</w:t>
      </w:r>
      <w:r>
        <w:rPr>
          <w:rFonts w:hint="eastAsia" w:ascii="宋体" w:hAnsi="宋体" w:eastAsia="宋体" w:cs="宋体"/>
          <w:color w:val="000000" w:themeColor="text1"/>
          <w:szCs w:val="15"/>
          <w:lang w:eastAsia="zh-CN"/>
          <w14:textFill>
            <w14:solidFill>
              <w14:schemeClr w14:val="tx1"/>
            </w14:solidFill>
          </w14:textFill>
        </w:rPr>
        <w:t xml:space="preserve">国家秘密、工作秘密、</w:t>
      </w:r>
      <w:r>
        <w:rPr>
          <w:rFonts w:hint="eastAsia" w:ascii="宋体" w:hAnsi="宋体" w:eastAsia="宋体" w:cs="宋体"/>
          <w:color w:val="000000" w:themeColor="text1"/>
          <w:szCs w:val="15"/>
          <w14:textFill>
            <w14:solidFill>
              <w14:schemeClr w14:val="tx1"/>
            </w14:solidFill>
          </w14:textFill>
        </w:rPr>
        <w:t xml:space="preserve">商业秘密或者其他应当保密的信息，均有保密义务</w:t>
      </w:r>
      <w:r>
        <w:rPr>
          <w:rFonts w:hint="eastAsia" w:ascii="宋体" w:hAnsi="宋体" w:eastAsia="宋体" w:cs="宋体"/>
          <w:color w:val="000000" w:themeColor="text1"/>
          <w:szCs w:val="15"/>
          <w:lang w:eastAsia="zh-CN"/>
          <w14:textFill>
            <w14:solidFill>
              <w14:schemeClr w14:val="tx1"/>
            </w14:solidFill>
          </w14:textFill>
        </w:rPr>
        <w:t xml:space="preserve">且不受合同有效期所限，直至该信息成为公开信息</w:t>
      </w:r>
      <w:r>
        <w:rPr>
          <w:rFonts w:hint="eastAsia" w:ascii="宋体" w:hAnsi="宋体" w:eastAsia="宋体" w:cs="宋体"/>
          <w:color w:val="000000" w:themeColor="text1"/>
          <w:szCs w:val="15"/>
          <w14:textFill>
            <w14:solidFill>
              <w14:schemeClr w14:val="tx1"/>
            </w14:solidFill>
          </w14:textFill>
        </w:rPr>
        <w:t xml:space="preserve">。泄露、不正当地使用</w:t>
      </w:r>
      <w:r>
        <w:rPr>
          <w:rFonts w:hint="eastAsia" w:ascii="宋体" w:hAnsi="宋体" w:eastAsia="宋体" w:cs="宋体"/>
          <w:color w:val="000000" w:themeColor="text1"/>
          <w:szCs w:val="15"/>
          <w:lang w:eastAsia="zh-CN"/>
          <w14:textFill>
            <w14:solidFill>
              <w14:schemeClr w14:val="tx1"/>
            </w14:solidFill>
          </w14:textFill>
        </w:rPr>
        <w:t xml:space="preserve">国家秘密、工作秘密、</w:t>
      </w:r>
      <w:r>
        <w:rPr>
          <w:rFonts w:hint="eastAsia" w:ascii="宋体" w:hAnsi="宋体" w:eastAsia="宋体" w:cs="宋体"/>
          <w:color w:val="000000" w:themeColor="text1"/>
          <w:szCs w:val="15"/>
          <w14:textFill>
            <w14:solidFill>
              <w14:schemeClr w14:val="tx1"/>
            </w14:solidFill>
          </w14:textFill>
        </w:rPr>
        <w:t xml:space="preserve">商业秘密或者</w:t>
      </w:r>
      <w:r>
        <w:rPr>
          <w:rFonts w:hint="eastAsia" w:ascii="宋体" w:hAnsi="宋体" w:eastAsia="宋体" w:cs="宋体"/>
          <w:color w:val="000000" w:themeColor="text1"/>
          <w:szCs w:val="15"/>
          <w:lang w:eastAsia="zh-CN"/>
          <w14:textFill>
            <w14:solidFill>
              <w14:schemeClr w14:val="tx1"/>
            </w14:solidFill>
          </w14:textFill>
        </w:rPr>
        <w:t xml:space="preserve">其他应当保密的</w:t>
      </w:r>
      <w:r>
        <w:rPr>
          <w:rFonts w:hint="eastAsia" w:ascii="宋体" w:hAnsi="宋体" w:eastAsia="宋体" w:cs="宋体"/>
          <w:color w:val="000000" w:themeColor="text1"/>
          <w:szCs w:val="15"/>
          <w14:textFill>
            <w14:solidFill>
              <w14:schemeClr w14:val="tx1"/>
            </w14:solidFill>
          </w14:textFill>
        </w:rPr>
        <w:t xml:space="preserve">信息，应当承担</w:t>
      </w:r>
      <w:r>
        <w:rPr>
          <w:rFonts w:hint="eastAsia" w:ascii="宋体" w:hAnsi="宋体" w:eastAsia="宋体" w:cs="宋体"/>
          <w:color w:val="000000" w:themeColor="text1"/>
          <w:szCs w:val="15"/>
          <w:lang w:eastAsia="zh-CN"/>
          <w14:textFill>
            <w14:solidFill>
              <w14:schemeClr w14:val="tx1"/>
            </w14:solidFill>
          </w14:textFill>
        </w:rPr>
        <w:t xml:space="preserve">相应</w:t>
      </w:r>
      <w:r>
        <w:rPr>
          <w:rFonts w:hint="eastAsia" w:ascii="宋体" w:hAnsi="宋体" w:eastAsia="宋体" w:cs="宋体"/>
          <w:color w:val="000000" w:themeColor="text1"/>
          <w:szCs w:val="15"/>
          <w14:textFill>
            <w14:solidFill>
              <w14:schemeClr w14:val="tx1"/>
            </w14:solidFill>
          </w14:textFill>
        </w:rPr>
        <w:t xml:space="preserve">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合同价款支付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合同价款支付</w:t>
      </w:r>
      <w:r>
        <w:rPr>
          <w:rFonts w:hint="eastAsia" w:ascii="宋体" w:hAnsi="宋体" w:eastAsia="宋体" w:cs="宋体"/>
          <w:color w:val="000000" w:themeColor="text1"/>
          <w:szCs w:val="21"/>
          <w:highlight w:val="none"/>
          <w14:textFill>
            <w14:solidFill>
              <w14:schemeClr w14:val="tx1"/>
            </w14:solidFill>
          </w14:textFill>
        </w:rPr>
        <w:t xml:space="preserve">按照国库集中支付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制度及财政管理相关</w:t>
      </w:r>
      <w:r>
        <w:rPr>
          <w:rFonts w:hint="eastAsia" w:ascii="宋体" w:hAnsi="宋体" w:eastAsia="宋体" w:cs="宋体"/>
          <w:color w:val="000000" w:themeColor="text1"/>
          <w:szCs w:val="21"/>
          <w:highlight w:val="none"/>
          <w14:textFill>
            <w14:solidFill>
              <w14:schemeClr w14:val="tx1"/>
            </w14:solidFill>
          </w14:textFill>
        </w:rPr>
        <w:t xml:space="preserve">规定执行。</w:t>
      </w:r>
      <w:r/>
    </w:p>
    <w:p>
      <w:pPr>
        <w:contextualSpacing/>
        <w:ind w:firstLine="420"/>
        <w:spacing w:line="360" w:lineRule="auto"/>
        <w:rPr>
          <w:rFonts w:hint="eastAsia" w:ascii="宋体" w:hAnsi="宋体" w:eastAsia="宋体" w:cs="宋体"/>
          <w:color w:val="ee0000"/>
          <w:szCs w:val="21"/>
          <w:u w:val="single"/>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12.2 </w:t>
      </w:r>
      <w:r>
        <w:rPr>
          <w:rFonts w:hint="eastAsia" w:ascii="宋体" w:hAnsi="宋体" w:cs="Times New Roman"/>
          <w:b w:val="0"/>
          <w:bCs w:val="0"/>
          <w:color w:val="0000ff"/>
          <w:sz w:val="21"/>
          <w:szCs w:val="21"/>
          <w:highlight w:val="none"/>
          <w:lang w:val="en-US" w:eastAsia="zh-CN"/>
        </w:rPr>
        <w:t xml:space="preserve"> </w:t>
      </w:r>
      <w:r>
        <w:rPr>
          <w:rFonts w:ascii="宋体" w:hAnsi="宋体" w:eastAsia="宋体" w:cs="宋体"/>
          <w:color w:val="ee0000"/>
          <w:szCs w:val="21"/>
          <w:u w:val="single"/>
        </w:rPr>
        <w:t xml:space="preserve">合同签订生效后，支付签约合同金额的30%；项目终验合格后，支付至最终审计结算金额的60%；项目终验完成并进入服务期后，剩余款项（即最终审计结算金额的40%）在5年服务期内按年支付，第一年12月支付最终审计结算金额的20%（具体以签订的合同为准），后四年每年12月份支付最终审计结算金额的5%（具体以签订的合同为准）</w:t>
      </w:r>
      <w:r>
        <w:rPr>
          <w:rFonts w:hint="eastAsia" w:ascii="宋体" w:hAnsi="宋体" w:eastAsia="宋体" w:cs="宋体"/>
          <w:color w:val="ee0000"/>
          <w:szCs w:val="21"/>
          <w:u w:val="single"/>
        </w:rPr>
        <w:t xml:space="preserve">。每次付款前中标人需提交相应的付款发票，采购人原则上应当自收到发票后10个工作日内将资金支付到合同约定的供应商账户。若中标人未能按期开具发票，采购人可顺延付款。</w:t>
      </w:r>
      <w:r/>
    </w:p>
    <w:p>
      <w:pPr>
        <w:pStyle w:val="1202"/>
        <w:spacing w:after="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.2 如果乙方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出现</w:t>
      </w:r>
      <w:r>
        <w:rPr>
          <w:rFonts w:hint="eastAsia" w:ascii="宋体" w:hAnsi="宋体" w:eastAsia="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eastAsia="宋体" w:cs="宋体"/>
          <w:b w:val="0"/>
          <w:bCs w:val="0"/>
          <w:color w:val="000000" w:themeColor="text1"/>
          <w:szCs w:val="15"/>
          <w:highlight w:val="none"/>
          <w:lang w:eastAsia="zh-CN"/>
          <w14:textFill>
            <w14:solidFill>
              <w14:schemeClr w14:val="tx1"/>
            </w14:solidFill>
          </w14:textFill>
        </w:rPr>
        <w:t xml:space="preserve">约定</w:t>
      </w:r>
      <w:r>
        <w:rPr>
          <w:rFonts w:hint="eastAsia" w:ascii="宋体" w:hAnsi="宋体" w:eastAsia="宋体" w:cs="宋体"/>
          <w:b w:val="0"/>
          <w:bCs w:val="0"/>
          <w:color w:val="000000" w:themeColor="text1"/>
          <w:szCs w:val="15"/>
          <w:lang w:eastAsia="zh-CN"/>
          <w14:textFill>
            <w14:solidFill>
              <w14:schemeClr w14:val="tx1"/>
            </w14:solidFill>
          </w14:textFill>
        </w:rPr>
        <w:t xml:space="preserve">情形的</w:t>
      </w:r>
      <w:r>
        <w:rPr>
          <w:rFonts w:hint="eastAsia" w:ascii="宋体" w:hAnsi="宋体" w:eastAsia="宋体" w:cs="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w:t>
      </w:r>
      <w:r>
        <w:rPr>
          <w:rFonts w:hint="eastAsia" w:ascii="宋体" w:hAnsi="宋体" w:eastAsia="宋体" w:cs="宋体"/>
          <w:color w:val="000000" w:themeColor="text1"/>
          <w:szCs w:val="21"/>
          <w:highlight w:val="none"/>
          <w:lang w:eastAsia="zh-CN"/>
          <w14:textFill>
            <w14:solidFill>
              <w14:schemeClr w14:val="tx1"/>
            </w14:solidFill>
          </w14:textFill>
        </w:rPr>
        <w:t xml:space="preserve">且</w:t>
      </w:r>
      <w:r>
        <w:rPr>
          <w:rFonts w:hint="eastAsia" w:ascii="宋体" w:hAnsi="宋体" w:eastAsia="宋体" w:cs="宋体"/>
          <w:color w:val="000000" w:themeColor="text1"/>
          <w:szCs w:val="21"/>
          <w:highlight w:val="none"/>
          <w14:textFill>
            <w14:solidFill>
              <w14:schemeClr w14:val="tx1"/>
            </w14:solidFill>
          </w14:textFill>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.3 甲方在项目通过验收后按照</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规定支付。</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售后服务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（1）货物的现场移动、安装、调试、启动监督及技术支持；</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（2）提供货物组装和维修所需的专用工具和辅助材料；</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w:t>
      </w:r>
      <w:r>
        <w:rPr>
          <w:rFonts w:hint="eastAsia" w:ascii="宋体" w:hAnsi="宋体" w:eastAsia="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w:t>
      </w:r>
      <w:r>
        <w:rPr>
          <w:rFonts w:hint="eastAsia" w:ascii="宋体" w:hAnsi="宋体" w:eastAsia="宋体" w:cs="宋体"/>
          <w:color w:val="000000" w:themeColor="text1"/>
          <w:szCs w:val="21"/>
          <w:highlight w:val="none"/>
          <w14:textFill>
            <w14:solidFill>
              <w14:schemeClr w14:val="tx1"/>
            </w14:solidFill>
          </w14:textFill>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（4）在制造商</w:t>
      </w:r>
      <w:r>
        <w:rPr>
          <w:rFonts w:hint="eastAsia" w:ascii="宋体" w:hAnsi="宋体" w:eastAsia="宋体" w:cs="宋体"/>
          <w:color w:val="000000" w:themeColor="text1"/>
          <w:szCs w:val="21"/>
          <w:highlight w:val="none"/>
          <w:lang w:eastAsia="zh-CN"/>
          <w14:textFill>
            <w14:solidFill>
              <w14:schemeClr w14:val="tx1"/>
            </w14:solidFill>
          </w14:textFill>
        </w:rPr>
        <w:t xml:space="preserve">所在地</w:t>
      </w:r>
      <w:r>
        <w:rPr>
          <w:rFonts w:hint="eastAsia" w:ascii="宋体" w:hAnsi="宋体" w:eastAsia="宋体" w:cs="宋体"/>
          <w:color w:val="000000" w:themeColor="text1"/>
          <w:szCs w:val="21"/>
          <w:highlight w:val="none"/>
          <w14:textFill>
            <w14:solidFill>
              <w14:schemeClr w14:val="tx1"/>
            </w14:solidFill>
          </w14:textFill>
        </w:rPr>
        <w:t xml:space="preserve">或</w:t>
      </w:r>
      <w:r>
        <w:rPr>
          <w:rFonts w:hint="eastAsia" w:ascii="宋体" w:hAnsi="宋体" w:eastAsia="宋体" w:cs="宋体"/>
          <w:color w:val="000000" w:themeColor="text1"/>
          <w:szCs w:val="21"/>
          <w:highlight w:val="none"/>
          <w:lang w:eastAsia="zh-CN"/>
          <w14:textFill>
            <w14:solidFill>
              <w14:schemeClr w14:val="tx1"/>
            </w14:solidFill>
          </w14:textFill>
        </w:rPr>
        <w:t xml:space="preserve">指定</w:t>
      </w:r>
      <w:r>
        <w:rPr>
          <w:rFonts w:hint="eastAsia" w:ascii="宋体" w:hAnsi="宋体" w:eastAsia="宋体" w:cs="宋体"/>
          <w:color w:val="000000" w:themeColor="text1"/>
          <w:szCs w:val="21"/>
          <w:highlight w:val="none"/>
          <w14:textFill>
            <w14:solidFill>
              <w14:schemeClr w14:val="tx1"/>
            </w14:solidFill>
          </w14:textFill>
        </w:rPr>
        <w:t xml:space="preserve">现场就货物的安装、启动、运营、维护</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、废弃处置等</w:t>
      </w:r>
      <w:r>
        <w:rPr>
          <w:rFonts w:hint="eastAsia" w:ascii="宋体" w:hAnsi="宋体" w:eastAsia="宋体" w:cs="宋体"/>
          <w:color w:val="000000" w:themeColor="text1"/>
          <w:szCs w:val="21"/>
          <w:highlight w:val="none"/>
          <w14:textFill>
            <w14:solidFill>
              <w14:schemeClr w14:val="tx1"/>
            </w14:solidFill>
          </w14:textFill>
        </w:rPr>
        <w:t xml:space="preserve">对甲方操作人员进行培训</w:t>
      </w:r>
      <w:r>
        <w:rPr>
          <w:rFonts w:hint="eastAsia" w:ascii="宋体" w:hAnsi="宋体" w:eastAsia="宋体" w:cs="宋体"/>
          <w:color w:val="000000" w:themeColor="text1"/>
          <w:szCs w:val="15"/>
          <w:lang w:eastAsia="zh-CN"/>
          <w14:textFill>
            <w14:solidFill>
              <w14:schemeClr w14:val="tx1"/>
            </w14:solidFill>
          </w14:textFill>
        </w:rPr>
        <w:t xml:space="preserve">；</w:t>
      </w:r>
      <w:r/>
    </w:p>
    <w:p>
      <w:pPr>
        <w:pStyle w:val="1228"/>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szCs w:val="21"/>
          <w14:textFill>
            <w14:solidFill>
              <w14:schemeClr w14:val="tx1"/>
            </w14:solidFill>
          </w14:textFill>
        </w:rPr>
        <w:t xml:space="preserve">【政府采购合同专用条款】</w:t>
      </w:r>
      <w:r>
        <w:rPr>
          <w:rFonts w:hint="eastAsia" w:ascii="宋体" w:hAnsi="宋体" w:eastAsia="宋体" w:cs="宋体"/>
          <w:color w:val="000000" w:themeColor="text1"/>
          <w:sz w:val="21"/>
          <w:szCs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规定由乙方提供的其他服务。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乙方提供的</w:t>
      </w:r>
      <w:r>
        <w:rPr>
          <w:rFonts w:hint="eastAsia" w:ascii="宋体" w:hAnsi="宋体" w:eastAsia="宋体" w:cs="宋体"/>
          <w:color w:val="000000" w:themeColor="text1"/>
          <w:szCs w:val="21"/>
          <w:highlight w:val="none"/>
          <w:lang w:eastAsia="zh-CN"/>
          <w14:textFill>
            <w14:solidFill>
              <w14:schemeClr w14:val="tx1"/>
            </w14:solidFill>
          </w14:textFill>
        </w:rPr>
        <w:t xml:space="preserve">售后</w:t>
      </w:r>
      <w:r>
        <w:rPr>
          <w:rFonts w:hint="eastAsia" w:ascii="宋体" w:hAnsi="宋体" w:eastAsia="宋体" w:cs="宋体"/>
          <w:color w:val="000000" w:themeColor="text1"/>
          <w:szCs w:val="21"/>
          <w:highlight w:val="none"/>
          <w14:textFill>
            <w14:solidFill>
              <w14:schemeClr w14:val="tx1"/>
            </w14:solidFill>
          </w14:textFill>
        </w:rPr>
        <w:t xml:space="preserve">服务的费用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已</w:t>
      </w:r>
      <w:r>
        <w:rPr>
          <w:rFonts w:hint="eastAsia" w:ascii="宋体" w:hAnsi="宋体" w:eastAsia="宋体" w:cs="宋体"/>
          <w:color w:val="000000" w:themeColor="text1"/>
          <w:szCs w:val="21"/>
          <w:highlight w:val="none"/>
          <w14:textFill>
            <w14:solidFill>
              <w14:schemeClr w14:val="tx1"/>
            </w14:solidFill>
          </w14:textFill>
        </w:rPr>
        <w:t xml:space="preserve">包含在合同价款中，甲方不再另行支付。</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违约责任</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.1质量瑕疵的</w:t>
      </w:r>
      <w:r>
        <w:rPr>
          <w:rFonts w:hint="eastAsia" w:ascii="宋体" w:hAnsi="宋体" w:eastAsia="宋体" w:cs="宋体"/>
          <w:bCs/>
          <w:color w:val="000000" w:themeColor="text1"/>
          <w:szCs w:val="21"/>
          <w:highlight w:val="none"/>
          <w:lang w:eastAsia="zh-CN"/>
          <w14:textFill>
            <w14:solidFill>
              <w14:schemeClr w14:val="tx1"/>
            </w14:solidFill>
          </w14:textFill>
        </w:rPr>
        <w:t xml:space="preserve">违约责任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Cs w:val="21"/>
          <w:highlight w:val="none"/>
          <w14:textFill>
            <w14:solidFill>
              <w14:schemeClr w14:val="tx1"/>
            </w14:solidFill>
          </w14:textFill>
        </w:rPr>
        <w:t xml:space="preserve">的产品不符合</w:t>
      </w:r>
      <w:r>
        <w:rPr>
          <w:rFonts w:hint="eastAsia" w:ascii="宋体" w:hAnsi="宋体" w:eastAsia="宋体" w:cs="宋体"/>
          <w:color w:val="000000" w:themeColor="text1"/>
          <w:szCs w:val="21"/>
          <w:highlight w:val="none"/>
          <w:lang w:eastAsia="zh-CN"/>
          <w14:textFill>
            <w14:solidFill>
              <w14:schemeClr w14:val="tx1"/>
            </w14:solidFill>
          </w14:textFill>
        </w:rPr>
        <w:t xml:space="preserve">合同约定的</w:t>
      </w:r>
      <w:r>
        <w:rPr>
          <w:rFonts w:hint="eastAsia" w:ascii="宋体" w:hAnsi="宋体" w:eastAsia="宋体" w:cs="宋体"/>
          <w:color w:val="000000" w:themeColor="text1"/>
          <w:szCs w:val="21"/>
          <w:highlight w:val="none"/>
          <w14:textFill>
            <w14:solidFill>
              <w14:schemeClr w14:val="tx1"/>
            </w14:solidFill>
          </w14:textFill>
        </w:rPr>
        <w:t xml:space="preserve">质量标准或存在产品质量缺陷，</w:t>
      </w:r>
      <w:r>
        <w:rPr>
          <w:rFonts w:hint="eastAsia" w:ascii="宋体" w:hAnsi="宋体" w:eastAsia="宋体" w:cs="宋体"/>
          <w:color w:val="000000" w:themeColor="text1"/>
          <w:szCs w:val="21"/>
          <w:highlight w:val="none"/>
          <w:lang w:eastAsia="zh-CN"/>
          <w14:textFill>
            <w14:solidFill>
              <w14:schemeClr w14:val="tx1"/>
            </w14:solidFill>
          </w14:textFill>
        </w:rPr>
        <w:t xml:space="preserve">甲方有权要求乙方根据</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要求</w:t>
      </w:r>
      <w:r>
        <w:rPr>
          <w:rFonts w:hint="eastAsia" w:ascii="宋体" w:hAnsi="宋体" w:eastAsia="宋体" w:cs="宋体"/>
          <w:color w:val="000000" w:themeColor="text1"/>
          <w:szCs w:val="21"/>
          <w:highlight w:val="none"/>
          <w:lang w:eastAsia="zh-CN"/>
          <w14:textFill>
            <w14:solidFill>
              <w14:schemeClr w14:val="tx1"/>
            </w14:solidFill>
          </w14:textFill>
        </w:rPr>
        <w:t xml:space="preserve">及时修理、重作、更换，并承担由此给甲</w:t>
      </w:r>
      <w:r>
        <w:rPr>
          <w:rFonts w:hint="eastAsia" w:ascii="宋体" w:hAnsi="宋体" w:eastAsia="宋体" w:cs="宋体"/>
          <w:color w:val="000000" w:themeColor="text1"/>
          <w:szCs w:val="21"/>
          <w:highlight w:val="none"/>
          <w14:textFill>
            <w14:solidFill>
              <w14:schemeClr w14:val="tx1"/>
            </w14:solidFill>
          </w14:textFill>
        </w:rPr>
        <w:t xml:space="preserve">方</w:t>
      </w:r>
      <w:r>
        <w:rPr>
          <w:rFonts w:hint="eastAsia" w:ascii="宋体" w:hAnsi="宋体" w:eastAsia="宋体" w:cs="宋体"/>
          <w:color w:val="000000" w:themeColor="text1"/>
          <w:szCs w:val="21"/>
          <w:highlight w:val="none"/>
          <w:lang w:eastAsia="zh-CN"/>
          <w14:textFill>
            <w14:solidFill>
              <w14:schemeClr w14:val="tx1"/>
            </w14:solidFill>
          </w14:textFill>
        </w:rPr>
        <w:t xml:space="preserve">造成的损失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.2 迟延交货的违约责任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（1）乙方应按照本合同规定的时间、地点交货和提供</w:t>
      </w:r>
      <w:r>
        <w:rPr>
          <w:rFonts w:hint="eastAsia" w:ascii="宋体" w:hAnsi="宋体" w:eastAsia="宋体" w:cs="宋体"/>
          <w:color w:val="000000" w:themeColor="text1"/>
          <w:szCs w:val="21"/>
          <w:highlight w:val="none"/>
          <w:lang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服务。在履行合同过程中，如果乙方遇到可能</w:t>
      </w:r>
      <w:r>
        <w:rPr>
          <w:rFonts w:hint="eastAsia" w:ascii="宋体" w:hAnsi="宋体" w:eastAsia="宋体" w:cs="宋体"/>
          <w:color w:val="000000" w:themeColor="text1"/>
          <w:szCs w:val="21"/>
          <w:highlight w:val="none"/>
          <w:lang w:eastAsia="zh-CN"/>
          <w14:textFill>
            <w14:solidFill>
              <w14:schemeClr w14:val="tx1"/>
            </w14:solidFill>
          </w14:textFill>
        </w:rPr>
        <w:t xml:space="preserve">影响</w:t>
      </w:r>
      <w:r>
        <w:rPr>
          <w:rFonts w:hint="eastAsia" w:ascii="宋体" w:hAnsi="宋体" w:eastAsia="宋体" w:cs="宋体"/>
          <w:color w:val="000000" w:themeColor="text1"/>
          <w:szCs w:val="21"/>
          <w:highlight w:val="none"/>
          <w14:textFill>
            <w14:solidFill>
              <w14:schemeClr w14:val="tx1"/>
            </w14:solidFill>
          </w14:textFill>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Cs w:val="21"/>
          <w:highlight w:val="none"/>
          <w:lang w:eastAsia="zh-CN"/>
          <w14:textFill>
            <w14:solidFill>
              <w14:schemeClr w14:val="tx1"/>
            </w14:solidFill>
          </w14:textFill>
        </w:rPr>
        <w:t xml:space="preserve">长</w:t>
      </w:r>
      <w:r>
        <w:rPr>
          <w:rFonts w:hint="eastAsia" w:ascii="宋体" w:hAnsi="宋体" w:eastAsia="宋体" w:cs="宋体"/>
          <w:color w:val="000000" w:themeColor="text1"/>
          <w:szCs w:val="21"/>
          <w:highlight w:val="none"/>
          <w14:textFill>
            <w14:solidFill>
              <w14:schemeClr w14:val="tx1"/>
            </w14:solidFill>
          </w14:textFill>
        </w:rPr>
        <w:t xml:space="preserve">交货时间或延期提供服务。</w:t>
      </w:r>
      <w:r/>
    </w:p>
    <w:p>
      <w:pPr>
        <w:ind w:firstLine="420"/>
        <w:jc w:val="left"/>
        <w:spacing w:before="0" w:line="4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（2）如果乙方没有按照合同规定的时间交货和提供</w:t>
      </w:r>
      <w:r>
        <w:rPr>
          <w:rFonts w:hint="eastAsia" w:ascii="宋体" w:hAnsi="宋体" w:eastAsia="宋体" w:cs="宋体"/>
          <w:color w:val="000000" w:themeColor="text1"/>
          <w:szCs w:val="21"/>
          <w:highlight w:val="none"/>
          <w:lang w:eastAsia="zh-CN"/>
          <w14:textFill>
            <w14:solidFill>
              <w14:schemeClr w14:val="tx1"/>
            </w14:solidFill>
          </w14:textFill>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服务，甲方有权从货款中扣除误期赔偿费而不影响合同项下的其他补救方法，赔偿费按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规定执行。如果涉及公共利益，且赔偿金额无法弥补公共利益损失，</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可要求继续履行或者</w:t>
      </w:r>
      <w:r>
        <w:rPr>
          <w:rFonts w:hint="eastAsia" w:ascii="宋体" w:hAnsi="宋体" w:eastAsia="宋体" w:cs="宋体"/>
          <w:color w:val="000000" w:themeColor="text1"/>
          <w:szCs w:val="21"/>
          <w:highlight w:val="none"/>
          <w:lang w:eastAsia="zh-CN"/>
          <w14:textFill>
            <w14:solidFill>
              <w14:schemeClr w14:val="tx1"/>
            </w14:solidFill>
          </w14:textFill>
        </w:rPr>
        <w:t xml:space="preserve">采取其他补救措施</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.4其他违约责任根据项目实际需要按</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规定执行。</w:t>
      </w:r>
      <w:r/>
    </w:p>
    <w:p>
      <w:pPr>
        <w:pStyle w:val="1207"/>
        <w:ind w:left="0"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207"/>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（1）需方内部工作安排、计划调整等自身原因；</w:t>
      </w:r>
      <w:r/>
    </w:p>
    <w:p>
      <w:pPr>
        <w:pStyle w:val="1207"/>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（2）中央、省、市、区级政策变动，以及规划、计划调整等外部原因；</w:t>
      </w:r>
      <w:r/>
    </w:p>
    <w:p>
      <w:pPr>
        <w:pStyle w:val="1207"/>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（3）其他需方原因。</w:t>
      </w:r>
      <w:r/>
    </w:p>
    <w:p>
      <w:pPr>
        <w:pStyle w:val="1207"/>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本合同对合同变更、中止或终止合同有其他特殊约定的，按该特殊约定执行。</w:t>
      </w:r>
      <w:r/>
    </w:p>
    <w:p>
      <w:pPr>
        <w:numPr>
          <w:ilvl w:val="0"/>
          <w:numId w:val="0"/>
        </w:num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2"/>
          <w:lang w:val="en-US" w:eastAsia="zh-CN" w:bidi="ar-SA"/>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合同变更</w:t>
      </w:r>
      <w:r>
        <w:rPr>
          <w:rFonts w:hint="eastAsia" w:ascii="宋体" w:hAnsi="宋体" w:eastAsia="宋体" w:cs="宋体"/>
          <w:b/>
          <w:color w:val="000000" w:themeColor="text1"/>
          <w:sz w:val="24"/>
          <w:highlight w:val="none"/>
          <w:lang w:eastAsia="zh-CN"/>
          <w14:textFill>
            <w14:solidFill>
              <w14:schemeClr w14:val="tx1"/>
            </w14:solidFill>
          </w14:textFill>
        </w:rPr>
        <w:t xml:space="preserve">、中止与终止</w:t>
      </w:r>
      <w:r/>
    </w:p>
    <w:p>
      <w:pPr>
        <w:ind w:firstLine="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.1合同的</w:t>
      </w:r>
      <w:r>
        <w:rPr>
          <w:rFonts w:hint="eastAsia" w:ascii="宋体" w:hAnsi="宋体" w:eastAsia="宋体" w:cs="宋体"/>
          <w:color w:val="000000" w:themeColor="text1"/>
          <w:szCs w:val="21"/>
          <w:highlight w:val="none"/>
          <w:lang w:eastAsia="zh-CN"/>
          <w14:textFill>
            <w14:solidFill>
              <w14:schemeClr w14:val="tx1"/>
            </w14:solidFill>
          </w14:textFill>
        </w:rPr>
        <w:t xml:space="preserve">变更</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政府采购合同履行中，</w:t>
      </w:r>
      <w:r>
        <w:rPr>
          <w:rFonts w:hint="eastAsia" w:ascii="宋体" w:hAnsi="宋体" w:eastAsia="宋体" w:cs="宋体"/>
          <w:color w:val="000000" w:themeColor="text1"/>
          <w:szCs w:val="21"/>
          <w:highlight w:val="none"/>
          <w14:textFill>
            <w14:solidFill>
              <w14:schemeClr w14:val="tx1"/>
            </w14:solidFill>
          </w14:textFill>
        </w:rPr>
        <w:t xml:space="preserve">在不改变合同其他条款的前提下，甲方可以在合同价款10%的范围内追加与合同标的相同的货物，并就此与乙方协商</w:t>
      </w:r>
      <w:r>
        <w:rPr>
          <w:rFonts w:hint="eastAsia" w:ascii="宋体" w:hAnsi="宋体" w:eastAsia="宋体" w:cs="宋体"/>
          <w:color w:val="000000" w:themeColor="text1"/>
          <w:szCs w:val="21"/>
          <w:highlight w:val="none"/>
          <w:lang w:eastAsia="zh-CN"/>
          <w14:textFill>
            <w14:solidFill>
              <w14:schemeClr w14:val="tx1"/>
            </w14:solidFill>
          </w14:textFill>
        </w:rPr>
        <w:t xml:space="preserve">一致后</w:t>
      </w:r>
      <w:r>
        <w:rPr>
          <w:rFonts w:hint="eastAsia" w:ascii="宋体" w:hAnsi="宋体" w:eastAsia="宋体" w:cs="宋体"/>
          <w:color w:val="000000" w:themeColor="text1"/>
          <w:szCs w:val="21"/>
          <w:highlight w:val="none"/>
          <w14:textFill>
            <w14:solidFill>
              <w14:schemeClr w14:val="tx1"/>
            </w14:solidFill>
          </w14:textFill>
        </w:rPr>
        <w:t xml:space="preserve">签订补充协议。</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合同的</w:t>
      </w:r>
      <w:r>
        <w:rPr>
          <w:rFonts w:hint="eastAsia" w:ascii="宋体" w:hAnsi="宋体" w:eastAsia="宋体" w:cs="宋体"/>
          <w:color w:val="000000" w:themeColor="text1"/>
          <w:szCs w:val="21"/>
          <w:highlight w:val="none"/>
          <w:lang w:eastAsia="zh-CN"/>
          <w14:textFill>
            <w14:solidFill>
              <w14:schemeClr w14:val="tx1"/>
            </w14:solidFill>
          </w14:textFill>
        </w:rPr>
        <w:t xml:space="preserve">终止</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w:t>
      </w:r>
      <w:r>
        <w:rPr>
          <w:rFonts w:hint="eastAsia" w:ascii="宋体" w:hAnsi="宋体" w:eastAsia="宋体" w:cs="宋体"/>
          <w:color w:val="000000" w:themeColor="text1"/>
          <w:szCs w:val="21"/>
          <w:highlight w:val="none"/>
          <w:lang w:eastAsia="zh-CN"/>
          <w14:textFill>
            <w14:solidFill>
              <w14:schemeClr w14:val="tx1"/>
            </w14:solidFill>
          </w14:textFill>
        </w:rPr>
        <w:t xml:space="preserve">可以</w:t>
      </w:r>
      <w:r>
        <w:rPr>
          <w:rFonts w:hint="eastAsia" w:ascii="宋体" w:hAnsi="宋体" w:eastAsia="宋体" w:cs="宋体"/>
          <w:color w:val="000000" w:themeColor="text1"/>
          <w:szCs w:val="21"/>
          <w:highlight w:val="none"/>
          <w14:textFill>
            <w14:solidFill>
              <w14:schemeClr w14:val="tx1"/>
            </w14:solidFill>
          </w14:textFill>
        </w:rPr>
        <w:t xml:space="preserve">中止合同的履行。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合同履行过程中，</w:t>
      </w:r>
      <w:r>
        <w:rPr>
          <w:rFonts w:hint="eastAsia" w:ascii="宋体" w:hAnsi="宋体" w:eastAsia="宋体" w:cs="宋体"/>
          <w:color w:val="000000" w:themeColor="text1"/>
          <w:szCs w:val="21"/>
          <w:highlight w:val="none"/>
          <w14:textFill>
            <w14:solidFill>
              <w14:schemeClr w14:val="tx1"/>
            </w14:solidFill>
          </w14:textFill>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Cs w:val="21"/>
          <w:highlight w:val="none"/>
          <w:lang w:eastAsia="zh-CN"/>
          <w14:textFill>
            <w14:solidFill>
              <w14:schemeClr w14:val="tx1"/>
            </w14:solidFill>
          </w14:textFill>
        </w:rPr>
        <w:t xml:space="preserve">，乙方有义务及时告知甲方</w:t>
      </w:r>
      <w:r>
        <w:rPr>
          <w:rFonts w:hint="eastAsia" w:ascii="宋体" w:hAnsi="宋体" w:eastAsia="宋体" w:cs="宋体"/>
          <w:color w:val="000000" w:themeColor="text1"/>
          <w:szCs w:val="21"/>
          <w:highlight w:val="none"/>
          <w14:textFill>
            <w14:solidFill>
              <w14:schemeClr w14:val="tx1"/>
            </w14:solidFill>
          </w14:textFill>
        </w:rPr>
        <w:t xml:space="preserve">。甲方</w:t>
      </w:r>
      <w:r>
        <w:rPr>
          <w:rFonts w:hint="eastAsia" w:ascii="宋体" w:hAnsi="宋体" w:eastAsia="宋体" w:cs="宋体"/>
          <w:color w:val="000000" w:themeColor="text1"/>
          <w:szCs w:val="21"/>
          <w:highlight w:val="none"/>
          <w:lang w:eastAsia="zh-CN"/>
          <w14:textFill>
            <w14:solidFill>
              <w14:schemeClr w14:val="tx1"/>
            </w14:solidFill>
          </w14:textFill>
        </w:rPr>
        <w:t xml:space="preserve">有权</w:t>
      </w:r>
      <w:r>
        <w:rPr>
          <w:rFonts w:hint="eastAsia" w:ascii="宋体" w:hAnsi="宋体" w:eastAsia="宋体" w:cs="宋体"/>
          <w:color w:val="000000" w:themeColor="text1"/>
          <w:szCs w:val="21"/>
          <w:highlight w:val="none"/>
          <w14:textFill>
            <w14:solidFill>
              <w14:schemeClr w14:val="tx1"/>
            </w14:solidFill>
          </w14:textFill>
        </w:rPr>
        <w:t xml:space="preserve">以书面形式通知乙方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终</w:t>
      </w:r>
      <w:r>
        <w:rPr>
          <w:rFonts w:hint="eastAsia" w:ascii="宋体" w:hAnsi="宋体" w:eastAsia="宋体" w:cs="宋体"/>
          <w:color w:val="000000" w:themeColor="text1"/>
          <w:szCs w:val="21"/>
          <w:highlight w:val="none"/>
          <w14:textFill>
            <w14:solidFill>
              <w14:schemeClr w14:val="tx1"/>
            </w14:solidFill>
          </w14:textFill>
        </w:rPr>
        <w:t xml:space="preserve">止合同</w:t>
      </w:r>
      <w:r>
        <w:rPr>
          <w:rFonts w:hint="eastAsia" w:ascii="宋体" w:hAnsi="宋体" w:eastAsia="宋体" w:cs="宋体"/>
          <w:color w:val="000000" w:themeColor="text1"/>
          <w:szCs w:val="21"/>
          <w:highlight w:val="none"/>
          <w:lang w:eastAsia="zh-CN"/>
          <w14:textFill>
            <w14:solidFill>
              <w14:schemeClr w14:val="tx1"/>
            </w14:solidFill>
          </w14:textFill>
        </w:rPr>
        <w:t xml:space="preserve">并要求乙方在合理期限内消除相关情形或者提供适当担保。</w:t>
      </w:r>
      <w:r>
        <w:rPr>
          <w:rFonts w:hint="eastAsia" w:ascii="宋体" w:hAnsi="宋体" w:eastAsia="宋体" w:cs="宋体"/>
          <w:color w:val="000000" w:themeColor="text1"/>
          <w:szCs w:val="21"/>
          <w:highlight w:val="none"/>
          <w14:textFill>
            <w14:solidFill>
              <w14:schemeClr w14:val="tx1"/>
            </w14:solidFill>
          </w14:textFill>
        </w:rPr>
        <w:t xml:space="preserve">乙方提供适当担保的，</w:t>
      </w:r>
      <w:r>
        <w:rPr>
          <w:rFonts w:hint="eastAsia" w:ascii="宋体" w:hAnsi="宋体" w:eastAsia="宋体" w:cs="宋体"/>
          <w:color w:val="000000" w:themeColor="text1"/>
          <w:szCs w:val="21"/>
          <w:highlight w:val="none"/>
          <w:lang w:eastAsia="zh-CN"/>
          <w14:textFill>
            <w14:solidFill>
              <w14:schemeClr w14:val="tx1"/>
            </w14:solidFill>
          </w14:textFill>
        </w:rPr>
        <w:t xml:space="preserve">合同继续</w:t>
      </w:r>
      <w:r>
        <w:rPr>
          <w:rFonts w:hint="eastAsia" w:ascii="宋体" w:hAnsi="宋体" w:eastAsia="宋体" w:cs="宋体"/>
          <w:color w:val="000000" w:themeColor="text1"/>
          <w:szCs w:val="21"/>
          <w:highlight w:val="none"/>
          <w14:textFill>
            <w14:solidFill>
              <w14:schemeClr w14:val="tx1"/>
            </w14:solidFill>
          </w14:textFill>
        </w:rPr>
        <w:t xml:space="preserve">履行</w:t>
      </w:r>
      <w:r>
        <w:rPr>
          <w:rFonts w:hint="eastAsia" w:ascii="宋体" w:hAnsi="宋体" w:eastAsia="宋体" w:cs="宋体"/>
          <w:color w:val="000000" w:themeColor="text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Cs w:val="21"/>
          <w:highlight w:val="none"/>
          <w14:textFill>
            <w14:solidFill>
              <w14:schemeClr w14:val="tx1"/>
            </w14:solidFill>
          </w14:textFill>
        </w:rPr>
        <w:t xml:space="preserve">方在合理期限内未恢复履约能力且未提供适当担保的，视为拒绝</w:t>
      </w:r>
      <w:r>
        <w:rPr>
          <w:rFonts w:hint="eastAsia" w:ascii="宋体" w:hAnsi="宋体" w:eastAsia="宋体" w:cs="宋体"/>
          <w:color w:val="000000" w:themeColor="text1"/>
          <w:szCs w:val="21"/>
          <w:highlight w:val="none"/>
          <w:lang w:eastAsia="zh-CN"/>
          <w14:textFill>
            <w14:solidFill>
              <w14:schemeClr w14:val="tx1"/>
            </w14:solidFill>
          </w14:textFill>
        </w:rPr>
        <w:t xml:space="preserve">继续</w:t>
      </w:r>
      <w:r>
        <w:rPr>
          <w:rFonts w:hint="eastAsia" w:ascii="宋体" w:hAnsi="宋体" w:eastAsia="宋体" w:cs="宋体"/>
          <w:color w:val="000000" w:themeColor="text1"/>
          <w:szCs w:val="21"/>
          <w:highlight w:val="none"/>
          <w14:textFill>
            <w14:solidFill>
              <w14:schemeClr w14:val="tx1"/>
            </w14:solidFill>
          </w14:textFill>
        </w:rPr>
        <w:t xml:space="preserve">履约，甲方</w:t>
      </w:r>
      <w:r>
        <w:rPr>
          <w:rFonts w:hint="eastAsia" w:ascii="宋体" w:hAnsi="宋体" w:eastAsia="宋体" w:cs="宋体"/>
          <w:color w:val="000000" w:themeColor="text1"/>
          <w:szCs w:val="21"/>
          <w:highlight w:val="none"/>
          <w:lang w:eastAsia="zh-CN"/>
          <w14:textFill>
            <w14:solidFill>
              <w14:schemeClr w14:val="tx1"/>
            </w14:solidFill>
          </w14:textFill>
        </w:rPr>
        <w:t xml:space="preserve">有权</w:t>
      </w:r>
      <w:r>
        <w:rPr>
          <w:rFonts w:hint="eastAsia" w:ascii="宋体" w:hAnsi="宋体" w:eastAsia="宋体" w:cs="宋体"/>
          <w:color w:val="000000" w:themeColor="text1"/>
          <w:szCs w:val="21"/>
          <w:highlight w:val="none"/>
          <w14:textFill>
            <w14:solidFill>
              <w14:schemeClr w14:val="tx1"/>
            </w14:solidFill>
          </w14:textFill>
        </w:rPr>
        <w:t xml:space="preserve">解除合同并要求乙方承担</w:t>
      </w:r>
      <w:r>
        <w:rPr>
          <w:rFonts w:hint="eastAsia" w:ascii="宋体" w:hAnsi="宋体" w:eastAsia="宋体" w:cs="宋体"/>
          <w:color w:val="000000" w:themeColor="text1"/>
          <w:szCs w:val="21"/>
          <w:highlight w:val="none"/>
          <w:lang w:eastAsia="zh-CN"/>
          <w14:textFill>
            <w14:solidFill>
              <w14:schemeClr w14:val="tx1"/>
            </w14:solidFill>
          </w14:textFill>
        </w:rPr>
        <w:t xml:space="preserve">由此给甲方造成的损失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228"/>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w:t>
      </w:r>
      <w:r>
        <w:rPr>
          <w:rFonts w:hint="eastAsia" w:ascii="宋体" w:hAnsi="宋体" w:eastAsia="宋体" w:cs="宋体"/>
          <w:color w:val="000000" w:themeColor="text1"/>
          <w:sz w:val="21"/>
          <w:lang w:eastAsia="zh-CN"/>
          <w14:textFill>
            <w14:solidFill>
              <w14:schemeClr w14:val="tx1"/>
            </w14:solidFill>
          </w14:textFill>
        </w:rPr>
        <w:t xml:space="preserve">及时告知</w:t>
      </w:r>
      <w:r>
        <w:rPr>
          <w:rFonts w:hint="eastAsia" w:ascii="宋体" w:hAnsi="宋体" w:eastAsia="宋体" w:cs="宋体"/>
          <w:color w:val="000000" w:themeColor="text1"/>
          <w:sz w:val="21"/>
          <w14:textFill>
            <w14:solidFill>
              <w14:schemeClr w14:val="tx1"/>
            </w14:solidFill>
          </w14:textFill>
        </w:rPr>
        <w:t xml:space="preserve">甲方，致使</w:t>
      </w:r>
      <w:r>
        <w:rPr>
          <w:rFonts w:hint="eastAsia" w:ascii="宋体" w:hAnsi="宋体" w:eastAsia="宋体" w:cs="宋体"/>
          <w:color w:val="000000" w:themeColor="text1"/>
          <w:sz w:val="21"/>
          <w:lang w:eastAsia="zh-CN"/>
          <w14:textFill>
            <w14:solidFill>
              <w14:schemeClr w14:val="tx1"/>
            </w14:solidFill>
          </w14:textFill>
        </w:rPr>
        <w:t xml:space="preserve">合同</w:t>
      </w:r>
      <w:r>
        <w:rPr>
          <w:rFonts w:hint="eastAsia" w:ascii="宋体" w:hAnsi="宋体" w:eastAsia="宋体" w:cs="宋体"/>
          <w:color w:val="000000" w:themeColor="text1"/>
          <w:sz w:val="21"/>
          <w14:textFill>
            <w14:solidFill>
              <w14:schemeClr w14:val="tx1"/>
            </w14:solidFill>
          </w14:textFill>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）甲方不得以行政区划调整、政府换届、机构或者职能调整以及相关责任人更替为由</w:t>
      </w:r>
      <w:r>
        <w:rPr>
          <w:rFonts w:hint="eastAsia" w:ascii="宋体" w:hAnsi="宋体" w:eastAsia="宋体" w:cs="宋体"/>
          <w:color w:val="000000" w:themeColor="text1"/>
          <w:szCs w:val="21"/>
          <w:highlight w:val="none"/>
          <w:lang w:eastAsia="zh-CN"/>
          <w14:textFill>
            <w14:solidFill>
              <w14:schemeClr w14:val="tx1"/>
            </w14:solidFill>
          </w14:textFill>
        </w:rPr>
        <w:t xml:space="preserve">终止</w:t>
      </w:r>
      <w:r>
        <w:rPr>
          <w:rFonts w:hint="eastAsia" w:ascii="宋体" w:hAnsi="宋体" w:eastAsia="宋体" w:cs="宋体"/>
          <w:color w:val="000000" w:themeColor="text1"/>
          <w:szCs w:val="21"/>
          <w:highlight w:val="none"/>
          <w14:textFill>
            <w14:solidFill>
              <w14:schemeClr w14:val="tx1"/>
            </w14:solidFill>
          </w14:textFill>
        </w:rPr>
        <w:t xml:space="preserve">合同。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合同的终止</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（1）合同因有效期限届满而终止；</w:t>
      </w:r>
      <w:r/>
    </w:p>
    <w:p>
      <w:pPr>
        <w:ind w:firstLine="420"/>
        <w:spacing w:line="40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（2）乙方未</w:t>
      </w:r>
      <w:r>
        <w:rPr>
          <w:rFonts w:hint="eastAsia" w:ascii="宋体" w:hAnsi="宋体" w:eastAsia="宋体" w:cs="宋体"/>
          <w:color w:val="000000" w:themeColor="text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Cs w:val="21"/>
          <w:highlight w:val="none"/>
          <w14:textFill>
            <w14:solidFill>
              <w14:schemeClr w14:val="tx1"/>
            </w14:solidFill>
          </w14:textFill>
        </w:rPr>
        <w:t xml:space="preserve">合同约定履行，构成根本性违约的，甲方有权终止合同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并追究乙方的违约责</w:t>
      </w:r>
      <w:r>
        <w:rPr>
          <w:rFonts w:hint="eastAsia" w:ascii="宋体" w:hAnsi="宋体" w:eastAsia="宋体" w:cs="宋体"/>
          <w:color w:val="000000" w:themeColor="text1"/>
          <w:szCs w:val="21"/>
          <w:lang w:val="en-US" w:eastAsia="zh-CN"/>
          <w14:textFill>
            <w14:solidFill>
              <w14:schemeClr w14:val="tx1"/>
            </w14:solidFill>
          </w14:textFill>
        </w:rPr>
        <w:t xml:space="preserve">任</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228"/>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16.4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涉及国家利益、社会公共利益的情形</w:t>
      </w:r>
      <w:r/>
    </w:p>
    <w:p>
      <w:pPr>
        <w:pStyle w:val="1228"/>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应当变更、</w:t>
      </w:r>
      <w:r>
        <w:rPr>
          <w:rFonts w:hint="eastAsia" w:ascii="宋体" w:hAnsi="宋体" w:eastAsia="宋体" w:cs="宋体"/>
          <w:color w:val="000000" w:themeColor="text1"/>
          <w:sz w:val="21"/>
          <w14:textFill>
            <w14:solidFill>
              <w14:schemeClr w14:val="tx1"/>
            </w14:solidFill>
          </w14:textFill>
        </w:rPr>
        <w:t xml:space="preserve">中止</w:t>
      </w:r>
      <w:r>
        <w:rPr>
          <w:rFonts w:hint="eastAsia" w:ascii="宋体" w:hAnsi="宋体" w:eastAsia="宋体" w:cs="宋体"/>
          <w:color w:val="000000" w:themeColor="text1"/>
          <w:sz w:val="21"/>
          <w:lang w:eastAsia="zh-CN"/>
          <w14:textFill>
            <w14:solidFill>
              <w14:schemeClr w14:val="tx1"/>
            </w14:solidFill>
          </w14:textFill>
        </w:rPr>
        <w:t xml:space="preserve">或者终止</w:t>
      </w:r>
      <w:r>
        <w:rPr>
          <w:rFonts w:hint="eastAsia" w:ascii="宋体" w:hAnsi="宋体" w:eastAsia="宋体" w:cs="宋体"/>
          <w:color w:val="000000" w:themeColor="text1"/>
          <w:sz w:val="21"/>
          <w14:textFill>
            <w14:solidFill>
              <w14:schemeClr w14:val="tx1"/>
            </w14:solidFill>
          </w14:textFill>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合同分包</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乙方不得</w:t>
      </w:r>
      <w:r>
        <w:rPr>
          <w:rFonts w:hint="eastAsia" w:ascii="宋体" w:hAnsi="宋体" w:eastAsia="宋体" w:cs="宋体"/>
          <w:color w:val="000000" w:themeColor="text1"/>
          <w:szCs w:val="21"/>
          <w:highlight w:val="none"/>
          <w:lang w:eastAsia="zh-CN"/>
          <w14:textFill>
            <w14:solidFill>
              <w14:schemeClr w14:val="tx1"/>
            </w14:solidFill>
          </w14:textFill>
        </w:rPr>
        <w:t xml:space="preserve">将合同转包给其他供应商。涉及合同分包的，乙方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应</w:t>
      </w:r>
      <w:r>
        <w:rPr>
          <w:rFonts w:hint="eastAsia" w:ascii="宋体" w:hAnsi="宋体" w:eastAsia="宋体" w:cs="宋体"/>
          <w:color w:val="000000" w:themeColor="text1"/>
          <w:szCs w:val="21"/>
          <w:highlight w:val="none"/>
          <w:lang w:eastAsia="zh-CN"/>
          <w14:textFill>
            <w14:solidFill>
              <w14:schemeClr w14:val="tx1"/>
            </w14:solidFill>
          </w14:textFill>
        </w:rPr>
        <w:t xml:space="preserve">根据采购文件和投标（响应）文件规定进行</w:t>
      </w:r>
      <w:r>
        <w:rPr>
          <w:rFonts w:hint="eastAsia" w:ascii="宋体" w:hAnsi="宋体" w:eastAsia="宋体" w:cs="宋体"/>
          <w:color w:val="000000" w:themeColor="text1"/>
          <w:szCs w:val="21"/>
          <w:highlight w:val="none"/>
          <w14:textFill>
            <w14:solidFill>
              <w14:schemeClr w14:val="tx1"/>
            </w14:solidFill>
          </w14:textFill>
        </w:rPr>
        <w:t xml:space="preserve">合同分包。</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乙方执行政府采购政策向中小企业依法分包的</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乙方应当按采购文件</w:t>
      </w:r>
      <w:r>
        <w:rPr>
          <w:rFonts w:hint="eastAsia" w:ascii="宋体" w:hAnsi="宋体" w:eastAsia="宋体" w:cs="宋体"/>
          <w:color w:val="000000" w:themeColor="text1"/>
          <w:szCs w:val="21"/>
          <w:highlight w:val="none"/>
          <w:lang w:eastAsia="zh-CN"/>
          <w14:textFill>
            <w14:solidFill>
              <w14:schemeClr w14:val="tx1"/>
            </w14:solidFill>
          </w14:textFill>
        </w:rPr>
        <w:t xml:space="preserve">和</w:t>
      </w:r>
      <w:r>
        <w:rPr>
          <w:rFonts w:hint="eastAsia" w:ascii="宋体" w:hAnsi="宋体" w:eastAsia="宋体" w:cs="宋体"/>
          <w:color w:val="000000" w:themeColor="text1"/>
          <w:szCs w:val="21"/>
          <w:highlight w:val="none"/>
          <w14:textFill>
            <w14:solidFill>
              <w14:schemeClr w14:val="tx1"/>
            </w14:solidFill>
          </w14:textFill>
        </w:rPr>
        <w:t xml:space="preserve">投标（响应）文件签订分包</w:t>
      </w:r>
      <w:r>
        <w:rPr>
          <w:rFonts w:hint="eastAsia" w:ascii="宋体" w:hAnsi="宋体" w:eastAsia="宋体" w:cs="宋体"/>
          <w:color w:val="000000" w:themeColor="text1"/>
          <w:szCs w:val="21"/>
          <w:highlight w:val="none"/>
          <w:lang w:eastAsia="zh-CN"/>
          <w14:textFill>
            <w14:solidFill>
              <w14:schemeClr w14:val="tx1"/>
            </w14:solidFill>
          </w14:textFill>
        </w:rPr>
        <w:t xml:space="preserve">意向</w:t>
      </w:r>
      <w:r>
        <w:rPr>
          <w:rFonts w:hint="eastAsia" w:ascii="宋体" w:hAnsi="宋体" w:eastAsia="宋体" w:cs="宋体"/>
          <w:color w:val="000000" w:themeColor="text1"/>
          <w:szCs w:val="21"/>
          <w:highlight w:val="none"/>
          <w14:textFill>
            <w14:solidFill>
              <w14:schemeClr w14:val="tx1"/>
            </w14:solidFill>
          </w14:textFill>
        </w:rPr>
        <w:t xml:space="preserve">协议，分包</w:t>
      </w:r>
      <w:r>
        <w:rPr>
          <w:rFonts w:hint="eastAsia" w:ascii="宋体" w:hAnsi="宋体" w:eastAsia="宋体" w:cs="宋体"/>
          <w:color w:val="000000" w:themeColor="text1"/>
          <w:szCs w:val="21"/>
          <w:highlight w:val="none"/>
          <w:lang w:eastAsia="zh-CN"/>
          <w14:textFill>
            <w14:solidFill>
              <w14:schemeClr w14:val="tx1"/>
            </w14:solidFill>
          </w14:textFill>
        </w:rPr>
        <w:t xml:space="preserve">意向</w:t>
      </w:r>
      <w:r>
        <w:rPr>
          <w:rFonts w:hint="eastAsia" w:ascii="宋体" w:hAnsi="宋体" w:eastAsia="宋体" w:cs="宋体"/>
          <w:color w:val="000000" w:themeColor="text1"/>
          <w:szCs w:val="21"/>
          <w:highlight w:val="none"/>
          <w14:textFill>
            <w14:solidFill>
              <w14:schemeClr w14:val="tx1"/>
            </w14:solidFill>
          </w14:textFill>
        </w:rPr>
        <w:t xml:space="preserve">协议属于本合同组成部分。</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不可抗力</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.3 遇有不可抗力的一方，应及时将事件情况以书面形式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告</w:t>
      </w:r>
      <w:r>
        <w:rPr>
          <w:rFonts w:hint="eastAsia" w:ascii="宋体" w:hAnsi="宋体" w:eastAsia="宋体" w:cs="宋体"/>
          <w:color w:val="000000" w:themeColor="text1"/>
          <w:szCs w:val="21"/>
          <w:highlight w:val="none"/>
          <w14:textFill>
            <w14:solidFill>
              <w14:schemeClr w14:val="tx1"/>
            </w14:solidFill>
          </w14:textFill>
        </w:rPr>
        <w:t xml:space="preserve">知另一方，并在事件发生后及时向另一方提交合同不能履行或部分不能履行或需要延期履行</w:t>
      </w:r>
      <w:r>
        <w:rPr>
          <w:rFonts w:hint="eastAsia" w:ascii="宋体" w:hAnsi="宋体" w:eastAsia="宋体" w:cs="宋体"/>
          <w:color w:val="000000" w:themeColor="text1"/>
          <w:szCs w:val="21"/>
          <w:highlight w:val="none"/>
          <w:lang w:eastAsia="zh-CN"/>
          <w14:textFill>
            <w14:solidFill>
              <w14:schemeClr w14:val="tx1"/>
            </w14:solidFill>
          </w14:textFill>
        </w:rPr>
        <w:t xml:space="preserve">的详细</w:t>
      </w:r>
      <w:r>
        <w:rPr>
          <w:rFonts w:hint="eastAsia" w:ascii="宋体" w:hAnsi="宋体" w:eastAsia="宋体" w:cs="宋体"/>
          <w:color w:val="000000" w:themeColor="text1"/>
          <w:szCs w:val="21"/>
          <w:highlight w:val="none"/>
          <w14:textFill>
            <w14:solidFill>
              <w14:schemeClr w14:val="tx1"/>
            </w14:solidFill>
          </w14:textFill>
        </w:rPr>
        <w:t xml:space="preserve">报告</w:t>
      </w:r>
      <w:r>
        <w:rPr>
          <w:rFonts w:hint="eastAsia" w:ascii="宋体" w:hAnsi="宋体" w:eastAsia="宋体" w:cs="宋体"/>
          <w:color w:val="000000" w:themeColor="text1"/>
          <w:szCs w:val="21"/>
          <w:highlight w:val="none"/>
          <w:lang w:eastAsia="zh-CN"/>
          <w14:textFill>
            <w14:solidFill>
              <w14:schemeClr w14:val="tx1"/>
            </w14:solidFill>
          </w14:textFill>
        </w:rPr>
        <w:t xml:space="preserve">，以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及证明不可抗力发生及其持续时间的证据</w:t>
      </w:r>
      <w:r>
        <w:rPr>
          <w:rFonts w:hint="eastAsia" w:ascii="宋体" w:hAnsi="宋体" w:eastAsia="宋体" w:cs="宋体"/>
          <w:color w:val="000000" w:themeColor="text1"/>
          <w:szCs w:val="21"/>
          <w:highlight w:val="none"/>
          <w14:textFill>
            <w14:solidFill>
              <w14:schemeClr w14:val="tx1"/>
            </w14:solidFill>
          </w14:textFill>
        </w:rPr>
        <w:t xml:space="preserve">。</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19</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解决争议的方法</w:t>
      </w:r>
      <w:r/>
    </w:p>
    <w:p>
      <w:pPr>
        <w:pStyle w:val="1228"/>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.1 因本合同及合同有关事项发生的争议，由</w:t>
      </w:r>
      <w:r>
        <w:rPr>
          <w:rFonts w:hint="eastAsia" w:ascii="宋体" w:hAnsi="宋体" w:eastAsia="宋体" w:cs="宋体"/>
          <w:color w:val="000000" w:themeColor="text1"/>
          <w:sz w:val="21"/>
          <w:lang w:eastAsia="zh-CN"/>
          <w14:textFill>
            <w14:solidFill>
              <w14:schemeClr w14:val="tx1"/>
            </w14:solidFill>
          </w14:textFill>
        </w:rPr>
        <w:t xml:space="preserve">甲乙双</w:t>
      </w:r>
      <w:r>
        <w:rPr>
          <w:rFonts w:hint="eastAsia" w:ascii="宋体" w:hAnsi="宋体" w:eastAsia="宋体" w:cs="宋体"/>
          <w:color w:val="000000" w:themeColor="text1"/>
          <w:sz w:val="21"/>
          <w14:textFill>
            <w14:solidFill>
              <w14:schemeClr w14:val="tx1"/>
            </w14:solidFill>
          </w14:textFill>
        </w:rPr>
        <w:t xml:space="preserve">方友好协商解决。协商不成时，可以</w:t>
      </w:r>
      <w:r>
        <w:rPr>
          <w:rFonts w:hint="eastAsia" w:ascii="宋体" w:hAnsi="宋体" w:eastAsia="宋体" w:cs="宋体"/>
          <w:color w:val="000000" w:themeColor="text1"/>
          <w:sz w:val="21"/>
          <w:lang w:eastAsia="zh-CN"/>
          <w14:textFill>
            <w14:solidFill>
              <w14:schemeClr w14:val="tx1"/>
            </w14:solidFill>
          </w14:textFill>
        </w:rPr>
        <w:t xml:space="preserve">向有关组织申请</w:t>
      </w:r>
      <w:r>
        <w:rPr>
          <w:rFonts w:hint="eastAsia" w:ascii="宋体" w:hAnsi="宋体" w:eastAsia="宋体" w:cs="宋体"/>
          <w:color w:val="000000" w:themeColor="text1"/>
          <w:sz w:val="21"/>
          <w14:textFill>
            <w14:solidFill>
              <w14:schemeClr w14:val="tx1"/>
            </w14:solidFill>
          </w14:textFill>
        </w:rPr>
        <w:t xml:space="preserve">调解。合同一方或</w:t>
      </w:r>
      <w:r>
        <w:rPr>
          <w:rFonts w:hint="eastAsia" w:ascii="宋体" w:hAnsi="宋体" w:eastAsia="宋体" w:cs="宋体"/>
          <w:color w:val="000000" w:themeColor="text1"/>
          <w:sz w:val="21"/>
          <w:lang w:eastAsia="zh-CN"/>
          <w14:textFill>
            <w14:solidFill>
              <w14:schemeClr w14:val="tx1"/>
            </w14:solidFill>
          </w14:textFill>
        </w:rPr>
        <w:t xml:space="preserve">双</w:t>
      </w:r>
      <w:r>
        <w:rPr>
          <w:rFonts w:hint="eastAsia" w:ascii="宋体" w:hAnsi="宋体" w:eastAsia="宋体" w:cs="宋体"/>
          <w:color w:val="000000" w:themeColor="text1"/>
          <w:sz w:val="21"/>
          <w14:textFill>
            <w14:solidFill>
              <w14:schemeClr w14:val="tx1"/>
            </w14:solidFill>
          </w14:textFill>
        </w:rPr>
        <w:t xml:space="preserve">方不愿调解或调解不成的，可以通过仲裁或诉讼的方式解决争议。</w:t>
      </w:r>
      <w:r/>
    </w:p>
    <w:p>
      <w:pPr>
        <w:pStyle w:val="1228"/>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.2 选择仲裁的，应在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228"/>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19</w:t>
      </w:r>
      <w:r>
        <w:rPr>
          <w:rFonts w:hint="eastAsia" w:ascii="宋体" w:hAnsi="宋体" w:eastAsia="宋体" w:cs="宋体"/>
          <w:color w:val="000000" w:themeColor="text1"/>
          <w:sz w:val="21"/>
          <w14:textFill>
            <w14:solidFill>
              <w14:schemeClr w14:val="tx1"/>
            </w14:solidFill>
          </w14:textFill>
        </w:rPr>
        <w:t xml:space="preserve">.3 如</w:t>
      </w:r>
      <w:r>
        <w:rPr>
          <w:rFonts w:hint="eastAsia" w:ascii="宋体" w:hAnsi="宋体" w:eastAsia="宋体" w:cs="宋体"/>
          <w:color w:val="000000" w:themeColor="text1"/>
          <w:sz w:val="21"/>
          <w:lang w:eastAsia="zh-CN"/>
          <w14:textFill>
            <w14:solidFill>
              <w14:schemeClr w14:val="tx1"/>
            </w14:solidFill>
          </w14:textFill>
        </w:rPr>
        <w:t xml:space="preserve">甲乙双方</w:t>
      </w:r>
      <w:r>
        <w:rPr>
          <w:rFonts w:hint="eastAsia" w:ascii="宋体" w:hAnsi="宋体" w:eastAsia="宋体" w:cs="宋体"/>
          <w:color w:val="000000" w:themeColor="text1"/>
          <w:sz w:val="21"/>
          <w14:textFill>
            <w14:solidFill>
              <w14:schemeClr w14:val="tx1"/>
            </w14:solidFill>
          </w14:textFill>
        </w:rPr>
        <w:t xml:space="preserve">有争议的事项不影响合同其他部分的履行，在争议解决期间，合同其他部分应</w:t>
      </w:r>
      <w:r>
        <w:rPr>
          <w:rFonts w:hint="eastAsia" w:ascii="宋体" w:hAnsi="宋体" w:eastAsia="宋体" w:cs="宋体"/>
          <w:color w:val="000000" w:themeColor="text1"/>
          <w:sz w:val="21"/>
          <w:lang w:eastAsia="zh-CN"/>
          <w14:textFill>
            <w14:solidFill>
              <w14:schemeClr w14:val="tx1"/>
            </w14:solidFill>
          </w14:textFill>
        </w:rPr>
        <w:t xml:space="preserve">当</w:t>
      </w:r>
      <w:r>
        <w:rPr>
          <w:rFonts w:hint="eastAsia" w:ascii="宋体" w:hAnsi="宋体" w:eastAsia="宋体" w:cs="宋体"/>
          <w:color w:val="000000" w:themeColor="text1"/>
          <w:sz w:val="21"/>
          <w14:textFill>
            <w14:solidFill>
              <w14:schemeClr w14:val="tx1"/>
            </w14:solidFill>
          </w14:textFill>
        </w:rPr>
        <w:t xml:space="preserve">继续履行。</w:t>
      </w:r>
      <w:r/>
    </w:p>
    <w:p>
      <w:pPr>
        <w:jc w:val="left"/>
        <w:spacing w:before="0"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政府采购政策</w:t>
      </w:r>
      <w:r/>
    </w:p>
    <w:p>
      <w:pPr>
        <w:ind w:firstLine="420"/>
        <w:jc w:val="left"/>
        <w:spacing w:before="0"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1"/>
          <w:lang w:eastAsia="zh-CN"/>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pStyle w:val="1202"/>
        <w:ind w:firstLine="420"/>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法律适用</w:t>
      </w:r>
      <w:r/>
    </w:p>
    <w:p>
      <w:pPr>
        <w:pStyle w:val="1228"/>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1</w:t>
      </w:r>
      <w:r>
        <w:rPr>
          <w:rFonts w:hint="eastAsia" w:ascii="宋体" w:hAnsi="宋体" w:eastAsia="宋体" w:cs="宋体"/>
          <w:color w:val="000000" w:themeColor="text1"/>
          <w:sz w:val="21"/>
          <w14:textFill>
            <w14:solidFill>
              <w14:schemeClr w14:val="tx1"/>
            </w14:solidFill>
          </w14:textFill>
        </w:rPr>
        <w:t xml:space="preserve">.1 本合同的订立、生效、解释、履行及与本合同有关的争议解决，均适用法律、行政法规。</w:t>
      </w:r>
      <w:r/>
    </w:p>
    <w:p>
      <w:pPr>
        <w:pStyle w:val="1228"/>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1</w:t>
      </w:r>
      <w:r>
        <w:rPr>
          <w:rFonts w:hint="eastAsia" w:ascii="宋体" w:hAnsi="宋体" w:eastAsia="宋体" w:cs="宋体"/>
          <w:color w:val="000000" w:themeColor="text1"/>
          <w:sz w:val="21"/>
          <w14:textFill>
            <w14:solidFill>
              <w14:schemeClr w14:val="tx1"/>
            </w14:solidFill>
          </w14:textFill>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4"/>
          <w:highlight w:val="none"/>
          <w14:textFill>
            <w14:solidFill>
              <w14:schemeClr w14:val="tx1"/>
            </w14:solidFill>
          </w14:textFill>
        </w:rPr>
        <w:t xml:space="preserve">通知</w:t>
      </w:r>
      <w:r/>
    </w:p>
    <w:p>
      <w:pPr>
        <w:pStyle w:val="1228"/>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2</w:t>
      </w:r>
      <w:r>
        <w:rPr>
          <w:rFonts w:hint="eastAsia" w:ascii="宋体" w:hAnsi="宋体" w:eastAsia="宋体" w:cs="宋体"/>
          <w:color w:val="000000" w:themeColor="text1"/>
          <w:sz w:val="21"/>
          <w14:textFill>
            <w14:solidFill>
              <w14:schemeClr w14:val="tx1"/>
            </w14:solidFill>
          </w14:textFill>
        </w:rPr>
        <w:t xml:space="preserve">.1</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本合同任何一方向对方发出的通知、信件、数据电文等，应当发送至本合同第一部分《政府采购合同协议书》所约定的通讯地址、联系人、联系电话或电子邮箱。</w:t>
      </w:r>
      <w:r/>
    </w:p>
    <w:p>
      <w:pPr>
        <w:pStyle w:val="1228"/>
        <w:ind w:firstLine="0"/>
        <w:jc w:val="both"/>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2</w:t>
      </w: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一方当事人变更名称、</w:t>
      </w:r>
      <w:r>
        <w:rPr>
          <w:rFonts w:hint="eastAsia" w:ascii="宋体" w:hAnsi="宋体" w:eastAsia="宋体" w:cs="宋体"/>
          <w:color w:val="000000" w:themeColor="text1"/>
          <w:sz w:val="21"/>
          <w:lang w:eastAsia="zh-CN"/>
          <w14:textFill>
            <w14:solidFill>
              <w14:schemeClr w14:val="tx1"/>
            </w14:solidFill>
          </w14:textFill>
        </w:rPr>
        <w:t xml:space="preserve">住所</w:t>
      </w:r>
      <w:r>
        <w:rPr>
          <w:rFonts w:hint="eastAsia" w:ascii="宋体" w:hAnsi="宋体" w:eastAsia="宋体" w:cs="宋体"/>
          <w:color w:val="000000" w:themeColor="text1"/>
          <w:sz w:val="21"/>
          <w14:textFill>
            <w14:solidFill>
              <w14:schemeClr w14:val="tx1"/>
            </w14:solidFill>
          </w14:textFill>
        </w:rPr>
        <w:t xml:space="preserve">、联系人、联系电话或电子邮箱</w:t>
      </w:r>
      <w:r>
        <w:rPr>
          <w:rFonts w:hint="eastAsia" w:ascii="宋体" w:hAnsi="宋体" w:eastAsia="宋体" w:cs="宋体"/>
          <w:color w:val="000000" w:themeColor="text1"/>
          <w:sz w:val="21"/>
          <w:lang w:eastAsia="zh-CN"/>
          <w14:textFill>
            <w14:solidFill>
              <w14:schemeClr w14:val="tx1"/>
            </w14:solidFill>
          </w14:textFill>
        </w:rPr>
        <w:t xml:space="preserve">等信息</w:t>
      </w:r>
      <w:r>
        <w:rPr>
          <w:rFonts w:hint="eastAsia" w:ascii="宋体" w:hAnsi="宋体" w:eastAsia="宋体" w:cs="宋体"/>
          <w:color w:val="000000" w:themeColor="text1"/>
          <w:sz w:val="21"/>
          <w14:textFill>
            <w14:solidFill>
              <w14:schemeClr w14:val="tx1"/>
            </w14:solidFill>
          </w14:textFill>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通知以送达之日或通知书中规定的生效之日起生效，两者中以较迟之日为准。</w:t>
      </w:r>
      <w:r/>
    </w:p>
    <w:p>
      <w:pPr>
        <w:numPr>
          <w:ilvl w:val="0"/>
          <w:numId w:val="9"/>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合同未尽事项</w:t>
      </w:r>
      <w:r/>
    </w:p>
    <w:p>
      <w:pPr>
        <w:ind w:firstLine="420"/>
        <w:jc w:val="left"/>
        <w:spacing w:before="0"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.1合同未尽事项见</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0"/>
        <w:jc w:val="left"/>
        <w:spacing w:line="40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23.2 合同附件与合同正文具有同等的法律效力。</w:t>
      </w:r>
      <w:r/>
    </w:p>
    <w:p>
      <w:pPr>
        <w:jc w:val="center"/>
        <w:rPr>
          <w:rFonts w:hint="eastAsia" w:ascii="等线" w:hAnsi="等线" w:eastAsia="等线" w:cs="等线"/>
          <w:b w:val="0"/>
          <w:bCs w:val="0"/>
          <w:color w:val="000000" w:themeColor="text1"/>
          <w:sz w:val="28"/>
          <w:szCs w:val="28"/>
          <w14:textFill>
            <w14:solidFill>
              <w14:schemeClr w14:val="tx1"/>
            </w14:solidFill>
          </w14:textFill>
        </w:rPr>
      </w:pPr>
      <w:r>
        <w:rPr>
          <w:rFonts w:hint="eastAsia" w:ascii="等线" w:hAnsi="等线" w:eastAsia="等线" w:cs="等线"/>
          <w:b w:val="0"/>
          <w:bCs w:val="0"/>
          <w:color w:val="000000" w:themeColor="text1"/>
          <w:sz w:val="28"/>
          <w:szCs w:val="28"/>
          <w14:textFill>
            <w14:solidFill>
              <w14:schemeClr w14:val="tx1"/>
            </w14:solidFill>
          </w14:textFill>
        </w:rPr>
        <w:br w:type="page" w:clear="all"/>
      </w:r>
      <w:bookmarkEnd w:id="25"/>
      <w:r/>
      <w:r/>
    </w:p>
    <w:p>
      <w:pPr>
        <w:pStyle w:val="1195"/>
        <w:jc w:val="center"/>
        <w:rPr>
          <w:rFonts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b w:val="0"/>
          <w:bCs w:val="0"/>
          <w:color w:val="000000" w:themeColor="text1"/>
          <w:sz w:val="28"/>
          <w:szCs w:val="28"/>
          <w14:textFill>
            <w14:solidFill>
              <w14:schemeClr w14:val="tx1"/>
            </w14:solidFill>
          </w14:textFill>
        </w:rPr>
        <w:t xml:space="preserve">第三节 政府采购合同专用条款</w:t>
      </w:r>
      <w:r/>
    </w:p>
    <w:tbl>
      <w:tblPr>
        <w:tblStyle w:val="1200"/>
        <w:tblW w:w="889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78"/>
        <w:gridCol w:w="1819"/>
        <w:gridCol w:w="5401"/>
      </w:tblGrid>
      <w:tr>
        <w:trPr>
          <w:trHeight w:val="754"/>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w:t>
            </w: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联合体具体要求</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25"/>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877"/>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4.4款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履约验收中甲方提出异议或作出说明的期限</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4.6款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约定甲方承担的其他义务和责任</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59"/>
        </w:trPr>
        <w:tc>
          <w:tcPr>
            <w:tcW w:w="1678" w:type="dxa"/>
            <w:vAlign w:val="center"/>
            <w:textDirection w:val="lrTb"/>
            <w:noWrap w:val="false"/>
          </w:tcPr>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第二节</w:t>
            </w:r>
            <w:r/>
          </w:p>
          <w:p>
            <w:pPr>
              <w:jc w:val="center"/>
              <w:rPr>
                <w:rFonts w:hint="default"/>
                <w:color w:val="000000" w:themeColor="text1"/>
                <w:lang w:val="en-US"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5.4款</w:t>
            </w:r>
            <w:r/>
          </w:p>
        </w:tc>
        <w:tc>
          <w:tcPr>
            <w:tcW w:w="1819"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约定乙方承担的其他义务和责任</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759"/>
        </w:trPr>
        <w:tc>
          <w:tcPr>
            <w:tcW w:w="1678" w:type="dxa"/>
            <w:vAlign w:val="center"/>
            <w:textDirection w:val="lrTb"/>
            <w:noWrap w:val="false"/>
          </w:tcPr>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第二节</w:t>
            </w:r>
            <w:r/>
          </w:p>
          <w:p>
            <w:pPr>
              <w:jc w:val="center"/>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6.1款</w:t>
            </w:r>
            <w:r/>
          </w:p>
        </w:tc>
        <w:tc>
          <w:tcPr>
            <w:tcW w:w="1819"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履行合同义务的顺序</w:t>
            </w:r>
            <w:r/>
          </w:p>
        </w:tc>
        <w:tc>
          <w:tcPr>
            <w:tcW w:w="5401" w:type="dxa"/>
            <w:vAlign w:val="center"/>
            <w:textDirection w:val="lrTb"/>
            <w:noWrap w:val="false"/>
          </w:tcPr>
          <w:p>
            <w:pPr>
              <w:jc w:val="left"/>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689"/>
        </w:trPr>
        <w:tc>
          <w:tcPr>
            <w:tcW w:w="1678"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款</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w:t>
            </w:r>
            <w:r>
              <w:rPr>
                <w:rFonts w:hint="eastAsia" w:ascii="宋体" w:hAnsi="宋体"/>
                <w:color w:val="000000" w:themeColor="text1"/>
                <w:szCs w:val="21"/>
                <w:lang w:eastAsia="zh-CN"/>
                <w14:textFill>
                  <w14:solidFill>
                    <w14:schemeClr w14:val="tx1"/>
                  </w14:solidFill>
                </w14:textFill>
              </w:rPr>
              <w:t xml:space="preserve">特殊要求</w:t>
            </w:r>
            <w:r/>
          </w:p>
        </w:tc>
        <w:tc>
          <w:tcPr>
            <w:tcW w:w="5401"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89"/>
        </w:trPr>
        <w:tc>
          <w:tcPr>
            <w:tcW w:w="1678" w:type="dxa"/>
            <w:vAlign w:val="center"/>
            <w:vMerge w:val="continue"/>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指定现场</w:t>
            </w:r>
            <w:r/>
          </w:p>
        </w:tc>
        <w:tc>
          <w:tcPr>
            <w:tcW w:w="540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795"/>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运输特殊要求</w:t>
            </w:r>
            <w:r/>
          </w:p>
        </w:tc>
        <w:tc>
          <w:tcPr>
            <w:tcW w:w="540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68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lang w:val="en-US" w:eastAsia="zh-CN"/>
                <w14:textFill>
                  <w14:solidFill>
                    <w14:schemeClr w14:val="tx1"/>
                  </w14:solidFill>
                </w14:textFill>
              </w:rPr>
              <w:t xml:space="preserve">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保险要求</w:t>
            </w:r>
            <w:r/>
          </w:p>
        </w:tc>
        <w:tc>
          <w:tcPr>
            <w:tcW w:w="540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.2（1）项</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401" w:type="dxa"/>
            <w:vAlign w:val="center"/>
            <w:textDirection w:val="lrTb"/>
            <w:noWrap w:val="false"/>
          </w:tcPr>
          <w:p>
            <w:pPr>
              <w:jc w:val="left"/>
              <w:rPr>
                <w:rFonts w:hint="default" w:ascii="宋体" w:hAnsi="宋体" w:eastAsia="等线"/>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5年，</w:t>
            </w:r>
            <w:r>
              <w:rPr>
                <w:rFonts w:hint="eastAsia"/>
                <w:color w:val="auto"/>
                <w:spacing w:val="0"/>
                <w:highlight w:val="none"/>
              </w:rPr>
              <w:t xml:space="preserve">自交付使用之日起计算</w:t>
            </w:r>
            <w:r>
              <w:rPr>
                <w:rFonts w:hint="eastAsia"/>
                <w:color w:val="auto"/>
                <w:spacing w:val="0"/>
                <w:highlight w:val="none"/>
                <w:lang w:eastAsia="zh-CN"/>
              </w:rPr>
              <w:t xml:space="preserve">。</w:t>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.2（3）项</w:t>
            </w:r>
            <w:r/>
          </w:p>
        </w:tc>
        <w:tc>
          <w:tcPr>
            <w:tcW w:w="1819" w:type="dxa"/>
            <w:vAlign w:val="center"/>
            <w:textDirection w:val="lrTb"/>
            <w:noWrap w:val="false"/>
          </w:tcPr>
          <w:p>
            <w:pPr>
              <w:jc w:val="lef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59"/>
        </w:trPr>
        <w:tc>
          <w:tcPr>
            <w:tcW w:w="1678" w:type="dxa"/>
            <w:vAlign w:val="center"/>
            <w:textDirection w:val="lrTb"/>
            <w:noWrap w:val="false"/>
          </w:tcPr>
          <w:p>
            <w:pPr>
              <w:jc w:val="cente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第二节</w:t>
            </w:r>
            <w:r/>
          </w:p>
          <w:p>
            <w:pPr>
              <w:pStyle w:val="1228"/>
              <w:ind w:firstLine="0"/>
              <w:jc w:val="center"/>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第11.1款</w:t>
            </w:r>
            <w:r/>
          </w:p>
        </w:tc>
        <w:tc>
          <w:tcPr>
            <w:tcW w:w="1819" w:type="dxa"/>
            <w:vAlign w:val="center"/>
            <w:textDirection w:val="lrTb"/>
            <w:noWrap w:val="false"/>
          </w:tcPr>
          <w:p>
            <w:pPr>
              <w:jc w:val="both"/>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其他应当保密的信息</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1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.2款</w:t>
            </w:r>
            <w:r/>
          </w:p>
        </w:tc>
        <w:tc>
          <w:tcPr>
            <w:tcW w:w="1819" w:type="dxa"/>
            <w:vAlign w:val="center"/>
            <w:textDirection w:val="lrTb"/>
            <w:noWrap w:val="false"/>
          </w:tcPr>
          <w:p>
            <w:pPr>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w:t>
            </w:r>
            <w:r>
              <w:rPr>
                <w:rFonts w:hint="eastAsia" w:ascii="宋体" w:hAnsi="宋体"/>
                <w:color w:val="000000" w:themeColor="text1"/>
                <w:szCs w:val="21"/>
                <w:lang w:eastAsia="zh-CN"/>
                <w14:textFill>
                  <w14:solidFill>
                    <w14:schemeClr w14:val="tx1"/>
                  </w14:solidFill>
                </w14:textFill>
              </w:rPr>
              <w:t xml:space="preserve">时间</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19"/>
        </w:trPr>
        <w:tc>
          <w:tcPr>
            <w:tcW w:w="167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13.2</w:t>
            </w:r>
            <w:r>
              <w:rPr>
                <w:rFonts w:hint="eastAsia" w:ascii="宋体" w:hAnsi="宋体"/>
                <w:color w:val="000000" w:themeColor="text1"/>
                <w:szCs w:val="21"/>
                <w14:textFill>
                  <w14:solidFill>
                    <w14:schemeClr w14:val="tx1"/>
                  </w14:solidFill>
                </w14:textFill>
              </w:rPr>
              <w:t xml:space="preserve">款</w:t>
            </w:r>
            <w:r/>
          </w:p>
        </w:tc>
        <w:tc>
          <w:tcPr>
            <w:tcW w:w="1819" w:type="dxa"/>
            <w:vAlign w:val="center"/>
            <w:textDirection w:val="lrTb"/>
            <w:noWrap w:val="false"/>
          </w:tcPr>
          <w:p>
            <w:pPr>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履约保证金不予退还的情形</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877"/>
        </w:trPr>
        <w:tc>
          <w:tcPr>
            <w:tcW w:w="1678"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13.3</w:t>
            </w:r>
            <w:r>
              <w:rPr>
                <w:rFonts w:hint="eastAsia" w:ascii="宋体" w:hAnsi="宋体"/>
                <w:color w:val="000000" w:themeColor="text1"/>
                <w:szCs w:val="21"/>
                <w14:textFill>
                  <w14:solidFill>
                    <w14:schemeClr w14:val="tx1"/>
                  </w14:solidFill>
                </w14:textFill>
              </w:rPr>
              <w:t xml:space="preserve">款</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w:t>
            </w:r>
            <w:r>
              <w:rPr>
                <w:rFonts w:hint="eastAsia" w:ascii="宋体" w:hAnsi="宋体"/>
                <w:color w:val="000000" w:themeColor="text1"/>
                <w:szCs w:val="21"/>
                <w:lang w:eastAsia="zh-CN"/>
                <w14:textFill>
                  <w14:solidFill>
                    <w14:schemeClr w14:val="tx1"/>
                  </w14:solidFill>
                </w14:textFill>
              </w:rPr>
              <w:t xml:space="preserve">逾期退还的</w:t>
            </w:r>
            <w:r>
              <w:rPr>
                <w:rFonts w:hint="eastAsia" w:ascii="宋体" w:hAnsi="宋体"/>
                <w:color w:val="000000" w:themeColor="text1"/>
                <w:szCs w:val="21"/>
                <w14:textFill>
                  <w14:solidFill>
                    <w14:schemeClr w14:val="tx1"/>
                  </w14:solidFill>
                </w14:textFill>
              </w:rPr>
              <w:t xml:space="preserve">违约金</w:t>
            </w:r>
            <w:r/>
          </w:p>
        </w:tc>
        <w:tc>
          <w:tcPr>
            <w:tcW w:w="5401" w:type="dxa"/>
            <w:vAlign w:val="center"/>
            <w:textDirection w:val="lrTb"/>
            <w:noWrap w:val="false"/>
          </w:tcPr>
          <w:p>
            <w:pPr>
              <w:jc w:val="both"/>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807"/>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运行监督、维修期限</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807"/>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货物回收的约定</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）项</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1款</w:t>
            </w:r>
            <w:r/>
          </w:p>
        </w:tc>
        <w:tc>
          <w:tcPr>
            <w:tcW w:w="1819" w:type="dxa"/>
            <w:vAlign w:val="center"/>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修理、重做、更换相关具体规定</w:t>
            </w:r>
            <w:r/>
          </w:p>
        </w:tc>
        <w:tc>
          <w:tcPr>
            <w:tcW w:w="5401"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.2（2）项</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401"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59"/>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3款</w:t>
            </w:r>
            <w:r/>
          </w:p>
        </w:tc>
        <w:tc>
          <w:tcPr>
            <w:tcW w:w="1819" w:type="dxa"/>
            <w:vAlign w:val="center"/>
            <w:textDirection w:val="lrTb"/>
            <w:noWrap w:val="false"/>
          </w:tcPr>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401"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0"/>
        </w:trPr>
        <w:tc>
          <w:tcPr>
            <w:tcBorders>
              <w:bottom w:val="single" w:color="auto" w:sz="2" w:space="0"/>
              <w:right w:val="single" w:color="auto" w:sz="2" w:space="0"/>
            </w:tcBorders>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lang w:val="en-US" w:eastAsia="zh-CN"/>
                <w14:textFill>
                  <w14:solidFill>
                    <w14:schemeClr w14:val="tx1"/>
                  </w14:solidFill>
                </w14:textFill>
              </w:rPr>
              <w:t xml:space="preserve">款</w:t>
            </w:r>
            <w:r/>
          </w:p>
        </w:tc>
        <w:tc>
          <w:tcPr>
            <w:tcBorders>
              <w:left w:val="single" w:color="auto" w:sz="2" w:space="0"/>
              <w:bottom w:val="single" w:color="auto" w:sz="2" w:space="0"/>
              <w:right w:val="single" w:color="auto" w:sz="2" w:space="0"/>
            </w:tcBorders>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401" w:type="dxa"/>
            <w:vAlign w:val="center"/>
            <w:textDirection w:val="lrTb"/>
            <w:noWrap w:val="false"/>
          </w:tcPr>
          <w:p>
            <w:pPr>
              <w:jc w:val="both"/>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r>
        <w:trPr>
          <w:trHeight w:val="588"/>
        </w:trPr>
        <w:tc>
          <w:tcPr>
            <w:tcBorders>
              <w:top w:val="single" w:color="auto" w:sz="2" w:space="0"/>
              <w:right w:val="single" w:color="auto" w:sz="2" w:space="0"/>
            </w:tcBorders>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w:t>
            </w:r>
            <w:r>
              <w:rPr>
                <w:rFonts w:hint="eastAsia" w:ascii="宋体" w:hAnsi="宋体"/>
                <w:color w:val="000000" w:themeColor="text1"/>
                <w:szCs w:val="21"/>
                <w:lang w:val="en-US" w:eastAsia="zh-CN"/>
                <w14:textFill>
                  <w14:solidFill>
                    <w14:schemeClr w14:val="tx1"/>
                  </w14:solidFill>
                </w14:textFill>
              </w:rPr>
              <w:t xml:space="preserve">19</w:t>
            </w: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款</w:t>
            </w:r>
            <w:r/>
          </w:p>
        </w:tc>
        <w:tc>
          <w:tcPr>
            <w:tcBorders>
              <w:top w:val="single" w:color="auto" w:sz="2" w:space="0"/>
              <w:left w:val="single" w:color="auto" w:sz="2" w:space="0"/>
              <w:right w:val="single" w:color="auto" w:sz="2" w:space="0"/>
            </w:tcBorders>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解决争议的方法</w:t>
            </w:r>
            <w:r/>
          </w:p>
        </w:tc>
        <w:tc>
          <w:tcPr>
            <w:tcBorders>
              <w:top w:val="single" w:color="auto" w:sz="2" w:space="0"/>
              <w:left w:val="single" w:color="auto" w:sz="2" w:space="0"/>
            </w:tcBorders>
            <w:tcW w:w="5401" w:type="dxa"/>
            <w:vAlign w:val="center"/>
            <w:textDirection w:val="lrTb"/>
            <w:noWrap w:val="false"/>
          </w:tcPr>
          <w:p>
            <w:pPr>
              <w:ind w:firstLine="0"/>
              <w:jc w:val="both"/>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03"/>
        </w:trPr>
        <w:tc>
          <w:tcPr>
            <w:tcW w:w="167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w:t>
            </w:r>
            <w:r>
              <w:rPr>
                <w:rFonts w:hint="eastAsia" w:ascii="宋体" w:hAnsi="宋体"/>
                <w:color w:val="000000" w:themeColor="text1"/>
                <w:szCs w:val="21"/>
                <w:lang w:val="en-US" w:eastAsia="zh-CN"/>
                <w14:textFill>
                  <w14:solidFill>
                    <w14:schemeClr w14:val="tx1"/>
                  </w14:solidFill>
                </w14:textFill>
              </w:rPr>
              <w:t xml:space="preserve">3.1</w:t>
            </w:r>
            <w:r>
              <w:rPr>
                <w:rFonts w:hint="eastAsia" w:ascii="宋体" w:hAnsi="宋体"/>
                <w:color w:val="000000" w:themeColor="text1"/>
                <w:szCs w:val="21"/>
                <w:lang w:eastAsia="zh-CN"/>
                <w14:textFill>
                  <w14:solidFill>
                    <w14:schemeClr w14:val="tx1"/>
                  </w14:solidFill>
                </w14:textFill>
              </w:rPr>
              <w:t xml:space="preserve">款</w:t>
            </w:r>
            <w:r/>
          </w:p>
        </w:tc>
        <w:tc>
          <w:tcPr>
            <w:tcW w:w="1819"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其他专用条款</w:t>
            </w:r>
            <w:r/>
          </w:p>
        </w:tc>
        <w:tc>
          <w:tcPr>
            <w:tcW w:w="5401" w:type="dxa"/>
            <w:vAlign w:val="center"/>
            <w:textDirection w:val="lrTb"/>
            <w:noWrap w:val="false"/>
          </w:tcPr>
          <w:p>
            <w:pPr>
              <w:jc w:val="both"/>
              <w:rPr>
                <w:rFonts w:hint="default" w:ascii="宋体" w:hAnsi="宋体" w:eastAsia="宋体"/>
                <w:color w:val="000000" w:themeColor="text1"/>
                <w:szCs w:val="21"/>
                <w:lang w:val="en-US" w:eastAsia="zh-CN"/>
                <w14:textFill>
                  <w14:solidFill>
                    <w14:schemeClr w14:val="tx1"/>
                  </w14:solidFill>
                </w14:textFill>
              </w:rPr>
            </w:pPr>
            <w:r>
              <w:rPr>
                <w:rFonts w:hint="default" w:ascii="宋体" w:hAnsi="宋体" w:eastAsia="宋体"/>
                <w:color w:val="000000" w:themeColor="text1"/>
                <w:szCs w:val="21"/>
                <w:lang w:val="en-US" w:eastAsia="zh-CN"/>
                <w14:textFill>
                  <w14:solidFill>
                    <w14:schemeClr w14:val="tx1"/>
                  </w14:solidFill>
                </w14:textFill>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195"/>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numPr>
          <w:ilvl w:val="0"/>
          <w:numId w:val="0"/>
        </w:numPr>
        <w:ind w:firstLine="616"/>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评分项目及</w:t>
      </w:r>
      <w:r>
        <w:rPr>
          <w:rFonts w:hint="eastAsia" w:asciiTheme="minorEastAsia" w:hAnsiTheme="minorEastAsia" w:eastAsiaTheme="minorEastAsia" w:cstheme="minorEastAsia"/>
          <w:sz w:val="24"/>
          <w:lang w:val="en-US" w:eastAsia="zh-CN"/>
        </w:rPr>
        <w:t xml:space="preserve">分值</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1、</w:t>
      </w: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sz w:val="24"/>
        </w:rPr>
        <w:t xml:space="preserve">报价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35</w:t>
      </w:r>
      <w:r>
        <w:rPr>
          <w:rFonts w:hint="eastAsia" w:asciiTheme="minorEastAsia" w:hAnsiTheme="minorEastAsia" w:eastAsiaTheme="minorEastAsia" w:cstheme="minorEastAsia"/>
          <w:b/>
          <w:sz w:val="24"/>
        </w:rPr>
        <w:t xml:space="preserve">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2、</w:t>
      </w:r>
      <w:r>
        <w:rPr>
          <w:rFonts w:hint="eastAsia" w:asciiTheme="minorEastAsia" w:hAnsiTheme="minorEastAsia" w:eastAsiaTheme="minorEastAsia" w:cstheme="minorEastAsia"/>
          <w:b/>
          <w:bCs/>
          <w:sz w:val="24"/>
          <w:lang w:val="en-US" w:eastAsia="zh-CN"/>
        </w:rPr>
        <w:t xml:space="preserve">项目人员配置</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10</w:t>
      </w:r>
      <w:r>
        <w:rPr>
          <w:rFonts w:hint="eastAsia" w:asciiTheme="minorEastAsia" w:hAnsiTheme="minorEastAsia" w:eastAsiaTheme="minorEastAsia" w:cstheme="minorEastAsia"/>
          <w:b/>
          <w:sz w:val="24"/>
          <w:szCs w:val="24"/>
        </w:rPr>
        <w:t xml:space="preserve">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3、</w:t>
      </w:r>
      <w:r>
        <w:rPr>
          <w:rFonts w:hint="eastAsia" w:asciiTheme="minorEastAsia" w:hAnsiTheme="minorEastAsia" w:eastAsiaTheme="minorEastAsia" w:cstheme="minorEastAsia"/>
          <w:b/>
          <w:sz w:val="24"/>
          <w:lang w:val="en-US" w:eastAsia="zh-CN"/>
        </w:rPr>
        <w:t xml:space="preserve">投标人综合情况</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3</w:t>
      </w:r>
      <w:r>
        <w:rPr>
          <w:rFonts w:hint="eastAsia" w:asciiTheme="minorEastAsia" w:hAnsiTheme="minorEastAsia" w:eastAsiaTheme="minorEastAsia" w:cstheme="minorEastAsia"/>
          <w:b/>
          <w:sz w:val="24"/>
        </w:rPr>
        <w:t xml:space="preserve">分</w:t>
      </w:r>
      <w:r/>
    </w:p>
    <w:p>
      <w:pPr>
        <w:numPr>
          <w:ilvl w:val="0"/>
          <w:numId w:val="0"/>
        </w:numPr>
        <w:ind w:left="361" w:firstLine="0"/>
        <w:spacing w:line="360" w:lineRule="auto"/>
        <w:rPr>
          <w:rFonts w:hint="eastAsia" w:asciiTheme="minorEastAsia" w:hAnsiTheme="minorEastAsia" w:eastAsiaTheme="minorEastAsia" w:cstheme="minorEastAsia"/>
          <w:b/>
          <w:sz w:val="24"/>
          <w:szCs w:val="22"/>
          <w:lang w:val="en-US" w:eastAsia="zh-CN" w:bidi="ar-SA"/>
        </w:rPr>
      </w:pPr>
      <w:r>
        <w:rPr>
          <w:rFonts w:hint="eastAsia" w:asciiTheme="minorEastAsia" w:hAnsiTheme="minorEastAsia" w:eastAsiaTheme="minorEastAsia" w:cstheme="minorEastAsia"/>
          <w:b/>
          <w:sz w:val="24"/>
          <w:szCs w:val="22"/>
          <w:lang w:val="en-US" w:eastAsia="zh-CN" w:bidi="ar-SA"/>
        </w:rPr>
        <w:t xml:space="preserve">4、所投产品性能                                                10分</w:t>
      </w:r>
      <w:r/>
    </w:p>
    <w:p>
      <w:pPr>
        <w:numPr>
          <w:ilvl w:val="0"/>
          <w:numId w:val="0"/>
        </w:numPr>
        <w:ind w:left="361" w:firstLine="0"/>
        <w:spacing w:line="360" w:lineRule="auto"/>
        <w:rPr>
          <w:rFonts w:hint="eastAsia" w:asciiTheme="minorEastAsia" w:hAnsiTheme="minorEastAsia" w:eastAsiaTheme="minorEastAsia" w:cstheme="minorEastAsia"/>
          <w:b/>
          <w:sz w:val="24"/>
          <w:szCs w:val="22"/>
          <w:lang w:val="en-US" w:eastAsia="zh-CN" w:bidi="ar-SA"/>
        </w:rPr>
      </w:pPr>
      <w:r>
        <w:rPr>
          <w:rFonts w:hint="eastAsia" w:asciiTheme="minorEastAsia" w:hAnsiTheme="minorEastAsia" w:eastAsiaTheme="minorEastAsia" w:cstheme="minorEastAsia"/>
          <w:b/>
          <w:sz w:val="24"/>
          <w:szCs w:val="22"/>
          <w:lang w:val="en-US" w:eastAsia="zh-CN" w:bidi="ar-SA"/>
        </w:rPr>
        <w:t xml:space="preserve">5、技术方案（暗标部分）                                        40分</w:t>
      </w:r>
      <w:r/>
    </w:p>
    <w:p>
      <w:pPr>
        <w:numPr>
          <w:ilvl w:val="0"/>
          <w:numId w:val="0"/>
        </w:numPr>
        <w:ind w:left="361" w:firstLine="0"/>
        <w:spacing w:line="360" w:lineRule="auto"/>
        <w:rPr>
          <w:rFonts w:hint="eastAsia"/>
          <w:lang w:val="en-US" w:eastAsia="zh-CN"/>
        </w:rPr>
      </w:pPr>
      <w:r>
        <w:rPr>
          <w:rFonts w:hint="eastAsia" w:asciiTheme="minorEastAsia" w:hAnsiTheme="minorEastAsia" w:eastAsiaTheme="minorEastAsia" w:cstheme="minorEastAsia"/>
          <w:b/>
          <w:sz w:val="24"/>
          <w:szCs w:val="22"/>
          <w:lang w:val="en-US" w:eastAsia="zh-CN" w:bidi="ar-SA"/>
        </w:rPr>
        <w:t xml:space="preserve">6、政策加分                                                     2分</w:t>
      </w:r>
      <w:r/>
    </w:p>
    <w:p>
      <w:pPr>
        <w:pStyle w:val="1229"/>
        <w:ind w:firstLine="422"/>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一、投标报价（</w:t>
      </w:r>
      <w:r>
        <w:rPr>
          <w:rFonts w:hint="eastAsia" w:asciiTheme="minorEastAsia" w:hAnsiTheme="minorEastAsia" w:eastAsiaTheme="minorEastAsia" w:cstheme="minorEastAsia"/>
          <w:b/>
          <w:lang w:val="en-US" w:eastAsia="zh-CN"/>
        </w:rPr>
        <w:t xml:space="preserve">35</w:t>
      </w:r>
      <w:r>
        <w:rPr>
          <w:rFonts w:hint="eastAsia" w:asciiTheme="minorEastAsia" w:hAnsiTheme="minorEastAsia" w:eastAsiaTheme="minorEastAsia" w:cstheme="minorEastAsia"/>
          <w:b/>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auto"/>
          <w:sz w:val="24"/>
          <w:szCs w:val="24"/>
          <w:highlight w:val="none"/>
        </w:rPr>
        <w:t xml:space="preserve">采购本国产品的支持政策</w:t>
      </w:r>
      <w:r>
        <w:rPr>
          <w:rFonts w:hint="eastAsia" w:ascii="宋体" w:hAnsi="宋体" w:eastAsia="宋体" w:cs="宋体"/>
          <w:b/>
          <w:bCs w:val="0"/>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widowControl/>
        <w:tabs>
          <w:tab w:val="left" w:pos="63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360" w:lineRule="auto"/>
        <w:rPr>
          <w:rFonts w:hint="eastAsia" w:asciiTheme="minorEastAsia" w:hAnsiTheme="minorEastAsia" w:eastAsiaTheme="minorEastAsia" w:cstheme="minorEastAsia"/>
          <w:b/>
          <w:bCs/>
          <w:sz w:val="24"/>
          <w:szCs w:val="24"/>
        </w:rPr>
      </w:pPr>
      <w:r>
        <w:rPr>
          <w:rFonts w:hint="eastAsia" w:ascii="宋体" w:hAnsi="宋体" w:cs="宋体"/>
          <w:bCs/>
          <w:color w:val="000000"/>
          <w:sz w:val="24"/>
          <w:szCs w:val="24"/>
          <w:lang w:val="en-US" w:eastAsia="zh-CN"/>
        </w:rPr>
        <w:t xml:space="preserve">二、</w:t>
      </w:r>
      <w:r>
        <w:rPr>
          <w:rFonts w:hint="eastAsia" w:asciiTheme="minorEastAsia" w:hAnsiTheme="minorEastAsia" w:eastAsiaTheme="minorEastAsia" w:cstheme="minorEastAsia"/>
          <w:b/>
          <w:bCs/>
          <w:sz w:val="24"/>
          <w:szCs w:val="24"/>
        </w:rPr>
        <w:t xml:space="preserve">项目人员配置（</w:t>
      </w:r>
      <w:r>
        <w:rPr>
          <w:rFonts w:hint="eastAsia" w:asciiTheme="minorEastAsia" w:hAnsiTheme="minorEastAsia" w:eastAsiaTheme="minorEastAsia" w:cstheme="minorEastAsia"/>
          <w:b/>
          <w:bCs/>
          <w:sz w:val="24"/>
          <w:szCs w:val="24"/>
          <w:lang w:val="en-US" w:eastAsia="zh-CN"/>
        </w:rPr>
        <w:t xml:space="preserve">10</w:t>
      </w:r>
      <w:r>
        <w:rPr>
          <w:rFonts w:hint="eastAsia" w:asciiTheme="minorEastAsia" w:hAnsiTheme="minorEastAsia" w:eastAsiaTheme="minorEastAsia" w:cstheme="minorEastAsia"/>
          <w:b/>
          <w:bCs/>
          <w:sz w:val="24"/>
          <w:szCs w:val="24"/>
        </w:rPr>
        <w:t xml:space="preserve">分）</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2.1项目负责人（</w:t>
      </w:r>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bCs/>
          <w:color w:val="000000"/>
          <w:sz w:val="24"/>
          <w:szCs w:val="24"/>
          <w:lang w:val="en-US" w:eastAsia="zh-CN"/>
        </w:rPr>
        <w:t xml:space="preserve">投标供应商为本项目配备项目负责人一名，该项目负责人具有信息系统项目管理师（高级）证书、系统架构设计师（高级）证书、ITSS认证的IT服务项目经理证书，每提供1种证书得1分，最高得3分。投标时须提供相应证书扫描件并加盖投标人公章，否则不得分。</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2.2项目技术负责人（</w:t>
      </w:r>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供应商为本项目配备项目技术负责人一名（与项目负责人不能是同一人），该负责人具有网络规划设计师（高级）证书、系统集成项目管理工程师（中级）、通信专业技术人员职业资格（中级）（专业：互联网技术）证书, 每提供1种证书得1分，最高得3分。投标时须提供相应证书扫描件并加盖投标人公章，否则不得分。</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2.3项目成员（</w:t>
      </w:r>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ind w:firstLine="64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供应商为本项目配备除上述项目负责人和项目技术负责人之外，配备的项目成员具有网络安全能力认证证书（CCSC）（专业：网络安全管理）的，系统分析师、系统架构设计师、数据库系统工程师，每提供1种证书得1分，最高得4分。多人同证、一人多证均不重复计分。投标时须提供相应证书扫描件并加盖投标人公章，否则不得分。</w:t>
      </w:r>
      <w:r/>
    </w:p>
    <w:p>
      <w:pPr>
        <w:ind w:left="1" w:firstLine="480"/>
        <w:keepLines w:val="0"/>
        <w:keepNext w:val="0"/>
        <w:pageBreakBefore w:val="0"/>
        <w:spacing w:line="360" w:lineRule="auto"/>
        <w:widowControl w:val="off"/>
        <w:tabs>
          <w:tab w:val="left" w:pos="840" w:leader="none"/>
          <w:tab w:val="left" w:pos="105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sz w:val="24"/>
          <w:szCs w:val="24"/>
        </w:rPr>
        <w:t xml:space="preserve">提供上述证书等相关证明材料原件扫描件上传至投标文件中并加盖投标人电子公章；同时提供投标人近三个月连续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p>
    <w:p>
      <w:pPr>
        <w:ind w:firstLine="482"/>
        <w:spacing w:line="360" w:lineRule="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三、</w:t>
      </w:r>
      <w:r>
        <w:rPr>
          <w:rFonts w:hint="eastAsia" w:asciiTheme="minorEastAsia" w:hAnsiTheme="minorEastAsia" w:eastAsiaTheme="minorEastAsia" w:cstheme="minorEastAsia"/>
          <w:b/>
          <w:bCs/>
          <w:sz w:val="24"/>
          <w:szCs w:val="24"/>
        </w:rPr>
        <w:t xml:space="preserve">投标人综合情况</w:t>
      </w:r>
      <w:r>
        <w:rPr>
          <w:rFonts w:hint="eastAsia" w:asciiTheme="minorEastAsia" w:hAnsiTheme="minorEastAsia" w:eastAsiaTheme="minorEastAsia" w:cstheme="minorEastAsia"/>
          <w:b/>
          <w:bCs/>
          <w:sz w:val="24"/>
          <w:szCs w:val="24"/>
          <w:lang w:val="en-US" w:eastAsia="zh-CN"/>
        </w:rPr>
        <w:t xml:space="preserve">（3分）</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Cs/>
          <w:color w:val="000000"/>
          <w:sz w:val="24"/>
          <w:szCs w:val="24"/>
          <w:lang w:val="en-US" w:eastAsia="zh-CN" w:bidi="ar"/>
        </w:rPr>
        <w:t xml:space="preserve">3.1</w:t>
      </w:r>
      <w:r>
        <w:rPr>
          <w:rFonts w:hint="eastAsia" w:asciiTheme="minorEastAsia" w:hAnsiTheme="minorEastAsia" w:eastAsiaTheme="minorEastAsia" w:cstheme="minorEastAsia"/>
          <w:bCs/>
          <w:color w:val="000000"/>
          <w:sz w:val="24"/>
          <w:szCs w:val="24"/>
          <w:lang w:bidi="ar"/>
        </w:rPr>
        <w:t xml:space="preserve">投标供应商自2023年1月1日至本项目投标截止日，承担过类似业绩案例，每提供一个案例合同得</w:t>
      </w:r>
      <w:r>
        <w:rPr>
          <w:rFonts w:hint="eastAsia" w:asciiTheme="minorEastAsia" w:hAnsiTheme="minorEastAsia" w:eastAsiaTheme="minorEastAsia" w:cstheme="minorEastAsia"/>
          <w:bCs/>
          <w:color w:val="000000"/>
          <w:sz w:val="24"/>
          <w:szCs w:val="24"/>
          <w:lang w:val="en-US" w:eastAsia="zh-CN" w:bidi="ar"/>
        </w:rPr>
        <w:t xml:space="preserve">0.5</w:t>
      </w:r>
      <w:r>
        <w:rPr>
          <w:rFonts w:hint="eastAsia" w:asciiTheme="minorEastAsia" w:hAnsiTheme="minorEastAsia" w:eastAsiaTheme="minorEastAsia" w:cstheme="minorEastAsia"/>
          <w:bCs/>
          <w:color w:val="000000"/>
          <w:sz w:val="24"/>
          <w:szCs w:val="24"/>
          <w:lang w:bidi="ar"/>
        </w:rPr>
        <w:t xml:space="preserve">分，最多得</w:t>
      </w:r>
      <w:r>
        <w:rPr>
          <w:rFonts w:hint="eastAsia" w:asciiTheme="minorEastAsia" w:hAnsiTheme="minorEastAsia" w:eastAsiaTheme="minorEastAsia" w:cstheme="minorEastAsia"/>
          <w:bCs/>
          <w:color w:val="000000"/>
          <w:sz w:val="24"/>
          <w:szCs w:val="24"/>
          <w:lang w:val="en-US" w:eastAsia="zh-CN" w:bidi="ar"/>
        </w:rPr>
        <w:t xml:space="preserve">1</w:t>
      </w:r>
      <w:r>
        <w:rPr>
          <w:rFonts w:hint="eastAsia" w:asciiTheme="minorEastAsia" w:hAnsiTheme="minorEastAsia" w:eastAsiaTheme="minorEastAsia" w:cstheme="minorEastAsia"/>
          <w:bCs/>
          <w:color w:val="000000"/>
          <w:sz w:val="24"/>
          <w:szCs w:val="24"/>
          <w:lang w:bidi="ar"/>
        </w:rPr>
        <w:t xml:space="preserve">分。（</w:t>
      </w:r>
      <w:r>
        <w:rPr>
          <w:rFonts w:hint="eastAsia" w:ascii="宋体" w:hAnsi="宋体" w:eastAsia="宋体" w:cs="宋体"/>
          <w:b/>
          <w:bCs/>
          <w:color w:val="auto"/>
          <w:sz w:val="24"/>
          <w:szCs w:val="24"/>
          <w:highlight w:val="none"/>
          <w:lang w:val="en-US" w:eastAsia="zh-CN"/>
        </w:rPr>
        <w:t xml:space="preserve">【需提供单份有效期内的①合同或协议、②资金往来证明、③验收证明（能够证明本项目已完成的证明材料）时间以合同（协议）上签订时间为准，投标人须提供上述证明材料原件扫描件上传到电子标书，并加盖投标人电子公章，不提供不得分】</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投标人具有统一运维管理平台相关计算机软件著作权登记证书的，得2分。投标时须提供相应扫描件并加盖投标人公章。</w:t>
      </w:r>
      <w:r/>
    </w:p>
    <w:p>
      <w:pPr>
        <w:ind w:firstLine="482"/>
        <w:spacing w:line="360" w:lineRule="auto"/>
        <w:widowControl/>
        <w:tabs>
          <w:tab w:val="left" w:pos="630" w:leader="none"/>
        </w:tabs>
        <w:rPr>
          <w:rFonts w:hint="eastAsia" w:ascii="宋体" w:hAnsi="宋体"/>
          <w:b/>
          <w:sz w:val="24"/>
          <w:szCs w:val="24"/>
        </w:rPr>
      </w:pPr>
      <w:r>
        <w:rPr>
          <w:rFonts w:hint="eastAsia" w:asciiTheme="minorEastAsia" w:hAnsiTheme="minorEastAsia" w:eastAsiaTheme="minorEastAsia" w:cstheme="minorEastAsia"/>
          <w:b/>
          <w:sz w:val="24"/>
          <w:szCs w:val="24"/>
          <w:lang w:val="en-US" w:eastAsia="zh-CN"/>
        </w:rPr>
        <w:t xml:space="preserve">四</w:t>
      </w: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b/>
          <w:sz w:val="24"/>
          <w:szCs w:val="24"/>
          <w:lang w:val="en-US" w:eastAsia="zh-CN"/>
        </w:rPr>
        <w:t xml:space="preserve">所投</w:t>
      </w:r>
      <w:r>
        <w:rPr>
          <w:rFonts w:hint="eastAsia" w:asciiTheme="minorEastAsia" w:hAnsiTheme="minorEastAsia" w:eastAsiaTheme="minorEastAsia" w:cstheme="minorEastAsia"/>
          <w:b/>
          <w:sz w:val="24"/>
          <w:szCs w:val="24"/>
        </w:rPr>
        <w:t xml:space="preserve">产品性能（</w:t>
      </w:r>
      <w:r>
        <w:rPr>
          <w:rFonts w:hint="eastAsia" w:asciiTheme="minorEastAsia" w:hAnsiTheme="minorEastAsia" w:eastAsiaTheme="minorEastAsia" w:cstheme="minorEastAsia"/>
          <w:b/>
          <w:sz w:val="24"/>
          <w:szCs w:val="24"/>
          <w:lang w:val="en-US" w:eastAsia="zh-CN"/>
        </w:rPr>
        <w:t xml:space="preserve">1</w:t>
      </w:r>
      <w:r>
        <w:rPr>
          <w:rFonts w:hint="eastAsia" w:asciiTheme="minorEastAsia" w:hAnsiTheme="minorEastAsia" w:eastAsiaTheme="minorEastAsia" w:cstheme="minorEastAsia"/>
          <w:b/>
          <w:sz w:val="24"/>
          <w:szCs w:val="24"/>
        </w:rPr>
        <w:t xml:space="preserve">0分）</w:t>
      </w:r>
      <w:r/>
    </w:p>
    <w:p>
      <w:pPr>
        <w:ind w:firstLine="482"/>
        <w:spacing w:line="360" w:lineRule="auto"/>
        <w:rPr>
          <w:rFonts w:hint="eastAsia" w:ascii="宋体" w:hAnsi="宋体" w:eastAsia="宋体" w:cs="宋体"/>
          <w:b/>
          <w:bCs w:val="0"/>
          <w:sz w:val="28"/>
          <w:szCs w:val="24"/>
          <w:highlight w:val="none"/>
        </w:rPr>
      </w:pPr>
      <w:r/>
      <w:bookmarkStart w:id="27" w:name="OLE_LINK12"/>
      <w:r>
        <w:rPr>
          <w:rFonts w:hint="eastAsia" w:ascii="宋体" w:hAnsi="宋体" w:eastAsia="宋体" w:cs="宋体"/>
          <w:b/>
          <w:bCs w:val="0"/>
          <w:sz w:val="28"/>
          <w:szCs w:val="28"/>
          <w:highlight w:val="none"/>
          <w:lang w:val="en-US" w:eastAsia="zh-CN"/>
        </w:rPr>
        <w:t xml:space="preserve">得分项目参数必须在《投标偏离表》实报内容中填写并注明为正偏离</w:t>
      </w:r>
      <w:r>
        <w:rPr>
          <w:rFonts w:hint="eastAsia" w:ascii="宋体" w:hAnsi="宋体" w:eastAsia="宋体" w:cs="宋体"/>
          <w:b/>
          <w:bCs w:val="0"/>
          <w:sz w:val="28"/>
          <w:szCs w:val="28"/>
          <w:highlight w:val="none"/>
        </w:rPr>
        <w:t xml:space="preserve">，</w:t>
      </w:r>
      <w:r>
        <w:rPr>
          <w:rFonts w:hint="eastAsia" w:ascii="宋体" w:hAnsi="宋体" w:eastAsia="宋体" w:cs="宋体"/>
          <w:b/>
          <w:bCs w:val="0"/>
          <w:sz w:val="28"/>
          <w:szCs w:val="28"/>
          <w:highlight w:val="none"/>
          <w:lang w:val="en-US" w:eastAsia="zh-CN"/>
        </w:rPr>
        <w:t xml:space="preserve">未按要求提供证明材料和不按要求填写的，不得分。</w:t>
      </w:r>
      <w:r>
        <w:rPr>
          <w:rFonts w:hint="eastAsia" w:ascii="宋体" w:hAnsi="宋体" w:eastAsia="宋体" w:cs="宋体"/>
          <w:b/>
          <w:bCs w:val="0"/>
          <w:sz w:val="28"/>
          <w:szCs w:val="24"/>
          <w:highlight w:val="none"/>
        </w:rPr>
        <w:t xml:space="preserve">以下技术参数需根据</w:t>
      </w:r>
      <w:r>
        <w:rPr>
          <w:rFonts w:ascii="宋体" w:hAnsi="宋体" w:eastAsia="宋体" w:cs="宋体"/>
          <w:b/>
          <w:bCs w:val="0"/>
          <w:sz w:val="28"/>
          <w:szCs w:val="24"/>
          <w:highlight w:val="none"/>
        </w:rPr>
        <w:t xml:space="preserve">要求</w:t>
      </w:r>
      <w:r>
        <w:rPr>
          <w:rFonts w:hint="eastAsia" w:ascii="宋体" w:hAnsi="宋体" w:eastAsia="宋体" w:cs="宋体"/>
          <w:b/>
          <w:bCs w:val="0"/>
          <w:sz w:val="28"/>
          <w:szCs w:val="24"/>
          <w:highlight w:val="none"/>
        </w:rPr>
        <w:t xml:space="preserve">提供相关证明材料（如产品说明书、彩页</w:t>
      </w:r>
      <w:r>
        <w:rPr>
          <w:rFonts w:ascii="宋体" w:hAnsi="宋体" w:eastAsia="宋体" w:cs="宋体"/>
          <w:b/>
          <w:bCs w:val="0"/>
          <w:sz w:val="28"/>
          <w:szCs w:val="24"/>
          <w:highlight w:val="none"/>
        </w:rPr>
        <w:t xml:space="preserve">、</w:t>
      </w:r>
      <w:r>
        <w:rPr>
          <w:rFonts w:hint="eastAsia" w:ascii="宋体" w:hAnsi="宋体" w:eastAsia="宋体" w:cs="宋体"/>
          <w:b/>
          <w:bCs w:val="0"/>
          <w:sz w:val="28"/>
          <w:szCs w:val="24"/>
          <w:highlight w:val="none"/>
        </w:rPr>
        <w:t xml:space="preserve">相关检测报告、功能截图</w:t>
      </w:r>
      <w:r>
        <w:rPr>
          <w:rFonts w:hint="eastAsia" w:ascii="宋体" w:hAnsi="宋体" w:eastAsia="宋体" w:cs="宋体"/>
          <w:b/>
          <w:bCs w:val="0"/>
          <w:sz w:val="28"/>
          <w:szCs w:val="24"/>
          <w:highlight w:val="none"/>
          <w:lang w:eastAsia="zh-CN"/>
        </w:rPr>
        <w:t xml:space="preserve">、</w:t>
      </w:r>
      <w:r>
        <w:rPr>
          <w:rFonts w:hint="eastAsia" w:ascii="宋体" w:hAnsi="宋体" w:eastAsia="宋体" w:cs="宋体"/>
          <w:b/>
          <w:bCs w:val="0"/>
          <w:sz w:val="28"/>
          <w:szCs w:val="24"/>
          <w:highlight w:val="none"/>
        </w:rPr>
        <w:t xml:space="preserve">白皮书、手册、</w:t>
      </w:r>
      <w:r>
        <w:rPr>
          <w:rFonts w:ascii="宋体" w:hAnsi="宋体" w:eastAsia="宋体" w:cs="宋体"/>
          <w:b/>
          <w:bCs w:val="0"/>
          <w:sz w:val="28"/>
          <w:szCs w:val="24"/>
          <w:highlight w:val="none"/>
        </w:rPr>
        <w:t xml:space="preserve">专利证书</w:t>
      </w:r>
      <w:r>
        <w:rPr>
          <w:rFonts w:hint="eastAsia" w:ascii="宋体" w:hAnsi="宋体" w:eastAsia="宋体" w:cs="宋体"/>
          <w:b/>
          <w:bCs w:val="0"/>
          <w:sz w:val="28"/>
          <w:szCs w:val="24"/>
          <w:highlight w:val="none"/>
        </w:rPr>
        <w:t xml:space="preserve">等）进行说明，并将证明材料扫描件上传至苏</w:t>
      </w:r>
      <w:r>
        <w:rPr>
          <w:rFonts w:hint="eastAsia" w:ascii="宋体" w:hAnsi="宋体" w:eastAsia="宋体" w:cs="宋体"/>
          <w:b/>
          <w:bCs w:val="0"/>
          <w:sz w:val="28"/>
          <w:szCs w:val="24"/>
          <w:highlight w:val="none"/>
          <w:lang w:val="en-US" w:eastAsia="zh-CN"/>
        </w:rPr>
        <w:t xml:space="preserve">采</w:t>
      </w:r>
      <w:r>
        <w:rPr>
          <w:rFonts w:hint="eastAsia" w:ascii="宋体" w:hAnsi="宋体" w:eastAsia="宋体" w:cs="宋体"/>
          <w:b/>
          <w:bCs w:val="0"/>
          <w:sz w:val="28"/>
          <w:szCs w:val="24"/>
          <w:highlight w:val="none"/>
        </w:rPr>
        <w:t xml:space="preserve">云投标系统，</w:t>
      </w:r>
      <w:bookmarkStart w:id="28" w:name="OLE_LINK13"/>
      <w:r>
        <w:rPr>
          <w:rFonts w:hint="eastAsia" w:ascii="宋体" w:hAnsi="宋体" w:eastAsia="宋体" w:cs="宋体"/>
          <w:b/>
          <w:bCs w:val="0"/>
          <w:sz w:val="28"/>
          <w:szCs w:val="24"/>
          <w:highlight w:val="none"/>
        </w:rPr>
        <w:t xml:space="preserve">每项按评分</w:t>
      </w:r>
      <w:r>
        <w:rPr>
          <w:rFonts w:ascii="宋体" w:hAnsi="宋体" w:eastAsia="宋体" w:cs="宋体"/>
          <w:b/>
          <w:bCs w:val="0"/>
          <w:sz w:val="28"/>
          <w:szCs w:val="24"/>
          <w:highlight w:val="none"/>
        </w:rPr>
        <w:t xml:space="preserve">标准</w:t>
      </w:r>
      <w:r>
        <w:rPr>
          <w:rFonts w:hint="eastAsia" w:ascii="宋体" w:hAnsi="宋体" w:eastAsia="宋体" w:cs="宋体"/>
          <w:b/>
          <w:bCs w:val="0"/>
          <w:sz w:val="28"/>
          <w:szCs w:val="24"/>
          <w:highlight w:val="none"/>
        </w:rPr>
        <w:t xml:space="preserve">得分，未提供或提供的相关证明材料不能佐证评分参数内容的，评审时不予认可</w:t>
      </w:r>
      <w:bookmarkEnd w:id="27"/>
      <w:r/>
      <w:bookmarkEnd w:id="28"/>
      <w:r>
        <w:rPr>
          <w:rFonts w:hint="eastAsia" w:ascii="宋体" w:hAnsi="宋体" w:eastAsia="宋体" w:cs="宋体"/>
          <w:b/>
          <w:bCs w:val="0"/>
          <w:sz w:val="28"/>
          <w:szCs w:val="24"/>
          <w:highlight w:val="none"/>
          <w:lang w:eastAsia="zh-CN"/>
        </w:rPr>
        <w:t xml:space="preserve">，</w:t>
      </w:r>
      <w:r>
        <w:rPr>
          <w:rFonts w:hint="eastAsia" w:ascii="宋体" w:hAnsi="宋体" w:eastAsia="宋体" w:cs="宋体"/>
          <w:b/>
          <w:bCs w:val="0"/>
          <w:sz w:val="28"/>
          <w:szCs w:val="24"/>
          <w:highlight w:val="none"/>
        </w:rPr>
        <w:t xml:space="preserve">各投标人在提供证明材料时需对所对应的技术参数进行醒目标注，以便评标委员会进行评审。</w:t>
      </w:r>
      <w:r/>
    </w:p>
    <w:tbl>
      <w:tblPr>
        <w:tblStyle w:val="1211"/>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3969"/>
        <w:gridCol w:w="4819"/>
      </w:tblGrid>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序号</w:t>
            </w:r>
            <w:r/>
          </w:p>
        </w:tc>
        <w:tc>
          <w:tcPr>
            <w:tcW w:w="3969"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设备参数</w:t>
            </w:r>
            <w:r/>
          </w:p>
        </w:tc>
        <w:tc>
          <w:tcPr>
            <w:tcW w:w="4819"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评分标准</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区广域路由器由SDN控制器批量下发的SRv6 Poilicy隧道数量≥7K</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1、8K&gt;下发隧道的数量&gt;7K，得0.5分；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2、下发隧道的数量≥8K，得1分；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3、提供第三方测试报告截图证明，不提供或不满足不得分。</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区广域路由器的视频切片</w:t>
            </w:r>
            <w:bookmarkStart w:id="33" w:name="_GoBack"/>
            <w:r/>
            <w:bookmarkEnd w:id="33"/>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粒度</w:t>
            </w:r>
            <w:r>
              <w:rPr>
                <w:rFonts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3M</w:t>
            </w:r>
            <w:r/>
          </w:p>
        </w:tc>
        <w:tc>
          <w:tcPr>
            <w:tcW w:w="4819" w:type="dxa"/>
            <w:vAlign w:val="center"/>
            <w:textDirection w:val="lrTb"/>
            <w:noWrap w:val="false"/>
          </w:tcPr>
          <w:p>
            <w:pP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1、2M</w:t>
            </w:r>
            <w:r>
              <w:rPr>
                <w:rFonts w:asciiTheme="minorEastAsia" w:hAnsiTheme="minorEastAsia" w:eastAsiaTheme="minorEastAsia" w:cstheme="minorEastAsia"/>
                <w:color w:val="000000" w:themeColor="text1"/>
                <w:sz w:val="24"/>
                <w:szCs w:val="24"/>
                <w14:textFill>
                  <w14:solidFill>
                    <w14:schemeClr w14:val="tx1"/>
                  </w14:solidFill>
                </w14:textFill>
              </w:rPr>
              <w:t xml:space="preserve">&lt;</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视频切片粒度</w:t>
            </w:r>
            <w:r>
              <w:rPr>
                <w:rFonts w:asciiTheme="minorEastAsia" w:hAnsiTheme="minorEastAsia" w:eastAsiaTheme="minorEastAsia" w:cstheme="minorEastAsia"/>
                <w:color w:val="000000" w:themeColor="text1"/>
                <w:sz w:val="24"/>
                <w:szCs w:val="24"/>
                <w14:textFill>
                  <w14:solidFill>
                    <w14:schemeClr w14:val="tx1"/>
                  </w14:solidFill>
                </w14:textFill>
              </w:rPr>
              <w:t xml:space="preserve">&lt;</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3M，得0.5分；</w:t>
            </w:r>
            <w:r/>
          </w:p>
          <w:p>
            <w:pP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2、视频切片粒度</w:t>
            </w:r>
            <w:r>
              <w:rPr>
                <w:rFonts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2M，得1分；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3、提供第三方测试报告截图证明，不提供或不满足不得分。</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政务网防火墙系统预定义IPS签名数量≥19000</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1、20000&gt;系统预定义IPS签名数量&gt;19000，得0.5分；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2、系统预定义IPS签名数量≥20000，得1分；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3、提供第三方测试报告截图证明，不提供或不满足不得分。</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政务网防火墙CVE或CNNVD编号的签名条目数≥10000</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1、11000&gt;签名条目数&gt;10000，得0.5分；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2、签名条目数≥11000，得1分；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3、提供第三方测试报告截图证明，不提供或不满足不得分。</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政务网防火墙支持病毒压缩文件检测≥90层</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1、100层&gt;病毒压缩文件检测&gt;90层，得0.5分；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2、病毒压缩文件检测≥100层，得1分；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3、提供第三方测试报告截图证明，不提供或不满足不得分。</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域名管理及IP地址分配管理系统支持从自定义设定线路拨测https目标地址，可配置自动拨测；拨测配置目标状态列表可视化，包括以下字段（HTTP(s)拨测列表、目标、线路、HTTP Cookie、HTTP Header、超时时间、自动拨测、备注、域名、拨测时间、状态、解析IP、HTTP状态码、总时间、解析时间、连接时间、首字节时间、下载时间、下载大小、下载速度、错误信息等，拨测配置目标字段≥18种</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1、20种&gt;拨测配置目标字段&gt;18种，得0.5分；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2、拨测配置目标字段≥20种，得1分；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rPr>
                <w:rStyle w:val="1239"/>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提供相关产品功能截图，不提供或不满足不得分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域名管理及IP地址分配管理系统健康检测策略支持以下类型自定义属性：探测周期、超时时间、最大重试次数、探测地址、发送数据、接收数据、探测端口，用于保证应用服务健康状态探测的准确性、实时性、可靠性。支持的自定义属性≥5种</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1、7种&gt;支持的自定义属性&gt;5种，得0.5分；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2、支持的自定义属性≥7种，得1分；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rPr>
                <w:rStyle w:val="1239"/>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提供相关产品功能截图，不提供或不满足不得分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超融合软件支持应用商城功能，可通过平台预制的开源应用快速创建云主机，可快速创建Redis、MySQL、RabbitMQ，保证部署效率。支持的应用≥</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种≥支持的应用&gt;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2、支持的应用≥</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3、提供功能截图，不提供或不满足不得分。</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超融合软件支持负载均衡功能，负载均衡可配置监听协议、负载均衡算法、服务器分组。可配置方式≥</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种≥配置方式&gt;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2、配置方式≥3种，得1分；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3、提供功能截图，不提供或不满足不得分。</w:t>
            </w:r>
            <w:r/>
          </w:p>
        </w:tc>
      </w:tr>
      <w:tr>
        <w:trPr/>
        <w:tc>
          <w:tcPr>
            <w:tcW w:w="710" w:type="dxa"/>
            <w:vAlign w:val="center"/>
            <w:textDirection w:val="lrTb"/>
            <w:noWrap w:val="false"/>
          </w:tcPr>
          <w:p>
            <w:pPr>
              <w:ind w:firstLine="0"/>
              <w:jc w:val="center"/>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c>
          <w:tcPr>
            <w:tcW w:w="396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超融合软件支持查看负载均衡器的各项监控，健康检查方式，间隔时间，超时时间，健康与不健康阈值设定，上述功能需支持≥</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w:t>
            </w:r>
            <w:r/>
          </w:p>
        </w:tc>
        <w:tc>
          <w:tcPr>
            <w:tcW w:w="4819" w:type="dxa"/>
            <w:vAlign w:val="center"/>
            <w:textDirection w:val="lrTb"/>
            <w:noWrap w:val="false"/>
          </w:tcPr>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种≥功能支持&gt;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种，得0.5分；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2、功能支持≥5种，得1分；</w:t>
            </w:r>
            <w:r/>
          </w:p>
          <w:p>
            <w:pPr>
              <w:ind w:firstLine="0"/>
              <w:spacing w:line="6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3、提供功能截图，不提供或不满足不得分。</w:t>
            </w:r>
            <w:r/>
          </w:p>
        </w:tc>
      </w:tr>
    </w:tbl>
    <w:p>
      <w:pPr>
        <w:ind w:firstLine="482"/>
        <w:spacing w:line="360" w:lineRule="auto"/>
        <w:rPr>
          <w:rFonts w:hint="eastAsia" w:ascii="宋体" w:hAnsi="宋体" w:eastAsia="宋体" w:cs="宋体"/>
          <w:b/>
          <w:bCs w:val="0"/>
          <w:sz w:val="28"/>
          <w:szCs w:val="24"/>
          <w:highlight w:val="none"/>
          <w:lang w:val="en-US" w:eastAsia="zh-CN"/>
        </w:rPr>
      </w:pPr>
      <w:r>
        <w:rPr>
          <w:rFonts w:hint="eastAsia" w:ascii="宋体" w:hAnsi="宋体" w:eastAsia="宋体" w:cs="宋体"/>
          <w:b/>
          <w:bCs w:val="0"/>
          <w:sz w:val="28"/>
          <w:szCs w:val="24"/>
          <w:highlight w:val="none"/>
          <w:lang w:val="en-US" w:eastAsia="zh-CN"/>
        </w:rPr>
      </w:r>
      <w:r/>
    </w:p>
    <w:p>
      <w:pPr>
        <w:pStyle w:val="1229"/>
        <w:ind w:firstLine="360"/>
        <w:spacing w:before="0" w:after="0"/>
        <w:rPr>
          <w:rFonts w:hint="eastAsia" w:ascii="宋体" w:hAnsi="宋体"/>
          <w:b/>
          <w:sz w:val="28"/>
          <w:szCs w:val="28"/>
        </w:rPr>
      </w:pPr>
      <w:r>
        <w:rPr>
          <w:rFonts w:hint="eastAsia" w:ascii="宋体" w:hAnsi="宋体"/>
          <w:b/>
          <w:sz w:val="28"/>
          <w:szCs w:val="28"/>
        </w:rPr>
        <w:t xml:space="preserve">四、技术</w:t>
      </w:r>
      <w:r>
        <w:rPr>
          <w:rFonts w:hint="eastAsia" w:ascii="宋体" w:hAnsi="宋体"/>
          <w:b/>
          <w:sz w:val="28"/>
          <w:szCs w:val="28"/>
          <w:lang w:val="en-US" w:eastAsia="zh-CN"/>
        </w:rPr>
        <w:t xml:space="preserve">方案</w:t>
      </w:r>
      <w:r>
        <w:rPr>
          <w:rFonts w:hint="eastAsia" w:ascii="宋体" w:hAnsi="宋体"/>
          <w:b/>
          <w:sz w:val="28"/>
          <w:szCs w:val="28"/>
        </w:rPr>
        <w:t xml:space="preserve">（</w:t>
      </w:r>
      <w:r>
        <w:rPr>
          <w:rFonts w:hint="eastAsia" w:ascii="宋体" w:hAnsi="宋体"/>
          <w:b/>
          <w:sz w:val="28"/>
          <w:szCs w:val="28"/>
          <w:lang w:val="en-US" w:eastAsia="zh-CN"/>
        </w:rPr>
        <w:t xml:space="preserve">3</w:t>
      </w:r>
      <w:r>
        <w:rPr>
          <w:rFonts w:hint="eastAsia" w:ascii="宋体" w:hAnsi="宋体"/>
          <w:b/>
          <w:sz w:val="28"/>
          <w:szCs w:val="28"/>
        </w:rPr>
        <w:t xml:space="preserve">6分）（暗标要求已更新，详见供应商须知）</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项目建设方案</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14</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①网络建设（2分）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②IP规划与管理（2分）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③网络安全建设（2分）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④零信任建设（2分）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⑤统一运维管理平台建设（2分）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⑥超融合建设（2分）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⑦机房配套改造（2分）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w:t>
      </w:r>
      <w:r>
        <w:rPr>
          <w:rFonts w:hint="eastAsia" w:asciiTheme="minorEastAsia" w:hAnsiTheme="minorEastAsia" w:eastAsiaTheme="minorEastAsia" w:cstheme="minorEastAsia"/>
          <w:sz w:val="24"/>
          <w:szCs w:val="24"/>
          <w:highlight w:val="none"/>
          <w:lang w:val="en-US" w:eastAsia="zh-CN"/>
        </w:rPr>
        <w:t xml:space="preserve">以上每点内容</w:t>
      </w:r>
      <w:r>
        <w:rPr>
          <w:rFonts w:hint="eastAsia" w:asciiTheme="minorEastAsia" w:hAnsiTheme="minorEastAsia" w:eastAsiaTheme="minorEastAsia" w:cstheme="minorEastAsia"/>
          <w:sz w:val="24"/>
          <w:szCs w:val="24"/>
          <w:highlight w:val="none"/>
        </w:rPr>
        <w:t xml:space="preserve">不存在瑕疵的该条得2分；存在1处瑕疵的该条得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分；存在</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处瑕疵的该条得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未提供方案或不满足项目需求书要求或内容存在</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14</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项目实施方案</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14</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①设备上架及安装实施（2分）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②零信任部署实施（2分）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③数据迁移与配置迁移方案（2分）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④新老平面割接实施（2分）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⑤系统及设备对接实施（2分）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⑥测试与联调验证方案（2分）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⑦利旧与退网设备处置方案（2分）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w:t>
      </w:r>
      <w:r>
        <w:rPr>
          <w:rFonts w:hint="eastAsia" w:asciiTheme="minorEastAsia" w:hAnsiTheme="minorEastAsia" w:eastAsiaTheme="minorEastAsia" w:cstheme="minorEastAsia"/>
          <w:sz w:val="24"/>
          <w:szCs w:val="24"/>
          <w:highlight w:val="none"/>
          <w:lang w:val="en-US" w:eastAsia="zh-CN"/>
        </w:rPr>
        <w:t xml:space="preserve">以上每点内容</w:t>
      </w:r>
      <w:r>
        <w:rPr>
          <w:rFonts w:hint="eastAsia" w:asciiTheme="minorEastAsia" w:hAnsiTheme="minorEastAsia" w:eastAsiaTheme="minorEastAsia" w:cstheme="minorEastAsia"/>
          <w:sz w:val="24"/>
          <w:szCs w:val="24"/>
          <w:highlight w:val="none"/>
        </w:rPr>
        <w:t xml:space="preserve">不存在瑕疵的该条得2分；存在1处瑕疵的该条得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分；存在</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处瑕疵的该条得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未提供方案或不满足项目需求书要求或内容存在</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14</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3、售后服务方案（</w:t>
      </w: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①运维服务内容（2分）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②监控与告警管理（2分）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③服务团队与资源（2分）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④服务流程与制度（2分）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⑤应急响应与灾难恢复（2分）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⑥服务承诺与保障措施（2分）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投标人针对上述内容进行阐述，要求阐述内容完整合理、可行性强。</w:t>
      </w:r>
      <w:r>
        <w:rPr>
          <w:rFonts w:hint="eastAsia" w:asciiTheme="minorEastAsia" w:hAnsiTheme="minorEastAsia" w:eastAsiaTheme="minorEastAsia" w:cstheme="minorEastAsia"/>
          <w:sz w:val="24"/>
          <w:szCs w:val="24"/>
          <w:lang w:val="en-US" w:eastAsia="zh-CN"/>
        </w:rPr>
        <w:t xml:space="preserve">以上每点内容</w:t>
      </w:r>
      <w:r>
        <w:rPr>
          <w:rFonts w:hint="eastAsia" w:asciiTheme="minorEastAsia" w:hAnsiTheme="minorEastAsia" w:eastAsiaTheme="minorEastAsia" w:cstheme="minorEastAsia"/>
          <w:sz w:val="24"/>
          <w:szCs w:val="24"/>
        </w:rPr>
        <w:t xml:space="preserve">不存在瑕疵的该条得2分；存在1处瑕疵的该条得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分；存在</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处瑕疵的该条得</w:t>
      </w:r>
      <w:r>
        <w:rPr>
          <w:rFonts w:hint="eastAsia" w:asciiTheme="minorEastAsia" w:hAnsiTheme="minorEastAsia" w:eastAsiaTheme="minorEastAsia" w:cstheme="minorEastAsia"/>
          <w:sz w:val="24"/>
          <w:szCs w:val="24"/>
          <w:lang w:val="en-US" w:eastAsia="zh-CN"/>
        </w:rPr>
        <w:t xml:space="preserve">0.5</w:t>
      </w:r>
      <w:r>
        <w:rPr>
          <w:rFonts w:hint="eastAsia" w:asciiTheme="minorEastAsia" w:hAnsiTheme="minorEastAsia" w:eastAsiaTheme="minorEastAsia" w:cstheme="minorEastAsia"/>
          <w:sz w:val="24"/>
          <w:szCs w:val="24"/>
        </w:rPr>
        <w:t xml:space="preserve">分，未提供方案或不满足项目需求书要求或内容存在</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处及以上瑕疵的该条得0分；本项最高得</w:t>
      </w: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五、政策加分（2分）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207"/>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207"/>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采购项目编号：JSZC-320205-JZCG-G2026-0052</w:t>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采购项目名称：无锡市锡山区政务外网核心层升级改造项目</w:t>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r>
      <w:r/>
    </w:p>
    <w:p>
      <w:pPr>
        <w:ind w:left="2798" w:hanging="1960"/>
        <w:keepLines w:val="0"/>
        <w:keepNext w:val="0"/>
        <w:pageBreakBefore w:val="0"/>
        <w:spacing w:line="360" w:lineRule="auto"/>
        <w:widowControl w:val="off"/>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供应商：</w:t>
      </w:r>
      <w:r/>
    </w:p>
    <w:p>
      <w:pPr>
        <w:pStyle w:val="120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0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0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221"/>
        <w:ind w:firstLine="0"/>
        <w:rPr>
          <w:color w:val="000000"/>
          <w:highlight w:val="none"/>
        </w:rPr>
      </w:pPr>
      <w:r/>
      <w:bookmarkStart w:id="29" w:name="一．报价函（格式）"/>
      <w:r/>
      <w:bookmarkEnd w:id="29"/>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JSZC-320205-JZCG-G2026-0052</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30"/>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14"/>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0" w:name="报价方关于资格的声明函（格式）"/>
      <w:r/>
      <w:bookmarkEnd w:id="30"/>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JSZC-320205-JZCG-G2026-0052</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无锡市锡山区政务外网核心层升级改造项目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JSZC-320205-JZCG-G2026-0052</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无锡市锡山区政务外网核心层升级改造项目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07"/>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207"/>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1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5"/>
        <w:rPr>
          <w:color w:val="000000"/>
          <w:highlight w:val="none"/>
        </w:rPr>
      </w:pPr>
      <w:r>
        <w:rPr>
          <w:color w:val="000000"/>
          <w:highlight w:val="none"/>
        </w:rPr>
      </w:r>
      <w:r/>
    </w:p>
    <w:p>
      <w:pPr>
        <w:pStyle w:val="12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13"/>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JSZC-320205-JZCG-G2026-0052</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207"/>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项目名称：</w:t>
      </w:r>
      <w:r/>
    </w:p>
    <w:p>
      <w:pPr>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采购项目编号：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JSZC-320205-JZCG-G2026-0052</w:t>
      </w:r>
      <w:r/>
    </w:p>
    <w:p>
      <w:pPr>
        <w:spacing w:line="36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分包号：采购包</w:t>
      </w:r>
      <w:r/>
    </w:p>
    <w:tbl>
      <w:tblPr>
        <w:tblStyle w:val="120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投标货物名称</w:t>
            </w:r>
            <w:r/>
          </w:p>
        </w:tc>
        <w:tc>
          <w:tcPr>
            <w:tcW w:w="5524"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总价（小写）</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总价（大写）</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核心产品品牌</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ind w:firstLine="472"/>
        <w:spacing w:line="46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填写说明：</w:t>
      </w:r>
      <w:r/>
    </w:p>
    <w:p>
      <w:pPr>
        <w:numPr>
          <w:ilvl w:val="0"/>
          <w:numId w:val="10"/>
        </w:numPr>
        <w:ind w:firstLine="470"/>
        <w:spacing w:line="4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评标时一律按苏采云系统自带的开标一览表中内容为准，开标一览表中必须盖章。</w:t>
      </w:r>
      <w:r/>
    </w:p>
    <w:p>
      <w:pPr>
        <w:pStyle w:val="1207"/>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14:textFill>
            <w14:solidFill>
              <w14:schemeClr w14:val="tx1"/>
            </w14:solidFill>
          </w14:textFill>
        </w:rPr>
        <w:t xml:space="preserve">日期：</w:t>
      </w:r>
      <w:r/>
    </w:p>
    <w:p>
      <w:pPr>
        <w:numPr>
          <w:ilvl w:val="0"/>
          <w:numId w:val="0"/>
        </w:numPr>
        <w:rPr>
          <w:rFonts w:ascii="黑体" w:hAnsi="宋体" w:eastAsia="黑体"/>
          <w:bCs/>
          <w:color w:val="000000"/>
          <w:sz w:val="24"/>
          <w:szCs w:val="24"/>
          <w:highlight w:val="none"/>
        </w:rPr>
        <w:outlineLvl w:val="0"/>
      </w:pPr>
      <w:r>
        <w:rPr>
          <w:rFonts w:hint="eastAsia" w:ascii="黑体" w:hAnsi="宋体" w:eastAsia="黑体" w:cs="Times New Roman"/>
          <w:bCs/>
          <w:color w:val="000000"/>
          <w:sz w:val="24"/>
          <w:szCs w:val="24"/>
          <w:lang w:val="en-US" w:eastAsia="zh-CN" w:bidi="ar-SA"/>
        </w:rPr>
        <w:t xml:space="preserve">（六）</w:t>
      </w:r>
      <w:r>
        <w:rPr>
          <w:rFonts w:hint="eastAsia" w:ascii="黑体" w:hAnsi="宋体" w:eastAsia="黑体"/>
          <w:bCs/>
          <w:color w:val="000000"/>
          <w:sz w:val="24"/>
          <w:szCs w:val="24"/>
          <w:highlight w:val="none"/>
        </w:rPr>
        <w:t xml:space="preserve">报价明细表（格式）：</w:t>
      </w:r>
      <w:r/>
    </w:p>
    <w:p>
      <w:pPr>
        <w:pStyle w:val="1207"/>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200"/>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651"/>
        <w:gridCol w:w="505"/>
        <w:gridCol w:w="411"/>
        <w:gridCol w:w="967"/>
        <w:gridCol w:w="1017"/>
        <w:gridCol w:w="600"/>
        <w:gridCol w:w="683"/>
        <w:gridCol w:w="450"/>
        <w:gridCol w:w="1000"/>
        <w:gridCol w:w="1041"/>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序号</w:t>
            </w:r>
            <w:r/>
          </w:p>
        </w:tc>
        <w:tc>
          <w:tcPr>
            <w:tcMar>
              <w:left w:w="15" w:type="dxa"/>
              <w:top w:w="15" w:type="dxa"/>
              <w:right w:w="15" w:type="dxa"/>
              <w:bottom w:w="0" w:type="dxa"/>
            </w:tcMar>
            <w:tcW w:w="65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名称</w:t>
            </w:r>
            <w:r/>
          </w:p>
        </w:tc>
        <w:tc>
          <w:tcPr>
            <w:tcBorders>
              <w:right w:val="single" w:color="auto" w:sz="4" w:space="0"/>
            </w:tcBorders>
            <w:tcMar>
              <w:left w:w="15" w:type="dxa"/>
              <w:top w:w="15" w:type="dxa"/>
              <w:right w:w="15" w:type="dxa"/>
              <w:bottom w:w="0" w:type="dxa"/>
            </w:tcMar>
            <w:tcW w:w="505"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品牌</w:t>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型号</w:t>
            </w:r>
            <w:r/>
          </w:p>
        </w:tc>
        <w:tc>
          <w:tcPr>
            <w:tcBorders>
              <w:left w:val="single" w:color="auto" w:sz="4" w:space="0"/>
            </w:tcBorders>
            <w:tcMar>
              <w:left w:w="15" w:type="dxa"/>
              <w:top w:w="15" w:type="dxa"/>
              <w:right w:w="15" w:type="dxa"/>
              <w:bottom w:w="0" w:type="dxa"/>
            </w:tcMar>
            <w:tcW w:w="967"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规格</w:t>
            </w:r>
            <w:r/>
          </w:p>
        </w:tc>
        <w:tc>
          <w:tcPr>
            <w:tcMar>
              <w:left w:w="15" w:type="dxa"/>
              <w:top w:w="15" w:type="dxa"/>
              <w:right w:w="15" w:type="dxa"/>
              <w:bottom w:w="0" w:type="dxa"/>
            </w:tcMar>
            <w:tcW w:w="1017" w:type="dxa"/>
            <w:vAlign w:val="center"/>
            <w:textDirection w:val="lrTb"/>
            <w:noWrap/>
          </w:tcPr>
          <w:p>
            <w:pPr>
              <w:jc w:val="center"/>
              <w:spacing w:before="5"/>
              <w:rPr>
                <w:rFonts w:hint="default" w:ascii="宋体" w:hAnsi="宋体" w:eastAsia="宋体" w:cs="宋体"/>
                <w:color w:val="000000" w:themeColor="text1"/>
                <w:sz w:val="18"/>
                <w:lang w:val="en-US" w:eastAsia="zh-CN"/>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技术参数</w:t>
            </w:r>
            <w:r/>
          </w:p>
        </w:tc>
        <w:tc>
          <w:tcPr>
            <w:tcMar>
              <w:left w:w="15" w:type="dxa"/>
              <w:top w:w="15" w:type="dxa"/>
              <w:right w:w="15" w:type="dxa"/>
              <w:bottom w:w="0" w:type="dxa"/>
            </w:tcMar>
            <w:tcW w:w="6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数量</w:t>
            </w:r>
            <w:r/>
          </w:p>
        </w:tc>
        <w:tc>
          <w:tcPr>
            <w:tcMar>
              <w:left w:w="15" w:type="dxa"/>
              <w:top w:w="15" w:type="dxa"/>
              <w:right w:w="15" w:type="dxa"/>
              <w:bottom w:w="0" w:type="dxa"/>
            </w:tcMar>
            <w:tcW w:w="68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单位</w:t>
            </w:r>
            <w:r/>
          </w:p>
        </w:tc>
        <w:tc>
          <w:tcPr>
            <w:tcMar>
              <w:left w:w="15" w:type="dxa"/>
              <w:top w:w="15" w:type="dxa"/>
              <w:right w:w="15" w:type="dxa"/>
              <w:bottom w:w="0" w:type="dxa"/>
            </w:tcMar>
            <w:tcW w:w="450"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产地</w:t>
            </w:r>
            <w:r/>
          </w:p>
        </w:tc>
        <w:tc>
          <w:tcPr>
            <w:tcW w:w="10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免费质保期</w:t>
            </w:r>
            <w:r/>
          </w:p>
        </w:tc>
        <w:tc>
          <w:tcPr>
            <w:tcW w:w="1041"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231"/>
              <w:spacing w:before="5"/>
              <w:tabs>
                <w:tab w:val="clear" w:pos="4153" w:leader="none"/>
                <w:tab w:val="clear" w:pos="8306" w:leader="none"/>
              </w:tabs>
              <w:rPr>
                <w:rFonts w:hint="eastAsia" w:ascii="宋体" w:hAnsi="宋体" w:eastAsia="宋体" w:cs="宋体"/>
                <w:color w:val="000000" w:themeColor="text1"/>
                <w14:textFill>
                  <w14:solidFill>
                    <w14:schemeClr w14:val="tx1"/>
                  </w14:solidFill>
                </w14:textFill>
              </w:rPr>
              <w:pBdr>
                <w:bottom w:val="none" w:color="000000" w:sz="0" w:space="0"/>
              </w:pBd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pStyle w:val="123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3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3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3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00" w:type="dxa"/>
            <w:vAlign w:val="center"/>
            <w:textDirection w:val="lrTb"/>
            <w:noWrap w:val="false"/>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3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3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31"/>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0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31"/>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合计（元）</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31"/>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完工期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合同签订生效之日起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个日历日内交货并安装调试完毕</w:t>
            </w:r>
            <w:r/>
          </w:p>
        </w:tc>
      </w:tr>
      <w:tr>
        <w:trPr>
          <w:cantSplit/>
          <w:trHeight w:val="645"/>
        </w:trPr>
        <w:tc>
          <w:tcPr>
            <w:gridSpan w:val="5"/>
            <w:tcMar>
              <w:left w:w="15" w:type="dxa"/>
              <w:top w:w="15" w:type="dxa"/>
              <w:right w:w="15" w:type="dxa"/>
              <w:bottom w:w="0" w:type="dxa"/>
            </w:tcMar>
            <w:tcW w:w="3147" w:type="dxa"/>
            <w:vAlign w:val="center"/>
            <w:textDirection w:val="lrTb"/>
            <w:noWrap/>
          </w:tcPr>
          <w:p>
            <w:pPr>
              <w:pStyle w:val="1231"/>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项目整体免费质保期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 xml:space="preserve">项目经最终验收合格之日起____年</w:t>
            </w:r>
            <w:r/>
          </w:p>
        </w:tc>
      </w:tr>
      <w:tr>
        <w:trPr>
          <w:cantSplit/>
          <w:trHeight w:val="645"/>
        </w:trPr>
        <w:tc>
          <w:tcPr>
            <w:gridSpan w:val="12"/>
            <w:tcMar>
              <w:left w:w="15" w:type="dxa"/>
              <w:top w:w="15" w:type="dxa"/>
              <w:right w:w="15" w:type="dxa"/>
              <w:bottom w:w="0" w:type="dxa"/>
            </w:tcMar>
            <w:tcW w:w="9000"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center"/>
              <w:rPr>
                <w:rFonts w:hint="eastAsia" w:ascii="宋体" w:hAnsi="宋体" w:eastAsia="宋体" w:cs="宋体"/>
                <w:color w:val="000000" w:themeColor="text1"/>
                <w:sz w:val="24"/>
                <w:szCs w:val="28"/>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上述报价表不限于此，结合第三章项目要求和有关说明详细清单自行编制。</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spacing w:line="400" w:lineRule="exact"/>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（3）投标供应商对所报相关数据的真实性负责；</w:t>
      </w:r>
      <w:r/>
    </w:p>
    <w:p>
      <w:pPr>
        <w:spacing w:line="400" w:lineRule="exact"/>
        <w:rPr>
          <w:rFonts w:hint="eastAsia"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（4）该报价包括实施本项目所需的全部设备、辅助材料、人工费、服务费、运输费、税金、安装调试费及</w:t>
      </w:r>
      <w:r>
        <w:rPr>
          <w:rFonts w:hint="eastAsia" w:ascii="宋体" w:hAnsi="宋体" w:eastAsia="宋体" w:cs="宋体"/>
          <w:color w:val="000000" w:themeColor="text1"/>
          <w:sz w:val="24"/>
          <w:szCs w:val="24"/>
          <w:lang w:val="en-US" w:eastAsia="zh-CN"/>
          <w14:textFill>
            <w14:solidFill>
              <w14:schemeClr w14:val="tx1"/>
            </w14:solidFill>
          </w14:textFill>
        </w:rPr>
        <w:t xml:space="preserve">5年运维服务的</w:t>
      </w:r>
      <w:r>
        <w:rPr>
          <w:rFonts w:hint="eastAsia" w:ascii="宋体" w:hAnsi="宋体" w:eastAsia="宋体" w:cs="宋体"/>
          <w:color w:val="000000" w:themeColor="text1"/>
          <w:sz w:val="24"/>
          <w:szCs w:val="24"/>
          <w14:textFill>
            <w14:solidFill>
              <w14:schemeClr w14:val="tx1"/>
            </w14:solidFill>
          </w14:textFill>
        </w:rPr>
        <w:t xml:space="preserve">其他一切费用。如有漏项，均由中标人承担；以上报价</w:t>
      </w:r>
      <w:r>
        <w:rPr>
          <w:rFonts w:hint="eastAsia" w:ascii="宋体" w:hAnsi="宋体" w:eastAsia="宋体" w:cs="宋体"/>
          <w:color w:val="000000" w:themeColor="text1"/>
          <w:sz w:val="24"/>
          <w:szCs w:val="24"/>
          <w:lang w:val="en-US" w:eastAsia="zh-CN"/>
          <w14:textFill>
            <w14:solidFill>
              <w14:schemeClr w14:val="tx1"/>
            </w14:solidFill>
          </w14:textFill>
        </w:rPr>
        <w:t xml:space="preserve">未</w:t>
      </w:r>
      <w:r>
        <w:rPr>
          <w:rFonts w:hint="eastAsia" w:ascii="宋体" w:hAnsi="宋体" w:eastAsia="宋体" w:cs="宋体"/>
          <w:color w:val="000000" w:themeColor="text1"/>
          <w:sz w:val="24"/>
          <w:szCs w:val="24"/>
          <w14:textFill>
            <w14:solidFill>
              <w14:schemeClr w14:val="tx1"/>
            </w14:solidFill>
          </w14:textFill>
        </w:rPr>
        <w:t xml:space="preserve">含税价</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207"/>
        <w:rPr>
          <w:color w:val="000000"/>
          <w:highlight w:val="none"/>
        </w:rPr>
      </w:pPr>
      <w:r>
        <w:rPr>
          <w:color w:val="000000"/>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无锡市锡山区政务外网核心层升级改造项目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5"/>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200"/>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JSZC-320205-JZCG-G2026-0024</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（1）本表不得删除；</w:t>
      </w:r>
      <w:r/>
    </w:p>
    <w:p>
      <w:pPr>
        <w:ind w:firstLine="480"/>
        <w:rPr>
          <w:rFonts w:hint="eastAsia" w:ascii="宋体" w:hAnsi="宋体" w:eastAsia="宋体" w:cs="宋体"/>
          <w:b/>
          <w:bCs w:val="0"/>
          <w:color w:val="ff0000"/>
          <w:sz w:val="36"/>
          <w:szCs w:val="36"/>
          <w:highlight w:val="none"/>
        </w:rPr>
        <w:outlineLvl w:val="0"/>
      </w:pPr>
      <w:r>
        <w:rPr>
          <w:rFonts w:hint="eastAsia" w:ascii="宋体" w:hAnsi="宋体" w:eastAsia="宋体" w:cs="宋体"/>
          <w:b/>
          <w:bCs w:val="0"/>
          <w:color w:val="ff0000"/>
          <w:sz w:val="36"/>
          <w:szCs w:val="36"/>
        </w:rPr>
        <w:t xml:space="preserve">（2）</w:t>
      </w:r>
      <w:r>
        <w:rPr>
          <w:rFonts w:hint="eastAsia" w:ascii="宋体" w:hAnsi="宋体" w:eastAsia="宋体" w:cs="Times New Roman"/>
          <w:b/>
          <w:bCs w:val="0"/>
          <w:color w:val="ff0000"/>
          <w:sz w:val="40"/>
          <w:szCs w:val="40"/>
          <w:highlight w:val="none"/>
          <w:lang w:val="en-US" w:eastAsia="zh-CN"/>
        </w:rPr>
        <w:t xml:space="preserve">货物类采购需按技术参数部分逐条列明，需包含设备名称、规格、数量、单位、技术参数等，若不填写或填写不完整按无效投标文件处理。</w:t>
      </w:r>
      <w:r/>
    </w:p>
    <w:p>
      <w:pPr>
        <w:ind w:firstLine="480"/>
        <w:rPr>
          <w:rFonts w:hint="eastAsia" w:ascii="宋体" w:hAnsi="宋体" w:eastAsia="宋体" w:cs="Times New Roman"/>
          <w:b/>
          <w:bCs w:val="0"/>
          <w:color w:val="ff0000"/>
          <w:sz w:val="40"/>
          <w:szCs w:val="40"/>
          <w:highlight w:val="yellow"/>
          <w:lang w:val="en-US" w:eastAsia="zh-CN"/>
        </w:rPr>
        <w:outlineLvl w:val="0"/>
      </w:pPr>
      <w:r>
        <w:rPr>
          <w:rFonts w:hint="eastAsia" w:ascii="宋体" w:hAnsi="宋体" w:eastAsia="宋体" w:cs="宋体"/>
          <w:b/>
          <w:bCs w:val="0"/>
          <w:color w:val="ff0000"/>
          <w:sz w:val="36"/>
          <w:szCs w:val="36"/>
          <w:highlight w:val="none"/>
        </w:rPr>
        <w:t xml:space="preserve">（3）</w:t>
      </w:r>
      <w:r>
        <w:rPr>
          <w:rFonts w:hint="eastAsia" w:ascii="宋体" w:hAnsi="宋体" w:eastAsia="宋体" w:cs="Times New Roman"/>
          <w:b/>
          <w:bCs w:val="0"/>
          <w:color w:val="ff0000"/>
          <w:sz w:val="40"/>
          <w:szCs w:val="40"/>
          <w:highlight w:val="none"/>
          <w:lang w:val="en-US" w:eastAsia="zh-CN"/>
        </w:rPr>
        <w:t xml:space="preserve">商务部分如无任何服务偏离，请于本表商务部分“偏离说明”中注明“无偏离”，若不填写按无效投标文件处理。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（5）表格不够可自行延长，但不得改变文本格式；</w:t>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Theme="minorEastAsia" w:hAnsiTheme="minorEastAsia" w:eastAsiaTheme="minorEastAsia" w:cstheme="minorEastAsia"/>
          <w:bCs/>
          <w:color w:val="000000"/>
          <w:sz w:val="24"/>
          <w:szCs w:val="24"/>
          <w:highlight w:val="none"/>
        </w:rPr>
        <w:t xml:space="preserve">（九）投标供应商情况表（格式）</w:t>
      </w:r>
      <w:r/>
    </w:p>
    <w:p>
      <w:pPr>
        <w:pStyle w:val="1225"/>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20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15"/>
        <w:rPr>
          <w:rFonts w:ascii="宋体" w:hAnsi="宋体"/>
          <w:b/>
          <w:bCs/>
          <w:color w:val="000000"/>
          <w:sz w:val="24"/>
          <w:szCs w:val="24"/>
          <w:highlight w:val="none"/>
        </w:rPr>
      </w:pPr>
      <w:r>
        <w:rPr>
          <w:rFonts w:ascii="宋体" w:hAnsi="宋体"/>
          <w:b/>
          <w:bCs/>
          <w:color w:val="000000"/>
          <w:sz w:val="24"/>
          <w:szCs w:val="24"/>
          <w:highlight w:val="none"/>
        </w:rPr>
      </w:r>
      <w:r/>
    </w:p>
    <w:p>
      <w:pPr>
        <w:pStyle w:val="1215"/>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33"/>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1"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1"/>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202"/>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22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233"/>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b/>
          <w:bCs/>
          <w:color w:val="000000"/>
          <w:sz w:val="32"/>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28"/>
          <w:highlight w:val="white"/>
        </w:rPr>
        <w:t xml:space="preserve">6.</w:t>
      </w:r>
      <w:r>
        <w:rPr>
          <w:rFonts w:hint="eastAsia" w:ascii="宋体" w:hAnsi="宋体" w:eastAsia="宋体" w:cs="宋体"/>
          <w:b/>
          <w:bCs/>
          <w:color w:val="000000"/>
          <w:sz w:val="32"/>
          <w:szCs w:val="28"/>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1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1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rPr>
      </w:pPr>
      <w:r>
        <w:rPr>
          <w:rFonts w:hint="eastAsia"/>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33"/>
        <w:spacing w:before="160" w:after="160"/>
        <w:rPr>
          <w:b w:val="0"/>
          <w:color w:val="000000"/>
          <w:sz w:val="24"/>
          <w:highlight w:val="none"/>
        </w:rPr>
      </w:pPr>
      <w:r/>
      <w:bookmarkStart w:id="32"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2"/>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_GB2312">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文鼎小标宋简">
    <w:panose1 w:val="020B0503020202020204"/>
  </w:font>
  <w:font w:name="仿宋_GB2312">
    <w:panose1 w:val="02010609060101010101"/>
  </w:font>
  <w:font w:name="黑体">
    <w:panose1 w:val="02010609060101010101"/>
  </w:font>
  <w:font w:name="华文中宋">
    <w:panose1 w:val="02010600040101010101"/>
  </w:font>
  <w:font w:name="Courier New">
    <w:panose1 w:val="020703090202050204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3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34"/>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4"/>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both"/>
      <w:rPr>
        <w:rFonts w:hint="eastAsia" w:ascii="宋体" w:hAnsi="宋体" w:eastAsia="宋体" w:cs="宋体"/>
        <w:sz w:val="15"/>
        <w:szCs w:val="15"/>
      </w:rPr>
    </w:pPr>
    <w:r>
      <w:rPr>
        <w:rFonts w:hint="eastAsia" w:eastAsia="楷体_GB2312"/>
        <w:sz w:val="21"/>
        <w:lang w:eastAsia="zh-CN"/>
      </w:rPr>
      <w:t xml:space="preserve">JSZC-320205-JZCG-G2026-0052</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21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ascii="Times New Roman" w:hAnsi="Times New Roman" w:eastAsia="楷体_GB2312"/>
        <w:szCs w:val="21"/>
      </w:rPr>
    </w:pPr>
    <w:r>
      <w:rPr>
        <w:rFonts w:ascii="Times New Roman" w:hAnsi="Times New Roman" w:eastAsia="楷体_GB2312"/>
        <w:szCs w:val="21"/>
      </w:rPr>
    </w:r>
    <w:r/>
  </w:p>
  <w:p>
    <w:pPr>
      <w:pStyle w:val="1231"/>
      <w:jc w:val="both"/>
      <w:rPr>
        <w:rFonts w:hint="eastAsia" w:ascii="宋体" w:hAnsi="宋体" w:eastAsia="宋体" w:cs="宋体"/>
        <w:sz w:val="15"/>
        <w:szCs w:val="15"/>
      </w:rPr>
    </w:pPr>
    <w:r>
      <w:rPr>
        <w:rFonts w:hint="eastAsia" w:eastAsia="楷体_GB2312"/>
        <w:sz w:val="21"/>
        <w:lang w:eastAsia="zh-CN"/>
      </w:rPr>
      <w:t xml:space="preserve">JSZC-320205-JZCG-G2026-0052</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both"/>
      <w:rPr>
        <w:rFonts w:eastAsia="楷体_GB2312"/>
        <w:sz w:val="21"/>
      </w:rPr>
    </w:pPr>
    <w:r>
      <w:rPr>
        <w:rFonts w:eastAsia="楷体_GB2312"/>
        <w:sz w:val="21"/>
      </w:rPr>
    </w:r>
    <w:r/>
  </w:p>
  <w:p>
    <w:pPr>
      <w:pStyle w:val="1231"/>
      <w:jc w:val="both"/>
      <w:rPr>
        <w:rFonts w:hint="eastAsia" w:ascii="宋体" w:hAnsi="宋体" w:eastAsia="宋体" w:cs="宋体"/>
        <w:sz w:val="15"/>
        <w:szCs w:val="15"/>
      </w:rPr>
    </w:pPr>
    <w:r>
      <w:rPr>
        <w:rFonts w:hint="eastAsia" w:eastAsia="楷体_GB2312"/>
        <w:sz w:val="21"/>
        <w:lang w:eastAsia="zh-CN"/>
      </w:rPr>
      <w:t xml:space="preserve">JSZC-320205-JZCG-G2026-0052</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both"/>
      <w:rPr>
        <w:rFonts w:hint="eastAsia"/>
      </w:rPr>
    </w:pPr>
    <w:r>
      <w:rPr>
        <w:rFonts w:hint="eastAsia" w:eastAsia="楷体_GB2312"/>
        <w:sz w:val="21"/>
        <w:lang w:eastAsia="zh-CN"/>
      </w:rPr>
      <w:t xml:space="preserve">JSZC-320205-JZCG-G2026-0052</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JSZC-320205-JZCG-G2026-0052</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both"/>
    </w:pPr>
    <w:r>
      <w:rPr>
        <w:rFonts w:hint="eastAsia" w:eastAsia="楷体_GB2312"/>
        <w:sz w:val="21"/>
        <w:lang w:eastAsia="zh-CN"/>
      </w:rPr>
      <w:t xml:space="preserve">JSZC-320205-JZCG-G2026-0052</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235"/>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第%1章 "/>
      <w:lvlJc w:val="left"/>
      <w:pPr>
        <w:ind w:left="0" w:firstLine="0"/>
      </w:pPr>
      <w:rPr>
        <w:rFonts w:hint="eastAsia"/>
      </w:rPr>
    </w:lvl>
    <w:lvl w:ilvl="1">
      <w:start w:val="1"/>
      <w:numFmt w:val="chineseCounting"/>
      <w:isLgl w:val="false"/>
      <w:suff w:val="space"/>
      <w:lvlText w:val="第%2节"/>
      <w:lvlJc w:val="left"/>
      <w:pPr>
        <w:ind w:left="0" w:firstLine="0"/>
      </w:pPr>
      <w:rPr>
        <w:rFonts w:hint="eastAsia"/>
      </w:rPr>
    </w:lvl>
    <w:lvl w:ilvl="2">
      <w:start w:val="1"/>
      <w:numFmt w:val="chineseCounting"/>
      <w:pStyle w:val="1196"/>
      <w:isLgl w:val="false"/>
      <w:suff w:val="nothing"/>
      <w:lvlText w:val="%3、"/>
      <w:lvlJc w:val="left"/>
      <w:pPr>
        <w:ind w:left="0" w:firstLine="0"/>
      </w:pPr>
      <w:rPr>
        <w:rFonts w:hint="eastAsia"/>
      </w:rPr>
    </w:lvl>
    <w:lvl w:ilvl="3">
      <w:start w:val="1"/>
      <w:numFmt w:val="decimal"/>
      <w:pStyle w:val="1197"/>
      <w:isLgl w:val="false"/>
      <w:suff w:val="nothing"/>
      <w:lvlText w:val="%4."/>
      <w:lvlJc w:val="left"/>
      <w:pPr>
        <w:ind w:left="0" w:firstLine="0"/>
      </w:pPr>
      <w:rPr>
        <w:rFonts w:hint="eastAsia"/>
      </w:rPr>
    </w:lvl>
    <w:lvl w:ilvl="4">
      <w:start w:val="1"/>
      <w:numFmt w:val="decimal"/>
      <w:pStyle w:val="1198"/>
      <w:isLgl w:val="false"/>
      <w:suff w:val="nothing"/>
      <w:lvlText w:val="(%5)"/>
      <w:lvlJc w:val="left"/>
      <w:pPr>
        <w:ind w:left="0" w:firstLine="0"/>
      </w:pPr>
      <w:rPr>
        <w:rFonts w:hint="eastAsia"/>
      </w:rPr>
    </w:lvl>
    <w:lvl w:ilvl="5">
      <w:start w:val="1"/>
      <w:numFmt w:val="decimal"/>
      <w:isLgl w:val="false"/>
      <w:suff w:val="nothing"/>
      <w:lvlText w:val="%6）"/>
      <w:lvlJc w:val="left"/>
      <w:pPr>
        <w:ind w:left="0" w:firstLine="0"/>
      </w:pPr>
      <w:rPr>
        <w:rFonts w:hint="eastAsia"/>
      </w:rPr>
    </w:lvl>
    <w:lvl w:ilvl="6">
      <w:start w:val="1"/>
      <w:numFmt w:val="lowerLetter"/>
      <w:isLgl w:val="false"/>
      <w:suff w:val="nothing"/>
      <w:lvlText w:val="%7．"/>
      <w:lvlJc w:val="left"/>
      <w:pPr>
        <w:ind w:left="0" w:firstLine="0"/>
      </w:pPr>
      <w:rPr>
        <w:rFonts w:hint="eastAsia"/>
      </w:rPr>
    </w:lvl>
    <w:lvl w:ilvl="7">
      <w:start w:val="1"/>
      <w:numFmt w:val="lowerLetter"/>
      <w:isLgl w:val="false"/>
      <w:suff w:val="nothing"/>
      <w:lvlText w:val="%8）"/>
      <w:lvlJc w:val="left"/>
      <w:pPr>
        <w:ind w:left="0" w:firstLine="0"/>
      </w:pPr>
      <w:rPr>
        <w:rFonts w:hint="eastAsia"/>
      </w:rPr>
    </w:lvl>
    <w:lvl w:ilvl="8">
      <w:start w:val="1"/>
      <w:numFmt w:val="lowerRoman"/>
      <w:isLgl w:val="false"/>
      <w:suff w:val="nothing"/>
      <w:lvlText w:val="%9. "/>
      <w:lvlJc w:val="left"/>
      <w:pPr>
        <w:ind w:left="0" w:firstLine="0"/>
      </w:pPr>
      <w:rPr>
        <w:rFonts w:hint="eastAsia"/>
      </w:rPr>
    </w:lvl>
  </w:abstractNum>
  <w:num w:numId="1">
    <w:abstractNumId w:val="9"/>
  </w:num>
  <w:num w:numId="2">
    <w:abstractNumId w:val="3"/>
  </w:num>
  <w:num w:numId="3">
    <w:abstractNumId w:val="7"/>
  </w:num>
  <w:num w:numId="4">
    <w:abstractNumId w:val="5"/>
  </w:num>
  <w:num w:numId="5">
    <w:abstractNumId w:val="8"/>
  </w:num>
  <w:num w:numId="6">
    <w:abstractNumId w:val="2"/>
  </w:num>
  <w:num w:numId="7">
    <w:abstractNumId w:val="0"/>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4">
    <w:name w:val="Heading 1"/>
    <w:basedOn w:val="1194"/>
    <w:next w:val="1194"/>
    <w:link w:val="1025"/>
    <w:uiPriority w:val="9"/>
    <w:qFormat/>
    <w:pPr>
      <w:keepLines/>
      <w:keepNext/>
      <w:spacing w:before="480" w:after="200"/>
      <w:outlineLvl w:val="0"/>
    </w:pPr>
    <w:rPr>
      <w:rFonts w:ascii="Arial" w:hAnsi="Arial" w:eastAsia="Arial" w:cs="Arial"/>
      <w:sz w:val="40"/>
      <w:szCs w:val="40"/>
    </w:rPr>
  </w:style>
  <w:style w:type="character" w:styleId="1025">
    <w:name w:val="Heading 1 Char"/>
    <w:basedOn w:val="1199"/>
    <w:link w:val="1024"/>
    <w:uiPriority w:val="9"/>
    <w:rPr>
      <w:rFonts w:ascii="Arial" w:hAnsi="Arial" w:eastAsia="Arial" w:cs="Arial"/>
      <w:sz w:val="40"/>
      <w:szCs w:val="40"/>
    </w:rPr>
  </w:style>
  <w:style w:type="character" w:styleId="1026">
    <w:name w:val="Heading 2 Char"/>
    <w:basedOn w:val="1199"/>
    <w:link w:val="1227"/>
    <w:uiPriority w:val="9"/>
    <w:rPr>
      <w:rFonts w:ascii="Arial" w:hAnsi="Arial" w:eastAsia="Arial" w:cs="Arial"/>
      <w:sz w:val="34"/>
    </w:rPr>
  </w:style>
  <w:style w:type="character" w:styleId="1027">
    <w:name w:val="Heading 3 Char"/>
    <w:basedOn w:val="1199"/>
    <w:link w:val="1196"/>
    <w:uiPriority w:val="9"/>
    <w:rPr>
      <w:rFonts w:ascii="Arial" w:hAnsi="Arial" w:eastAsia="Arial" w:cs="Arial"/>
      <w:sz w:val="30"/>
      <w:szCs w:val="30"/>
    </w:rPr>
  </w:style>
  <w:style w:type="character" w:styleId="1028">
    <w:name w:val="Heading 4 Char"/>
    <w:basedOn w:val="1199"/>
    <w:link w:val="1197"/>
    <w:uiPriority w:val="9"/>
    <w:rPr>
      <w:rFonts w:ascii="Arial" w:hAnsi="Arial" w:eastAsia="Arial" w:cs="Arial"/>
      <w:b/>
      <w:bCs/>
      <w:sz w:val="26"/>
      <w:szCs w:val="26"/>
    </w:rPr>
  </w:style>
  <w:style w:type="character" w:styleId="1029">
    <w:name w:val="Heading 5 Char"/>
    <w:basedOn w:val="1199"/>
    <w:link w:val="1198"/>
    <w:uiPriority w:val="9"/>
    <w:rPr>
      <w:rFonts w:ascii="Arial" w:hAnsi="Arial" w:eastAsia="Arial" w:cs="Arial"/>
      <w:b/>
      <w:bCs/>
      <w:sz w:val="24"/>
      <w:szCs w:val="24"/>
    </w:rPr>
  </w:style>
  <w:style w:type="paragraph" w:styleId="1030">
    <w:name w:val="Heading 6"/>
    <w:basedOn w:val="1194"/>
    <w:next w:val="1194"/>
    <w:link w:val="1031"/>
    <w:uiPriority w:val="9"/>
    <w:unhideWhenUsed/>
    <w:qFormat/>
    <w:pPr>
      <w:keepLines/>
      <w:keepNext/>
      <w:spacing w:before="320" w:after="200"/>
      <w:outlineLvl w:val="5"/>
    </w:pPr>
    <w:rPr>
      <w:rFonts w:ascii="Arial" w:hAnsi="Arial" w:eastAsia="Arial" w:cs="Arial"/>
      <w:b/>
      <w:bCs/>
      <w:sz w:val="22"/>
      <w:szCs w:val="22"/>
    </w:rPr>
  </w:style>
  <w:style w:type="character" w:styleId="1031">
    <w:name w:val="Heading 6 Char"/>
    <w:basedOn w:val="1199"/>
    <w:link w:val="1030"/>
    <w:uiPriority w:val="9"/>
    <w:rPr>
      <w:rFonts w:ascii="Arial" w:hAnsi="Arial" w:eastAsia="Arial" w:cs="Arial"/>
      <w:b/>
      <w:bCs/>
      <w:sz w:val="22"/>
      <w:szCs w:val="22"/>
    </w:rPr>
  </w:style>
  <w:style w:type="paragraph" w:styleId="1032">
    <w:name w:val="Heading 7"/>
    <w:basedOn w:val="1194"/>
    <w:next w:val="1194"/>
    <w:link w:val="1033"/>
    <w:uiPriority w:val="9"/>
    <w:unhideWhenUsed/>
    <w:qFormat/>
    <w:pPr>
      <w:keepLines/>
      <w:keepNext/>
      <w:spacing w:before="320" w:after="200"/>
      <w:outlineLvl w:val="6"/>
    </w:pPr>
    <w:rPr>
      <w:rFonts w:ascii="Arial" w:hAnsi="Arial" w:eastAsia="Arial" w:cs="Arial"/>
      <w:b/>
      <w:bCs/>
      <w:i/>
      <w:iCs/>
      <w:sz w:val="22"/>
      <w:szCs w:val="22"/>
    </w:rPr>
  </w:style>
  <w:style w:type="character" w:styleId="1033">
    <w:name w:val="Heading 7 Char"/>
    <w:basedOn w:val="1199"/>
    <w:link w:val="1032"/>
    <w:uiPriority w:val="9"/>
    <w:rPr>
      <w:rFonts w:ascii="Arial" w:hAnsi="Arial" w:eastAsia="Arial" w:cs="Arial"/>
      <w:b/>
      <w:bCs/>
      <w:i/>
      <w:iCs/>
      <w:sz w:val="22"/>
      <w:szCs w:val="22"/>
    </w:rPr>
  </w:style>
  <w:style w:type="paragraph" w:styleId="1034">
    <w:name w:val="Heading 8"/>
    <w:basedOn w:val="1194"/>
    <w:next w:val="1194"/>
    <w:link w:val="1035"/>
    <w:uiPriority w:val="9"/>
    <w:unhideWhenUsed/>
    <w:qFormat/>
    <w:pPr>
      <w:keepLines/>
      <w:keepNext/>
      <w:spacing w:before="320" w:after="200"/>
      <w:outlineLvl w:val="7"/>
    </w:pPr>
    <w:rPr>
      <w:rFonts w:ascii="Arial" w:hAnsi="Arial" w:eastAsia="Arial" w:cs="Arial"/>
      <w:i/>
      <w:iCs/>
      <w:sz w:val="22"/>
      <w:szCs w:val="22"/>
    </w:rPr>
  </w:style>
  <w:style w:type="character" w:styleId="1035">
    <w:name w:val="Heading 8 Char"/>
    <w:basedOn w:val="1199"/>
    <w:link w:val="1034"/>
    <w:uiPriority w:val="9"/>
    <w:rPr>
      <w:rFonts w:ascii="Arial" w:hAnsi="Arial" w:eastAsia="Arial" w:cs="Arial"/>
      <w:i/>
      <w:iCs/>
      <w:sz w:val="22"/>
      <w:szCs w:val="22"/>
    </w:rPr>
  </w:style>
  <w:style w:type="paragraph" w:styleId="1036">
    <w:name w:val="Heading 9"/>
    <w:basedOn w:val="1194"/>
    <w:next w:val="1194"/>
    <w:link w:val="1037"/>
    <w:uiPriority w:val="9"/>
    <w:unhideWhenUsed/>
    <w:qFormat/>
    <w:pPr>
      <w:keepLines/>
      <w:keepNext/>
      <w:spacing w:before="320" w:after="200"/>
      <w:outlineLvl w:val="8"/>
    </w:pPr>
    <w:rPr>
      <w:rFonts w:ascii="Arial" w:hAnsi="Arial" w:eastAsia="Arial" w:cs="Arial"/>
      <w:i/>
      <w:iCs/>
      <w:sz w:val="21"/>
      <w:szCs w:val="21"/>
    </w:rPr>
  </w:style>
  <w:style w:type="character" w:styleId="1037">
    <w:name w:val="Heading 9 Char"/>
    <w:basedOn w:val="1199"/>
    <w:link w:val="1036"/>
    <w:uiPriority w:val="9"/>
    <w:rPr>
      <w:rFonts w:ascii="Arial" w:hAnsi="Arial" w:eastAsia="Arial" w:cs="Arial"/>
      <w:i/>
      <w:iCs/>
      <w:sz w:val="21"/>
      <w:szCs w:val="21"/>
    </w:rPr>
  </w:style>
  <w:style w:type="paragraph" w:styleId="1038">
    <w:name w:val="No Spacing"/>
    <w:uiPriority w:val="1"/>
    <w:qFormat/>
    <w:pPr>
      <w:spacing w:before="0" w:after="0" w:line="240" w:lineRule="auto"/>
    </w:pPr>
  </w:style>
  <w:style w:type="paragraph" w:styleId="1039">
    <w:name w:val="Title"/>
    <w:basedOn w:val="1194"/>
    <w:next w:val="1194"/>
    <w:link w:val="1040"/>
    <w:uiPriority w:val="10"/>
    <w:qFormat/>
    <w:pPr>
      <w:contextualSpacing/>
      <w:spacing w:before="300" w:after="200"/>
    </w:pPr>
    <w:rPr>
      <w:sz w:val="48"/>
      <w:szCs w:val="48"/>
    </w:rPr>
  </w:style>
  <w:style w:type="character" w:styleId="1040">
    <w:name w:val="Title Char"/>
    <w:basedOn w:val="1199"/>
    <w:link w:val="1039"/>
    <w:uiPriority w:val="10"/>
    <w:rPr>
      <w:sz w:val="48"/>
      <w:szCs w:val="48"/>
    </w:rPr>
  </w:style>
  <w:style w:type="paragraph" w:styleId="1041">
    <w:name w:val="Subtitle"/>
    <w:basedOn w:val="1194"/>
    <w:next w:val="1194"/>
    <w:link w:val="1042"/>
    <w:uiPriority w:val="11"/>
    <w:qFormat/>
    <w:pPr>
      <w:spacing w:before="200" w:after="200"/>
    </w:pPr>
    <w:rPr>
      <w:sz w:val="24"/>
      <w:szCs w:val="24"/>
    </w:rPr>
  </w:style>
  <w:style w:type="character" w:styleId="1042">
    <w:name w:val="Subtitle Char"/>
    <w:basedOn w:val="1199"/>
    <w:link w:val="1041"/>
    <w:uiPriority w:val="11"/>
    <w:rPr>
      <w:sz w:val="24"/>
      <w:szCs w:val="24"/>
    </w:rPr>
  </w:style>
  <w:style w:type="paragraph" w:styleId="1043">
    <w:name w:val="Quote"/>
    <w:basedOn w:val="1194"/>
    <w:next w:val="1194"/>
    <w:link w:val="1044"/>
    <w:uiPriority w:val="29"/>
    <w:qFormat/>
    <w:pPr>
      <w:ind w:left="720" w:right="720"/>
    </w:pPr>
    <w:rPr>
      <w:i/>
    </w:rPr>
  </w:style>
  <w:style w:type="character" w:styleId="1044">
    <w:name w:val="Quote Char"/>
    <w:link w:val="1043"/>
    <w:uiPriority w:val="29"/>
    <w:rPr>
      <w:i/>
    </w:rPr>
  </w:style>
  <w:style w:type="paragraph" w:styleId="1045">
    <w:name w:val="Intense Quote"/>
    <w:basedOn w:val="1194"/>
    <w:next w:val="1194"/>
    <w:link w:val="10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name w:val="Intense Quote Char"/>
    <w:link w:val="1045"/>
    <w:uiPriority w:val="30"/>
    <w:rPr>
      <w:i/>
    </w:rPr>
  </w:style>
  <w:style w:type="character" w:styleId="1047">
    <w:name w:val="Header Char"/>
    <w:basedOn w:val="1199"/>
    <w:link w:val="1210"/>
    <w:uiPriority w:val="99"/>
  </w:style>
  <w:style w:type="character" w:styleId="1048">
    <w:name w:val="Footer Char"/>
    <w:basedOn w:val="1199"/>
    <w:link w:val="1209"/>
    <w:uiPriority w:val="99"/>
  </w:style>
  <w:style w:type="paragraph" w:styleId="1049">
    <w:name w:val="Caption"/>
    <w:basedOn w:val="1194"/>
    <w:next w:val="1194"/>
    <w:uiPriority w:val="35"/>
    <w:semiHidden/>
    <w:unhideWhenUsed/>
    <w:qFormat/>
    <w:pPr>
      <w:spacing w:line="276" w:lineRule="auto"/>
    </w:pPr>
    <w:rPr>
      <w:b/>
      <w:bCs/>
      <w:color w:val="4f81bd" w:themeColor="accent1"/>
      <w:sz w:val="18"/>
      <w:szCs w:val="18"/>
    </w:rPr>
  </w:style>
  <w:style w:type="character" w:styleId="1050">
    <w:name w:val="Caption Char"/>
    <w:basedOn w:val="1049"/>
    <w:link w:val="1209"/>
    <w:uiPriority w:val="99"/>
  </w:style>
  <w:style w:type="table" w:styleId="1051">
    <w:name w:val="Table Grid Light"/>
    <w:basedOn w:val="12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2">
    <w:name w:val="Plain Table 1"/>
    <w:basedOn w:val="12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3">
    <w:name w:val="Plain Table 2"/>
    <w:basedOn w:val="12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4">
    <w:name w:val="Plain Table 3"/>
    <w:basedOn w:val="12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5">
    <w:name w:val="Plain Table 4"/>
    <w:basedOn w:val="12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6">
    <w:name w:val="Plain Table 5"/>
    <w:basedOn w:val="12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7">
    <w:name w:val="Grid Table 1 Light"/>
    <w:basedOn w:val="12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8">
    <w:name w:val="Grid Table 1 Light - Accent 1"/>
    <w:basedOn w:val="12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9">
    <w:name w:val="Grid Table 1 Light - Accent 2"/>
    <w:basedOn w:val="12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0">
    <w:name w:val="Grid Table 1 Light - Accent 3"/>
    <w:basedOn w:val="12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1">
    <w:name w:val="Grid Table 1 Light - Accent 4"/>
    <w:basedOn w:val="12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2">
    <w:name w:val="Grid Table 1 Light - Accent 5"/>
    <w:basedOn w:val="12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3">
    <w:name w:val="Grid Table 1 Light - Accent 6"/>
    <w:basedOn w:val="12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4">
    <w:name w:val="Grid Table 2"/>
    <w:basedOn w:val="12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5">
    <w:name w:val="Grid Table 2 - Accent 1"/>
    <w:basedOn w:val="12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6">
    <w:name w:val="Grid Table 2 - Accent 2"/>
    <w:basedOn w:val="12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7">
    <w:name w:val="Grid Table 2 - Accent 3"/>
    <w:basedOn w:val="12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8">
    <w:name w:val="Grid Table 2 - Accent 4"/>
    <w:basedOn w:val="12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9">
    <w:name w:val="Grid Table 2 - Accent 5"/>
    <w:basedOn w:val="12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0">
    <w:name w:val="Grid Table 2 - Accent 6"/>
    <w:basedOn w:val="12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1">
    <w:name w:val="Grid Table 3"/>
    <w:basedOn w:val="12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1"/>
    <w:basedOn w:val="12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2"/>
    <w:basedOn w:val="12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3"/>
    <w:basedOn w:val="12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3 - Accent 4"/>
    <w:basedOn w:val="12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6">
    <w:name w:val="Grid Table 3 - Accent 5"/>
    <w:basedOn w:val="12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3 - Accent 6"/>
    <w:basedOn w:val="12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8">
    <w:name w:val="Grid Table 4"/>
    <w:basedOn w:val="12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9">
    <w:name w:val="Grid Table 4 - Accent 1"/>
    <w:basedOn w:val="12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0">
    <w:name w:val="Grid Table 4 - Accent 2"/>
    <w:basedOn w:val="12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1">
    <w:name w:val="Grid Table 4 - Accent 3"/>
    <w:basedOn w:val="12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2">
    <w:name w:val="Grid Table 4 - Accent 4"/>
    <w:basedOn w:val="12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3">
    <w:name w:val="Grid Table 4 - Accent 5"/>
    <w:basedOn w:val="12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4">
    <w:name w:val="Grid Table 4 - Accent 6"/>
    <w:basedOn w:val="12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5">
    <w:name w:val="Grid Table 5 Dark"/>
    <w:basedOn w:val="12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6">
    <w:name w:val="Grid Table 5 Dark- Accent 1"/>
    <w:basedOn w:val="12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87">
    <w:name w:val="Grid Table 5 Dark - Accent 2"/>
    <w:basedOn w:val="12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88">
    <w:name w:val="Grid Table 5 Dark - Accent 3"/>
    <w:basedOn w:val="12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89">
    <w:name w:val="Grid Table 5 Dark- Accent 4"/>
    <w:basedOn w:val="12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90">
    <w:name w:val="Grid Table 5 Dark - Accent 5"/>
    <w:basedOn w:val="12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91">
    <w:name w:val="Grid Table 5 Dark - Accent 6"/>
    <w:basedOn w:val="12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92">
    <w:name w:val="Grid Table 6 Colorful"/>
    <w:basedOn w:val="12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3">
    <w:name w:val="Grid Table 6 Colorful - Accent 1"/>
    <w:basedOn w:val="12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94">
    <w:name w:val="Grid Table 6 Colorful - Accent 2"/>
    <w:basedOn w:val="12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95">
    <w:name w:val="Grid Table 6 Colorful - Accent 3"/>
    <w:basedOn w:val="12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96">
    <w:name w:val="Grid Table 6 Colorful - Accent 4"/>
    <w:basedOn w:val="12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97">
    <w:name w:val="Grid Table 6 Colorful - Accent 5"/>
    <w:basedOn w:val="12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8">
    <w:name w:val="Grid Table 6 Colorful - Accent 6"/>
    <w:basedOn w:val="12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9">
    <w:name w:val="Grid Table 7 Colorful"/>
    <w:basedOn w:val="12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0">
    <w:name w:val="Grid Table 7 Colorful - Accent 1"/>
    <w:basedOn w:val="12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1">
    <w:name w:val="Grid Table 7 Colorful - Accent 2"/>
    <w:basedOn w:val="12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2">
    <w:name w:val="Grid Table 7 Colorful - Accent 3"/>
    <w:basedOn w:val="12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3">
    <w:name w:val="Grid Table 7 Colorful - Accent 4"/>
    <w:basedOn w:val="12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4">
    <w:name w:val="Grid Table 7 Colorful - Accent 5"/>
    <w:basedOn w:val="12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5">
    <w:name w:val="Grid Table 7 Colorful - Accent 6"/>
    <w:basedOn w:val="12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6">
    <w:name w:val="List Table 1 Light"/>
    <w:basedOn w:val="12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7">
    <w:name w:val="List Table 1 Light - Accent 1"/>
    <w:basedOn w:val="120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8">
    <w:name w:val="List Table 1 Light - Accent 2"/>
    <w:basedOn w:val="120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9">
    <w:name w:val="List Table 1 Light - Accent 3"/>
    <w:basedOn w:val="120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0">
    <w:name w:val="List Table 1 Light - Accent 4"/>
    <w:basedOn w:val="120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1">
    <w:name w:val="List Table 1 Light - Accent 5"/>
    <w:basedOn w:val="120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2">
    <w:name w:val="List Table 1 Light - Accent 6"/>
    <w:basedOn w:val="120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3">
    <w:name w:val="List Table 2"/>
    <w:basedOn w:val="12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4">
    <w:name w:val="List Table 2 - Accent 1"/>
    <w:basedOn w:val="12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5">
    <w:name w:val="List Table 2 - Accent 2"/>
    <w:basedOn w:val="12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6">
    <w:name w:val="List Table 2 - Accent 3"/>
    <w:basedOn w:val="12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7">
    <w:name w:val="List Table 2 - Accent 4"/>
    <w:basedOn w:val="12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8">
    <w:name w:val="List Table 2 - Accent 5"/>
    <w:basedOn w:val="12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9">
    <w:name w:val="List Table 2 - Accent 6"/>
    <w:basedOn w:val="12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0">
    <w:name w:val="List Table 3"/>
    <w:basedOn w:val="12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3 - Accent 1"/>
    <w:basedOn w:val="12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2">
    <w:name w:val="List Table 3 - Accent 2"/>
    <w:basedOn w:val="12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23">
    <w:name w:val="List Table 3 - Accent 3"/>
    <w:basedOn w:val="12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24">
    <w:name w:val="List Table 3 - Accent 4"/>
    <w:basedOn w:val="12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25">
    <w:name w:val="List Table 3 - Accent 5"/>
    <w:basedOn w:val="12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26">
    <w:name w:val="List Table 3 - Accent 6"/>
    <w:basedOn w:val="12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27">
    <w:name w:val="List Table 4"/>
    <w:basedOn w:val="12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8">
    <w:name w:val="List Table 4 - Accent 1"/>
    <w:basedOn w:val="12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9">
    <w:name w:val="List Table 4 - Accent 2"/>
    <w:basedOn w:val="12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30">
    <w:name w:val="List Table 4 - Accent 3"/>
    <w:basedOn w:val="12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31">
    <w:name w:val="List Table 4 - Accent 4"/>
    <w:basedOn w:val="12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32">
    <w:name w:val="List Table 4 - Accent 5"/>
    <w:basedOn w:val="12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33">
    <w:name w:val="List Table 4 - Accent 6"/>
    <w:basedOn w:val="12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34">
    <w:name w:val="List Table 5 Dark"/>
    <w:basedOn w:val="12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1"/>
    <w:basedOn w:val="12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2"/>
    <w:basedOn w:val="12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3"/>
    <w:basedOn w:val="12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5 Dark - Accent 4"/>
    <w:basedOn w:val="12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9">
    <w:name w:val="List Table 5 Dark - Accent 5"/>
    <w:basedOn w:val="12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5 Dark - Accent 6"/>
    <w:basedOn w:val="12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1">
    <w:name w:val="List Table 6 Colorful"/>
    <w:basedOn w:val="12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2">
    <w:name w:val="List Table 6 Colorful - Accent 1"/>
    <w:basedOn w:val="12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43">
    <w:name w:val="List Table 6 Colorful - Accent 2"/>
    <w:basedOn w:val="12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44">
    <w:name w:val="List Table 6 Colorful - Accent 3"/>
    <w:basedOn w:val="12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45">
    <w:name w:val="List Table 6 Colorful - Accent 4"/>
    <w:basedOn w:val="12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46">
    <w:name w:val="List Table 6 Colorful - Accent 5"/>
    <w:basedOn w:val="12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47">
    <w:name w:val="List Table 6 Colorful - Accent 6"/>
    <w:basedOn w:val="12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48">
    <w:name w:val="List Table 7 Colorful"/>
    <w:basedOn w:val="12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9">
    <w:name w:val="List Table 7 Colorful - Accent 1"/>
    <w:basedOn w:val="12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50">
    <w:name w:val="List Table 7 Colorful - Accent 2"/>
    <w:basedOn w:val="12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51">
    <w:name w:val="List Table 7 Colorful - Accent 3"/>
    <w:basedOn w:val="12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52">
    <w:name w:val="List Table 7 Colorful - Accent 4"/>
    <w:basedOn w:val="12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53">
    <w:name w:val="List Table 7 Colorful - Accent 5"/>
    <w:basedOn w:val="12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54">
    <w:name w:val="List Table 7 Colorful - Accent 6"/>
    <w:basedOn w:val="12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55">
    <w:name w:val="Lined - Accent"/>
    <w:basedOn w:val="12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6">
    <w:name w:val="Lined - Accent 1"/>
    <w:basedOn w:val="12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7">
    <w:name w:val="Lined - Accent 2"/>
    <w:basedOn w:val="12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8">
    <w:name w:val="Lined - Accent 3"/>
    <w:basedOn w:val="12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9">
    <w:name w:val="Lined - Accent 4"/>
    <w:basedOn w:val="12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0">
    <w:name w:val="Lined - Accent 5"/>
    <w:basedOn w:val="12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1">
    <w:name w:val="Lined - Accent 6"/>
    <w:basedOn w:val="12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2">
    <w:name w:val="Bordered &amp; Lined - Accent"/>
    <w:basedOn w:val="12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3">
    <w:name w:val="Bordered &amp; Lined - Accent 1"/>
    <w:basedOn w:val="12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4">
    <w:name w:val="Bordered &amp; Lined - Accent 2"/>
    <w:basedOn w:val="12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5">
    <w:name w:val="Bordered &amp; Lined - Accent 3"/>
    <w:basedOn w:val="12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6">
    <w:name w:val="Bordered &amp; Lined - Accent 4"/>
    <w:basedOn w:val="12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7">
    <w:name w:val="Bordered &amp; Lined - Accent 5"/>
    <w:basedOn w:val="12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8">
    <w:name w:val="Bordered &amp; Lined - Accent 6"/>
    <w:basedOn w:val="12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9">
    <w:name w:val="Bordered"/>
    <w:basedOn w:val="12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0">
    <w:name w:val="Bordered - Accent 1"/>
    <w:basedOn w:val="12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1">
    <w:name w:val="Bordered - Accent 2"/>
    <w:basedOn w:val="12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2">
    <w:name w:val="Bordered - Accent 3"/>
    <w:basedOn w:val="12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3">
    <w:name w:val="Bordered - Accent 4"/>
    <w:basedOn w:val="12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4">
    <w:name w:val="Bordered - Accent 5"/>
    <w:basedOn w:val="12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5">
    <w:name w:val="Bordered - Accent 6"/>
    <w:basedOn w:val="12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6">
    <w:name w:val="Hyperlink"/>
    <w:uiPriority w:val="99"/>
    <w:unhideWhenUsed/>
    <w:rPr>
      <w:color w:val="0000ff" w:themeColor="hyperlink"/>
      <w:u w:val="single"/>
    </w:rPr>
  </w:style>
  <w:style w:type="paragraph" w:styleId="1177">
    <w:name w:val="footnote text"/>
    <w:basedOn w:val="1194"/>
    <w:link w:val="1178"/>
    <w:uiPriority w:val="99"/>
    <w:semiHidden/>
    <w:unhideWhenUsed/>
    <w:pPr>
      <w:spacing w:after="40" w:line="240" w:lineRule="auto"/>
    </w:pPr>
    <w:rPr>
      <w:sz w:val="18"/>
    </w:rPr>
  </w:style>
  <w:style w:type="character" w:styleId="1178">
    <w:name w:val="Footnote Text Char"/>
    <w:link w:val="1177"/>
    <w:uiPriority w:val="99"/>
    <w:rPr>
      <w:sz w:val="18"/>
    </w:rPr>
  </w:style>
  <w:style w:type="character" w:styleId="1179">
    <w:name w:val="footnote reference"/>
    <w:basedOn w:val="1199"/>
    <w:uiPriority w:val="99"/>
    <w:unhideWhenUsed/>
    <w:rPr>
      <w:vertAlign w:val="superscript"/>
    </w:rPr>
  </w:style>
  <w:style w:type="paragraph" w:styleId="1180">
    <w:name w:val="endnote text"/>
    <w:basedOn w:val="1194"/>
    <w:link w:val="1181"/>
    <w:uiPriority w:val="99"/>
    <w:semiHidden/>
    <w:unhideWhenUsed/>
    <w:pPr>
      <w:spacing w:after="0" w:line="240" w:lineRule="auto"/>
    </w:pPr>
    <w:rPr>
      <w:sz w:val="20"/>
    </w:rPr>
  </w:style>
  <w:style w:type="character" w:styleId="1181">
    <w:name w:val="Endnote Text Char"/>
    <w:link w:val="1180"/>
    <w:uiPriority w:val="99"/>
    <w:rPr>
      <w:sz w:val="20"/>
    </w:rPr>
  </w:style>
  <w:style w:type="character" w:styleId="1182">
    <w:name w:val="endnote reference"/>
    <w:basedOn w:val="1199"/>
    <w:uiPriority w:val="99"/>
    <w:semiHidden/>
    <w:unhideWhenUsed/>
    <w:rPr>
      <w:vertAlign w:val="superscript"/>
    </w:rPr>
  </w:style>
  <w:style w:type="paragraph" w:styleId="1183">
    <w:name w:val="toc 1"/>
    <w:basedOn w:val="1194"/>
    <w:next w:val="1194"/>
    <w:uiPriority w:val="39"/>
    <w:unhideWhenUsed/>
    <w:pPr>
      <w:ind w:left="0" w:right="0" w:firstLine="0"/>
      <w:spacing w:after="57"/>
    </w:pPr>
  </w:style>
  <w:style w:type="paragraph" w:styleId="1184">
    <w:name w:val="toc 2"/>
    <w:basedOn w:val="1194"/>
    <w:next w:val="1194"/>
    <w:uiPriority w:val="39"/>
    <w:unhideWhenUsed/>
    <w:pPr>
      <w:ind w:left="283" w:right="0" w:firstLine="0"/>
      <w:spacing w:after="57"/>
    </w:pPr>
  </w:style>
  <w:style w:type="paragraph" w:styleId="1185">
    <w:name w:val="toc 3"/>
    <w:basedOn w:val="1194"/>
    <w:next w:val="1194"/>
    <w:uiPriority w:val="39"/>
    <w:unhideWhenUsed/>
    <w:pPr>
      <w:ind w:left="567" w:right="0" w:firstLine="0"/>
      <w:spacing w:after="57"/>
    </w:pPr>
  </w:style>
  <w:style w:type="paragraph" w:styleId="1186">
    <w:name w:val="toc 4"/>
    <w:basedOn w:val="1194"/>
    <w:next w:val="1194"/>
    <w:uiPriority w:val="39"/>
    <w:unhideWhenUsed/>
    <w:pPr>
      <w:ind w:left="850" w:right="0" w:firstLine="0"/>
      <w:spacing w:after="57"/>
    </w:pPr>
  </w:style>
  <w:style w:type="paragraph" w:styleId="1187">
    <w:name w:val="toc 5"/>
    <w:basedOn w:val="1194"/>
    <w:next w:val="1194"/>
    <w:uiPriority w:val="39"/>
    <w:unhideWhenUsed/>
    <w:pPr>
      <w:ind w:left="1134" w:right="0" w:firstLine="0"/>
      <w:spacing w:after="57"/>
    </w:pPr>
  </w:style>
  <w:style w:type="paragraph" w:styleId="1188">
    <w:name w:val="toc 6"/>
    <w:basedOn w:val="1194"/>
    <w:next w:val="1194"/>
    <w:uiPriority w:val="39"/>
    <w:unhideWhenUsed/>
    <w:pPr>
      <w:ind w:left="1417" w:right="0" w:firstLine="0"/>
      <w:spacing w:after="57"/>
    </w:pPr>
  </w:style>
  <w:style w:type="paragraph" w:styleId="1189">
    <w:name w:val="toc 7"/>
    <w:basedOn w:val="1194"/>
    <w:next w:val="1194"/>
    <w:uiPriority w:val="39"/>
    <w:unhideWhenUsed/>
    <w:pPr>
      <w:ind w:left="1701" w:right="0" w:firstLine="0"/>
      <w:spacing w:after="57"/>
    </w:pPr>
  </w:style>
  <w:style w:type="paragraph" w:styleId="1190">
    <w:name w:val="toc 8"/>
    <w:basedOn w:val="1194"/>
    <w:next w:val="1194"/>
    <w:uiPriority w:val="39"/>
    <w:unhideWhenUsed/>
    <w:pPr>
      <w:ind w:left="1984" w:right="0" w:firstLine="0"/>
      <w:spacing w:after="57"/>
    </w:pPr>
  </w:style>
  <w:style w:type="paragraph" w:styleId="1191">
    <w:name w:val="toc 9"/>
    <w:basedOn w:val="1194"/>
    <w:next w:val="1194"/>
    <w:uiPriority w:val="39"/>
    <w:unhideWhenUsed/>
    <w:pPr>
      <w:ind w:left="2268" w:right="0" w:firstLine="0"/>
      <w:spacing w:after="57"/>
    </w:pPr>
  </w:style>
  <w:style w:type="paragraph" w:styleId="1192">
    <w:name w:val="TOC Heading"/>
    <w:uiPriority w:val="39"/>
    <w:unhideWhenUsed/>
  </w:style>
  <w:style w:type="paragraph" w:styleId="1193">
    <w:name w:val="table of figures"/>
    <w:basedOn w:val="1194"/>
    <w:next w:val="1194"/>
    <w:uiPriority w:val="99"/>
    <w:unhideWhenUsed/>
    <w:pPr>
      <w:spacing w:after="0" w:afterAutospacing="0"/>
    </w:pPr>
  </w:style>
  <w:style w:type="paragraph" w:styleId="1194" w:default="1">
    <w:name w:val="Normal"/>
    <w:link w:val="1230"/>
    <w:uiPriority w:val="0"/>
    <w:qFormat/>
    <w:pPr>
      <w:jc w:val="both"/>
      <w:widowControl w:val="off"/>
    </w:pPr>
    <w:rPr>
      <w:rFonts w:hint="default" w:ascii="等线" w:hAnsi="等线" w:eastAsia="等线" w:cs="Times New Roman"/>
      <w:sz w:val="21"/>
      <w:szCs w:val="22"/>
      <w:lang w:val="en-US" w:eastAsia="zh-CN" w:bidi="ar-SA"/>
    </w:rPr>
  </w:style>
  <w:style w:type="paragraph" w:styleId="1195">
    <w:name w:val="Heading 2"/>
    <w:basedOn w:val="1194"/>
    <w:next w:val="1194"/>
    <w:uiPriority w:val="9"/>
    <w:unhideWhenUsed/>
    <w:qFormat/>
    <w:pPr>
      <w:keepLines/>
      <w:keepNext/>
      <w:spacing w:before="360" w:after="200"/>
      <w:outlineLvl w:val="1"/>
    </w:pPr>
    <w:rPr>
      <w:rFonts w:ascii="Arial" w:hAnsi="Arial" w:eastAsia="Arial" w:cs="Arial"/>
      <w:sz w:val="34"/>
    </w:rPr>
  </w:style>
  <w:style w:type="paragraph" w:styleId="1196">
    <w:name w:val="Heading 3"/>
    <w:basedOn w:val="1194"/>
    <w:next w:val="1194"/>
    <w:uiPriority w:val="9"/>
    <w:unhideWhenUsed/>
    <w:qFormat/>
    <w:pPr>
      <w:numPr>
        <w:ilvl w:val="2"/>
        <w:numId w:val="1"/>
      </w:numPr>
      <w:jc w:val="left"/>
      <w:tabs>
        <w:tab w:val="left" w:pos="0" w:leader="none"/>
      </w:tabs>
      <w:outlineLvl w:val="2"/>
    </w:pPr>
  </w:style>
  <w:style w:type="paragraph" w:styleId="1197">
    <w:name w:val="Heading 4"/>
    <w:basedOn w:val="1196"/>
    <w:next w:val="1194"/>
    <w:uiPriority w:val="9"/>
    <w:unhideWhenUsed/>
    <w:qFormat/>
    <w:pPr>
      <w:numPr>
        <w:ilvl w:val="3"/>
      </w:numPr>
      <w:outlineLvl w:val="3"/>
    </w:pPr>
  </w:style>
  <w:style w:type="paragraph" w:styleId="1198">
    <w:name w:val="Heading 5"/>
    <w:basedOn w:val="1197"/>
    <w:next w:val="1194"/>
    <w:uiPriority w:val="9"/>
    <w:unhideWhenUsed/>
    <w:qFormat/>
    <w:pPr>
      <w:numPr>
        <w:ilvl w:val="4"/>
      </w:numPr>
      <w:outlineLvl w:val="4"/>
    </w:pPr>
  </w:style>
  <w:style w:type="character" w:styleId="1199" w:default="1">
    <w:name w:val="Default Paragraph Font"/>
    <w:uiPriority w:val="0"/>
    <w:semiHidden/>
    <w:qFormat/>
  </w:style>
  <w:style w:type="table" w:styleId="1200" w:default="1">
    <w:name w:val="Normal Table"/>
    <w:uiPriority w:val="0"/>
    <w:semiHidden/>
    <w:qFormat/>
    <w:tblPr>
      <w:tblCellMar>
        <w:left w:w="108" w:type="dxa"/>
        <w:top w:w="0" w:type="dxa"/>
        <w:right w:w="108" w:type="dxa"/>
        <w:bottom w:w="0" w:type="dxa"/>
      </w:tblCellMar>
    </w:tblPr>
  </w:style>
  <w:style w:type="paragraph" w:styleId="1201">
    <w:name w:val="Document Map"/>
    <w:basedOn w:val="1194"/>
    <w:uiPriority w:val="0"/>
    <w:qFormat/>
    <w:pPr>
      <w:shd w:val="clear" w:color="auto" w:fill="000080"/>
    </w:pPr>
    <w:rPr>
      <w:rFonts w:asciiTheme="minorHAnsi" w:hAnsiTheme="minorHAnsi" w:eastAsiaTheme="minorEastAsia" w:cstheme="minorBidi"/>
      <w:szCs w:val="24"/>
      <w:shd w:val="clear" w:color="auto" w:fill="000080"/>
    </w:rPr>
  </w:style>
  <w:style w:type="paragraph" w:styleId="1202">
    <w:name w:val="Body Text"/>
    <w:basedOn w:val="1194"/>
    <w:next w:val="1203"/>
    <w:uiPriority w:val="0"/>
    <w:semiHidden/>
    <w:qFormat/>
    <w:rPr>
      <w:rFonts w:ascii="宋体" w:hAnsi="宋体" w:eastAsia="宋体" w:cs="宋体"/>
      <w:sz w:val="24"/>
      <w:szCs w:val="24"/>
      <w:lang w:eastAsia="en-US"/>
    </w:rPr>
  </w:style>
  <w:style w:type="paragraph" w:styleId="1203" w:customStyle="1">
    <w:name w:val="样式 表格正文 + 两端对齐"/>
    <w:basedOn w:val="1194"/>
    <w:next w:val="1204"/>
    <w:uiPriority w:val="99"/>
    <w:qFormat/>
    <w:pPr>
      <w:spacing w:line="300" w:lineRule="auto"/>
    </w:pPr>
  </w:style>
  <w:style w:type="paragraph" w:styleId="1204" w:customStyle="1">
    <w:name w:val="正文1"/>
    <w:basedOn w:val="1201"/>
    <w:next w:val="119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5">
    <w:name w:val="Body Text Indent"/>
    <w:basedOn w:val="1194"/>
    <w:next w:val="1206"/>
    <w:uiPriority w:val="0"/>
    <w:qFormat/>
    <w:pPr>
      <w:ind w:left="420"/>
      <w:spacing w:after="120"/>
    </w:pPr>
  </w:style>
  <w:style w:type="paragraph" w:styleId="1206">
    <w:name w:val="envelope return"/>
    <w:basedOn w:val="1194"/>
    <w:uiPriority w:val="0"/>
    <w:qFormat/>
    <w:rPr>
      <w:rFonts w:ascii="Arial" w:hAnsi="Arial"/>
    </w:rPr>
  </w:style>
  <w:style w:type="paragraph" w:styleId="1207">
    <w:name w:val="index 4"/>
    <w:basedOn w:val="1194"/>
    <w:next w:val="1194"/>
    <w:uiPriority w:val="99"/>
    <w:qFormat/>
    <w:pPr>
      <w:ind w:left="600"/>
    </w:pPr>
    <w:rPr>
      <w:szCs w:val="24"/>
    </w:rPr>
  </w:style>
  <w:style w:type="paragraph" w:styleId="1208">
    <w:name w:val="Plain Text"/>
    <w:basedOn w:val="1194"/>
    <w:uiPriority w:val="0"/>
    <w:qFormat/>
    <w:rPr>
      <w:rFonts w:ascii="宋体" w:hAnsi="Courier New" w:cs="Courier New"/>
      <w:szCs w:val="21"/>
    </w:rPr>
  </w:style>
  <w:style w:type="paragraph" w:styleId="1209">
    <w:name w:val="Footer"/>
    <w:basedOn w:val="1194"/>
    <w:next w:val="1194"/>
    <w:uiPriority w:val="99"/>
    <w:unhideWhenUsed/>
    <w:qFormat/>
    <w:pPr>
      <w:tabs>
        <w:tab w:val="center" w:pos="7143" w:leader="none"/>
        <w:tab w:val="right" w:pos="14287" w:leader="none"/>
      </w:tabs>
    </w:pPr>
  </w:style>
  <w:style w:type="paragraph" w:styleId="1210">
    <w:name w:val="Header"/>
    <w:basedOn w:val="1194"/>
    <w:uiPriority w:val="99"/>
    <w:unhideWhenUsed/>
    <w:qFormat/>
    <w:pPr>
      <w:tabs>
        <w:tab w:val="center" w:pos="7143" w:leader="none"/>
        <w:tab w:val="right" w:pos="14287" w:leader="none"/>
      </w:tabs>
    </w:pPr>
  </w:style>
  <w:style w:type="table" w:styleId="12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2">
    <w:name w:val="annotation reference"/>
    <w:basedOn w:val="1199"/>
    <w:uiPriority w:val="99"/>
    <w:semiHidden/>
    <w:unhideWhenUsed/>
    <w:qFormat/>
    <w:rPr>
      <w:sz w:val="21"/>
      <w:szCs w:val="21"/>
    </w:rPr>
  </w:style>
  <w:style w:type="paragraph" w:styleId="1213" w:customStyle="1">
    <w:name w:val="索引 41"/>
    <w:basedOn w:val="1194"/>
    <w:next w:val="1194"/>
    <w:uiPriority w:val="99"/>
    <w:qFormat/>
    <w:pPr>
      <w:ind w:left="600"/>
    </w:pPr>
    <w:rPr>
      <w:rFonts w:ascii="Times New Roman" w:hAnsi="Times New Roman" w:eastAsia="宋体"/>
      <w:szCs w:val="24"/>
    </w:rPr>
  </w:style>
  <w:style w:type="paragraph" w:styleId="1214" w:customStyle="1">
    <w:name w:val="正文文本1"/>
    <w:basedOn w:val="1194"/>
    <w:uiPriority w:val="0"/>
    <w:qFormat/>
    <w:rPr>
      <w:rFonts w:ascii="华文中宋" w:hAnsi="Times New Roman" w:eastAsia="华文中宋"/>
      <w:bCs/>
      <w:sz w:val="28"/>
      <w:szCs w:val="20"/>
    </w:rPr>
  </w:style>
  <w:style w:type="paragraph" w:styleId="1215" w:customStyle="1">
    <w:name w:val="正文首行缩进1"/>
    <w:basedOn w:val="1214"/>
    <w:link w:val="1220"/>
    <w:uiPriority w:val="99"/>
    <w:unhideWhenUsed/>
    <w:qFormat/>
    <w:pPr>
      <w:ind w:firstLine="420"/>
      <w:spacing w:after="120"/>
    </w:pPr>
    <w:rPr>
      <w:rFonts w:ascii="等线" w:hAnsi="等线" w:eastAsia="等线"/>
      <w:bCs w:val="0"/>
      <w:sz w:val="21"/>
      <w:szCs w:val="22"/>
    </w:rPr>
  </w:style>
  <w:style w:type="paragraph" w:styleId="1216" w:customStyle="1">
    <w:name w:val="纯文本1"/>
    <w:basedOn w:val="1194"/>
    <w:next w:val="1217"/>
    <w:uiPriority w:val="0"/>
    <w:qFormat/>
    <w:rPr>
      <w:rFonts w:ascii="宋体" w:hAnsi="Courier New" w:eastAsia="宋体"/>
      <w:szCs w:val="20"/>
    </w:rPr>
  </w:style>
  <w:style w:type="paragraph" w:styleId="1217" w:customStyle="1">
    <w:name w:val="目录 21"/>
    <w:basedOn w:val="1194"/>
    <w:next w:val="1194"/>
    <w:uiPriority w:val="39"/>
    <w:unhideWhenUsed/>
    <w:qFormat/>
    <w:pPr>
      <w:ind w:left="420"/>
    </w:pPr>
  </w:style>
  <w:style w:type="character" w:styleId="1218" w:customStyle="1">
    <w:name w:val="已访问的超链接1"/>
    <w:uiPriority w:val="99"/>
    <w:qFormat/>
    <w:rPr>
      <w:color w:val="000000"/>
      <w:u w:val="none"/>
    </w:rPr>
  </w:style>
  <w:style w:type="paragraph" w:styleId="1219" w:customStyle="1">
    <w:name w:val="目录 11"/>
    <w:basedOn w:val="1194"/>
    <w:next w:val="1194"/>
    <w:uiPriority w:val="39"/>
    <w:qFormat/>
    <w:pPr>
      <w:jc w:val="center"/>
      <w:spacing w:before="120" w:after="120"/>
      <w:tabs>
        <w:tab w:val="right" w:pos="9170" w:leader="dot"/>
      </w:tabs>
    </w:pPr>
    <w:rPr>
      <w:rFonts w:eastAsia="文鼎小标宋简"/>
      <w:caps/>
      <w:sz w:val="32"/>
      <w:szCs w:val="32"/>
    </w:rPr>
  </w:style>
  <w:style w:type="character" w:styleId="1220" w:customStyle="1">
    <w:name w:val="正文首行缩进 Char"/>
    <w:link w:val="1215"/>
    <w:uiPriority w:val="99"/>
    <w:semiHidden/>
    <w:qFormat/>
    <w:rPr>
      <w:rFonts w:ascii="等线" w:hAnsi="等线" w:eastAsia="等线"/>
      <w:sz w:val="21"/>
      <w:szCs w:val="22"/>
    </w:rPr>
  </w:style>
  <w:style w:type="paragraph" w:styleId="1221" w:customStyle="1">
    <w:name w:val="列出段落1"/>
    <w:basedOn w:val="1194"/>
    <w:uiPriority w:val="0"/>
    <w:qFormat/>
    <w:pPr>
      <w:ind w:firstLine="420"/>
    </w:pPr>
    <w:rPr>
      <w:rFonts w:ascii="Calibri" w:hAnsi="Calibri" w:eastAsia="宋体"/>
    </w:rPr>
  </w:style>
  <w:style w:type="paragraph" w:styleId="1222" w:customStyle="1">
    <w:name w:val="标题 11"/>
    <w:basedOn w:val="1194"/>
    <w:next w:val="119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23" w:customStyle="1">
    <w:name w:val="TOC Heading1"/>
    <w:next w:val="1194"/>
    <w:uiPriority w:val="0"/>
    <w:qFormat/>
    <w:rPr>
      <w:rFonts w:hint="default" w:ascii="Times New Roman" w:hAnsi="Times New Roman" w:eastAsia="宋体" w:cs="Times New Roman"/>
      <w:sz w:val="32"/>
      <w:lang w:val="en-US" w:eastAsia="zh-CN" w:bidi="ar-SA"/>
    </w:rPr>
  </w:style>
  <w:style w:type="paragraph" w:styleId="1224" w:customStyle="1">
    <w:name w:val="标题 41"/>
    <w:basedOn w:val="1194"/>
    <w:next w:val="1225"/>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25" w:customStyle="1">
    <w:name w:val="正文缩进1"/>
    <w:basedOn w:val="1194"/>
    <w:next w:val="1194"/>
    <w:uiPriority w:val="0"/>
    <w:qFormat/>
    <w:pPr>
      <w:ind w:firstLine="420"/>
    </w:pPr>
    <w:rPr>
      <w:rFonts w:ascii="Times New Roman" w:hAnsi="Times New Roman" w:eastAsia="宋体"/>
      <w:szCs w:val="20"/>
    </w:rPr>
  </w:style>
  <w:style w:type="character" w:styleId="1226" w:customStyle="1">
    <w:name w:val="NormalCharacter"/>
    <w:uiPriority w:val="0"/>
    <w:qFormat/>
  </w:style>
  <w:style w:type="paragraph" w:styleId="1227" w:customStyle="1">
    <w:name w:val="Heading 2"/>
    <w:next w:val="1194"/>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2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29" w:customStyle="1">
    <w:name w:val="普通正文"/>
    <w:basedOn w:val="1194"/>
    <w:uiPriority w:val="0"/>
    <w:qFormat/>
    <w:pPr>
      <w:ind w:firstLine="480"/>
      <w:jc w:val="left"/>
      <w:spacing w:before="120" w:after="120" w:line="360" w:lineRule="auto"/>
    </w:pPr>
    <w:rPr>
      <w:rFonts w:ascii="Arial" w:hAnsi="Arial"/>
      <w:sz w:val="24"/>
      <w:szCs w:val="24"/>
    </w:rPr>
  </w:style>
  <w:style w:type="character" w:styleId="1230" w:customStyle="1">
    <w:name w:val="HTML 打字机1"/>
    <w:link w:val="1194"/>
    <w:uiPriority w:val="0"/>
    <w:qFormat/>
    <w:rPr>
      <w:rFonts w:hint="default" w:ascii="等线" w:hAnsi="等线" w:eastAsia="等线" w:cs="Times New Roman"/>
      <w:sz w:val="21"/>
      <w:szCs w:val="22"/>
      <w:lang w:val="en-US" w:eastAsia="zh-CN" w:bidi="ar-SA"/>
    </w:rPr>
  </w:style>
  <w:style w:type="paragraph" w:styleId="1231" w:customStyle="1">
    <w:name w:val="页眉1"/>
    <w:basedOn w:val="119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32" w:customStyle="1">
    <w:name w:val="标题 31"/>
    <w:basedOn w:val="1194"/>
    <w:next w:val="119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1233" w:customStyle="1">
    <w:name w:val="标题 21"/>
    <w:basedOn w:val="1194"/>
    <w:next w:val="1194"/>
    <w:uiPriority w:val="9"/>
    <w:qFormat/>
    <w:pPr>
      <w:keepLines/>
      <w:keepNext/>
      <w:spacing w:before="260" w:after="260" w:line="413" w:lineRule="auto"/>
      <w:outlineLvl w:val="1"/>
    </w:pPr>
    <w:rPr>
      <w:rFonts w:ascii="Arial" w:hAnsi="Arial" w:eastAsia="黑体"/>
      <w:b/>
      <w:bCs/>
      <w:sz w:val="32"/>
      <w:szCs w:val="32"/>
    </w:rPr>
  </w:style>
  <w:style w:type="paragraph" w:styleId="1234" w:customStyle="1">
    <w:name w:val="页脚1"/>
    <w:basedOn w:val="1194"/>
    <w:next w:val="1223"/>
    <w:uiPriority w:val="99"/>
    <w:unhideWhenUsed/>
    <w:qFormat/>
    <w:pPr>
      <w:jc w:val="left"/>
      <w:tabs>
        <w:tab w:val="center" w:pos="4153" w:leader="none"/>
        <w:tab w:val="right" w:pos="8306" w:leader="none"/>
      </w:tabs>
    </w:pPr>
    <w:rPr>
      <w:sz w:val="18"/>
      <w:szCs w:val="18"/>
    </w:rPr>
  </w:style>
  <w:style w:type="paragraph" w:styleId="1235" w:customStyle="1">
    <w:name w:val="02-标书-标题2"/>
    <w:uiPriority w:val="0"/>
    <w:qFormat/>
    <w:pPr>
      <w:numPr>
        <w:ilvl w:val="1"/>
        <w:numId w:val="2"/>
      </w:numPr>
      <w:spacing w:line="360" w:lineRule="auto"/>
      <w:outlineLvl w:val="1"/>
    </w:pPr>
    <w:rPr>
      <w:rFonts w:ascii="黑体" w:hAnsi="宋体" w:eastAsia="黑体" w:cs="Calibri"/>
      <w:sz w:val="32"/>
      <w:szCs w:val="28"/>
      <w:lang w:val="en-US" w:eastAsia="zh-CN" w:bidi="ar-SA"/>
    </w:rPr>
  </w:style>
  <w:style w:type="paragraph" w:styleId="1236">
    <w:name w:val="List Paragraph"/>
    <w:basedOn w:val="1194"/>
    <w:uiPriority w:val="0"/>
    <w:qFormat/>
    <w:pPr>
      <w:ind w:firstLine="420"/>
    </w:pPr>
    <w:rPr>
      <w:rFonts w:ascii="Times New Roman" w:hAnsi="Times New Roman" w:eastAsia="宋体"/>
      <w:szCs w:val="21"/>
    </w:rPr>
  </w:style>
  <w:style w:type="paragraph" w:styleId="1237" w:customStyle="1">
    <w:name w:val="正文无缩进"/>
    <w:basedOn w:val="1194"/>
    <w:uiPriority w:val="0"/>
    <w:qFormat/>
    <w:pPr>
      <w:keepLines/>
      <w:keepNext/>
    </w:pPr>
    <w:rPr>
      <w:rFonts w:ascii="Arial" w:hAnsi="Arial"/>
      <w:bCs/>
      <w:color w:val="000000"/>
      <w:szCs w:val="32"/>
    </w:rPr>
  </w:style>
  <w:style w:type="paragraph" w:styleId="1238" w:customStyle="1">
    <w:name w:val="三级目录"/>
    <w:next w:val="1194"/>
    <w:uiPriority w:val="99"/>
    <w:qFormat/>
    <w:pPr>
      <w:ind w:firstLine="420"/>
    </w:pPr>
    <w:rPr>
      <w:rFonts w:ascii="Times New Roman" w:hAnsi="Times New Roman" w:eastAsia="宋体" w:cs="Times New Roman"/>
      <w:b/>
      <w:bCs/>
      <w:sz w:val="24"/>
      <w:szCs w:val="24"/>
      <w:lang w:val="en-US" w:eastAsia="zh-CN" w:bidi="ar-SA"/>
    </w:rPr>
  </w:style>
  <w:style w:type="character" w:styleId="1239" w:customStyle="1">
    <w:name w:val="font41"/>
    <w:basedOn w:val="1199"/>
    <w:uiPriority w:val="0"/>
    <w:qFormat/>
    <w:rPr>
      <w:rFonts w:hint="eastAsia" w:ascii="宋体" w:hAnsi="宋体" w:eastAsia="宋体" w:cs="宋体"/>
      <w:color w:val="000000"/>
      <w:sz w:val="21"/>
      <w:szCs w:val="21"/>
      <w:u w:val="none"/>
    </w:rPr>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2</cp:revision>
  <dcterms:created xsi:type="dcterms:W3CDTF">2026-06-24T08:16:00Z</dcterms:created>
  <dcterms:modified xsi:type="dcterms:W3CDTF">2026-10-27T06:17:33Z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eyJoZGlkIjoiZGUyYTY1ZjhiZjc3ZTYzZWRkMjI3NWI3NzU4OTNkOTkiLCJ1c2VySWQiOiIxMzc5NjEyNDY0In0=</vt:lpwstr>
  </property>
  <property fmtid="{D5CDD505-2E9C-101B-9397-08002B2CF9AE}" pid="4" name="ICV">
    <vt:lpwstr>38FB8ED3DEF9463FB87CF900EFDC1BB4_13</vt:lpwstr>
  </property>
</Properties>
</file>