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jc w:val="center"/>
        <w:rPr>
          <w:rFonts w:ascii="Times New Roman" w:eastAsia="宋体" w:cs="Times New Roman"/>
          <w:b/>
          <w:bCs/>
          <w:color w:val="auto"/>
          <w:sz w:val="84"/>
          <w:szCs w:val="84"/>
        </w:rPr>
      </w:pPr>
      <w:r/>
      <w:bookmarkStart w:id="0" w:name="_Toc383587456"/>
      <w:r/>
      <w:bookmarkStart w:id="1" w:name="_Toc383623672"/>
      <w:r/>
      <w:bookmarkStart w:id="2" w:name="_Toc390246905"/>
      <w:r/>
      <w:bookmarkStart w:id="3" w:name="_Toc383679746"/>
      <w:r/>
      <w:bookmarkStart w:id="4" w:name="_Toc426469868"/>
      <w:r/>
      <w:bookmarkStart w:id="5" w:name="_Toc390099018"/>
      <w:r/>
      <w:bookmarkStart w:id="6" w:name="_Toc383623944"/>
      <w:r/>
      <w:bookmarkStart w:id="7" w:name="_Toc383625993"/>
      <w:r/>
      <w:bookmarkStart w:id="8" w:name="_Toc390098840"/>
      <w:r/>
      <w:bookmarkStart w:id="9" w:name="_Toc383698647"/>
      <w:r/>
      <w:bookmarkStart w:id="10" w:name="OLE_LINK50"/>
      <w:r/>
      <w:bookmarkStart w:id="11" w:name="OLE_LINK51"/>
      <w:r/>
      <w:r/>
    </w:p>
    <w:p>
      <w:pPr>
        <w:pStyle w:val="901"/>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90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90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90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rPr>
          <w:rFonts w:hint="eastAsia"/>
        </w:rPr>
      </w:pPr>
      <w:r>
        <w:rPr>
          <w:rFonts w:hint="eastAsia"/>
        </w:rPr>
      </w:r>
      <w:r/>
    </w:p>
    <w:p>
      <w:pPr>
        <w:pStyle w:val="90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ind w:firstLine="1205"/>
        <w:widowControl/>
        <w:rPr>
          <w:b/>
          <w:bCs/>
          <w:sz w:val="30"/>
          <w:szCs w:val="30"/>
        </w:rPr>
      </w:pPr>
      <w:r>
        <w:rPr>
          <w:b/>
          <w:bCs/>
          <w:sz w:val="30"/>
          <w:szCs w:val="30"/>
        </w:rPr>
        <w:t xml:space="preserve">项目名称</w:t>
      </w:r>
      <w:r>
        <w:rPr>
          <w:sz w:val="30"/>
          <w:szCs w:val="30"/>
        </w:rPr>
        <w:t xml:space="preserve">：</w:t>
      </w:r>
      <w:bookmarkStart w:id="12" w:name="OLE_LINK15"/>
      <w:r/>
      <w:bookmarkStart w:id="13" w:name="OLE_LINK20"/>
      <w:r>
        <w:rPr>
          <w:rFonts w:hint="eastAsia"/>
          <w:b/>
          <w:bCs/>
          <w:sz w:val="30"/>
          <w:szCs w:val="30"/>
        </w:rPr>
        <w:t xml:space="preserve">路灯管理控制系统建设（三期）项目</w:t>
      </w:r>
      <w:bookmarkEnd w:id="12"/>
      <w:r/>
      <w:bookmarkEnd w:id="13"/>
      <w:r/>
      <w:r/>
    </w:p>
    <w:p>
      <w:pPr>
        <w:pStyle w:val="882"/>
        <w:rPr>
          <w:sz w:val="30"/>
          <w:szCs w:val="30"/>
        </w:rPr>
      </w:pPr>
      <w:r>
        <w:rPr>
          <w:sz w:val="30"/>
          <w:szCs w:val="30"/>
        </w:rPr>
      </w:r>
      <w:r/>
    </w:p>
    <w:p>
      <w:pPr>
        <w:ind w:firstLine="1205"/>
        <w:widowControl/>
        <w:rPr>
          <w:b/>
          <w:bCs/>
          <w:sz w:val="30"/>
          <w:szCs w:val="30"/>
        </w:rPr>
      </w:pPr>
      <w:r>
        <w:rPr>
          <w:b/>
          <w:bCs/>
          <w:sz w:val="30"/>
          <w:szCs w:val="30"/>
        </w:rPr>
        <w:t xml:space="preserve">项目编号：</w:t>
      </w:r>
      <w:r>
        <w:rPr>
          <w:b/>
          <w:bCs/>
          <w:sz w:val="30"/>
          <w:szCs w:val="30"/>
        </w:rPr>
        <w:t xml:space="preserve">JSZC-321283-RTZX-G2026-0017</w:t>
      </w:r>
      <w:r/>
    </w:p>
    <w:p>
      <w:pPr>
        <w:pStyle w:val="90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0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0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0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90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929"/>
        <w:ind w:firstLine="0"/>
        <w:jc w:val="center"/>
        <w:spacing w:before="0" w:after="0" w:line="600" w:lineRule="exact"/>
        <w:rPr>
          <w:rFonts w:ascii="宋体" w:hAnsi="宋体" w:cs="宋体"/>
          <w:b/>
          <w:bCs/>
          <w:sz w:val="30"/>
          <w:szCs w:val="30"/>
        </w:rPr>
      </w:pPr>
      <w:r/>
      <w:bookmarkStart w:id="14" w:name="OLE_LINK24"/>
      <w:r/>
      <w:bookmarkStart w:id="15" w:name="OLE_LINK42"/>
      <w:r>
        <w:rPr>
          <w:rFonts w:hint="eastAsia" w:ascii="宋体" w:hAnsi="宋体" w:cs="宋体"/>
          <w:b/>
          <w:bCs/>
          <w:sz w:val="30"/>
          <w:szCs w:val="30"/>
        </w:rPr>
        <w:t xml:space="preserve">泰兴市路灯照明服务中心</w:t>
      </w:r>
      <w:bookmarkEnd w:id="14"/>
      <w:r/>
      <w:bookmarkEnd w:id="15"/>
      <w:r/>
      <w:r/>
    </w:p>
    <w:p>
      <w:pPr>
        <w:pStyle w:val="929"/>
        <w:ind w:firstLine="0"/>
        <w:jc w:val="center"/>
        <w:spacing w:before="0" w:after="0" w:line="600" w:lineRule="exact"/>
        <w:rPr>
          <w:rFonts w:ascii="宋体" w:hAnsi="宋体" w:cs="宋体"/>
          <w:b/>
          <w:bCs/>
          <w:sz w:val="30"/>
          <w:szCs w:val="30"/>
        </w:rPr>
      </w:pPr>
      <w:r>
        <w:rPr>
          <w:rFonts w:hint="eastAsia" w:ascii="宋体" w:hAnsi="宋体" w:cs="宋体"/>
          <w:b/>
          <w:bCs/>
          <w:sz w:val="30"/>
          <w:szCs w:val="30"/>
        </w:rPr>
        <w:t xml:space="preserve">江苏润泰工程项目管理咨询有限公司</w:t>
      </w:r>
      <w:r/>
    </w:p>
    <w:p>
      <w:pPr>
        <w:pStyle w:val="929"/>
        <w:ind w:firstLine="0"/>
        <w:jc w:val="center"/>
        <w:spacing w:before="0" w:after="0" w:line="600" w:lineRule="exact"/>
        <w:rPr>
          <w:rFonts w:ascii="宋体" w:hAnsi="宋体" w:cs="宋体"/>
          <w:b/>
          <w:bCs/>
          <w:sz w:val="30"/>
          <w:szCs w:val="30"/>
        </w:rPr>
      </w:pPr>
      <w:r>
        <w:rPr>
          <w:rFonts w:hint="eastAsia" w:ascii="宋体" w:hAnsi="宋体" w:cs="宋体"/>
          <w:b/>
          <w:bCs/>
          <w:sz w:val="30"/>
          <w:szCs w:val="30"/>
        </w:rPr>
        <w:t xml:space="preserve">二○二六年十月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Start w:id="16" w:name="OLE_LINK126"/>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896"/>
        <w:tblW w:w="0" w:type="auto"/>
        <w:tblInd w:w="143" w:type="dxa"/>
        <w:tblLook w:val="04A0" w:firstRow="1" w:lastRow="0" w:firstColumn="1" w:lastColumn="0" w:noHBand="0" w:noVBand="1"/>
      </w:tblPr>
      <w:tblGrid>
        <w:gridCol w:w="8719"/>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rPr>
                <w:rFonts w:hint="eastAsia" w:ascii="宋体" w:hAnsi="宋体" w:cs="宋体"/>
                <w:sz w:val="28"/>
                <w:szCs w:val="28"/>
                <w:u w:val="single"/>
              </w:rPr>
              <w:t xml:space="preserve">路灯管理控制系统建设（三期）</w:t>
            </w:r>
            <w:r>
              <w:rPr>
                <w:rFonts w:hint="eastAsia" w:ascii="宋体" w:hAnsi="宋体" w:cs="宋体"/>
                <w:sz w:val="28"/>
                <w:szCs w:val="28"/>
              </w:rPr>
              <w:t xml:space="preserve">招标项目的潜在投标人应在苏采云获取招标文件，并于</w:t>
            </w:r>
            <w:bookmarkStart w:id="17" w:name="OLE_LINK5"/>
            <w:r/>
            <w:bookmarkStart w:id="18" w:name="OLE_LINK6"/>
            <w:r>
              <w:rPr>
                <w:rFonts w:hint="eastAsia" w:ascii="宋体" w:hAnsi="宋体" w:cs="宋体"/>
                <w:sz w:val="28"/>
                <w:szCs w:val="28"/>
                <w:u w:val="single"/>
              </w:rPr>
              <w:t xml:space="preserve">2026-</w:t>
            </w:r>
            <w:r>
              <w:rPr>
                <w:rFonts w:ascii="宋体" w:hAnsi="宋体" w:cs="宋体"/>
                <w:sz w:val="28"/>
                <w:szCs w:val="28"/>
                <w:u w:val="single"/>
              </w:rPr>
              <w:t xml:space="preserve">11</w:t>
            </w:r>
            <w:r>
              <w:rPr>
                <w:rFonts w:hint="eastAsia" w:ascii="宋体" w:hAnsi="宋体" w:cs="宋体"/>
                <w:sz w:val="28"/>
                <w:szCs w:val="28"/>
                <w:u w:val="single"/>
              </w:rPr>
              <w:t xml:space="preserve">-</w:t>
            </w:r>
            <w:r>
              <w:rPr>
                <w:rFonts w:ascii="宋体" w:hAnsi="宋体" w:cs="宋体"/>
                <w:sz w:val="28"/>
                <w:szCs w:val="28"/>
                <w:u w:val="single"/>
              </w:rPr>
              <w:t xml:space="preserve">24</w:t>
            </w:r>
            <w:r>
              <w:rPr>
                <w:rFonts w:ascii="宋体" w:hAnsi="宋体" w:cs="宋体"/>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t xml:space="preserve">9</w:t>
            </w:r>
            <w:r>
              <w:rPr>
                <w:rFonts w:hint="eastAsia" w:ascii="宋体" w:hAnsi="宋体" w:cs="宋体"/>
                <w:sz w:val="28"/>
                <w:szCs w:val="28"/>
                <w:u w:val="single"/>
              </w:rPr>
              <w:t xml:space="preserve">:</w:t>
            </w:r>
            <w:r>
              <w:rPr>
                <w:rFonts w:ascii="宋体" w:hAnsi="宋体" w:cs="宋体"/>
                <w:sz w:val="28"/>
                <w:szCs w:val="28"/>
                <w:u w:val="single"/>
              </w:rPr>
              <w:t xml:space="preserve">0</w:t>
            </w:r>
            <w:r>
              <w:rPr>
                <w:rFonts w:hint="eastAsia" w:ascii="宋体" w:hAnsi="宋体" w:cs="宋体"/>
                <w:sz w:val="28"/>
                <w:szCs w:val="28"/>
                <w:u w:val="single"/>
              </w:rPr>
              <w:t xml:space="preserve">0</w:t>
            </w:r>
            <w:bookmarkEnd w:id="17"/>
            <w:r/>
            <w:bookmarkEnd w:id="18"/>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w:t>
      </w:r>
      <w:bookmarkStart w:id="19" w:name="_GoBack"/>
      <w:r/>
      <w:bookmarkEnd w:id="19"/>
      <w:r>
        <w:rPr>
          <w:rFonts w:ascii="宋体" w:hAnsi="宋体" w:cs="宋体"/>
          <w:sz w:val="28"/>
          <w:szCs w:val="28"/>
        </w:rPr>
        <w:t xml:space="preserve">RTZX-G2026-0017</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w:t>
      </w:r>
      <w:bookmarkStart w:id="20" w:name="OLE_LINK22"/>
      <w:r/>
      <w:bookmarkStart w:id="21" w:name="OLE_LINK23"/>
      <w:r>
        <w:rPr>
          <w:rFonts w:hint="eastAsia" w:ascii="宋体" w:hAnsi="宋体" w:cs="宋体"/>
          <w:sz w:val="28"/>
          <w:szCs w:val="28"/>
        </w:rPr>
        <w:t xml:space="preserve">路灯管理控制系统建设（三期）项目</w:t>
      </w:r>
      <w:bookmarkEnd w:id="20"/>
      <w:r/>
      <w:bookmarkEnd w:id="21"/>
      <w:r/>
      <w:r/>
    </w:p>
    <w:p>
      <w:pPr>
        <w:ind w:firstLine="560"/>
        <w:spacing w:line="540" w:lineRule="exact"/>
        <w:rPr>
          <w:rFonts w:ascii="宋体" w:hAnsi="宋体" w:cs="宋体"/>
          <w:sz w:val="28"/>
          <w:szCs w:val="28"/>
        </w:rPr>
      </w:pPr>
      <w:r/>
      <w:bookmarkStart w:id="22" w:name="OLE_LINK60"/>
      <w:r/>
      <w:bookmarkStart w:id="23" w:name="OLE_LINK59"/>
      <w:r/>
      <w:bookmarkStart w:id="24" w:name="OLE_LINK3"/>
      <w:r/>
      <w:bookmarkStart w:id="25" w:name="OLE_LINK1"/>
      <w:r>
        <w:rPr>
          <w:rFonts w:hint="eastAsia" w:ascii="宋体" w:hAnsi="宋体" w:cs="宋体"/>
          <w:sz w:val="28"/>
          <w:szCs w:val="28"/>
        </w:rPr>
        <w:t xml:space="preserve">预算金额：</w:t>
      </w:r>
      <w:bookmarkStart w:id="26" w:name="OLE_LINK43"/>
      <w:r/>
      <w:bookmarkStart w:id="27" w:name="OLE_LINK44"/>
      <w:r>
        <w:rPr>
          <w:rFonts w:hint="eastAsia" w:ascii="宋体" w:hAnsi="宋体" w:cs="宋体"/>
          <w:sz w:val="28"/>
          <w:szCs w:val="28"/>
        </w:rPr>
        <w:t xml:space="preserve">328.44</w:t>
      </w:r>
      <w:bookmarkEnd w:id="26"/>
      <w:r/>
      <w:bookmarkEnd w:id="27"/>
      <w:r>
        <w:rPr>
          <w:rFonts w:hint="eastAsia" w:ascii="宋体" w:hAnsi="宋体" w:cs="宋体"/>
          <w:sz w:val="28"/>
          <w:szCs w:val="28"/>
        </w:rPr>
        <w:t xml:space="preserve">万元</w:t>
      </w:r>
      <w:bookmarkEnd w:id="22"/>
      <w:r/>
      <w:bookmarkEnd w:id="23"/>
      <w:r/>
      <w:r/>
    </w:p>
    <w:p>
      <w:pPr>
        <w:ind w:firstLine="560"/>
        <w:spacing w:line="540" w:lineRule="exact"/>
        <w:rPr>
          <w:rFonts w:ascii="宋体" w:hAnsi="宋体" w:cs="宋体"/>
          <w:sz w:val="28"/>
          <w:szCs w:val="28"/>
        </w:rPr>
      </w:pPr>
      <w:r>
        <w:rPr>
          <w:rFonts w:hint="eastAsia" w:ascii="宋体" w:hAnsi="宋体" w:cs="宋体"/>
          <w:sz w:val="28"/>
          <w:szCs w:val="28"/>
        </w:rPr>
        <w:t xml:space="preserve">最高限价：</w:t>
      </w:r>
      <w:bookmarkStart w:id="28" w:name="OLE_LINK104"/>
      <w:r/>
      <w:bookmarkStart w:id="29" w:name="OLE_LINK105"/>
      <w:r>
        <w:rPr>
          <w:rFonts w:hint="eastAsia" w:ascii="宋体" w:hAnsi="宋体" w:cs="宋体"/>
          <w:sz w:val="28"/>
          <w:szCs w:val="28"/>
        </w:rPr>
        <w:t xml:space="preserve">328.44万元，投标报价不得超过采购预算价，否则作无效标处理。</w:t>
      </w:r>
      <w:bookmarkEnd w:id="24"/>
      <w:r/>
      <w:bookmarkEnd w:id="25"/>
      <w:r/>
      <w:bookmarkEnd w:id="28"/>
      <w:r/>
      <w:bookmarkEnd w:id="29"/>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w:t>
      </w:r>
      <w:bookmarkStart w:id="30" w:name="OLE_LINK101"/>
      <w:r/>
      <w:bookmarkStart w:id="31" w:name="OLE_LINK10"/>
      <w:r/>
      <w:bookmarkStart w:id="32" w:name="OLE_LINK139"/>
      <w:r/>
      <w:bookmarkStart w:id="33" w:name="OLE_LINK9"/>
      <w:r>
        <w:rPr>
          <w:rFonts w:hint="eastAsia" w:ascii="宋体" w:hAnsi="宋体" w:cs="宋体"/>
          <w:sz w:val="28"/>
          <w:szCs w:val="28"/>
        </w:rPr>
        <w:t xml:space="preserve">路灯单灯控制器、单灯控制器物联网卡、集中控制器、集中控制器物联网卡、路灯箱变更新、光照传感器、光照传感器物联网卡、服务期、视频存储器、更新升级APP程序等设备采购、安装、调试及售后服务等（具体详见技术标准和要求）。</w:t>
      </w:r>
      <w:bookmarkEnd w:id="30"/>
      <w:r/>
      <w:bookmarkEnd w:id="31"/>
      <w:r/>
      <w:bookmarkEnd w:id="32"/>
      <w:r/>
      <w:bookmarkEnd w:id="33"/>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w:t>
      </w:r>
      <w:bookmarkStart w:id="34" w:name="OLE_LINK133"/>
      <w:r/>
      <w:bookmarkStart w:id="35" w:name="OLE_LINK112"/>
      <w:r/>
      <w:bookmarkStart w:id="36" w:name="OLE_LINK134"/>
      <w:r/>
      <w:bookmarkStart w:id="37" w:name="OLE_LINK106"/>
      <w:r/>
      <w:bookmarkStart w:id="38" w:name="OLE_LINK107"/>
      <w:r>
        <w:rPr>
          <w:rFonts w:hint="eastAsia" w:ascii="宋体" w:hAnsi="宋体" w:cs="宋体"/>
          <w:sz w:val="28"/>
          <w:szCs w:val="28"/>
        </w:rPr>
        <w:t xml:space="preserve">合同签订后60日历天内供货到甲方指定的现场并安装调试完毕验收合格。</w:t>
      </w:r>
      <w:bookmarkEnd w:id="34"/>
      <w:r/>
      <w:bookmarkEnd w:id="35"/>
      <w:r/>
      <w:bookmarkEnd w:id="36"/>
      <w:r/>
      <w:bookmarkEnd w:id="37"/>
      <w:r/>
      <w:bookmarkEnd w:id="38"/>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w:t>
      </w:r>
      <w:r/>
    </w:p>
    <w:p>
      <w:pPr>
        <w:spacing w:line="540" w:lineRule="exact"/>
        <w:rPr>
          <w:rFonts w:ascii="宋体" w:hAnsi="宋体" w:cs="宋体"/>
          <w:b/>
          <w:sz w:val="28"/>
          <w:szCs w:val="28"/>
        </w:rPr>
      </w:pPr>
      <w:r/>
      <w:bookmarkStart w:id="39" w:name="_Toc28359003"/>
      <w:r/>
      <w:bookmarkStart w:id="40" w:name="_Toc35393791"/>
      <w:r/>
      <w:bookmarkStart w:id="41" w:name="_Toc35393622"/>
      <w:r/>
      <w:bookmarkStart w:id="42" w:name="_Toc28359080"/>
      <w:r>
        <w:rPr>
          <w:rFonts w:hint="eastAsia" w:ascii="宋体" w:hAnsi="宋体" w:cs="宋体"/>
          <w:b/>
          <w:sz w:val="28"/>
          <w:szCs w:val="28"/>
        </w:rPr>
        <w:t xml:space="preserve">二、申请人的资格要求：</w:t>
      </w:r>
      <w:bookmarkEnd w:id="39"/>
      <w:r/>
      <w:bookmarkEnd w:id="40"/>
      <w:r/>
      <w:bookmarkEnd w:id="41"/>
      <w:r/>
      <w:bookmarkEnd w:id="42"/>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bookmarkStart w:id="43" w:name="OLE_LINK19"/>
      <w:r/>
      <w:bookmarkStart w:id="44" w:name="OLE_LINK18"/>
      <w:r>
        <w:rPr>
          <w:rFonts w:hint="eastAsia" w:ascii="宋体" w:hAnsi="宋体" w:cs="宋体"/>
          <w:sz w:val="28"/>
          <w:szCs w:val="28"/>
        </w:rPr>
        <w:t xml:space="preserve">基本资格条件的承诺（根据投标人提供的承诺函，内容完整且具有法人及法定代表人的印章）。</w:t>
      </w:r>
      <w:bookmarkEnd w:id="43"/>
      <w:r/>
      <w:bookmarkEnd w:id="44"/>
      <w:r/>
      <w:r/>
    </w:p>
    <w:p>
      <w:pPr>
        <w:ind w:firstLine="560"/>
        <w:spacing w:line="540" w:lineRule="exact"/>
        <w:rPr>
          <w:rFonts w:ascii="宋体" w:hAnsi="宋体" w:cs="宋体"/>
          <w:sz w:val="28"/>
          <w:szCs w:val="28"/>
        </w:rPr>
      </w:pPr>
      <w:r/>
      <w:bookmarkStart w:id="45" w:name="_Toc28359004"/>
      <w:r/>
      <w:bookmarkStart w:id="46" w:name="_Toc28359081"/>
      <w:r>
        <w:rPr>
          <w:rFonts w:hint="eastAsia" w:ascii="宋体" w:hAnsi="宋体" w:cs="宋体"/>
          <w:sz w:val="28"/>
          <w:szCs w:val="28"/>
        </w:rPr>
        <w:t xml:space="preserve">（二）落实政府采购政策需满足的资格要求：</w:t>
      </w:r>
      <w:bookmarkStart w:id="47" w:name="OLE_LINK52"/>
      <w:r/>
      <w:bookmarkStart w:id="48" w:name="OLE_LINK16"/>
      <w:r/>
      <w:bookmarkStart w:id="49" w:name="OLE_LINK17"/>
      <w:r/>
      <w:bookmarkStart w:id="50" w:name="OLE_LINK4"/>
      <w:r/>
      <w:bookmarkStart w:id="51" w:name="OLE_LINK7"/>
      <w:r>
        <w:rPr>
          <w:rFonts w:hint="eastAsia" w:ascii="宋体" w:hAnsi="宋体" w:cs="宋体"/>
          <w:sz w:val="28"/>
          <w:szCs w:val="28"/>
        </w:rPr>
        <w:t xml:space="preserve">本项目为专门面向中小企业的项目。</w:t>
      </w:r>
      <w:bookmarkEnd w:id="47"/>
      <w:r/>
      <w:bookmarkEnd w:id="48"/>
      <w:r/>
      <w:bookmarkEnd w:id="49"/>
      <w:r/>
      <w:r/>
    </w:p>
    <w:p>
      <w:pPr>
        <w:ind w:firstLine="560"/>
        <w:spacing w:line="540" w:lineRule="exact"/>
        <w:rPr>
          <w:rFonts w:ascii="宋体" w:hAnsi="宋体" w:cs="宋体"/>
          <w:sz w:val="28"/>
          <w:szCs w:val="28"/>
        </w:rPr>
      </w:pPr>
      <w:r/>
      <w:bookmarkStart w:id="52" w:name="_Toc28359085"/>
      <w:r/>
      <w:bookmarkStart w:id="53" w:name="_Toc28359008"/>
      <w:r/>
      <w:bookmarkStart w:id="54" w:name="_Toc35393796"/>
      <w:r/>
      <w:bookmarkStart w:id="55" w:name="_Toc35393627"/>
      <w:r/>
      <w:bookmarkEnd w:id="45"/>
      <w:r/>
      <w:bookmarkEnd w:id="46"/>
      <w:r/>
      <w:bookmarkEnd w:id="50"/>
      <w:r/>
      <w:bookmarkEnd w:id="51"/>
      <w:r>
        <w:rPr>
          <w:rFonts w:hint="eastAsia" w:ascii="宋体" w:hAnsi="宋体" w:cs="宋体"/>
          <w:sz w:val="28"/>
          <w:szCs w:val="28"/>
        </w:rPr>
        <w:t xml:space="preserve">（三）本项目的特定资格要求：</w:t>
      </w:r>
      <w:r/>
    </w:p>
    <w:p>
      <w:pPr>
        <w:ind w:firstLine="560"/>
        <w:spacing w:line="540" w:lineRule="exact"/>
        <w:rPr>
          <w:rFonts w:ascii="宋体" w:hAnsi="宋体" w:cs="宋体"/>
          <w:sz w:val="28"/>
          <w:szCs w:val="28"/>
        </w:rPr>
      </w:pPr>
      <w:r/>
      <w:bookmarkStart w:id="56" w:name="OLE_LINK57"/>
      <w:r>
        <w:rPr>
          <w:rFonts w:hint="eastAsia" w:ascii="宋体" w:hAnsi="宋体" w:cs="宋体"/>
          <w:sz w:val="28"/>
          <w:szCs w:val="28"/>
        </w:rPr>
        <w:t xml:space="preserve">投标人须承诺本次投标的单灯控制、集控、光感和服务器等能无缝对接至泰兴市路灯管理控制系统平台。</w:t>
      </w:r>
      <w:bookmarkStart w:id="57" w:name="OLE_LINK26"/>
      <w:r/>
      <w:bookmarkStart w:id="58" w:name="OLE_LINK25"/>
      <w:r/>
      <w:bookmarkEnd w:id="56"/>
      <w:r/>
      <w:bookmarkEnd w:id="57"/>
      <w:r/>
      <w:bookmarkEnd w:id="58"/>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时间：2026-</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2</w:t>
      </w:r>
      <w:r>
        <w:rPr>
          <w:rFonts w:hint="eastAsia" w:ascii="宋体" w:hAnsi="宋体" w:cs="宋体"/>
          <w:sz w:val="28"/>
          <w:szCs w:val="28"/>
        </w:rPr>
        <w:t xml:space="preserve">－2026-</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6</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59" w:name="_Toc28359082"/>
      <w:r/>
      <w:bookmarkStart w:id="60" w:name="_Toc28359005"/>
      <w:r/>
      <w:bookmarkStart w:id="61" w:name="_Toc35393624"/>
      <w:r/>
      <w:bookmarkStart w:id="62" w:name="_Toc35393793"/>
      <w:r>
        <w:rPr>
          <w:rFonts w:hint="eastAsia" w:ascii="宋体" w:hAnsi="宋体" w:cs="宋体"/>
          <w:b/>
          <w:sz w:val="28"/>
          <w:szCs w:val="28"/>
        </w:rPr>
        <w:t xml:space="preserve">四、提交投标文件</w:t>
      </w:r>
      <w:bookmarkEnd w:id="59"/>
      <w:r/>
      <w:bookmarkEnd w:id="60"/>
      <w:r>
        <w:rPr>
          <w:rFonts w:hint="eastAsia" w:ascii="宋体" w:hAnsi="宋体" w:cs="宋体"/>
          <w:b/>
          <w:sz w:val="28"/>
          <w:szCs w:val="28"/>
        </w:rPr>
        <w:t xml:space="preserve">截止时间、开标时间和地点</w:t>
      </w:r>
      <w:bookmarkEnd w:id="61"/>
      <w:r/>
      <w:bookmarkEnd w:id="62"/>
      <w:r/>
      <w:r/>
    </w:p>
    <w:p>
      <w:pPr>
        <w:ind w:firstLine="560"/>
        <w:spacing w:line="540" w:lineRule="exact"/>
        <w:rPr>
          <w:rFonts w:ascii="宋体" w:hAnsi="宋体" w:cs="宋体"/>
          <w:sz w:val="28"/>
          <w:szCs w:val="28"/>
        </w:rPr>
      </w:pPr>
      <w:r>
        <w:rPr>
          <w:rFonts w:hint="eastAsia" w:ascii="宋体" w:hAnsi="宋体" w:cs="宋体"/>
          <w:sz w:val="28"/>
          <w:szCs w:val="28"/>
        </w:rPr>
        <w:t xml:space="preserve">时间：2026-1</w:t>
      </w:r>
      <w:r>
        <w:rPr>
          <w:rFonts w:ascii="宋体" w:hAnsi="宋体" w:cs="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24 </w:t>
      </w:r>
      <w:r>
        <w:rPr>
          <w:rFonts w:hint="eastAsia" w:ascii="宋体" w:hAnsi="宋体" w:cs="宋体"/>
          <w:sz w:val="28"/>
          <w:szCs w:val="28"/>
        </w:rPr>
        <w:t xml:space="preserve"> </w:t>
      </w:r>
      <w:r>
        <w:rPr>
          <w:rFonts w:ascii="宋体" w:hAnsi="宋体" w:cs="宋体"/>
          <w:sz w:val="28"/>
          <w:szCs w:val="28"/>
        </w:rPr>
        <w:t xml:space="preserve">9</w:t>
      </w:r>
      <w:r>
        <w:rPr>
          <w:rFonts w:hint="eastAsia" w:ascii="宋体" w:hAnsi="宋体" w:cs="宋体"/>
          <w:sz w:val="28"/>
          <w:szCs w:val="28"/>
        </w:rPr>
        <w:t xml:space="preserve">:</w:t>
      </w:r>
      <w:r>
        <w:rPr>
          <w:rFonts w:ascii="宋体" w:hAnsi="宋体" w:cs="宋体"/>
          <w:sz w:val="28"/>
          <w:szCs w:val="28"/>
        </w:rPr>
        <w:t xml:space="preserve">00</w:t>
      </w:r>
      <w:r>
        <w:rPr>
          <w:rFonts w:hint="eastAsia" w:ascii="宋体" w:hAnsi="宋体" w:cs="宋体"/>
          <w:sz w:val="28"/>
          <w:szCs w:val="28"/>
        </w:rPr>
        <w:t xml:space="preserve">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地点：苏采云。</w:t>
      </w:r>
      <w:r/>
    </w:p>
    <w:p>
      <w:pPr>
        <w:spacing w:line="540" w:lineRule="exact"/>
        <w:rPr>
          <w:rFonts w:ascii="宋体" w:hAnsi="宋体" w:cs="宋体"/>
          <w:b/>
          <w:sz w:val="28"/>
          <w:szCs w:val="28"/>
        </w:rPr>
      </w:pPr>
      <w:r/>
      <w:bookmarkStart w:id="63" w:name="_Toc28359007"/>
      <w:r/>
      <w:bookmarkStart w:id="64" w:name="_Toc35393794"/>
      <w:r/>
      <w:bookmarkStart w:id="65" w:name="_Toc28359084"/>
      <w:r/>
      <w:bookmarkStart w:id="66" w:name="_Toc35393625"/>
      <w:r>
        <w:rPr>
          <w:rFonts w:hint="eastAsia" w:ascii="宋体" w:hAnsi="宋体" w:cs="宋体"/>
          <w:b/>
          <w:sz w:val="28"/>
          <w:szCs w:val="28"/>
        </w:rPr>
        <w:t xml:space="preserve">五、公告期限</w:t>
      </w:r>
      <w:bookmarkEnd w:id="63"/>
      <w:r/>
      <w:bookmarkEnd w:id="64"/>
      <w:r/>
      <w:bookmarkEnd w:id="65"/>
      <w:r/>
      <w:bookmarkEnd w:id="66"/>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67" w:name="_Toc35393626"/>
      <w:r/>
      <w:bookmarkStart w:id="68" w:name="_Toc35393795"/>
      <w:r>
        <w:rPr>
          <w:rFonts w:hint="eastAsia" w:ascii="宋体" w:hAnsi="宋体" w:cs="宋体"/>
          <w:b/>
          <w:sz w:val="28"/>
          <w:szCs w:val="28"/>
        </w:rPr>
        <w:t xml:space="preserve">六、其他补充事宜</w:t>
      </w:r>
      <w:bookmarkEnd w:id="67"/>
      <w:r/>
      <w:bookmarkEnd w:id="68"/>
      <w:r/>
      <w:r/>
    </w:p>
    <w:p>
      <w:pPr>
        <w:ind w:firstLine="560"/>
        <w:spacing w:line="540" w:lineRule="exact"/>
        <w:rPr>
          <w:rFonts w:ascii="宋体" w:hAnsi="宋体" w:cs="宋体"/>
          <w:sz w:val="28"/>
          <w:szCs w:val="28"/>
        </w:rPr>
      </w:pPr>
      <w:r/>
      <w:bookmarkStart w:id="69" w:name="OLE_LINK102"/>
      <w:r/>
      <w:bookmarkStart w:id="70" w:name="OLE_LINK103"/>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bookmarkEnd w:id="69"/>
      <w:r/>
      <w:bookmarkEnd w:id="70"/>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52"/>
      <w:r/>
      <w:bookmarkEnd w:id="53"/>
      <w:r/>
      <w:bookmarkEnd w:id="54"/>
      <w:r/>
      <w:bookmarkEnd w:id="55"/>
      <w:r/>
      <w:r/>
    </w:p>
    <w:p>
      <w:pPr>
        <w:ind w:firstLine="560"/>
        <w:jc w:val="left"/>
        <w:spacing w:line="460" w:lineRule="exact"/>
        <w:widowControl/>
        <w:rPr>
          <w:rFonts w:ascii="宋体" w:hAnsi="宋体" w:cs="宋体"/>
          <w:sz w:val="28"/>
          <w:szCs w:val="28"/>
        </w:rPr>
      </w:pPr>
      <w:r/>
      <w:bookmarkStart w:id="71" w:name="_Toc426469869"/>
      <w:r/>
      <w:bookmarkStart w:id="72" w:name="_Toc382812472"/>
      <w:r/>
      <w:bookmarkStart w:id="73" w:name="_Toc16938516"/>
      <w:r/>
      <w:bookmarkStart w:id="74" w:name="_Toc20823272"/>
      <w:r/>
      <w:bookmarkStart w:id="75" w:name="_Toc382813885"/>
      <w:r/>
      <w:bookmarkStart w:id="76" w:name="_Toc523127445"/>
      <w:r/>
      <w:bookmarkStart w:id="77" w:name="_Toc513029200"/>
      <w:r/>
      <w:bookmarkStart w:id="78" w:name="_Toc479757206"/>
      <w:r/>
      <w:bookmarkStart w:id="79" w:name="_Toc382813966"/>
      <w:r/>
      <w:bookmarkEnd w:id="16"/>
      <w:r>
        <w:rPr>
          <w:rFonts w:hint="eastAsia" w:ascii="宋体" w:hAnsi="宋体" w:cs="宋体"/>
          <w:sz w:val="28"/>
          <w:szCs w:val="28"/>
        </w:rPr>
        <w:t xml:space="preserve">1.采购人信息</w:t>
      </w:r>
      <w:r/>
    </w:p>
    <w:p>
      <w:pPr>
        <w:ind w:firstLine="560"/>
        <w:jc w:val="left"/>
        <w:spacing w:line="420" w:lineRule="exact"/>
        <w:widowControl/>
        <w:rPr>
          <w:rFonts w:ascii="宋体" w:hAnsi="宋体" w:cs="宋体"/>
          <w:sz w:val="28"/>
          <w:szCs w:val="28"/>
        </w:rPr>
      </w:pPr>
      <w:r>
        <w:rPr>
          <w:rFonts w:hint="eastAsia" w:ascii="宋体" w:hAnsi="宋体" w:cs="宋体"/>
          <w:sz w:val="28"/>
          <w:szCs w:val="28"/>
        </w:rPr>
        <w:t xml:space="preserve">招标人：</w:t>
      </w:r>
      <w:r>
        <w:rPr>
          <w:rFonts w:hint="eastAsia" w:ascii="宋体" w:hAnsi="宋体" w:cs="宋体"/>
          <w:sz w:val="28"/>
          <w:szCs w:val="28"/>
          <w:u w:val="single"/>
        </w:rPr>
        <w:t xml:space="preserve">泰兴市路灯照明服务中心</w:t>
      </w:r>
      <w:r/>
    </w:p>
    <w:p>
      <w:pPr>
        <w:ind w:firstLine="560"/>
        <w:jc w:val="left"/>
        <w:spacing w:line="420" w:lineRule="exact"/>
        <w:widowControl/>
        <w:rPr>
          <w:rFonts w:ascii="宋体" w:hAnsi="宋体" w:cs="宋体"/>
          <w:sz w:val="28"/>
          <w:szCs w:val="28"/>
        </w:rPr>
      </w:pPr>
      <w:r>
        <w:rPr>
          <w:rFonts w:hint="eastAsia" w:ascii="宋体" w:hAnsi="宋体" w:cs="宋体"/>
          <w:sz w:val="28"/>
          <w:szCs w:val="28"/>
        </w:rPr>
        <w:t xml:space="preserve">地 址：</w:t>
      </w:r>
      <w:r>
        <w:rPr>
          <w:rFonts w:hint="eastAsia" w:ascii="宋体" w:hAnsi="宋体" w:cs="宋体"/>
          <w:sz w:val="28"/>
          <w:szCs w:val="28"/>
          <w:u w:val="single"/>
        </w:rPr>
        <w:t xml:space="preserve">泰兴市国庆西路51号</w:t>
      </w:r>
      <w:r/>
    </w:p>
    <w:p>
      <w:pPr>
        <w:ind w:firstLine="560"/>
        <w:jc w:val="left"/>
        <w:spacing w:line="420" w:lineRule="exact"/>
        <w:widowControl/>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0523-87555222</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2.采购代理机构信息</w:t>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名 称：</w:t>
      </w:r>
      <w:r>
        <w:rPr>
          <w:rFonts w:cs="宋体"/>
          <w:color w:val="auto"/>
          <w:sz w:val="28"/>
          <w:szCs w:val="28"/>
          <w:u w:val="single"/>
        </w:rPr>
        <w:t xml:space="preserve">江苏润泰工程项目管理咨询有限公司</w:t>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地　址：</w:t>
      </w:r>
      <w:r>
        <w:rPr>
          <w:rFonts w:cs="宋体"/>
          <w:color w:val="auto"/>
          <w:sz w:val="28"/>
          <w:szCs w:val="28"/>
          <w:u w:val="single"/>
        </w:rPr>
        <w:t xml:space="preserve">泰兴市科政路39号</w:t>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联系方式：</w:t>
      </w:r>
      <w:r>
        <w:rPr>
          <w:rFonts w:cs="宋体"/>
          <w:color w:val="auto"/>
          <w:sz w:val="28"/>
          <w:szCs w:val="28"/>
          <w:u w:val="single"/>
        </w:rPr>
        <w:t xml:space="preserve">0523-87723388</w:t>
      </w:r>
      <w:r/>
    </w:p>
    <w:p>
      <w:pPr>
        <w:ind w:firstLine="560"/>
        <w:spacing w:line="460" w:lineRule="exact"/>
        <w:widowControl/>
        <w:rPr>
          <w:rFonts w:ascii="宋体" w:hAnsi="宋体" w:cs="宋体"/>
          <w:sz w:val="28"/>
          <w:szCs w:val="28"/>
        </w:rPr>
      </w:pPr>
      <w:r>
        <w:rPr>
          <w:rFonts w:hint="eastAsia" w:ascii="宋体" w:hAnsi="宋体" w:cs="宋体"/>
          <w:sz w:val="28"/>
          <w:szCs w:val="28"/>
        </w:rPr>
        <w:t xml:space="preserve">4.项目联系方式</w:t>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项目联系人：</w:t>
      </w:r>
      <w:r>
        <w:rPr>
          <w:rFonts w:cs="宋体"/>
          <w:color w:val="auto"/>
          <w:sz w:val="28"/>
          <w:szCs w:val="28"/>
          <w:u w:val="single"/>
        </w:rPr>
        <w:t xml:space="preserve">泰兴市路灯照明服务中心 </w:t>
      </w:r>
      <w:bookmarkStart w:id="80" w:name="OLE_LINK21"/>
      <w:r>
        <w:rPr>
          <w:rFonts w:cs="宋体"/>
          <w:color w:val="auto"/>
          <w:sz w:val="28"/>
          <w:szCs w:val="28"/>
          <w:u w:val="single"/>
        </w:rPr>
        <w:t xml:space="preserve">张亚明</w:t>
      </w:r>
      <w:bookmarkEnd w:id="80"/>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电　话：</w:t>
      </w:r>
      <w:r>
        <w:rPr>
          <w:rFonts w:cs="宋体"/>
          <w:color w:val="auto"/>
          <w:sz w:val="28"/>
          <w:szCs w:val="28"/>
          <w:u w:val="single"/>
        </w:rPr>
        <w:t xml:space="preserve">0523-87555222</w:t>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项目联系人：</w:t>
      </w:r>
      <w:r>
        <w:rPr>
          <w:rFonts w:cs="宋体"/>
          <w:color w:val="auto"/>
          <w:sz w:val="28"/>
          <w:szCs w:val="28"/>
          <w:u w:val="single"/>
        </w:rPr>
        <w:t xml:space="preserve">江苏润泰工程项目管理咨询有限公司  成洁</w:t>
      </w:r>
      <w:r/>
    </w:p>
    <w:p>
      <w:pPr>
        <w:pStyle w:val="893"/>
        <w:ind w:firstLine="560"/>
        <w:jc w:val="both"/>
        <w:spacing w:before="0" w:after="0" w:line="460" w:lineRule="exact"/>
        <w:rPr>
          <w:rFonts w:hint="default" w:cs="宋体"/>
          <w:color w:val="auto"/>
          <w:sz w:val="28"/>
          <w:szCs w:val="28"/>
        </w:rPr>
      </w:pPr>
      <w:r>
        <w:rPr>
          <w:rFonts w:cs="宋体"/>
          <w:color w:val="auto"/>
          <w:sz w:val="28"/>
          <w:szCs w:val="28"/>
        </w:rPr>
        <w:t xml:space="preserve">电　话：</w:t>
      </w:r>
      <w:r>
        <w:rPr>
          <w:rFonts w:cs="宋体"/>
          <w:color w:val="auto"/>
          <w:sz w:val="28"/>
          <w:szCs w:val="28"/>
          <w:u w:val="single"/>
        </w:rPr>
        <w:t xml:space="preserve">0523-87723388</w:t>
      </w:r>
      <w:r/>
    </w:p>
    <w:p>
      <w:pPr>
        <w:pStyle w:val="893"/>
        <w:ind w:firstLine="560"/>
        <w:spacing w:before="0" w:after="0" w:line="480" w:lineRule="exact"/>
        <w:rPr>
          <w:rFonts w:hint="default"/>
          <w:color w:val="auto"/>
        </w:rPr>
      </w:pPr>
      <w:r>
        <w:rPr>
          <w:rFonts w:hint="default"/>
          <w:color w:val="auto"/>
        </w:rPr>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第二章投标人须知</w:t>
      </w:r>
      <w:bookmarkEnd w:id="71"/>
      <w:r/>
      <w:r/>
    </w:p>
    <w:p>
      <w:pPr>
        <w:rPr>
          <w:sz w:val="28"/>
          <w:szCs w:val="28"/>
        </w:rPr>
      </w:pPr>
      <w:r/>
      <w:bookmarkStart w:id="81" w:name="_Toc426469870"/>
      <w:r>
        <w:rPr>
          <w:rFonts w:hint="eastAsia"/>
          <w:sz w:val="28"/>
          <w:szCs w:val="28"/>
        </w:rPr>
        <w:t xml:space="preserve">投标人须知前附表</w:t>
      </w:r>
      <w:bookmarkEnd w:id="81"/>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sz w:val="28"/>
                <w:szCs w:val="28"/>
              </w:rPr>
              <w:t xml:space="preserve">付款方式</w:t>
            </w:r>
            <w:r/>
          </w:p>
        </w:tc>
        <w:tc>
          <w:tcPr>
            <w:tcW w:w="5987" w:type="dxa"/>
            <w:vAlign w:val="center"/>
            <w:textDirection w:val="lrTb"/>
            <w:noWrap w:val="false"/>
          </w:tcPr>
          <w:p>
            <w:pPr>
              <w:pStyle w:val="893"/>
              <w:jc w:val="both"/>
              <w:spacing w:before="0" w:after="0" w:line="400" w:lineRule="exact"/>
              <w:rPr>
                <w:rFonts w:hint="default" w:hAnsi="Times New Roman"/>
                <w:color w:val="auto"/>
                <w:sz w:val="28"/>
                <w:szCs w:val="28"/>
              </w:rPr>
            </w:pPr>
            <w:r>
              <w:rPr>
                <w:rFonts w:hAnsi="Times New Roman"/>
                <w:color w:val="auto"/>
                <w:sz w:val="28"/>
                <w:szCs w:val="28"/>
              </w:rPr>
              <w:t xml:space="preserve">所有设备安装完成接入平台调试合格验收后付合同价的50%，运行一年后付至合同价的80%，余款维护期（安装调试合格起36个月）满付清。</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sz w:val="28"/>
                <w:szCs w:val="28"/>
              </w:rPr>
              <w:t xml:space="preserve">详见</w:t>
            </w:r>
            <w:r>
              <w:rPr>
                <w:rFonts w:hint="eastAsia" w:ascii="宋体" w:hAnsi="宋体"/>
                <w:sz w:val="28"/>
                <w:szCs w:val="28"/>
              </w:rPr>
              <w:t xml:space="preserve">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详见招标公告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sz w:val="28"/>
                <w:szCs w:val="28"/>
              </w:rPr>
              <w:t xml:space="preserve">详见</w:t>
            </w:r>
            <w:r>
              <w:rPr>
                <w:rFonts w:hint="eastAsia" w:ascii="宋体" w:hAnsi="宋体" w:cs="宋体"/>
                <w:sz w:val="28"/>
                <w:szCs w:val="28"/>
              </w:rPr>
              <w:t xml:space="preserve">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877"/>
              <w:spacing w:line="400" w:lineRule="exact"/>
              <w:rPr>
                <w:rFonts w:ascii="宋体" w:hAnsi="宋体"/>
                <w:sz w:val="28"/>
                <w:szCs w:val="28"/>
              </w:rPr>
            </w:pPr>
            <w:r/>
            <w:bookmarkStart w:id="82" w:name="FEfe800446baa24252acf6b14953dc4897"/>
            <w:r/>
            <w:bookmarkStart w:id="83" w:name="FBfe800446baa24252acf6b14953dc4897"/>
            <w:r/>
            <w:bookmarkEnd w:id="82"/>
            <w:r/>
            <w:bookmarkEnd w:id="83"/>
            <w:r>
              <w:rPr>
                <w:rFonts w:hint="eastAsia"/>
                <w:sz w:val="28"/>
                <w:szCs w:val="28"/>
              </w:rPr>
              <w:t xml:space="preserve">根据本项目评标办法自行考虑。</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84" w:name="EB35ced2e8f8364f63a510bf246ff979f0"/>
            <w:r/>
            <w:bookmarkEnd w:id="84"/>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sz w:val="28"/>
                <w:szCs w:val="28"/>
              </w:rPr>
            </w:pPr>
            <w:r>
              <w:rPr>
                <w:rFonts w:hint="eastAsia"/>
                <w:sz w:val="28"/>
                <w:szCs w:val="28"/>
              </w:rPr>
              <w:t xml:space="preserve">投标人要求澄清招标文件的截止时间</w:t>
            </w:r>
            <w:r/>
          </w:p>
        </w:tc>
        <w:tc>
          <w:tcPr>
            <w:tcW w:w="5987" w:type="dxa"/>
            <w:vAlign w:val="center"/>
            <w:textDirection w:val="lrTb"/>
            <w:noWrap w:val="false"/>
          </w:tcPr>
          <w:p>
            <w:pPr>
              <w:spacing w:line="440" w:lineRule="exact"/>
              <w:rPr>
                <w:sz w:val="28"/>
                <w:szCs w:val="28"/>
              </w:rPr>
            </w:pPr>
            <w:r>
              <w:rPr>
                <w:rFonts w:hint="eastAsia"/>
                <w:sz w:val="28"/>
                <w:szCs w:val="28"/>
              </w:rPr>
              <w:t xml:space="preserve">2026</w:t>
            </w:r>
            <w:r>
              <w:rPr>
                <w:rFonts w:hint="eastAsia"/>
                <w:sz w:val="28"/>
                <w:szCs w:val="28"/>
              </w:rPr>
              <w:t xml:space="preserve">年</w:t>
            </w:r>
            <w:r>
              <w:rPr>
                <w:sz w:val="28"/>
                <w:szCs w:val="28"/>
              </w:rPr>
              <w:t xml:space="preserve">11</w:t>
            </w:r>
            <w:r>
              <w:rPr>
                <w:rFonts w:hint="eastAsia"/>
                <w:sz w:val="28"/>
                <w:szCs w:val="28"/>
              </w:rPr>
              <w:t xml:space="preserve">月</w:t>
            </w:r>
            <w:r>
              <w:rPr>
                <w:sz w:val="28"/>
                <w:szCs w:val="28"/>
              </w:rPr>
              <w:t xml:space="preserve">9</w:t>
            </w:r>
            <w:r>
              <w:rPr>
                <w:rFonts w:hint="eastAsia"/>
                <w:sz w:val="28"/>
                <w:szCs w:val="28"/>
              </w:rPr>
              <w:t xml:space="preserve">日</w:t>
            </w:r>
            <w:r>
              <w:rPr>
                <w:rFonts w:hint="eastAsia"/>
                <w:sz w:val="28"/>
                <w:szCs w:val="28"/>
              </w:rPr>
              <w:t xml:space="preserve">17</w:t>
            </w:r>
            <w:r>
              <w:rPr>
                <w:rFonts w:hint="eastAsia"/>
                <w:sz w:val="28"/>
                <w:szCs w:val="28"/>
              </w:rPr>
              <w:t xml:space="preserve">时</w:t>
            </w:r>
            <w:r>
              <w:rPr>
                <w:rFonts w:hint="eastAsia"/>
                <w:sz w:val="28"/>
                <w:szCs w:val="28"/>
              </w:rPr>
              <w:t xml:space="preserve">30</w:t>
            </w:r>
            <w:r>
              <w:rPr>
                <w:rFonts w:hint="eastAsia"/>
                <w:sz w:val="28"/>
                <w:szCs w:val="28"/>
              </w:rPr>
              <w:t xml:space="preserve">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w:t>
            </w:r>
            <w:r/>
          </w:p>
          <w:p>
            <w:pPr>
              <w:spacing w:line="400" w:lineRule="exact"/>
              <w:rPr>
                <w:rFonts w:ascii="宋体" w:hAnsi="宋体" w:cs="宋体"/>
                <w:sz w:val="28"/>
              </w:rPr>
            </w:pPr>
            <w:r>
              <w:rPr>
                <w:rFonts w:hint="eastAsia" w:ascii="宋体" w:hAnsi="宋体" w:cs="宋体"/>
                <w:sz w:val="28"/>
              </w:rPr>
              <w:t xml:space="preserve">（4）关于符合本国产品标准的声明函（如有）；</w:t>
            </w:r>
            <w:r/>
          </w:p>
          <w:p>
            <w:pPr>
              <w:spacing w:line="400" w:lineRule="exact"/>
              <w:rPr>
                <w:rFonts w:ascii="宋体" w:hAnsi="宋体" w:cs="宋体"/>
                <w:sz w:val="28"/>
              </w:rPr>
            </w:pPr>
            <w:r>
              <w:rPr>
                <w:rFonts w:hint="eastAsia" w:ascii="宋体" w:hAnsi="宋体" w:cs="宋体"/>
                <w:sz w:val="28"/>
              </w:rPr>
              <w:t xml:space="preserve">（5）投标报价明细表及分析说明；</w:t>
            </w:r>
            <w:r/>
          </w:p>
          <w:p>
            <w:pPr>
              <w:spacing w:line="400" w:lineRule="exact"/>
              <w:rPr>
                <w:rFonts w:ascii="宋体" w:hAnsi="宋体" w:cs="宋体"/>
                <w:sz w:val="28"/>
              </w:rPr>
            </w:pPr>
            <w:r>
              <w:rPr>
                <w:rFonts w:hint="eastAsia" w:ascii="宋体" w:hAnsi="宋体" w:cs="宋体"/>
                <w:sz w:val="28"/>
              </w:rPr>
              <w:t xml:space="preserve">（6）资格性审查和符合性评审文件；</w:t>
            </w:r>
            <w:r/>
          </w:p>
          <w:p>
            <w:pPr>
              <w:spacing w:line="400" w:lineRule="exact"/>
              <w:rPr>
                <w:rFonts w:ascii="宋体" w:hAnsi="宋体" w:cs="宋体"/>
                <w:sz w:val="28"/>
              </w:rPr>
            </w:pPr>
            <w:r>
              <w:rPr>
                <w:rFonts w:hint="eastAsia" w:ascii="宋体" w:hAnsi="宋体" w:cs="宋体"/>
                <w:sz w:val="28"/>
              </w:rPr>
              <w:t xml:space="preserve">（7）采购需求响应表；</w:t>
            </w:r>
            <w:r/>
          </w:p>
          <w:p>
            <w:pPr>
              <w:spacing w:line="400" w:lineRule="exact"/>
              <w:rPr>
                <w:rFonts w:ascii="宋体" w:hAnsi="宋体" w:cs="宋体"/>
                <w:sz w:val="28"/>
              </w:rPr>
            </w:pPr>
            <w:r>
              <w:rPr>
                <w:rFonts w:hint="eastAsia" w:ascii="宋体" w:hAnsi="宋体" w:cs="宋体"/>
                <w:sz w:val="28"/>
              </w:rPr>
              <w:t xml:space="preserve">（8）对照第三章评标办法，认为应列入投标文件的其他材料。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910"/>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电子投标文件壹份。中标人提供两份与电子投标文件完全一致的纸质投标文件。</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w:t>
            </w:r>
            <w:r>
              <w:rPr>
                <w:rFonts w:hint="eastAsia" w:ascii="宋体" w:hAnsi="宋体" w:cs="宋体"/>
                <w:sz w:val="28"/>
              </w:rPr>
              <w:t xml:space="preserve">标人法人章并经法定代表人签字或签章。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85" w:name="EB72e20e40757d438698d0d924b6237fcc"/>
            <w:r/>
            <w:bookmarkEnd w:id="85"/>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人（含）以上单数。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40" w:lineRule="exact"/>
              <w:rPr>
                <w:rFonts w:ascii="宋体" w:hAnsi="宋体"/>
                <w:sz w:val="28"/>
                <w:szCs w:val="28"/>
              </w:rPr>
            </w:pPr>
            <w:r>
              <w:rPr>
                <w:rFonts w:hint="eastAsia" w:ascii="宋体" w:hAnsi="宋体"/>
                <w:sz w:val="28"/>
                <w:szCs w:val="28"/>
              </w:rPr>
              <w:t xml:space="preserve">（1）履约保证金形式：支票、汇票、本票、保函等法律法规允许的非现金形式。</w:t>
            </w:r>
            <w:r/>
          </w:p>
          <w:p>
            <w:pPr>
              <w:jc w:val="left"/>
              <w:spacing w:line="340" w:lineRule="exact"/>
              <w:rPr>
                <w:rFonts w:ascii="宋体" w:hAnsi="宋体"/>
                <w:sz w:val="28"/>
                <w:szCs w:val="28"/>
              </w:rPr>
            </w:pPr>
            <w:r>
              <w:rPr>
                <w:rFonts w:hint="eastAsia" w:ascii="宋体" w:hAnsi="宋体"/>
                <w:sz w:val="28"/>
                <w:szCs w:val="28"/>
              </w:rPr>
              <w:t xml:space="preserve">（2）金额：合同价的 5 %</w:t>
            </w:r>
            <w:r/>
          </w:p>
          <w:p>
            <w:pPr>
              <w:jc w:val="left"/>
              <w:spacing w:line="340" w:lineRule="exact"/>
              <w:rPr>
                <w:rFonts w:ascii="宋体" w:hAnsi="宋体"/>
                <w:sz w:val="28"/>
                <w:szCs w:val="28"/>
              </w:rPr>
            </w:pPr>
            <w:r>
              <w:rPr>
                <w:rFonts w:hint="eastAsia" w:ascii="宋体" w:hAnsi="宋体"/>
                <w:sz w:val="28"/>
                <w:szCs w:val="28"/>
              </w:rPr>
              <w:t xml:space="preserve">（3）缴纳时间：在确定成交投标人之后,签订采购合同前。</w:t>
            </w:r>
            <w:r/>
          </w:p>
          <w:p>
            <w:pPr>
              <w:jc w:val="left"/>
              <w:spacing w:line="340" w:lineRule="exact"/>
              <w:rPr>
                <w:rFonts w:ascii="宋体"/>
                <w:sz w:val="28"/>
                <w:szCs w:val="28"/>
              </w:rPr>
            </w:pPr>
            <w:r>
              <w:rPr>
                <w:rFonts w:hint="eastAsia" w:ascii="宋体" w:hAnsi="宋体"/>
                <w:sz w:val="28"/>
                <w:szCs w:val="28"/>
              </w:rPr>
              <w:t xml:space="preserve">（4）退还时间：合同履约结束验收合格后无息退还。</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hint="eastAsia" w:ascii="宋体" w:hAnsi="宋体"/>
                <w:sz w:val="28"/>
                <w:szCs w:val="28"/>
                <w:u w:val="single"/>
              </w:rPr>
              <w:t xml:space="preserve">30</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914"/>
              <w:numPr>
                <w:ilvl w:val="0"/>
                <w:numId w:val="2"/>
              </w:numPr>
              <w:spacing w:line="380" w:lineRule="exact"/>
              <w:rPr>
                <w:rFonts w:ascii="宋体" w:hAnsi="宋体"/>
                <w:sz w:val="28"/>
                <w:szCs w:val="28"/>
              </w:rPr>
            </w:pPr>
            <w:r>
              <w:rPr>
                <w:rFonts w:hint="eastAsia" w:ascii="宋体" w:hAnsi="宋体"/>
                <w:sz w:val="28"/>
                <w:szCs w:val="28"/>
              </w:rPr>
              <w:t xml:space="preserve">本项目为专门面向中小企业的项目。根据《政府采购促进中小企业发展管理办法》（财库〔2020〕46号）规定，供应商应当提供《中小企业声明函》。（格式见附件）</w:t>
            </w:r>
            <w:r/>
          </w:p>
          <w:p>
            <w:pPr>
              <w:pStyle w:val="914"/>
              <w:numPr>
                <w:ilvl w:val="0"/>
                <w:numId w:val="2"/>
              </w:numPr>
              <w:spacing w:line="380" w:lineRule="exact"/>
              <w:rPr>
                <w:rFonts w:ascii="宋体" w:hAnsi="宋体"/>
                <w:sz w:val="28"/>
                <w:szCs w:val="28"/>
              </w:rPr>
            </w:pPr>
            <w:r>
              <w:rPr>
                <w:rFonts w:hint="eastAsia" w:ascii="宋体" w:hAnsi="宋体"/>
                <w:sz w:val="28"/>
                <w:szCs w:val="28"/>
              </w:rPr>
              <w:t xml:space="preserve">根据《国务院办公厅关于在政府采购中实施本国产品标准及相关政策的通知》（国办发[2025]34号）规定，对本国产品的报价给予20%的价格扣除，用扣除后的价格参与评审。投标人应当提供《</w:t>
            </w:r>
            <w:r>
              <w:rPr>
                <w:rFonts w:hint="eastAsia" w:ascii="宋体" w:hAnsi="宋体" w:cs="宋体"/>
                <w:sz w:val="28"/>
              </w:rPr>
              <w:t xml:space="preserve">关于符合本国产品标准的声明函</w:t>
            </w:r>
            <w:r>
              <w:rPr>
                <w:rFonts w:hint="eastAsia" w:ascii="宋体" w:hAnsi="宋体"/>
                <w:sz w:val="28"/>
                <w:szCs w:val="28"/>
              </w:rPr>
              <w:t xml:space="preserve">》（格式见附件）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ascii="宋体" w:hAnsi="宋体"/>
                <w:b/>
                <w:sz w:val="28"/>
                <w:szCs w:val="28"/>
              </w:rPr>
            </w:pPr>
            <w:r/>
            <w:bookmarkStart w:id="86" w:name="_Toc367784995"/>
            <w:r/>
            <w:bookmarkStart w:id="87" w:name="_Toc426469871"/>
            <w:r>
              <w:rPr>
                <w:rFonts w:hint="eastAsia" w:ascii="宋体" w:hAnsi="宋体"/>
                <w:b/>
                <w:sz w:val="28"/>
                <w:szCs w:val="28"/>
              </w:rPr>
              <w:t xml:space="preserve">9.5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路灯单灯控制器。</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9.7.1 </w:t>
            </w:r>
            <w:r/>
          </w:p>
        </w:tc>
        <w:tc>
          <w:tcPr>
            <w:gridSpan w:val="3"/>
            <w:tcW w:w="8539" w:type="dxa"/>
            <w:textDirection w:val="lrTb"/>
            <w:noWrap w:val="false"/>
          </w:tcPr>
          <w:p>
            <w:pPr>
              <w:jc w:val="left"/>
              <w:spacing w:line="360" w:lineRule="exact"/>
              <w:rPr>
                <w:rFonts w:ascii="宋体" w:hAnsi="宋体"/>
                <w:sz w:val="28"/>
                <w:szCs w:val="28"/>
              </w:rPr>
            </w:pPr>
            <w:r/>
            <w:r>
              <w:rPr>
                <w:rFonts w:ascii="SimSun" w:hAnsi="SimSun" w:eastAsia="SimSun" w:cs="SimSun"/>
                <w:color w:val="000000"/>
                <w:sz w:val="28"/>
              </w:rPr>
              <w:t xml:space="preserve">本项目招标代理服务费按照苏招协[2022]002号文件规定的70%计算，最终计费额按成交价按实计取。以上费用包含在投标报价中，由中标人在领取中标通知书前支付给招标代理机构，招标人不另外支付。</w:t>
            </w:r>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9.7.2</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中标单位须在中标结果公告后3个工作日内提供第三方权威机构出具的所投型号的箱变型式试验报告，中标单位须具备国家能源局派出机构颁发的有效的承装（修、试）三级（10KV以下)（含）以上电力设施许可证（过渡期内执行《国家能源局关于做好承装（修、试）电力设施许可证换领和延续工作的通知》国能发资质〔2025〕44号），若不具备，可以分包给相应资质的单位。以上所有证书须在中标结果公告后3个工作日内报招标人备案。若无法按上述要求提供的，招标人有权取消其中标资格，并进行公示等相关处罚，一切后果中标单位自行承担。</w:t>
            </w:r>
            <w:r/>
          </w:p>
        </w:tc>
      </w:tr>
    </w:tbl>
    <w:p>
      <w:pPr>
        <w:spacing w:line="52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86"/>
      <w:r/>
      <w:bookmarkEnd w:id="87"/>
      <w:r/>
      <w:r/>
    </w:p>
    <w:p>
      <w:pPr>
        <w:spacing w:line="520" w:lineRule="exact"/>
        <w:rPr>
          <w:rFonts w:ascii="楷体" w:hAnsi="楷体" w:eastAsia="楷体"/>
          <w:b/>
          <w:sz w:val="28"/>
          <w:szCs w:val="28"/>
        </w:rPr>
      </w:pPr>
      <w:r/>
      <w:bookmarkStart w:id="94" w:name="_Toc152045530"/>
      <w:r/>
      <w:bookmarkStart w:id="95" w:name="_Toc343525506"/>
      <w:r/>
      <w:bookmarkStart w:id="96" w:name="_Toc247085690"/>
      <w:r/>
      <w:bookmarkStart w:id="97" w:name="_Toc246996919"/>
      <w:r/>
      <w:bookmarkStart w:id="98" w:name="_Toc144974498"/>
      <w:r/>
      <w:bookmarkStart w:id="99" w:name="_Toc383438593"/>
      <w:r/>
      <w:bookmarkStart w:id="100" w:name="_Toc179632547"/>
      <w:r/>
      <w:bookmarkStart w:id="101" w:name="_Toc426469872"/>
      <w:r/>
      <w:bookmarkStart w:id="102" w:name="_Toc246996176"/>
      <w:r/>
      <w:bookmarkStart w:id="103" w:name="_Toc152042306"/>
      <w:r/>
      <w:bookmarkStart w:id="104"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94"/>
      <w:r/>
      <w:bookmarkEnd w:id="95"/>
      <w:r/>
      <w:bookmarkEnd w:id="96"/>
      <w:r/>
      <w:bookmarkEnd w:id="97"/>
      <w:r/>
      <w:bookmarkEnd w:id="98"/>
      <w:r/>
      <w:bookmarkEnd w:id="99"/>
      <w:r/>
      <w:bookmarkEnd w:id="100"/>
      <w:r/>
      <w:bookmarkEnd w:id="101"/>
      <w:r/>
      <w:bookmarkEnd w:id="102"/>
      <w:r/>
      <w:bookmarkEnd w:id="103"/>
      <w:r/>
      <w:r/>
    </w:p>
    <w:p>
      <w:pPr>
        <w:ind w:firstLine="560"/>
        <w:spacing w:line="52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52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52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52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520" w:lineRule="exact"/>
        <w:rPr>
          <w:rFonts w:ascii="楷体" w:hAnsi="楷体" w:eastAsia="楷体"/>
          <w:b/>
          <w:sz w:val="28"/>
          <w:szCs w:val="28"/>
        </w:rPr>
      </w:pPr>
      <w:r/>
      <w:bookmarkStart w:id="105" w:name="_Toc179632548"/>
      <w:r/>
      <w:bookmarkStart w:id="106" w:name="_Toc247085691"/>
      <w:r/>
      <w:bookmarkStart w:id="107" w:name="_Toc246996920"/>
      <w:r/>
      <w:bookmarkStart w:id="108" w:name="_Toc343525507"/>
      <w:r/>
      <w:bookmarkStart w:id="109" w:name="_Toc152042307"/>
      <w:r/>
      <w:bookmarkStart w:id="110" w:name="_Toc383438594"/>
      <w:r/>
      <w:bookmarkStart w:id="111" w:name="_Toc246996177"/>
      <w:r/>
      <w:bookmarkStart w:id="112" w:name="_Toc152045531"/>
      <w:r/>
      <w:bookmarkStart w:id="113" w:name="_Toc144974499"/>
      <w:r/>
      <w:bookmarkStart w:id="114" w:name="_Toc426469873"/>
      <w:r>
        <w:rPr>
          <w:rFonts w:ascii="楷体" w:hAnsi="楷体" w:eastAsia="楷体"/>
          <w:b/>
          <w:sz w:val="28"/>
          <w:szCs w:val="28"/>
        </w:rPr>
        <w:t xml:space="preserve">1.2</w:t>
      </w:r>
      <w:bookmarkEnd w:id="105"/>
      <w:r/>
      <w:bookmarkEnd w:id="106"/>
      <w:r/>
      <w:bookmarkEnd w:id="107"/>
      <w:r/>
      <w:bookmarkEnd w:id="108"/>
      <w:r/>
      <w:bookmarkEnd w:id="109"/>
      <w:r/>
      <w:bookmarkEnd w:id="110"/>
      <w:r/>
      <w:bookmarkEnd w:id="111"/>
      <w:r/>
      <w:bookmarkEnd w:id="112"/>
      <w:r/>
      <w:bookmarkEnd w:id="113"/>
      <w:r/>
      <w:bookmarkEnd w:id="114"/>
      <w:r>
        <w:rPr>
          <w:rFonts w:hint="eastAsia" w:ascii="楷体" w:hAnsi="楷体" w:eastAsia="楷体"/>
          <w:b/>
          <w:sz w:val="28"/>
          <w:szCs w:val="28"/>
        </w:rPr>
        <w:t xml:space="preserve">付款方式</w:t>
      </w:r>
      <w:r/>
    </w:p>
    <w:p>
      <w:pPr>
        <w:ind w:firstLine="560"/>
        <w:spacing w:line="52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520" w:lineRule="exact"/>
        <w:rPr>
          <w:rFonts w:ascii="楷体" w:hAnsi="楷体" w:eastAsia="楷体"/>
          <w:b/>
          <w:sz w:val="28"/>
          <w:szCs w:val="28"/>
        </w:rPr>
      </w:pPr>
      <w:r/>
      <w:bookmarkStart w:id="115" w:name="_Toc383438595"/>
      <w:r/>
      <w:bookmarkStart w:id="116" w:name="_Toc246996921"/>
      <w:r/>
      <w:bookmarkStart w:id="117" w:name="_Toc152042308"/>
      <w:r/>
      <w:bookmarkStart w:id="118" w:name="_Toc247085692"/>
      <w:r/>
      <w:bookmarkStart w:id="119" w:name="_Toc152045532"/>
      <w:r/>
      <w:bookmarkStart w:id="120" w:name="_Toc144974500"/>
      <w:r/>
      <w:bookmarkStart w:id="121" w:name="_Toc246996178"/>
      <w:r/>
      <w:bookmarkStart w:id="122" w:name="_Toc179632549"/>
      <w:r/>
      <w:bookmarkStart w:id="123" w:name="_Toc343525508"/>
      <w:r/>
      <w:bookmarkStart w:id="124" w:name="_Toc426469874"/>
      <w:r>
        <w:rPr>
          <w:rFonts w:ascii="楷体" w:hAnsi="楷体" w:eastAsia="楷体"/>
          <w:b/>
          <w:sz w:val="28"/>
          <w:szCs w:val="28"/>
        </w:rPr>
        <w:t xml:space="preserve">1.3 </w:t>
      </w:r>
      <w:bookmarkEnd w:id="115"/>
      <w:r/>
      <w:bookmarkEnd w:id="116"/>
      <w:r/>
      <w:bookmarkEnd w:id="117"/>
      <w:r/>
      <w:bookmarkEnd w:id="118"/>
      <w:r/>
      <w:bookmarkEnd w:id="119"/>
      <w:r/>
      <w:bookmarkEnd w:id="120"/>
      <w:r/>
      <w:bookmarkEnd w:id="121"/>
      <w:r/>
      <w:bookmarkEnd w:id="122"/>
      <w:r/>
      <w:bookmarkEnd w:id="123"/>
      <w:r>
        <w:rPr>
          <w:rFonts w:hint="eastAsia" w:ascii="楷体" w:hAnsi="楷体" w:eastAsia="楷体"/>
          <w:b/>
          <w:sz w:val="28"/>
          <w:szCs w:val="28"/>
        </w:rPr>
        <w:t xml:space="preserve">采购范围</w:t>
      </w:r>
      <w:bookmarkEnd w:id="124"/>
      <w:r>
        <w:rPr>
          <w:rFonts w:hint="eastAsia" w:ascii="楷体" w:hAnsi="楷体" w:eastAsia="楷体"/>
          <w:b/>
          <w:sz w:val="28"/>
          <w:szCs w:val="28"/>
        </w:rPr>
        <w:t xml:space="preserve">与合同履行期限</w:t>
      </w:r>
      <w:r/>
    </w:p>
    <w:p>
      <w:pPr>
        <w:ind w:firstLine="560"/>
        <w:spacing w:line="52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52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520" w:lineRule="exact"/>
        <w:rPr>
          <w:rFonts w:ascii="楷体" w:hAnsi="楷体" w:eastAsia="楷体"/>
          <w:b/>
          <w:sz w:val="28"/>
          <w:szCs w:val="28"/>
        </w:rPr>
      </w:pPr>
      <w:r/>
      <w:bookmarkStart w:id="125" w:name="_Toc246996179"/>
      <w:r/>
      <w:bookmarkStart w:id="126" w:name="_Toc152042310"/>
      <w:r/>
      <w:bookmarkStart w:id="127" w:name="_Toc246996922"/>
      <w:r/>
      <w:bookmarkStart w:id="128" w:name="_Toc179632551"/>
      <w:r/>
      <w:bookmarkStart w:id="129" w:name="_Toc383438596"/>
      <w:r/>
      <w:bookmarkStart w:id="130" w:name="_Toc426469875"/>
      <w:r/>
      <w:bookmarkStart w:id="131" w:name="_Toc247085693"/>
      <w:r/>
      <w:bookmarkStart w:id="132" w:name="_Toc152045534"/>
      <w:r/>
      <w:bookmarkStart w:id="133" w:name="_Toc343525509"/>
      <w:r/>
      <w:bookmarkStart w:id="134" w:name="_Toc144974502"/>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125"/>
      <w:r/>
      <w:bookmarkEnd w:id="126"/>
      <w:r/>
      <w:bookmarkEnd w:id="127"/>
      <w:r/>
      <w:bookmarkEnd w:id="128"/>
      <w:r/>
      <w:bookmarkEnd w:id="129"/>
      <w:r/>
      <w:bookmarkEnd w:id="130"/>
      <w:r/>
      <w:bookmarkEnd w:id="131"/>
      <w:r/>
      <w:bookmarkEnd w:id="132"/>
      <w:r/>
      <w:bookmarkEnd w:id="133"/>
      <w:r/>
      <w:bookmarkEnd w:id="134"/>
      <w:r/>
      <w:r/>
    </w:p>
    <w:p>
      <w:pPr>
        <w:ind w:firstLine="560"/>
        <w:spacing w:line="52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）参加政府采购活动前三年内，在经营活动中没有重大违法记录，无贿赂工作人员等违法记录；</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520" w:lineRule="exact"/>
        <w:rPr>
          <w:rFonts w:ascii="宋体" w:hAnsi="宋体" w:cs="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w:t>
      </w:r>
      <w:r/>
    </w:p>
    <w:p>
      <w:pPr>
        <w:spacing w:line="520" w:lineRule="exact"/>
        <w:rPr>
          <w:rFonts w:ascii="宋体"/>
          <w:sz w:val="28"/>
          <w:szCs w:val="28"/>
        </w:rPr>
      </w:pPr>
      <w:r>
        <w:rPr>
          <w:rFonts w:hint="eastAsia" w:ascii="宋体" w:hAnsi="宋体" w:cs="宋体"/>
          <w:sz w:val="28"/>
          <w:szCs w:val="28"/>
        </w:rPr>
        <w:t xml:space="preserve">标人须知前附表。</w:t>
      </w:r>
      <w:r/>
    </w:p>
    <w:p>
      <w:pPr>
        <w:spacing w:line="52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520" w:lineRule="exact"/>
        <w:rPr>
          <w:rFonts w:ascii="宋体"/>
          <w:sz w:val="28"/>
          <w:szCs w:val="28"/>
        </w:rPr>
      </w:pPr>
      <w:r/>
      <w:bookmarkStart w:id="135" w:name="_Toc426469876"/>
      <w:r/>
      <w:bookmarkStart w:id="136" w:name="_Toc247085694"/>
      <w:r/>
      <w:bookmarkStart w:id="137" w:name="_Toc152042311"/>
      <w:r/>
      <w:bookmarkStart w:id="138" w:name="_Toc246996923"/>
      <w:r/>
      <w:bookmarkStart w:id="139" w:name="_Toc152045535"/>
      <w:r/>
      <w:bookmarkStart w:id="140" w:name="_Toc179632552"/>
      <w:r/>
      <w:bookmarkStart w:id="141" w:name="_Toc383438597"/>
      <w:r/>
      <w:bookmarkStart w:id="142" w:name="_Toc144974503"/>
      <w:r/>
      <w:bookmarkStart w:id="143" w:name="_Toc246996180"/>
      <w:r/>
      <w:bookmarkStart w:id="144" w:name="_Toc343525510"/>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35"/>
      <w:r/>
      <w:bookmarkEnd w:id="136"/>
      <w:r/>
      <w:bookmarkEnd w:id="137"/>
      <w:r/>
      <w:bookmarkEnd w:id="138"/>
      <w:r/>
      <w:bookmarkEnd w:id="139"/>
      <w:r/>
      <w:bookmarkEnd w:id="140"/>
      <w:r/>
      <w:bookmarkEnd w:id="141"/>
      <w:r/>
      <w:bookmarkEnd w:id="142"/>
      <w:r/>
      <w:bookmarkEnd w:id="143"/>
      <w:r/>
      <w:bookmarkEnd w:id="144"/>
      <w:r/>
      <w:r/>
    </w:p>
    <w:p>
      <w:pPr>
        <w:ind w:firstLine="560"/>
        <w:spacing w:line="52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520" w:lineRule="exact"/>
        <w:rPr>
          <w:rFonts w:ascii="楷体" w:hAnsi="楷体" w:eastAsia="楷体"/>
          <w:b/>
          <w:sz w:val="28"/>
          <w:szCs w:val="28"/>
        </w:rPr>
      </w:pPr>
      <w:r/>
      <w:bookmarkStart w:id="145" w:name="_Toc144974505"/>
      <w:r/>
      <w:bookmarkStart w:id="146" w:name="_Toc246996925"/>
      <w:r/>
      <w:bookmarkStart w:id="147" w:name="_Toc383438599"/>
      <w:r/>
      <w:bookmarkStart w:id="148" w:name="_Toc426469878"/>
      <w:r/>
      <w:bookmarkStart w:id="149" w:name="_Toc246996182"/>
      <w:r/>
      <w:bookmarkStart w:id="150" w:name="_Toc247085696"/>
      <w:r/>
      <w:bookmarkStart w:id="151" w:name="_Toc152042313"/>
      <w:r/>
      <w:bookmarkStart w:id="152" w:name="_Toc343525512"/>
      <w:r/>
      <w:bookmarkStart w:id="153" w:name="_Toc152045537"/>
      <w:r/>
      <w:bookmarkStart w:id="154" w:name="_Toc179632554"/>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45"/>
      <w:r>
        <w:rPr>
          <w:rFonts w:hint="eastAsia" w:ascii="楷体" w:hAnsi="楷体" w:eastAsia="楷体" w:cs="宋体"/>
          <w:b/>
          <w:sz w:val="28"/>
          <w:szCs w:val="28"/>
        </w:rPr>
        <w:t xml:space="preserve">文字</w:t>
      </w:r>
      <w:bookmarkEnd w:id="146"/>
      <w:r/>
      <w:bookmarkEnd w:id="147"/>
      <w:r/>
      <w:bookmarkEnd w:id="148"/>
      <w:r/>
      <w:bookmarkEnd w:id="149"/>
      <w:r/>
      <w:bookmarkEnd w:id="150"/>
      <w:r/>
      <w:bookmarkEnd w:id="151"/>
      <w:r/>
      <w:bookmarkEnd w:id="152"/>
      <w:r/>
      <w:bookmarkEnd w:id="153"/>
      <w:r/>
      <w:bookmarkEnd w:id="154"/>
      <w:r/>
      <w:r/>
    </w:p>
    <w:p>
      <w:pPr>
        <w:ind w:firstLine="560"/>
        <w:spacing w:line="520" w:lineRule="exact"/>
        <w:rPr>
          <w:rFonts w:ascii="宋体"/>
          <w:sz w:val="28"/>
          <w:szCs w:val="28"/>
        </w:rPr>
      </w:pPr>
      <w:r/>
      <w:bookmarkStart w:id="155" w:name="_Toc152045538"/>
      <w:r/>
      <w:bookmarkStart w:id="156" w:name="_Toc179632555"/>
      <w:r/>
      <w:bookmarkStart w:id="157" w:name="_Toc152042314"/>
      <w:r/>
      <w:bookmarkStart w:id="158" w:name="_Toc246996926"/>
      <w:r/>
      <w:bookmarkStart w:id="159" w:name="_Toc144974506"/>
      <w:r/>
      <w:bookmarkStart w:id="160" w:name="_Toc246996183"/>
      <w:r/>
      <w:bookmarkStart w:id="161" w:name="_Toc247085697"/>
      <w:r>
        <w:rPr>
          <w:rFonts w:hint="eastAsia" w:ascii="宋体" w:hAnsi="宋体" w:cs="宋体"/>
          <w:sz w:val="28"/>
          <w:szCs w:val="28"/>
        </w:rPr>
        <w:t xml:space="preserve">招投标文件使用的语言文字为中文。专用术语使用外文的，应附有中文注释。</w:t>
      </w:r>
      <w:r/>
    </w:p>
    <w:p>
      <w:pPr>
        <w:spacing w:line="520" w:lineRule="exact"/>
        <w:rPr>
          <w:rFonts w:ascii="楷体" w:hAnsi="楷体" w:eastAsia="楷体"/>
          <w:b/>
          <w:sz w:val="28"/>
          <w:szCs w:val="28"/>
        </w:rPr>
      </w:pPr>
      <w:r/>
      <w:bookmarkStart w:id="162" w:name="_Toc426469879"/>
      <w:r/>
      <w:bookmarkStart w:id="163" w:name="_Toc343525513"/>
      <w:r/>
      <w:bookmarkStart w:id="164"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55"/>
      <w:r/>
      <w:bookmarkEnd w:id="156"/>
      <w:r/>
      <w:bookmarkEnd w:id="157"/>
      <w:r/>
      <w:bookmarkEnd w:id="158"/>
      <w:r/>
      <w:bookmarkEnd w:id="159"/>
      <w:r/>
      <w:bookmarkEnd w:id="160"/>
      <w:r/>
      <w:bookmarkEnd w:id="161"/>
      <w:r/>
      <w:bookmarkEnd w:id="162"/>
      <w:r/>
      <w:bookmarkEnd w:id="163"/>
      <w:r/>
      <w:bookmarkEnd w:id="164"/>
      <w:r/>
      <w:r/>
    </w:p>
    <w:p>
      <w:pPr>
        <w:ind w:firstLine="560"/>
        <w:spacing w:line="52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520" w:lineRule="exact"/>
        <w:rPr>
          <w:rFonts w:ascii="楷体" w:hAnsi="楷体" w:eastAsia="楷体"/>
          <w:b/>
          <w:sz w:val="28"/>
          <w:szCs w:val="28"/>
        </w:rPr>
      </w:pPr>
      <w:r/>
      <w:bookmarkStart w:id="165"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65"/>
      <w:r/>
      <w:r/>
    </w:p>
    <w:p>
      <w:pPr>
        <w:ind w:firstLine="560"/>
        <w:spacing w:line="52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w:t>
      </w:r>
      <w:r>
        <w:rPr>
          <w:rFonts w:hint="eastAsia" w:ascii="宋体" w:hAnsi="宋体" w:cs="宋体"/>
          <w:sz w:val="28"/>
          <w:szCs w:val="28"/>
        </w:rPr>
        <w:t xml:space="preserve">服务要求的为正偏离，反之为负偏离。</w:t>
      </w:r>
      <w:r/>
    </w:p>
    <w:p>
      <w:pPr>
        <w:ind w:firstLine="560"/>
        <w:spacing w:line="52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520" w:lineRule="exact"/>
        <w:rPr>
          <w:rFonts w:ascii="黑体" w:hAnsi="黑体" w:eastAsia="黑体"/>
          <w:sz w:val="32"/>
          <w:szCs w:val="32"/>
        </w:rPr>
      </w:pPr>
      <w:r/>
      <w:bookmarkStart w:id="166" w:name="_Toc343525517"/>
      <w:r/>
      <w:bookmarkStart w:id="167" w:name="_Toc426469882"/>
      <w:r/>
      <w:bookmarkStart w:id="168" w:name="_Toc383438604"/>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66"/>
      <w:r/>
      <w:bookmarkEnd w:id="167"/>
      <w:r/>
      <w:bookmarkEnd w:id="168"/>
      <w:r/>
      <w:r/>
    </w:p>
    <w:p>
      <w:pPr>
        <w:spacing w:line="520" w:lineRule="exact"/>
        <w:rPr>
          <w:rFonts w:ascii="楷体" w:hAnsi="楷体" w:eastAsia="楷体"/>
          <w:b/>
          <w:sz w:val="28"/>
          <w:szCs w:val="28"/>
        </w:rPr>
      </w:pPr>
      <w:r/>
      <w:bookmarkStart w:id="169" w:name="_Toc426469883"/>
      <w:r/>
      <w:bookmarkStart w:id="170" w:name="_Toc383438605"/>
      <w:r/>
      <w:bookmarkStart w:id="171" w:name="_Toc246996931"/>
      <w:r/>
      <w:bookmarkStart w:id="172" w:name="_Toc144974511"/>
      <w:r/>
      <w:bookmarkStart w:id="173" w:name="_Toc343525518"/>
      <w:r/>
      <w:bookmarkStart w:id="174" w:name="_Toc246996188"/>
      <w:r/>
      <w:bookmarkStart w:id="175" w:name="_Toc152042319"/>
      <w:r/>
      <w:bookmarkStart w:id="176" w:name="_Toc179632561"/>
      <w:r/>
      <w:bookmarkStart w:id="177" w:name="_Toc152045543"/>
      <w:r/>
      <w:bookmarkStart w:id="178" w:name="_Toc247085702"/>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69"/>
      <w:r/>
      <w:bookmarkEnd w:id="170"/>
      <w:r/>
      <w:bookmarkEnd w:id="171"/>
      <w:r/>
      <w:bookmarkEnd w:id="172"/>
      <w:r/>
      <w:bookmarkEnd w:id="173"/>
      <w:r/>
      <w:bookmarkEnd w:id="174"/>
      <w:r/>
      <w:bookmarkEnd w:id="175"/>
      <w:r/>
      <w:bookmarkEnd w:id="176"/>
      <w:r/>
      <w:bookmarkEnd w:id="177"/>
      <w:r/>
      <w:bookmarkEnd w:id="178"/>
      <w:r/>
      <w:r/>
    </w:p>
    <w:p>
      <w:pPr>
        <w:ind w:firstLine="560"/>
        <w:spacing w:line="52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52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52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52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520" w:lineRule="exact"/>
        <w:rPr>
          <w:rFonts w:ascii="楷体" w:hAnsi="楷体" w:eastAsia="楷体"/>
          <w:b/>
          <w:sz w:val="28"/>
          <w:szCs w:val="28"/>
        </w:rPr>
      </w:pPr>
      <w:r/>
      <w:bookmarkStart w:id="179" w:name="_Toc246996189"/>
      <w:r/>
      <w:bookmarkStart w:id="180" w:name="_Toc152045544"/>
      <w:r/>
      <w:bookmarkStart w:id="181" w:name="_Toc152042320"/>
      <w:r/>
      <w:bookmarkStart w:id="182" w:name="_Toc247085703"/>
      <w:r/>
      <w:bookmarkStart w:id="183" w:name="_Toc383438606"/>
      <w:r/>
      <w:bookmarkStart w:id="184" w:name="_Toc246996932"/>
      <w:r/>
      <w:bookmarkStart w:id="185" w:name="_Toc343525519"/>
      <w:r/>
      <w:bookmarkStart w:id="186" w:name="_Toc426469884"/>
      <w:r/>
      <w:bookmarkStart w:id="187" w:name="_Toc144974512"/>
      <w:r/>
      <w:bookmarkStart w:id="188" w:name="_Toc179632562"/>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79"/>
      <w:r/>
      <w:bookmarkEnd w:id="180"/>
      <w:r/>
      <w:bookmarkEnd w:id="181"/>
      <w:r/>
      <w:bookmarkEnd w:id="182"/>
      <w:r/>
      <w:bookmarkEnd w:id="183"/>
      <w:r/>
      <w:bookmarkEnd w:id="184"/>
      <w:r/>
      <w:bookmarkEnd w:id="185"/>
      <w:r/>
      <w:bookmarkEnd w:id="186"/>
      <w:r/>
      <w:bookmarkEnd w:id="187"/>
      <w:r/>
      <w:bookmarkEnd w:id="188"/>
      <w:r/>
      <w:r/>
    </w:p>
    <w:p>
      <w:pPr>
        <w:ind w:firstLine="560"/>
        <w:spacing w:line="52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52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520" w:lineRule="exact"/>
        <w:rPr>
          <w:rFonts w:ascii="楷体" w:hAnsi="楷体" w:eastAsia="楷体"/>
          <w:b/>
          <w:sz w:val="28"/>
          <w:szCs w:val="28"/>
        </w:rPr>
      </w:pPr>
      <w:r/>
      <w:bookmarkStart w:id="189" w:name="_Toc152042321"/>
      <w:r/>
      <w:bookmarkStart w:id="190" w:name="_Toc246996190"/>
      <w:r/>
      <w:bookmarkStart w:id="191" w:name="_Toc144974513"/>
      <w:r/>
      <w:bookmarkStart w:id="192" w:name="_Toc179632563"/>
      <w:r/>
      <w:bookmarkStart w:id="193" w:name="_Toc426469885"/>
      <w:r/>
      <w:bookmarkStart w:id="194" w:name="_Toc343525520"/>
      <w:r/>
      <w:bookmarkStart w:id="195" w:name="_Toc383438607"/>
      <w:r/>
      <w:bookmarkStart w:id="196" w:name="_Toc152045545"/>
      <w:r/>
      <w:bookmarkStart w:id="197" w:name="_Toc246996933"/>
      <w:r/>
      <w:bookmarkStart w:id="198" w:name="_Toc247085704"/>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89"/>
      <w:r/>
      <w:bookmarkEnd w:id="190"/>
      <w:r/>
      <w:bookmarkEnd w:id="191"/>
      <w:r/>
      <w:bookmarkEnd w:id="192"/>
      <w:r/>
      <w:bookmarkEnd w:id="193"/>
      <w:r/>
      <w:bookmarkEnd w:id="194"/>
      <w:r/>
      <w:bookmarkEnd w:id="195"/>
      <w:r/>
      <w:bookmarkEnd w:id="196"/>
      <w:r/>
      <w:bookmarkEnd w:id="197"/>
      <w:r/>
      <w:bookmarkEnd w:id="198"/>
      <w:r/>
      <w:r/>
    </w:p>
    <w:p>
      <w:pPr>
        <w:ind w:firstLine="560"/>
        <w:spacing w:line="52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w:t>
      </w:r>
      <w:r>
        <w:rPr>
          <w:rFonts w:hint="eastAsia" w:ascii="宋体" w:hAnsi="宋体" w:cs="宋体"/>
          <w:sz w:val="28"/>
          <w:szCs w:val="28"/>
        </w:rPr>
        <w:t xml:space="preserve">的，将相应延长投标截止时间。</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52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520" w:lineRule="exact"/>
        <w:rPr>
          <w:rFonts w:ascii="黑体" w:hAnsi="黑体" w:eastAsia="黑体"/>
          <w:b/>
          <w:sz w:val="32"/>
          <w:szCs w:val="32"/>
        </w:rPr>
      </w:pPr>
      <w:r/>
      <w:bookmarkStart w:id="199" w:name="_Toc152042322"/>
      <w:r/>
      <w:bookmarkStart w:id="200" w:name="_Toc179632564"/>
      <w:r/>
      <w:bookmarkStart w:id="201" w:name="_Toc246996191"/>
      <w:r/>
      <w:bookmarkStart w:id="202" w:name="_Toc343525522"/>
      <w:r/>
      <w:bookmarkStart w:id="203" w:name="_Toc247085705"/>
      <w:r/>
      <w:bookmarkStart w:id="204" w:name="_Toc383438609"/>
      <w:r/>
      <w:bookmarkStart w:id="205" w:name="_Toc152045546"/>
      <w:r/>
      <w:bookmarkStart w:id="206" w:name="_Toc144974514"/>
      <w:r/>
      <w:bookmarkStart w:id="207" w:name="_Toc246996934"/>
      <w:r/>
      <w:bookmarkStart w:id="208"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99"/>
      <w:r/>
      <w:bookmarkEnd w:id="200"/>
      <w:r/>
      <w:bookmarkEnd w:id="201"/>
      <w:r/>
      <w:bookmarkEnd w:id="202"/>
      <w:r/>
      <w:bookmarkEnd w:id="203"/>
      <w:r/>
      <w:bookmarkEnd w:id="204"/>
      <w:r/>
      <w:bookmarkEnd w:id="205"/>
      <w:r/>
      <w:bookmarkEnd w:id="206"/>
      <w:r/>
      <w:bookmarkEnd w:id="207"/>
      <w:r>
        <w:rPr>
          <w:rFonts w:hint="eastAsia" w:ascii="黑体" w:hAnsi="黑体" w:eastAsia="黑体" w:cs="宋体"/>
          <w:b/>
          <w:sz w:val="32"/>
          <w:szCs w:val="32"/>
        </w:rPr>
        <w:t xml:space="preserve">文件</w:t>
      </w:r>
      <w:bookmarkEnd w:id="208"/>
      <w:r/>
      <w:r/>
    </w:p>
    <w:p>
      <w:pPr>
        <w:spacing w:line="520" w:lineRule="exact"/>
        <w:rPr>
          <w:rFonts w:ascii="楷体" w:hAnsi="楷体" w:eastAsia="楷体" w:cs="宋体"/>
          <w:b/>
          <w:sz w:val="28"/>
          <w:szCs w:val="28"/>
        </w:rPr>
      </w:pPr>
      <w:r/>
      <w:bookmarkStart w:id="209" w:name="_Toc144974515"/>
      <w:r/>
      <w:bookmarkStart w:id="210" w:name="_Toc152042323"/>
      <w:r/>
      <w:bookmarkStart w:id="211" w:name="_Toc152045547"/>
      <w:r/>
      <w:bookmarkStart w:id="212" w:name="_Toc343525523"/>
      <w:r/>
      <w:bookmarkStart w:id="213" w:name="_Toc179632565"/>
      <w:r/>
      <w:bookmarkStart w:id="214" w:name="_Toc246996192"/>
      <w:r/>
      <w:bookmarkStart w:id="215" w:name="_Toc246996935"/>
      <w:r/>
      <w:bookmarkStart w:id="216" w:name="_Toc383438610"/>
      <w:r/>
      <w:bookmarkStart w:id="217" w:name="_Toc247085706"/>
      <w:r/>
      <w:bookmarkStart w:id="218" w:name="_Toc426469888"/>
      <w:r>
        <w:rPr>
          <w:rFonts w:ascii="楷体" w:hAnsi="楷体" w:eastAsia="楷体"/>
          <w:b/>
          <w:sz w:val="28"/>
          <w:szCs w:val="28"/>
        </w:rPr>
        <w:t xml:space="preserve">3</w:t>
      </w:r>
      <w:r>
        <w:rPr>
          <w:rFonts w:ascii="楷体" w:hAnsi="楷体" w:eastAsia="楷体" w:cs="宋体"/>
          <w:b/>
          <w:sz w:val="28"/>
          <w:szCs w:val="28"/>
        </w:rPr>
        <w:t xml:space="preserve">.1</w:t>
      </w:r>
      <w:bookmarkEnd w:id="209"/>
      <w:r/>
      <w:bookmarkEnd w:id="210"/>
      <w:r/>
      <w:bookmarkEnd w:id="211"/>
      <w:r/>
      <w:bookmarkEnd w:id="212"/>
      <w:r/>
      <w:bookmarkEnd w:id="213"/>
      <w:r/>
      <w:bookmarkEnd w:id="214"/>
      <w:r/>
      <w:bookmarkEnd w:id="215"/>
      <w:r/>
      <w:bookmarkEnd w:id="216"/>
      <w:r/>
      <w:bookmarkEnd w:id="217"/>
      <w:r>
        <w:rPr>
          <w:rFonts w:hint="eastAsia" w:ascii="楷体" w:hAnsi="楷体" w:eastAsia="楷体" w:cs="宋体"/>
          <w:b/>
          <w:sz w:val="28"/>
          <w:szCs w:val="28"/>
        </w:rPr>
        <w:t xml:space="preserve">投标文件的组成</w:t>
      </w:r>
      <w:bookmarkEnd w:id="218"/>
      <w:r/>
      <w:r/>
    </w:p>
    <w:p>
      <w:pPr>
        <w:ind w:firstLine="560"/>
        <w:spacing w:line="52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520" w:lineRule="exact"/>
        <w:rPr>
          <w:rFonts w:ascii="楷体" w:hAnsi="楷体" w:eastAsia="楷体" w:cs="宋体"/>
          <w:b/>
          <w:sz w:val="28"/>
          <w:szCs w:val="28"/>
        </w:rPr>
      </w:pPr>
      <w:r/>
      <w:bookmarkStart w:id="219" w:name="_Toc367785004"/>
      <w:r/>
      <w:bookmarkStart w:id="220" w:name="_Toc426469889"/>
      <w:r>
        <w:rPr>
          <w:rFonts w:ascii="楷体" w:hAnsi="楷体" w:eastAsia="楷体" w:cs="宋体"/>
          <w:b/>
          <w:sz w:val="28"/>
          <w:szCs w:val="28"/>
        </w:rPr>
        <w:t xml:space="preserve">3.2</w:t>
      </w:r>
      <w:bookmarkEnd w:id="219"/>
      <w:r>
        <w:rPr>
          <w:rFonts w:hint="eastAsia" w:ascii="楷体" w:hAnsi="楷体" w:eastAsia="楷体" w:cs="宋体"/>
          <w:b/>
          <w:sz w:val="28"/>
          <w:szCs w:val="28"/>
        </w:rPr>
        <w:t xml:space="preserve">投标报价</w:t>
      </w:r>
      <w:bookmarkEnd w:id="220"/>
      <w:r/>
      <w:r/>
    </w:p>
    <w:p>
      <w:pPr>
        <w:ind w:firstLine="560"/>
        <w:spacing w:line="520" w:lineRule="exact"/>
        <w:rPr>
          <w:rFonts w:ascii="宋体" w:hAnsi="宋体" w:cs="宋体"/>
          <w:sz w:val="28"/>
          <w:szCs w:val="28"/>
        </w:rPr>
      </w:pPr>
      <w:r/>
      <w:bookmarkStart w:id="221" w:name="_Toc426469890"/>
      <w:r/>
      <w:bookmarkStart w:id="222" w:name="_Toc247085708"/>
      <w:r/>
      <w:bookmarkStart w:id="223" w:name="_Toc144974517"/>
      <w:r/>
      <w:bookmarkStart w:id="224" w:name="_Toc246996937"/>
      <w:r/>
      <w:bookmarkStart w:id="225" w:name="_Toc152042325"/>
      <w:r/>
      <w:bookmarkStart w:id="226" w:name="_Toc179632567"/>
      <w:r/>
      <w:bookmarkStart w:id="227" w:name="_Toc343525525"/>
      <w:r/>
      <w:bookmarkStart w:id="228" w:name="_Toc383438612"/>
      <w:r/>
      <w:bookmarkStart w:id="229" w:name="_Toc246996194"/>
      <w:r/>
      <w:bookmarkStart w:id="230" w:name="_Toc152045549"/>
      <w:r>
        <w:rPr>
          <w:rFonts w:hint="eastAsia" w:ascii="宋体" w:hAnsi="宋体" w:cs="宋体"/>
          <w:sz w:val="28"/>
          <w:szCs w:val="28"/>
        </w:rPr>
        <w:t xml:space="preserve">3.2.1 投标人应按招标文件规定的供货及服务要求、责任范围和合同条件，以人民币进行报价。报价应包括但不限于：所投货物和服务、辅材（含专用工具）、软件、运用、维护、知识产权、税金、运输、装卸、保险、检测验收、人员培训、安装调试、五年物联网卡费用、交付后质保等所有费用。</w:t>
      </w:r>
      <w:r/>
    </w:p>
    <w:p>
      <w:pPr>
        <w:ind w:firstLine="560"/>
        <w:spacing w:line="52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520" w:lineRule="exact"/>
        <w:rPr>
          <w:rFonts w:ascii="宋体" w:hAnsi="宋体" w:cs="宋体"/>
          <w:sz w:val="28"/>
          <w:szCs w:val="28"/>
        </w:rPr>
      </w:pPr>
      <w:r>
        <w:rPr>
          <w:rFonts w:hint="eastAsia" w:ascii="宋体" w:hAnsi="宋体" w:cs="宋体"/>
          <w:sz w:val="28"/>
          <w:szCs w:val="28"/>
        </w:rPr>
        <w:t xml:space="preserve">3.2.4投标人的投标报价不得超过采购项目最高限价。</w:t>
      </w:r>
      <w:r/>
    </w:p>
    <w:p>
      <w:pPr>
        <w:ind w:firstLine="560"/>
        <w:spacing w:line="52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52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221"/>
      <w:r/>
      <w:bookmarkEnd w:id="222"/>
      <w:r/>
      <w:bookmarkEnd w:id="223"/>
      <w:r/>
      <w:bookmarkEnd w:id="224"/>
      <w:r/>
      <w:bookmarkEnd w:id="225"/>
      <w:r/>
      <w:bookmarkEnd w:id="226"/>
      <w:r/>
      <w:bookmarkEnd w:id="227"/>
      <w:r/>
      <w:bookmarkEnd w:id="228"/>
      <w:r/>
      <w:bookmarkEnd w:id="229"/>
      <w:r/>
      <w:bookmarkEnd w:id="230"/>
      <w:r/>
      <w:r/>
    </w:p>
    <w:p>
      <w:pPr>
        <w:ind w:firstLine="560"/>
        <w:spacing w:line="52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52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520" w:lineRule="exact"/>
        <w:rPr>
          <w:rFonts w:ascii="楷体" w:hAnsi="楷体" w:eastAsia="楷体"/>
          <w:b/>
          <w:sz w:val="28"/>
          <w:szCs w:val="28"/>
        </w:rPr>
      </w:pPr>
      <w:r/>
      <w:bookmarkStart w:id="231"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231"/>
      <w:r/>
      <w:r/>
    </w:p>
    <w:p>
      <w:pPr>
        <w:ind w:firstLine="560"/>
        <w:spacing w:line="52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投标人可以按照第五章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52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52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520" w:lineRule="exact"/>
        <w:rPr>
          <w:rFonts w:ascii="宋体" w:hAnsi="宋体"/>
          <w:sz w:val="28"/>
          <w:szCs w:val="28"/>
        </w:rPr>
      </w:pPr>
      <w:r/>
      <w:bookmarkStart w:id="232" w:name="_Toc367785016"/>
      <w:r/>
      <w:bookmarkStart w:id="233" w:name="_Toc426469894"/>
      <w:r>
        <w:rPr>
          <w:rFonts w:hint="eastAsia" w:ascii="宋体" w:hAnsi="宋体"/>
          <w:sz w:val="28"/>
          <w:szCs w:val="28"/>
        </w:rPr>
        <w:t xml:space="preserve">3.4.4投标文件的签署：见投标人须知前附表。</w:t>
      </w:r>
      <w:r/>
    </w:p>
    <w:p>
      <w:pPr>
        <w:spacing w:line="520" w:lineRule="exact"/>
        <w:rPr>
          <w:rFonts w:ascii="黑体" w:hAnsi="黑体" w:eastAsia="黑体"/>
          <w:sz w:val="32"/>
          <w:szCs w:val="32"/>
        </w:rPr>
      </w:pPr>
      <w:r/>
      <w:bookmarkStart w:id="234" w:name="_Toc383623945"/>
      <w:r/>
      <w:bookmarkStart w:id="235" w:name="_Toc246996230"/>
      <w:r/>
      <w:bookmarkStart w:id="236" w:name="_Toc383698648"/>
      <w:r/>
      <w:bookmarkStart w:id="237" w:name="_Toc390246906"/>
      <w:r/>
      <w:bookmarkStart w:id="238" w:name="_Toc246996973"/>
      <w:r/>
      <w:bookmarkStart w:id="239" w:name="_Toc343525562"/>
      <w:r/>
      <w:bookmarkStart w:id="240" w:name="_Toc247085745"/>
      <w:r/>
      <w:bookmarkStart w:id="241" w:name="_Toc383679747"/>
      <w:r/>
      <w:bookmarkStart w:id="242" w:name="_Toc383587457"/>
      <w:r/>
      <w:bookmarkStart w:id="243" w:name="_Toc383438646"/>
      <w:r/>
      <w:bookmarkStart w:id="244" w:name="_Toc383625994"/>
      <w:r/>
      <w:bookmarkStart w:id="245" w:name="_Toc152045587"/>
      <w:r/>
      <w:bookmarkStart w:id="246" w:name="_Toc390099019"/>
      <w:r/>
      <w:bookmarkStart w:id="247" w:name="_Toc179632605"/>
      <w:r/>
      <w:bookmarkStart w:id="248" w:name="_Toc144974554"/>
      <w:r/>
      <w:bookmarkStart w:id="249" w:name="_Toc390098841"/>
      <w:r/>
      <w:bookmarkStart w:id="250" w:name="_Toc383623673"/>
      <w:r/>
      <w:bookmarkStart w:id="251" w:name="_Toc152042364"/>
      <w:r/>
      <w:bookmarkEnd w:id="104"/>
      <w:r/>
      <w:bookmarkEnd w:id="232"/>
      <w:r/>
      <w:bookmarkEnd w:id="233"/>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52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52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52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52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在投标截止时间前，投标人可以修改或撤回已递交的投标文件。具体操作方法见《江苏省政府采购管理交易系统（苏采云）投标人操作手册》。</w:t>
      </w:r>
      <w:r/>
    </w:p>
    <w:p>
      <w:pPr>
        <w:ind w:firstLine="560"/>
        <w:spacing w:line="52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52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52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w:t>
      </w:r>
      <w:r>
        <w:rPr>
          <w:rFonts w:hint="eastAsia" w:ascii="宋体" w:hAnsi="宋体" w:cs="宋体"/>
          <w:sz w:val="28"/>
          <w:szCs w:val="28"/>
        </w:rPr>
        <w:t xml:space="preserve">易系统（苏采云）接受到的最后一份投标文件为准。</w:t>
      </w:r>
      <w:r/>
    </w:p>
    <w:p>
      <w:pPr>
        <w:spacing w:line="52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52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52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52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p>
    <w:p>
      <w:pPr>
        <w:spacing w:line="52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52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52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52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52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52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52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52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52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52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52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52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52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52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52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52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52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52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p>
    <w:p>
      <w:pPr>
        <w:spacing w:line="520" w:lineRule="exact"/>
        <w:rPr>
          <w:rFonts w:ascii="黑体" w:hAnsi="黑体" w:eastAsia="黑体"/>
          <w:sz w:val="32"/>
          <w:szCs w:val="32"/>
        </w:rPr>
      </w:pPr>
      <w:r/>
      <w:bookmarkStart w:id="252" w:name="_Hlt26955056"/>
      <w:r/>
      <w:bookmarkStart w:id="253" w:name="_Hlt26955064"/>
      <w:r/>
      <w:bookmarkStart w:id="254" w:name="_Hlt26671372"/>
      <w:r/>
      <w:bookmarkStart w:id="255" w:name="_Hlt26580838"/>
      <w:r/>
      <w:bookmarkStart w:id="256" w:name="_Hlt26609391"/>
      <w:r/>
      <w:bookmarkStart w:id="257" w:name="_Hlt26782999"/>
      <w:r/>
      <w:bookmarkStart w:id="258" w:name="_Hlt24879081"/>
      <w:r/>
      <w:bookmarkStart w:id="259" w:name="_Hlt26671343"/>
      <w:r/>
      <w:bookmarkEnd w:id="72"/>
      <w:r/>
      <w:bookmarkEnd w:id="73"/>
      <w:r/>
      <w:bookmarkEnd w:id="74"/>
      <w:r/>
      <w:bookmarkEnd w:id="75"/>
      <w:r/>
      <w:bookmarkEnd w:id="76"/>
      <w:r/>
      <w:bookmarkEnd w:id="77"/>
      <w:r/>
      <w:bookmarkEnd w:id="78"/>
      <w:r/>
      <w:bookmarkEnd w:id="79"/>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52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52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中标人应按投标人须知前附表规定的履约保证金的形式、金额和提交时间向招标人提交履约保证金。</w:t>
      </w:r>
      <w:r/>
    </w:p>
    <w:p>
      <w:pPr>
        <w:ind w:firstLine="560"/>
        <w:spacing w:line="52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52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520" w:lineRule="exact"/>
        <w:rPr>
          <w:rFonts w:ascii="宋体"/>
          <w:sz w:val="28"/>
          <w:szCs w:val="28"/>
        </w:rPr>
      </w:pPr>
      <w:r>
        <w:rPr>
          <w:rFonts w:hint="eastAsia" w:ascii="宋体" w:hAnsi="宋体" w:cs="宋体"/>
          <w:sz w:val="28"/>
          <w:szCs w:val="28"/>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spacing w:line="52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520" w:lineRule="exact"/>
        <w:rPr>
          <w:rFonts w:ascii="楷体" w:hAnsi="楷体" w:eastAsia="楷体"/>
          <w:b/>
          <w:sz w:val="28"/>
          <w:szCs w:val="28"/>
        </w:rPr>
      </w:pPr>
      <w:r>
        <w:rPr>
          <w:rFonts w:hint="eastAsia" w:ascii="宋体" w:hAnsi="宋体" w:cs="宋体"/>
          <w:sz w:val="28"/>
        </w:rPr>
        <w:t xml:space="preserve">需要补充的其他内容：见投标人须知前附表。</w:t>
      </w:r>
      <w:r/>
    </w:p>
    <w:p>
      <w:pPr>
        <w:jc w:val="left"/>
        <w:widowControl/>
      </w:pPr>
      <w:r>
        <w:br w:type="page" w:clear="all"/>
      </w:r>
      <w:r/>
    </w:p>
    <w:p>
      <w:pPr>
        <w:pStyle w:val="901"/>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60" w:name="_Toc246996974"/>
      <w:r/>
      <w:bookmarkStart w:id="261" w:name="_Toc152042365"/>
      <w:r/>
      <w:bookmarkStart w:id="262" w:name="_Toc343525563"/>
      <w:r/>
      <w:bookmarkStart w:id="263" w:name="_Toc426469920"/>
      <w:r/>
      <w:bookmarkStart w:id="264" w:name="_Toc152045588"/>
      <w:r/>
      <w:bookmarkStart w:id="265" w:name="_Toc144974555"/>
      <w:r/>
      <w:bookmarkStart w:id="266" w:name="_Toc246996231"/>
      <w:r/>
      <w:bookmarkStart w:id="267" w:name="_Toc383438647"/>
      <w:r/>
      <w:bookmarkStart w:id="268" w:name="_Toc247085746"/>
      <w:r/>
      <w:bookmarkStart w:id="269" w:name="_Toc179632606"/>
      <w:r>
        <w:rPr>
          <w:rFonts w:hint="eastAsia"/>
          <w:sz w:val="28"/>
          <w:szCs w:val="28"/>
        </w:rPr>
        <w:t xml:space="preserve">资格审查和评标办法前附表</w:t>
      </w:r>
      <w:bookmarkStart w:id="270" w:name="_Toc246996232"/>
      <w:r/>
      <w:bookmarkStart w:id="271" w:name="_Toc343525564"/>
      <w:r/>
      <w:bookmarkStart w:id="272" w:name="_Toc247085747"/>
      <w:r/>
      <w:bookmarkStart w:id="273" w:name="_Toc152045589"/>
      <w:r/>
      <w:bookmarkStart w:id="274" w:name="_Toc152042366"/>
      <w:r/>
      <w:bookmarkStart w:id="275" w:name="_Toc144974556"/>
      <w:r/>
      <w:bookmarkStart w:id="276" w:name="_Toc179632607"/>
      <w:r/>
      <w:bookmarkStart w:id="277" w:name="_Toc246996975"/>
      <w:r/>
      <w:bookmarkEnd w:id="260"/>
      <w:r/>
      <w:bookmarkEnd w:id="261"/>
      <w:r/>
      <w:bookmarkEnd w:id="262"/>
      <w:r/>
      <w:bookmarkEnd w:id="263"/>
      <w:r/>
      <w:bookmarkEnd w:id="264"/>
      <w:r/>
      <w:bookmarkEnd w:id="265"/>
      <w:r/>
      <w:bookmarkEnd w:id="266"/>
      <w:r/>
      <w:bookmarkEnd w:id="267"/>
      <w:r/>
      <w:bookmarkEnd w:id="268"/>
      <w:r/>
      <w:bookmarkEnd w:id="269"/>
      <w:r/>
      <w:r/>
    </w:p>
    <w:tbl>
      <w:tblPr>
        <w:tblW w:w="9771"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567"/>
        <w:gridCol w:w="591"/>
        <w:gridCol w:w="826"/>
        <w:gridCol w:w="805"/>
        <w:gridCol w:w="1318"/>
        <w:gridCol w:w="5556"/>
        <w:gridCol w:w="108"/>
      </w:tblGrid>
      <w:tr>
        <w:trPr>
          <w:gridAfter w:val="1"/>
          <w:jc w:val="center"/>
          <w:trHeight w:val="484"/>
        </w:trPr>
        <w:tc>
          <w:tcPr>
            <w:gridSpan w:val="2"/>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gridAfter w:val="1"/>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根据投标人提供的承诺函，内容完整且具有法人及法定代表人的印章。（内容及格式参照第五章）</w:t>
            </w:r>
            <w:r/>
          </w:p>
        </w:tc>
      </w:tr>
      <w:tr>
        <w:trPr>
          <w:gridAfter w:val="1"/>
          <w:jc w:val="center"/>
          <w:trHeight w:val="630"/>
        </w:trPr>
        <w:tc>
          <w:tcPr>
            <w:tcBorders>
              <w:left w:val="single" w:color="auto" w:sz="6" w:space="0"/>
              <w:right w:val="single" w:color="auto" w:sz="6" w:space="0"/>
            </w:tcBorders>
            <w:tcW w:w="567" w:type="dxa"/>
            <w:vAlign w:val="center"/>
            <w:vMerge w:val="continue"/>
            <w:textDirection w:val="lrTb"/>
            <w:noWrap w:val="false"/>
          </w:tcPr>
          <w:p>
            <w:pPr>
              <w:jc w:val="center"/>
              <w:spacing w:line="360" w:lineRule="exact"/>
              <w:rPr>
                <w:rFonts w:asciiTheme="minorEastAsia" w:hAnsiTheme="minorEastAsia" w:eastAsiaTheme="minorEastAsia"/>
                <w:spacing w:val="-14"/>
              </w:rPr>
            </w:pPr>
            <w:r>
              <w:rPr>
                <w:rFonts w:asciiTheme="minorEastAsia" w:hAnsiTheme="minorEastAsia" w:eastAsiaTheme="minorEastAsia"/>
                <w:spacing w:val="-14"/>
              </w:rPr>
            </w:r>
            <w:r/>
          </w:p>
        </w:tc>
        <w:tc>
          <w:tcPr>
            <w:tcBorders>
              <w:left w:val="single" w:color="auto" w:sz="6" w:space="0"/>
              <w:right w:val="single" w:color="auto" w:sz="6" w:space="0"/>
            </w:tcBorders>
            <w:tcW w:w="591"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3"/>
            <w:shd w:val="clear" w:color="auto" w:fill="auto"/>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60" w:lineRule="exact"/>
              <w:rPr>
                <w:rFonts w:ascii="宋体" w:hAnsi="宋体"/>
              </w:rPr>
            </w:pPr>
            <w:r>
              <w:rPr>
                <w:rFonts w:hint="eastAsia" w:ascii="宋体" w:hAnsi="宋体"/>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60" w:lineRule="exact"/>
              <w:rPr>
                <w:rFonts w:ascii="宋体" w:hAnsi="宋体"/>
              </w:rPr>
            </w:pPr>
            <w:r>
              <w:rPr>
                <w:rFonts w:hint="eastAsia" w:ascii="宋体" w:hAnsi="宋体"/>
              </w:rPr>
              <w:t xml:space="preserve">本项目为专门面向中小企业的项目。根据《政府采购促进中小企业发展管理办法》（财库〔2020〕46号）规定，供应商应当提供《中小企业声明函》。</w:t>
            </w:r>
            <w:r/>
          </w:p>
        </w:tc>
      </w:tr>
      <w:tr>
        <w:trPr>
          <w:gridAfter w:val="1"/>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gridAfter w:val="1"/>
          <w:jc w:val="center"/>
          <w:trHeight w:val="308"/>
        </w:trPr>
        <w:tc>
          <w:tcPr>
            <w:gridSpan w:val="6"/>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gridAfter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78" w:name="OLE_LINK29"/>
            <w:r/>
            <w:bookmarkStart w:id="279" w:name="OLE_LINK30"/>
            <w:r>
              <w:rPr>
                <w:rFonts w:hint="eastAsia" w:asciiTheme="minorEastAsia" w:hAnsiTheme="minorEastAsia" w:eastAsiaTheme="minorEastAsia"/>
              </w:rPr>
              <w:t xml:space="preserve">投标文件的签署</w:t>
            </w:r>
            <w:bookmarkEnd w:id="278"/>
            <w:r/>
            <w:bookmarkEnd w:id="279"/>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0" w:name="OLE_LINK31"/>
            <w:r/>
            <w:bookmarkStart w:id="281" w:name="OLE_LINK32"/>
            <w:r>
              <w:rPr>
                <w:rFonts w:hint="eastAsia" w:asciiTheme="minorEastAsia" w:hAnsiTheme="minorEastAsia" w:eastAsiaTheme="minorEastAsia"/>
              </w:rPr>
              <w:t xml:space="preserve">符合第二章第3.4.4项规定</w:t>
            </w:r>
            <w:bookmarkEnd w:id="280"/>
            <w:r/>
            <w:bookmarkEnd w:id="281"/>
            <w:r/>
            <w:r/>
          </w:p>
        </w:tc>
      </w:tr>
      <w:tr>
        <w:trPr>
          <w:gridAfter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bookmarkStart w:id="282" w:name="OLE_LINK27"/>
            <w:r/>
            <w:bookmarkStart w:id="283" w:name="OLE_LINK28"/>
            <w:r>
              <w:rPr>
                <w:rFonts w:hint="eastAsia" w:asciiTheme="minorEastAsia" w:hAnsiTheme="minorEastAsia" w:eastAsiaTheme="minorEastAsia"/>
              </w:rPr>
              <w:t xml:space="preserve">有且只有一个有效报价；未超过采购预算或最高限价；</w:t>
            </w:r>
            <w:bookmarkEnd w:id="282"/>
            <w:r/>
            <w:bookmarkEnd w:id="283"/>
            <w:r/>
            <w:r/>
          </w:p>
        </w:tc>
      </w:tr>
      <w:tr>
        <w:trPr>
          <w:gridAfter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4" w:name="OLE_LINK33"/>
            <w:r/>
            <w:bookmarkStart w:id="285" w:name="OLE_LINK34"/>
            <w:r>
              <w:rPr>
                <w:rFonts w:hint="eastAsia" w:asciiTheme="minorEastAsia" w:hAnsiTheme="minorEastAsia" w:eastAsiaTheme="minorEastAsia"/>
              </w:rPr>
              <w:t xml:space="preserve">合同履行期限</w:t>
            </w:r>
            <w:bookmarkEnd w:id="284"/>
            <w:r/>
            <w:bookmarkEnd w:id="285"/>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86" w:name="OLE_LINK35"/>
            <w:r/>
            <w:bookmarkStart w:id="287" w:name="OLE_LINK36"/>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bookmarkEnd w:id="286"/>
            <w:r/>
            <w:bookmarkEnd w:id="287"/>
            <w:r/>
            <w:r/>
          </w:p>
        </w:tc>
      </w:tr>
      <w:tr>
        <w:trPr>
          <w:gridAfter w:val="1"/>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88" w:name="OLE_LINK37"/>
            <w:r/>
            <w:bookmarkStart w:id="289" w:name="OLE_LINK61"/>
            <w:r/>
            <w:bookmarkStart w:id="290" w:name="OLE_LINK38"/>
            <w:r>
              <w:rPr>
                <w:rFonts w:hint="eastAsia" w:asciiTheme="minorEastAsia" w:hAnsiTheme="minorEastAsia" w:eastAsiaTheme="minorEastAsia"/>
              </w:rPr>
              <w:t xml:space="preserve">投标有效期</w:t>
            </w:r>
            <w:bookmarkEnd w:id="288"/>
            <w:r/>
            <w:bookmarkEnd w:id="289"/>
            <w:r/>
            <w:bookmarkEnd w:id="290"/>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91" w:name="OLE_LINK39"/>
            <w:r/>
            <w:bookmarkStart w:id="292" w:name="OLE_LINK2"/>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bookmarkEnd w:id="291"/>
            <w:r/>
            <w:bookmarkEnd w:id="292"/>
            <w:r/>
            <w:r/>
          </w:p>
        </w:tc>
      </w:tr>
      <w:tr>
        <w:trPr>
          <w:gridAfter w:val="1"/>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3"/>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bookmarkStart w:id="293" w:name="OLE_LINK41"/>
            <w:r/>
            <w:bookmarkStart w:id="294" w:name="OLE_LINK40"/>
            <w:r>
              <w:rPr>
                <w:rFonts w:hint="eastAsia" w:asciiTheme="minorEastAsia" w:hAnsiTheme="minorEastAsia" w:eastAsiaTheme="minorEastAsia"/>
              </w:rPr>
              <w:t xml:space="preserve">偏离</w:t>
            </w:r>
            <w:bookmarkEnd w:id="293"/>
            <w:r/>
            <w:bookmarkEnd w:id="294"/>
            <w:r/>
            <w:r/>
          </w:p>
        </w:tc>
        <w:tc>
          <w:tcPr>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95" w:name="OLE_LINK13"/>
            <w:r/>
            <w:bookmarkStart w:id="296" w:name="OLE_LINK14"/>
            <w:r/>
            <w:bookmarkStart w:id="297" w:name="OLE_LINK62"/>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bookmarkEnd w:id="295"/>
            <w:r/>
            <w:bookmarkEnd w:id="296"/>
            <w:r/>
            <w:bookmarkEnd w:id="297"/>
            <w:r/>
            <w:r/>
          </w:p>
        </w:tc>
      </w:tr>
      <w:tr>
        <w:trPr>
          <w:gridAfter w:val="1"/>
          <w:jc w:val="center"/>
          <w:trHeight w:val="378"/>
        </w:trPr>
        <w:tc>
          <w:tcPr>
            <w:gridSpan w:val="6"/>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gridAfter w:val="1"/>
          <w:jc w:val="center"/>
          <w:trHeight w:val="276"/>
        </w:trPr>
        <w:tc>
          <w:tcPr>
            <w:gridSpan w:val="6"/>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5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52"/>
              <w:spacing w:line="380" w:lineRule="exact"/>
              <w:rPr>
                <w:rFonts w:ascii="宋体" w:hAnsi="宋体" w:cs="宋体"/>
                <w:b/>
                <w:bCs/>
                <w:sz w:val="24"/>
                <w:szCs w:val="24"/>
              </w:rPr>
            </w:pPr>
            <w:r/>
            <w:bookmarkStart w:id="298" w:name="_Toc426469921"/>
            <w:r>
              <w:rPr>
                <w:rFonts w:hint="eastAsia" w:ascii="宋体" w:hAnsi="宋体" w:cs="宋体"/>
                <w:b/>
                <w:bCs/>
                <w:sz w:val="24"/>
                <w:szCs w:val="24"/>
              </w:rPr>
              <w:t xml:space="preserve">序号</w:t>
            </w:r>
            <w:r/>
          </w:p>
        </w:tc>
        <w:tc>
          <w:tcPr>
            <w:gridSpan w:val="2"/>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52"/>
              <w:jc w:val="center"/>
              <w:spacing w:line="380" w:lineRule="exact"/>
              <w:rPr>
                <w:rFonts w:ascii="宋体" w:hAnsi="宋体" w:cs="宋体"/>
                <w:b/>
                <w:bCs/>
                <w:sz w:val="24"/>
                <w:szCs w:val="24"/>
              </w:rPr>
            </w:pPr>
            <w:r>
              <w:rPr>
                <w:rFonts w:hint="eastAsia" w:ascii="宋体" w:hAnsi="宋体" w:cs="宋体"/>
                <w:b/>
                <w:bCs/>
                <w:sz w:val="24"/>
                <w:szCs w:val="24"/>
              </w:rPr>
              <w:t xml:space="preserve">评分项目</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380" w:lineRule="exact"/>
              <w:rPr>
                <w:rFonts w:ascii="宋体" w:hAnsi="宋体" w:cs="宋体"/>
                <w:b/>
                <w:bCs/>
                <w:sz w:val="24"/>
                <w:szCs w:val="24"/>
              </w:rPr>
            </w:pPr>
            <w:r>
              <w:rPr>
                <w:rFonts w:hint="eastAsia" w:ascii="宋体" w:hAnsi="宋体" w:cs="宋体"/>
                <w:b/>
                <w:bCs/>
                <w:sz w:val="24"/>
                <w:szCs w:val="24"/>
              </w:rPr>
              <w:t xml:space="preserve">分值</w:t>
            </w:r>
            <w:r/>
          </w:p>
        </w:tc>
        <w:tc>
          <w:tcPr>
            <w:gridSpan w:val="3"/>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pStyle w:val="952"/>
              <w:jc w:val="center"/>
              <w:spacing w:line="380" w:lineRule="exact"/>
              <w:rPr>
                <w:rFonts w:ascii="宋体" w:hAnsi="宋体" w:cs="宋体"/>
                <w:b/>
                <w:bCs/>
                <w:sz w:val="24"/>
                <w:szCs w:val="24"/>
              </w:rPr>
            </w:pPr>
            <w:r>
              <w:rPr>
                <w:rFonts w:hint="eastAsia" w:ascii="宋体" w:hAnsi="宋体" w:cs="宋体"/>
                <w:b/>
                <w:bCs/>
                <w:sz w:val="24"/>
                <w:szCs w:val="24"/>
              </w:rPr>
              <w:t xml:space="preserve">评分标准</w:t>
            </w:r>
            <w:r/>
          </w:p>
        </w:tc>
      </w:tr>
      <w:tr>
        <w:trPr>
          <w:jc w:val="center"/>
          <w:trHeight w:val="122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1</w:t>
            </w:r>
            <w:r/>
          </w:p>
        </w:tc>
        <w:tc>
          <w:tcPr>
            <w:gridSpan w:val="2"/>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52"/>
              <w:ind w:left="240"/>
              <w:spacing w:line="400" w:lineRule="exact"/>
              <w:rPr>
                <w:rFonts w:ascii="宋体" w:hAnsi="宋体" w:cs="宋体"/>
                <w:sz w:val="24"/>
                <w:szCs w:val="24"/>
              </w:rPr>
            </w:pPr>
            <w:r>
              <w:rPr>
                <w:rFonts w:hint="eastAsia" w:ascii="宋体" w:hAnsi="宋体" w:cs="宋体"/>
                <w:sz w:val="24"/>
                <w:szCs w:val="24"/>
              </w:rPr>
              <w:t xml:space="preserve">投标报价（40分）</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spacing w:line="400" w:lineRule="exact"/>
              <w:rPr>
                <w:rFonts w:ascii="宋体" w:hAnsi="宋体" w:cs="宋体"/>
                <w:sz w:val="24"/>
                <w:szCs w:val="24"/>
              </w:rPr>
            </w:pPr>
            <w:r>
              <w:rPr>
                <w:rFonts w:hint="eastAsia" w:ascii="宋体" w:hAnsi="宋体" w:cs="宋体"/>
                <w:sz w:val="24"/>
                <w:szCs w:val="24"/>
              </w:rPr>
              <w:t xml:space="preserve">40分</w:t>
            </w:r>
            <w:r/>
          </w:p>
        </w:tc>
        <w:tc>
          <w:tcPr>
            <w:gridSpan w:val="3"/>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pStyle w:val="952"/>
              <w:rPr>
                <w:rFonts w:ascii="宋体" w:hAnsi="宋体" w:cs="宋体"/>
                <w:sz w:val="24"/>
                <w:szCs w:val="24"/>
                <w:lang w:val="zh-CN"/>
              </w:rPr>
            </w:pPr>
            <w:r>
              <w:rPr>
                <w:rFonts w:hint="eastAsia" w:ascii="宋体" w:hAnsi="宋体" w:cs="宋体"/>
                <w:sz w:val="24"/>
                <w:szCs w:val="24"/>
              </w:rPr>
              <w:t xml:space="preserve">资格性审查和符合性审查合格且投标价格最低为评标基准价，其价格40分。其他投标人的价格分按照下列公式计算：投标报价得分＝（评标基准价/投标报价）×40分（保留两位小数）。</w:t>
            </w:r>
            <w:r/>
          </w:p>
        </w:tc>
      </w:tr>
      <w:tr>
        <w:trPr>
          <w:jc w:val="center"/>
          <w:trHeight w:val="51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952"/>
              <w:jc w:val="center"/>
              <w:spacing w:line="400" w:lineRule="exact"/>
              <w:rPr>
                <w:rFonts w:ascii="宋体" w:hAnsi="宋体" w:cs="宋体"/>
                <w:sz w:val="24"/>
                <w:szCs w:val="24"/>
              </w:rPr>
            </w:pPr>
            <w:r/>
            <w:bookmarkStart w:id="299" w:name="_Hlk216682853"/>
            <w:r>
              <w:rPr>
                <w:rFonts w:hint="eastAsia" w:ascii="宋体" w:hAnsi="宋体" w:cs="宋体"/>
                <w:sz w:val="24"/>
                <w:szCs w:val="24"/>
              </w:rPr>
              <w:t xml:space="preserve">2</w:t>
            </w:r>
            <w:r/>
          </w:p>
        </w:tc>
        <w:tc>
          <w:tcPr>
            <w:gridSpan w:val="2"/>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技术参数（20分）</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20分</w:t>
            </w:r>
            <w:r/>
          </w:p>
        </w:tc>
        <w:tc>
          <w:tcPr>
            <w:gridSpan w:val="3"/>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rPr>
                <w:rFonts w:ascii="宋体" w:hAnsi="宋体" w:cs="宋体"/>
              </w:rPr>
            </w:pPr>
            <w:r>
              <w:rPr>
                <w:rFonts w:hint="eastAsia" w:ascii="宋体" w:hAnsi="宋体" w:cs="宋体"/>
              </w:rPr>
              <w:t xml:space="preserve">投标人所投产品的技术参数与招标文件要求比较，完全响应招标文件要求的得20分。每有一项关键标“▲”技术参数存在负偏离的扣5分，其他技术参数存在负偏离的每有一项扣2分，本项分数扣完为止。</w:t>
            </w:r>
            <w:r/>
          </w:p>
          <w:p>
            <w:pPr>
              <w:jc w:val="left"/>
              <w:spacing w:line="400" w:lineRule="exact"/>
              <w:rPr>
                <w:rFonts w:ascii="宋体" w:hAnsi="宋体" w:cs="宋体"/>
              </w:rPr>
            </w:pPr>
            <w:r>
              <w:rPr>
                <w:rFonts w:hint="eastAsia" w:ascii="宋体" w:hAnsi="宋体" w:cs="宋体"/>
              </w:rPr>
              <w:t xml:space="preserve">注：技术参数要求提供相关证明材料的，均需按要求提供，包括携带原件备查的，如未按要求提供证明材料的，视作负偏离。</w:t>
            </w:r>
            <w:r/>
          </w:p>
        </w:tc>
      </w:tr>
      <w:tr>
        <w:trPr>
          <w:jc w:val="center"/>
          <w:trHeight w:val="1913"/>
        </w:trPr>
        <w:tc>
          <w:tcPr>
            <w:shd w:val="clear" w:color="auto" w:fill="auto"/>
            <w:tcBorders>
              <w:top w:val="single" w:color="auto" w:sz="4" w:space="0"/>
              <w:left w:val="single" w:color="auto" w:sz="4" w:space="0"/>
              <w:right w:val="single" w:color="auto" w:sz="4" w:space="0"/>
            </w:tcBorders>
            <w:tcW w:w="567" w:type="dxa"/>
            <w:vAlign w:val="center"/>
            <w:vMerge w:val="restart"/>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3</w:t>
            </w:r>
            <w:r/>
          </w:p>
          <w:p>
            <w:pPr>
              <w:jc w:val="center"/>
              <w:spacing w:line="440" w:lineRule="atLeast"/>
              <w:rPr>
                <w:rFonts w:ascii="宋体" w:hAnsi="宋体" w:cs="宋体"/>
              </w:rPr>
            </w:pPr>
            <w:r>
              <w:rPr>
                <w:rFonts w:ascii="宋体" w:hAnsi="宋体" w:cs="宋体"/>
              </w:rPr>
            </w:r>
            <w:r/>
          </w:p>
        </w:tc>
        <w:tc>
          <w:tcPr>
            <w:gridSpan w:val="2"/>
            <w:shd w:val="clear" w:color="auto" w:fill="auto"/>
            <w:tcBorders>
              <w:top w:val="single" w:color="auto" w:sz="4" w:space="0"/>
              <w:left w:val="none" w:color="000000" w:sz="4" w:space="0"/>
              <w:right w:val="single" w:color="auto" w:sz="4" w:space="0"/>
            </w:tcBorders>
            <w:tcW w:w="1417" w:type="dxa"/>
            <w:vAlign w:val="center"/>
            <w:vMerge w:val="restart"/>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项目实施</w:t>
            </w:r>
            <w:r/>
          </w:p>
          <w:p>
            <w:pPr>
              <w:pStyle w:val="952"/>
              <w:jc w:val="center"/>
              <w:spacing w:line="400" w:lineRule="exact"/>
              <w:rPr>
                <w:rFonts w:ascii="宋体" w:hAnsi="宋体" w:cs="宋体"/>
                <w:sz w:val="24"/>
                <w:szCs w:val="24"/>
              </w:rPr>
            </w:pPr>
            <w:r>
              <w:rPr>
                <w:rFonts w:hint="eastAsia" w:ascii="宋体" w:hAnsi="宋体" w:cs="宋体"/>
                <w:sz w:val="24"/>
                <w:szCs w:val="24"/>
              </w:rPr>
              <w:t xml:space="preserve">方案 </w:t>
            </w:r>
            <w:r/>
          </w:p>
          <w:p>
            <w:pPr>
              <w:pStyle w:val="952"/>
              <w:jc w:val="center"/>
              <w:spacing w:line="400" w:lineRule="exact"/>
              <w:rPr>
                <w:rFonts w:ascii="宋体" w:hAnsi="宋体" w:cs="宋体"/>
                <w:sz w:val="24"/>
                <w:szCs w:val="24"/>
              </w:rPr>
            </w:pPr>
            <w:r>
              <w:rPr>
                <w:rFonts w:hint="eastAsia" w:ascii="宋体" w:hAnsi="宋体" w:cs="宋体"/>
                <w:sz w:val="24"/>
                <w:szCs w:val="24"/>
              </w:rPr>
              <w:t xml:space="preserve">（16分）</w:t>
            </w:r>
            <w:r/>
          </w:p>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360" w:lineRule="exact"/>
              <w:rPr>
                <w:rFonts w:ascii="宋体" w:hAnsi="宋体" w:cs="宋体"/>
              </w:rPr>
            </w:pPr>
            <w:r>
              <w:rPr>
                <w:rFonts w:hint="eastAsia" w:ascii="宋体" w:hAnsi="宋体" w:cs="宋体"/>
              </w:rPr>
              <w:t xml:space="preserve">1、安装调试进度规划(包括设备配置、材料配置、项目经理人员投入等)：总进度计划详尽，项目实施进度、时间点、关键节点等设置优于采购要求，保证措施全面详细得4分；符合采购要求，保证措施全面详细得3分；方案简单，描述不清楚，基本符合采购要求得1分；与本项目无关的不得分。</w:t>
            </w:r>
            <w:r/>
          </w:p>
        </w:tc>
      </w:tr>
      <w:tr>
        <w:trPr>
          <w:jc w:val="center"/>
          <w:trHeight w:val="2013"/>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360" w:lineRule="exact"/>
              <w:rPr>
                <w:rFonts w:ascii="宋体" w:hAnsi="宋体" w:cs="宋体"/>
              </w:rPr>
            </w:pPr>
            <w:r>
              <w:rPr>
                <w:rFonts w:hint="eastAsia" w:ascii="宋体" w:hAnsi="宋体" w:cs="宋体"/>
              </w:rPr>
              <w:t xml:space="preserve">2、安装指导调试质量保证方案及措施：有明确的质量目标、保障体系、保证措施，管理制度健全，安装调试质量符合采购要求得4分；安装调试质量符合采购要求，目标基本明晰、内容描述较简单得3分；符合采购要求，目标较模糊、内容描述较简单得1分；与本项目无关的不得分。</w:t>
            </w:r>
            <w:r/>
          </w:p>
        </w:tc>
      </w:tr>
      <w:tr>
        <w:trPr>
          <w:jc w:val="center"/>
          <w:trHeight w:val="1975"/>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360" w:lineRule="exact"/>
              <w:rPr>
                <w:rFonts w:ascii="宋体" w:hAnsi="宋体" w:cs="宋体"/>
              </w:rPr>
            </w:pPr>
            <w:r>
              <w:rPr>
                <w:rFonts w:hint="eastAsia" w:ascii="宋体" w:hAnsi="宋体" w:cs="宋体"/>
              </w:rPr>
              <w:t xml:space="preserve">3、安全文明措施：安全生产措施及文明施工保证措施方面的安排比较，由评标委员会根据内容的合理可行性、完善性、规范性、安全性、先进性较好的得4分，合理可行性、完善性、规范性、安全性、先进性一般的得3分，合理可行性、完善性、规范性、安全性、先进性较差的得1分；与本项目无关的不得分。</w:t>
            </w:r>
            <w:r/>
          </w:p>
        </w:tc>
      </w:tr>
      <w:tr>
        <w:trPr>
          <w:jc w:val="center"/>
          <w:trHeight w:val="1934"/>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bottom w:val="single" w:color="auto"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360" w:lineRule="exact"/>
              <w:rPr>
                <w:rFonts w:ascii="宋体" w:hAnsi="宋体" w:cs="宋体"/>
              </w:rPr>
            </w:pPr>
            <w:r>
              <w:rPr>
                <w:rFonts w:hint="eastAsia" w:ascii="宋体" w:hAnsi="宋体" w:cs="宋体"/>
              </w:rPr>
              <w:t xml:space="preserve">4、针对本项目货物安装实施方案重点、难点分析（包括安装队伍的技术力量、专业化程度、安装设备的配备等）：重点、难点突出，分析到位得4分；能抓住重点、难点，提供的分析方案一般得3分；基本未抓住重点、难点，分析不突出得1分；与本项目无关的不得分。</w:t>
            </w:r>
            <w:r/>
          </w:p>
        </w:tc>
      </w:tr>
      <w:tr>
        <w:trPr>
          <w:jc w:val="center"/>
          <w:trHeight w:val="1781"/>
        </w:trPr>
        <w:tc>
          <w:tcPr>
            <w:shd w:val="clear" w:color="auto" w:fill="auto"/>
            <w:tcBorders>
              <w:top w:val="single" w:color="auto" w:sz="4" w:space="0"/>
              <w:left w:val="single" w:color="auto" w:sz="4" w:space="0"/>
              <w:right w:val="single" w:color="auto" w:sz="4" w:space="0"/>
            </w:tcBorders>
            <w:tcW w:w="567" w:type="dxa"/>
            <w:vAlign w:val="center"/>
            <w:vMerge w:val="restart"/>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w:t>
            </w:r>
            <w:r/>
          </w:p>
          <w:p>
            <w:pPr>
              <w:jc w:val="center"/>
              <w:spacing w:line="440" w:lineRule="atLeast"/>
              <w:rPr>
                <w:rFonts w:ascii="宋体" w:hAnsi="宋体" w:cs="宋体"/>
              </w:rPr>
            </w:pPr>
            <w:r>
              <w:rPr>
                <w:rFonts w:ascii="宋体" w:hAnsi="宋体" w:cs="宋体"/>
              </w:rPr>
            </w:r>
            <w:r/>
          </w:p>
        </w:tc>
        <w:tc>
          <w:tcPr>
            <w:gridSpan w:val="2"/>
            <w:shd w:val="clear" w:color="auto" w:fill="auto"/>
            <w:tcBorders>
              <w:top w:val="single" w:color="auto" w:sz="4" w:space="0"/>
              <w:left w:val="none" w:color="000000" w:sz="4" w:space="0"/>
              <w:right w:val="single" w:color="auto" w:sz="4" w:space="0"/>
            </w:tcBorders>
            <w:tcW w:w="1417" w:type="dxa"/>
            <w:vAlign w:val="center"/>
            <w:vMerge w:val="restart"/>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lang w:val="zh-CN"/>
              </w:rPr>
              <w:t xml:space="preserve">售后服务(</w:t>
            </w:r>
            <w:r>
              <w:rPr>
                <w:rFonts w:hint="eastAsia" w:ascii="宋体" w:hAnsi="宋体" w:cs="宋体"/>
                <w:sz w:val="24"/>
                <w:szCs w:val="24"/>
              </w:rPr>
              <w:t xml:space="preserve">12</w:t>
            </w:r>
            <w:r>
              <w:rPr>
                <w:rFonts w:hint="eastAsia" w:ascii="宋体" w:hAnsi="宋体" w:cs="宋体"/>
                <w:sz w:val="24"/>
                <w:szCs w:val="24"/>
                <w:lang w:val="zh-CN"/>
              </w:rPr>
              <w:t xml:space="preserve">分)</w:t>
            </w:r>
            <w:r/>
          </w:p>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400" w:lineRule="exact"/>
              <w:rPr>
                <w:rFonts w:ascii="宋体" w:hAnsi="宋体" w:cs="宋体"/>
              </w:rPr>
            </w:pPr>
            <w:r>
              <w:rPr>
                <w:rFonts w:hint="eastAsia" w:ascii="宋体" w:hAnsi="宋体" w:cs="宋体"/>
              </w:rPr>
              <w:t xml:space="preserve">1、售后服务响应时间优于采购要求，服务方式灵活便捷，有具体的应急保障措施和落实条款得4分；售后服务响应时间和服务方式满足采购要求，有具体措施和落实条款的得3分；售后服务响应时间和服务方式基本满足采购要求，描述较简单的得1分。</w:t>
            </w:r>
            <w:r/>
          </w:p>
        </w:tc>
      </w:tr>
      <w:tr>
        <w:trPr>
          <w:jc w:val="center"/>
          <w:trHeight w:val="1362"/>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400" w:lineRule="exact"/>
              <w:rPr>
                <w:rFonts w:ascii="宋体" w:hAnsi="宋体" w:cs="宋体"/>
              </w:rPr>
            </w:pPr>
            <w:r>
              <w:rPr>
                <w:rFonts w:hint="eastAsia" w:ascii="宋体" w:hAnsi="宋体" w:cs="宋体"/>
              </w:rPr>
              <w:t xml:space="preserve">2、定期维护方案能满足采购要求，并能针对本项目特点，有具体的措施和落实条款的得4分；定期维护方案能满足采购要求，有基本的维护措施和落实条款的得3分；定期维护方案仅能满足采购基本要求，内容较简单的得1分。</w:t>
            </w:r>
            <w:r/>
          </w:p>
        </w:tc>
      </w:tr>
      <w:tr>
        <w:trPr>
          <w:jc w:val="center"/>
          <w:trHeight w:val="673"/>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bottom w:val="single" w:color="auto"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vAlign w:val="center"/>
            <w:textDirection w:val="lrTb"/>
            <w:noWrap w:val="false"/>
          </w:tcPr>
          <w:p>
            <w:pPr>
              <w:spacing w:line="400" w:lineRule="exact"/>
              <w:rPr>
                <w:rFonts w:ascii="宋体" w:hAnsi="宋体" w:cs="宋体"/>
              </w:rPr>
            </w:pPr>
            <w:r>
              <w:rPr>
                <w:rFonts w:hint="eastAsia" w:ascii="宋体" w:hAnsi="宋体" w:cs="宋体"/>
              </w:rPr>
              <w:t xml:space="preserve">3、培训方案能完全满足采购要求，方案内容全面，有对应的培训内容、时间和效果承诺等，有利于项目顺利实施得4分；培训方案能满足基本采购需求，有相对应措施和落实条款但不完善得3分；方案仅能满足项目基本需求得1分。</w:t>
            </w:r>
            <w:r/>
          </w:p>
        </w:tc>
      </w:tr>
      <w:tr>
        <w:trPr>
          <w:jc w:val="center"/>
          <w:trHeight w:val="511"/>
        </w:trPr>
        <w:tc>
          <w:tcPr>
            <w:shd w:val="clear" w:color="auto" w:fill="auto"/>
            <w:tcBorders>
              <w:top w:val="single" w:color="auto" w:sz="4" w:space="0"/>
              <w:left w:val="single" w:color="auto" w:sz="4" w:space="0"/>
              <w:right w:val="single" w:color="auto" w:sz="4" w:space="0"/>
            </w:tcBorders>
            <w:tcW w:w="567" w:type="dxa"/>
            <w:vAlign w:val="center"/>
            <w:vMerge w:val="restart"/>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5</w:t>
            </w:r>
            <w:r/>
          </w:p>
          <w:p>
            <w:pPr>
              <w:jc w:val="center"/>
              <w:spacing w:line="440" w:lineRule="atLeast"/>
              <w:rPr>
                <w:rFonts w:ascii="宋体" w:hAnsi="宋体" w:cs="宋体"/>
              </w:rPr>
            </w:pPr>
            <w:r>
              <w:rPr>
                <w:rFonts w:ascii="宋体" w:hAnsi="宋体" w:cs="宋体"/>
              </w:rPr>
            </w:r>
            <w:r/>
          </w:p>
        </w:tc>
        <w:tc>
          <w:tcPr>
            <w:gridSpan w:val="2"/>
            <w:shd w:val="clear" w:color="auto" w:fill="auto"/>
            <w:tcBorders>
              <w:top w:val="single" w:color="auto" w:sz="4" w:space="0"/>
              <w:left w:val="none" w:color="000000" w:sz="4" w:space="0"/>
              <w:right w:val="single" w:color="auto" w:sz="4" w:space="0"/>
            </w:tcBorders>
            <w:tcW w:w="1417" w:type="dxa"/>
            <w:vAlign w:val="center"/>
            <w:vMerge w:val="restart"/>
            <w:textDirection w:val="lrTb"/>
            <w:noWrap w:val="false"/>
          </w:tcPr>
          <w:p>
            <w:pPr>
              <w:ind w:left="240" w:hanging="240"/>
              <w:spacing w:line="360" w:lineRule="auto"/>
              <w:rPr>
                <w:rFonts w:ascii="宋体" w:hAnsi="宋体" w:cs="宋体"/>
                <w:lang w:val="zh-CN"/>
              </w:rPr>
            </w:pPr>
            <w:r>
              <w:rPr>
                <w:rFonts w:hint="eastAsia" w:ascii="宋体" w:hAnsi="宋体" w:cs="宋体"/>
              </w:rPr>
              <w:t xml:space="preserve">履约能力</w:t>
            </w:r>
            <w:r>
              <w:rPr>
                <w:rFonts w:hint="eastAsia" w:ascii="宋体" w:hAnsi="宋体" w:cs="宋体"/>
                <w:lang w:val="zh-CN"/>
              </w:rPr>
              <w:t xml:space="preserve">(</w:t>
            </w:r>
            <w:r>
              <w:rPr>
                <w:rFonts w:hint="eastAsia" w:ascii="宋体" w:hAnsi="宋体" w:cs="宋体"/>
              </w:rPr>
              <w:t xml:space="preserve">12</w:t>
            </w:r>
            <w:r>
              <w:rPr>
                <w:rFonts w:hint="eastAsia" w:ascii="宋体" w:hAnsi="宋体" w:cs="宋体"/>
                <w:lang w:val="zh-CN"/>
              </w:rPr>
              <w:t xml:space="preserve">分)</w:t>
            </w:r>
            <w:r/>
          </w:p>
          <w:p>
            <w:pPr>
              <w:pStyle w:val="952"/>
              <w:jc w:val="center"/>
              <w:spacing w:line="400" w:lineRule="exact"/>
              <w:rPr>
                <w:rFonts w:ascii="宋体" w:hAnsi="宋体" w:cs="宋体"/>
                <w:sz w:val="24"/>
                <w:szCs w:val="24"/>
              </w:rPr>
            </w:pPr>
            <w:r>
              <w:rPr>
                <w:rFonts w:ascii="宋体" w:hAnsi="宋体" w:cs="宋体"/>
                <w:sz w:val="24"/>
                <w:szCs w:val="24"/>
              </w:rPr>
            </w:r>
            <w:r/>
          </w:p>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6分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textDirection w:val="lrTb"/>
            <w:noWrap w:val="false"/>
          </w:tcPr>
          <w:p>
            <w:pPr>
              <w:jc w:val="left"/>
              <w:spacing w:line="400" w:lineRule="exact"/>
              <w:rPr>
                <w:rFonts w:ascii="宋体" w:hAnsi="宋体" w:cs="宋体"/>
              </w:rPr>
            </w:pPr>
            <w:r>
              <w:rPr>
                <w:rFonts w:hint="eastAsia" w:ascii="宋体" w:hAnsi="宋体" w:cs="宋体"/>
              </w:rPr>
              <w:t xml:space="preserve">1、投标单位2021年1月1日以来（以合同签订时间为准）承接过类似室外照明的单灯控制器供货业绩，有1个得2分，最高得6分（须提供合同和付款发票原件扫描件，否则不得分。）</w:t>
            </w:r>
            <w:r/>
          </w:p>
        </w:tc>
      </w:tr>
      <w:tr>
        <w:trPr>
          <w:jc w:val="center"/>
          <w:trHeight w:val="511"/>
        </w:trPr>
        <w:tc>
          <w:tcPr>
            <w:tcBorders>
              <w:left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4分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textDirection w:val="lrTb"/>
            <w:noWrap w:val="false"/>
          </w:tcPr>
          <w:p>
            <w:pPr>
              <w:jc w:val="left"/>
              <w:spacing w:line="400" w:lineRule="exact"/>
              <w:rPr>
                <w:rFonts w:ascii="宋体" w:hAnsi="宋体" w:cs="宋体"/>
              </w:rPr>
            </w:pPr>
            <w:r>
              <w:rPr>
                <w:rFonts w:hint="eastAsia" w:ascii="宋体" w:hAnsi="宋体" w:cs="宋体"/>
              </w:rPr>
              <w:t xml:space="preserve">2、投标单位取得有效期内的质量管理体系、环境管理体系、职业安全健康体系、信息安全管理体系认证证书的，每提供1份得1</w:t>
            </w:r>
            <w:r>
              <w:rPr>
                <w:rFonts w:hint="eastAsia" w:ascii="宋体" w:hAnsi="宋体" w:cs="宋体"/>
              </w:rPr>
              <w:t xml:space="preserve">分，最高得4分。（须提供证书原件扫描件，同时还须提供国家认证监督委员会官网查询截图，未按上述要求提供不得分）。</w:t>
            </w:r>
            <w:r/>
          </w:p>
        </w:tc>
      </w:tr>
      <w:tr>
        <w:trPr>
          <w:jc w:val="center"/>
          <w:trHeight w:val="511"/>
        </w:trPr>
        <w:tc>
          <w:tcPr>
            <w:tcBorders>
              <w:left w:val="single" w:color="auto" w:sz="4" w:space="0"/>
              <w:bottom w:val="single" w:color="auto" w:sz="4" w:space="0"/>
              <w:right w:val="single" w:color="auto" w:sz="4" w:space="0"/>
            </w:tcBorders>
            <w:tcW w:w="56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gridSpan w:val="2"/>
            <w:tcBorders>
              <w:left w:val="none" w:color="000000" w:sz="4" w:space="0"/>
              <w:bottom w:val="single" w:color="auto" w:sz="4" w:space="0"/>
              <w:right w:val="single" w:color="auto" w:sz="4" w:space="0"/>
            </w:tcBorders>
            <w:tcW w:w="1417" w:type="dxa"/>
            <w:vAlign w:val="center"/>
            <w:vMerge w:val="continue"/>
            <w:textDirection w:val="lrTb"/>
            <w:noWrap w:val="false"/>
          </w:tcPr>
          <w:p>
            <w:pPr>
              <w:jc w:val="center"/>
              <w:spacing w:line="440" w:lineRule="atLeast"/>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pStyle w:val="952"/>
              <w:jc w:val="center"/>
              <w:spacing w:line="400" w:lineRule="exact"/>
              <w:rPr>
                <w:rFonts w:ascii="宋体" w:hAnsi="宋体" w:cs="宋体"/>
                <w:sz w:val="24"/>
                <w:szCs w:val="24"/>
              </w:rPr>
            </w:pPr>
            <w:r>
              <w:rPr>
                <w:rFonts w:hint="eastAsia" w:ascii="宋体" w:hAnsi="宋体" w:cs="宋体"/>
                <w:sz w:val="24"/>
                <w:szCs w:val="24"/>
              </w:rPr>
              <w:t xml:space="preserve">2分</w:t>
            </w:r>
            <w:r/>
          </w:p>
        </w:tc>
        <w:tc>
          <w:tcPr>
            <w:gridSpan w:val="3"/>
            <w:shd w:val="clear" w:color="auto" w:fill="auto"/>
            <w:tcBorders>
              <w:top w:val="single" w:color="auto" w:sz="4" w:space="0"/>
              <w:left w:val="none" w:color="000000" w:sz="4" w:space="0"/>
              <w:bottom w:val="single" w:color="auto" w:sz="4" w:space="0"/>
              <w:right w:val="single" w:color="auto" w:sz="4" w:space="0"/>
            </w:tcBorders>
            <w:tcW w:w="6982" w:type="dxa"/>
            <w:textDirection w:val="lrTb"/>
            <w:noWrap w:val="false"/>
          </w:tcPr>
          <w:p>
            <w:pPr>
              <w:jc w:val="left"/>
              <w:spacing w:line="400" w:lineRule="exact"/>
              <w:rPr>
                <w:rFonts w:ascii="宋体" w:hAnsi="宋体" w:cs="宋体"/>
              </w:rPr>
            </w:pPr>
            <w:r>
              <w:rPr>
                <w:rFonts w:hint="eastAsia" w:ascii="宋体" w:hAnsi="宋体" w:cs="宋体"/>
              </w:rPr>
              <w:t xml:space="preserve">3、投标单位或其供货商提供的产品具有智慧照明软件、服务监测软件自主知识产权证书，每有1项得1分，最高得2分。（注：需提供合法有效的相关证书原件扫描件。若提供的证书为软件著作权证书，则取得合法授权使用的软件著作权证书的须提供有效的软件著作权证书及授权书原件扫描件。若上述相关证书为外文版本，须提供对照原外文版本实质内容相同的中文翻译版本，否则提供的内容视为无效。）</w:t>
            </w:r>
            <w:bookmarkEnd w:id="299"/>
            <w:r/>
            <w:r/>
          </w:p>
        </w:tc>
      </w:tr>
    </w:tbl>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的真实性</w:t>
      </w:r>
      <w:r>
        <w:rPr>
          <w:b/>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98"/>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878"/>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878"/>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878"/>
        <w:ind w:firstLine="560"/>
        <w:spacing w:line="500" w:lineRule="exact"/>
        <w:rPr>
          <w:rFonts w:ascii="宋体" w:hAnsi="宋体"/>
          <w:sz w:val="28"/>
          <w:szCs w:val="28"/>
        </w:rPr>
      </w:pPr>
      <w:r>
        <w:rPr>
          <w:rFonts w:hint="eastAsia" w:ascii="宋体" w:hAnsi="宋体"/>
          <w:sz w:val="28"/>
          <w:szCs w:val="28"/>
        </w:rPr>
        <w:t xml:space="preserve">2.3.2详细评审的内容及标准：见资格审查和评标办法前附表。</w:t>
      </w:r>
      <w:r/>
    </w:p>
    <w:p>
      <w:pPr>
        <w:pStyle w:val="878"/>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pStyle w:val="878"/>
        <w:ind w:firstLine="560"/>
        <w:spacing w:line="500" w:lineRule="exact"/>
      </w:pPr>
      <w:r>
        <w:rPr>
          <w:rFonts w:hint="eastAsia" w:ascii="宋体" w:hAnsi="宋体"/>
          <w:sz w:val="28"/>
          <w:szCs w:val="28"/>
        </w:rPr>
        <w:t xml:space="preserve">2.3.3.1对本国产品的报价给予20%的价格扣除，用扣除后的价格参与评审。当采购项目或者采购包中含有多种产品，投标人为该采购项目或者采购包提供的符合本国产品标准的产品成本之和占投标人提供的全部产品成本之和的比例达到80%以上时，对投标人提供的全部产品给予价格评审优惠，即对投标人提供的全部产品的总报价给予20%的价格扣除，用扣除后的价格参与评审。本国产品标准、成本核算规则等规定详见《国务院办公厅关于在政府采购中实施本国产品标准及相关政策的通知》（国办发[2025]34号）文件。</w:t>
      </w:r>
      <w:r/>
    </w:p>
    <w:p>
      <w:pPr>
        <w:spacing w:line="500" w:lineRule="exact"/>
        <w:rPr>
          <w:rFonts w:ascii="楷体" w:hAnsi="楷体" w:eastAsia="楷体"/>
          <w:b/>
          <w:sz w:val="28"/>
          <w:szCs w:val="28"/>
        </w:rPr>
      </w:pPr>
      <w:r/>
      <w:bookmarkStart w:id="30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8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8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8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878"/>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878"/>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878"/>
        <w:ind w:firstLine="560"/>
        <w:spacing w:line="500" w:lineRule="exact"/>
        <w:rPr>
          <w:rFonts w:ascii="宋体" w:hAnsi="宋体"/>
          <w:sz w:val="28"/>
          <w:szCs w:val="28"/>
        </w:rPr>
      </w:pPr>
      <w:r>
        <w:rPr>
          <w:rFonts w:hint="eastAsia" w:ascii="宋体" w:hAnsi="宋体"/>
          <w:sz w:val="28"/>
          <w:szCs w:val="28"/>
        </w:rPr>
        <w:t xml:space="preserve">各投标人应慎重报价，不得恶意降价，评审委员会在评审过程中认为投标人报价过低，有可能影响产品质量或者不能诚信履约的，评审委员会将启动异常低价投标审查程序。具体异常低价的情形及相关内容按照财库[2026]2号文件规定执行。</w:t>
      </w:r>
      <w:r/>
    </w:p>
    <w:p>
      <w:pPr>
        <w:pStyle w:val="878"/>
        <w:ind w:firstLine="560"/>
        <w:spacing w:line="500" w:lineRule="exact"/>
        <w:rPr>
          <w:rFonts w:ascii="宋体" w:hAnsi="宋体"/>
          <w:sz w:val="28"/>
          <w:szCs w:val="28"/>
        </w:rPr>
      </w:pPr>
      <w:r>
        <w:rPr>
          <w:rFonts w:hint="eastAsia" w:ascii="宋体" w:hAnsi="宋体"/>
          <w:sz w:val="28"/>
          <w:szCs w:val="28"/>
        </w:rPr>
        <w:t xml:space="preserve">若投标报价出现财库[2026]2号文件第二条（一）第</w:t>
      </w:r>
      <w:r>
        <w:rPr>
          <w:rFonts w:hint="eastAsia" w:ascii="宋体" w:hAnsi="宋体"/>
          <w:sz w:val="28"/>
          <w:szCs w:val="28"/>
        </w:rPr>
        <w:t xml:space="preserve">1条投标（响应）报价低于全部通过符合性审查投标人投标（响应）报价平均值50%的，即投标（响应）报价&lt;全部通过符合性审查投标人投标（响应）报价平均值×50%；第2条投标（响应）报价低于通过符合性审查的次低报价投标人投标（响应）报价50%的，即投标（响应）报价&lt;通过符合性审查的次低报价投标人投标（响应）报价×50%；第3条投标（响应）报价低于采购项目最高限价65%的，即投标（响应）报价&lt;采购项目最高限价×65%情形及第4条评审委员会基于专业判断，认为投标人报价过低，有可能影响产品质量或者不能诚信履约的其他情形。</w:t>
      </w:r>
      <w:r/>
    </w:p>
    <w:p>
      <w:pPr>
        <w:pStyle w:val="878"/>
        <w:ind w:firstLine="560"/>
        <w:spacing w:line="500" w:lineRule="exact"/>
        <w:rPr>
          <w:rFonts w:ascii="宋体" w:hAnsi="宋体"/>
          <w:sz w:val="28"/>
          <w:szCs w:val="28"/>
        </w:rPr>
      </w:pPr>
      <w:r>
        <w:rPr>
          <w:rFonts w:hint="eastAsia" w:ascii="宋体" w:hAnsi="宋体"/>
          <w:sz w:val="28"/>
          <w:szCs w:val="28"/>
        </w:rPr>
        <w:t xml:space="preserve">评审委员会启动异常低价投标（响应）审查后，属于前述第1条至第4条情形的，应当要求相关投标人在评审现场合理的时间内对投标（响应）价格作出解释，提供项目具体成本测算等与报价合理性相关的书面说明及必要的证明材料，包括但不限于原材料成本、人工成本、制造费用等。其中，属于第3条情形，投标人已随投标（响应）文件一并提交相关书面说明及必要的证明材料的，在评审现场可不再重复提交。</w:t>
      </w:r>
      <w:r/>
    </w:p>
    <w:p>
      <w:pPr>
        <w:pStyle w:val="878"/>
        <w:ind w:firstLine="560"/>
        <w:spacing w:line="500" w:lineRule="exact"/>
        <w:rPr>
          <w:rFonts w:ascii="宋体" w:hAnsi="宋体"/>
          <w:sz w:val="28"/>
          <w:szCs w:val="28"/>
        </w:rPr>
      </w:pPr>
      <w:r>
        <w:rPr>
          <w:rFonts w:hint="eastAsia" w:ascii="宋体" w:hAnsi="宋体"/>
          <w:sz w:val="28"/>
          <w:szCs w:val="28"/>
        </w:rPr>
        <w:t xml:space="preserve">如果投标投标人未提供书面说明、证明材料，或者提供的书面说明、证明材料不能证明其报价合理性的，评标委员会应对其作为无效投标处理。</w:t>
      </w:r>
      <w:r/>
    </w:p>
    <w:p>
      <w:pPr>
        <w:pStyle w:val="878"/>
        <w:ind w:firstLine="56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87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878"/>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w:t>
      </w:r>
      <w:r>
        <w:rPr>
          <w:rFonts w:hint="eastAsia"/>
          <w:sz w:val="28"/>
          <w:szCs w:val="28"/>
        </w:rPr>
        <w:t xml:space="preserve">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878"/>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78"/>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878"/>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8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878"/>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878"/>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878"/>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87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87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87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878"/>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878"/>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70"/>
      <w:r/>
      <w:bookmarkEnd w:id="271"/>
      <w:r/>
      <w:bookmarkEnd w:id="272"/>
      <w:r/>
      <w:bookmarkEnd w:id="273"/>
      <w:r/>
      <w:bookmarkEnd w:id="274"/>
      <w:r/>
      <w:bookmarkEnd w:id="275"/>
      <w:r/>
      <w:bookmarkEnd w:id="276"/>
      <w:r/>
      <w:bookmarkEnd w:id="277"/>
      <w:r/>
      <w:bookmarkEnd w:id="300"/>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bookmarkStart w:id="301" w:name="OLE_LINK11"/>
      <w:r/>
      <w:bookmarkStart w:id="302" w:name="OLE_LINK12"/>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9"/>
        <w:ind w:firstLine="643"/>
        <w:rPr>
          <w:rFonts w:ascii="黑体" w:hAnsi="黑体" w:eastAsia="黑体" w:cs="仿宋"/>
          <w:b/>
          <w:sz w:val="32"/>
          <w:szCs w:val="32"/>
        </w:rPr>
      </w:pPr>
      <w:r>
        <w:rPr>
          <w:rFonts w:ascii="黑体" w:hAnsi="黑体" w:eastAsia="黑体" w:cs="仿宋"/>
          <w:b/>
          <w:sz w:val="32"/>
          <w:szCs w:val="32"/>
        </w:rPr>
      </w:r>
      <w:r/>
    </w:p>
    <w:p>
      <w:pPr>
        <w:pStyle w:val="901"/>
        <w:rPr>
          <w:color w:val="auto"/>
        </w:rPr>
      </w:pPr>
      <w:r>
        <w:rPr>
          <w:color w:val="auto"/>
        </w:rPr>
      </w:r>
      <w:r/>
    </w:p>
    <w:p>
      <w:pPr>
        <w:jc w:val="center"/>
        <w:rPr>
          <w:rFonts w:ascii="黑体" w:hAnsi="黑体" w:eastAsia="黑体" w:cs="仿宋"/>
          <w:b/>
          <w:bCs/>
          <w:sz w:val="32"/>
          <w:szCs w:val="32"/>
        </w:rPr>
      </w:pPr>
      <w:r>
        <w:rPr>
          <w:rFonts w:hint="eastAsia" w:ascii="黑体" w:hAnsi="黑体" w:eastAsia="黑体" w:cs="仿宋"/>
          <w:b/>
          <w:sz w:val="32"/>
          <w:szCs w:val="32"/>
          <w:highlight w:val="none"/>
        </w:rPr>
      </w:r>
      <w:r>
        <w:rPr>
          <w:rFonts w:hint="eastAsia" w:ascii="黑体" w:hAnsi="黑体" w:eastAsia="黑体" w:cs="仿宋"/>
          <w:b/>
          <w:sz w:val="32"/>
          <w:szCs w:val="32"/>
          <w:highlight w:val="none"/>
        </w:rPr>
      </w:r>
      <w:r/>
    </w:p>
    <w:p>
      <w:pPr>
        <w:jc w:val="center"/>
        <w:rPr>
          <w:rFonts w:hint="eastAsia" w:ascii="黑体" w:hAnsi="黑体" w:eastAsia="黑体" w:cs="仿宋"/>
          <w:b/>
          <w:bCs/>
          <w:sz w:val="32"/>
          <w:szCs w:val="32"/>
          <w:highlight w:val="none"/>
        </w:rPr>
      </w:pPr>
      <w:r>
        <w:rPr>
          <w:rFonts w:hint="eastAsia" w:ascii="黑体" w:hAnsi="黑体" w:eastAsia="黑体" w:cs="仿宋"/>
          <w:b/>
          <w:sz w:val="32"/>
          <w:szCs w:val="32"/>
        </w:rPr>
        <w:t xml:space="preserve">第四章 </w:t>
      </w:r>
      <w:bookmarkStart w:id="303" w:name="OLE_LINK128"/>
      <w:r/>
      <w:bookmarkStart w:id="304" w:name="OLE_LINK129"/>
      <w:r>
        <w:rPr>
          <w:rFonts w:hint="eastAsia" w:ascii="黑体" w:hAnsi="黑体" w:eastAsia="黑体" w:cs="仿宋"/>
          <w:b/>
          <w:sz w:val="32"/>
          <w:szCs w:val="32"/>
        </w:rPr>
        <w:t xml:space="preserve">采购需求</w:t>
      </w:r>
      <w:r/>
    </w:p>
    <w:p>
      <w:pPr>
        <w:spacing w:line="380" w:lineRule="exact"/>
        <w:rPr>
          <w:rFonts w:ascii="宋体" w:hAnsi="宋体"/>
          <w:b/>
          <w:sz w:val="32"/>
          <w:szCs w:val="32"/>
        </w:rPr>
      </w:pPr>
      <w:r/>
      <w:bookmarkStart w:id="305" w:name="_Toc390099064"/>
      <w:r/>
      <w:bookmarkStart w:id="306" w:name="_Toc120614221"/>
      <w:r/>
      <w:bookmarkStart w:id="307" w:name="_Toc383698693"/>
      <w:r/>
      <w:bookmarkStart w:id="308" w:name="_Toc382812483"/>
      <w:r/>
      <w:bookmarkStart w:id="309" w:name="_Toc16938558"/>
      <w:r/>
      <w:bookmarkStart w:id="310" w:name="_Toc20823314"/>
      <w:r/>
      <w:bookmarkStart w:id="311" w:name="_Toc383623719"/>
      <w:r/>
      <w:bookmarkStart w:id="312" w:name="_Toc382814013"/>
      <w:r/>
      <w:bookmarkStart w:id="313" w:name="_Toc382813932"/>
      <w:r/>
      <w:bookmarkStart w:id="314" w:name="_Toc383587504"/>
      <w:r/>
      <w:bookmarkStart w:id="315" w:name="_Toc383626040"/>
      <w:r/>
      <w:bookmarkStart w:id="316" w:name="_Toc282446295"/>
      <w:r/>
      <w:bookmarkStart w:id="317" w:name="_Toc390098886"/>
      <w:r/>
      <w:bookmarkStart w:id="318" w:name="_Toc405388431"/>
      <w:r/>
      <w:bookmarkStart w:id="319" w:name="_Toc479757207"/>
      <w:r/>
      <w:bookmarkStart w:id="320" w:name="_Toc390246951"/>
      <w:r/>
      <w:bookmarkStart w:id="321" w:name="_Toc383679793"/>
      <w:r/>
      <w:bookmarkStart w:id="322" w:name="_Toc288030331"/>
      <w:r/>
      <w:bookmarkStart w:id="323" w:name="_Toc426469928"/>
      <w:r/>
      <w:bookmarkStart w:id="324" w:name="_Toc513029242"/>
      <w:r/>
      <w:bookmarkStart w:id="325" w:name="_Toc383623991"/>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spacing w:line="400" w:lineRule="exact"/>
        <w:rPr>
          <w:rFonts w:ascii="宋体" w:hAnsi="宋体" w:cs="宋体"/>
          <w:szCs w:val="21"/>
        </w:rPr>
      </w:pPr>
      <w:r>
        <w:rPr>
          <w:rFonts w:hint="eastAsia" w:ascii="宋体" w:hAnsi="宋体" w:cs="宋体"/>
          <w:szCs w:val="21"/>
        </w:rPr>
        <w:t xml:space="preserve">结合目前较为先进的软硬件技术和无线通信技术，建设稳定可靠技术先进的单灯控制和集中控制，产品各项功能和技术指标均需满足泰兴市路灯照明精细化管理的要求,并要求此次单灯控制、集中控制和光照传感器无缝对接至泰兴市路灯管理控制系统平台。 </w:t>
      </w:r>
      <w:r/>
    </w:p>
    <w:p>
      <w:pPr>
        <w:ind w:firstLine="482"/>
        <w:spacing w:line="400" w:lineRule="exact"/>
        <w:rPr>
          <w:rFonts w:ascii="宋体" w:hAnsi="宋体" w:cs="宋体"/>
          <w:b/>
          <w:bCs/>
          <w:szCs w:val="21"/>
          <w:lang w:bidi="ar"/>
        </w:rPr>
      </w:pPr>
      <w:r>
        <w:rPr>
          <w:rFonts w:hint="eastAsia" w:ascii="宋体" w:hAnsi="宋体" w:cs="宋体"/>
          <w:b/>
          <w:bCs/>
          <w:szCs w:val="21"/>
          <w:lang w:bidi="ar"/>
        </w:rPr>
        <w:t xml:space="preserve">采购清单</w:t>
      </w:r>
      <w:r/>
    </w:p>
    <w:tbl>
      <w:tblPr>
        <w:tblW w:w="4990" w:type="pct"/>
        <w:tblLayout w:type="fixed"/>
        <w:tblLook w:val="04A0" w:firstRow="1" w:lastRow="0" w:firstColumn="1" w:lastColumn="0" w:noHBand="0" w:noVBand="1"/>
      </w:tblPr>
      <w:tblGrid>
        <w:gridCol w:w="558"/>
        <w:gridCol w:w="1821"/>
        <w:gridCol w:w="3148"/>
        <w:gridCol w:w="849"/>
        <w:gridCol w:w="1067"/>
        <w:gridCol w:w="1401"/>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lang w:bidi="ar"/>
              </w:rPr>
              <w:t xml:space="preserve">路灯单灯控制器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widowControl/>
              <w:rPr>
                <w:rFonts w:ascii="宋体" w:hAnsi="宋体" w:cs="宋体"/>
                <w:szCs w:val="21"/>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lang w:bidi="ar"/>
              </w:rPr>
              <w:t xml:space="preserve">单灯控制器物联网卡</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widowControl/>
              <w:rPr>
                <w:rFonts w:ascii="宋体" w:hAnsi="宋体" w:cs="宋体"/>
                <w:szCs w:val="21"/>
              </w:rPr>
            </w:pPr>
            <w:r>
              <w:rPr>
                <w:rFonts w:hint="eastAsia" w:ascii="宋体" w:hAnsi="宋体" w:cs="宋体"/>
                <w:szCs w:val="21"/>
                <w:lang w:bidi="ar"/>
              </w:rPr>
              <w:t xml:space="preserve">支持4、5G状态下使用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widowControl/>
              <w:rPr>
                <w:rFonts w:ascii="宋体" w:hAnsi="宋体" w:cs="宋体"/>
                <w:szCs w:val="21"/>
              </w:rPr>
            </w:pPr>
            <w:r>
              <w:rPr>
                <w:rFonts w:hint="eastAsia" w:ascii="宋体" w:hAnsi="宋体" w:cs="宋体"/>
                <w:szCs w:val="21"/>
                <w:lang w:bidi="ar"/>
              </w:rPr>
              <w:t xml:space="preserve">五年费用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lang w:bidi="ar"/>
              </w:rPr>
              <w:t xml:space="preserve">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widowControl/>
              <w:rPr>
                <w:rFonts w:ascii="宋体" w:hAnsi="宋体" w:cs="宋体"/>
                <w:szCs w:val="21"/>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lang w:bidi="ar"/>
              </w:rPr>
              <w:t xml:space="preserve">集中控制器物联网卡</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widowControl/>
              <w:rPr>
                <w:rFonts w:ascii="宋体" w:hAnsi="宋体" w:cs="宋体"/>
                <w:szCs w:val="21"/>
              </w:rPr>
            </w:pPr>
            <w:r>
              <w:rPr>
                <w:rFonts w:hint="eastAsia" w:ascii="宋体" w:hAnsi="宋体" w:cs="宋体"/>
                <w:szCs w:val="21"/>
                <w:lang w:bidi="ar"/>
              </w:rPr>
              <w:t xml:space="preserve">支持4、5G状态下使用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widowControl/>
              <w:rPr>
                <w:rFonts w:ascii="宋体" w:hAnsi="宋体" w:cs="宋体"/>
                <w:szCs w:val="21"/>
              </w:rPr>
            </w:pPr>
            <w:r>
              <w:rPr>
                <w:rFonts w:hint="eastAsia" w:ascii="宋体" w:hAnsi="宋体" w:cs="宋体"/>
                <w:szCs w:val="21"/>
                <w:lang w:bidi="ar"/>
              </w:rPr>
              <w:t xml:space="preserve">五年费用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lang w:bidi="ar"/>
              </w:rPr>
              <w:t xml:space="preserve">路灯箱变更新</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widowControl/>
              <w:rPr>
                <w:rFonts w:ascii="宋体" w:hAnsi="宋体" w:cs="宋体"/>
                <w:szCs w:val="21"/>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rPr>
            </w:pPr>
            <w:r>
              <w:rPr>
                <w:rFonts w:hint="eastAsia" w:ascii="宋体" w:hAnsi="宋体" w:cs="宋体"/>
                <w:szCs w:val="21"/>
              </w:rPr>
              <w:t xml:space="preserve">光照传感器</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tcPr>
          <w:p>
            <w:pPr>
              <w:widowControl/>
              <w:rPr>
                <w:rFonts w:ascii="宋体" w:hAnsi="宋体" w:cs="宋体"/>
                <w:szCs w:val="21"/>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rPr>
                <w:rFonts w:ascii="宋体" w:hAnsi="宋体" w:cs="宋体"/>
                <w:szCs w:val="21"/>
              </w:rPr>
            </w:pPr>
            <w:r>
              <w:rPr>
                <w:rFonts w:ascii="宋体" w:hAnsi="宋体" w:cs="宋体"/>
                <w:szCs w:val="21"/>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 w:val="21"/>
                <w:szCs w:val="21"/>
              </w:rPr>
            </w:pPr>
            <w:r>
              <w:rPr>
                <w:rFonts w:hint="eastAsia" w:ascii="宋体" w:hAnsi="宋体" w:cs="宋体"/>
                <w:szCs w:val="21"/>
                <w:lang w:bidi="ar"/>
              </w:rPr>
              <w:t xml:space="preserve">光照传感器物联网卡</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widowControl/>
              <w:rPr>
                <w:rFonts w:ascii="宋体" w:hAnsi="宋体" w:cs="宋体"/>
                <w:sz w:val="21"/>
                <w:szCs w:val="21"/>
              </w:rPr>
            </w:pPr>
            <w:r>
              <w:rPr>
                <w:rFonts w:hint="eastAsia" w:ascii="宋体" w:hAnsi="宋体" w:cs="宋体"/>
                <w:szCs w:val="21"/>
                <w:lang w:bidi="ar"/>
              </w:rPr>
              <w:t xml:space="preserve">支持4、5G状态下使用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 w:val="21"/>
                <w:szCs w:val="21"/>
              </w:rPr>
            </w:pPr>
            <w:r>
              <w:rPr>
                <w:rFonts w:hint="eastAsia" w:ascii="宋体" w:hAnsi="宋体" w:cs="宋体"/>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 w:val="21"/>
                <w:szCs w:val="21"/>
              </w:rPr>
            </w:pPr>
            <w:r>
              <w:rPr>
                <w:rFonts w:hint="eastAsia" w:ascii="宋体" w:hAnsi="宋体" w:cs="宋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widowControl/>
              <w:rPr>
                <w:rFonts w:ascii="宋体" w:hAnsi="宋体" w:cs="宋体"/>
                <w:sz w:val="21"/>
                <w:szCs w:val="21"/>
              </w:rPr>
            </w:pPr>
            <w:r>
              <w:rPr>
                <w:rFonts w:hint="eastAsia" w:ascii="宋体" w:hAnsi="宋体" w:cs="宋体"/>
                <w:szCs w:val="21"/>
                <w:lang w:bidi="ar"/>
              </w:rPr>
              <w:t xml:space="preserve">五年费用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lang w:bidi="ar"/>
              </w:rPr>
            </w:pPr>
            <w:r>
              <w:rPr>
                <w:rFonts w:hint="eastAsia" w:ascii="宋体" w:hAnsi="宋体" w:cs="宋体"/>
                <w:szCs w:val="21"/>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widowControl/>
              <w:rPr>
                <w:rFonts w:ascii="宋体" w:hAnsi="宋体" w:cs="宋体"/>
                <w:szCs w:val="21"/>
                <w:lang w:bidi="ar"/>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widowControl/>
              <w:rPr>
                <w:rFonts w:ascii="宋体" w:hAnsi="宋体" w:cs="宋体"/>
                <w:szCs w:val="21"/>
                <w:lang w:bidi="ar"/>
              </w:rPr>
            </w:pPr>
            <w:r>
              <w:rPr>
                <w:rFonts w:ascii="宋体" w:hAnsi="宋体" w:cs="宋体"/>
                <w:szCs w:val="21"/>
                <w:lang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lang w:bidi="ar"/>
              </w:rPr>
            </w:pPr>
            <w:r>
              <w:rPr>
                <w:rFonts w:hint="eastAsia" w:ascii="宋体" w:hAnsi="宋体" w:cs="宋体"/>
                <w:szCs w:val="21"/>
                <w:lang w:bidi="ar"/>
              </w:rPr>
              <w:t xml:space="preserve">视频存储器</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widowControl/>
              <w:rPr>
                <w:rFonts w:ascii="宋体" w:hAnsi="宋体" w:cs="宋体"/>
                <w:szCs w:val="21"/>
                <w:lang w:bidi="ar"/>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widowControl/>
              <w:rPr>
                <w:rFonts w:ascii="宋体" w:hAnsi="宋体" w:cs="宋体"/>
                <w:szCs w:val="21"/>
                <w:lang w:bidi="ar"/>
              </w:rPr>
            </w:pPr>
            <w:r>
              <w:rPr>
                <w:rFonts w:ascii="宋体" w:hAnsi="宋体" w:cs="宋体"/>
                <w:szCs w:val="21"/>
                <w:lang w:bidi="ar"/>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widowControl/>
              <w:rPr>
                <w:rFonts w:ascii="宋体" w:hAnsi="宋体" w:cs="宋体"/>
                <w:szCs w:val="21"/>
                <w:lang w:bidi="ar"/>
              </w:rPr>
            </w:pPr>
            <w:r>
              <w:rPr>
                <w:rFonts w:hint="eastAsia" w:ascii="宋体" w:hAnsi="宋体" w:cs="宋体"/>
                <w:szCs w:val="21"/>
                <w:lang w:bidi="ar"/>
              </w:rPr>
              <w:t xml:space="preserve">更新升级APP程序</w:t>
            </w:r>
            <w:r/>
          </w:p>
        </w:tc>
        <w:tc>
          <w:tcPr>
            <w:shd w:val="clear" w:color="auto" w:fill="auto"/>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widowControl/>
              <w:rPr>
                <w:rFonts w:ascii="宋体" w:hAnsi="宋体" w:cs="宋体"/>
                <w:szCs w:val="21"/>
                <w:lang w:bidi="ar"/>
              </w:rPr>
            </w:pPr>
            <w:r>
              <w:rPr>
                <w:rFonts w:hint="eastAsia" w:ascii="宋体" w:hAnsi="宋体" w:cs="宋体"/>
                <w:szCs w:val="21"/>
                <w:lang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tcPr>
          <w:p>
            <w:pPr>
              <w:widowControl/>
              <w:rPr>
                <w:rFonts w:ascii="宋体" w:hAnsi="宋体" w:cs="宋体"/>
                <w:szCs w:val="21"/>
                <w:lang w:bidi="ar"/>
              </w:rPr>
            </w:pPr>
            <w:r>
              <w:rPr>
                <w:rFonts w:ascii="宋体" w:hAnsi="宋体" w:cs="宋体"/>
                <w:szCs w:val="21"/>
                <w:lang w:bidi="ar"/>
              </w:rPr>
            </w:r>
            <w:r/>
          </w:p>
        </w:tc>
      </w:tr>
    </w:tbl>
    <w:p>
      <w:pPr>
        <w:ind w:firstLine="482"/>
        <w:spacing w:line="400" w:lineRule="exact"/>
        <w:rPr>
          <w:rFonts w:ascii="宋体" w:hAnsi="宋体" w:cs="宋体"/>
          <w:b/>
          <w:bCs/>
          <w:szCs w:val="21"/>
          <w:lang w:bidi="ar"/>
        </w:rPr>
      </w:pPr>
      <w:r>
        <w:rPr>
          <w:rFonts w:ascii="宋体" w:hAnsi="宋体" w:cs="宋体"/>
          <w:b/>
          <w:bCs/>
          <w:szCs w:val="21"/>
          <w:lang w:bidi="ar"/>
        </w:rPr>
      </w:r>
      <w:r/>
    </w:p>
    <w:p>
      <w:pPr>
        <w:ind w:firstLine="482"/>
        <w:spacing w:line="400" w:lineRule="exact"/>
        <w:rPr>
          <w:rFonts w:ascii="宋体" w:hAnsi="宋体" w:cs="宋体"/>
          <w:b/>
          <w:bCs/>
          <w:szCs w:val="21"/>
        </w:rPr>
      </w:pPr>
      <w:r>
        <w:rPr>
          <w:rFonts w:hint="eastAsia" w:ascii="宋体" w:hAnsi="宋体" w:cs="宋体"/>
          <w:b/>
          <w:bCs/>
          <w:szCs w:val="21"/>
          <w:lang w:bidi="ar"/>
        </w:rPr>
        <w:t xml:space="preserve">1.</w:t>
      </w:r>
      <w:bookmarkStart w:id="326" w:name="_Toc85100097"/>
      <w:r>
        <w:rPr>
          <w:rFonts w:hint="eastAsia" w:ascii="宋体" w:hAnsi="宋体" w:cs="宋体"/>
          <w:b/>
          <w:bCs/>
          <w:szCs w:val="21"/>
        </w:rPr>
        <w:t xml:space="preserve">单灯控制器</w:t>
      </w:r>
      <w:bookmarkEnd w:id="326"/>
      <w:r/>
      <w:r/>
    </w:p>
    <w:p>
      <w:pPr>
        <w:ind w:firstLine="482"/>
        <w:spacing w:line="400" w:lineRule="exact"/>
        <w:rPr>
          <w:rFonts w:ascii="宋体" w:hAnsi="宋体" w:cs="宋体"/>
          <w:b/>
          <w:bCs/>
          <w:szCs w:val="21"/>
        </w:rPr>
      </w:pPr>
      <w:r>
        <w:rPr>
          <w:rFonts w:hint="eastAsia" w:ascii="宋体" w:hAnsi="宋体" w:cs="宋体"/>
          <w:b/>
          <w:bCs/>
          <w:szCs w:val="21"/>
        </w:rPr>
        <w:t xml:space="preserve">1.1功能要求</w:t>
      </w:r>
      <w:r/>
    </w:p>
    <w:p>
      <w:pPr>
        <w:numPr>
          <w:ilvl w:val="0"/>
          <w:numId w:val="3"/>
        </w:numPr>
        <w:ind w:firstLine="360"/>
        <w:spacing w:line="400" w:lineRule="exact"/>
        <w:rPr>
          <w:rFonts w:ascii="宋体" w:hAnsi="宋体" w:cs="宋体"/>
          <w:szCs w:val="21"/>
        </w:rPr>
      </w:pPr>
      <w:r>
        <w:rPr>
          <w:rFonts w:hint="eastAsia" w:ascii="宋体" w:hAnsi="宋体" w:cs="宋体"/>
          <w:szCs w:val="21"/>
        </w:rPr>
        <w:t xml:space="preserve">单灯控制器需具有2路及以上开关控制功能。</w:t>
      </w:r>
      <w:r/>
    </w:p>
    <w:p>
      <w:pPr>
        <w:numPr>
          <w:ilvl w:val="0"/>
          <w:numId w:val="3"/>
        </w:numPr>
        <w:ind w:firstLine="360"/>
        <w:spacing w:line="400" w:lineRule="exact"/>
        <w:rPr>
          <w:rFonts w:ascii="宋体" w:hAnsi="宋体" w:cs="宋体"/>
          <w:szCs w:val="21"/>
        </w:rPr>
      </w:pPr>
      <w:r>
        <w:rPr>
          <w:rFonts w:hint="eastAsia" w:ascii="宋体" w:hAnsi="宋体" w:cs="宋体"/>
          <w:szCs w:val="21"/>
        </w:rPr>
        <w:t xml:space="preserve">单灯控制器需具有2路及以上0-10V调光输出功能，支持正向、反向调光逻辑。</w:t>
      </w:r>
      <w:r/>
    </w:p>
    <w:p>
      <w:pPr>
        <w:ind w:firstLine="360"/>
        <w:spacing w:line="400" w:lineRule="exact"/>
        <w:rPr>
          <w:rFonts w:ascii="宋体" w:hAnsi="宋体" w:cs="宋体"/>
          <w:szCs w:val="21"/>
        </w:rPr>
      </w:pPr>
      <w:r>
        <w:rPr>
          <w:rFonts w:hint="eastAsia" w:ascii="宋体" w:hAnsi="宋体" w:cs="宋体"/>
          <w:szCs w:val="21"/>
        </w:rPr>
        <w:t xml:space="preserve">（3）单灯控制器需能采集路灯运行的电压、电流、有功功率、功率因数等运行数据。</w:t>
      </w:r>
      <w:r/>
    </w:p>
    <w:p>
      <w:pPr>
        <w:ind w:firstLine="360"/>
        <w:spacing w:line="400" w:lineRule="exact"/>
        <w:rPr>
          <w:rFonts w:ascii="宋体" w:hAnsi="宋体" w:cs="宋体"/>
          <w:szCs w:val="21"/>
        </w:rPr>
      </w:pPr>
      <w:r>
        <w:rPr>
          <w:rFonts w:hint="eastAsia" w:ascii="宋体" w:hAnsi="宋体" w:cs="宋体"/>
          <w:szCs w:val="21"/>
        </w:rPr>
        <w:t xml:space="preserve">（4）单灯控制器需具有执行控制中心的查询、调控和参数设置指令的功能。</w:t>
      </w:r>
      <w:r/>
    </w:p>
    <w:p>
      <w:pPr>
        <w:ind w:firstLine="360"/>
        <w:spacing w:line="400" w:lineRule="exact"/>
        <w:rPr>
          <w:rFonts w:ascii="宋体" w:hAnsi="宋体" w:cs="宋体"/>
          <w:szCs w:val="21"/>
        </w:rPr>
      </w:pPr>
      <w:r>
        <w:rPr>
          <w:rFonts w:hint="eastAsia" w:ascii="宋体" w:hAnsi="宋体" w:cs="宋体"/>
          <w:szCs w:val="21"/>
        </w:rPr>
        <w:t xml:space="preserve">（5）单灯控制器需支持失电告警功能。单灯提供断电后短时间自供电能力，可以上报断电告警，能够有效区分出设备离线是因为网络故障还是设备断电。</w:t>
      </w:r>
      <w:r/>
    </w:p>
    <w:p>
      <w:pPr>
        <w:ind w:firstLine="360"/>
        <w:spacing w:line="400" w:lineRule="exact"/>
        <w:rPr>
          <w:rFonts w:ascii="宋体" w:hAnsi="宋体" w:cs="宋体"/>
          <w:szCs w:val="21"/>
        </w:rPr>
      </w:pPr>
      <w:r>
        <w:rPr>
          <w:rFonts w:hint="eastAsia" w:ascii="宋体" w:hAnsi="宋体" w:cs="宋体"/>
          <w:szCs w:val="21"/>
        </w:rPr>
        <w:t xml:space="preserve">（6）单灯控制器需具备自定义告警功能。在单灯运行过程中，可以对单灯采集或者运算的数据进行逻辑关系和算法在线编辑，从而产生用户期望的告警数据。</w:t>
      </w:r>
      <w:r/>
    </w:p>
    <w:p>
      <w:pPr>
        <w:ind w:firstLine="360"/>
        <w:spacing w:line="400" w:lineRule="exact"/>
        <w:rPr>
          <w:rFonts w:ascii="宋体" w:hAnsi="宋体" w:cs="宋体"/>
          <w:szCs w:val="21"/>
        </w:rPr>
      </w:pPr>
      <w:r>
        <w:rPr>
          <w:rFonts w:hint="eastAsia" w:ascii="宋体" w:hAnsi="宋体" w:cs="宋体"/>
          <w:szCs w:val="21"/>
        </w:rPr>
        <w:t xml:space="preserve">（7）单灯控制器需具有参数设置（亮灯策略、网络配置、网络地址等参数）和</w:t>
      </w:r>
      <w:r>
        <w:rPr>
          <w:rFonts w:hint="eastAsia" w:ascii="宋体" w:hAnsi="宋体" w:cs="宋体"/>
          <w:szCs w:val="21"/>
        </w:rPr>
        <w:t xml:space="preserve">掉电保护功能，具有远程嵌入式程序升级功能。</w:t>
      </w:r>
      <w:r/>
    </w:p>
    <w:p>
      <w:pPr>
        <w:ind w:firstLine="360"/>
        <w:spacing w:line="400" w:lineRule="exact"/>
        <w:rPr>
          <w:rFonts w:ascii="宋体" w:hAnsi="宋体" w:cs="宋体"/>
          <w:szCs w:val="21"/>
        </w:rPr>
      </w:pPr>
      <w:r>
        <w:rPr>
          <w:rFonts w:hint="eastAsia" w:ascii="宋体" w:hAnsi="宋体" w:cs="宋体"/>
          <w:szCs w:val="21"/>
        </w:rPr>
        <w:t xml:space="preserve">（8）需具有多平台接入功能。单灯应可动态配置数据的上报平台，必须支持路灯管理控制系统平台，便于设备的远程运行维护。</w:t>
      </w:r>
      <w:r/>
    </w:p>
    <w:p>
      <w:pPr>
        <w:ind w:firstLine="360"/>
        <w:spacing w:line="400" w:lineRule="exact"/>
        <w:rPr>
          <w:rFonts w:ascii="宋体" w:hAnsi="宋体" w:cs="宋体"/>
          <w:szCs w:val="21"/>
        </w:rPr>
      </w:pPr>
      <w:r>
        <w:rPr>
          <w:rFonts w:hint="eastAsia" w:ascii="宋体" w:hAnsi="宋体" w:cs="宋体"/>
          <w:szCs w:val="21"/>
        </w:rPr>
        <w:t xml:space="preserve">（9）单灯控制器与路灯控制中心之间的通讯方式采用4G- Cat1公共网络的通信方式，单灯控制器应具备自动入网功能。</w:t>
      </w:r>
      <w:r/>
    </w:p>
    <w:p>
      <w:pPr>
        <w:ind w:firstLine="360"/>
        <w:spacing w:line="400" w:lineRule="exact"/>
        <w:rPr>
          <w:rFonts w:ascii="宋体" w:hAnsi="宋体" w:cs="宋体"/>
          <w:szCs w:val="21"/>
        </w:rPr>
      </w:pPr>
      <w:r>
        <w:rPr>
          <w:rFonts w:hint="eastAsia" w:ascii="宋体" w:hAnsi="宋体" w:cs="宋体"/>
          <w:szCs w:val="21"/>
        </w:rPr>
        <w:t xml:space="preserve">（10）单灯控制器应需备本地参数维护功能。单灯提供蓝牙通信功能，支持智能终端设备本地调试功能。</w:t>
      </w:r>
      <w:r/>
    </w:p>
    <w:p>
      <w:pPr>
        <w:ind w:firstLine="360"/>
        <w:spacing w:line="400" w:lineRule="exact"/>
        <w:rPr>
          <w:rFonts w:ascii="宋体" w:hAnsi="宋体" w:cs="宋体"/>
          <w:szCs w:val="21"/>
        </w:rPr>
      </w:pPr>
      <w:r>
        <w:rPr>
          <w:rFonts w:hint="eastAsia" w:ascii="宋体" w:hAnsi="宋体" w:cs="宋体"/>
          <w:szCs w:val="21"/>
        </w:rPr>
        <w:t xml:space="preserve">（11）单灯控制器需具备设备自动识别功能。在安装实施、调试和维护过程中，可以通过手机APP无线识别单灯并搜集单灯安装设置数据。</w:t>
      </w:r>
      <w:r/>
    </w:p>
    <w:p>
      <w:pPr>
        <w:ind w:firstLine="360"/>
        <w:spacing w:line="400" w:lineRule="exact"/>
        <w:rPr>
          <w:rFonts w:ascii="宋体" w:hAnsi="宋体" w:cs="宋体"/>
          <w:szCs w:val="21"/>
        </w:rPr>
      </w:pPr>
      <w:r>
        <w:rPr>
          <w:rFonts w:hint="eastAsia" w:ascii="宋体" w:hAnsi="宋体" w:cs="宋体"/>
          <w:szCs w:val="21"/>
        </w:rPr>
        <w:t xml:space="preserve">（12）因部分路段维修孔较小，单灯控制器设备尺寸需&lt;75*50*35mm。</w:t>
      </w:r>
      <w:r/>
    </w:p>
    <w:p>
      <w:pPr>
        <w:ind w:firstLine="600"/>
        <w:spacing w:line="400" w:lineRule="exact"/>
        <w:rPr>
          <w:rFonts w:ascii="宋体" w:hAnsi="宋体" w:cs="宋体"/>
          <w:szCs w:val="21"/>
        </w:rPr>
      </w:pPr>
      <w:r>
        <w:rPr>
          <w:rFonts w:hint="eastAsia" w:ascii="宋体" w:hAnsi="宋体" w:cs="宋体"/>
          <w:szCs w:val="21"/>
        </w:rPr>
        <w:t xml:space="preserve">第一中标候选人在项目中标结果公告发出后3天内提供符合要求的设备按照招标人的要求在规定的地点进行现场演示，如不提供现场演示或演示结果无法达到招标要求视同虚假承诺谋取中标，招标人有权取消中标资格，并上报主管部门进行不良行为公示，一切后果由投标人自行承担。</w:t>
      </w:r>
      <w:r/>
    </w:p>
    <w:p>
      <w:pPr>
        <w:spacing w:line="400" w:lineRule="exact"/>
        <w:rPr>
          <w:rFonts w:ascii="宋体" w:hAnsi="宋体" w:cs="宋体"/>
          <w:b/>
          <w:bCs/>
          <w:szCs w:val="21"/>
        </w:rPr>
      </w:pPr>
      <w:r>
        <w:rPr>
          <w:rFonts w:ascii="宋体" w:hAnsi="宋体" w:cs="宋体"/>
          <w:b/>
          <w:bCs/>
          <w:szCs w:val="21"/>
        </w:rPr>
      </w:r>
      <w:r/>
    </w:p>
    <w:p>
      <w:pPr>
        <w:ind w:firstLine="361"/>
        <w:spacing w:line="400" w:lineRule="exact"/>
        <w:rPr>
          <w:rFonts w:ascii="宋体" w:hAnsi="宋体" w:cs="宋体"/>
          <w:b/>
          <w:bCs/>
          <w:szCs w:val="21"/>
        </w:rPr>
      </w:pPr>
      <w:r>
        <w:rPr>
          <w:rFonts w:hint="eastAsia" w:ascii="宋体" w:hAnsi="宋体" w:cs="宋体"/>
          <w:b/>
          <w:bCs/>
          <w:szCs w:val="21"/>
        </w:rPr>
        <w:t xml:space="preserve">1.2技术要求</w:t>
      </w:r>
      <w:r/>
    </w:p>
    <w:p>
      <w:pPr>
        <w:ind w:firstLine="360"/>
        <w:spacing w:line="400" w:lineRule="exact"/>
        <w:rPr>
          <w:rFonts w:ascii="宋体" w:hAnsi="宋体" w:cs="宋体"/>
          <w:szCs w:val="21"/>
        </w:rPr>
      </w:pPr>
      <w:r>
        <w:rPr>
          <w:rFonts w:hint="eastAsia" w:ascii="宋体" w:hAnsi="宋体" w:cs="宋体"/>
          <w:szCs w:val="21"/>
        </w:rPr>
        <w:t xml:space="preserve">1.环境要求</w:t>
      </w:r>
      <w:r/>
    </w:p>
    <w:p>
      <w:pPr>
        <w:ind w:firstLine="360"/>
        <w:spacing w:line="400" w:lineRule="exact"/>
        <w:rPr>
          <w:rFonts w:ascii="宋体" w:hAnsi="宋体" w:cs="宋体"/>
          <w:szCs w:val="21"/>
        </w:rPr>
      </w:pPr>
      <w:r>
        <w:rPr>
          <w:rFonts w:hint="eastAsia" w:ascii="宋体" w:hAnsi="宋体" w:cs="宋体"/>
          <w:szCs w:val="21"/>
        </w:rPr>
        <w:t xml:space="preserve">单灯控制器在下列条件下应能正常工作： </w:t>
      </w:r>
      <w:r/>
    </w:p>
    <w:p>
      <w:pPr>
        <w:numPr>
          <w:ilvl w:val="0"/>
          <w:numId w:val="4"/>
        </w:numPr>
        <w:ind w:firstLine="360"/>
        <w:spacing w:line="400" w:lineRule="exact"/>
        <w:rPr>
          <w:rFonts w:ascii="宋体" w:hAnsi="宋体" w:cs="宋体"/>
          <w:szCs w:val="21"/>
        </w:rPr>
      </w:pPr>
      <w:r>
        <w:rPr>
          <w:rFonts w:hint="eastAsia" w:ascii="宋体" w:hAnsi="宋体" w:cs="宋体"/>
          <w:szCs w:val="21"/>
        </w:rPr>
        <w:t xml:space="preserve">工作温度：-40℃～+55℃；采用GB/T2423.2-2008标准。</w:t>
      </w:r>
      <w:r/>
    </w:p>
    <w:p>
      <w:pPr>
        <w:numPr>
          <w:ilvl w:val="0"/>
          <w:numId w:val="4"/>
        </w:numPr>
        <w:ind w:firstLine="360"/>
        <w:spacing w:line="400" w:lineRule="exact"/>
        <w:rPr>
          <w:rFonts w:ascii="宋体" w:hAnsi="宋体" w:cs="宋体"/>
          <w:szCs w:val="21"/>
        </w:rPr>
      </w:pPr>
      <w:r>
        <w:rPr>
          <w:rFonts w:hint="eastAsia" w:ascii="宋体" w:hAnsi="宋体" w:cs="宋体"/>
          <w:szCs w:val="21"/>
        </w:rPr>
        <w:t xml:space="preserve">平均相对湿度：≤95%RH（+25℃）；采用GB/T2423. 3-2016标准。    </w:t>
      </w:r>
      <w:r/>
    </w:p>
    <w:p>
      <w:pPr>
        <w:ind w:firstLine="360"/>
        <w:spacing w:line="400" w:lineRule="exact"/>
        <w:rPr>
          <w:rFonts w:ascii="宋体" w:hAnsi="宋体" w:cs="宋体"/>
          <w:szCs w:val="21"/>
        </w:rPr>
      </w:pPr>
      <w:r>
        <w:rPr>
          <w:rFonts w:hint="eastAsia" w:ascii="宋体" w:hAnsi="宋体" w:cs="宋体"/>
          <w:szCs w:val="21"/>
        </w:rPr>
        <w:t xml:space="preserve">（3）单灯控制器防护应不低于IP65。</w:t>
      </w:r>
      <w:r/>
    </w:p>
    <w:p>
      <w:pPr>
        <w:ind w:firstLine="360"/>
        <w:spacing w:line="400" w:lineRule="exact"/>
        <w:rPr>
          <w:rFonts w:ascii="宋体" w:hAnsi="宋体" w:cs="宋体"/>
          <w:szCs w:val="21"/>
        </w:rPr>
      </w:pPr>
      <w:r>
        <w:rPr>
          <w:rFonts w:hint="eastAsia" w:ascii="宋体" w:hAnsi="宋体" w:cs="宋体"/>
          <w:szCs w:val="21"/>
        </w:rPr>
        <w:t xml:space="preserve">（4）电源适应性要求： AC220V，电压波动范围：-20%～+20%。</w:t>
      </w:r>
      <w:r/>
    </w:p>
    <w:p>
      <w:pPr>
        <w:ind w:firstLine="360"/>
        <w:spacing w:line="400" w:lineRule="exact"/>
        <w:rPr>
          <w:rFonts w:ascii="宋体" w:hAnsi="宋体" w:cs="宋体"/>
          <w:szCs w:val="21"/>
        </w:rPr>
      </w:pPr>
      <w:r>
        <w:rPr>
          <w:rFonts w:hint="eastAsia" w:ascii="宋体" w:hAnsi="宋体" w:cs="宋体"/>
          <w:szCs w:val="21"/>
        </w:rPr>
        <w:t xml:space="preserve">2.性能要求</w:t>
      </w:r>
      <w:r/>
    </w:p>
    <w:p>
      <w:pPr>
        <w:ind w:firstLine="480"/>
        <w:spacing w:line="400" w:lineRule="exact"/>
        <w:rPr>
          <w:rFonts w:ascii="宋体" w:hAnsi="宋体" w:cs="宋体"/>
          <w:szCs w:val="21"/>
        </w:rPr>
      </w:pPr>
      <w:r>
        <w:rPr>
          <w:rFonts w:hint="eastAsia" w:ascii="宋体" w:hAnsi="宋体" w:cs="宋体"/>
          <w:szCs w:val="21"/>
        </w:rPr>
        <w:t xml:space="preserve">（1）单灯控制器开关控制处于继电器常闭触点，保证在设备自身故障的情况下不会影响正常亮灯，也不会致使光源、电器造成损坏。</w:t>
      </w:r>
      <w:r/>
    </w:p>
    <w:p>
      <w:pPr>
        <w:ind w:firstLine="480"/>
        <w:spacing w:line="400" w:lineRule="exact"/>
        <w:rPr>
          <w:rFonts w:ascii="宋体" w:hAnsi="宋体" w:cs="宋体"/>
          <w:szCs w:val="21"/>
        </w:rPr>
      </w:pPr>
      <w:r>
        <w:rPr>
          <w:rFonts w:hint="eastAsia" w:ascii="宋体" w:hAnsi="宋体" w:cs="宋体"/>
          <w:szCs w:val="21"/>
        </w:rPr>
        <w:t xml:space="preserve">（2）单灯控制器具备系统离线时自动切入本地控制模式功能，在与路灯管理所智慧照明平台通信中断的情况下,能自主独立运行,按照预置参数自动执行路灯监测运行功能。</w:t>
      </w:r>
      <w:r/>
    </w:p>
    <w:p>
      <w:pPr>
        <w:ind w:firstLine="480"/>
        <w:spacing w:line="400" w:lineRule="exact"/>
        <w:rPr>
          <w:rFonts w:ascii="宋体" w:hAnsi="宋体" w:cs="宋体"/>
          <w:szCs w:val="21"/>
        </w:rPr>
      </w:pPr>
      <w:r>
        <w:rPr>
          <w:rFonts w:hint="eastAsia" w:ascii="宋体" w:hAnsi="宋体" w:cs="宋体"/>
          <w:szCs w:val="21"/>
        </w:rPr>
        <w:t xml:space="preserve">（3）单灯控制器与路灯控制中心通信响应时间须小于5s。</w:t>
      </w:r>
      <w:r/>
    </w:p>
    <w:p>
      <w:pPr>
        <w:ind w:firstLine="480"/>
        <w:spacing w:line="400" w:lineRule="exact"/>
        <w:rPr>
          <w:rFonts w:ascii="宋体" w:hAnsi="宋体" w:cs="宋体"/>
          <w:szCs w:val="21"/>
        </w:rPr>
      </w:pPr>
      <w:r>
        <w:rPr>
          <w:rFonts w:hint="eastAsia" w:ascii="宋体" w:hAnsi="宋体" w:cs="宋体"/>
          <w:szCs w:val="21"/>
        </w:rPr>
        <w:t xml:space="preserve">▲（4）单灯控制器具有单路和双路可选,单路控制器具有电压、电流、功率、010V调光、开关控制、自动校时等功能,数据主动上送、策略存储;双路控制器具有两路独立的电压、电流、功率、010V调光、开关控制功能,具有自动校时、数据主动上送以及策略存储功能。</w:t>
      </w:r>
      <w:r/>
    </w:p>
    <w:p>
      <w:pPr>
        <w:ind w:firstLine="480"/>
        <w:spacing w:line="400" w:lineRule="exact"/>
        <w:rPr>
          <w:rFonts w:ascii="宋体" w:hAnsi="宋体" w:cs="宋体"/>
          <w:szCs w:val="21"/>
        </w:rPr>
      </w:pPr>
      <w:r>
        <w:rPr>
          <w:rFonts w:hint="eastAsia" w:ascii="宋体" w:hAnsi="宋体" w:cs="宋体"/>
          <w:szCs w:val="21"/>
        </w:rPr>
        <w:t xml:space="preserve">以上功能需提供第三方权威检测机构出具的检测报告（带CNAS和CMA标志）并</w:t>
      </w:r>
      <w:r>
        <w:rPr>
          <w:rFonts w:hint="eastAsia" w:ascii="宋体" w:hAnsi="宋体" w:cs="宋体"/>
          <w:szCs w:val="21"/>
        </w:rPr>
        <w:t xml:space="preserve">加盖公章，否则该项不得分，原件备查。</w:t>
      </w:r>
      <w:r/>
    </w:p>
    <w:p>
      <w:pPr>
        <w:ind w:firstLine="480"/>
        <w:spacing w:line="400" w:lineRule="exact"/>
        <w:rPr>
          <w:rFonts w:ascii="宋体" w:hAnsi="宋体" w:cs="宋体"/>
          <w:szCs w:val="21"/>
        </w:rPr>
      </w:pPr>
      <w:r>
        <w:rPr>
          <w:rFonts w:hint="eastAsia" w:ascii="宋体" w:hAnsi="宋体" w:cs="宋体"/>
          <w:szCs w:val="21"/>
        </w:rPr>
        <w:t xml:space="preserve">▲（5）采用标准GB/T 17743-2021电气照明和类似设备的无线电骚扰测试。</w:t>
      </w:r>
      <w:r/>
    </w:p>
    <w:p>
      <w:pPr>
        <w:ind w:firstLine="480"/>
        <w:spacing w:line="400" w:lineRule="exact"/>
        <w:rPr>
          <w:rFonts w:ascii="宋体" w:hAnsi="宋体" w:cs="宋体"/>
          <w:szCs w:val="21"/>
        </w:rPr>
      </w:pPr>
      <w:r>
        <w:rPr>
          <w:rFonts w:hint="eastAsia" w:ascii="宋体" w:hAnsi="宋体" w:cs="宋体"/>
          <w:szCs w:val="21"/>
        </w:rPr>
        <w:t xml:space="preserve">以上功能需提供第三方权威检测机构出具的检测报告（带CNAS和CMA标志）并加盖公章，否则该项不得分，原件备查。</w:t>
      </w:r>
      <w:r/>
    </w:p>
    <w:p>
      <w:pPr>
        <w:ind w:firstLine="480"/>
        <w:spacing w:line="400" w:lineRule="exact"/>
        <w:rPr>
          <w:rFonts w:ascii="宋体" w:hAnsi="宋体" w:cs="宋体"/>
          <w:szCs w:val="21"/>
        </w:rPr>
      </w:pPr>
      <w:r>
        <w:rPr>
          <w:rFonts w:hint="eastAsia" w:ascii="宋体" w:hAnsi="宋体" w:cs="宋体"/>
          <w:szCs w:val="21"/>
        </w:rPr>
        <w:t xml:space="preserve">▲（6）静电放电抗扰度: 采用标准GB/T17626.2-2018。</w:t>
      </w:r>
      <w:r/>
    </w:p>
    <w:p>
      <w:pPr>
        <w:ind w:firstLine="480"/>
        <w:spacing w:line="400" w:lineRule="exact"/>
        <w:rPr>
          <w:rFonts w:ascii="宋体" w:hAnsi="宋体" w:cs="宋体"/>
          <w:szCs w:val="21"/>
        </w:rPr>
      </w:pPr>
      <w:r>
        <w:rPr>
          <w:rFonts w:hint="eastAsia" w:ascii="宋体" w:hAnsi="宋体" w:cs="宋体"/>
          <w:szCs w:val="21"/>
        </w:rPr>
        <w:t xml:space="preserve">以上功能需提供第三方权威检测机构出具的检测报告（带CNAS和CMA标志）并加盖公章，否则该项不得分，原件备查。</w:t>
      </w:r>
      <w:r/>
    </w:p>
    <w:p>
      <w:pPr>
        <w:ind w:firstLine="480"/>
        <w:spacing w:line="400" w:lineRule="exact"/>
        <w:rPr>
          <w:rFonts w:ascii="宋体" w:hAnsi="宋体" w:cs="宋体"/>
          <w:szCs w:val="21"/>
        </w:rPr>
      </w:pPr>
      <w:r>
        <w:rPr>
          <w:rFonts w:hint="eastAsia" w:ascii="宋体" w:hAnsi="宋体" w:cs="宋体"/>
          <w:szCs w:val="21"/>
        </w:rPr>
        <w:t xml:space="preserve">▲（7）射频电磁场辐射抗扰度:符合GB/T17626.3-2016。</w:t>
      </w:r>
      <w:r/>
    </w:p>
    <w:p>
      <w:pPr>
        <w:ind w:firstLine="480"/>
        <w:spacing w:line="400" w:lineRule="exact"/>
        <w:rPr>
          <w:rFonts w:ascii="宋体" w:hAnsi="宋体" w:cs="宋体"/>
          <w:szCs w:val="21"/>
        </w:rPr>
      </w:pPr>
      <w:r>
        <w:rPr>
          <w:rFonts w:hint="eastAsia" w:ascii="宋体" w:hAnsi="宋体" w:cs="宋体"/>
          <w:szCs w:val="21"/>
        </w:rPr>
        <w:t xml:space="preserve">以上功能需提供第三方权威检测机构出具的检测报告（带CNAS和CMA标志）并加盖公章，否则该项不得分，原件备查。</w:t>
      </w:r>
      <w:r/>
    </w:p>
    <w:p>
      <w:pPr>
        <w:ind w:firstLine="480"/>
        <w:spacing w:line="400" w:lineRule="exact"/>
        <w:rPr>
          <w:rFonts w:ascii="宋体" w:hAnsi="宋体" w:cs="宋体"/>
          <w:szCs w:val="21"/>
        </w:rPr>
      </w:pPr>
      <w:r>
        <w:rPr>
          <w:rFonts w:hint="eastAsia" w:ascii="宋体" w:hAnsi="宋体" w:cs="宋体"/>
          <w:szCs w:val="21"/>
        </w:rPr>
        <w:t xml:space="preserve">▲（8）浪涌抗扰度:符合GB/T 17626.5-2019,线-线不低于6kV。</w:t>
      </w:r>
      <w:r/>
    </w:p>
    <w:p>
      <w:pPr>
        <w:ind w:firstLine="480"/>
        <w:spacing w:line="400" w:lineRule="exact"/>
        <w:rPr>
          <w:rFonts w:ascii="宋体" w:hAnsi="宋体" w:cs="宋体"/>
          <w:szCs w:val="21"/>
        </w:rPr>
      </w:pPr>
      <w:r>
        <w:rPr>
          <w:rFonts w:hint="eastAsia" w:ascii="宋体" w:hAnsi="宋体" w:cs="宋体"/>
          <w:szCs w:val="21"/>
        </w:rPr>
        <w:t xml:space="preserve">以上功能需提供第三方权威检测机构出具的检测报告（带CNAS和CMA标志）并加盖公章，否则该项不得分，原件备查。</w:t>
      </w:r>
      <w:r/>
    </w:p>
    <w:p>
      <w:pPr>
        <w:ind w:firstLine="480"/>
        <w:spacing w:line="400" w:lineRule="exact"/>
        <w:rPr>
          <w:rFonts w:ascii="宋体" w:hAnsi="宋体" w:cs="宋体"/>
          <w:szCs w:val="21"/>
        </w:rPr>
      </w:pPr>
      <w:r>
        <w:rPr>
          <w:rFonts w:hint="eastAsia" w:ascii="宋体" w:hAnsi="宋体" w:cs="宋体"/>
          <w:szCs w:val="21"/>
        </w:rPr>
        <w:t xml:space="preserve">（9）在湿热条件下,绝缘电阻应不小于2MΩ。</w:t>
      </w:r>
      <w:r/>
    </w:p>
    <w:p>
      <w:pPr>
        <w:ind w:firstLine="480"/>
        <w:spacing w:line="400" w:lineRule="exact"/>
        <w:rPr>
          <w:rFonts w:ascii="宋体" w:hAnsi="宋体" w:cs="宋体"/>
          <w:szCs w:val="21"/>
        </w:rPr>
      </w:pPr>
      <w:r>
        <w:rPr>
          <w:rFonts w:hint="eastAsia" w:ascii="宋体" w:hAnsi="宋体" w:cs="宋体"/>
          <w:szCs w:val="21"/>
        </w:rPr>
        <w:t xml:space="preserve">（10）单灯控制器工作功耗≤3W,静态功耗&lt;2w。</w:t>
      </w:r>
      <w:r/>
    </w:p>
    <w:p>
      <w:pPr>
        <w:ind w:firstLine="480"/>
        <w:spacing w:line="400" w:lineRule="exact"/>
        <w:rPr>
          <w:rFonts w:ascii="宋体" w:hAnsi="宋体" w:cs="宋体"/>
          <w:szCs w:val="21"/>
        </w:rPr>
      </w:pPr>
      <w:r>
        <w:rPr>
          <w:rFonts w:hint="eastAsia" w:ascii="宋体" w:hAnsi="宋体" w:cs="宋体"/>
          <w:szCs w:val="21"/>
        </w:rPr>
        <w:t xml:space="preserve">（11）采用4G—CAT1通讯。</w:t>
      </w:r>
      <w:r/>
    </w:p>
    <w:p>
      <w:pPr>
        <w:ind w:firstLine="480"/>
        <w:spacing w:line="400" w:lineRule="exact"/>
        <w:rPr>
          <w:rFonts w:ascii="宋体" w:hAnsi="宋体" w:cs="宋体"/>
          <w:szCs w:val="21"/>
        </w:rPr>
      </w:pPr>
      <w:r>
        <w:rPr>
          <w:rFonts w:hint="eastAsia" w:ascii="宋体" w:hAnsi="宋体" w:cs="宋体"/>
          <w:szCs w:val="21"/>
        </w:rPr>
        <w:t xml:space="preserve">（12）发射信号质量：</w:t>
      </w:r>
      <w:r>
        <w:rPr>
          <w:rFonts w:hint="eastAsia" w:ascii="宋体" w:hAnsi="宋体" w:cs="宋体"/>
          <w:szCs w:val="21"/>
          <w:lang w:eastAsia="zh-Hans"/>
        </w:rPr>
        <w:t xml:space="preserve">符合</w:t>
      </w:r>
      <w:r>
        <w:rPr>
          <w:rFonts w:hint="eastAsia" w:ascii="宋体" w:hAnsi="宋体" w:cs="宋体"/>
          <w:szCs w:val="21"/>
        </w:rPr>
        <w:t xml:space="preserve">3GPP TS36.521标准，频率误差&lt;0.1ppm。</w:t>
      </w:r>
      <w:r/>
    </w:p>
    <w:p>
      <w:pPr>
        <w:ind w:firstLine="480"/>
        <w:spacing w:line="400" w:lineRule="exact"/>
        <w:rPr>
          <w:rFonts w:ascii="宋体" w:hAnsi="宋体" w:cs="宋体"/>
          <w:szCs w:val="21"/>
        </w:rPr>
      </w:pPr>
      <w:r>
        <w:rPr>
          <w:rFonts w:hint="eastAsia" w:ascii="宋体" w:hAnsi="宋体" w:cs="宋体"/>
          <w:szCs w:val="21"/>
        </w:rPr>
        <w:t xml:space="preserve">（13）接收灵敏度：符合3GPP TS36.521标准，接收灵敏度&lt;-103.2dBm。</w:t>
      </w:r>
      <w:r/>
    </w:p>
    <w:p>
      <w:pPr>
        <w:ind w:firstLine="480"/>
        <w:spacing w:line="400" w:lineRule="exact"/>
        <w:rPr>
          <w:rFonts w:ascii="宋体" w:hAnsi="宋体" w:cs="宋体"/>
          <w:b/>
          <w:bCs/>
          <w:szCs w:val="21"/>
        </w:rPr>
      </w:pPr>
      <w:r>
        <w:rPr>
          <w:rFonts w:hint="eastAsia" w:ascii="宋体" w:hAnsi="宋体" w:cs="宋体"/>
          <w:szCs w:val="21"/>
        </w:rPr>
        <w:t xml:space="preserve">以上证明文件需提供原件备查，防止虚假应标。</w:t>
      </w:r>
      <w:r/>
    </w:p>
    <w:p>
      <w:pPr>
        <w:ind w:firstLine="482"/>
        <w:spacing w:line="400" w:lineRule="exact"/>
        <w:rPr>
          <w:rFonts w:ascii="宋体" w:hAnsi="宋体" w:cs="宋体"/>
          <w:b/>
          <w:bCs/>
          <w:szCs w:val="21"/>
        </w:rPr>
      </w:pPr>
      <w:r>
        <w:rPr>
          <w:rFonts w:ascii="宋体" w:hAnsi="宋体" w:cs="宋体"/>
          <w:b/>
          <w:bCs/>
          <w:szCs w:val="21"/>
        </w:rPr>
      </w:r>
      <w:r/>
    </w:p>
    <w:p>
      <w:pPr>
        <w:ind w:firstLine="482"/>
        <w:spacing w:line="400" w:lineRule="exact"/>
        <w:rPr>
          <w:rFonts w:ascii="宋体" w:hAnsi="宋体" w:cs="宋体"/>
          <w:b/>
          <w:bCs/>
          <w:szCs w:val="21"/>
        </w:rPr>
      </w:pPr>
      <w:r>
        <w:rPr>
          <w:rFonts w:hint="eastAsia" w:ascii="宋体" w:hAnsi="宋体" w:cs="宋体"/>
          <w:b/>
          <w:bCs/>
          <w:szCs w:val="21"/>
        </w:rPr>
        <w:t xml:space="preserve">1.3安装方式</w:t>
      </w:r>
      <w:r/>
    </w:p>
    <w:p>
      <w:pPr>
        <w:ind w:firstLine="480"/>
        <w:spacing w:line="400" w:lineRule="exact"/>
        <w:rPr>
          <w:rFonts w:ascii="宋体" w:hAnsi="宋体" w:cs="宋体"/>
          <w:szCs w:val="21"/>
        </w:rPr>
      </w:pPr>
      <w:r>
        <w:rPr>
          <w:rFonts w:hint="eastAsia" w:ascii="宋体" w:hAnsi="宋体" w:cs="宋体"/>
          <w:szCs w:val="21"/>
        </w:rPr>
        <w:t xml:space="preserve">单灯控制器安装在灯杆维修孔内，便于检修。</w:t>
      </w:r>
      <w:r/>
    </w:p>
    <w:p>
      <w:pPr>
        <w:pStyle w:val="871"/>
        <w:rPr>
          <w:rFonts w:ascii="宋体" w:hAnsi="宋体" w:eastAsia="宋体" w:cs="宋体"/>
          <w:sz w:val="21"/>
          <w:szCs w:val="21"/>
        </w:rPr>
      </w:pPr>
      <w:r>
        <w:rPr>
          <w:rFonts w:ascii="宋体" w:hAnsi="宋体" w:eastAsia="宋体" w:cs="宋体"/>
          <w:sz w:val="21"/>
          <w:szCs w:val="21"/>
        </w:rPr>
      </w:r>
      <w:r/>
    </w:p>
    <w:p>
      <w:pPr>
        <w:pStyle w:val="871"/>
        <w:rPr>
          <w:rFonts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3752850" cy="4552950"/>
                <wp:effectExtent l="0" t="0" r="0"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2"/>
                        <a:stretch/>
                      </pic:blipFill>
                      <pic:spPr bwMode="auto">
                        <a:xfrm>
                          <a:off x="0" y="0"/>
                          <a:ext cx="3752850" cy="4552950"/>
                        </a:xfrm>
                        <a:prstGeom prst="rect">
                          <a:avLst/>
                        </a:prstGeom>
                        <a:noFill/>
                        <a:ln w="9525">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95.5pt;height:358.5pt;mso-wrap-distance-left:0.0pt;mso-wrap-distance-top:0.0pt;mso-wrap-distance-right:0.0pt;mso-wrap-distance-bottom:0.0pt;" stroked="f" strokeweight="0.75pt">
                <v:path textboxrect="0,0,0,0"/>
                <v:imagedata r:id="rId12" o:title=""/>
              </v:shape>
            </w:pict>
          </mc:Fallback>
        </mc:AlternateContent>
      </w:r>
      <w:r/>
    </w:p>
    <w:p>
      <w:pPr>
        <w:pStyle w:val="875"/>
        <w:rPr>
          <w:rFonts w:ascii="宋体" w:hAnsi="宋体" w:cs="宋体"/>
          <w:sz w:val="21"/>
        </w:rPr>
      </w:pPr>
      <w:r>
        <w:rPr>
          <w:rFonts w:ascii="宋体" w:hAnsi="宋体" w:cs="宋体"/>
          <w:sz w:val="21"/>
        </w:rPr>
      </w:r>
      <w:r/>
    </w:p>
    <w:p>
      <w:pPr>
        <w:ind w:firstLine="482"/>
        <w:spacing w:line="400" w:lineRule="exact"/>
        <w:rPr>
          <w:rFonts w:ascii="宋体" w:hAnsi="宋体" w:cs="宋体"/>
          <w:sz w:val="21"/>
          <w:szCs w:val="21"/>
        </w:rPr>
      </w:pPr>
      <w:r>
        <w:rPr>
          <w:rFonts w:hint="eastAsia" w:ascii="宋体" w:hAnsi="宋体" w:cs="宋体"/>
          <w:b/>
          <w:bCs/>
          <w:szCs w:val="21"/>
        </w:rPr>
        <w:t xml:space="preserve">2.集中控制器（含五年物联网卡）</w:t>
      </w:r>
      <w:r/>
    </w:p>
    <w:p>
      <w:pPr>
        <w:ind w:firstLine="480"/>
        <w:spacing w:line="400" w:lineRule="exact"/>
        <w:rPr>
          <w:rFonts w:ascii="宋体" w:hAnsi="宋体" w:cs="宋体"/>
          <w:szCs w:val="21"/>
        </w:rPr>
      </w:pPr>
      <w:r>
        <w:rPr>
          <w:rFonts w:hint="eastAsia" w:ascii="宋体" w:hAnsi="宋体" w:cs="宋体"/>
          <w:szCs w:val="21"/>
        </w:rPr>
        <w:t xml:space="preserve">（1）集中控制器支持单相AC 180～220V/50Hz供电， 三相AC 380V供电。</w:t>
      </w:r>
      <w:r/>
    </w:p>
    <w:p>
      <w:pPr>
        <w:ind w:firstLine="480"/>
        <w:spacing w:line="400" w:lineRule="exact"/>
        <w:rPr>
          <w:rFonts w:ascii="宋体" w:hAnsi="宋体" w:cs="宋体"/>
          <w:szCs w:val="21"/>
        </w:rPr>
      </w:pPr>
      <w:r>
        <w:rPr>
          <w:rFonts w:hint="eastAsia" w:ascii="宋体" w:hAnsi="宋体" w:cs="宋体"/>
          <w:szCs w:val="21"/>
        </w:rPr>
        <w:t xml:space="preserve">（2）集中控制器支持RS485拓展，最大支持36路220Vac控制输出，36路电流采集。支持远程控制开、关回路，通信串口支持3路RS485接口（外接传感器、国网规约电表、回路采集器）；（需提供第三方权威检测机构出具的功能检测报告）。</w:t>
      </w:r>
      <w:r/>
    </w:p>
    <w:p>
      <w:pPr>
        <w:ind w:firstLine="480"/>
        <w:spacing w:line="400" w:lineRule="exact"/>
        <w:rPr>
          <w:rFonts w:ascii="宋体" w:hAnsi="宋体" w:cs="宋体"/>
          <w:szCs w:val="21"/>
        </w:rPr>
      </w:pPr>
      <w:r>
        <w:rPr>
          <w:rFonts w:hint="eastAsia" w:ascii="宋体" w:hAnsi="宋体" w:cs="宋体"/>
          <w:szCs w:val="21"/>
        </w:rPr>
        <w:t xml:space="preserve">（3）集中控制器上行通讯支持4G、RJ45，内置Zigbee通讯模块，可以直接通过无线和单灯控制器进行通信，对终端进行开关调光控制，和状态、电能数据采集；（需提供第三方检测机构出具的功能检测报告）。</w:t>
      </w:r>
      <w:r/>
    </w:p>
    <w:p>
      <w:pPr>
        <w:ind w:firstLine="480"/>
        <w:spacing w:line="400" w:lineRule="exact"/>
        <w:rPr>
          <w:rFonts w:ascii="宋体" w:hAnsi="宋体" w:cs="宋体"/>
          <w:szCs w:val="21"/>
        </w:rPr>
      </w:pPr>
      <w:r>
        <w:rPr>
          <w:rFonts w:hint="eastAsia" w:ascii="宋体" w:hAnsi="宋体" w:cs="宋体"/>
          <w:szCs w:val="21"/>
        </w:rPr>
        <w:t xml:space="preserve">（4）集中控制器支持箱门检测告警，配电箱门可与门磁传感器联动告警，当门异常打开时，软件报告“配电箱门打开”。</w:t>
      </w:r>
      <w:r/>
    </w:p>
    <w:p>
      <w:pPr>
        <w:ind w:firstLine="480"/>
        <w:spacing w:line="400" w:lineRule="exact"/>
        <w:rPr>
          <w:rFonts w:ascii="宋体" w:hAnsi="宋体" w:cs="宋体"/>
          <w:szCs w:val="21"/>
        </w:rPr>
      </w:pPr>
      <w:r>
        <w:rPr>
          <w:rFonts w:hint="eastAsia" w:ascii="宋体" w:hAnsi="宋体" w:cs="宋体"/>
          <w:szCs w:val="21"/>
        </w:rPr>
        <w:t xml:space="preserve">（5）支持网络校时，支持GPS定位。</w:t>
      </w:r>
      <w:r/>
    </w:p>
    <w:p>
      <w:pPr>
        <w:ind w:firstLine="480"/>
        <w:spacing w:line="400" w:lineRule="exact"/>
        <w:rPr>
          <w:rFonts w:ascii="宋体" w:hAnsi="宋体" w:cs="宋体"/>
          <w:szCs w:val="21"/>
        </w:rPr>
      </w:pPr>
      <w:r>
        <w:rPr>
          <w:rFonts w:hint="eastAsia" w:ascii="宋体" w:hAnsi="宋体" w:cs="宋体"/>
          <w:szCs w:val="21"/>
        </w:rPr>
        <w:t xml:space="preserve">（6）本地安全登录，本地密码登录，远程密码修改（读取）。</w:t>
      </w:r>
      <w:r/>
    </w:p>
    <w:p>
      <w:pPr>
        <w:ind w:firstLine="480"/>
        <w:spacing w:line="400" w:lineRule="exact"/>
        <w:rPr>
          <w:rFonts w:ascii="宋体" w:hAnsi="宋体" w:cs="宋体"/>
          <w:szCs w:val="21"/>
        </w:rPr>
      </w:pPr>
      <w:r>
        <w:rPr>
          <w:rFonts w:hint="eastAsia" w:ascii="宋体" w:hAnsi="宋体" w:cs="宋体"/>
          <w:szCs w:val="21"/>
        </w:rPr>
        <w:t xml:space="preserve">（7）集中控制器本地控制，支持本地策略控制，软件平台掉线可自动切换成本</w:t>
      </w:r>
      <w:r>
        <w:rPr>
          <w:rFonts w:hint="eastAsia" w:ascii="宋体" w:hAnsi="宋体" w:cs="宋体"/>
          <w:szCs w:val="21"/>
        </w:rPr>
        <w:t xml:space="preserve">地工作模式，支持至少10条本地控制策略组。</w:t>
      </w:r>
      <w:r/>
    </w:p>
    <w:p>
      <w:pPr>
        <w:ind w:firstLine="480"/>
        <w:spacing w:line="400" w:lineRule="exact"/>
        <w:rPr>
          <w:rFonts w:ascii="宋体" w:hAnsi="宋体" w:cs="宋体"/>
          <w:szCs w:val="21"/>
        </w:rPr>
      </w:pPr>
      <w:r>
        <w:rPr>
          <w:rFonts w:hint="eastAsia" w:ascii="宋体" w:hAnsi="宋体" w:cs="宋体"/>
          <w:szCs w:val="21"/>
        </w:rPr>
        <w:t xml:space="preserve">（8）支持集中控制器固件远程升级。</w:t>
      </w:r>
      <w:r/>
    </w:p>
    <w:p>
      <w:pPr>
        <w:ind w:firstLine="480"/>
        <w:spacing w:line="400" w:lineRule="exact"/>
        <w:rPr>
          <w:rFonts w:ascii="宋体" w:hAnsi="宋体" w:cs="宋体"/>
          <w:szCs w:val="21"/>
        </w:rPr>
      </w:pPr>
      <w:r>
        <w:rPr>
          <w:rFonts w:hint="eastAsia" w:ascii="宋体" w:hAnsi="宋体" w:cs="宋体"/>
          <w:szCs w:val="21"/>
        </w:rPr>
        <w:t xml:space="preserve">（9）全网通：支持采用全网通模式，运营商可自动切换；（需提供第三方权威检测机构出具的功能检测报告）。</w:t>
      </w:r>
      <w:r/>
    </w:p>
    <w:p>
      <w:pPr>
        <w:ind w:firstLine="480"/>
        <w:spacing w:line="400" w:lineRule="exact"/>
        <w:rPr>
          <w:rFonts w:ascii="宋体" w:hAnsi="宋体" w:cs="宋体"/>
          <w:szCs w:val="21"/>
        </w:rPr>
      </w:pPr>
      <w:r>
        <w:rPr>
          <w:rFonts w:hint="eastAsia" w:ascii="宋体" w:hAnsi="宋体" w:cs="宋体"/>
          <w:szCs w:val="21"/>
        </w:rPr>
        <w:t xml:space="preserve">（10）故障告警支持回路异常开灯告警、回路异常灭灯告警、交流接触器失效告警、配电箱异常打开告警、停电告警、低压告警、超压告警、过电流告警、缺相告警。</w:t>
      </w:r>
      <w:r/>
    </w:p>
    <w:p>
      <w:pPr>
        <w:ind w:firstLine="480"/>
        <w:spacing w:line="400" w:lineRule="exact"/>
        <w:rPr>
          <w:rFonts w:ascii="宋体" w:hAnsi="宋体" w:cs="宋体"/>
          <w:szCs w:val="21"/>
        </w:rPr>
      </w:pPr>
      <w:r>
        <w:rPr>
          <w:rFonts w:hint="eastAsia" w:ascii="宋体" w:hAnsi="宋体" w:cs="宋体"/>
          <w:szCs w:val="21"/>
        </w:rPr>
        <w:t xml:space="preserve">（11）支持外接UPS电源，当断电时设备自动切换到UPS供电，上报断电告警信息。</w:t>
      </w:r>
      <w:r/>
    </w:p>
    <w:p>
      <w:pPr>
        <w:ind w:firstLine="480"/>
        <w:spacing w:line="400" w:lineRule="exact"/>
        <w:rPr>
          <w:rFonts w:ascii="宋体" w:hAnsi="宋体" w:cs="宋体"/>
          <w:szCs w:val="21"/>
        </w:rPr>
      </w:pPr>
      <w:r>
        <w:rPr>
          <w:rFonts w:hint="eastAsia" w:ascii="宋体" w:hAnsi="宋体" w:cs="宋体"/>
          <w:szCs w:val="21"/>
        </w:rPr>
        <w:t xml:space="preserve">（12）支持电压数据实时采集，电压测量偏差小于等于3%（在110VAC/50HZ和277VAC/50HZ电压下测量）。</w:t>
      </w:r>
      <w:r/>
    </w:p>
    <w:p>
      <w:pPr>
        <w:ind w:firstLine="480"/>
        <w:spacing w:line="400" w:lineRule="exact"/>
        <w:rPr>
          <w:rFonts w:ascii="宋体" w:hAnsi="宋体" w:cs="宋体"/>
          <w:szCs w:val="21"/>
        </w:rPr>
      </w:pPr>
      <w:r>
        <w:rPr>
          <w:rFonts w:hint="eastAsia" w:ascii="宋体" w:hAnsi="宋体" w:cs="宋体"/>
          <w:szCs w:val="21"/>
        </w:rPr>
        <w:t xml:space="preserve">（13）集中控制器支持配电柜单个回路电压、电流、功率的采集。</w:t>
      </w:r>
      <w:r/>
    </w:p>
    <w:p>
      <w:pPr>
        <w:ind w:firstLine="480"/>
        <w:spacing w:line="400" w:lineRule="exact"/>
        <w:rPr>
          <w:rFonts w:ascii="宋体" w:hAnsi="宋体" w:cs="宋体"/>
          <w:szCs w:val="21"/>
        </w:rPr>
      </w:pPr>
      <w:r>
        <w:rPr>
          <w:rFonts w:hint="eastAsia" w:ascii="宋体" w:hAnsi="宋体" w:cs="宋体"/>
          <w:szCs w:val="21"/>
        </w:rPr>
        <w:t xml:space="preserve">（14）集中控制器外壳材料阻燃、抗紫外线、抗震、防尘、防潮，防护等级IP54。</w:t>
      </w:r>
      <w:r/>
    </w:p>
    <w:p>
      <w:pPr>
        <w:ind w:firstLine="480"/>
        <w:spacing w:line="400" w:lineRule="exact"/>
        <w:rPr>
          <w:rFonts w:ascii="宋体" w:hAnsi="宋体" w:cs="宋体"/>
          <w:szCs w:val="21"/>
        </w:rPr>
      </w:pPr>
      <w:r>
        <w:rPr>
          <w:rFonts w:hint="eastAsia" w:ascii="宋体" w:hAnsi="宋体" w:cs="宋体"/>
          <w:szCs w:val="21"/>
        </w:rPr>
        <w:t xml:space="preserve">（15）集中控制器硬件支持按键配置、按键控制，便于应急模式的情况下，对配电柜操作。</w:t>
      </w:r>
      <w:r/>
    </w:p>
    <w:p>
      <w:pPr>
        <w:ind w:firstLine="480"/>
        <w:spacing w:line="400" w:lineRule="exact"/>
        <w:rPr>
          <w:rFonts w:ascii="宋体" w:hAnsi="宋体" w:cs="宋体"/>
          <w:szCs w:val="21"/>
        </w:rPr>
      </w:pPr>
      <w:r>
        <w:rPr>
          <w:rFonts w:hint="eastAsia" w:ascii="宋体" w:hAnsi="宋体" w:cs="宋体"/>
          <w:szCs w:val="21"/>
        </w:rPr>
        <w:t xml:space="preserve">（16）集中控制器需通过GB/T9254.1-2021、GB/T17626.3-2016、IEC61000-4-2：2008/GB/T17626.2-2018、GB/T17626.5-2019、GB/T17626.4-2018或更高标准的电磁兼容（提供相关检测报告）。</w:t>
      </w:r>
      <w:r/>
    </w:p>
    <w:p>
      <w:pPr>
        <w:ind w:firstLine="480"/>
        <w:spacing w:line="400" w:lineRule="exact"/>
        <w:rPr>
          <w:rFonts w:ascii="宋体" w:hAnsi="宋体" w:cs="宋体"/>
          <w:szCs w:val="21"/>
        </w:rPr>
      </w:pPr>
      <w:r>
        <w:rPr>
          <w:rFonts w:hint="eastAsia" w:ascii="宋体" w:hAnsi="宋体" w:cs="宋体"/>
          <w:szCs w:val="21"/>
        </w:rPr>
        <w:t xml:space="preserve">（17）集中控制器满足高低温使用环境，需符合GB2423.1-2008,GB2423.2-2008（提供相关检测报告）。</w:t>
      </w:r>
      <w:r/>
    </w:p>
    <w:p>
      <w:pPr>
        <w:ind w:firstLine="480"/>
        <w:spacing w:line="400" w:lineRule="exact"/>
        <w:rPr>
          <w:rFonts w:ascii="宋体" w:hAnsi="宋体" w:cs="宋体"/>
          <w:szCs w:val="21"/>
        </w:rPr>
      </w:pPr>
      <w:r>
        <w:rPr>
          <w:rFonts w:hint="eastAsia" w:ascii="宋体" w:hAnsi="宋体" w:cs="宋体"/>
          <w:szCs w:val="21"/>
        </w:rPr>
        <w:t xml:space="preserve">（18）集中控制器需符合GB 4943.1-2011信息技术设备安全（提供相关检测报告）。</w:t>
      </w:r>
      <w:r/>
    </w:p>
    <w:p>
      <w:pPr>
        <w:ind w:firstLine="482"/>
        <w:spacing w:line="400" w:lineRule="exact"/>
        <w:rPr>
          <w:rFonts w:ascii="宋体" w:hAnsi="宋体" w:cs="宋体"/>
          <w:sz w:val="21"/>
          <w:szCs w:val="21"/>
        </w:rPr>
      </w:pPr>
      <w:r>
        <w:rPr>
          <w:rFonts w:hint="eastAsia" w:ascii="宋体" w:hAnsi="宋体" w:cs="宋体"/>
          <w:b/>
          <w:bCs/>
          <w:szCs w:val="21"/>
        </w:rPr>
        <w:t xml:space="preserve">3.光照传感器（含五年物联网卡）</w:t>
      </w:r>
      <w:r/>
    </w:p>
    <w:p>
      <w:pPr>
        <w:ind w:firstLine="480"/>
        <w:spacing w:line="400" w:lineRule="exact"/>
        <w:rPr>
          <w:rFonts w:ascii="宋体" w:hAnsi="宋体" w:cs="宋体"/>
          <w:szCs w:val="21"/>
        </w:rPr>
      </w:pPr>
      <w:r>
        <w:rPr>
          <w:rFonts w:hint="eastAsia" w:ascii="宋体" w:hAnsi="宋体" w:cs="宋体"/>
          <w:szCs w:val="21"/>
        </w:rPr>
        <w:t xml:space="preserve">（1）高精度光照度检测测量范围、0-20万Lux。</w:t>
      </w:r>
      <w:r/>
    </w:p>
    <w:p>
      <w:pPr>
        <w:ind w:firstLine="480"/>
        <w:spacing w:line="400" w:lineRule="exact"/>
        <w:rPr>
          <w:rFonts w:ascii="宋体" w:hAnsi="宋体" w:cs="宋体"/>
          <w:szCs w:val="21"/>
        </w:rPr>
      </w:pPr>
      <w:r>
        <w:rPr>
          <w:rFonts w:hint="eastAsia" w:ascii="宋体" w:hAnsi="宋体" w:cs="宋体"/>
          <w:szCs w:val="21"/>
        </w:rPr>
        <w:t xml:space="preserve">（2）485通信，标准ModBus-RTU通信协议，通信地址及波特率可设置，最远通信距离2000米。</w:t>
      </w:r>
      <w:r/>
    </w:p>
    <w:p>
      <w:pPr>
        <w:ind w:firstLine="480"/>
        <w:spacing w:line="400" w:lineRule="exact"/>
        <w:rPr>
          <w:rFonts w:ascii="宋体" w:hAnsi="宋体" w:cs="宋体"/>
          <w:szCs w:val="21"/>
        </w:rPr>
      </w:pPr>
      <w:r>
        <w:rPr>
          <w:rFonts w:hint="eastAsia" w:ascii="宋体" w:hAnsi="宋体" w:cs="宋体"/>
          <w:szCs w:val="21"/>
        </w:rPr>
        <w:t xml:space="preserve">（3）铝制外壳，防护等级不低于IP65，可用于室外或恶劣的现场环境。</w:t>
      </w:r>
      <w:r/>
    </w:p>
    <w:p>
      <w:pPr>
        <w:ind w:firstLine="480"/>
        <w:spacing w:line="400" w:lineRule="exact"/>
        <w:rPr>
          <w:rFonts w:ascii="宋体" w:hAnsi="宋体" w:cs="宋体"/>
          <w:szCs w:val="21"/>
        </w:rPr>
      </w:pPr>
      <w:r>
        <w:rPr>
          <w:rFonts w:hint="eastAsia" w:ascii="宋体" w:hAnsi="宋体" w:cs="宋体"/>
          <w:szCs w:val="21"/>
        </w:rPr>
        <w:t xml:space="preserve">（4）7-30V直流宽电压供电。</w:t>
      </w:r>
      <w:r/>
    </w:p>
    <w:p>
      <w:pPr>
        <w:ind w:firstLine="480"/>
        <w:spacing w:line="400" w:lineRule="exact"/>
        <w:rPr>
          <w:rFonts w:ascii="宋体" w:hAnsi="宋体" w:cs="宋体"/>
          <w:szCs w:val="21"/>
        </w:rPr>
      </w:pPr>
      <w:r>
        <w:rPr>
          <w:rFonts w:hint="eastAsia" w:ascii="宋体" w:hAnsi="宋体" w:cs="宋体"/>
          <w:szCs w:val="21"/>
        </w:rPr>
        <w:t xml:space="preserve">（5）主要技术指标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81"/>
        <w:gridCol w:w="5570"/>
      </w:tblGrid>
      <w:tr>
        <w:trPr>
          <w:jc w:val="center"/>
          <w:trHeight w:val="401"/>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直流供电（默认）</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7-30V  DC</w:t>
            </w:r>
            <w:r/>
          </w:p>
        </w:tc>
      </w:tr>
      <w:tr>
        <w:trPr>
          <w:jc w:val="center"/>
          <w:trHeight w:val="442"/>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最大功耗</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0.4W</w:t>
            </w:r>
            <w:r/>
          </w:p>
        </w:tc>
      </w:tr>
      <w:tr>
        <w:trPr>
          <w:jc w:val="center"/>
          <w:trHeight w:val="379"/>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高精度</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±3%(25℃)</w:t>
            </w:r>
            <w:r/>
          </w:p>
        </w:tc>
      </w:tr>
      <w:tr>
        <w:trPr>
          <w:jc w:val="center"/>
          <w:trHeight w:val="379"/>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光照强度量程</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0-20万Lux</w:t>
            </w:r>
            <w:r/>
          </w:p>
        </w:tc>
      </w:tr>
      <w:tr>
        <w:trPr>
          <w:jc w:val="center"/>
          <w:trHeight w:val="379"/>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长期稳定性</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≤5%/y</w:t>
            </w:r>
            <w:r/>
          </w:p>
        </w:tc>
      </w:tr>
      <w:tr>
        <w:trPr>
          <w:jc w:val="center"/>
          <w:trHeight w:val="379"/>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响应时间</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＜1s</w:t>
            </w:r>
            <w:r/>
          </w:p>
        </w:tc>
      </w:tr>
      <w:tr>
        <w:trPr>
          <w:jc w:val="center"/>
          <w:trHeight w:val="470"/>
        </w:trPr>
        <w:tc>
          <w:tcPr>
            <w:tcW w:w="2781"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输出信号</w:t>
            </w:r>
            <w:r/>
          </w:p>
        </w:tc>
        <w:tc>
          <w:tcPr>
            <w:tcW w:w="5570" w:type="dxa"/>
            <w:textDirection w:val="lrTb"/>
            <w:noWrap w:val="false"/>
          </w:tcPr>
          <w:p>
            <w:pPr>
              <w:ind w:firstLine="480"/>
              <w:spacing w:line="400" w:lineRule="exact"/>
              <w:rPr>
                <w:rFonts w:ascii="宋体" w:hAnsi="宋体" w:cs="宋体"/>
                <w:szCs w:val="21"/>
              </w:rPr>
            </w:pPr>
            <w:r>
              <w:rPr>
                <w:rFonts w:hint="eastAsia" w:ascii="宋体" w:hAnsi="宋体" w:cs="宋体"/>
                <w:szCs w:val="21"/>
              </w:rPr>
              <w:t xml:space="preserve">RS485(Modbus协议)</w:t>
            </w:r>
            <w:r/>
          </w:p>
        </w:tc>
      </w:tr>
    </w:tbl>
    <w:p>
      <w:pPr>
        <w:ind w:firstLine="480"/>
        <w:spacing w:line="400" w:lineRule="exact"/>
        <w:rPr>
          <w:rFonts w:ascii="宋体" w:hAnsi="宋体" w:cs="宋体"/>
          <w:szCs w:val="21"/>
        </w:rPr>
      </w:pPr>
      <w:r>
        <w:rPr>
          <w:rFonts w:ascii="宋体" w:hAnsi="宋体" w:cs="宋体"/>
          <w:szCs w:val="21"/>
        </w:rPr>
      </w:r>
      <w:r/>
    </w:p>
    <w:p>
      <w:pPr>
        <w:ind w:firstLine="480"/>
        <w:spacing w:line="400" w:lineRule="exact"/>
        <w:rPr>
          <w:rFonts w:ascii="宋体" w:hAnsi="宋体" w:cs="宋体"/>
          <w:szCs w:val="21"/>
        </w:rPr>
      </w:pPr>
      <w:r>
        <w:rPr>
          <w:rFonts w:hint="eastAsia" w:ascii="宋体" w:hAnsi="宋体" w:cs="宋体"/>
          <w:szCs w:val="21"/>
        </w:rPr>
        <w:t xml:space="preserve">（6）设备要求：提供光照度变送器硬件对接协议，并对接到泰兴市智慧路灯管理控制系统中。</w:t>
      </w:r>
      <w:r/>
    </w:p>
    <w:p>
      <w:pPr>
        <w:ind w:firstLine="482"/>
        <w:spacing w:line="400" w:lineRule="exact"/>
        <w:rPr>
          <w:rFonts w:ascii="宋体" w:hAnsi="宋体" w:cs="宋体"/>
          <w:b/>
          <w:bCs/>
          <w:szCs w:val="21"/>
        </w:rPr>
      </w:pPr>
      <w:r>
        <w:rPr>
          <w:rFonts w:hint="eastAsia" w:ascii="宋体" w:hAnsi="宋体" w:cs="宋体"/>
          <w:b/>
          <w:bCs/>
          <w:szCs w:val="21"/>
        </w:rPr>
        <w:t xml:space="preserve">4. 服务器</w:t>
      </w:r>
      <w:r/>
    </w:p>
    <w:p>
      <w:pPr>
        <w:ind w:firstLine="480"/>
        <w:spacing w:line="400" w:lineRule="exact"/>
        <w:rPr>
          <w:rFonts w:ascii="宋体" w:hAnsi="宋体" w:cs="宋体"/>
          <w:szCs w:val="21"/>
        </w:rPr>
      </w:pPr>
      <w:r>
        <w:rPr>
          <w:rFonts w:hint="eastAsia" w:ascii="宋体" w:hAnsi="宋体" w:cs="宋体"/>
          <w:szCs w:val="21"/>
        </w:rPr>
        <w:t xml:space="preserve">(1) 部署于现场机房，采用机架式国产化服务器。</w:t>
      </w:r>
      <w:r/>
    </w:p>
    <w:p>
      <w:pPr>
        <w:ind w:firstLine="480"/>
        <w:spacing w:line="400" w:lineRule="exact"/>
        <w:rPr>
          <w:rFonts w:ascii="宋体" w:hAnsi="宋体" w:cs="宋体"/>
          <w:szCs w:val="21"/>
        </w:rPr>
      </w:pPr>
      <w:r>
        <w:rPr>
          <w:rFonts w:hint="eastAsia" w:ascii="宋体" w:hAnsi="宋体" w:cs="宋体"/>
          <w:szCs w:val="21"/>
        </w:rPr>
        <w:t xml:space="preserve">(2) 配置要求：</w:t>
      </w:r>
      <w:r/>
    </w:p>
    <w:p>
      <w:pPr>
        <w:ind w:firstLine="480"/>
        <w:spacing w:line="400" w:lineRule="exact"/>
        <w:rPr>
          <w:rFonts w:ascii="宋体" w:hAnsi="宋体" w:cs="宋体"/>
          <w:szCs w:val="21"/>
        </w:rPr>
      </w:pPr>
      <w:r>
        <w:rPr>
          <w:rFonts w:hint="eastAsia" w:ascii="宋体" w:hAnsi="宋体" w:cs="宋体"/>
          <w:szCs w:val="21"/>
        </w:rPr>
        <w:t xml:space="preserve">   处理器：服务器级处理器，CPU物理核心总数不少于8核；</w:t>
      </w:r>
      <w:r/>
    </w:p>
    <w:p>
      <w:pPr>
        <w:ind w:firstLine="480"/>
        <w:spacing w:line="400" w:lineRule="exact"/>
        <w:rPr>
          <w:rFonts w:ascii="宋体" w:hAnsi="宋体" w:cs="宋体"/>
          <w:szCs w:val="21"/>
        </w:rPr>
      </w:pPr>
      <w:r>
        <w:rPr>
          <w:rFonts w:hint="eastAsia" w:ascii="宋体" w:hAnsi="宋体" w:cs="宋体"/>
          <w:szCs w:val="21"/>
        </w:rPr>
        <w:t xml:space="preserve">   内存：不少于64GB，支持ECC及扩展；</w:t>
      </w:r>
      <w:r/>
    </w:p>
    <w:p>
      <w:pPr>
        <w:ind w:firstLine="480"/>
        <w:spacing w:line="400" w:lineRule="exact"/>
        <w:rPr>
          <w:rFonts w:ascii="宋体" w:hAnsi="宋体" w:cs="宋体"/>
          <w:szCs w:val="21"/>
        </w:rPr>
      </w:pPr>
      <w:r>
        <w:rPr>
          <w:rFonts w:hint="eastAsia" w:ascii="宋体" w:hAnsi="宋体" w:cs="宋体"/>
          <w:szCs w:val="21"/>
        </w:rPr>
        <w:t xml:space="preserve">   系统盘：不少于2块480GB企业级SSD，配置RAID 1；</w:t>
      </w:r>
      <w:r/>
    </w:p>
    <w:p>
      <w:pPr>
        <w:ind w:firstLine="480"/>
        <w:spacing w:line="400" w:lineRule="exact"/>
        <w:rPr>
          <w:rFonts w:ascii="宋体" w:hAnsi="宋体" w:cs="宋体"/>
          <w:szCs w:val="21"/>
        </w:rPr>
      </w:pPr>
      <w:r>
        <w:rPr>
          <w:rFonts w:hint="eastAsia" w:ascii="宋体" w:hAnsi="宋体" w:cs="宋体"/>
          <w:szCs w:val="21"/>
        </w:rPr>
        <w:t xml:space="preserve">   业务数据盘：不少于1块2TB企业级硬盘，配置RAID 1；</w:t>
      </w:r>
      <w:r/>
    </w:p>
    <w:p>
      <w:pPr>
        <w:ind w:firstLine="480"/>
        <w:spacing w:line="400" w:lineRule="exact"/>
        <w:rPr>
          <w:rFonts w:ascii="宋体" w:hAnsi="宋体" w:cs="宋体"/>
          <w:szCs w:val="21"/>
        </w:rPr>
      </w:pPr>
      <w:r>
        <w:rPr>
          <w:rFonts w:hint="eastAsia" w:ascii="宋体" w:hAnsi="宋体" w:cs="宋体"/>
          <w:szCs w:val="21"/>
        </w:rPr>
        <w:t xml:space="preserve">   网络：不少于2个千兆以太网业务接口及独立远程管理接口；</w:t>
      </w:r>
      <w:r/>
    </w:p>
    <w:p>
      <w:pPr>
        <w:ind w:firstLine="480"/>
        <w:spacing w:line="400" w:lineRule="exact"/>
        <w:rPr>
          <w:rFonts w:ascii="宋体" w:hAnsi="宋体" w:cs="宋体"/>
          <w:szCs w:val="21"/>
        </w:rPr>
      </w:pPr>
      <w:r>
        <w:rPr>
          <w:rFonts w:hint="eastAsia" w:ascii="宋体" w:hAnsi="宋体" w:cs="宋体"/>
          <w:szCs w:val="21"/>
        </w:rPr>
        <w:t xml:space="preserve">   电源：配置冗余电源；</w:t>
      </w:r>
      <w:r/>
    </w:p>
    <w:p>
      <w:pPr>
        <w:ind w:firstLine="480"/>
        <w:spacing w:line="400" w:lineRule="exact"/>
        <w:rPr>
          <w:rFonts w:ascii="宋体" w:hAnsi="宋体" w:cs="宋体"/>
          <w:szCs w:val="21"/>
        </w:rPr>
      </w:pPr>
      <w:r>
        <w:rPr>
          <w:rFonts w:hint="eastAsia" w:ascii="宋体" w:hAnsi="宋体" w:cs="宋体"/>
          <w:szCs w:val="21"/>
        </w:rPr>
        <w:t xml:space="preserve">   兼容性：与现有平台软件环境兼容，配齐安装配件和所需授权。</w:t>
      </w:r>
      <w:r/>
    </w:p>
    <w:p>
      <w:pPr>
        <w:ind w:firstLine="480"/>
        <w:spacing w:line="400" w:lineRule="exact"/>
        <w:rPr>
          <w:rFonts w:ascii="宋体" w:hAnsi="宋体" w:cs="宋体"/>
          <w:szCs w:val="21"/>
        </w:rPr>
      </w:pPr>
      <w:r>
        <w:rPr>
          <w:rFonts w:hint="eastAsia" w:ascii="宋体" w:hAnsi="宋体" w:cs="宋体"/>
          <w:szCs w:val="21"/>
        </w:rPr>
        <w:t xml:space="preserve">（3）操作系统：使用国产化操作系统，并用于平台应用、业务数据及视频服务升级支撑。</w:t>
      </w:r>
      <w:r/>
    </w:p>
    <w:p>
      <w:pPr>
        <w:ind w:firstLine="480"/>
        <w:spacing w:line="400" w:lineRule="exact"/>
        <w:rPr>
          <w:rFonts w:ascii="宋体" w:hAnsi="宋体" w:cs="宋体"/>
          <w:szCs w:val="21"/>
        </w:rPr>
      </w:pPr>
      <w:r>
        <w:rPr>
          <w:rFonts w:hint="eastAsia" w:ascii="宋体" w:hAnsi="宋体" w:cs="宋体"/>
          <w:szCs w:val="21"/>
        </w:rPr>
        <w:t xml:space="preserve">（4）可靠性与监测：具备磁盘冗余保护及故障告警能力，支持对处理器、内存、磁盘、网络等运行状态进行监测；关键业务数据应制定备份、恢复及故障处置方案。硬件冗余不能替代数据备份。</w:t>
      </w:r>
      <w:r/>
    </w:p>
    <w:p>
      <w:pPr>
        <w:ind w:firstLine="480"/>
        <w:spacing w:line="400" w:lineRule="exact"/>
        <w:rPr>
          <w:rFonts w:ascii="宋体" w:hAnsi="宋体" w:cs="宋体"/>
          <w:szCs w:val="21"/>
        </w:rPr>
      </w:pPr>
      <w:r>
        <w:rPr>
          <w:rFonts w:hint="eastAsia" w:ascii="宋体" w:hAnsi="宋体" w:cs="宋体"/>
          <w:szCs w:val="21"/>
        </w:rPr>
        <w:t xml:space="preserve">（5）扩展与授权：支持按需扩展计算、内存和存储资源。所需操作系统、数据库、中间件及管理软件应提供合法使用授权，明确授权范围、期限及升级维护方式。</w:t>
      </w:r>
      <w:r/>
    </w:p>
    <w:p>
      <w:pPr>
        <w:ind w:firstLine="482"/>
        <w:spacing w:line="400" w:lineRule="exact"/>
        <w:rPr>
          <w:rFonts w:ascii="宋体" w:hAnsi="宋体" w:cs="宋体"/>
          <w:b/>
          <w:bCs/>
          <w:szCs w:val="21"/>
        </w:rPr>
      </w:pPr>
      <w:r>
        <w:rPr>
          <w:rFonts w:hint="eastAsia" w:ascii="宋体" w:hAnsi="宋体" w:cs="宋体"/>
          <w:b/>
          <w:bCs/>
          <w:szCs w:val="21"/>
        </w:rPr>
        <w:t xml:space="preserve">5.视频存储器</w:t>
      </w:r>
      <w:r/>
    </w:p>
    <w:p>
      <w:pPr>
        <w:ind w:firstLine="480"/>
        <w:spacing w:line="400" w:lineRule="exact"/>
        <w:rPr>
          <w:rFonts w:ascii="宋体" w:hAnsi="宋体" w:cs="宋体"/>
          <w:szCs w:val="21"/>
        </w:rPr>
      </w:pPr>
      <w:r>
        <w:rPr>
          <w:rFonts w:hint="eastAsia" w:ascii="宋体" w:hAnsi="宋体" w:cs="宋体"/>
          <w:szCs w:val="21"/>
        </w:rPr>
        <w:t xml:space="preserve">（1）采用国产化视频专用存储设备，与服务器协同实现视频集中存储、录像回放和检索。设备须与服务器兼容，或提供兼容性互认证/测试报告。视频接入及录像存储能力不少于50路，并覆盖现场全部摄像头。单路录像分辨率不低于1920×1080，帧率不低于25帧/秒；全天24小时连续录像，单路平均码率按4Mbps计；全部接入视频保存不少于10天。不得通过降低分辨率、帧率或缩短录像时长满足容量要求。</w:t>
      </w:r>
      <w:r/>
    </w:p>
    <w:p>
      <w:pPr>
        <w:ind w:firstLine="480"/>
        <w:spacing w:line="400" w:lineRule="exact"/>
        <w:rPr>
          <w:rFonts w:ascii="宋体" w:hAnsi="宋体" w:cs="宋体"/>
          <w:szCs w:val="21"/>
        </w:rPr>
      </w:pPr>
      <w:r>
        <w:rPr>
          <w:rFonts w:hint="eastAsia" w:ascii="宋体" w:hAnsi="宋体" w:cs="宋体"/>
          <w:szCs w:val="21"/>
        </w:rPr>
        <w:t xml:space="preserve">（2）兼容接入：支持现有摄像机及视频平台接入，兼容项目实际视频编码格式，满足约定路数、码率、录像周期及并发访问要求。</w:t>
      </w:r>
      <w:r/>
    </w:p>
    <w:p>
      <w:pPr>
        <w:ind w:firstLine="480"/>
        <w:spacing w:line="400" w:lineRule="exact"/>
        <w:rPr>
          <w:rFonts w:ascii="宋体" w:hAnsi="宋体" w:cs="宋体"/>
          <w:szCs w:val="21"/>
        </w:rPr>
      </w:pPr>
      <w:r>
        <w:rPr>
          <w:rFonts w:hint="eastAsia" w:ascii="宋体" w:hAnsi="宋体" w:cs="宋体"/>
          <w:szCs w:val="21"/>
        </w:rPr>
        <w:t xml:space="preserve">（3）冗余与告警：支持磁盘阵列或等效冗余保护、硬盘故障检测及告警；具备存储空间监测、容量不足告警和录像写入异常告警。投标人应明确冗余方式、可容忍故障数量及故障后可用能力。</w:t>
      </w:r>
      <w:r/>
    </w:p>
    <w:p>
      <w:pPr>
        <w:ind w:firstLine="480"/>
        <w:spacing w:line="400" w:lineRule="exact"/>
        <w:rPr>
          <w:rFonts w:ascii="宋体" w:hAnsi="宋体" w:cs="宋体"/>
          <w:szCs w:val="21"/>
        </w:rPr>
      </w:pPr>
      <w:r>
        <w:rPr>
          <w:rFonts w:hint="eastAsia" w:ascii="宋体" w:hAnsi="宋体" w:cs="宋体"/>
          <w:szCs w:val="21"/>
        </w:rPr>
        <w:t xml:space="preserve">（4）容量测算：投标人须提交容量测算表，按不少于50路且不低于采购人确</w:t>
      </w:r>
      <w:r>
        <w:rPr>
          <w:rFonts w:hint="eastAsia" w:ascii="宋体" w:hAnsi="宋体" w:cs="宋体"/>
          <w:szCs w:val="21"/>
        </w:rPr>
        <w:t xml:space="preserve">认的现场实际接入路数测算。净数据量公式：视频路数×单路平均码率（Mbps）×86400×保存天数÷8÷1000000，单位TB（十进制）。按50路、单路4Mbps、连续录像10天，净数据量为21.6TB；考虑不少于20%余量后应不低于25.92TB；本项目要求可用录像容量不低于30TB，二者取高值。原始磁盘总容量另计阵列冗余、热备及系统占用。实际路数超过50路或平均码率超过4Mbps时，须相应增加容量，确保全部接入视频保存不少于10天。</w:t>
      </w:r>
      <w:r/>
    </w:p>
    <w:p>
      <w:pPr>
        <w:ind w:firstLine="480"/>
        <w:spacing w:line="400" w:lineRule="exact"/>
        <w:rPr>
          <w:rFonts w:ascii="宋体" w:hAnsi="宋体" w:cs="宋体"/>
          <w:szCs w:val="21"/>
        </w:rPr>
      </w:pPr>
      <w:r>
        <w:rPr>
          <w:rFonts w:hint="eastAsia" w:ascii="宋体" w:hAnsi="宋体" w:cs="宋体"/>
          <w:szCs w:val="21"/>
        </w:rPr>
        <w:t xml:space="preserve">（5）录像写入与循环覆盖：支持录像自动写入、按计划存储和到期循环覆盖；对采购人指定的重要录像支持锁定保护或导出保存。未到约定保存期限的录像不得因容量配置不足被提前覆盖。</w:t>
      </w:r>
      <w:r/>
    </w:p>
    <w:p>
      <w:pPr>
        <w:ind w:firstLine="480"/>
        <w:spacing w:line="400" w:lineRule="exact"/>
        <w:rPr>
          <w:rFonts w:ascii="宋体" w:hAnsi="宋体" w:cs="宋体"/>
          <w:szCs w:val="21"/>
        </w:rPr>
      </w:pPr>
      <w:r>
        <w:rPr>
          <w:rFonts w:hint="eastAsia" w:ascii="宋体" w:hAnsi="宋体" w:cs="宋体"/>
          <w:szCs w:val="21"/>
        </w:rPr>
        <w:t xml:space="preserve">（6）录像索引与完整性：支持录像索引管理及故障恢复后的完整性核查。对网络中断、设备离线、存储故障导致的录像缺失，应记录发生时间并提示，不得将缺失时间段显示为可正常回放。</w:t>
      </w:r>
      <w:r/>
    </w:p>
    <w:p>
      <w:pPr>
        <w:ind w:firstLine="482"/>
        <w:spacing w:line="400" w:lineRule="exact"/>
        <w:rPr>
          <w:rFonts w:ascii="宋体" w:hAnsi="宋体" w:cs="宋体"/>
          <w:b/>
          <w:bCs/>
          <w:szCs w:val="21"/>
        </w:rPr>
      </w:pPr>
      <w:r>
        <w:rPr>
          <w:rFonts w:hint="eastAsia" w:ascii="宋体" w:hAnsi="宋体" w:cs="宋体"/>
          <w:b/>
          <w:bCs/>
          <w:szCs w:val="21"/>
        </w:rPr>
        <w:t xml:space="preserve">6.平台视频回放</w:t>
      </w:r>
      <w:r/>
    </w:p>
    <w:p>
      <w:pPr>
        <w:ind w:firstLine="480"/>
        <w:spacing w:line="400" w:lineRule="exact"/>
        <w:rPr>
          <w:rFonts w:ascii="宋体" w:hAnsi="宋体" w:cs="宋体"/>
          <w:szCs w:val="21"/>
        </w:rPr>
      </w:pPr>
      <w:r>
        <w:rPr>
          <w:rFonts w:hint="eastAsia" w:ascii="宋体" w:hAnsi="宋体" w:cs="宋体"/>
          <w:szCs w:val="21"/>
        </w:rPr>
        <w:t xml:space="preserve">（1）支持按设备、通道、日期及时间段查询历史录像，以时间轴或录像列表展示可播放片段，支持定位指定时间、播放、暂停、拖动进度及切换录像时段。</w:t>
      </w:r>
      <w:r/>
    </w:p>
    <w:p>
      <w:pPr>
        <w:ind w:firstLine="480"/>
        <w:spacing w:line="400" w:lineRule="exact"/>
        <w:rPr>
          <w:rFonts w:ascii="宋体" w:hAnsi="宋体" w:cs="宋体"/>
          <w:szCs w:val="21"/>
        </w:rPr>
      </w:pPr>
      <w:r>
        <w:rPr>
          <w:rFonts w:hint="eastAsia" w:ascii="宋体" w:hAnsi="宋体" w:cs="宋体"/>
          <w:szCs w:val="21"/>
        </w:rPr>
        <w:t xml:space="preserve">（2）支持按授权进行录像片段导出，导出结果应可正常播放，并包含设备、通道和起止时间等可识别信息；支持录像访问、导出操作留痕。</w:t>
      </w:r>
      <w:r/>
    </w:p>
    <w:p>
      <w:pPr>
        <w:ind w:firstLine="480"/>
        <w:spacing w:line="400" w:lineRule="exact"/>
        <w:rPr>
          <w:rFonts w:ascii="宋体" w:hAnsi="宋体" w:cs="宋体"/>
          <w:szCs w:val="21"/>
        </w:rPr>
      </w:pPr>
      <w:r>
        <w:rPr>
          <w:rFonts w:hint="eastAsia" w:ascii="宋体" w:hAnsi="宋体" w:cs="宋体"/>
          <w:szCs w:val="21"/>
        </w:rPr>
        <w:t xml:space="preserve">（3）视频显示时间、录像时间及检索时间应保持一致，统一时间同步机制。跨日录像应能够检索和播放，录像缺失或访问失败时应给出明确提示。</w:t>
      </w:r>
      <w:r/>
    </w:p>
    <w:p>
      <w:pPr>
        <w:ind w:firstLine="480"/>
        <w:spacing w:line="400" w:lineRule="exact"/>
        <w:rPr>
          <w:rFonts w:ascii="宋体" w:hAnsi="宋体" w:cs="宋体"/>
          <w:szCs w:val="21"/>
        </w:rPr>
      </w:pPr>
      <w:r>
        <w:rPr>
          <w:rFonts w:hint="eastAsia" w:ascii="宋体" w:hAnsi="宋体" w:cs="宋体"/>
          <w:szCs w:val="21"/>
        </w:rPr>
        <w:t xml:space="preserve">（4）在约定视频路数、码率及并发条件下，录像写入、实时预览和历史回放应可同时运行，不得因正常回放操作造成录像写入中断。</w:t>
      </w:r>
      <w:r/>
    </w:p>
    <w:p>
      <w:pPr>
        <w:ind w:firstLine="482"/>
        <w:spacing w:line="400" w:lineRule="exact"/>
        <w:rPr>
          <w:rFonts w:ascii="宋体" w:hAnsi="宋体" w:cs="宋体"/>
          <w:b/>
          <w:bCs/>
          <w:szCs w:val="21"/>
        </w:rPr>
      </w:pPr>
      <w:r>
        <w:rPr>
          <w:rFonts w:hint="eastAsia" w:ascii="宋体" w:hAnsi="宋体" w:cs="宋体"/>
          <w:b/>
          <w:bCs/>
          <w:szCs w:val="21"/>
        </w:rPr>
        <w:t xml:space="preserve">7.APP程序更新升级要求</w:t>
      </w:r>
      <w:r/>
    </w:p>
    <w:p>
      <w:pPr>
        <w:ind w:firstLine="480"/>
        <w:spacing w:line="400" w:lineRule="exact"/>
        <w:rPr>
          <w:rFonts w:ascii="宋体" w:hAnsi="宋体" w:cs="宋体"/>
          <w:szCs w:val="21"/>
        </w:rPr>
      </w:pPr>
      <w:r>
        <w:rPr>
          <w:rFonts w:hint="eastAsia" w:ascii="宋体" w:hAnsi="宋体" w:cs="宋体"/>
          <w:szCs w:val="21"/>
        </w:rPr>
        <w:t xml:space="preserve">设备运行分析功能</w:t>
      </w:r>
      <w:r/>
    </w:p>
    <w:p>
      <w:pPr>
        <w:ind w:firstLine="480"/>
        <w:spacing w:line="400" w:lineRule="exact"/>
        <w:rPr>
          <w:rFonts w:ascii="宋体" w:hAnsi="宋体" w:cs="宋体"/>
          <w:szCs w:val="21"/>
        </w:rPr>
      </w:pPr>
      <w:r>
        <w:rPr>
          <w:rFonts w:hint="eastAsia" w:ascii="宋体" w:hAnsi="宋体" w:cs="宋体"/>
          <w:szCs w:val="21"/>
        </w:rPr>
        <w:t xml:space="preserve">（1）支持对批量离线线路进行集中分析查看，按线路维度统计设备总数、离线设备数及离线占比，并可筛选所属区域、线路和离线时间范围。</w:t>
      </w:r>
      <w:r/>
    </w:p>
    <w:p>
      <w:pPr>
        <w:ind w:firstLine="480"/>
        <w:spacing w:line="400" w:lineRule="exact"/>
        <w:rPr>
          <w:rFonts w:ascii="宋体" w:hAnsi="宋体" w:cs="宋体"/>
          <w:szCs w:val="21"/>
        </w:rPr>
      </w:pPr>
      <w:r>
        <w:rPr>
          <w:rFonts w:hint="eastAsia" w:ascii="宋体" w:hAnsi="宋体" w:cs="宋体"/>
          <w:szCs w:val="21"/>
        </w:rPr>
        <w:t xml:space="preserve">（2）支持查看离线设备清单及离线信息，至少包括设备名称、设备标识、所属线路、在线状态、最近通信时间及离线持续时间；相关字段缺失时应作明确标识。</w:t>
      </w:r>
      <w:r/>
    </w:p>
    <w:p>
      <w:pPr>
        <w:ind w:firstLine="480"/>
        <w:spacing w:line="400" w:lineRule="exact"/>
        <w:rPr>
          <w:rFonts w:ascii="宋体" w:hAnsi="宋体" w:cs="宋体"/>
          <w:szCs w:val="21"/>
        </w:rPr>
      </w:pPr>
      <w:r>
        <w:rPr>
          <w:rFonts w:hint="eastAsia" w:ascii="宋体" w:hAnsi="宋体" w:cs="宋体"/>
          <w:szCs w:val="21"/>
        </w:rPr>
        <w:t xml:space="preserve">（3）支持关联线路下设备状态、相关告警及可获取的通信信息，展示集中离线的时间分布和关联线索，辅助判断供电、通信或设备异常等可能原因；原因无法确定时应提示需进一步核查。</w:t>
      </w:r>
      <w:r/>
    </w:p>
    <w:p>
      <w:pPr>
        <w:ind w:firstLine="480"/>
        <w:spacing w:line="400" w:lineRule="exact"/>
        <w:rPr>
          <w:rFonts w:ascii="宋体" w:hAnsi="宋体" w:cs="宋体"/>
          <w:szCs w:val="21"/>
        </w:rPr>
      </w:pPr>
      <w:r>
        <w:rPr>
          <w:rFonts w:hint="eastAsia" w:ascii="宋体" w:hAnsi="宋体" w:cs="宋体"/>
          <w:szCs w:val="21"/>
        </w:rPr>
        <w:t xml:space="preserve">（4）汇总统计与离线清单应采用一致的数据口径，支持从线路统计进入设备明细，设备恢复在线后应按既定刷新机制更新状态。</w:t>
      </w:r>
      <w:r/>
    </w:p>
    <w:p>
      <w:pPr>
        <w:ind w:firstLine="482"/>
        <w:spacing w:line="400" w:lineRule="exact"/>
        <w:rPr>
          <w:rFonts w:ascii="宋体" w:hAnsi="宋体" w:cs="宋体"/>
          <w:szCs w:val="21"/>
        </w:rPr>
      </w:pPr>
      <w:r>
        <w:rPr>
          <w:rFonts w:hint="eastAsia" w:ascii="宋体" w:hAnsi="宋体" w:cs="宋体"/>
          <w:b/>
          <w:bCs/>
          <w:szCs w:val="21"/>
        </w:rPr>
        <w:t xml:space="preserve">8.路灯箱变更新</w:t>
      </w:r>
      <w:r/>
    </w:p>
    <w:p>
      <w:pPr>
        <w:ind w:firstLine="480"/>
        <w:spacing w:line="400" w:lineRule="exact"/>
        <w:rPr>
          <w:rFonts w:ascii="宋体" w:hAnsi="宋体" w:cs="宋体"/>
          <w:szCs w:val="21"/>
        </w:rPr>
      </w:pPr>
      <w:r>
        <w:rPr>
          <w:rFonts w:hint="eastAsia" w:ascii="宋体" w:hAnsi="宋体" w:cs="宋体"/>
          <w:szCs w:val="21"/>
        </w:rPr>
        <w:t xml:space="preserve">更新淘汰老旧箱变6台，使之符合供电安全要求。</w:t>
      </w:r>
      <w:r/>
    </w:p>
    <w:p>
      <w:pPr>
        <w:ind w:firstLine="480"/>
        <w:spacing w:line="400" w:lineRule="exact"/>
        <w:rPr>
          <w:rFonts w:ascii="宋体" w:hAnsi="宋体" w:cs="宋体"/>
          <w:szCs w:val="21"/>
        </w:rPr>
      </w:pPr>
      <w:r>
        <w:rPr>
          <w:rFonts w:hint="eastAsia" w:ascii="宋体" w:hAnsi="宋体" w:cs="宋体"/>
          <w:szCs w:val="21"/>
        </w:rPr>
        <w:t xml:space="preserve">需更新老旧箱变位置清单：镇海门桥桥下（河西）、东润路与星火路交叉口、银光大酒店东侧绿化带、小西门桥旁边、大庆路与镇海路立交桥东北、环城东路尼姑庵对面。</w:t>
      </w:r>
      <w:r/>
    </w:p>
    <w:p>
      <w:pPr>
        <w:ind w:left="240" w:firstLine="240"/>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内容：</w:t>
      </w:r>
      <w:r>
        <w:rPr>
          <w:rFonts w:hint="eastAsia" w:ascii="宋体" w:hAnsi="宋体" w:cs="宋体"/>
          <w:szCs w:val="21"/>
        </w:rPr>
        <w:t xml:space="preserve">6</w:t>
      </w:r>
      <w:r>
        <w:rPr>
          <w:rFonts w:ascii="宋体" w:hAnsi="宋体" w:cs="宋体"/>
          <w:szCs w:val="21"/>
        </w:rPr>
        <w:t xml:space="preserve">台</w:t>
      </w:r>
      <w:r>
        <w:rPr>
          <w:rFonts w:hint="eastAsia" w:ascii="宋体" w:hAnsi="宋体" w:cs="宋体"/>
          <w:szCs w:val="21"/>
        </w:rPr>
        <w:t xml:space="preserve">20</w:t>
      </w:r>
      <w:r>
        <w:rPr>
          <w:rFonts w:ascii="宋体" w:hAnsi="宋体" w:cs="宋体"/>
          <w:szCs w:val="21"/>
        </w:rPr>
        <w:t xml:space="preserve">0KVA箱变，</w:t>
      </w:r>
      <w:r>
        <w:rPr>
          <w:rFonts w:hint="eastAsia" w:ascii="宋体" w:hAnsi="宋体" w:cs="宋体"/>
          <w:szCs w:val="21"/>
        </w:rPr>
        <w:t xml:space="preserve">箱变外壳采用S304不锈钢，厚度不低于2.0mm，</w:t>
      </w:r>
      <w:r>
        <w:rPr>
          <w:rFonts w:ascii="宋体" w:hAnsi="宋体" w:cs="宋体"/>
          <w:szCs w:val="21"/>
        </w:rPr>
        <w:t xml:space="preserve">含配套运输、安装、以及原设备的拆除等。</w:t>
      </w:r>
      <w:r/>
    </w:p>
    <w:p>
      <w:pPr>
        <w:ind w:firstLine="48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投标报价：投标报价包括箱变的设计、制造、包装、运输、保险、税费、安装调试、验收、技术服务(包括技术资料、图纸的提供)、质保期服务以及原设备的拆除等的全部费用。</w:t>
      </w:r>
      <w:r/>
    </w:p>
    <w:p>
      <w:pPr>
        <w:ind w:firstLine="48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交货及安装地点：投标人负责设备供货从产地至现场，并负责卸货至招标人指定地点进行安装。</w:t>
      </w:r>
      <w:r/>
    </w:p>
    <w:p>
      <w:pPr>
        <w:ind w:firstLine="48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到货验收：投标人应派员在所供设备到现场时，进行到货验收。若发现任何损坏及质量问题，投标人应负责更换，并妥善处理直至招标人满意。此工作所发生费用应由投标人自行承担。</w:t>
      </w:r>
      <w:r/>
    </w:p>
    <w:p>
      <w:pPr>
        <w:ind w:firstLine="48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质保期：</w:t>
      </w:r>
      <w:r>
        <w:rPr>
          <w:rFonts w:hint="eastAsia" w:ascii="宋体" w:hAnsi="宋体" w:cs="宋体"/>
          <w:szCs w:val="21"/>
        </w:rPr>
        <w:t xml:space="preserve">2</w:t>
      </w:r>
      <w:r>
        <w:rPr>
          <w:rFonts w:ascii="宋体" w:hAnsi="宋体" w:cs="宋体"/>
          <w:szCs w:val="21"/>
        </w:rPr>
        <w:t xml:space="preserve">年。</w:t>
      </w:r>
      <w:r/>
    </w:p>
    <w:p>
      <w:pPr>
        <w:ind w:firstLine="48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其他：拆除的原设备放置到招标人指定地点，由此产生的费用由投标人承担</w:t>
      </w:r>
      <w:r>
        <w:rPr>
          <w:rFonts w:hint="eastAsia" w:ascii="宋体" w:hAnsi="宋体" w:cs="宋体"/>
          <w:szCs w:val="21"/>
        </w:rPr>
        <w:t xml:space="preserve">。</w:t>
      </w:r>
      <w:r/>
    </w:p>
    <w:p>
      <w:r/>
      <w:r/>
    </w:p>
    <w:p>
      <w:pPr>
        <w:ind w:firstLine="480"/>
        <w:spacing w:line="400" w:lineRule="exact"/>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480"/>
        <w:spacing w:line="4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440055</wp:posOffset>
                </wp:positionV>
                <wp:extent cx="5399405" cy="7635240"/>
                <wp:effectExtent l="0" t="0" r="10795" b="3810"/>
                <wp:wrapTopAndBottom/>
                <wp:docPr id="3" name="图片 4" descr="0615招标版箱变图纸鞠巧青发-5 Model (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615招标版箱变图纸鞠巧青发-5 Model (1)_00"/>
                        <pic:cNvPicPr>
                          <a:picLocks noChangeAspect="1"/>
                        </pic:cNvPicPr>
                        <pic:nvPr/>
                      </pic:nvPicPr>
                      <pic:blipFill>
                        <a:blip r:embed="rId13"/>
                        <a:stretch/>
                      </pic:blipFill>
                      <pic:spPr bwMode="auto">
                        <a:xfrm>
                          <a:off x="0" y="0"/>
                          <a:ext cx="5399405" cy="76352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6.0pt;mso-position-horizontal:absolute;mso-position-vertical-relative:text;margin-top:34.6pt;mso-position-vertical:absolute;width:425.1pt;height:601.2pt;mso-wrap-distance-left:9.0pt;mso-wrap-distance-top:0.0pt;mso-wrap-distance-right:9.0pt;mso-wrap-distance-bottom:0.0pt;" stroked="false">
                <v:path textboxrect="0,0,0,0"/>
                <w10:wrap type="topAndBottom"/>
                <v:imagedata r:id="rId13" o:title=""/>
              </v:shape>
            </w:pict>
          </mc:Fallback>
        </mc:AlternateContent>
      </w:r>
      <w:bookmarkEnd w:id="301"/>
      <w:r/>
      <w:bookmarkEnd w:id="302"/>
      <w:r/>
      <w:r/>
    </w:p>
    <w:p>
      <w:pPr>
        <w:jc w:val="center"/>
        <w:rPr>
          <w:rFonts w:ascii="黑体" w:hAnsi="黑体" w:eastAsia="黑体"/>
          <w:b/>
        </w:rPr>
      </w:pPr>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b/>
          <w:sz w:val="44"/>
          <w:szCs w:val="44"/>
        </w:rPr>
        <w:t xml:space="preserve">投标文件的编制要求及参考格式</w:t>
      </w:r>
      <w:bookmarkStart w:id="327" w:name="_Hlt26671244"/>
      <w:r/>
      <w:bookmarkStart w:id="328" w:name="_Hlt26955039"/>
      <w:r/>
      <w:bookmarkStart w:id="329" w:name="_Toc120614282"/>
      <w:r/>
      <w:bookmarkStart w:id="330" w:name="_Toc26554094"/>
      <w:r/>
      <w:bookmarkStart w:id="331" w:name="_Toc49090576"/>
      <w:r/>
      <w:bookmarkStart w:id="332" w:name="_Toc288030359"/>
      <w:r/>
      <w:bookmarkStart w:id="333" w:name="_Toc282446331"/>
      <w:r/>
      <w:bookmarkEnd w:id="327"/>
      <w:r/>
      <w:bookmarkEnd w:id="328"/>
      <w:r/>
      <w:r/>
    </w:p>
    <w:p>
      <w:pPr>
        <w:spacing w:line="500" w:lineRule="exact"/>
        <w:rPr>
          <w:rFonts w:ascii="黑体" w:hAnsi="黑体" w:eastAsia="黑体"/>
          <w:sz w:val="32"/>
          <w:szCs w:val="32"/>
        </w:rPr>
      </w:pPr>
      <w:r/>
      <w:bookmarkStart w:id="334"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334"/>
      <w:r/>
      <w:r/>
    </w:p>
    <w:p>
      <w:pPr>
        <w:ind w:firstLine="560"/>
        <w:spacing w:line="500" w:lineRule="exact"/>
        <w:rPr>
          <w:rFonts w:ascii="宋体"/>
          <w:sz w:val="28"/>
          <w:szCs w:val="28"/>
        </w:rPr>
      </w:pPr>
      <w:r/>
      <w:bookmarkStart w:id="335"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335"/>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336" w:name="OLE_LINK8"/>
      <w:r>
        <w:rPr>
          <w:rFonts w:hint="eastAsia" w:ascii="宋体" w:hAnsi="宋体" w:cs="宋体"/>
          <w:sz w:val="28"/>
          <w:szCs w:val="28"/>
        </w:rPr>
        <w:t xml:space="preserve">投标报价明细表</w:t>
      </w:r>
      <w:bookmarkEnd w:id="336"/>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numPr>
          <w:ilvl w:val="0"/>
          <w:numId w:val="5"/>
        </w:numPr>
        <w:ind w:firstLine="560"/>
        <w:spacing w:line="500" w:lineRule="exact"/>
        <w:rPr>
          <w:rFonts w:ascii="宋体" w:hAnsi="宋体" w:cs="宋体"/>
          <w:sz w:val="28"/>
          <w:szCs w:val="28"/>
        </w:rPr>
      </w:pPr>
      <w:r>
        <w:rPr>
          <w:rFonts w:hint="eastAsia" w:ascii="宋体" w:hAnsi="宋体" w:cs="宋体"/>
          <w:sz w:val="28"/>
          <w:szCs w:val="28"/>
        </w:rPr>
        <w:t xml:space="preserve">投标人基本资格条件承诺函；</w:t>
      </w:r>
      <w:r/>
    </w:p>
    <w:p>
      <w:pPr>
        <w:ind w:firstLine="560"/>
        <w:spacing w:line="500" w:lineRule="exact"/>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）中小企业声明函；</w:t>
      </w:r>
      <w:r/>
    </w:p>
    <w:p>
      <w:pPr>
        <w:ind w:firstLine="560"/>
        <w:spacing w:line="50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3</w:t>
      </w:r>
      <w:r>
        <w:rPr>
          <w:rFonts w:hint="eastAsia" w:ascii="宋体" w:hAnsi="宋体" w:cs="宋体"/>
          <w:sz w:val="28"/>
          <w:szCs w:val="28"/>
        </w:rPr>
        <w:t xml:space="preserve">）招标文件要求的其他资格条件证明材料。</w:t>
      </w:r>
      <w:r/>
    </w:p>
    <w:p>
      <w:pPr>
        <w:spacing w:line="46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46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46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46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337"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Start w:id="338" w:name="_Toc426469936"/>
      <w:r/>
      <w:bookmarkStart w:id="339" w:name="_Toc426469937"/>
      <w:r/>
      <w:bookmarkStart w:id="340" w:name="_Toc383626069"/>
      <w:r/>
      <w:bookmarkStart w:id="341" w:name="_Toc390246998"/>
      <w:r/>
      <w:bookmarkStart w:id="342" w:name="_Toc383624021"/>
      <w:r/>
      <w:bookmarkStart w:id="343" w:name="_Toc383587529"/>
      <w:r/>
      <w:bookmarkStart w:id="344" w:name="_Toc390098915"/>
      <w:r/>
      <w:bookmarkStart w:id="345" w:name="_Toc382811607"/>
      <w:r/>
      <w:bookmarkStart w:id="346" w:name="_Toc383698722"/>
      <w:r/>
      <w:bookmarkStart w:id="347" w:name="_Toc382812316"/>
      <w:r/>
      <w:bookmarkStart w:id="348" w:name="_Toc383623749"/>
      <w:r/>
      <w:bookmarkStart w:id="349" w:name="_Toc382811202"/>
      <w:r/>
      <w:bookmarkStart w:id="350" w:name="_Toc382812507"/>
      <w:r/>
      <w:bookmarkStart w:id="351" w:name="_Toc382813957"/>
      <w:r/>
      <w:bookmarkStart w:id="352" w:name="_Toc382814038"/>
      <w:r/>
      <w:bookmarkStart w:id="353" w:name="_Toc390099111"/>
      <w:r/>
      <w:bookmarkStart w:id="354" w:name="_Toc383679822"/>
      <w:r/>
      <w:bookmarkEnd w:id="329"/>
      <w:r/>
      <w:bookmarkEnd w:id="330"/>
      <w:r/>
      <w:bookmarkEnd w:id="331"/>
      <w:r/>
      <w:bookmarkEnd w:id="332"/>
      <w:r/>
      <w:bookmarkEnd w:id="333"/>
      <w:r/>
      <w:bookmarkEnd w:id="337"/>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338"/>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bookmarkStart w:id="355" w:name="OLE_LINK72"/>
      <w:r/>
      <w:bookmarkStart w:id="356" w:name="OLE_LINK73"/>
      <w:r>
        <w:rPr>
          <w:rFonts w:hint="eastAsia" w:ascii="宋体"/>
          <w:b/>
          <w:sz w:val="48"/>
          <w:szCs w:val="48"/>
        </w:rPr>
        <w:t xml:space="preserve">投标文件</w:t>
      </w:r>
      <w:r/>
    </w:p>
    <w:p>
      <w:pPr>
        <w:pStyle w:val="878"/>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bookmarkEnd w:id="355"/>
      <w:r/>
      <w:bookmarkEnd w:id="356"/>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339"/>
      <w:r/>
      <w:r/>
    </w:p>
    <w:p>
      <w:pPr>
        <w:ind w:firstLine="843"/>
        <w:spacing w:line="400" w:lineRule="exact"/>
        <w:rPr>
          <w:rFonts w:eastAsia="楷体"/>
          <w:b/>
          <w:sz w:val="28"/>
          <w:szCs w:val="28"/>
        </w:rPr>
      </w:pPr>
      <w:r/>
      <w:bookmarkStart w:id="357" w:name="_Toc426469938"/>
      <w:r/>
      <w:r/>
    </w:p>
    <w:p>
      <w:pPr>
        <w:ind w:firstLine="843"/>
        <w:spacing w:line="400" w:lineRule="exact"/>
        <w:rPr>
          <w:rFonts w:eastAsia="楷体"/>
          <w:b/>
          <w:sz w:val="28"/>
          <w:szCs w:val="28"/>
        </w:rPr>
      </w:pPr>
      <w:r>
        <w:rPr>
          <w:rFonts w:eastAsia="楷体"/>
          <w:b/>
          <w:sz w:val="28"/>
          <w:szCs w:val="28"/>
        </w:rPr>
      </w:r>
      <w:r/>
    </w:p>
    <w:p>
      <w:pPr>
        <w:ind w:firstLine="843"/>
        <w:spacing w:line="400" w:lineRule="exact"/>
        <w:rPr>
          <w:rFonts w:eastAsia="楷体"/>
          <w:b/>
          <w:sz w:val="28"/>
          <w:szCs w:val="28"/>
        </w:rPr>
      </w:pPr>
      <w:r>
        <w:rPr>
          <w:rFonts w:hint="eastAsia" w:eastAsia="楷体"/>
          <w:b/>
          <w:sz w:val="28"/>
          <w:szCs w:val="28"/>
        </w:rPr>
        <w:t xml:space="preserve">按“江苏省政府采购管理交易系统（苏采云）”中格式填写。</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57"/>
      <w:r/>
      <w:r/>
    </w:p>
    <w:p>
      <w:pPr>
        <w:jc w:val="center"/>
        <w:rPr>
          <w:sz w:val="44"/>
          <w:szCs w:val="44"/>
        </w:rPr>
      </w:pPr>
      <w:r/>
      <w:bookmarkStart w:id="358" w:name="_Toc367785041"/>
      <w:r/>
      <w:bookmarkStart w:id="359" w:name="OLE_LINK74"/>
      <w:r/>
      <w:bookmarkStart w:id="360" w:name="OLE_LINK89"/>
      <w:r/>
      <w:bookmarkStart w:id="361" w:name="OLE_LINK75"/>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hint="eastAsia"/>
          <w:sz w:val="44"/>
          <w:szCs w:val="44"/>
        </w:rPr>
        <w:t xml:space="preserve">投</w:t>
      </w:r>
      <w:r>
        <w:rPr>
          <w:rFonts w:hint="eastAsia" w:ascii="宋体" w:hAnsi="宋体" w:cs="宋体"/>
          <w:sz w:val="44"/>
          <w:szCs w:val="44"/>
        </w:rPr>
        <w:t xml:space="preserve">标函</w:t>
      </w:r>
      <w:bookmarkEnd w:id="358"/>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1、如我方中标，我方将按招标文件的规定履行合同责任和义务。</w:t>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2、合同履行期限：</w:t>
      </w:r>
      <w:r>
        <w:rPr>
          <w:rFonts w:hint="eastAsia" w:ascii="宋体" w:hAnsi="宋体" w:cs="宋体"/>
          <w:sz w:val="28"/>
          <w:szCs w:val="28"/>
          <w:u w:val="single"/>
        </w:rPr>
        <w:t xml:space="preserve"> 合同签订后   日历天内供货到甲方指定的现场并安装调试完毕验收合格。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878"/>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359"/>
      <w:r/>
      <w:bookmarkEnd w:id="360"/>
      <w:r/>
      <w:bookmarkEnd w:id="361"/>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w:t>
      </w:r>
      <w:bookmarkStart w:id="362" w:name="OLE_LINK92"/>
      <w:r/>
      <w:bookmarkStart w:id="363" w:name="OLE_LINK93"/>
      <w:r>
        <w:rPr>
          <w:rFonts w:hint="eastAsia" w:ascii="楷体" w:hAnsi="楷体" w:eastAsia="楷体" w:cs="宋体"/>
          <w:b/>
          <w:sz w:val="32"/>
          <w:szCs w:val="32"/>
        </w:rPr>
        <w:t xml:space="preserve">投标报价明细表</w:t>
      </w:r>
      <w:r/>
    </w:p>
    <w:p>
      <w:pPr>
        <w:jc w:val="center"/>
        <w:rPr>
          <w:rFonts w:ascii="宋体" w:hAnsi="宋体" w:cs="宋体"/>
          <w:bCs/>
          <w:sz w:val="28"/>
          <w:szCs w:val="28"/>
          <w:highlight w:val="yellow"/>
        </w:rPr>
      </w:pPr>
      <w:r>
        <w:rPr>
          <w:rFonts w:ascii="宋体" w:hAnsi="宋体" w:cs="宋体"/>
          <w:bCs/>
          <w:sz w:val="28"/>
          <w:szCs w:val="28"/>
          <w:highlight w:val="yellow"/>
        </w:rPr>
      </w:r>
      <w:r/>
    </w:p>
    <w:p>
      <w:pPr>
        <w:jc w:val="center"/>
        <w:rPr>
          <w:rFonts w:ascii="宋体" w:hAnsi="宋体"/>
          <w:bCs/>
        </w:rPr>
      </w:pPr>
      <w:r/>
      <w:bookmarkStart w:id="364" w:name="OLE_LINK76"/>
      <w:r/>
      <w:bookmarkStart w:id="365" w:name="OLE_LINK77"/>
      <w:r/>
      <w:bookmarkStart w:id="366" w:name="OLE_LINK79"/>
      <w:r/>
      <w:bookmarkStart w:id="367" w:name="OLE_LINK78"/>
      <w:r>
        <w:rPr>
          <w:rFonts w:hint="eastAsia" w:ascii="宋体" w:hAnsi="宋体"/>
          <w:bCs/>
        </w:rPr>
        <w:t xml:space="preserve">         投标报价明细表及分析说明（含税）</w:t>
      </w:r>
      <w:r/>
    </w:p>
    <w:p>
      <w:pPr>
        <w:jc w:val="center"/>
        <w:rPr>
          <w:rFonts w:ascii="宋体" w:hAnsi="宋体"/>
          <w:bCs/>
        </w:rPr>
      </w:pPr>
      <w:r>
        <w:rPr>
          <w:rFonts w:ascii="宋体" w:hAnsi="宋体"/>
          <w:bCs/>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145"/>
        <w:gridCol w:w="941"/>
        <w:gridCol w:w="1023"/>
        <w:gridCol w:w="997"/>
        <w:gridCol w:w="709"/>
        <w:gridCol w:w="1103"/>
        <w:gridCol w:w="1296"/>
      </w:tblGrid>
      <w:tr>
        <w:trPr>
          <w:jc w:val="center"/>
          <w:trHeight w:val="375"/>
        </w:trPr>
        <w:tc>
          <w:tcPr>
            <w:tcW w:w="705"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序号</w:t>
            </w:r>
            <w:r/>
          </w:p>
        </w:tc>
        <w:tc>
          <w:tcPr>
            <w:tcW w:w="1145"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设备（服务）名称</w:t>
            </w:r>
            <w:r/>
          </w:p>
        </w:tc>
        <w:tc>
          <w:tcPr>
            <w:tcW w:w="941"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参数</w:t>
            </w:r>
            <w:r/>
          </w:p>
        </w:tc>
        <w:tc>
          <w:tcPr>
            <w:tcW w:w="1023"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品牌</w:t>
            </w:r>
            <w:r/>
          </w:p>
        </w:tc>
        <w:tc>
          <w:tcPr>
            <w:tcW w:w="997"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单位</w:t>
            </w:r>
            <w:r/>
          </w:p>
        </w:tc>
        <w:tc>
          <w:tcPr>
            <w:tcW w:w="709" w:type="dxa"/>
            <w:vAlign w:val="center"/>
            <w:vMerge w:val="restart"/>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数量</w:t>
            </w:r>
            <w:r/>
          </w:p>
        </w:tc>
        <w:tc>
          <w:tcPr>
            <w:gridSpan w:val="2"/>
            <w:tcW w:w="2399" w:type="dxa"/>
            <w:vAlign w:val="center"/>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价格</w:t>
            </w:r>
            <w:r/>
          </w:p>
        </w:tc>
      </w:tr>
      <w:tr>
        <w:trPr>
          <w:cantSplit/>
          <w:jc w:val="center"/>
          <w:trHeight w:val="528"/>
        </w:trPr>
        <w:tc>
          <w:tcPr>
            <w:tcW w:w="705" w:type="dxa"/>
            <w:vAlign w:val="center"/>
            <w:vMerge w:val="continue"/>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vMerge w:val="continue"/>
            <w:textDirection w:val="lrTb"/>
            <w:noWrap w:val="false"/>
          </w:tcPr>
          <w:p>
            <w:pPr>
              <w:jc w:val="center"/>
              <w:tabs>
                <w:tab w:val="left" w:pos="2670" w:leader="none"/>
              </w:tabs>
              <w:rPr>
                <w:rFonts w:ascii="宋体" w:hAnsi="宋体" w:cs="Arial"/>
                <w:szCs w:val="21"/>
              </w:rPr>
            </w:pPr>
            <w:r>
              <w:rPr>
                <w:rFonts w:ascii="宋体" w:hAnsi="宋体" w:cs="Arial"/>
                <w:szCs w:val="21"/>
              </w:rPr>
            </w:r>
            <w:r/>
          </w:p>
        </w:tc>
        <w:tc>
          <w:tcPr>
            <w:tcW w:w="941"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023"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997"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vMerge w:val="continue"/>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03" w:type="dxa"/>
            <w:vAlign w:val="center"/>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单价</w:t>
            </w:r>
            <w:r/>
          </w:p>
        </w:tc>
        <w:tc>
          <w:tcPr>
            <w:tcW w:w="1296" w:type="dxa"/>
            <w:vAlign w:val="center"/>
            <w:textDirection w:val="lrTb"/>
            <w:noWrap w:val="false"/>
          </w:tcPr>
          <w:p>
            <w:pPr>
              <w:jc w:val="center"/>
              <w:tabs>
                <w:tab w:val="left" w:pos="2670" w:leader="none"/>
              </w:tabs>
              <w:rPr>
                <w:rFonts w:ascii="宋体" w:hAnsi="宋体" w:cs="宋体"/>
                <w:b/>
                <w:bCs/>
                <w:szCs w:val="21"/>
                <w:lang w:val="zh-CN"/>
              </w:rPr>
            </w:pPr>
            <w:r>
              <w:rPr>
                <w:rFonts w:hint="eastAsia" w:ascii="宋体" w:hAnsi="宋体" w:cs="宋体"/>
                <w:b/>
                <w:bCs/>
                <w:szCs w:val="21"/>
                <w:lang w:val="zh-CN"/>
              </w:rPr>
              <w:t xml:space="preserve">合计</w:t>
            </w:r>
            <w:r/>
          </w:p>
        </w:tc>
      </w:tr>
      <w:tr>
        <w:trPr>
          <w:cantSplit/>
          <w:jc w:val="center"/>
          <w:trHeight w:val="420"/>
        </w:trPr>
        <w:tc>
          <w:tcPr>
            <w:tcW w:w="705"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textDirection w:val="lrTb"/>
            <w:noWrap w:val="false"/>
          </w:tcPr>
          <w:p>
            <w:pPr>
              <w:jc w:val="center"/>
              <w:tabs>
                <w:tab w:val="left" w:pos="2670" w:leader="none"/>
              </w:tabs>
              <w:rPr>
                <w:rFonts w:ascii="宋体" w:hAnsi="宋体" w:cs="Arial"/>
                <w:szCs w:val="21"/>
              </w:rPr>
            </w:pPr>
            <w:r>
              <w:rPr>
                <w:rFonts w:ascii="宋体" w:hAnsi="宋体" w:cs="Arial"/>
                <w:szCs w:val="21"/>
              </w:rPr>
            </w:r>
            <w:r/>
          </w:p>
        </w:tc>
        <w:tc>
          <w:tcPr>
            <w:tcW w:w="941" w:type="dxa"/>
            <w:vAlign w:val="center"/>
            <w:textDirection w:val="lrTb"/>
            <w:noWrap w:val="false"/>
          </w:tcPr>
          <w:p>
            <w:pPr>
              <w:ind w:firstLine="470"/>
              <w:jc w:val="center"/>
              <w:tabs>
                <w:tab w:val="left" w:pos="2670" w:leader="none"/>
              </w:tabs>
              <w:rPr>
                <w:rFonts w:ascii="宋体" w:hAnsi="宋体" w:cs="宋体"/>
                <w:bCs/>
                <w:szCs w:val="21"/>
                <w:lang w:val="zh-CN"/>
              </w:rPr>
            </w:pPr>
            <w:r>
              <w:rPr>
                <w:rFonts w:ascii="宋体" w:hAnsi="宋体" w:cs="宋体"/>
                <w:bCs/>
                <w:szCs w:val="21"/>
                <w:lang w:val="zh-CN"/>
              </w:rPr>
            </w:r>
            <w:r/>
          </w:p>
        </w:tc>
        <w:tc>
          <w:tcPr>
            <w:tcW w:w="1023" w:type="dxa"/>
            <w:vAlign w:val="center"/>
            <w:textDirection w:val="lrTb"/>
            <w:noWrap w:val="false"/>
          </w:tcPr>
          <w:p>
            <w:pPr>
              <w:ind w:firstLine="470"/>
              <w:jc w:val="center"/>
              <w:tabs>
                <w:tab w:val="left" w:pos="2670" w:leader="none"/>
              </w:tabs>
              <w:rPr>
                <w:rFonts w:ascii="宋体" w:hAnsi="宋体" w:cs="宋体"/>
                <w:bCs/>
                <w:szCs w:val="21"/>
                <w:lang w:val="zh-CN"/>
              </w:rPr>
            </w:pPr>
            <w:r>
              <w:rPr>
                <w:rFonts w:ascii="宋体" w:hAnsi="宋体" w:cs="宋体"/>
                <w:bCs/>
                <w:szCs w:val="21"/>
                <w:lang w:val="zh-CN"/>
              </w:rPr>
            </w:r>
            <w:r/>
          </w:p>
        </w:tc>
        <w:tc>
          <w:tcPr>
            <w:tcW w:w="997"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709"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03"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296"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r>
      <w:tr>
        <w:trPr>
          <w:cantSplit/>
          <w:jc w:val="center"/>
          <w:trHeight w:val="411"/>
        </w:trPr>
        <w:tc>
          <w:tcPr>
            <w:tcW w:w="705"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textDirection w:val="lrTb"/>
            <w:noWrap w:val="false"/>
          </w:tcPr>
          <w:p>
            <w:pPr>
              <w:jc w:val="center"/>
              <w:tabs>
                <w:tab w:val="left" w:pos="2670" w:leader="none"/>
              </w:tabs>
              <w:rPr>
                <w:rFonts w:ascii="宋体" w:hAnsi="宋体" w:cs="Arial"/>
                <w:szCs w:val="21"/>
              </w:rPr>
            </w:pPr>
            <w:r>
              <w:rPr>
                <w:rFonts w:ascii="宋体" w:hAnsi="宋体" w:cs="Arial"/>
                <w:szCs w:val="21"/>
              </w:rPr>
            </w:r>
            <w:r/>
          </w:p>
        </w:tc>
        <w:tc>
          <w:tcPr>
            <w:tcW w:w="941"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02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997"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0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29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05"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941"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02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997"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0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29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05"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941"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02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997"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0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29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05"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941"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02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997"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0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29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r>
        <w:trPr>
          <w:cantSplit/>
          <w:jc w:val="center"/>
          <w:trHeight w:val="397"/>
        </w:trPr>
        <w:tc>
          <w:tcPr>
            <w:tcW w:w="705" w:type="dxa"/>
            <w:vAlign w:val="center"/>
            <w:textDirection w:val="lrTb"/>
            <w:noWrap w:val="false"/>
          </w:tcPr>
          <w:p>
            <w:pPr>
              <w:jc w:val="center"/>
              <w:tabs>
                <w:tab w:val="left" w:pos="2670" w:leader="none"/>
              </w:tabs>
              <w:rPr>
                <w:rFonts w:ascii="宋体" w:hAnsi="宋体" w:cs="宋体"/>
                <w:bCs/>
                <w:szCs w:val="21"/>
                <w:lang w:val="zh-CN"/>
              </w:rPr>
            </w:pPr>
            <w:r>
              <w:rPr>
                <w:rFonts w:ascii="宋体" w:hAnsi="宋体" w:cs="宋体"/>
                <w:bCs/>
                <w:szCs w:val="21"/>
                <w:lang w:val="zh-CN"/>
              </w:rPr>
            </w:r>
            <w:r/>
          </w:p>
        </w:tc>
        <w:tc>
          <w:tcPr>
            <w:tcW w:w="1145" w:type="dxa"/>
            <w:vAlign w:val="center"/>
            <w:textDirection w:val="lrTb"/>
            <w:noWrap w:val="false"/>
          </w:tcPr>
          <w:p>
            <w:pPr>
              <w:jc w:val="center"/>
              <w:tabs>
                <w:tab w:val="left" w:pos="2670" w:leader="none"/>
              </w:tabs>
              <w:rPr>
                <w:rFonts w:ascii="宋体" w:hAnsi="宋体"/>
                <w:szCs w:val="21"/>
              </w:rPr>
            </w:pPr>
            <w:r>
              <w:rPr>
                <w:rFonts w:ascii="宋体" w:hAnsi="宋体"/>
                <w:szCs w:val="21"/>
              </w:rPr>
            </w:r>
            <w:r/>
          </w:p>
        </w:tc>
        <w:tc>
          <w:tcPr>
            <w:tcW w:w="941"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02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997"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709"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103"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c>
          <w:tcPr>
            <w:tcW w:w="1296" w:type="dxa"/>
            <w:vAlign w:val="center"/>
            <w:textDirection w:val="lrTb"/>
            <w:noWrap w:val="false"/>
          </w:tcPr>
          <w:p>
            <w:pPr>
              <w:ind w:firstLine="472"/>
              <w:jc w:val="center"/>
              <w:tabs>
                <w:tab w:val="left" w:pos="2670" w:leader="none"/>
              </w:tabs>
              <w:rPr>
                <w:rFonts w:ascii="宋体" w:hAnsi="宋体" w:cs="宋体"/>
                <w:b/>
                <w:bCs/>
                <w:szCs w:val="21"/>
                <w:lang w:val="zh-CN"/>
              </w:rPr>
            </w:pPr>
            <w:r>
              <w:rPr>
                <w:rFonts w:ascii="宋体" w:hAnsi="宋体" w:cs="宋体"/>
                <w:b/>
                <w:bCs/>
                <w:szCs w:val="21"/>
                <w:lang w:val="zh-CN"/>
              </w:rPr>
            </w:r>
            <w:r/>
          </w:p>
        </w:tc>
      </w:tr>
    </w:tbl>
    <w:p>
      <w:pPr>
        <w:jc w:val="left"/>
        <w:spacing w:before="166" w:line="500" w:lineRule="exact"/>
        <w:rPr>
          <w:rFonts w:asciiTheme="minorEastAsia" w:hAnsiTheme="minorEastAsia" w:eastAsiaTheme="minorEastAsia"/>
        </w:rPr>
      </w:pPr>
      <w:r>
        <w:rPr>
          <w:rFonts w:hint="eastAsia" w:asciiTheme="minorEastAsia" w:hAnsiTheme="minorEastAsia" w:eastAsiaTheme="minorEastAsia"/>
        </w:rPr>
        <w:t xml:space="preserve">备注：报价应包括但不限于：所投货物和服务、辅材（含专用工具）、软件、运用、维护、知识产权、税金、运输、装卸、保险、检测验收、人员培训、安装调试、五年物联网卡费用、交付后质保等所有费用。</w:t>
      </w:r>
      <w:r/>
    </w:p>
    <w:p>
      <w:pPr>
        <w:pStyle w:val="901"/>
        <w:rPr>
          <w:color w:val="auto"/>
        </w:rPr>
      </w:pPr>
      <w:r>
        <w:rPr>
          <w:color w:val="auto"/>
        </w:rPr>
      </w:r>
      <w:r/>
    </w:p>
    <w:p>
      <w:pPr>
        <w:ind w:firstLine="3360"/>
        <w:spacing w:before="16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6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6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bookmarkEnd w:id="364"/>
      <w:r/>
      <w:bookmarkEnd w:id="365"/>
      <w:r/>
      <w:bookmarkEnd w:id="362"/>
      <w:r/>
      <w:bookmarkEnd w:id="363"/>
      <w:r/>
      <w:r/>
    </w:p>
    <w:p>
      <w:pPr>
        <w:pStyle w:val="901"/>
        <w:rPr>
          <w:rFonts w:asciiTheme="minorEastAsia" w:hAnsiTheme="minorEastAsia" w:eastAsiaTheme="minorEastAsia"/>
          <w:color w:val="auto"/>
        </w:rPr>
      </w:pPr>
      <w:r>
        <w:rPr>
          <w:rFonts w:asciiTheme="minorEastAsia" w:hAnsiTheme="minorEastAsia" w:eastAsiaTheme="minorEastAsia"/>
          <w:color w:val="auto"/>
        </w:rPr>
      </w:r>
      <w:r/>
    </w:p>
    <w:p>
      <w:pPr>
        <w:rPr>
          <w:rFonts w:asciiTheme="minorEastAsia" w:hAnsiTheme="minorEastAsia" w:eastAsiaTheme="minorEastAsia"/>
        </w:rPr>
      </w:pPr>
      <w:r>
        <w:rPr>
          <w:rFonts w:asciiTheme="minorEastAsia" w:hAnsiTheme="minorEastAsia" w:eastAsiaTheme="minorEastAsia"/>
        </w:rPr>
      </w:r>
      <w:r/>
    </w:p>
    <w:p>
      <w:pPr>
        <w:pStyle w:val="901"/>
        <w:rPr>
          <w:rFonts w:asciiTheme="minorEastAsia" w:hAnsiTheme="minorEastAsia" w:eastAsiaTheme="minorEastAsia"/>
          <w:color w:val="auto"/>
        </w:rPr>
      </w:pPr>
      <w:r>
        <w:rPr>
          <w:rFonts w:asciiTheme="minorEastAsia" w:hAnsiTheme="minorEastAsia" w:eastAsiaTheme="minorEastAsia"/>
          <w:color w:val="auto"/>
        </w:rPr>
      </w:r>
      <w:r/>
    </w:p>
    <w:p>
      <w:pPr>
        <w:rPr>
          <w:rFonts w:asciiTheme="minorEastAsia" w:hAnsiTheme="minorEastAsia" w:eastAsiaTheme="minorEastAsia"/>
        </w:rPr>
      </w:pPr>
      <w:r>
        <w:rPr>
          <w:rFonts w:asciiTheme="minorEastAsia" w:hAnsiTheme="minorEastAsia" w:eastAsiaTheme="minorEastAsia"/>
        </w:rPr>
      </w:r>
      <w:r/>
    </w:p>
    <w:p>
      <w:pPr>
        <w:pStyle w:val="901"/>
        <w:rPr>
          <w:rFonts w:asciiTheme="minorEastAsia" w:hAnsiTheme="minorEastAsia" w:eastAsiaTheme="minorEastAsia"/>
          <w:color w:val="auto"/>
        </w:rPr>
      </w:pPr>
      <w:r>
        <w:rPr>
          <w:rFonts w:asciiTheme="minorEastAsia" w:hAnsiTheme="minorEastAsia" w:eastAsiaTheme="minorEastAsia"/>
          <w:color w:val="auto"/>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bookmarkEnd w:id="366"/>
      <w:r/>
      <w:bookmarkEnd w:id="367"/>
      <w:r/>
      <w:r/>
    </w:p>
    <w:p>
      <w:pPr>
        <w:jc w:val="left"/>
        <w:spacing w:line="500" w:lineRule="exact"/>
        <w:widowControl/>
        <w:rPr>
          <w:rFonts w:ascii="楷体" w:hAnsi="楷体" w:eastAsia="楷体" w:cs="宋体"/>
          <w:b/>
          <w:bCs/>
          <w:sz w:val="32"/>
          <w:szCs w:val="32"/>
        </w:rPr>
      </w:pPr>
      <w:r>
        <w:rPr>
          <w:rFonts w:hint="eastAsia" w:ascii="楷体" w:hAnsi="楷体" w:eastAsia="楷体" w:cs="宋体"/>
          <w:b/>
          <w:sz w:val="32"/>
          <w:szCs w:val="32"/>
          <w:highlight w:val="none"/>
        </w:rPr>
      </w:r>
      <w:r>
        <w:rPr>
          <w:rFonts w:hint="eastAsia" w:ascii="楷体" w:hAnsi="楷体" w:eastAsia="楷体" w:cs="宋体"/>
          <w:b/>
          <w:sz w:val="32"/>
          <w:szCs w:val="32"/>
          <w:highlight w:val="none"/>
        </w:rPr>
      </w:r>
      <w:r/>
    </w:p>
    <w:p>
      <w:pPr>
        <w:jc w:val="left"/>
        <w:spacing w:line="500" w:lineRule="exact"/>
        <w:widowControl/>
        <w:rPr>
          <w:rFonts w:hint="eastAsia" w:ascii="楷体" w:hAnsi="楷体" w:eastAsia="楷体" w:cs="宋体"/>
          <w:b/>
          <w:bCs/>
          <w:sz w:val="32"/>
          <w:szCs w:val="32"/>
          <w:highlight w:val="none"/>
        </w:rPr>
      </w:pPr>
      <w:r>
        <w:rPr>
          <w:rFonts w:hint="eastAsia" w:ascii="楷体" w:hAnsi="楷体" w:eastAsia="楷体" w:cs="宋体"/>
          <w:b/>
          <w:sz w:val="32"/>
          <w:szCs w:val="32"/>
        </w:rPr>
        <w:t xml:space="preserve">3.5投标人资格条件证明文件</w:t>
      </w:r>
      <w:r/>
    </w:p>
    <w:p>
      <w:pPr>
        <w:pStyle w:val="876"/>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876"/>
        <w:jc w:val="center"/>
        <w:spacing w:line="500" w:lineRule="exact"/>
        <w:rPr>
          <w:rFonts w:hAnsi="宋体" w:cs="宋体"/>
          <w:b/>
          <w:sz w:val="28"/>
          <w:szCs w:val="28"/>
        </w:rPr>
      </w:pPr>
      <w:r/>
      <w:bookmarkStart w:id="368" w:name="OLE_LINK84"/>
      <w:r/>
      <w:bookmarkStart w:id="369" w:name="OLE_LINK86"/>
      <w:r/>
      <w:bookmarkStart w:id="370" w:name="OLE_LINK94"/>
      <w:r/>
      <w:bookmarkStart w:id="371" w:name="OLE_LINK87"/>
      <w:r>
        <w:rPr>
          <w:rFonts w:hint="eastAsia" w:hAnsi="宋体" w:cs="宋体"/>
          <w:b/>
          <w:sz w:val="28"/>
          <w:szCs w:val="28"/>
        </w:rPr>
        <w:t xml:space="preserve">投标人基本资格条件承诺函</w:t>
      </w:r>
      <w:r/>
    </w:p>
    <w:p>
      <w:pPr>
        <w:ind w:firstLine="560"/>
        <w:spacing w:line="500" w:lineRule="exact"/>
        <w:rPr>
          <w:rFonts w:ascii="宋体" w:hAnsi="宋体" w:cs="宋体"/>
          <w:sz w:val="28"/>
          <w:szCs w:val="28"/>
        </w:rPr>
      </w:pPr>
      <w:r>
        <w:rPr>
          <w:rFonts w:hint="eastAsia" w:ascii="宋体" w:hAnsi="宋体" w:cs="宋体"/>
          <w:sz w:val="28"/>
          <w:szCs w:val="28"/>
        </w:rPr>
        <w:t xml:space="preserve">一、按照《政府采购法》第二十二条规定的投标人基本资格条件，我公司郑重承诺如下：</w:t>
      </w:r>
      <w:r/>
    </w:p>
    <w:p>
      <w:pPr>
        <w:pStyle w:val="876"/>
        <w:ind w:firstLine="560"/>
        <w:spacing w:line="500" w:lineRule="exact"/>
        <w:rPr>
          <w:rFonts w:hAnsi="宋体"/>
          <w:sz w:val="28"/>
          <w:szCs w:val="28"/>
          <w:shd w:val="clear" w:color="auto" w:fill="ffffff"/>
        </w:rPr>
      </w:pPr>
      <w:r>
        <w:rPr>
          <w:rFonts w:hint="eastAsia" w:hAnsi="宋体"/>
          <w:sz w:val="28"/>
          <w:szCs w:val="28"/>
        </w:rPr>
        <w:t xml:space="preserve">1.我公司具有</w:t>
      </w:r>
      <w:r>
        <w:rPr>
          <w:rFonts w:hint="eastAsia" w:hAnsi="宋体"/>
          <w:sz w:val="28"/>
          <w:szCs w:val="28"/>
          <w:shd w:val="clear" w:color="auto" w:fill="ffffff"/>
        </w:rPr>
        <w:t xml:space="preserve">良好的商业信誉和健全的财务制度；</w:t>
      </w:r>
      <w:r/>
    </w:p>
    <w:p>
      <w:pPr>
        <w:pStyle w:val="876"/>
        <w:ind w:firstLine="560"/>
        <w:spacing w:line="500" w:lineRule="exact"/>
        <w:rPr>
          <w:rFonts w:hAnsi="宋体"/>
          <w:sz w:val="28"/>
          <w:szCs w:val="28"/>
          <w:shd w:val="clear" w:color="auto" w:fill="ffffff"/>
        </w:rPr>
      </w:pPr>
      <w:r>
        <w:rPr>
          <w:rFonts w:hint="eastAsia" w:hAnsi="宋体"/>
          <w:sz w:val="28"/>
          <w:szCs w:val="28"/>
          <w:shd w:val="clear" w:color="auto" w:fill="ffffff"/>
        </w:rPr>
        <w:t xml:space="preserve">2.我公司具有履行合同所必需的设备和专业技术能力；</w:t>
      </w:r>
      <w:r/>
    </w:p>
    <w:p>
      <w:pPr>
        <w:pStyle w:val="876"/>
        <w:ind w:firstLine="560"/>
        <w:spacing w:line="500" w:lineRule="exact"/>
        <w:rPr>
          <w:rFonts w:hAnsi="宋体"/>
          <w:sz w:val="28"/>
          <w:szCs w:val="28"/>
          <w:shd w:val="clear" w:color="auto" w:fill="ffffff"/>
        </w:rPr>
      </w:pPr>
      <w:r>
        <w:rPr>
          <w:rFonts w:hint="eastAsia" w:hAnsi="宋体"/>
          <w:sz w:val="28"/>
          <w:szCs w:val="28"/>
          <w:shd w:val="clear" w:color="auto" w:fill="ffffff"/>
        </w:rPr>
        <w:t xml:space="preserve">3.我公司具有依法缴纳税收和社会保障资金的良好记录；</w:t>
      </w:r>
      <w:r/>
    </w:p>
    <w:p>
      <w:pPr>
        <w:ind w:firstLine="560"/>
        <w:spacing w:line="520" w:lineRule="exact"/>
        <w:rPr>
          <w:rFonts w:ascii="宋体" w:hAnsi="宋体"/>
          <w:sz w:val="28"/>
          <w:szCs w:val="28"/>
          <w:shd w:val="clear" w:color="auto" w:fill="ffffff"/>
        </w:rPr>
      </w:pPr>
      <w:r>
        <w:rPr>
          <w:rFonts w:hint="eastAsia" w:ascii="宋体" w:hAnsi="宋体"/>
          <w:sz w:val="28"/>
          <w:szCs w:val="28"/>
          <w:shd w:val="clear" w:color="auto" w:fill="ffffff"/>
        </w:rPr>
        <w:t xml:space="preserve">4.我公司参加政府采购活动前三年内，在经营活动中没有重大违法记录</w:t>
      </w:r>
      <w:r>
        <w:rPr>
          <w:rFonts w:hint="eastAsia" w:ascii="宋体" w:hAnsi="宋体" w:cs="宋体"/>
          <w:sz w:val="28"/>
          <w:szCs w:val="28"/>
        </w:rPr>
        <w:t xml:space="preserve">；</w:t>
      </w:r>
      <w:r/>
    </w:p>
    <w:p>
      <w:pPr>
        <w:pStyle w:val="876"/>
        <w:ind w:firstLine="560"/>
        <w:spacing w:line="500" w:lineRule="exact"/>
        <w:rPr>
          <w:rFonts w:hAnsi="宋体"/>
          <w:sz w:val="28"/>
          <w:szCs w:val="28"/>
          <w:shd w:val="clear" w:color="auto" w:fill="ffffff"/>
        </w:rPr>
      </w:pPr>
      <w:r>
        <w:rPr>
          <w:rFonts w:hint="eastAsia" w:hAnsi="宋体"/>
          <w:sz w:val="28"/>
          <w:szCs w:val="28"/>
          <w:shd w:val="clear" w:color="auto" w:fill="ffffff"/>
        </w:rPr>
        <w:t xml:space="preserve">5.我公司未列入信用中国网站（www.creditchina.gov.cn）“失信被执行人”、“重大税收违法案件当事人名单”中，也未列入中国政府采购网（www.ccgp.gov.cn）“政府采购严重违法失信行为记录名单”中</w:t>
      </w:r>
      <w:r>
        <w:rPr>
          <w:rFonts w:hint="eastAsia" w:hAnsi="宋体"/>
          <w:sz w:val="28"/>
          <w:szCs w:val="28"/>
        </w:rPr>
        <w:t xml:space="preserve">。</w:t>
      </w:r>
      <w:r/>
    </w:p>
    <w:p>
      <w:pPr>
        <w:pStyle w:val="876"/>
        <w:ind w:firstLine="560"/>
        <w:spacing w:line="500" w:lineRule="exact"/>
        <w:rPr>
          <w:rFonts w:hAnsi="宋体"/>
          <w:sz w:val="28"/>
          <w:szCs w:val="28"/>
        </w:rPr>
      </w:pPr>
      <w:r>
        <w:rPr>
          <w:rFonts w:hint="eastAsia" w:hAnsi="宋体"/>
          <w:sz w:val="28"/>
          <w:szCs w:val="28"/>
          <w:shd w:val="clear" w:color="auto" w:fill="ffffff"/>
        </w:rPr>
        <w:t xml:space="preserve">二、</w:t>
      </w:r>
      <w:r>
        <w:rPr>
          <w:rFonts w:hint="eastAsia" w:hAnsi="宋体"/>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68"/>
      <w:r/>
      <w:bookmarkEnd w:id="369"/>
      <w:r/>
      <w:bookmarkEnd w:id="370"/>
      <w:r/>
      <w:bookmarkEnd w:id="371"/>
      <w:r/>
      <w:r/>
    </w:p>
    <w:p>
      <w:pPr>
        <w:pStyle w:val="876"/>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876"/>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876"/>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87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w:t>
      </w:r>
      <w:r/>
    </w:p>
    <w:p>
      <w:pPr>
        <w:pStyle w:val="876"/>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72" w:name="OLE_LINK82"/>
      <w:r/>
      <w:bookmarkStart w:id="373" w:name="OLE_LINK83"/>
      <w:r/>
      <w:bookmarkStart w:id="374" w:name="OLE_LINK88"/>
      <w:r/>
      <w:bookmarkStart w:id="375" w:name="OLE_LINK95"/>
      <w:r/>
      <w:bookmarkStart w:id="376" w:name="OLE_LINK96"/>
      <w:r>
        <w:rPr>
          <w:rFonts w:hint="eastAsia" w:ascii="宋体" w:hAnsi="宋体" w:cs="宋体"/>
          <w:b/>
          <w:sz w:val="36"/>
          <w:szCs w:val="28"/>
        </w:rPr>
        <w:t xml:space="preserve">中小企业声明函（货物）</w:t>
      </w:r>
      <w:r/>
    </w:p>
    <w:p>
      <w:pPr>
        <w:ind w:firstLine="566"/>
        <w:spacing w:line="440" w:lineRule="exact"/>
        <w:rPr>
          <w:rFonts w:ascii="宋体" w:hAnsi="宋体" w:cs="仿宋"/>
          <w:sz w:val="28"/>
          <w:szCs w:val="28"/>
        </w:rPr>
      </w:pPr>
      <w:r>
        <w:rPr>
          <w:rFonts w:ascii="宋体" w:hAnsi="宋体" w:cs="仿宋"/>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914"/>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914"/>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p>
    <w:p>
      <w:pPr>
        <w:spacing w:line="400" w:lineRule="exact"/>
        <w:rPr>
          <w:rFonts w:ascii="宋体" w:hAnsi="宋体" w:cs="宋体"/>
          <w:b/>
          <w:sz w:val="28"/>
          <w:szCs w:val="28"/>
        </w:rPr>
      </w:pPr>
      <w:r>
        <w:rPr>
          <w:rFonts w:hint="eastAsia" w:ascii="宋体" w:hAnsi="宋体" w:cs="宋体"/>
          <w:b/>
          <w:sz w:val="28"/>
          <w:szCs w:val="28"/>
        </w:rPr>
        <w:t xml:space="preserve">2、投标人未提供此声明函的，将无法享受价格优惠评审。</w:t>
      </w:r>
      <w:r/>
    </w:p>
    <w:p>
      <w:pPr>
        <w:pStyle w:val="875"/>
        <w:ind w:firstLine="0"/>
        <w:spacing w:line="400" w:lineRule="exact"/>
        <w:rPr>
          <w:rFonts w:ascii="宋体" w:hAnsi="宋体" w:cs="宋体"/>
          <w:sz w:val="28"/>
          <w:szCs w:val="28"/>
        </w:rPr>
      </w:pPr>
      <w:r>
        <w:rPr>
          <w:rFonts w:hint="eastAsia" w:ascii="宋体" w:hAnsi="宋体" w:cs="宋体"/>
          <w:b/>
          <w:sz w:val="28"/>
          <w:szCs w:val="28"/>
        </w:rPr>
        <w:t xml:space="preserve">3、投标人提供的声明函内容不实的，属于提供虚假材料谋取中标，依照《中华人民共和国政府采购法》等国家有关规定追究相应责任。</w:t>
      </w:r>
      <w:bookmarkEnd w:id="372"/>
      <w:r/>
      <w:bookmarkEnd w:id="373"/>
      <w:r/>
      <w:bookmarkEnd w:id="374"/>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jc w:val="center"/>
        <w:spacing w:line="440" w:lineRule="exact"/>
        <w:widowControl/>
        <w:rPr>
          <w:rFonts w:ascii="楷体" w:hAnsi="楷体" w:eastAsia="楷体" w:cs="宋体"/>
          <w:b/>
          <w:bCs/>
          <w:sz w:val="32"/>
          <w:szCs w:val="32"/>
        </w:rPr>
      </w:pPr>
      <w:r>
        <w:rPr>
          <w:rFonts w:hint="eastAsia" w:ascii="楷体" w:hAnsi="楷体" w:eastAsia="楷体" w:cs="宋体"/>
          <w:b/>
          <w:sz w:val="32"/>
          <w:szCs w:val="32"/>
          <w:highlight w:val="none"/>
        </w:rPr>
      </w:r>
      <w:r>
        <w:rPr>
          <w:rFonts w:hint="eastAsia" w:ascii="楷体" w:hAnsi="楷体" w:eastAsia="楷体" w:cs="宋体"/>
          <w:b/>
          <w:sz w:val="32"/>
          <w:szCs w:val="32"/>
          <w:highlight w:val="none"/>
        </w:rPr>
      </w:r>
      <w:r/>
    </w:p>
    <w:p>
      <w:pPr>
        <w:jc w:val="center"/>
        <w:spacing w:line="440" w:lineRule="exact"/>
        <w:widowControl/>
        <w:rPr>
          <w:rFonts w:hint="eastAsia" w:ascii="楷体" w:hAnsi="楷体" w:eastAsia="楷体" w:cs="宋体"/>
          <w:b/>
          <w:bCs/>
          <w:sz w:val="32"/>
          <w:szCs w:val="32"/>
          <w:highlight w:val="none"/>
        </w:rPr>
      </w:pPr>
      <w:r/>
      <w:bookmarkStart w:id="377" w:name="OLE_LINK98"/>
      <w:r/>
      <w:bookmarkStart w:id="378" w:name="OLE_LINK97"/>
      <w:r/>
      <w:bookmarkEnd w:id="375"/>
      <w:r/>
      <w:bookmarkEnd w:id="376"/>
      <w:r>
        <w:rPr>
          <w:rFonts w:hint="eastAsia" w:ascii="楷体" w:hAnsi="楷体" w:eastAsia="楷体" w:cs="宋体"/>
          <w:b/>
          <w:sz w:val="32"/>
          <w:szCs w:val="32"/>
        </w:rPr>
        <w:t xml:space="preserve">关于符合本国产品标准的声明函</w:t>
      </w:r>
      <w:r/>
    </w:p>
    <w:p>
      <w:pPr>
        <w:ind w:firstLine="566"/>
        <w:spacing w:line="500" w:lineRule="exact"/>
        <w:rPr>
          <w:rFonts w:ascii="宋体" w:hAnsi="宋体" w:cs="宋体"/>
          <w:sz w:val="28"/>
          <w:szCs w:val="28"/>
        </w:rPr>
      </w:pPr>
      <w:r>
        <w:rPr>
          <w:rFonts w:ascii="宋体" w:hAnsi="宋体" w:cs="宋体"/>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(产品名称1)</w:t>
      </w:r>
      <w:r>
        <w:rPr>
          <w:rFonts w:hint="eastAsia" w:ascii="宋体" w:hAnsi="宋体" w:cs="宋体"/>
          <w:sz w:val="28"/>
          <w:szCs w:val="28"/>
        </w:rPr>
        <w:t xml:space="preserve">，生产厂为</w:t>
      </w:r>
      <w:r>
        <w:rPr>
          <w:rFonts w:hint="eastAsia" w:ascii="宋体" w:hAnsi="宋体" w:cs="宋体"/>
          <w:sz w:val="28"/>
          <w:szCs w:val="28"/>
          <w:u w:val="single"/>
        </w:rPr>
        <w:t xml:space="preserve">(厂名)2</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(产品名称1)</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p>
    <w:p>
      <w:pPr>
        <w:ind w:firstLine="566"/>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(产品名称2)</w:t>
      </w:r>
      <w:r>
        <w:rPr>
          <w:rFonts w:hint="eastAsia" w:ascii="宋体" w:hAnsi="宋体" w:cs="宋体"/>
          <w:sz w:val="28"/>
          <w:szCs w:val="28"/>
        </w:rPr>
        <w:t xml:space="preserve">，生产厂为</w:t>
      </w:r>
      <w:r>
        <w:rPr>
          <w:rFonts w:hint="eastAsia" w:ascii="宋体" w:hAnsi="宋体" w:cs="宋体"/>
          <w:sz w:val="28"/>
          <w:szCs w:val="28"/>
          <w:u w:val="single"/>
        </w:rPr>
        <w:t xml:space="preserve">(厂名)</w:t>
      </w:r>
      <w:r>
        <w:rPr>
          <w:rFonts w:hint="eastAsia" w:ascii="宋体" w:hAnsi="宋体" w:cs="宋体"/>
          <w:sz w:val="28"/>
          <w:szCs w:val="28"/>
        </w:rPr>
        <w:t xml:space="preserve">，厂址为</w:t>
      </w:r>
      <w:r>
        <w:rPr>
          <w:rFonts w:hint="eastAsia" w:ascii="宋体" w:hAnsi="宋体" w:cs="宋体"/>
          <w:sz w:val="28"/>
          <w:szCs w:val="28"/>
          <w:u w:val="single"/>
        </w:rPr>
        <w:t xml:space="preserve">(生产厂址)</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的中国境内生产的组件成本占比≥</w:t>
      </w:r>
      <w:r>
        <w:rPr>
          <w:rFonts w:hint="eastAsia" w:ascii="宋体" w:hAnsi="宋体" w:cs="宋体"/>
          <w:sz w:val="28"/>
          <w:szCs w:val="28"/>
          <w:u w:val="single"/>
        </w:rPr>
        <w:t xml:space="preserve">(规定比例)</w:t>
      </w:r>
      <w:r>
        <w:rPr>
          <w:rFonts w:hint="eastAsia" w:ascii="宋体" w:hAnsi="宋体" w:cs="宋体"/>
          <w:sz w:val="28"/>
          <w:szCs w:val="28"/>
        </w:rPr>
        <w:t xml:space="preserve">。</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(关键组件)</w:t>
      </w:r>
      <w:r>
        <w:rPr>
          <w:rFonts w:hint="eastAsia" w:ascii="宋体" w:hAnsi="宋体" w:cs="宋体"/>
          <w:sz w:val="28"/>
          <w:szCs w:val="28"/>
        </w:rPr>
        <w:t xml:space="preserve">在中国境内生产。</w:t>
      </w:r>
      <w:r>
        <w:rPr>
          <w:rFonts w:hint="eastAsia" w:ascii="宋体" w:hAnsi="宋体" w:cs="宋体"/>
          <w:sz w:val="28"/>
          <w:szCs w:val="28"/>
          <w:u w:val="single"/>
        </w:rPr>
        <w:t xml:space="preserve">(产品名称2)</w:t>
      </w:r>
      <w:r>
        <w:rPr>
          <w:rFonts w:hint="eastAsia" w:ascii="宋体" w:hAnsi="宋体" w:cs="宋体"/>
          <w:sz w:val="28"/>
          <w:szCs w:val="28"/>
        </w:rPr>
        <w:t xml:space="preserve">的</w:t>
      </w:r>
      <w:r>
        <w:rPr>
          <w:rFonts w:hint="eastAsia" w:ascii="宋体" w:hAnsi="宋体" w:cs="宋体"/>
          <w:sz w:val="28"/>
          <w:szCs w:val="28"/>
          <w:u w:val="single"/>
        </w:rPr>
        <w:t xml:space="preserve">(关键工序)</w:t>
      </w:r>
      <w:r>
        <w:rPr>
          <w:rFonts w:hint="eastAsia" w:ascii="宋体" w:hAnsi="宋体" w:cs="宋体"/>
          <w:sz w:val="28"/>
          <w:szCs w:val="28"/>
        </w:rPr>
        <w:t xml:space="preserve">在中国境内完成。</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ascii="宋体" w:hAnsi="宋体" w:cs="宋体"/>
          <w:sz w:val="28"/>
          <w:szCs w:val="28"/>
        </w:rPr>
      </w:r>
      <w:r/>
    </w:p>
    <w:p>
      <w:pPr>
        <w:pStyle w:val="901"/>
        <w:rPr>
          <w:color w:val="auto"/>
        </w:rPr>
      </w:pPr>
      <w:r>
        <w:rPr>
          <w:color w:val="auto"/>
        </w:rPr>
      </w:r>
      <w:r/>
    </w:p>
    <w:p>
      <w:pPr>
        <w:ind w:firstLine="424"/>
        <w:spacing w:line="500" w:lineRule="exact"/>
        <w:rPr>
          <w:rFonts w:ascii="宋体" w:hAnsi="宋体" w:cs="宋体"/>
          <w:sz w:val="21"/>
          <w:szCs w:val="21"/>
        </w:rPr>
      </w:pPr>
      <w:r>
        <w:rPr>
          <w:rFonts w:hint="eastAsia" w:ascii="宋体" w:hAnsi="宋体" w:cs="宋体"/>
          <w:sz w:val="21"/>
          <w:szCs w:val="21"/>
        </w:rPr>
        <w:t xml:space="preserve">1.产品如有型号，请在“产品名称”栏一并填写。</w:t>
      </w:r>
      <w:r/>
    </w:p>
    <w:p>
      <w:pPr>
        <w:ind w:firstLine="424"/>
        <w:spacing w:line="500" w:lineRule="exact"/>
        <w:rPr>
          <w:rFonts w:ascii="宋体" w:hAnsi="宋体" w:cs="宋体"/>
          <w:sz w:val="21"/>
          <w:szCs w:val="21"/>
        </w:rPr>
      </w:pPr>
      <w:r>
        <w:rPr>
          <w:rFonts w:hint="eastAsia" w:ascii="宋体" w:hAnsi="宋体" w:cs="宋体"/>
          <w:sz w:val="21"/>
          <w:szCs w:val="21"/>
        </w:rPr>
        <w:t xml:space="preserve">2.生产厂名与厂址应与生产厂营业执照载明的相关信息保持一致。</w:t>
      </w:r>
      <w:r/>
    </w:p>
    <w:p>
      <w:pPr>
        <w:ind w:firstLine="424"/>
        <w:spacing w:line="500" w:lineRule="exact"/>
        <w:rPr>
          <w:rFonts w:ascii="宋体" w:hAnsi="宋体" w:cs="宋体"/>
          <w:sz w:val="21"/>
          <w:szCs w:val="21"/>
        </w:rPr>
      </w:pPr>
      <w:r>
        <w:rPr>
          <w:rFonts w:hint="eastAsia" w:ascii="宋体" w:hAnsi="宋体" w:cs="宋体"/>
          <w:sz w:val="21"/>
          <w:szCs w:val="21"/>
        </w:rPr>
        <w:t xml:space="preserve">3.该产品的中国境内生产的组件成本占比相关要求实施前，“规定比例”栏可不填，下同。</w:t>
      </w:r>
      <w:r/>
    </w:p>
    <w:p>
      <w:pPr>
        <w:ind w:firstLine="424"/>
        <w:spacing w:line="500" w:lineRule="exact"/>
        <w:rPr>
          <w:rFonts w:ascii="宋体" w:hAnsi="宋体" w:cs="宋体"/>
          <w:sz w:val="21"/>
          <w:szCs w:val="21"/>
        </w:rPr>
      </w:pPr>
      <w:r>
        <w:rPr>
          <w:rFonts w:hint="eastAsia" w:ascii="宋体" w:hAnsi="宋体" w:cs="宋体"/>
          <w:sz w:val="21"/>
          <w:szCs w:val="21"/>
        </w:rPr>
        <w:t xml:space="preserve">4.该产品的关键组件要求实施前，“关键组件”栏可不填，下同。</w:t>
      </w:r>
      <w:r/>
    </w:p>
    <w:p>
      <w:pPr>
        <w:ind w:firstLine="424"/>
        <w:spacing w:line="500" w:lineRule="exact"/>
        <w:rPr>
          <w:rFonts w:ascii="宋体" w:hAnsi="宋体" w:cs="宋体"/>
          <w:sz w:val="21"/>
          <w:szCs w:val="21"/>
        </w:rPr>
      </w:pPr>
      <w:r>
        <w:rPr>
          <w:rFonts w:hint="eastAsia" w:ascii="宋体" w:hAnsi="宋体" w:cs="宋体"/>
          <w:sz w:val="21"/>
          <w:szCs w:val="21"/>
        </w:rPr>
        <w:t xml:space="preserve">5.该产品的关键工序要求实施前，“关键工序”栏可不填，下同。</w:t>
      </w:r>
      <w:r/>
    </w:p>
    <w:p>
      <w:pPr>
        <w:ind w:firstLine="566"/>
        <w:spacing w:line="500" w:lineRule="exact"/>
        <w:rPr>
          <w:rFonts w:ascii="宋体" w:hAnsi="宋体" w:cs="宋体"/>
          <w:sz w:val="28"/>
          <w:szCs w:val="28"/>
        </w:rPr>
      </w:pPr>
      <w:r>
        <w:rPr>
          <w:rFonts w:hint="eastAsia" w:ascii="宋体" w:hAnsi="宋体" w:cs="宋体"/>
          <w:sz w:val="28"/>
          <w:szCs w:val="28"/>
        </w:rPr>
        <w:t xml:space="preserve">本公司(单位)对上述声明内容的真实性负责。如有虚假，愿承担相应法律责任。</w:t>
      </w:r>
      <w:r/>
    </w:p>
    <w:p>
      <w:pPr>
        <w:ind w:firstLine="566"/>
        <w:spacing w:line="500" w:lineRule="exact"/>
        <w:rPr>
          <w:rFonts w:ascii="宋体" w:hAnsi="宋体" w:cs="宋体"/>
          <w:sz w:val="28"/>
          <w:szCs w:val="28"/>
        </w:rPr>
      </w:pPr>
      <w:r>
        <w:rPr>
          <w:rFonts w:ascii="宋体" w:hAnsi="宋体" w:cs="宋体"/>
          <w:sz w:val="28"/>
          <w:szCs w:val="28"/>
        </w:rPr>
      </w:r>
      <w:r/>
    </w:p>
    <w:p>
      <w:pPr>
        <w:ind w:firstLine="566"/>
        <w:spacing w:line="500" w:lineRule="exact"/>
        <w:rPr>
          <w:rFonts w:ascii="宋体" w:hAnsi="宋体" w:cs="宋体"/>
          <w:sz w:val="28"/>
          <w:szCs w:val="28"/>
        </w:rPr>
      </w:pPr>
      <w:r>
        <w:rPr>
          <w:rFonts w:ascii="宋体" w:hAnsi="宋体" w:cs="宋体"/>
          <w:sz w:val="28"/>
          <w:szCs w:val="28"/>
        </w:rPr>
      </w:r>
      <w:r/>
    </w:p>
    <w:p>
      <w:pPr>
        <w:ind w:firstLine="4483"/>
        <w:spacing w:line="500" w:lineRule="exact"/>
        <w:rPr>
          <w:rFonts w:ascii="宋体" w:hAnsi="宋体" w:cs="宋体"/>
          <w:sz w:val="28"/>
          <w:szCs w:val="28"/>
        </w:rPr>
      </w:pPr>
      <w:r>
        <w:rPr>
          <w:rFonts w:hint="eastAsia" w:ascii="宋体" w:hAnsi="宋体" w:cs="宋体"/>
          <w:sz w:val="28"/>
          <w:szCs w:val="28"/>
        </w:rPr>
        <w:t xml:space="preserve">公司(单位)名称(盖章):</w:t>
      </w:r>
      <w:r/>
    </w:p>
    <w:p>
      <w:pPr>
        <w:ind w:firstLine="4480"/>
        <w:spacing w:line="500" w:lineRule="exact"/>
        <w:rPr>
          <w:rFonts w:ascii="宋体" w:hAnsi="宋体" w:cs="宋体"/>
          <w:sz w:val="28"/>
          <w:szCs w:val="28"/>
        </w:rPr>
      </w:pPr>
      <w:r>
        <w:rPr>
          <w:rFonts w:hint="eastAsia" w:ascii="宋体" w:hAnsi="宋体" w:cs="宋体"/>
          <w:sz w:val="28"/>
          <w:szCs w:val="28"/>
        </w:rPr>
        <w:t xml:space="preserve">日期:</w:t>
      </w:r>
      <w:r/>
    </w:p>
    <w:p>
      <w:pPr>
        <w:jc w:val="left"/>
        <w:spacing w:line="440" w:lineRule="exact"/>
        <w:widowControl/>
        <w:rPr>
          <w:rFonts w:ascii="楷体" w:hAnsi="楷体" w:eastAsia="楷体" w:cs="宋体"/>
          <w:b/>
          <w:sz w:val="32"/>
          <w:szCs w:val="32"/>
        </w:rPr>
      </w:pPr>
      <w:r>
        <w:rPr>
          <w:rFonts w:ascii="楷体" w:hAnsi="楷体" w:eastAsia="楷体" w:cs="宋体"/>
          <w:b/>
          <w:sz w:val="32"/>
          <w:szCs w:val="32"/>
        </w:rPr>
      </w:r>
      <w:bookmarkEnd w:id="377"/>
      <w:r/>
      <w:bookmarkEnd w:id="378"/>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bookmarkStart w:id="379" w:name="OLE_LINK80"/>
      <w:r/>
      <w:bookmarkStart w:id="380" w:name="OLE_LINK90"/>
      <w:r/>
      <w:bookmarkStart w:id="381" w:name="OLE_LINK81"/>
      <w:r>
        <w:rPr>
          <w:rFonts w:hint="eastAsia" w:ascii="宋体" w:hAnsi="宋体" w:cs="Arial Unicode MS"/>
          <w:sz w:val="28"/>
          <w:szCs w:val="28"/>
        </w:rPr>
        <w:t xml:space="preserve">响应表</w:t>
      </w:r>
      <w:r/>
    </w:p>
    <w:tbl>
      <w:tblPr>
        <w:tblW w:w="9153"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599"/>
        <w:gridCol w:w="888"/>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是否偏离</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rPr>
                <w:rFonts w:ascii="宋体" w:cs="Arial"/>
                <w:szCs w:val="21"/>
              </w:rPr>
            </w:pPr>
            <w:r>
              <w:rPr>
                <w:rFonts w:ascii="宋体" w:cs="Arial"/>
                <w:szCs w:val="21"/>
              </w:rPr>
            </w:r>
            <w:bookmarkEnd w:id="379"/>
            <w:r/>
            <w:bookmarkEnd w:id="380"/>
            <w:r/>
            <w:bookmarkEnd w:id="381"/>
            <w:r/>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895"/>
        <w:ind w:firstLine="643"/>
        <w:rPr>
          <w:rFonts w:ascii="楷体" w:hAnsi="楷体" w:eastAsia="楷体" w:cs="宋体"/>
          <w:b/>
          <w:sz w:val="32"/>
        </w:rPr>
      </w:pPr>
      <w:r>
        <w:rPr>
          <w:rFonts w:ascii="楷体" w:hAnsi="楷体" w:eastAsia="楷体" w:cs="宋体"/>
          <w:b/>
          <w:sz w:val="32"/>
        </w:rPr>
      </w:r>
      <w:r/>
    </w:p>
    <w:p>
      <w:pPr>
        <w:pStyle w:val="880"/>
        <w:rPr>
          <w:rFonts w:ascii="楷体" w:hAnsi="楷体" w:eastAsia="楷体" w:cs="宋体"/>
          <w:b/>
        </w:rPr>
      </w:pPr>
      <w:r>
        <w:rPr>
          <w:rFonts w:ascii="楷体" w:hAnsi="楷体" w:eastAsia="楷体" w:cs="宋体"/>
          <w:b/>
        </w:rPr>
      </w:r>
      <w:r/>
    </w:p>
    <w:p>
      <w:pPr>
        <w:pStyle w:val="887"/>
        <w:rPr>
          <w:rFonts w:ascii="楷体" w:hAnsi="楷体" w:eastAsia="楷体" w:cs="宋体"/>
          <w:b/>
          <w:sz w:val="32"/>
          <w:szCs w:val="32"/>
        </w:rPr>
      </w:pPr>
      <w:r>
        <w:rPr>
          <w:rFonts w:ascii="楷体" w:hAnsi="楷体" w:eastAsia="楷体" w:cs="宋体"/>
          <w:b/>
          <w:sz w:val="32"/>
          <w:szCs w:val="32"/>
        </w:rPr>
      </w:r>
      <w:r/>
    </w:p>
    <w:p>
      <w:pPr>
        <w:pStyle w:val="887"/>
        <w:rPr>
          <w:rFonts w:ascii="楷体" w:hAnsi="楷体" w:eastAsia="楷体" w:cs="宋体"/>
          <w:b/>
          <w:sz w:val="32"/>
          <w:szCs w:val="32"/>
        </w:rPr>
      </w:pPr>
      <w:r>
        <w:rPr>
          <w:rFonts w:ascii="楷体" w:hAnsi="楷体" w:eastAsia="楷体" w:cs="宋体"/>
          <w:b/>
          <w:sz w:val="32"/>
          <w:szCs w:val="32"/>
        </w:rPr>
      </w:r>
      <w:r/>
    </w:p>
    <w:p>
      <w:pPr>
        <w:pStyle w:val="887"/>
        <w:rPr>
          <w:rFonts w:ascii="楷体" w:hAnsi="楷体" w:eastAsia="楷体" w:cs="宋体"/>
          <w:b/>
          <w:sz w:val="32"/>
          <w:szCs w:val="32"/>
        </w:rPr>
      </w:pPr>
      <w:r>
        <w:rPr>
          <w:rFonts w:ascii="楷体" w:hAnsi="楷体" w:eastAsia="楷体" w:cs="宋体"/>
          <w:b/>
          <w:sz w:val="32"/>
          <w:szCs w:val="32"/>
        </w:rPr>
      </w:r>
      <w:r/>
    </w:p>
    <w:p>
      <w:pPr>
        <w:jc w:val="center"/>
        <w:rPr>
          <w:rFonts w:ascii="宋体" w:hAnsi="宋体"/>
          <w:b/>
          <w:sz w:val="28"/>
          <w:szCs w:val="28"/>
        </w:rPr>
      </w:pPr>
      <w:r>
        <w:rPr>
          <w:rFonts w:ascii="宋体" w:hAnsi="宋体"/>
          <w:b/>
          <w:sz w:val="28"/>
          <w:szCs w:val="28"/>
        </w:rPr>
      </w:r>
      <w:bookmarkEnd w:id="10"/>
      <w:r/>
      <w:bookmarkEnd w:id="11"/>
      <w:r/>
      <w:r/>
    </w:p>
    <w:p>
      <w:pPr>
        <w:pStyle w:val="905"/>
      </w:pPr>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黑体">
    <w:panose1 w:val="02010609060101010101"/>
  </w:font>
  <w:font w:name="仿宋_GB2312">
    <w:panose1 w:val="02010609060101010101"/>
  </w:font>
  <w:font w:name="Courier New">
    <w:panose1 w:val="02070309020205020404"/>
  </w:font>
  <w:font w:name="仿宋">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9802"/>
      <w:rPr/>
    </w:sdtPr>
    <w:sdtContent>
      <w:p>
        <w:pPr>
          <w:pStyle w:val="886"/>
          <w:jc w:val="center"/>
        </w:pPr>
        <w:r>
          <w:fldChar w:fldCharType="begin"/>
        </w:r>
        <w:r>
          <w:instrText xml:space="preserve">PAGE   \* MERGEFORMAT</w:instrText>
        </w:r>
        <w:r>
          <w:fldChar w:fldCharType="separate"/>
        </w:r>
        <w:r>
          <w:rPr>
            <w:lang w:val="zh-CN"/>
          </w:rPr>
          <w:t xml:space="preserve">31</w:t>
        </w:r>
        <w:r>
          <w:rPr>
            <w:lang w:val="zh-CN"/>
          </w:rPr>
          <w:fldChar w:fldCharType="end"/>
        </w:r>
        <w:r/>
      </w:p>
    </w:sdtContent>
  </w:sdt>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pStyle w:val="93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2"/>
    <w:link w:val="868"/>
    <w:uiPriority w:val="9"/>
    <w:rPr>
      <w:rFonts w:ascii="Arial" w:hAnsi="Arial" w:eastAsia="Arial" w:cs="Arial"/>
      <w:sz w:val="40"/>
      <w:szCs w:val="40"/>
    </w:rPr>
  </w:style>
  <w:style w:type="character" w:styleId="703">
    <w:name w:val="Heading 2 Char"/>
    <w:basedOn w:val="872"/>
    <w:link w:val="869"/>
    <w:uiPriority w:val="9"/>
    <w:rPr>
      <w:rFonts w:ascii="Arial" w:hAnsi="Arial" w:eastAsia="Arial" w:cs="Arial"/>
      <w:sz w:val="34"/>
    </w:rPr>
  </w:style>
  <w:style w:type="character" w:styleId="704">
    <w:name w:val="Heading 3 Char"/>
    <w:basedOn w:val="872"/>
    <w:link w:val="870"/>
    <w:uiPriority w:val="9"/>
    <w:rPr>
      <w:rFonts w:ascii="Arial" w:hAnsi="Arial" w:eastAsia="Arial" w:cs="Arial"/>
      <w:sz w:val="30"/>
      <w:szCs w:val="30"/>
    </w:rPr>
  </w:style>
  <w:style w:type="character" w:styleId="705">
    <w:name w:val="Heading 4 Char"/>
    <w:basedOn w:val="872"/>
    <w:link w:val="871"/>
    <w:uiPriority w:val="9"/>
    <w:rPr>
      <w:rFonts w:ascii="Arial" w:hAnsi="Arial" w:eastAsia="Arial" w:cs="Arial"/>
      <w:b/>
      <w:bCs/>
      <w:sz w:val="26"/>
      <w:szCs w:val="26"/>
    </w:rPr>
  </w:style>
  <w:style w:type="paragraph" w:styleId="706">
    <w:name w:val="Heading 5"/>
    <w:basedOn w:val="867"/>
    <w:next w:val="867"/>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2"/>
    <w:link w:val="706"/>
    <w:uiPriority w:val="9"/>
    <w:rPr>
      <w:rFonts w:ascii="Arial" w:hAnsi="Arial" w:eastAsia="Arial" w:cs="Arial"/>
      <w:b/>
      <w:bCs/>
      <w:sz w:val="24"/>
      <w:szCs w:val="24"/>
    </w:rPr>
  </w:style>
  <w:style w:type="paragraph" w:styleId="708">
    <w:name w:val="Heading 6"/>
    <w:basedOn w:val="867"/>
    <w:next w:val="867"/>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2"/>
    <w:link w:val="708"/>
    <w:uiPriority w:val="9"/>
    <w:rPr>
      <w:rFonts w:ascii="Arial" w:hAnsi="Arial" w:eastAsia="Arial" w:cs="Arial"/>
      <w:b/>
      <w:bCs/>
      <w:sz w:val="22"/>
      <w:szCs w:val="22"/>
    </w:rPr>
  </w:style>
  <w:style w:type="paragraph" w:styleId="710">
    <w:name w:val="Heading 7"/>
    <w:basedOn w:val="867"/>
    <w:next w:val="86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2"/>
    <w:link w:val="710"/>
    <w:uiPriority w:val="9"/>
    <w:rPr>
      <w:rFonts w:ascii="Arial" w:hAnsi="Arial" w:eastAsia="Arial" w:cs="Arial"/>
      <w:b/>
      <w:bCs/>
      <w:i/>
      <w:iCs/>
      <w:sz w:val="22"/>
      <w:szCs w:val="22"/>
    </w:rPr>
  </w:style>
  <w:style w:type="paragraph" w:styleId="712">
    <w:name w:val="Heading 8"/>
    <w:basedOn w:val="867"/>
    <w:next w:val="867"/>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2"/>
    <w:link w:val="712"/>
    <w:uiPriority w:val="9"/>
    <w:rPr>
      <w:rFonts w:ascii="Arial" w:hAnsi="Arial" w:eastAsia="Arial" w:cs="Arial"/>
      <w:i/>
      <w:iCs/>
      <w:sz w:val="22"/>
      <w:szCs w:val="22"/>
    </w:rPr>
  </w:style>
  <w:style w:type="paragraph" w:styleId="714">
    <w:name w:val="Heading 9"/>
    <w:basedOn w:val="867"/>
    <w:next w:val="867"/>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2"/>
    <w:link w:val="714"/>
    <w:uiPriority w:val="9"/>
    <w:rPr>
      <w:rFonts w:ascii="Arial" w:hAnsi="Arial" w:eastAsia="Arial" w:cs="Arial"/>
      <w:i/>
      <w:iCs/>
      <w:sz w:val="21"/>
      <w:szCs w:val="21"/>
    </w:rPr>
  </w:style>
  <w:style w:type="paragraph" w:styleId="716">
    <w:name w:val="Title"/>
    <w:basedOn w:val="867"/>
    <w:next w:val="867"/>
    <w:link w:val="717"/>
    <w:uiPriority w:val="10"/>
    <w:qFormat/>
    <w:pPr>
      <w:contextualSpacing/>
      <w:spacing w:before="300" w:after="200"/>
    </w:pPr>
    <w:rPr>
      <w:sz w:val="48"/>
      <w:szCs w:val="48"/>
    </w:rPr>
  </w:style>
  <w:style w:type="character" w:styleId="717">
    <w:name w:val="Title Char"/>
    <w:basedOn w:val="872"/>
    <w:link w:val="716"/>
    <w:uiPriority w:val="10"/>
    <w:rPr>
      <w:sz w:val="48"/>
      <w:szCs w:val="48"/>
    </w:rPr>
  </w:style>
  <w:style w:type="paragraph" w:styleId="718">
    <w:name w:val="Subtitle"/>
    <w:basedOn w:val="867"/>
    <w:next w:val="867"/>
    <w:link w:val="719"/>
    <w:uiPriority w:val="11"/>
    <w:qFormat/>
    <w:pPr>
      <w:spacing w:before="200" w:after="200"/>
    </w:pPr>
    <w:rPr>
      <w:sz w:val="24"/>
      <w:szCs w:val="24"/>
    </w:rPr>
  </w:style>
  <w:style w:type="character" w:styleId="719">
    <w:name w:val="Subtitle Char"/>
    <w:basedOn w:val="872"/>
    <w:link w:val="718"/>
    <w:uiPriority w:val="11"/>
    <w:rPr>
      <w:sz w:val="24"/>
      <w:szCs w:val="24"/>
    </w:rPr>
  </w:style>
  <w:style w:type="paragraph" w:styleId="720">
    <w:name w:val="Quote"/>
    <w:basedOn w:val="867"/>
    <w:next w:val="867"/>
    <w:link w:val="721"/>
    <w:uiPriority w:val="29"/>
    <w:qFormat/>
    <w:pPr>
      <w:ind w:left="720" w:right="720"/>
    </w:pPr>
    <w:rPr>
      <w:i/>
    </w:rPr>
  </w:style>
  <w:style w:type="character" w:styleId="721">
    <w:name w:val="Quote Char"/>
    <w:link w:val="720"/>
    <w:uiPriority w:val="29"/>
    <w:rPr>
      <w:i/>
    </w:rPr>
  </w:style>
  <w:style w:type="paragraph" w:styleId="722">
    <w:name w:val="Intense Quote"/>
    <w:basedOn w:val="867"/>
    <w:next w:val="867"/>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2"/>
    <w:link w:val="888"/>
    <w:uiPriority w:val="99"/>
  </w:style>
  <w:style w:type="character" w:styleId="725">
    <w:name w:val="Footer Char"/>
    <w:basedOn w:val="872"/>
    <w:link w:val="886"/>
    <w:uiPriority w:val="99"/>
  </w:style>
  <w:style w:type="paragraph" w:styleId="726">
    <w:name w:val="Caption"/>
    <w:basedOn w:val="867"/>
    <w:next w:val="867"/>
    <w:uiPriority w:val="35"/>
    <w:semiHidden/>
    <w:unhideWhenUsed/>
    <w:qFormat/>
    <w:pPr>
      <w:spacing w:line="276" w:lineRule="auto"/>
    </w:pPr>
    <w:rPr>
      <w:b/>
      <w:bCs/>
      <w:color w:val="4f81bd" w:themeColor="accent1"/>
      <w:sz w:val="18"/>
      <w:szCs w:val="18"/>
    </w:rPr>
  </w:style>
  <w:style w:type="character" w:styleId="727">
    <w:name w:val="Caption Char"/>
    <w:basedOn w:val="726"/>
    <w:link w:val="886"/>
    <w:uiPriority w:val="99"/>
  </w:style>
  <w:style w:type="table" w:styleId="728">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7"/>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2"/>
    <w:uiPriority w:val="99"/>
    <w:unhideWhenUsed/>
    <w:rPr>
      <w:vertAlign w:val="superscript"/>
    </w:rPr>
  </w:style>
  <w:style w:type="paragraph" w:styleId="856">
    <w:name w:val="endnote text"/>
    <w:basedOn w:val="867"/>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2"/>
    <w:uiPriority w:val="99"/>
    <w:semiHidden/>
    <w:unhideWhenUsed/>
    <w:rPr>
      <w:vertAlign w:val="superscript"/>
    </w:r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qFormat/>
    <w:pPr>
      <w:jc w:val="both"/>
      <w:widowControl w:val="off"/>
    </w:pPr>
    <w:rPr>
      <w:sz w:val="24"/>
      <w:szCs w:val="24"/>
    </w:rPr>
  </w:style>
  <w:style w:type="paragraph" w:styleId="868">
    <w:name w:val="Heading 1"/>
    <w:basedOn w:val="867"/>
    <w:next w:val="867"/>
    <w:qFormat/>
    <w:pPr>
      <w:keepLines/>
      <w:keepNext/>
      <w:spacing w:before="340" w:after="330" w:line="578" w:lineRule="auto"/>
      <w:outlineLvl w:val="0"/>
    </w:pPr>
    <w:rPr>
      <w:b/>
      <w:bCs/>
      <w:sz w:val="44"/>
      <w:szCs w:val="44"/>
    </w:rPr>
  </w:style>
  <w:style w:type="paragraph" w:styleId="869">
    <w:name w:val="Heading 2"/>
    <w:basedOn w:val="867"/>
    <w:next w:val="86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0">
    <w:name w:val="Heading 3"/>
    <w:basedOn w:val="867"/>
    <w:next w:val="867"/>
    <w:qFormat/>
    <w:pPr>
      <w:keepLines/>
      <w:keepNext/>
      <w:spacing w:before="260" w:after="260" w:line="415" w:lineRule="auto"/>
      <w:outlineLvl w:val="2"/>
    </w:pPr>
    <w:rPr>
      <w:sz w:val="32"/>
      <w:szCs w:val="32"/>
    </w:rPr>
  </w:style>
  <w:style w:type="paragraph" w:styleId="871">
    <w:name w:val="Heading 4"/>
    <w:basedOn w:val="867"/>
    <w:next w:val="875"/>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Normal Indent"/>
    <w:basedOn w:val="867"/>
    <w:qFormat/>
    <w:pPr>
      <w:ind w:firstLine="420"/>
    </w:pPr>
    <w:rPr>
      <w:szCs w:val="21"/>
    </w:rPr>
  </w:style>
  <w:style w:type="paragraph" w:styleId="876">
    <w:name w:val="Document Map"/>
    <w:basedOn w:val="867"/>
    <w:link w:val="918"/>
    <w:uiPriority w:val="99"/>
    <w:unhideWhenUsed/>
    <w:qFormat/>
    <w:rPr>
      <w:rFonts w:ascii="宋体"/>
      <w:sz w:val="18"/>
      <w:szCs w:val="18"/>
    </w:rPr>
  </w:style>
  <w:style w:type="paragraph" w:styleId="877">
    <w:name w:val="annotation text"/>
    <w:basedOn w:val="867"/>
    <w:link w:val="919"/>
    <w:uiPriority w:val="99"/>
    <w:unhideWhenUsed/>
    <w:qFormat/>
    <w:pPr>
      <w:jc w:val="left"/>
    </w:pPr>
  </w:style>
  <w:style w:type="paragraph" w:styleId="878">
    <w:name w:val="Body Text"/>
    <w:basedOn w:val="867"/>
    <w:next w:val="879"/>
    <w:link w:val="912"/>
    <w:uiPriority w:val="99"/>
    <w:qFormat/>
    <w:pPr>
      <w:spacing w:after="120"/>
    </w:pPr>
  </w:style>
  <w:style w:type="paragraph" w:styleId="879">
    <w:name w:val="toc 2"/>
    <w:basedOn w:val="867"/>
    <w:next w:val="867"/>
    <w:uiPriority w:val="39"/>
    <w:unhideWhenUsed/>
    <w:qFormat/>
    <w:pPr>
      <w:ind w:left="420"/>
    </w:pPr>
    <w:rPr>
      <w:sz w:val="21"/>
      <w:szCs w:val="22"/>
    </w:rPr>
  </w:style>
  <w:style w:type="paragraph" w:styleId="880">
    <w:name w:val="Body Text Indent"/>
    <w:basedOn w:val="867"/>
    <w:qFormat/>
    <w:pPr>
      <w:ind w:firstLine="645"/>
    </w:pPr>
    <w:rPr>
      <w:rFonts w:ascii="楷体_GB2312" w:hAnsi="Calibri" w:eastAsia="楷体_GB2312"/>
      <w:sz w:val="32"/>
      <w:szCs w:val="32"/>
    </w:rPr>
  </w:style>
  <w:style w:type="paragraph" w:styleId="881">
    <w:name w:val="Block Text"/>
    <w:basedOn w:val="867"/>
    <w:qFormat/>
    <w:pPr>
      <w:ind w:left="256" w:right="6" w:firstLine="624"/>
    </w:pPr>
    <w:rPr>
      <w:rFonts w:eastAsia="仿宋"/>
      <w:sz w:val="28"/>
      <w:szCs w:val="20"/>
    </w:rPr>
  </w:style>
  <w:style w:type="paragraph" w:styleId="882">
    <w:name w:val="toc 3"/>
    <w:basedOn w:val="867"/>
    <w:next w:val="867"/>
    <w:uiPriority w:val="39"/>
    <w:qFormat/>
    <w:pPr>
      <w:ind w:left="420"/>
      <w:jc w:val="left"/>
    </w:pPr>
    <w:rPr>
      <w:i/>
      <w:iCs/>
      <w:sz w:val="20"/>
      <w:szCs w:val="20"/>
    </w:rPr>
  </w:style>
  <w:style w:type="paragraph" w:styleId="883">
    <w:name w:val="Plain Text"/>
    <w:basedOn w:val="867"/>
    <w:qFormat/>
    <w:rPr>
      <w:rFonts w:ascii="宋体" w:hAnsi="Courier New"/>
      <w:szCs w:val="22"/>
    </w:rPr>
  </w:style>
  <w:style w:type="paragraph" w:styleId="884">
    <w:name w:val="Date"/>
    <w:basedOn w:val="867"/>
    <w:next w:val="867"/>
    <w:qFormat/>
    <w:rPr>
      <w:rFonts w:ascii="Calibri" w:hAnsi="Calibri"/>
    </w:rPr>
  </w:style>
  <w:style w:type="paragraph" w:styleId="885">
    <w:name w:val="Balloon Text"/>
    <w:basedOn w:val="867"/>
    <w:link w:val="917"/>
    <w:uiPriority w:val="99"/>
    <w:semiHidden/>
    <w:unhideWhenUsed/>
    <w:qFormat/>
    <w:rPr>
      <w:sz w:val="18"/>
      <w:szCs w:val="18"/>
    </w:rPr>
  </w:style>
  <w:style w:type="paragraph" w:styleId="886">
    <w:name w:val="Footer"/>
    <w:basedOn w:val="867"/>
    <w:link w:val="916"/>
    <w:uiPriority w:val="99"/>
    <w:unhideWhenUsed/>
    <w:qFormat/>
    <w:pPr>
      <w:jc w:val="left"/>
      <w:tabs>
        <w:tab w:val="center" w:pos="4153" w:leader="none"/>
        <w:tab w:val="right" w:pos="8306" w:leader="none"/>
      </w:tabs>
    </w:pPr>
    <w:rPr>
      <w:sz w:val="18"/>
      <w:szCs w:val="18"/>
    </w:rPr>
  </w:style>
  <w:style w:type="paragraph" w:styleId="887">
    <w:name w:val="envelope return"/>
    <w:basedOn w:val="867"/>
    <w:qFormat/>
    <w:rPr>
      <w:rFonts w:ascii="Arial" w:hAnsi="Arial"/>
    </w:rPr>
  </w:style>
  <w:style w:type="paragraph" w:styleId="888">
    <w:name w:val="Header"/>
    <w:basedOn w:val="867"/>
    <w:link w:val="9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7"/>
    <w:next w:val="867"/>
    <w:qFormat/>
    <w:rPr>
      <w:rFonts w:ascii="宋体"/>
    </w:rPr>
  </w:style>
  <w:style w:type="paragraph" w:styleId="890">
    <w:name w:val="Body Text Indent 3"/>
    <w:basedOn w:val="867"/>
    <w:link w:val="913"/>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891">
    <w:name w:val="Body Text 2"/>
    <w:basedOn w:val="867"/>
    <w:qFormat/>
    <w:pPr>
      <w:jc w:val="center"/>
      <w:widowControl/>
    </w:pPr>
    <w:rPr>
      <w:rFonts w:ascii="楷体_GB2312" w:hAnsi="Calibri" w:eastAsia="楷体_GB2312"/>
      <w:sz w:val="28"/>
      <w:szCs w:val="28"/>
    </w:rPr>
  </w:style>
  <w:style w:type="paragraph" w:styleId="892">
    <w:name w:val="HTML Preformatted"/>
    <w:basedOn w:val="867"/>
    <w:unhideWhenUsed/>
    <w:qFormat/>
    <w:rPr>
      <w:rFonts w:ascii="Courier New" w:hAnsi="Courier New" w:cs="Courier New"/>
      <w:sz w:val="20"/>
    </w:rPr>
  </w:style>
  <w:style w:type="paragraph" w:styleId="893">
    <w:name w:val="Normal (Web)"/>
    <w:basedOn w:val="867"/>
    <w:uiPriority w:val="99"/>
    <w:qFormat/>
    <w:pPr>
      <w:jc w:val="left"/>
      <w:spacing w:before="150" w:after="150" w:line="480" w:lineRule="auto"/>
    </w:pPr>
    <w:rPr>
      <w:rFonts w:hint="eastAsia" w:ascii="宋体" w:hAnsi="宋体"/>
      <w:color w:val="000000"/>
    </w:rPr>
  </w:style>
  <w:style w:type="paragraph" w:styleId="894">
    <w:name w:val="annotation subject"/>
    <w:basedOn w:val="877"/>
    <w:next w:val="877"/>
    <w:link w:val="920"/>
    <w:uiPriority w:val="99"/>
    <w:semiHidden/>
    <w:unhideWhenUsed/>
    <w:qFormat/>
    <w:rPr>
      <w:b/>
      <w:bCs/>
    </w:rPr>
  </w:style>
  <w:style w:type="paragraph" w:styleId="895">
    <w:name w:val="Body Text First Indent 2"/>
    <w:basedOn w:val="880"/>
    <w:qFormat/>
    <w:pPr>
      <w:ind w:firstLine="420"/>
      <w:spacing w:line="360" w:lineRule="auto"/>
    </w:pPr>
    <w:rPr>
      <w:rFonts w:ascii="宋体" w:hAnsi="宋体"/>
      <w:sz w:val="21"/>
    </w:rPr>
  </w:style>
  <w:style w:type="table" w:styleId="896">
    <w:name w:val="Table Grid"/>
    <w:basedOn w:val="873"/>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basedOn w:val="872"/>
    <w:uiPriority w:val="22"/>
    <w:qFormat/>
    <w:rPr>
      <w:b/>
    </w:rPr>
  </w:style>
  <w:style w:type="character" w:styleId="898">
    <w:name w:val="Hyperlink"/>
    <w:uiPriority w:val="99"/>
    <w:qFormat/>
    <w:rPr>
      <w:rFonts w:cs="Times New Roman"/>
      <w:color w:val="336699"/>
      <w:sz w:val="18"/>
      <w:u w:val="none"/>
    </w:rPr>
  </w:style>
  <w:style w:type="character" w:styleId="899">
    <w:name w:val="annotation reference"/>
    <w:basedOn w:val="872"/>
    <w:uiPriority w:val="99"/>
    <w:semiHidden/>
    <w:unhideWhenUsed/>
    <w:qFormat/>
    <w:rPr>
      <w:sz w:val="21"/>
      <w:szCs w:val="21"/>
    </w:rPr>
  </w:style>
  <w:style w:type="paragraph" w:styleId="900">
    <w:name w:val="List Paragraph"/>
    <w:basedOn w:val="867"/>
    <w:uiPriority w:val="34"/>
    <w:qFormat/>
    <w:pPr>
      <w:ind w:firstLine="420"/>
    </w:pPr>
    <w:rPr>
      <w:rFonts w:eastAsia="Times New Roman"/>
    </w:rPr>
  </w:style>
  <w:style w:type="paragraph" w:styleId="901" w:customStyle="1">
    <w:name w:val="Default"/>
    <w:next w:val="867"/>
    <w:uiPriority w:val="99"/>
    <w:qFormat/>
    <w:pPr>
      <w:widowControl w:val="off"/>
    </w:pPr>
    <w:rPr>
      <w:rFonts w:ascii="仿宋" w:eastAsia="仿宋" w:cs="仿宋"/>
      <w:color w:val="000000"/>
      <w:sz w:val="24"/>
      <w:szCs w:val="24"/>
    </w:rPr>
  </w:style>
  <w:style w:type="paragraph" w:styleId="902" w:customStyle="1">
    <w:name w:val="正文首行缩进 211"/>
    <w:basedOn w:val="903"/>
    <w:next w:val="905"/>
    <w:qFormat/>
    <w:pPr>
      <w:ind w:left="0" w:firstLine="420"/>
      <w:spacing w:after="0" w:line="360" w:lineRule="auto"/>
    </w:pPr>
    <w:rPr>
      <w:rFonts w:ascii="宋体" w:hAnsi="宋体"/>
      <w:szCs w:val="20"/>
    </w:rPr>
  </w:style>
  <w:style w:type="paragraph" w:styleId="903" w:customStyle="1">
    <w:name w:val="正文文本缩进11"/>
    <w:basedOn w:val="867"/>
    <w:next w:val="904"/>
    <w:unhideWhenUsed/>
    <w:qFormat/>
    <w:pPr>
      <w:ind w:left="420"/>
      <w:spacing w:after="120"/>
    </w:pPr>
  </w:style>
  <w:style w:type="paragraph" w:styleId="904" w:customStyle="1">
    <w:name w:val="寄信人地址11"/>
    <w:basedOn w:val="867"/>
    <w:qFormat/>
    <w:rPr>
      <w:rFonts w:ascii="Arial" w:hAnsi="Arial"/>
    </w:rPr>
  </w:style>
  <w:style w:type="paragraph" w:styleId="905" w:customStyle="1">
    <w:name w:val="样式 标题 3 + (中文) 黑体 小四 非加粗 段前: 7.8 磅 段后: 0 磅 行距: 固定值 20 磅_0"/>
    <w:basedOn w:val="906"/>
    <w:qFormat/>
    <w:pPr>
      <w:spacing w:before="0" w:after="0" w:line="400" w:lineRule="exact"/>
    </w:pPr>
    <w:rPr>
      <w:rFonts w:ascii="Times New Roman" w:hAnsi="Times New Roman" w:eastAsia="黑体" w:cs="宋体"/>
      <w:b w:val="0"/>
      <w:bCs w:val="0"/>
      <w:sz w:val="21"/>
      <w:szCs w:val="20"/>
    </w:rPr>
  </w:style>
  <w:style w:type="paragraph" w:styleId="906" w:customStyle="1">
    <w:name w:val="标题 3_0"/>
    <w:basedOn w:val="907"/>
    <w:next w:val="908"/>
    <w:qFormat/>
    <w:pPr>
      <w:keepLines/>
      <w:keepNext/>
      <w:spacing w:before="260" w:after="260" w:line="416" w:lineRule="auto"/>
      <w:outlineLvl w:val="2"/>
    </w:pPr>
    <w:rPr>
      <w:rFonts w:eastAsia="宋体"/>
      <w:b/>
      <w:bCs/>
      <w:sz w:val="32"/>
      <w:szCs w:val="32"/>
    </w:rPr>
  </w:style>
  <w:style w:type="paragraph" w:styleId="907" w:customStyle="1">
    <w:name w:val="正文_0"/>
    <w:next w:val="902"/>
    <w:qFormat/>
    <w:pPr>
      <w:jc w:val="both"/>
      <w:widowControl w:val="off"/>
    </w:pPr>
    <w:rPr>
      <w:rFonts w:ascii="Calibri" w:hAnsi="Calibri" w:eastAsia="仿宋_GB2312"/>
      <w:sz w:val="21"/>
      <w:szCs w:val="22"/>
    </w:rPr>
  </w:style>
  <w:style w:type="paragraph" w:styleId="908" w:customStyle="1">
    <w:name w:val="正文_1"/>
    <w:next w:val="902"/>
    <w:qFormat/>
    <w:pPr>
      <w:jc w:val="both"/>
      <w:widowControl w:val="off"/>
    </w:pPr>
    <w:rPr>
      <w:rFonts w:ascii="Calibri" w:hAnsi="Calibri" w:eastAsia="仿宋_GB2312"/>
      <w:sz w:val="21"/>
      <w:szCs w:val="22"/>
    </w:rPr>
  </w:style>
  <w:style w:type="paragraph" w:styleId="909" w:customStyle="1">
    <w:name w:val="列出段落1"/>
    <w:basedOn w:val="867"/>
    <w:qFormat/>
    <w:pPr>
      <w:ind w:firstLine="420"/>
    </w:pPr>
    <w:rPr>
      <w:szCs w:val="22"/>
    </w:rPr>
  </w:style>
  <w:style w:type="character" w:styleId="910" w:customStyle="1">
    <w:name w:val="正文文本 Char"/>
    <w:basedOn w:val="872"/>
    <w:uiPriority w:val="99"/>
    <w:semiHidden/>
    <w:qFormat/>
    <w:rPr>
      <w:rFonts w:ascii="Times New Roman" w:hAnsi="Times New Roman" w:eastAsia="宋体" w:cs="Times New Roman"/>
      <w:sz w:val="24"/>
      <w:szCs w:val="24"/>
    </w:rPr>
  </w:style>
  <w:style w:type="character" w:styleId="911" w:customStyle="1">
    <w:name w:val="正文文本缩进 3 Char"/>
    <w:basedOn w:val="872"/>
    <w:uiPriority w:val="99"/>
    <w:semiHidden/>
    <w:qFormat/>
    <w:rPr>
      <w:rFonts w:ascii="Times New Roman" w:hAnsi="Times New Roman" w:eastAsia="宋体" w:cs="Times New Roman"/>
      <w:sz w:val="16"/>
      <w:szCs w:val="16"/>
    </w:rPr>
  </w:style>
  <w:style w:type="character" w:styleId="912" w:customStyle="1">
    <w:name w:val="正文文本 Char1"/>
    <w:link w:val="878"/>
    <w:uiPriority w:val="99"/>
    <w:qFormat/>
    <w:rPr>
      <w:rFonts w:ascii="Times New Roman" w:hAnsi="Times New Roman" w:eastAsia="宋体" w:cs="Times New Roman"/>
      <w:sz w:val="24"/>
      <w:szCs w:val="24"/>
    </w:rPr>
  </w:style>
  <w:style w:type="character" w:styleId="913" w:customStyle="1">
    <w:name w:val="正文文本缩进 3 Char1"/>
    <w:link w:val="890"/>
    <w:uiPriority w:val="99"/>
    <w:qFormat/>
    <w:rPr>
      <w:rFonts w:ascii="Arial" w:hAnsi="Arial" w:eastAsia="仿宋_GB2312"/>
      <w:color w:val="ffff00"/>
      <w:sz w:val="32"/>
    </w:rPr>
  </w:style>
  <w:style w:type="paragraph" w:styleId="914" w:customStyle="1">
    <w:name w:val="WPS Plain"/>
    <w:qFormat/>
  </w:style>
  <w:style w:type="character" w:styleId="915" w:customStyle="1">
    <w:name w:val="页眉 Char"/>
    <w:basedOn w:val="872"/>
    <w:link w:val="888"/>
    <w:uiPriority w:val="99"/>
    <w:qFormat/>
    <w:rPr>
      <w:rFonts w:ascii="Times New Roman" w:hAnsi="Times New Roman" w:eastAsia="宋体" w:cs="Times New Roman"/>
      <w:sz w:val="18"/>
      <w:szCs w:val="18"/>
    </w:rPr>
  </w:style>
  <w:style w:type="character" w:styleId="916" w:customStyle="1">
    <w:name w:val="页脚 Char"/>
    <w:basedOn w:val="872"/>
    <w:link w:val="886"/>
    <w:uiPriority w:val="99"/>
    <w:qFormat/>
    <w:rPr>
      <w:rFonts w:ascii="Times New Roman" w:hAnsi="Times New Roman" w:eastAsia="宋体" w:cs="Times New Roman"/>
      <w:sz w:val="18"/>
      <w:szCs w:val="18"/>
    </w:rPr>
  </w:style>
  <w:style w:type="character" w:styleId="917" w:customStyle="1">
    <w:name w:val="批注框文本 Char"/>
    <w:basedOn w:val="872"/>
    <w:link w:val="885"/>
    <w:uiPriority w:val="99"/>
    <w:semiHidden/>
    <w:qFormat/>
    <w:rPr>
      <w:rFonts w:ascii="Times New Roman" w:hAnsi="Times New Roman" w:eastAsia="宋体" w:cs="Times New Roman"/>
      <w:sz w:val="18"/>
      <w:szCs w:val="18"/>
    </w:rPr>
  </w:style>
  <w:style w:type="character" w:styleId="918" w:customStyle="1">
    <w:name w:val="文档结构图 Char"/>
    <w:basedOn w:val="872"/>
    <w:link w:val="876"/>
    <w:uiPriority w:val="99"/>
    <w:qFormat/>
    <w:rPr>
      <w:rFonts w:ascii="宋体" w:hAnsi="Times New Roman" w:eastAsia="宋体" w:cs="Times New Roman"/>
      <w:sz w:val="18"/>
      <w:szCs w:val="18"/>
    </w:rPr>
  </w:style>
  <w:style w:type="character" w:styleId="919" w:customStyle="1">
    <w:name w:val="批注文字 Char"/>
    <w:basedOn w:val="872"/>
    <w:link w:val="877"/>
    <w:uiPriority w:val="99"/>
    <w:qFormat/>
    <w:rPr>
      <w:rFonts w:ascii="Times New Roman" w:hAnsi="Times New Roman" w:eastAsia="宋体" w:cs="Times New Roman"/>
      <w:sz w:val="24"/>
      <w:szCs w:val="24"/>
    </w:rPr>
  </w:style>
  <w:style w:type="character" w:styleId="920" w:customStyle="1">
    <w:name w:val="批注主题 Char"/>
    <w:basedOn w:val="919"/>
    <w:link w:val="894"/>
    <w:uiPriority w:val="99"/>
    <w:semiHidden/>
    <w:qFormat/>
    <w:rPr>
      <w:rFonts w:ascii="Times New Roman" w:hAnsi="Times New Roman" w:eastAsia="宋体" w:cs="Times New Roman"/>
      <w:b/>
      <w:bCs/>
      <w:sz w:val="24"/>
      <w:szCs w:val="24"/>
    </w:rPr>
  </w:style>
  <w:style w:type="paragraph" w:styleId="921" w:customStyle="1">
    <w:name w:val="正文首行缩进2字符"/>
    <w:basedOn w:val="867"/>
    <w:qFormat/>
    <w:pPr>
      <w:ind w:firstLine="482"/>
    </w:pPr>
  </w:style>
  <w:style w:type="character" w:styleId="922" w:customStyle="1">
    <w:name w:val="current"/>
    <w:basedOn w:val="872"/>
    <w:qFormat/>
    <w:rPr>
      <w:b/>
      <w:bCs/>
      <w:color w:val="05a7d8"/>
      <w:sz w:val="18"/>
      <w:szCs w:val="18"/>
    </w:rPr>
  </w:style>
  <w:style w:type="character" w:styleId="923" w:customStyle="1">
    <w:name w:val="l-btn-left"/>
    <w:basedOn w:val="872"/>
    <w:qFormat/>
  </w:style>
  <w:style w:type="character" w:styleId="924" w:customStyle="1">
    <w:name w:val="l-btn-text36"/>
    <w:basedOn w:val="872"/>
    <w:qFormat/>
  </w:style>
  <w:style w:type="character" w:styleId="925" w:customStyle="1">
    <w:name w:val="l-btn-text"/>
    <w:basedOn w:val="872"/>
    <w:qFormat/>
  </w:style>
  <w:style w:type="character" w:styleId="926" w:customStyle="1">
    <w:name w:val="grame"/>
    <w:basedOn w:val="872"/>
    <w:qFormat/>
  </w:style>
  <w:style w:type="paragraph" w:styleId="927" w:customStyle="1">
    <w:name w:val="标准文本"/>
    <w:basedOn w:val="867"/>
    <w:qFormat/>
    <w:pPr>
      <w:ind w:firstLine="480"/>
      <w:spacing w:line="360" w:lineRule="auto"/>
    </w:pPr>
    <w:rPr>
      <w:rFonts w:cs="宋体"/>
      <w:szCs w:val="20"/>
    </w:rPr>
  </w:style>
  <w:style w:type="paragraph" w:styleId="928" w:customStyle="1">
    <w:name w:val="_Style 3"/>
    <w:uiPriority w:val="1"/>
    <w:qFormat/>
    <w:pPr>
      <w:jc w:val="both"/>
      <w:widowControl w:val="off"/>
    </w:pPr>
    <w:rPr>
      <w:rFonts w:ascii="Calibri" w:hAnsi="Calibri"/>
      <w:sz w:val="21"/>
      <w:szCs w:val="22"/>
    </w:rPr>
  </w:style>
  <w:style w:type="paragraph" w:styleId="929" w:customStyle="1">
    <w:name w:val="普通正文"/>
    <w:basedOn w:val="867"/>
    <w:qFormat/>
    <w:pPr>
      <w:ind w:firstLine="480"/>
      <w:jc w:val="left"/>
      <w:spacing w:before="120" w:after="120" w:line="360" w:lineRule="auto"/>
    </w:pPr>
    <w:rPr>
      <w:rFonts w:ascii="Arial" w:hAnsi="Arial"/>
    </w:rPr>
  </w:style>
  <w:style w:type="paragraph" w:styleId="930" w:customStyle="1">
    <w:name w:val="（符号）三标题1.1"/>
    <w:basedOn w:val="867"/>
    <w:qFormat/>
    <w:pPr>
      <w:numPr>
        <w:ilvl w:val="1"/>
        <w:numId w:val="1"/>
      </w:numPr>
      <w:spacing w:line="500" w:lineRule="exact"/>
      <w:tabs>
        <w:tab w:val="left" w:pos="700" w:leader="none"/>
      </w:tabs>
    </w:pPr>
  </w:style>
  <w:style w:type="character" w:styleId="931" w:customStyle="1">
    <w:name w:val="NormalCharacter"/>
    <w:uiPriority w:val="99"/>
    <w:qFormat/>
    <w:rPr>
      <w:sz w:val="21"/>
      <w:szCs w:val="22"/>
      <w:lang w:val="en-US" w:eastAsia="zh-CN" w:bidi="ar-SA"/>
    </w:rPr>
  </w:style>
  <w:style w:type="paragraph" w:styleId="932" w:customStyle="1">
    <w:name w:val="Table Paragraph"/>
    <w:basedOn w:val="867"/>
    <w:uiPriority w:val="1"/>
    <w:qFormat/>
  </w:style>
  <w:style w:type="paragraph" w:styleId="933" w:customStyle="1">
    <w:name w:val="UserStyle_0"/>
    <w:basedOn w:val="867"/>
    <w:qFormat/>
    <w:pPr>
      <w:ind w:firstLine="420"/>
    </w:pPr>
    <w:rPr>
      <w:szCs w:val="21"/>
    </w:rPr>
  </w:style>
  <w:style w:type="paragraph" w:styleId="934" w:customStyle="1">
    <w:name w:val="p0"/>
    <w:basedOn w:val="867"/>
    <w:qFormat/>
    <w:pPr>
      <w:widowControl/>
    </w:pPr>
    <w:rPr>
      <w:szCs w:val="21"/>
    </w:rPr>
  </w:style>
  <w:style w:type="paragraph" w:styleId="935" w:customStyle="1">
    <w:name w:val="p16"/>
    <w:basedOn w:val="867"/>
    <w:qFormat/>
    <w:pPr>
      <w:ind w:firstLine="420"/>
      <w:jc w:val="left"/>
      <w:spacing w:after="200"/>
      <w:widowControl/>
    </w:pPr>
    <w:rPr>
      <w:rFonts w:ascii="Tahoma" w:hAnsi="Tahoma" w:cs="Tahoma"/>
      <w:sz w:val="22"/>
    </w:rPr>
  </w:style>
  <w:style w:type="paragraph" w:styleId="936" w:customStyle="1">
    <w:name w:val="目录 51"/>
    <w:basedOn w:val="867"/>
    <w:next w:val="867"/>
    <w:uiPriority w:val="99"/>
    <w:qFormat/>
    <w:pPr>
      <w:ind w:left="800"/>
    </w:pPr>
    <w:rPr>
      <w:rFonts w:ascii="Calibri" w:hAnsi="Calibri"/>
      <w:szCs w:val="22"/>
    </w:rPr>
  </w:style>
  <w:style w:type="paragraph" w:styleId="937" w:customStyle="1">
    <w:name w:val="Body text|1"/>
    <w:basedOn w:val="867"/>
    <w:qFormat/>
    <w:pPr>
      <w:ind w:firstLine="400"/>
      <w:jc w:val="left"/>
      <w:spacing w:after="200" w:line="410" w:lineRule="auto"/>
      <w:widowControl/>
    </w:pPr>
    <w:rPr>
      <w:rFonts w:ascii="宋体" w:hAnsi="宋体" w:cs="宋体"/>
      <w:sz w:val="22"/>
      <w:szCs w:val="22"/>
      <w:lang w:val="zh-TW" w:eastAsia="zh-TW" w:bidi="zh-TW"/>
    </w:rPr>
  </w:style>
  <w:style w:type="table" w:styleId="938" w:customStyle="1">
    <w:name w:val="Table Normal"/>
    <w:unhideWhenUsed/>
    <w:qFormat/>
    <w:rPr>
      <w:rFonts w:ascii="Calibri" w:hAnsi="Calibri"/>
    </w:rPr>
    <w:tblPr>
      <w:tblCellMar>
        <w:left w:w="0" w:type="dxa"/>
        <w:top w:w="0" w:type="dxa"/>
        <w:right w:w="0" w:type="dxa"/>
        <w:bottom w:w="0" w:type="dxa"/>
      </w:tblCellMar>
    </w:tblPr>
  </w:style>
  <w:style w:type="paragraph" w:styleId="939" w:customStyle="1">
    <w:name w:val="Table Text"/>
    <w:basedOn w:val="867"/>
    <w:semiHidden/>
    <w:qFormat/>
    <w:rPr>
      <w:rFonts w:ascii="宋体" w:hAnsi="宋体" w:cs="宋体"/>
    </w:rPr>
  </w:style>
  <w:style w:type="character" w:styleId="940" w:customStyle="1">
    <w:name w:val="wyg1"/>
    <w:uiPriority w:val="6"/>
    <w:qFormat/>
    <w:rPr>
      <w:rFonts w:ascii="Times New Roman" w:hAnsi="Times New Roman" w:eastAsia="宋体" w:cs="Times New Roman"/>
      <w:lang w:val="en-US" w:eastAsia="zh-CN" w:bidi="ar-SA"/>
    </w:rPr>
  </w:style>
  <w:style w:type="paragraph" w:styleId="941" w:customStyle="1">
    <w:name w:val="正文11"/>
    <w:next w:val="942"/>
    <w:qFormat/>
    <w:pPr>
      <w:jc w:val="both"/>
      <w:widowControl w:val="off"/>
    </w:pPr>
    <w:rPr>
      <w:sz w:val="21"/>
      <w:szCs w:val="24"/>
    </w:rPr>
  </w:style>
  <w:style w:type="paragraph" w:styleId="942" w:customStyle="1">
    <w:name w:val="目录 11"/>
    <w:basedOn w:val="943"/>
    <w:next w:val="941"/>
    <w:qFormat/>
  </w:style>
  <w:style w:type="paragraph" w:styleId="943" w:customStyle="1">
    <w:name w:val="正文12"/>
    <w:next w:val="944"/>
    <w:qFormat/>
    <w:pPr>
      <w:ind w:firstLine="723"/>
      <w:jc w:val="both"/>
      <w:spacing w:line="360" w:lineRule="auto"/>
      <w:widowControl w:val="off"/>
    </w:pPr>
    <w:rPr>
      <w:sz w:val="24"/>
      <w:szCs w:val="24"/>
    </w:rPr>
  </w:style>
  <w:style w:type="paragraph" w:styleId="944" w:customStyle="1">
    <w:name w:val="脚注文本1"/>
    <w:basedOn w:val="945"/>
    <w:next w:val="947"/>
    <w:qFormat/>
    <w:pPr>
      <w:jc w:val="left"/>
    </w:pPr>
    <w:rPr>
      <w:rFonts w:ascii="宋体" w:eastAsia="Times New Roman"/>
      <w:sz w:val="18"/>
      <w:szCs w:val="18"/>
    </w:rPr>
  </w:style>
  <w:style w:type="paragraph" w:styleId="945" w:customStyle="1">
    <w:name w:val="正文1111"/>
    <w:next w:val="946"/>
    <w:qFormat/>
    <w:pPr>
      <w:jc w:val="both"/>
      <w:widowControl w:val="off"/>
    </w:pPr>
    <w:rPr>
      <w:sz w:val="21"/>
      <w:szCs w:val="24"/>
    </w:rPr>
  </w:style>
  <w:style w:type="paragraph" w:styleId="946" w:customStyle="1">
    <w:name w:val="文本块11"/>
    <w:basedOn w:val="867"/>
    <w:unhideWhenUsed/>
    <w:qFormat/>
    <w:pPr>
      <w:ind w:left="1440" w:right="1440"/>
      <w:spacing w:after="120"/>
    </w:pPr>
  </w:style>
  <w:style w:type="paragraph" w:styleId="947" w:customStyle="1">
    <w:name w:val="索引 51"/>
    <w:basedOn w:val="948"/>
    <w:next w:val="948"/>
    <w:qFormat/>
    <w:pPr>
      <w:ind w:left="798"/>
      <w:jc w:val="left"/>
    </w:pPr>
    <w:rPr>
      <w:rFonts w:ascii="Calibri" w:hAnsi="Calibri"/>
    </w:rPr>
  </w:style>
  <w:style w:type="paragraph" w:styleId="948" w:customStyle="1">
    <w:name w:val="正文1"/>
    <w:basedOn w:val="949"/>
    <w:next w:val="950"/>
    <w:qFormat/>
  </w:style>
  <w:style w:type="paragraph" w:styleId="949" w:customStyle="1">
    <w:name w:val="正文111"/>
    <w:next w:val="950"/>
    <w:qFormat/>
    <w:pPr>
      <w:jc w:val="both"/>
      <w:widowControl w:val="off"/>
    </w:pPr>
    <w:rPr>
      <w:sz w:val="21"/>
      <w:szCs w:val="24"/>
    </w:rPr>
  </w:style>
  <w:style w:type="paragraph" w:styleId="950" w:customStyle="1">
    <w:name w:val="正文文本1"/>
    <w:basedOn w:val="941"/>
    <w:next w:val="948"/>
    <w:qFormat/>
    <w:pPr>
      <w:spacing w:after="120"/>
    </w:pPr>
    <w:rPr>
      <w:rFonts w:ascii="Calibri" w:hAnsi="Calibri"/>
    </w:rPr>
  </w:style>
  <w:style w:type="paragraph" w:styleId="951" w:customStyle="1">
    <w:name w:val="普通(网站)1"/>
    <w:basedOn w:val="867"/>
    <w:qFormat/>
    <w:pPr>
      <w:jc w:val="left"/>
      <w:spacing w:before="100" w:beforeAutospacing="1" w:after="100" w:afterAutospacing="1"/>
      <w:widowControl/>
    </w:pPr>
    <w:rPr>
      <w:rFonts w:ascii="宋体" w:hAnsi="宋体" w:cs="宋体"/>
    </w:rPr>
  </w:style>
  <w:style w:type="paragraph" w:styleId="952">
    <w:name w:val="No Spacing"/>
    <w:uiPriority w:val="1"/>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郁琴</cp:lastModifiedBy>
  <cp:revision>137</cp:revision>
  <dcterms:created xsi:type="dcterms:W3CDTF">2022-12-29T07:08:00Z</dcterms:created>
  <dcterms:modified xsi:type="dcterms:W3CDTF">2026-10-30T03:25:45Z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A94096E1D8CD41A5BDE3F5BB2DB3B116_13</vt:lpwstr>
  </property>
  <property fmtid="{D5CDD505-2E9C-101B-9397-08002B2CF9AE}" pid="4" name="KSOTemplateDocerSaveRecord">
    <vt:lpwstr>eyJoZGlkIjoiNGZkODI5MDE1MzQwOWE4NDkwNzcyZDM2ZDNjYjNkNmYiLCJ1c2VySWQiOiI3OTYyMzA5ODIifQ==</vt:lpwstr>
  </property>
</Properties>
</file>