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w:t>
            </w:r>
            <w:r>
              <w:rPr>
                <w:rStyle w:val="1124"/>
                <w:rFonts w:hint="eastAsia" w:ascii="黑体" w:eastAsia="黑体"/>
                <w:sz w:val="40"/>
              </w:rPr>
              <w:t xml:space="preserve">29</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无线谷GH楼、东山上</w:t>
            </w:r>
            <w:r>
              <w:rPr>
                <w:rStyle w:val="1124"/>
                <w:rFonts w:hint="eastAsia" w:ascii="黑体" w:eastAsia="黑体"/>
                <w:sz w:val="40"/>
              </w:rPr>
              <w:t xml:space="preserve">坊环境</w:t>
            </w:r>
            <w:r>
              <w:rPr>
                <w:rStyle w:val="1124"/>
                <w:rFonts w:hint="eastAsia" w:ascii="黑体" w:eastAsia="黑体"/>
                <w:sz w:val="40"/>
              </w:rPr>
              <w:t xml:space="preserve">整治、东</w:t>
            </w:r>
            <w:r>
              <w:rPr>
                <w:rStyle w:val="1124"/>
                <w:rFonts w:hint="eastAsia" w:ascii="黑体" w:eastAsia="黑体"/>
                <w:sz w:val="40"/>
              </w:rPr>
              <w:t xml:space="preserve">善桥复建房</w:t>
            </w:r>
            <w:r>
              <w:rPr>
                <w:rStyle w:val="1124"/>
                <w:rFonts w:hint="eastAsia" w:ascii="黑体" w:eastAsia="黑体"/>
                <w:sz w:val="40"/>
              </w:rPr>
              <w:t xml:space="preserve">六期13#等、陶吴小学结算审计服务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九</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无线谷GH楼、东山上</w:t>
      </w:r>
      <w:r>
        <w:rPr>
          <w:rFonts w:hint="eastAsia"/>
          <w:bCs/>
          <w:u w:val="single"/>
        </w:rPr>
        <w:t xml:space="preserve">坊环境</w:t>
      </w:r>
      <w:r>
        <w:rPr>
          <w:rFonts w:hint="eastAsia"/>
          <w:bCs/>
          <w:u w:val="single"/>
        </w:rPr>
        <w:t xml:space="preserve">整治、东</w:t>
      </w:r>
      <w:r>
        <w:rPr>
          <w:rFonts w:hint="eastAsia"/>
          <w:bCs/>
          <w:u w:val="single"/>
        </w:rPr>
        <w:t xml:space="preserve">善桥复建房</w:t>
      </w:r>
      <w:r>
        <w:rPr>
          <w:rFonts w:hint="eastAsia"/>
          <w:bCs/>
          <w:u w:val="single"/>
        </w:rPr>
        <w:t xml:space="preserve">六期13#等、陶吴小学结算审计服务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w:t>
      </w:r>
      <w:r>
        <w:rPr>
          <w:rFonts w:hint="eastAsia"/>
        </w:rPr>
        <w:t xml:space="preserve">29</w:t>
      </w:r>
      <w:r/>
    </w:p>
    <w:p>
      <w:pPr>
        <w:ind w:firstLine="560"/>
        <w:jc w:val="both"/>
        <w:spacing w:line="240" w:lineRule="exact"/>
      </w:pPr>
      <w:r>
        <w:rPr>
          <w:rFonts w:hint="eastAsia"/>
        </w:rPr>
        <w:t xml:space="preserve">项目名称：</w:t>
      </w:r>
      <w:r>
        <w:rPr>
          <w:rFonts w:hint="eastAsia"/>
        </w:rPr>
        <w:t xml:space="preserve">无线谷GH楼、东山上</w:t>
      </w:r>
      <w:r>
        <w:rPr>
          <w:rFonts w:hint="eastAsia"/>
        </w:rPr>
        <w:t xml:space="preserve">坊环境</w:t>
      </w:r>
      <w:r>
        <w:rPr>
          <w:rFonts w:hint="eastAsia"/>
        </w:rPr>
        <w:t xml:space="preserve">整治、东</w:t>
      </w:r>
      <w:r>
        <w:rPr>
          <w:rFonts w:hint="eastAsia"/>
        </w:rPr>
        <w:t xml:space="preserve">善桥复建房</w:t>
      </w:r>
      <w:r>
        <w:rPr>
          <w:rFonts w:hint="eastAsia"/>
        </w:rPr>
        <w:t xml:space="preserve">六期13#等、陶吴小学结算审计服务</w:t>
      </w:r>
      <w:r/>
    </w:p>
    <w:p>
      <w:pPr>
        <w:ind w:firstLine="560"/>
        <w:jc w:val="both"/>
        <w:spacing w:line="240" w:lineRule="exact"/>
        <w:rPr>
          <w:lang w:val="en-US"/>
        </w:rPr>
      </w:pPr>
      <w:r>
        <w:rPr>
          <w:rFonts w:hint="eastAsia"/>
        </w:rPr>
        <w:t xml:space="preserve">预算金额：</w:t>
      </w:r>
      <w:r>
        <w:rPr>
          <w:rFonts w:hint="eastAsia"/>
          <w:lang w:val="en-US"/>
        </w:rPr>
        <w:t xml:space="preserve">168</w:t>
      </w:r>
      <w:r>
        <w:rPr>
          <w:rFonts w:hint="eastAsia"/>
          <w:lang w:val="en-US"/>
        </w:rPr>
        <w:t xml:space="preserve">万元，其中包一</w:t>
      </w:r>
      <w:r>
        <w:rPr>
          <w:rFonts w:hint="eastAsia"/>
          <w:lang w:val="en-US"/>
        </w:rPr>
        <w:t xml:space="preserve">85</w:t>
      </w:r>
      <w:r>
        <w:rPr>
          <w:rFonts w:hint="eastAsia"/>
          <w:lang w:val="en-US"/>
        </w:rPr>
        <w:t xml:space="preserve">万元、包二</w:t>
      </w:r>
      <w:r>
        <w:rPr>
          <w:rFonts w:hint="eastAsia"/>
          <w:lang w:val="en-US"/>
        </w:rPr>
        <w:t xml:space="preserve">83</w:t>
      </w:r>
      <w:r>
        <w:rPr>
          <w:rFonts w:hint="eastAsia"/>
          <w:lang w:val="en-US"/>
        </w:rPr>
        <w:t xml:space="preserve">万元。（核减率暂按5%计算，预算金额按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168</w:t>
      </w:r>
      <w:r>
        <w:rPr>
          <w:rFonts w:hint="eastAsia"/>
          <w:lang w:val="en-US"/>
        </w:rPr>
        <w:t xml:space="preserve">万元，其中包一</w:t>
      </w:r>
      <w:r>
        <w:rPr>
          <w:rFonts w:hint="eastAsia"/>
          <w:lang w:val="en-US"/>
        </w:rPr>
        <w:t xml:space="preserve">85</w:t>
      </w:r>
      <w:r>
        <w:rPr>
          <w:rFonts w:hint="eastAsia"/>
          <w:lang w:val="en-US"/>
        </w:rPr>
        <w:t xml:space="preserve">万元、包二</w:t>
      </w:r>
      <w:r>
        <w:rPr>
          <w:rFonts w:hint="eastAsia"/>
          <w:lang w:val="en-US"/>
        </w:rPr>
        <w:t xml:space="preserve">83</w:t>
      </w:r>
      <w:r>
        <w:rPr>
          <w:rFonts w:hint="eastAsia"/>
          <w:lang w:val="en-US"/>
        </w:rPr>
        <w:t xml:space="preserve">万元。</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无线谷GH楼、东山上</w:t>
      </w:r>
      <w:r>
        <w:rPr>
          <w:rFonts w:hint="eastAsia"/>
        </w:rPr>
        <w:t xml:space="preserve">坊环境</w:t>
      </w:r>
      <w:r>
        <w:rPr>
          <w:rFonts w:hint="eastAsia"/>
        </w:rPr>
        <w:t xml:space="preserve">整治、东</w:t>
      </w:r>
      <w:r>
        <w:rPr>
          <w:rFonts w:hint="eastAsia"/>
        </w:rPr>
        <w:t xml:space="preserve">善桥复建房</w:t>
      </w:r>
      <w:r>
        <w:rPr>
          <w:rFonts w:hint="eastAsia"/>
        </w:rPr>
        <w:t xml:space="preserve">六期13#等、陶吴小学结算审计服务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 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在政府采购资格审查环节，供应商只需提供书面《南京市政府采购供应商信用承诺书》（详见第六章附件四），即可替代以下证明材料：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w:t>
      </w:r>
      <w:bookmarkStart w:id="1" w:name="_GoBack"/>
      <w:r/>
      <w:bookmarkEnd w:id="1"/>
      <w:r>
        <w:rPr>
          <w:rFonts w:hint="eastAsia" w:cs="仿宋"/>
          <w:lang w:val="en-US" w:bidi="ar-SA"/>
        </w:rPr>
        <w:t xml:space="preserve">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t xml:space="preserve">承诺书签署日期应当在采购公告发布之日起至递交投标（响应）文件截止日</w:t>
      </w:r>
      <w:r>
        <w:rPr>
          <w:rFonts w:hint="eastAsia"/>
        </w:rPr>
        <w:t xml:space="preserve">，</w:t>
      </w:r>
      <w:r>
        <w:t xml:space="preserve">法定代表人应当</w:t>
      </w:r>
      <w:r>
        <w:t xml:space="preserve">手写</w:t>
      </w:r>
      <w:r>
        <w:t xml:space="preserve">签名</w:t>
      </w:r>
      <w:r>
        <w:t xml:space="preserve">且可辨认为法定代表人姓名</w:t>
      </w:r>
      <w:r>
        <w:t xml:space="preserve">，</w:t>
      </w:r>
      <w:r>
        <w:t xml:space="preserve">否则</w:t>
      </w:r>
      <w:r>
        <w:t xml:space="preserve">视为无效</w:t>
      </w:r>
      <w:r>
        <w:t xml:space="preserve">。</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hint="eastAsia" w:cs="仿宋"/>
          <w:lang w:val="en-US" w:bidi="ar-SA"/>
        </w:rPr>
        <w:t xml:space="preserve">，格式参考第六章附件三</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10</w:t>
      </w:r>
      <w:r>
        <w:rPr>
          <w:rFonts w:cs="仿宋"/>
          <w:b/>
          <w:u w:val="single"/>
          <w:lang w:val="en-US"/>
        </w:rPr>
        <w:t xml:space="preserve">月13</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10600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10360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rPr>
          <w:rFonts w:cs="仿宋"/>
          <w:spacing w:val="-3"/>
          <w:sz w:val="24"/>
          <w:szCs w:val="24"/>
          <w:lang w:val="en-US"/>
        </w:rPr>
        <w:t xml:space="preserve"> </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w:t>
      </w:r>
      <w:r>
        <w:rPr>
          <w:rFonts w:hint="eastAsia" w:cs="仿宋"/>
          <w:spacing w:val="-3"/>
          <w:sz w:val="24"/>
          <w:szCs w:val="24"/>
          <w:lang w:val="en-US"/>
        </w:rPr>
        <w:t xml:space="preserve">作</w:t>
      </w:r>
      <w:r>
        <w:rPr>
          <w:rFonts w:hint="eastAsia" w:cs="仿宋"/>
          <w:spacing w:val="-3"/>
          <w:sz w:val="24"/>
          <w:szCs w:val="24"/>
          <w:lang w:val="en-US"/>
        </w:rPr>
        <w:t xml:space="preserve">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lang w:val="en-US"/>
              </w:rPr>
              <w:t xml:space="preserve">（含组长、主审、实施牵头人）</w:t>
            </w:r>
            <w:r>
              <w:rPr>
                <w:rFonts w:hint="eastAsia"/>
                <w:sz w:val="21"/>
                <w:szCs w:val="21"/>
                <w:lang w:val="en-US"/>
              </w:rPr>
              <w:t xml:space="preserve">，</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rPr>
              <w:t xml:space="preserve">。</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2026年4月至2026年9月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w:t>
            </w:r>
            <w:r>
              <w:rPr>
                <w:sz w:val="21"/>
                <w:szCs w:val="21"/>
              </w:rPr>
              <w:t xml:space="preserve">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w:t>
            </w:r>
            <w:r>
              <w:rPr>
                <w:rFonts w:hint="eastAsia"/>
                <w:sz w:val="21"/>
              </w:rPr>
              <w:t xml:space="preserve">工程特征、审计范围、计价依据、</w:t>
            </w:r>
            <w:r>
              <w:rPr>
                <w:rFonts w:hint="eastAsia"/>
                <w:sz w:val="21"/>
              </w:rPr>
              <w:t xml:space="preserve">重难点、专属风险点</w:t>
            </w:r>
            <w:r>
              <w:rPr>
                <w:rFonts w:hint="eastAsia"/>
                <w:sz w:val="21"/>
              </w:rPr>
              <w:t xml:space="preserve">等</w:t>
            </w:r>
            <w:r>
              <w:rPr>
                <w:sz w:val="21"/>
              </w:rPr>
              <w:t xml:space="preserve">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w:t>
            </w:r>
            <w:r>
              <w:rPr>
                <w:rFonts w:hint="eastAsia"/>
                <w:sz w:val="21"/>
              </w:rPr>
              <w:t xml:space="preserve">审计组织架构、人员配置</w:t>
            </w:r>
            <w:r>
              <w:rPr>
                <w:rFonts w:hint="eastAsia"/>
                <w:sz w:val="21"/>
              </w:rPr>
              <w:t xml:space="preserve">、</w:t>
            </w:r>
            <w:r>
              <w:rPr>
                <w:rFonts w:hint="eastAsia"/>
                <w:sz w:val="21"/>
              </w:rPr>
              <w:t xml:space="preserve">年龄结构、专业结构</w:t>
            </w:r>
            <w:r>
              <w:rPr>
                <w:rFonts w:hint="eastAsia"/>
                <w:sz w:val="21"/>
              </w:rPr>
              <w:t xml:space="preserve">、全流程工作工序、进度计划、现场核查、重难点专项处置、成果交付、统筹保障等</w:t>
            </w:r>
            <w:r>
              <w:rPr>
                <w:sz w:val="21"/>
              </w:rPr>
              <w:t xml:space="preserve">内容、方法和措施</w:t>
            </w:r>
            <w:r>
              <w:rPr>
                <w:sz w:val="21"/>
              </w:rPr>
              <w:t xml:space="preserve">进行评价</w:t>
            </w:r>
            <w:r>
              <w:rPr>
                <w:sz w:val="21"/>
              </w:rPr>
              <w:t xml:space="preserve">；</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w:t>
            </w:r>
            <w:r>
              <w:rPr>
                <w:sz w:val="21"/>
              </w:rPr>
              <w:t xml:space="preserve">围绕</w:t>
            </w:r>
            <w:r>
              <w:rPr>
                <w:rFonts w:hint="eastAsia"/>
                <w:sz w:val="21"/>
              </w:rPr>
              <w:t xml:space="preserve">事前事中事后全过程质控、三级复核机制、关键环节管控、差错防控、合</w:t>
            </w:r>
            <w:r>
              <w:rPr>
                <w:rFonts w:hint="eastAsia"/>
                <w:sz w:val="21"/>
              </w:rPr>
              <w:t xml:space="preserve">规</w:t>
            </w:r>
            <w:r>
              <w:rPr>
                <w:rFonts w:hint="eastAsia"/>
                <w:sz w:val="21"/>
              </w:rPr>
              <w:t xml:space="preserve">审查、档案管理、风险防控、追责机制等方面</w:t>
            </w:r>
            <w:r>
              <w:rPr>
                <w:sz w:val="21"/>
              </w:rPr>
              <w:t xml:space="preserve">，</w:t>
            </w:r>
            <w:r>
              <w:rPr>
                <w:sz w:val="21"/>
              </w:rPr>
              <w:t xml:space="preserve">制定</w:t>
            </w:r>
            <w:r>
              <w:rPr>
                <w:sz w:val="21"/>
              </w:rPr>
              <w:t xml:space="preserve">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rPr>
                <w:sz w:val="21"/>
                <w:szCs w:val="21"/>
              </w:rPr>
              <w:t xml:space="preserve">，</w:t>
            </w:r>
            <w:r>
              <w:rPr>
                <w:rFonts w:hint="eastAsia"/>
                <w:sz w:val="21"/>
                <w:szCs w:val="21"/>
              </w:rPr>
              <w:t xml:space="preserve">围绕项目对接机制、响应时效、现场服务、沟通协调、争议处置、整改闭环、答疑服务、资料移交、全过程协同保障等方面进行评价</w:t>
            </w:r>
            <w:r>
              <w:rPr>
                <w:sz w:val="21"/>
                <w:szCs w:val="21"/>
              </w:rPr>
              <w:t xml:space="preserve">；</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rPr>
                <w:rFonts w:hint="eastAsia"/>
                <w:sz w:val="21"/>
                <w:szCs w:val="21"/>
              </w:rPr>
              <w:t xml:space="preserve">，围绕廉政承诺针对性、廉洁风险防控、全过程监督机制、纪律约束、违规追责、失信约束机制进行评价</w:t>
            </w:r>
            <w:r>
              <w:rPr>
                <w:rFonts w:hint="eastAsia"/>
                <w:sz w:val="21"/>
                <w:szCs w:val="21"/>
              </w:rPr>
              <w:t xml:space="preserve">。</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1122"/>
        <w:ind w:firstLine="480"/>
        <w:spacing w:line="280" w:lineRule="exact"/>
        <w:rPr>
          <w:rFonts w:ascii="仿宋" w:hAnsi="仿宋" w:eastAsia="仿宋" w:cs="仿宋"/>
          <w:b/>
          <w:sz w:val="24"/>
          <w:szCs w:val="24"/>
          <w:lang w:val="en-US"/>
        </w:rPr>
      </w:pPr>
      <w:r>
        <w:rPr>
          <w:rFonts w:hint="eastAsia" w:ascii="仿宋" w:hAnsi="仿宋" w:eastAsia="仿宋" w:cs="仿宋"/>
          <w:b/>
          <w:sz w:val="24"/>
          <w:szCs w:val="24"/>
          <w:lang w:val="en-US"/>
        </w:rPr>
        <w:t xml:space="preserve">5.</w:t>
      </w:r>
      <w:r>
        <w:rPr>
          <w:rFonts w:ascii="仿宋" w:hAnsi="仿宋" w:eastAsia="仿宋" w:cs="仿宋"/>
          <w:b/>
          <w:sz w:val="24"/>
          <w:szCs w:val="24"/>
          <w:lang w:val="en-US"/>
        </w:rPr>
        <w:t xml:space="preserve">所有证书应当具有发证单位盖章</w:t>
      </w:r>
      <w:r>
        <w:rPr>
          <w:rFonts w:hint="eastAsia" w:ascii="仿宋" w:hAnsi="仿宋" w:eastAsia="仿宋" w:cs="仿宋"/>
          <w:b/>
          <w:sz w:val="24"/>
          <w:szCs w:val="24"/>
          <w:lang w:val="en-US"/>
        </w:rPr>
        <w:t xml:space="preserve">。</w:t>
      </w:r>
      <w:r>
        <w:rPr>
          <w:rFonts w:ascii="仿宋" w:hAnsi="仿宋" w:eastAsia="仿宋" w:cs="仿宋"/>
          <w:b/>
          <w:sz w:val="24"/>
          <w:szCs w:val="24"/>
          <w:lang w:val="en-US"/>
        </w:rPr>
        <w:t xml:space="preserve">各投标人使用电子注册证书时应注意：1）专业技术人员下载并</w:t>
      </w:r>
      <w:r>
        <w:rPr>
          <w:rFonts w:ascii="仿宋" w:hAnsi="仿宋" w:eastAsia="仿宋" w:cs="仿宋"/>
          <w:b/>
          <w:sz w:val="24"/>
          <w:szCs w:val="24"/>
          <w:lang w:val="en-US"/>
        </w:rPr>
        <w:t xml:space="preserve">彩色</w:t>
      </w:r>
      <w:r>
        <w:rPr>
          <w:rFonts w:ascii="仿宋" w:hAnsi="仿宋" w:eastAsia="仿宋" w:cs="仿宋"/>
          <w:b/>
          <w:sz w:val="24"/>
          <w:szCs w:val="24"/>
          <w:lang w:val="en-US"/>
        </w:rPr>
        <w:t xml:space="preserve">打印电子注册证书后，应在个人签名处手写签名</w:t>
      </w:r>
      <w:r>
        <w:rPr>
          <w:rFonts w:ascii="仿宋" w:hAnsi="仿宋" w:eastAsia="仿宋" w:cs="仿宋"/>
          <w:b/>
          <w:sz w:val="24"/>
          <w:szCs w:val="24"/>
          <w:lang w:val="en-US"/>
        </w:rPr>
        <w:t xml:space="preserve">、签署日期</w:t>
      </w:r>
      <w:r>
        <w:rPr>
          <w:rFonts w:ascii="仿宋" w:hAnsi="仿宋" w:eastAsia="仿宋" w:cs="仿宋"/>
          <w:b/>
          <w:sz w:val="24"/>
          <w:szCs w:val="24"/>
          <w:lang w:val="en-US"/>
        </w:rPr>
        <w:t xml:space="preserve">；2）专业技术人员</w:t>
      </w:r>
      <w:r>
        <w:rPr>
          <w:rFonts w:ascii="仿宋" w:hAnsi="仿宋" w:eastAsia="仿宋" w:cs="仿宋"/>
          <w:b/>
          <w:sz w:val="24"/>
          <w:szCs w:val="24"/>
          <w:lang w:val="en-US"/>
        </w:rPr>
        <w:t xml:space="preserve">电子注册证书</w:t>
      </w:r>
      <w:r>
        <w:rPr>
          <w:rFonts w:hint="eastAsia" w:ascii="仿宋" w:hAnsi="仿宋" w:eastAsia="仿宋" w:cs="仿宋"/>
          <w:b/>
          <w:sz w:val="24"/>
          <w:szCs w:val="24"/>
          <w:lang w:val="en-US"/>
        </w:rPr>
        <w:t xml:space="preserve">应</w:t>
      </w:r>
      <w:r>
        <w:rPr>
          <w:rFonts w:ascii="仿宋" w:hAnsi="仿宋" w:eastAsia="仿宋" w:cs="仿宋"/>
          <w:b/>
          <w:sz w:val="24"/>
          <w:szCs w:val="24"/>
          <w:lang w:val="en-US"/>
        </w:rPr>
        <w:t xml:space="preserve">在使用有效期、证书要素齐全、二</w:t>
      </w:r>
      <w:r>
        <w:rPr>
          <w:rFonts w:ascii="仿宋" w:hAnsi="仿宋" w:eastAsia="仿宋" w:cs="仿宋"/>
          <w:b/>
          <w:sz w:val="24"/>
          <w:szCs w:val="24"/>
          <w:lang w:val="en-US"/>
        </w:rPr>
        <w:t xml:space="preserve">维码可</w:t>
      </w:r>
      <w:r>
        <w:rPr>
          <w:rFonts w:ascii="仿宋" w:hAnsi="仿宋" w:eastAsia="仿宋" w:cs="仿宋"/>
          <w:b/>
          <w:sz w:val="24"/>
          <w:szCs w:val="24"/>
          <w:lang w:val="en-US"/>
        </w:rPr>
        <w:t xml:space="preserve">查询验证</w:t>
      </w:r>
      <w:r>
        <w:rPr>
          <w:rFonts w:ascii="仿宋" w:hAnsi="仿宋" w:eastAsia="仿宋" w:cs="仿宋"/>
          <w:b/>
          <w:sz w:val="24"/>
          <w:szCs w:val="24"/>
          <w:lang w:val="en-US"/>
        </w:rPr>
        <w:t xml:space="preserve">。在有效期内的纸质注册证书仍可正常使用，纸质注册证书无法反映</w:t>
      </w:r>
      <w:r>
        <w:rPr>
          <w:rFonts w:ascii="仿宋" w:hAnsi="仿宋" w:eastAsia="仿宋" w:cs="仿宋"/>
          <w:b/>
          <w:sz w:val="24"/>
          <w:szCs w:val="24"/>
          <w:lang w:val="en-US"/>
        </w:rPr>
        <w:t xml:space="preserve">注册</w:t>
      </w:r>
      <w:r>
        <w:rPr>
          <w:rFonts w:ascii="仿宋" w:hAnsi="仿宋" w:eastAsia="仿宋" w:cs="仿宋"/>
          <w:b/>
          <w:sz w:val="24"/>
          <w:szCs w:val="24"/>
          <w:lang w:val="en-US"/>
        </w:rPr>
        <w:t xml:space="preserve">有效期的需</w:t>
      </w:r>
      <w:r>
        <w:rPr>
          <w:rFonts w:ascii="仿宋" w:hAnsi="仿宋" w:eastAsia="仿宋" w:cs="仿宋"/>
          <w:b/>
          <w:sz w:val="24"/>
          <w:szCs w:val="24"/>
          <w:lang w:val="en-US"/>
        </w:rPr>
        <w:t xml:space="preserve">提供住</w:t>
      </w:r>
      <w:r>
        <w:rPr>
          <w:rFonts w:ascii="仿宋" w:hAnsi="仿宋" w:eastAsia="仿宋" w:cs="仿宋"/>
          <w:b/>
          <w:sz w:val="24"/>
          <w:szCs w:val="24"/>
          <w:lang w:val="en-US"/>
        </w:rPr>
        <w:t xml:space="preserve">建部或交通部或水利部等官方平台</w:t>
      </w:r>
      <w:r>
        <w:rPr>
          <w:rFonts w:ascii="仿宋" w:hAnsi="仿宋" w:eastAsia="仿宋" w:cs="仿宋"/>
          <w:b/>
          <w:sz w:val="24"/>
          <w:szCs w:val="24"/>
          <w:lang w:val="en-US"/>
        </w:rPr>
        <w:t xml:space="preserve">注册有效期</w:t>
      </w:r>
      <w:r>
        <w:rPr>
          <w:rFonts w:ascii="仿宋" w:hAnsi="仿宋" w:eastAsia="仿宋" w:cs="仿宋"/>
          <w:b/>
          <w:sz w:val="24"/>
          <w:szCs w:val="24"/>
          <w:lang w:val="en-US"/>
        </w:rPr>
        <w:t xml:space="preserve">查询截图。</w:t>
      </w:r>
      <w:r>
        <w:rPr>
          <w:rFonts w:ascii="仿宋" w:hAnsi="仿宋" w:eastAsia="仿宋" w:cs="仿宋"/>
          <w:b/>
          <w:sz w:val="24"/>
          <w:szCs w:val="24"/>
          <w:lang w:val="en-US"/>
        </w:rPr>
        <w:t xml:space="preserve">所有证书、合同等</w:t>
      </w:r>
      <w:r>
        <w:rPr>
          <w:rFonts w:ascii="仿宋" w:hAnsi="仿宋" w:eastAsia="仿宋" w:cs="仿宋"/>
          <w:b/>
          <w:sz w:val="24"/>
          <w:szCs w:val="24"/>
          <w:lang w:val="en-US"/>
        </w:rPr>
        <w:t xml:space="preserve">无法识别有效信息，视为无效，投标人将自行承担后果</w:t>
      </w:r>
      <w:r>
        <w:rPr>
          <w:rFonts w:hint="eastAsia" w:ascii="仿宋" w:hAnsi="仿宋" w:eastAsia="仿宋" w:cs="仿宋"/>
          <w:b/>
          <w:sz w:val="24"/>
          <w:szCs w:val="24"/>
          <w:lang w:val="en-US"/>
        </w:rPr>
        <w:t xml:space="preserve">。</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sz w:val="24"/>
          <w:szCs w:val="24"/>
        </w:rPr>
        <w:t xml:space="preserve">1.</w:t>
      </w:r>
      <w:r>
        <w:rPr>
          <w:sz w:val="24"/>
          <w:szCs w:val="24"/>
        </w:rPr>
        <w:t xml:space="preserve">江宁开发区无线</w:t>
      </w:r>
      <w:r>
        <w:rPr>
          <w:sz w:val="24"/>
          <w:szCs w:val="24"/>
        </w:rPr>
        <w:t xml:space="preserve">谷科技</w:t>
      </w:r>
      <w:r>
        <w:rPr>
          <w:sz w:val="24"/>
          <w:szCs w:val="24"/>
        </w:rPr>
        <w:t xml:space="preserve">园（未来网络实验设施及紫金山实验室）项目（南区G#H#楼）由南京江宁经济技术开发集团有限公司非财政投资建设，经宁经管</w:t>
      </w:r>
      <w:r>
        <w:rPr>
          <w:sz w:val="24"/>
          <w:szCs w:val="24"/>
        </w:rPr>
        <w:t xml:space="preserve">委行审备</w:t>
      </w:r>
      <w:r>
        <w:rPr>
          <w:sz w:val="24"/>
          <w:szCs w:val="24"/>
        </w:rPr>
        <w:t xml:space="preserve">[2018]65号批文批准立项，宁经管</w:t>
      </w:r>
      <w:r>
        <w:rPr>
          <w:sz w:val="24"/>
          <w:szCs w:val="24"/>
        </w:rPr>
        <w:t xml:space="preserve">委行审备</w:t>
      </w:r>
      <w:r>
        <w:rPr>
          <w:sz w:val="24"/>
          <w:szCs w:val="24"/>
        </w:rPr>
        <w:t xml:space="preserve">[2021]130号批文变更立项，计划总投资500000万元。该项目一期南区G#H#楼的竣工验收及资料归集工作已完成，跟踪审计和结算初审单位是南京建宁工程造价咨询有限公司</w:t>
      </w:r>
      <w:r>
        <w:rPr>
          <w:sz w:val="24"/>
          <w:szCs w:val="24"/>
        </w:rPr>
        <w:t xml:space="preserve">，初审价30881.72万元</w:t>
      </w:r>
      <w:r>
        <w:rPr>
          <w:sz w:val="24"/>
          <w:szCs w:val="24"/>
        </w:rPr>
        <w:t xml:space="preserve">，相应的竣工结算已经</w:t>
      </w:r>
      <w:r>
        <w:rPr>
          <w:rFonts w:hint="eastAsia"/>
          <w:sz w:val="24"/>
          <w:szCs w:val="24"/>
        </w:rPr>
        <w:t xml:space="preserve">建设</w:t>
      </w:r>
      <w:r>
        <w:rPr>
          <w:sz w:val="24"/>
          <w:szCs w:val="24"/>
        </w:rPr>
        <w:t xml:space="preserve">单位</w:t>
      </w:r>
      <w:r>
        <w:rPr>
          <w:sz w:val="24"/>
          <w:szCs w:val="24"/>
        </w:rPr>
        <w:t xml:space="preserve">组织审核确认。</w:t>
      </w:r>
      <w:r/>
    </w:p>
    <w:p>
      <w:pPr>
        <w:ind w:firstLine="480"/>
        <w:jc w:val="both"/>
        <w:spacing w:line="340" w:lineRule="exact"/>
        <w:rPr>
          <w:sz w:val="24"/>
          <w:szCs w:val="24"/>
        </w:rPr>
      </w:pPr>
      <w:r>
        <w:rPr>
          <w:sz w:val="24"/>
          <w:szCs w:val="24"/>
        </w:rPr>
        <w:t xml:space="preserve">2.东山老城区</w:t>
      </w:r>
      <w:r>
        <w:rPr>
          <w:sz w:val="24"/>
          <w:szCs w:val="24"/>
        </w:rPr>
        <w:t xml:space="preserve">及上坊片区</w:t>
      </w:r>
      <w:r>
        <w:rPr>
          <w:sz w:val="24"/>
          <w:szCs w:val="24"/>
        </w:rPr>
        <w:t xml:space="preserve">环境综合整治建设项目由南京市江宁区人民政府东山街道办事处财政投资建设，经江宁</w:t>
      </w:r>
      <w:r>
        <w:rPr>
          <w:sz w:val="24"/>
          <w:szCs w:val="24"/>
        </w:rPr>
        <w:t xml:space="preserve">审批投字</w:t>
      </w:r>
      <w:r>
        <w:rPr>
          <w:sz w:val="24"/>
          <w:szCs w:val="24"/>
        </w:rPr>
        <w:t xml:space="preserve">[2020]127号批文批准立项，计划总投资20000万元。施工一标段</w:t>
      </w:r>
      <w:r>
        <w:rPr>
          <w:rFonts w:hint="eastAsia"/>
          <w:sz w:val="24"/>
          <w:szCs w:val="24"/>
        </w:rPr>
        <w:t xml:space="preserve">投资</w:t>
      </w:r>
      <w:r>
        <w:rPr>
          <w:sz w:val="24"/>
          <w:szCs w:val="24"/>
        </w:rPr>
        <w:t xml:space="preserve">5304.641593万元，采用分部分项工程量清单方式发包，</w:t>
      </w:r>
      <w:r>
        <w:rPr>
          <w:sz w:val="24"/>
          <w:szCs w:val="24"/>
        </w:rPr>
        <w:t xml:space="preserve">于2021年3月9日完成施工，</w:t>
      </w:r>
      <w:r>
        <w:rPr>
          <w:rFonts w:hint="eastAsia"/>
          <w:sz w:val="24"/>
          <w:szCs w:val="24"/>
        </w:rPr>
        <w:t xml:space="preserve">并由</w:t>
      </w:r>
      <w:r>
        <w:rPr>
          <w:sz w:val="24"/>
          <w:szCs w:val="24"/>
        </w:rPr>
        <w:t xml:space="preserve">南京东兴工程咨询有限公司</w:t>
      </w:r>
      <w:r>
        <w:rPr>
          <w:sz w:val="24"/>
          <w:szCs w:val="24"/>
        </w:rPr>
        <w:t xml:space="preserve">完成初审，</w:t>
      </w:r>
      <w:r>
        <w:rPr>
          <w:rFonts w:hint="eastAsia"/>
          <w:sz w:val="24"/>
          <w:szCs w:val="24"/>
        </w:rPr>
        <w:t xml:space="preserve">初审金额</w:t>
      </w:r>
      <w:r>
        <w:rPr>
          <w:sz w:val="24"/>
          <w:szCs w:val="24"/>
        </w:rPr>
        <w:t xml:space="preserve">3326.418915万元</w:t>
      </w:r>
      <w:r>
        <w:rPr>
          <w:sz w:val="24"/>
          <w:szCs w:val="24"/>
        </w:rPr>
        <w:t xml:space="preserve">。东</w:t>
      </w:r>
      <w:r>
        <w:rPr>
          <w:sz w:val="24"/>
          <w:szCs w:val="24"/>
        </w:rPr>
        <w:t xml:space="preserve">麒佳</w:t>
      </w:r>
      <w:r>
        <w:rPr>
          <w:rFonts w:hint="eastAsia"/>
          <w:sz w:val="24"/>
          <w:szCs w:val="24"/>
        </w:rPr>
        <w:t xml:space="preserve">苑</w:t>
      </w:r>
      <w:r>
        <w:rPr>
          <w:rFonts w:hint="eastAsia"/>
          <w:sz w:val="24"/>
          <w:szCs w:val="24"/>
        </w:rPr>
        <w:t xml:space="preserve">等小区雨污分流工程</w:t>
      </w:r>
      <w:r>
        <w:rPr>
          <w:rFonts w:hint="eastAsia"/>
          <w:sz w:val="24"/>
          <w:szCs w:val="24"/>
        </w:rPr>
        <w:t xml:space="preserve">投资</w:t>
      </w:r>
      <w:r>
        <w:rPr>
          <w:sz w:val="24"/>
          <w:szCs w:val="24"/>
        </w:rPr>
        <w:t xml:space="preserve">2617.1213万元，采用分部分项工程量清单方式发包，已于2022年11月14日完成施工，竣工验收及资料归集工作已完成，并</w:t>
      </w:r>
      <w:r>
        <w:rPr>
          <w:rFonts w:hint="eastAsia"/>
          <w:sz w:val="24"/>
          <w:szCs w:val="24"/>
        </w:rPr>
        <w:t xml:space="preserve">由</w:t>
      </w:r>
      <w:r>
        <w:rPr>
          <w:sz w:val="24"/>
          <w:szCs w:val="24"/>
        </w:rPr>
        <w:t xml:space="preserve">江苏东佳工程项目管理咨询有限公司对该项目进行初审，相应的竣工结算已经</w:t>
      </w:r>
      <w:r>
        <w:rPr>
          <w:rFonts w:hint="eastAsia"/>
          <w:sz w:val="24"/>
          <w:szCs w:val="24"/>
        </w:rPr>
        <w:t xml:space="preserve">建设</w:t>
      </w:r>
      <w:r>
        <w:rPr>
          <w:sz w:val="24"/>
          <w:szCs w:val="24"/>
        </w:rPr>
        <w:t xml:space="preserve">单位审核确认，本次结算</w:t>
      </w:r>
      <w:r>
        <w:rPr>
          <w:rFonts w:hint="eastAsia"/>
          <w:sz w:val="24"/>
          <w:szCs w:val="24"/>
        </w:rPr>
        <w:t xml:space="preserve">初审金额</w:t>
      </w:r>
      <w:r>
        <w:rPr>
          <w:sz w:val="24"/>
          <w:szCs w:val="24"/>
        </w:rPr>
        <w:t xml:space="preserve">2293.891781万元</w:t>
      </w:r>
      <w:r>
        <w:rPr>
          <w:rFonts w:hint="eastAsia"/>
          <w:sz w:val="24"/>
          <w:szCs w:val="24"/>
        </w:rPr>
        <w:t xml:space="preserve">。</w:t>
      </w:r>
      <w:r/>
    </w:p>
    <w:p>
      <w:pPr>
        <w:ind w:firstLine="720"/>
        <w:jc w:val="both"/>
        <w:spacing w:line="400" w:lineRule="exact"/>
        <w:rPr>
          <w:sz w:val="24"/>
          <w:szCs w:val="24"/>
        </w:rPr>
      </w:pPr>
      <w:r>
        <w:rPr>
          <w:sz w:val="24"/>
          <w:szCs w:val="24"/>
        </w:rPr>
        <w:t xml:space="preserve">3.东</w:t>
      </w:r>
      <w:r>
        <w:rPr>
          <w:sz w:val="24"/>
          <w:szCs w:val="24"/>
        </w:rPr>
        <w:t xml:space="preserve">善桥复建房</w:t>
      </w:r>
      <w:r>
        <w:rPr>
          <w:sz w:val="24"/>
          <w:szCs w:val="24"/>
        </w:rPr>
        <w:t xml:space="preserve">六期13#、14#、18#、19#、20#楼及地下车库（含人防）建设项目由南京市江宁区人民政府</w:t>
      </w:r>
      <w:r>
        <w:rPr>
          <w:sz w:val="24"/>
          <w:szCs w:val="24"/>
        </w:rPr>
        <w:t xml:space="preserve">秣</w:t>
      </w:r>
      <w:r>
        <w:rPr>
          <w:sz w:val="24"/>
          <w:szCs w:val="24"/>
        </w:rPr>
        <w:t xml:space="preserve">陵街道办事处财政投资建设，经宁经管委发[2012]267号、宁经管委发[2015]81号、宁经管委发[2016]195号批文批准立项及调整立项，计划总投资105000万元。共计3个标段，此为其中一个标段，合同价26978万元。该工程竣工决（结）</w:t>
      </w:r>
      <w:r>
        <w:rPr>
          <w:sz w:val="24"/>
          <w:szCs w:val="24"/>
        </w:rPr>
        <w:t xml:space="preserve">算资料</w:t>
      </w:r>
      <w:r>
        <w:rPr>
          <w:sz w:val="24"/>
          <w:szCs w:val="24"/>
        </w:rPr>
        <w:t xml:space="preserve">归集工作已完成，并通过</w:t>
      </w:r>
      <w:r>
        <w:rPr>
          <w:rFonts w:hint="eastAsia"/>
          <w:sz w:val="24"/>
          <w:szCs w:val="24"/>
        </w:rPr>
        <w:t xml:space="preserve">建设</w:t>
      </w:r>
      <w:r>
        <w:rPr>
          <w:sz w:val="24"/>
          <w:szCs w:val="24"/>
        </w:rPr>
        <w:t xml:space="preserve">单位</w:t>
      </w:r>
      <w:r>
        <w:rPr>
          <w:sz w:val="24"/>
          <w:szCs w:val="24"/>
        </w:rPr>
        <w:t xml:space="preserve">委托的江苏东佳工程项目管理咨询有限公司初步审计，</w:t>
      </w:r>
      <w:r>
        <w:rPr>
          <w:sz w:val="24"/>
          <w:szCs w:val="24"/>
        </w:rPr>
        <w:t xml:space="preserve">初审价</w:t>
      </w:r>
      <w:r>
        <w:rPr>
          <w:rFonts w:hint="eastAsia"/>
          <w:sz w:val="24"/>
          <w:szCs w:val="24"/>
        </w:rPr>
        <w:t xml:space="preserve">24697.43万元</w:t>
      </w:r>
      <w:r>
        <w:rPr>
          <w:sz w:val="24"/>
          <w:szCs w:val="24"/>
        </w:rPr>
        <w:t xml:space="preserve">，</w:t>
      </w:r>
      <w:r>
        <w:rPr>
          <w:sz w:val="24"/>
          <w:szCs w:val="24"/>
        </w:rPr>
        <w:t xml:space="preserve">审计结果已经</w:t>
      </w:r>
      <w:r>
        <w:rPr>
          <w:rFonts w:hint="eastAsia"/>
          <w:sz w:val="24"/>
          <w:szCs w:val="24"/>
        </w:rPr>
        <w:t xml:space="preserve">建设</w:t>
      </w:r>
      <w:r>
        <w:rPr>
          <w:sz w:val="24"/>
          <w:szCs w:val="24"/>
        </w:rPr>
        <w:t xml:space="preserve">单位</w:t>
      </w:r>
      <w:r>
        <w:rPr>
          <w:rFonts w:hint="eastAsia"/>
          <w:sz w:val="24"/>
          <w:szCs w:val="24"/>
        </w:rPr>
        <w:t xml:space="preserve">审核确认。</w:t>
      </w:r>
      <w:r/>
    </w:p>
    <w:p>
      <w:pPr>
        <w:ind w:firstLine="480"/>
        <w:jc w:val="both"/>
        <w:spacing w:line="340" w:lineRule="exact"/>
        <w:rPr>
          <w:sz w:val="24"/>
          <w:szCs w:val="24"/>
        </w:rPr>
      </w:pPr>
      <w:r>
        <w:rPr>
          <w:sz w:val="24"/>
          <w:szCs w:val="24"/>
        </w:rPr>
        <w:t xml:space="preserve">4.横溪街道陶吴中心小学易地新建工程项目工程施工（装配式）项目由南京市江宁区人民政府横溪街道办事处（财政）投资建设，经南京市江宁区行政审批局（江宁</w:t>
      </w:r>
      <w:r>
        <w:rPr>
          <w:sz w:val="24"/>
          <w:szCs w:val="24"/>
        </w:rPr>
        <w:t xml:space="preserve">审批投字</w:t>
      </w:r>
      <w:r>
        <w:rPr>
          <w:sz w:val="24"/>
          <w:szCs w:val="24"/>
        </w:rPr>
        <w:t xml:space="preserve">[2019]274号）批文批准立项，计划总投资16000.04万元，共计1个标段。合同价11569.79888万元。该工程竣工决（结）</w:t>
      </w:r>
      <w:r>
        <w:rPr>
          <w:sz w:val="24"/>
          <w:szCs w:val="24"/>
        </w:rPr>
        <w:t xml:space="preserve">算资料</w:t>
      </w:r>
      <w:r>
        <w:rPr>
          <w:sz w:val="24"/>
          <w:szCs w:val="24"/>
        </w:rPr>
        <w:t xml:space="preserve">归集工作已完成，并通过</w:t>
      </w:r>
      <w:r>
        <w:rPr>
          <w:rFonts w:hint="eastAsia"/>
          <w:sz w:val="24"/>
          <w:szCs w:val="24"/>
        </w:rPr>
        <w:t xml:space="preserve">建设</w:t>
      </w:r>
      <w:r>
        <w:rPr>
          <w:sz w:val="24"/>
          <w:szCs w:val="24"/>
        </w:rPr>
        <w:t xml:space="preserve">单位</w:t>
      </w:r>
      <w:r>
        <w:rPr>
          <w:sz w:val="24"/>
          <w:szCs w:val="24"/>
        </w:rPr>
        <w:t xml:space="preserve">委托的南京建</w:t>
      </w:r>
      <w:r>
        <w:rPr>
          <w:sz w:val="24"/>
          <w:szCs w:val="24"/>
        </w:rPr>
        <w:t xml:space="preserve">凯</w:t>
      </w:r>
      <w:r>
        <w:rPr>
          <w:sz w:val="24"/>
          <w:szCs w:val="24"/>
        </w:rPr>
        <w:t xml:space="preserve">建设项目管理有限公司初步审计</w:t>
      </w:r>
      <w:r>
        <w:rPr>
          <w:sz w:val="24"/>
          <w:szCs w:val="24"/>
        </w:rPr>
        <w:t xml:space="preserve">，初审价10705.487225万元</w:t>
      </w:r>
      <w:r>
        <w:rPr>
          <w:sz w:val="24"/>
          <w:szCs w:val="24"/>
        </w:rPr>
        <w:t xml:space="preserve">，审计结果已经</w:t>
      </w:r>
      <w:r>
        <w:rPr>
          <w:rFonts w:hint="eastAsia"/>
          <w:sz w:val="24"/>
          <w:szCs w:val="24"/>
        </w:rPr>
        <w:t xml:space="preserve">建设</w:t>
      </w:r>
      <w:r>
        <w:rPr>
          <w:sz w:val="24"/>
          <w:szCs w:val="24"/>
        </w:rPr>
        <w:t xml:space="preserve">单位</w:t>
      </w:r>
      <w:r>
        <w:rPr>
          <w:sz w:val="24"/>
          <w:szCs w:val="24"/>
        </w:rPr>
        <w:t xml:space="preserve">审核确认。</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8957" w:type="dxa"/>
        <w:jc w:val="center"/>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67"/>
        <w:gridCol w:w="624"/>
        <w:gridCol w:w="3913"/>
        <w:gridCol w:w="1133"/>
        <w:gridCol w:w="851"/>
        <w:gridCol w:w="1280"/>
        <w:gridCol w:w="589"/>
      </w:tblGrid>
      <w:tr>
        <w:trPr>
          <w:jc w:val="center"/>
          <w:trHeight w:val="113"/>
          <w:tblHeader/>
        </w:trPr>
        <w:tc>
          <w:tcPr>
            <w:tcW w:w="56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24"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913"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133"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280"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67" w:type="dxa"/>
            <w:vAlign w:val="center"/>
            <w:textDirection w:val="lrTb"/>
            <w:noWrap w:val="false"/>
          </w:tcPr>
          <w:p>
            <w:pPr>
              <w:pStyle w:val="860"/>
              <w:numPr>
                <w:ilvl w:val="0"/>
                <w:numId w:val="5"/>
              </w:numPr>
              <w:jc w:val="center"/>
              <w:spacing w:line="240" w:lineRule="exact"/>
            </w:pPr>
            <w:r/>
            <w:r/>
          </w:p>
        </w:tc>
        <w:tc>
          <w:tcPr>
            <w:tcW w:w="624" w:type="dxa"/>
            <w:vAlign w:val="center"/>
            <w:vMerge w:val="restart"/>
            <w:textDirection w:val="lrTb"/>
            <w:noWrap w:val="false"/>
          </w:tcPr>
          <w:p>
            <w:pPr>
              <w:jc w:val="center"/>
              <w:spacing w:line="240" w:lineRule="exact"/>
            </w:pPr>
            <w:r>
              <w:rPr>
                <w:rFonts w:hint="eastAsia"/>
              </w:rPr>
              <w:t xml:space="preserve">包一</w:t>
            </w:r>
            <w:r/>
          </w:p>
        </w:tc>
        <w:tc>
          <w:tcPr>
            <w:tcW w:w="3913" w:type="dxa"/>
            <w:vAlign w:val="center"/>
            <w:textDirection w:val="lrTb"/>
            <w:noWrap w:val="false"/>
          </w:tcPr>
          <w:p>
            <w:pPr>
              <w:jc w:val="center"/>
            </w:pPr>
            <w:r>
              <w:rPr>
                <w:rFonts w:hint="eastAsia"/>
              </w:rPr>
              <w:t xml:space="preserve">江宁开发区无线</w:t>
            </w:r>
            <w:r>
              <w:rPr>
                <w:rFonts w:hint="eastAsia"/>
              </w:rPr>
              <w:t xml:space="preserve">谷科技</w:t>
            </w:r>
            <w:r>
              <w:rPr>
                <w:rFonts w:hint="eastAsia"/>
              </w:rPr>
              <w:t xml:space="preserve">园（未来网络实验设施及紫金山实验室）一期南区</w:t>
            </w:r>
            <w:r>
              <w:t xml:space="preserve">G#H#楼工程施工（装配式）</w:t>
            </w:r>
            <w:r/>
          </w:p>
        </w:tc>
        <w:tc>
          <w:tcPr>
            <w:tcW w:w="1133" w:type="dxa"/>
            <w:vAlign w:val="center"/>
            <w:textDirection w:val="lrTb"/>
            <w:noWrap w:val="false"/>
          </w:tcPr>
          <w:p>
            <w:pPr>
              <w:jc w:val="center"/>
            </w:pPr>
            <w:r>
              <w:t xml:space="preserve">30,881.72 </w:t>
            </w:r>
            <w:r/>
          </w:p>
        </w:tc>
        <w:tc>
          <w:tcPr>
            <w:tcW w:w="851" w:type="dxa"/>
            <w:vAlign w:val="center"/>
            <w:textDirection w:val="lrTb"/>
            <w:noWrap w:val="false"/>
          </w:tcPr>
          <w:p>
            <w:pPr>
              <w:jc w:val="center"/>
              <w:spacing w:line="240" w:lineRule="exact"/>
            </w:pPr>
            <w:r>
              <w:t xml:space="preserve">5%</w:t>
            </w:r>
            <w:r/>
          </w:p>
        </w:tc>
        <w:tc>
          <w:tcPr>
            <w:tcW w:w="1280" w:type="dxa"/>
            <w:vAlign w:val="center"/>
            <w:textDirection w:val="lrTb"/>
            <w:noWrap w:val="false"/>
          </w:tcPr>
          <w:p>
            <w:pPr>
              <w:jc w:val="center"/>
            </w:pPr>
            <w:r>
              <w:t xml:space="preserve">70.66</w:t>
            </w:r>
            <w:r/>
          </w:p>
        </w:tc>
        <w:tc>
          <w:tcPr>
            <w:tcW w:w="589" w:type="dxa"/>
            <w:vAlign w:val="center"/>
            <w:vMerge w:val="restart"/>
            <w:textDirection w:val="lrTb"/>
            <w:noWrap w:val="false"/>
          </w:tcPr>
          <w:p>
            <w:pPr>
              <w:jc w:val="center"/>
              <w:spacing w:line="240" w:lineRule="exact"/>
            </w:pPr>
            <w:r>
              <w:t xml:space="preserve">85</w:t>
            </w:r>
            <w:r/>
          </w:p>
        </w:tc>
      </w:tr>
      <w:tr>
        <w:trPr>
          <w:jc w:val="center"/>
          <w:trHeight w:val="113"/>
        </w:trPr>
        <w:tc>
          <w:tcPr>
            <w:tcW w:w="567" w:type="dxa"/>
            <w:vAlign w:val="center"/>
            <w:textDirection w:val="lrTb"/>
            <w:noWrap w:val="false"/>
          </w:tcPr>
          <w:p>
            <w:pPr>
              <w:pStyle w:val="860"/>
              <w:numPr>
                <w:ilvl w:val="0"/>
                <w:numId w:val="5"/>
              </w:numPr>
              <w:jc w:val="center"/>
              <w:spacing w:line="240" w:lineRule="exact"/>
            </w:pPr>
            <w:r/>
            <w:r/>
          </w:p>
        </w:tc>
        <w:tc>
          <w:tcPr>
            <w:tcW w:w="624" w:type="dxa"/>
            <w:vAlign w:val="center"/>
            <w:vMerge w:val="continue"/>
            <w:textDirection w:val="lrTb"/>
            <w:noWrap w:val="false"/>
          </w:tcPr>
          <w:p>
            <w:pPr>
              <w:jc w:val="center"/>
              <w:spacing w:line="240" w:lineRule="exact"/>
            </w:pPr>
            <w:r/>
            <w:r/>
          </w:p>
        </w:tc>
        <w:tc>
          <w:tcPr>
            <w:tcW w:w="3913" w:type="dxa"/>
            <w:vAlign w:val="center"/>
            <w:textDirection w:val="lrTb"/>
            <w:noWrap w:val="false"/>
          </w:tcPr>
          <w:p>
            <w:pPr>
              <w:jc w:val="center"/>
            </w:pPr>
            <w:r>
              <w:rPr>
                <w:rFonts w:hint="eastAsia"/>
              </w:rPr>
              <w:t xml:space="preserve">东山老城区</w:t>
            </w:r>
            <w:r>
              <w:rPr>
                <w:rFonts w:hint="eastAsia"/>
              </w:rPr>
              <w:t xml:space="preserve">及上坊片区</w:t>
            </w:r>
            <w:r>
              <w:rPr>
                <w:rFonts w:hint="eastAsia"/>
              </w:rPr>
              <w:t xml:space="preserve">环境综合整治施工一标段、东</w:t>
            </w:r>
            <w:r>
              <w:rPr>
                <w:rFonts w:hint="eastAsia"/>
              </w:rPr>
              <w:t xml:space="preserve">麒佳苑</w:t>
            </w:r>
            <w:r>
              <w:rPr>
                <w:rFonts w:hint="eastAsia"/>
              </w:rPr>
              <w:t xml:space="preserve">等小区雨污分流</w:t>
            </w:r>
            <w:r/>
          </w:p>
        </w:tc>
        <w:tc>
          <w:tcPr>
            <w:tcW w:w="1133" w:type="dxa"/>
            <w:vAlign w:val="center"/>
            <w:textDirection w:val="lrTb"/>
            <w:noWrap w:val="false"/>
          </w:tcPr>
          <w:p>
            <w:pPr>
              <w:jc w:val="center"/>
            </w:pPr>
            <w:r>
              <w:t xml:space="preserve"> 5,620.31 </w:t>
            </w:r>
            <w:r/>
          </w:p>
        </w:tc>
        <w:tc>
          <w:tcPr>
            <w:tcW w:w="851" w:type="dxa"/>
            <w:vAlign w:val="center"/>
            <w:textDirection w:val="lrTb"/>
            <w:noWrap w:val="false"/>
          </w:tcPr>
          <w:p>
            <w:pPr>
              <w:jc w:val="center"/>
              <w:spacing w:line="240" w:lineRule="exact"/>
            </w:pPr>
            <w:r>
              <w:t xml:space="preserve">5%</w:t>
            </w:r>
            <w:r/>
          </w:p>
        </w:tc>
        <w:tc>
          <w:tcPr>
            <w:tcW w:w="1280" w:type="dxa"/>
            <w:vAlign w:val="center"/>
            <w:textDirection w:val="lrTb"/>
            <w:noWrap w:val="false"/>
          </w:tcPr>
          <w:p>
            <w:pPr>
              <w:jc w:val="center"/>
            </w:pPr>
            <w:r>
              <w:t xml:space="preserve">14.05</w:t>
            </w:r>
            <w:r/>
          </w:p>
        </w:tc>
        <w:tc>
          <w:tcPr>
            <w:tcW w:w="589" w:type="dxa"/>
            <w:vAlign w:val="center"/>
            <w:vMerge w:val="continue"/>
            <w:textDirection w:val="lrTb"/>
            <w:noWrap w:val="false"/>
          </w:tcPr>
          <w:p>
            <w:pPr>
              <w:jc w:val="center"/>
              <w:spacing w:line="240" w:lineRule="exact"/>
            </w:pPr>
            <w:r/>
            <w:r/>
          </w:p>
        </w:tc>
      </w:tr>
      <w:tr>
        <w:trPr>
          <w:jc w:val="center"/>
          <w:trHeight w:val="113"/>
        </w:trPr>
        <w:tc>
          <w:tcPr>
            <w:tcW w:w="567" w:type="dxa"/>
            <w:vAlign w:val="center"/>
            <w:textDirection w:val="lrTb"/>
            <w:noWrap w:val="false"/>
          </w:tcPr>
          <w:p>
            <w:pPr>
              <w:pStyle w:val="860"/>
              <w:numPr>
                <w:ilvl w:val="0"/>
                <w:numId w:val="5"/>
              </w:numPr>
              <w:jc w:val="center"/>
              <w:spacing w:line="240" w:lineRule="exact"/>
            </w:pPr>
            <w:r/>
            <w:r/>
          </w:p>
        </w:tc>
        <w:tc>
          <w:tcPr>
            <w:tcW w:w="624" w:type="dxa"/>
            <w:vAlign w:val="center"/>
            <w:vMerge w:val="restart"/>
            <w:textDirection w:val="lrTb"/>
            <w:noWrap w:val="false"/>
          </w:tcPr>
          <w:p>
            <w:pPr>
              <w:jc w:val="center"/>
              <w:spacing w:line="240" w:lineRule="exact"/>
            </w:pPr>
            <w:r>
              <w:rPr>
                <w:rFonts w:hint="eastAsia"/>
              </w:rPr>
              <w:t xml:space="preserve">包二</w:t>
            </w:r>
            <w:r/>
          </w:p>
        </w:tc>
        <w:tc>
          <w:tcPr>
            <w:tcW w:w="3913" w:type="dxa"/>
            <w:vAlign w:val="center"/>
            <w:textDirection w:val="lrTb"/>
            <w:noWrap w:val="false"/>
          </w:tcPr>
          <w:p>
            <w:pPr>
              <w:jc w:val="center"/>
            </w:pPr>
            <w:r>
              <w:rPr>
                <w:rFonts w:hint="eastAsia"/>
              </w:rPr>
              <w:t xml:space="preserve">东</w:t>
            </w:r>
            <w:r>
              <w:rPr>
                <w:rFonts w:hint="eastAsia"/>
              </w:rPr>
              <w:t xml:space="preserve">善桥复建房</w:t>
            </w:r>
            <w:r>
              <w:rPr>
                <w:rFonts w:hint="eastAsia"/>
              </w:rPr>
              <w:t xml:space="preserve">六期</w:t>
            </w:r>
            <w:r>
              <w:t xml:space="preserve">13#、14#、18#、</w:t>
            </w:r>
            <w:r>
              <w:t xml:space="preserve">19#、20#楼及地下车库（含人防）</w:t>
            </w:r>
            <w:r/>
          </w:p>
        </w:tc>
        <w:tc>
          <w:tcPr>
            <w:tcW w:w="1133" w:type="dxa"/>
            <w:vAlign w:val="center"/>
            <w:textDirection w:val="lrTb"/>
            <w:noWrap w:val="false"/>
          </w:tcPr>
          <w:p>
            <w:pPr>
              <w:jc w:val="center"/>
            </w:pPr>
            <w:r>
              <w:t xml:space="preserve">24,697.43 </w:t>
            </w:r>
            <w:r/>
          </w:p>
        </w:tc>
        <w:tc>
          <w:tcPr>
            <w:tcW w:w="851" w:type="dxa"/>
            <w:vAlign w:val="center"/>
            <w:textDirection w:val="lrTb"/>
            <w:noWrap w:val="false"/>
          </w:tcPr>
          <w:p>
            <w:pPr>
              <w:jc w:val="center"/>
              <w:spacing w:line="240" w:lineRule="exact"/>
            </w:pPr>
            <w:r>
              <w:t xml:space="preserve">5%</w:t>
            </w:r>
            <w:r/>
          </w:p>
        </w:tc>
        <w:tc>
          <w:tcPr>
            <w:tcW w:w="1280" w:type="dxa"/>
            <w:vAlign w:val="center"/>
            <w:textDirection w:val="lrTb"/>
            <w:noWrap w:val="false"/>
          </w:tcPr>
          <w:p>
            <w:pPr>
              <w:jc w:val="center"/>
            </w:pPr>
            <w:r>
              <w:t xml:space="preserve">56.93</w:t>
            </w:r>
            <w:r/>
          </w:p>
        </w:tc>
        <w:tc>
          <w:tcPr>
            <w:tcW w:w="589" w:type="dxa"/>
            <w:vAlign w:val="center"/>
            <w:vMerge w:val="restart"/>
            <w:textDirection w:val="lrTb"/>
            <w:noWrap w:val="false"/>
          </w:tcPr>
          <w:p>
            <w:pPr>
              <w:jc w:val="center"/>
              <w:spacing w:line="240" w:lineRule="exact"/>
            </w:pPr>
            <w:r>
              <w:t xml:space="preserve">83</w:t>
            </w:r>
            <w:r/>
          </w:p>
        </w:tc>
      </w:tr>
      <w:tr>
        <w:trPr>
          <w:jc w:val="center"/>
          <w:trHeight w:val="113"/>
        </w:trPr>
        <w:tc>
          <w:tcPr>
            <w:tcW w:w="567" w:type="dxa"/>
            <w:vAlign w:val="center"/>
            <w:textDirection w:val="lrTb"/>
            <w:noWrap w:val="false"/>
          </w:tcPr>
          <w:p>
            <w:pPr>
              <w:pStyle w:val="860"/>
              <w:numPr>
                <w:ilvl w:val="0"/>
                <w:numId w:val="5"/>
              </w:numPr>
              <w:jc w:val="center"/>
              <w:spacing w:line="240" w:lineRule="exact"/>
            </w:pPr>
            <w:r/>
            <w:r/>
          </w:p>
        </w:tc>
        <w:tc>
          <w:tcPr>
            <w:tcW w:w="624" w:type="dxa"/>
            <w:vAlign w:val="center"/>
            <w:vMerge w:val="continue"/>
            <w:textDirection w:val="lrTb"/>
            <w:noWrap w:val="false"/>
          </w:tcPr>
          <w:p>
            <w:pPr>
              <w:jc w:val="center"/>
              <w:spacing w:line="240" w:lineRule="exact"/>
            </w:pPr>
            <w:r/>
            <w:r/>
          </w:p>
        </w:tc>
        <w:tc>
          <w:tcPr>
            <w:tcW w:w="3913" w:type="dxa"/>
            <w:vAlign w:val="center"/>
            <w:textDirection w:val="lrTb"/>
            <w:noWrap w:val="false"/>
          </w:tcPr>
          <w:p>
            <w:pPr>
              <w:jc w:val="center"/>
            </w:pPr>
            <w:r>
              <w:rPr>
                <w:rFonts w:hint="eastAsia"/>
              </w:rPr>
              <w:t xml:space="preserve">横溪街道陶吴中心小学易地新建工程项目工程施工（装配式）</w:t>
            </w:r>
            <w:r/>
          </w:p>
        </w:tc>
        <w:tc>
          <w:tcPr>
            <w:tcW w:w="1133" w:type="dxa"/>
            <w:vAlign w:val="center"/>
            <w:textDirection w:val="lrTb"/>
            <w:noWrap w:val="false"/>
          </w:tcPr>
          <w:p>
            <w:pPr>
              <w:jc w:val="center"/>
            </w:pPr>
            <w:r>
              <w:t xml:space="preserve">10,705.49 </w:t>
            </w:r>
            <w:r/>
          </w:p>
        </w:tc>
        <w:tc>
          <w:tcPr>
            <w:tcW w:w="851" w:type="dxa"/>
            <w:vAlign w:val="center"/>
            <w:textDirection w:val="lrTb"/>
            <w:noWrap w:val="false"/>
          </w:tcPr>
          <w:p>
            <w:pPr>
              <w:jc w:val="center"/>
              <w:spacing w:line="240" w:lineRule="exact"/>
            </w:pPr>
            <w:r>
              <w:t xml:space="preserve">5%</w:t>
            </w:r>
            <w:r/>
          </w:p>
        </w:tc>
        <w:tc>
          <w:tcPr>
            <w:tcW w:w="1280" w:type="dxa"/>
            <w:vAlign w:val="center"/>
            <w:textDirection w:val="lrTb"/>
            <w:noWrap w:val="false"/>
          </w:tcPr>
          <w:p>
            <w:pPr>
              <w:jc w:val="center"/>
            </w:pPr>
            <w:r>
              <w:t xml:space="preserve">25.87</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无线谷</w:t>
      </w:r>
      <w:r>
        <w:rPr>
          <w:sz w:val="24"/>
          <w:szCs w:val="24"/>
        </w:rPr>
        <w:t xml:space="preserve">GH楼、东山上</w:t>
      </w:r>
      <w:r>
        <w:rPr>
          <w:rFonts w:hint="eastAsia"/>
          <w:sz w:val="24"/>
          <w:szCs w:val="24"/>
        </w:rPr>
        <w:t xml:space="preserve">坊环境</w:t>
      </w:r>
      <w:r>
        <w:rPr>
          <w:rFonts w:hint="eastAsia"/>
          <w:sz w:val="24"/>
          <w:szCs w:val="24"/>
        </w:rPr>
        <w:t xml:space="preserve">整治、东</w:t>
      </w:r>
      <w:r>
        <w:rPr>
          <w:rFonts w:hint="eastAsia"/>
          <w:sz w:val="24"/>
          <w:szCs w:val="24"/>
        </w:rPr>
        <w:t xml:space="preserve">善桥复建房</w:t>
      </w:r>
      <w:r>
        <w:rPr>
          <w:rFonts w:hint="eastAsia"/>
          <w:sz w:val="24"/>
          <w:szCs w:val="24"/>
        </w:rPr>
        <w:t xml:space="preserve">六期</w:t>
      </w:r>
      <w:r>
        <w:rPr>
          <w:sz w:val="24"/>
          <w:szCs w:val="24"/>
        </w:rPr>
        <w:t xml:space="preserve">13#等、陶吴小学结算审计服务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jc w:val="both"/>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2026年4月至2026年9月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所有证书应当具有发证单位盖章。各投标人使用电子注册证书时应注意：</w:t>
      </w:r>
      <w:r>
        <w:rPr>
          <w:sz w:val="24"/>
          <w:szCs w:val="24"/>
        </w:rPr>
        <w:t xml:space="preserve">1）专业技术人员下载并彩色打印电子注册证书后，应在个人签名处手写签名、签署日期；2）专业技术人员电子注册证书应在使用有效期、证书要素齐全、二</w:t>
      </w:r>
      <w:r>
        <w:rPr>
          <w:sz w:val="24"/>
          <w:szCs w:val="24"/>
        </w:rPr>
        <w:t xml:space="preserve">维码可</w:t>
      </w:r>
      <w:r>
        <w:rPr>
          <w:sz w:val="24"/>
          <w:szCs w:val="24"/>
        </w:rPr>
        <w:t xml:space="preserve">查询验证。在有效期内的纸质注册证书仍可正常使用，纸质注册证书无法反映注册有</w:t>
      </w:r>
      <w:r>
        <w:rPr>
          <w:sz w:val="24"/>
          <w:szCs w:val="24"/>
        </w:rPr>
        <w:t xml:space="preserve">效期的需</w:t>
      </w:r>
      <w:r>
        <w:rPr>
          <w:sz w:val="24"/>
          <w:szCs w:val="24"/>
        </w:rPr>
        <w:t xml:space="preserve">提供住</w:t>
      </w:r>
      <w:r>
        <w:rPr>
          <w:sz w:val="24"/>
          <w:szCs w:val="24"/>
        </w:rPr>
        <w:t xml:space="preserve">建部或交通部或水利部等官方平台注册有效期</w:t>
      </w:r>
      <w:r>
        <w:rPr>
          <w:sz w:val="24"/>
          <w:szCs w:val="24"/>
        </w:rPr>
        <w:t xml:space="preserve">查询截图。所有证书、合同等无法识别有效信息</w:t>
      </w:r>
      <w:r>
        <w:rPr>
          <w:sz w:val="24"/>
          <w:szCs w:val="24"/>
        </w:rPr>
        <w:t xml:space="preserve">，视为无效，投标人将自行承担后果。</w:t>
      </w:r>
      <w:r>
        <w:rPr>
          <w:rFonts w:hint="eastAsia"/>
          <w:sz w:val="24"/>
          <w:szCs w:val="24"/>
        </w:rPr>
        <w:t xml:space="preserve">）</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3.任何原因导致最终造价咨询服务费超出本项目预算金额（即包一</w:t>
      </w:r>
      <w:r>
        <w:rPr>
          <w:sz w:val="24"/>
          <w:szCs w:val="24"/>
        </w:rPr>
        <w:t xml:space="preserve">85</w:t>
      </w:r>
      <w:r>
        <w:rPr>
          <w:sz w:val="24"/>
          <w:szCs w:val="24"/>
        </w:rPr>
        <w:t xml:space="preserve">万元、包二</w:t>
      </w:r>
      <w:r>
        <w:rPr>
          <w:sz w:val="24"/>
          <w:szCs w:val="24"/>
        </w:rPr>
        <w:t xml:space="preserve">83</w:t>
      </w:r>
      <w:r>
        <w:rPr>
          <w:sz w:val="24"/>
          <w:szCs w:val="24"/>
        </w:rPr>
        <w:t xml:space="preserve">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（包一</w:t>
      </w:r>
      <w:r>
        <w:rPr>
          <w:rFonts w:hint="eastAsia"/>
          <w:sz w:val="24"/>
          <w:szCs w:val="24"/>
        </w:rPr>
        <w:t xml:space="preserve">85</w:t>
      </w:r>
      <w:r>
        <w:rPr>
          <w:rFonts w:hint="eastAsia"/>
          <w:sz w:val="24"/>
          <w:szCs w:val="24"/>
        </w:rPr>
        <w:t xml:space="preserve">万元、包二</w:t>
      </w:r>
      <w:r>
        <w:rPr>
          <w:rFonts w:hint="eastAsia"/>
          <w:sz w:val="24"/>
          <w:szCs w:val="24"/>
        </w:rPr>
        <w:t xml:space="preserve">83</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w:t>
      </w:r>
      <w:r>
        <w:rPr>
          <w:sz w:val="24"/>
          <w:szCs w:val="24"/>
        </w:rPr>
        <w:t xml:space="preserve">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无线谷</w:t>
      </w:r>
      <w:r>
        <w:rPr>
          <w:rFonts w:hAnsi="宋体"/>
          <w:sz w:val="24"/>
          <w:szCs w:val="24"/>
          <w:u w:val="single"/>
        </w:rPr>
        <w:t xml:space="preserve">GH楼、东山上</w:t>
      </w:r>
      <w:r>
        <w:rPr>
          <w:rFonts w:hint="eastAsia" w:hAnsi="宋体"/>
          <w:sz w:val="24"/>
          <w:szCs w:val="24"/>
          <w:u w:val="single"/>
        </w:rPr>
        <w:t xml:space="preserve">坊环境</w:t>
      </w:r>
      <w:r>
        <w:rPr>
          <w:rFonts w:hint="eastAsia" w:hAnsi="宋体"/>
          <w:sz w:val="24"/>
          <w:szCs w:val="24"/>
          <w:u w:val="single"/>
        </w:rPr>
        <w:t xml:space="preserve">整治、东</w:t>
      </w:r>
      <w:r>
        <w:rPr>
          <w:rFonts w:hint="eastAsia" w:hAnsi="宋体"/>
          <w:sz w:val="24"/>
          <w:szCs w:val="24"/>
          <w:u w:val="single"/>
        </w:rPr>
        <w:t xml:space="preserve">善桥复建房</w:t>
      </w:r>
      <w:r>
        <w:rPr>
          <w:rFonts w:hint="eastAsia" w:hAnsi="宋体"/>
          <w:sz w:val="24"/>
          <w:szCs w:val="24"/>
          <w:u w:val="single"/>
        </w:rPr>
        <w:t xml:space="preserve">六期</w:t>
      </w:r>
      <w:r>
        <w:rPr>
          <w:rFonts w:hAnsi="宋体"/>
          <w:sz w:val="24"/>
          <w:szCs w:val="24"/>
          <w:u w:val="single"/>
        </w:rPr>
        <w:t xml:space="preserve">13#等、陶吴小学结算审计服务</w:t>
      </w:r>
      <w:r>
        <w:rPr>
          <w:rFonts w:hint="eastAsia" w:hAnsi="宋体"/>
          <w:sz w:val="24"/>
          <w:szCs w:val="24"/>
          <w:u w:val="single"/>
        </w:rPr>
        <w:t xml:space="preserve">（包一</w:t>
      </w:r>
      <w:r>
        <w:rPr>
          <w:rFonts w:hAnsi="宋体"/>
          <w:sz w:val="24"/>
          <w:szCs w:val="24"/>
          <w:u w:val="single"/>
        </w:rPr>
        <w:t xml:space="preserve">/二）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（包一</w:t>
      </w:r>
      <w:r>
        <w:rPr>
          <w:rFonts w:hint="eastAsia"/>
          <w:sz w:val="24"/>
          <w:szCs w:val="24"/>
        </w:rPr>
        <w:t xml:space="preserve">85</w:t>
      </w:r>
      <w:r>
        <w:rPr>
          <w:rFonts w:hint="eastAsia"/>
          <w:sz w:val="24"/>
          <w:szCs w:val="24"/>
        </w:rPr>
        <w:t xml:space="preserve">万元、包二</w:t>
      </w:r>
      <w:r>
        <w:rPr>
          <w:rFonts w:hint="eastAsia"/>
          <w:sz w:val="24"/>
          <w:szCs w:val="24"/>
        </w:rPr>
        <w:t xml:space="preserve">83</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项目</w:t>
      </w:r>
      <w:r>
        <w:rPr>
          <w:rFonts w:hint="eastAsia" w:hAnsi="宋体"/>
          <w:b/>
          <w:sz w:val="24"/>
          <w:szCs w:val="24"/>
        </w:rPr>
        <w:t xml:space="preserve">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”供应商可以在投标文件中一次性提交资格证明材料，也可以在投标文件中提供“南京市政府采购供应商信用承诺书”。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tbl>
      <w:tblPr>
        <w:tblStyle w:val="852"/>
        <w:tblW w:w="9566" w:type="dxa"/>
        <w:tblInd w:w="135" w:type="dxa"/>
        <w:tblLook w:val="04A0" w:firstRow="1" w:lastRow="0" w:firstColumn="1" w:lastColumn="0" w:noHBand="0" w:noVBand="1"/>
      </w:tblPr>
      <w:tblGrid>
        <w:gridCol w:w="2141"/>
        <w:gridCol w:w="2277"/>
        <w:gridCol w:w="1827"/>
        <w:gridCol w:w="3321"/>
      </w:tblGrid>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682"/>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5"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rPr>
          <w:b/>
        </w:rPr>
      </w:pPr>
      <w:r>
        <w:rPr>
          <w:b/>
        </w:rPr>
        <w:t xml:space="preserve">提示：</w:t>
      </w:r>
      <w:r>
        <w:rPr>
          <w:rFonts w:hint="eastAsia"/>
          <w:b/>
        </w:rPr>
        <w:t xml:space="preserve">1.</w:t>
      </w:r>
      <w:r>
        <w:rPr>
          <w:rFonts w:hint="eastAsia"/>
          <w:b/>
        </w:rPr>
        <w:t xml:space="preserve">为便于评审，建议</w:t>
      </w:r>
      <w:r>
        <w:rPr>
          <w:b/>
        </w:rPr>
        <w:t xml:space="preserve">在</w:t>
      </w:r>
      <w:r>
        <w:rPr>
          <w:b/>
        </w:rPr>
        <w:t xml:space="preserve">本承诺</w:t>
      </w:r>
      <w:r>
        <w:rPr>
          <w:b/>
        </w:rPr>
        <w:t xml:space="preserve">书下方附上本单位营业执照</w:t>
      </w:r>
      <w:r>
        <w:rPr>
          <w:b/>
        </w:rPr>
        <w:t xml:space="preserve">，显示法定代表人姓名</w:t>
      </w:r>
      <w:r>
        <w:rPr>
          <w:b/>
        </w:rPr>
        <w:t xml:space="preserve">；</w:t>
      </w:r>
      <w:r/>
    </w:p>
    <w:p>
      <w:pPr>
        <w:ind w:firstLine="1104"/>
        <w:rPr>
          <w:b/>
        </w:rPr>
      </w:pPr>
      <w:r>
        <w:rPr>
          <w:rFonts w:hint="eastAsia"/>
          <w:b/>
        </w:rPr>
        <w:t xml:space="preserve">2.签署日期应当在采购公告发布之日起至递交投标文件截止日</w:t>
      </w:r>
      <w:r>
        <w:rPr>
          <w:rFonts w:hint="eastAsia"/>
          <w:b/>
        </w:rPr>
        <w:t xml:space="preserve">，否则视为无效</w:t>
      </w:r>
      <w:r>
        <w:rPr>
          <w:rFonts w:hint="eastAsia"/>
          <w:b/>
        </w:rPr>
        <w:t xml:space="preserve">；</w:t>
      </w:r>
      <w:r/>
    </w:p>
    <w:p>
      <w:pPr>
        <w:ind w:firstLine="1104"/>
        <w:rPr>
          <w:b/>
        </w:rPr>
      </w:pPr>
      <w:r>
        <w:rPr>
          <w:rFonts w:hint="eastAsia"/>
          <w:b/>
        </w:rPr>
        <w:t xml:space="preserve">3.法定代表人应当签名，签名无法辨认为法定代表人姓名的，视为无效。</w:t>
      </w:r>
      <w:r/>
    </w:p>
    <w:p>
      <w:pPr>
        <w:jc w:val="center"/>
        <w:rPr>
          <w:rFonts w:ascii="Calibri" w:hAnsi="Calibri" w:cs="Times New Roman"/>
          <w:sz w:val="21"/>
          <w:szCs w:val="21"/>
        </w:rPr>
      </w:pPr>
      <w:r>
        <w:rPr>
          <w:rFonts w:ascii="Calibri" w:hAnsi="Calibri" w:cs="Times New Roman"/>
          <w:sz w:val="21"/>
          <w:szCs w:val="21"/>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bookmarkEnd w:id="31"/>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8"/>
        <w:gridCol w:w="2268"/>
        <w:gridCol w:w="2126"/>
        <w:gridCol w:w="2209"/>
        <w:gridCol w:w="1619"/>
      </w:tblGrid>
      <w:tr>
        <w:trPr>
          <w:jc w:val="center"/>
          <w:trHeight w:val="250"/>
        </w:trPr>
        <w:tc>
          <w:tcPr>
            <w:tcW w:w="748" w:type="dxa"/>
            <w:vAlign w:val="center"/>
            <w:textDirection w:val="lrTb"/>
            <w:noWrap w:val="false"/>
          </w:tcPr>
          <w:p>
            <w:pPr>
              <w:jc w:val="center"/>
              <w:rPr>
                <w:rFonts w:eastAsiaTheme="minorEastAsia"/>
              </w:rPr>
            </w:pPr>
            <w:r>
              <w:rPr>
                <w:rFonts w:hint="eastAsia"/>
                <w:sz w:val="24"/>
              </w:rPr>
              <w:t xml:space="preserve">序号</w:t>
            </w:r>
            <w:r/>
          </w:p>
        </w:tc>
        <w:tc>
          <w:tcPr>
            <w:tcW w:w="2268" w:type="dxa"/>
            <w:vAlign w:val="center"/>
            <w:textDirection w:val="lrTb"/>
            <w:noWrap w:val="false"/>
          </w:tcPr>
          <w:p>
            <w:pPr>
              <w:jc w:val="center"/>
              <w:rPr>
                <w:rFonts w:eastAsiaTheme="minorEastAsia"/>
              </w:rPr>
            </w:pPr>
            <w:r>
              <w:rPr>
                <w:rFonts w:hint="eastAsia"/>
                <w:sz w:val="24"/>
              </w:rPr>
              <w:t xml:space="preserve">招标文件要求</w:t>
            </w:r>
            <w:r/>
          </w:p>
        </w:tc>
        <w:tc>
          <w:tcPr>
            <w:tcW w:w="2126" w:type="dxa"/>
            <w:vAlign w:val="center"/>
            <w:textDirection w:val="lrTb"/>
            <w:noWrap w:val="false"/>
          </w:tcPr>
          <w:p>
            <w:pPr>
              <w:jc w:val="center"/>
              <w:rPr>
                <w:rFonts w:eastAsiaTheme="minorEastAsia"/>
              </w:rPr>
            </w:pPr>
            <w:r>
              <w:rPr>
                <w:rFonts w:hint="eastAsia"/>
                <w:sz w:val="24"/>
              </w:rPr>
              <w:t xml:space="preserve">投标响应情况</w:t>
            </w:r>
            <w:r/>
          </w:p>
        </w:tc>
        <w:tc>
          <w:tcPr>
            <w:tcW w:w="2209" w:type="dxa"/>
            <w:vAlign w:val="center"/>
            <w:textDirection w:val="lrTb"/>
            <w:noWrap w:val="false"/>
          </w:tcPr>
          <w:p>
            <w:pPr>
              <w:jc w:val="center"/>
              <w:rPr>
                <w:rFonts w:eastAsiaTheme="minorEastAsia"/>
              </w:rPr>
            </w:pPr>
            <w:r>
              <w:rPr>
                <w:rFonts w:hint="eastAsia"/>
                <w:sz w:val="24"/>
              </w:rPr>
              <w:t xml:space="preserve">超出、符合或偏离</w:t>
            </w:r>
            <w:r/>
          </w:p>
        </w:tc>
        <w:tc>
          <w:tcPr>
            <w:tcW w:w="1619" w:type="dxa"/>
            <w:vAlign w:val="center"/>
            <w:textDirection w:val="lrTb"/>
            <w:noWrap w:val="false"/>
          </w:tcPr>
          <w:p>
            <w:pPr>
              <w:jc w:val="center"/>
              <w:rPr>
                <w:rFonts w:eastAsiaTheme="minorEastAsia"/>
              </w:rPr>
            </w:pPr>
            <w:r>
              <w:rPr>
                <w:rFonts w:hint="eastAsia"/>
                <w:sz w:val="24"/>
              </w:rPr>
              <w:t xml:space="preserve">证明材料</w:t>
            </w:r>
            <w:r/>
          </w:p>
        </w:tc>
      </w:tr>
      <w:tr>
        <w:trPr>
          <w:jc w:val="center"/>
          <w:trHeight w:val="259"/>
        </w:trPr>
        <w:tc>
          <w:tcPr>
            <w:tcW w:w="748" w:type="dxa"/>
            <w:vAlign w:val="center"/>
            <w:textDirection w:val="lrTb"/>
            <w:noWrap w:val="false"/>
          </w:tcPr>
          <w:p>
            <w:pPr>
              <w:jc w:val="center"/>
              <w:rPr>
                <w:rFonts w:eastAsiaTheme="minorEastAsia"/>
              </w:rPr>
            </w:pPr>
            <w:r>
              <w:rPr>
                <w:rFonts w:hint="eastAsia"/>
                <w:sz w:val="24"/>
              </w:rPr>
              <w:t xml:space="preserve"> </w:t>
            </w:r>
            <w:r/>
          </w:p>
        </w:tc>
        <w:tc>
          <w:tcPr>
            <w:tcW w:w="2268" w:type="dxa"/>
            <w:vAlign w:val="center"/>
            <w:textDirection w:val="lrTb"/>
            <w:noWrap w:val="false"/>
          </w:tcPr>
          <w:p>
            <w:pPr>
              <w:jc w:val="center"/>
              <w:rPr>
                <w:rFonts w:eastAsiaTheme="minorEastAsia"/>
              </w:rPr>
            </w:pPr>
            <w:r>
              <w:rPr>
                <w:rFonts w:hint="eastAsia"/>
                <w:sz w:val="24"/>
              </w:rPr>
              <w:t xml:space="preserve"> </w:t>
            </w:r>
            <w:r/>
          </w:p>
        </w:tc>
        <w:tc>
          <w:tcPr>
            <w:tcW w:w="2126" w:type="dxa"/>
            <w:vAlign w:val="center"/>
            <w:textDirection w:val="lrTb"/>
            <w:noWrap w:val="false"/>
          </w:tcPr>
          <w:p>
            <w:pPr>
              <w:jc w:val="center"/>
              <w:rPr>
                <w:rFonts w:eastAsiaTheme="minorEastAsia"/>
              </w:rPr>
            </w:pPr>
            <w:r>
              <w:rPr>
                <w:rFonts w:hint="eastAsia"/>
                <w:sz w:val="24"/>
              </w:rPr>
              <w:t xml:space="preserve"> </w:t>
            </w:r>
            <w:r/>
          </w:p>
        </w:tc>
        <w:tc>
          <w:tcPr>
            <w:tcW w:w="2209" w:type="dxa"/>
            <w:vAlign w:val="center"/>
            <w:textDirection w:val="lrTb"/>
            <w:noWrap w:val="false"/>
          </w:tcPr>
          <w:p>
            <w:pPr>
              <w:jc w:val="center"/>
              <w:rPr>
                <w:rFonts w:eastAsiaTheme="minorEastAsia"/>
              </w:rPr>
            </w:pPr>
            <w:r>
              <w:rPr>
                <w:rFonts w:hint="eastAsia"/>
                <w:sz w:val="24"/>
              </w:rPr>
              <w:t xml:space="preserve"> </w:t>
            </w:r>
            <w:r/>
          </w:p>
        </w:tc>
        <w:tc>
          <w:tcPr>
            <w:tcW w:w="1619" w:type="dxa"/>
            <w:vAlign w:val="center"/>
            <w:textDirection w:val="lrTb"/>
            <w:noWrap w:val="false"/>
          </w:tcPr>
          <w:p>
            <w:pPr>
              <w:jc w:val="center"/>
              <w:rPr>
                <w:rFonts w:eastAsiaTheme="minorEastAsia"/>
              </w:rPr>
            </w:pPr>
            <w:r>
              <w:rPr>
                <w:rFonts w:hint="eastAsia"/>
                <w:sz w:val="24"/>
              </w:rPr>
              <w:t xml:space="preserve"> </w:t>
            </w:r>
            <w:r/>
          </w:p>
        </w:tc>
      </w:tr>
      <w:tr>
        <w:trPr>
          <w:jc w:val="center"/>
          <w:trHeight w:val="259"/>
        </w:trPr>
        <w:tc>
          <w:tcPr>
            <w:tcW w:w="748" w:type="dxa"/>
            <w:vAlign w:val="center"/>
            <w:textDirection w:val="lrTb"/>
            <w:noWrap w:val="false"/>
          </w:tcPr>
          <w:p>
            <w:pPr>
              <w:jc w:val="center"/>
              <w:rPr>
                <w:rFonts w:eastAsiaTheme="minorEastAsia"/>
              </w:rPr>
            </w:pPr>
            <w:r>
              <w:rPr>
                <w:rFonts w:hint="eastAsia"/>
                <w:sz w:val="24"/>
              </w:rPr>
              <w:t xml:space="preserve"> </w:t>
            </w:r>
            <w:r/>
          </w:p>
        </w:tc>
        <w:tc>
          <w:tcPr>
            <w:tcW w:w="2268" w:type="dxa"/>
            <w:vAlign w:val="center"/>
            <w:textDirection w:val="lrTb"/>
            <w:noWrap w:val="false"/>
          </w:tcPr>
          <w:p>
            <w:pPr>
              <w:jc w:val="center"/>
              <w:rPr>
                <w:rFonts w:eastAsiaTheme="minorEastAsia"/>
              </w:rPr>
            </w:pPr>
            <w:r>
              <w:rPr>
                <w:rFonts w:hint="eastAsia"/>
                <w:sz w:val="24"/>
              </w:rPr>
              <w:t xml:space="preserve">……</w:t>
            </w:r>
            <w:r/>
          </w:p>
        </w:tc>
        <w:tc>
          <w:tcPr>
            <w:tcW w:w="2126" w:type="dxa"/>
            <w:vAlign w:val="center"/>
            <w:textDirection w:val="lrTb"/>
            <w:noWrap w:val="false"/>
          </w:tcPr>
          <w:p>
            <w:pPr>
              <w:jc w:val="center"/>
              <w:rPr>
                <w:rFonts w:eastAsiaTheme="minorEastAsia"/>
              </w:rPr>
            </w:pPr>
            <w:r>
              <w:rPr>
                <w:rFonts w:hint="eastAsia"/>
                <w:sz w:val="24"/>
              </w:rPr>
              <w:t xml:space="preserve"> </w:t>
            </w:r>
            <w:r/>
          </w:p>
        </w:tc>
        <w:tc>
          <w:tcPr>
            <w:tcW w:w="2209" w:type="dxa"/>
            <w:vAlign w:val="center"/>
            <w:textDirection w:val="lrTb"/>
            <w:noWrap w:val="false"/>
          </w:tcPr>
          <w:p>
            <w:pPr>
              <w:jc w:val="center"/>
              <w:rPr>
                <w:rFonts w:eastAsiaTheme="minorEastAsia"/>
              </w:rPr>
            </w:pPr>
            <w:r>
              <w:rPr>
                <w:rFonts w:hint="eastAsia"/>
                <w:sz w:val="24"/>
              </w:rPr>
              <w:t xml:space="preserve"> </w:t>
            </w:r>
            <w:r/>
          </w:p>
        </w:tc>
        <w:tc>
          <w:tcPr>
            <w:tcW w:w="1619"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bookmarkEnd w:id="32"/>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82"/>
        <w:gridCol w:w="1737"/>
        <w:gridCol w:w="2565"/>
        <w:gridCol w:w="3078"/>
        <w:gridCol w:w="1231"/>
      </w:tblGrid>
      <w:tr>
        <w:trPr>
          <w:jc w:val="center"/>
          <w:trHeight w:val="237"/>
        </w:trPr>
        <w:tc>
          <w:tcPr>
            <w:tcW w:w="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73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56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30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2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证明材料</w:t>
            </w:r>
            <w:r/>
          </w:p>
        </w:tc>
      </w:tr>
      <w:tr>
        <w:trPr>
          <w:jc w:val="center"/>
          <w:trHeight w:val="237"/>
        </w:trPr>
        <w:tc>
          <w:tcPr>
            <w:tcW w:w="582" w:type="dxa"/>
            <w:vAlign w:val="bottom"/>
            <w:textDirection w:val="lrTb"/>
            <w:noWrap w:val="false"/>
          </w:tcPr>
          <w:p>
            <w:pPr>
              <w:jc w:val="center"/>
              <w:rPr>
                <w:rFonts w:ascii="仿宋" w:hAnsi="仿宋" w:eastAsia="仿宋"/>
                <w:sz w:val="24"/>
              </w:rPr>
            </w:pPr>
            <w:r>
              <w:rPr>
                <w:rFonts w:hint="eastAsia"/>
                <w:sz w:val="24"/>
              </w:rPr>
              <w:t xml:space="preserve"> </w:t>
            </w:r>
            <w:r/>
          </w:p>
        </w:tc>
        <w:tc>
          <w:tcPr>
            <w:tcW w:w="1737" w:type="dxa"/>
            <w:vAlign w:val="bottom"/>
            <w:textDirection w:val="lrTb"/>
            <w:noWrap w:val="false"/>
          </w:tcPr>
          <w:p>
            <w:pPr>
              <w:jc w:val="center"/>
              <w:rPr>
                <w:rFonts w:ascii="仿宋" w:hAnsi="仿宋" w:eastAsia="仿宋"/>
                <w:sz w:val="24"/>
              </w:rPr>
            </w:pPr>
            <w:r>
              <w:rPr>
                <w:rFonts w:hint="eastAsia"/>
                <w:sz w:val="24"/>
              </w:rPr>
              <w:t xml:space="preserve"> </w:t>
            </w:r>
            <w:r/>
          </w:p>
        </w:tc>
        <w:tc>
          <w:tcPr>
            <w:tcW w:w="2565" w:type="dxa"/>
            <w:vAlign w:val="bottom"/>
            <w:textDirection w:val="lrTb"/>
            <w:noWrap w:val="false"/>
          </w:tcPr>
          <w:p>
            <w:pPr>
              <w:jc w:val="center"/>
              <w:rPr>
                <w:rFonts w:ascii="仿宋" w:hAnsi="仿宋" w:eastAsia="仿宋"/>
                <w:sz w:val="24"/>
              </w:rPr>
            </w:pPr>
            <w:r>
              <w:rPr>
                <w:rFonts w:hint="eastAsia"/>
                <w:sz w:val="24"/>
              </w:rPr>
              <w:t xml:space="preserve"> </w:t>
            </w:r>
            <w:r/>
          </w:p>
        </w:tc>
        <w:tc>
          <w:tcPr>
            <w:tcW w:w="3078" w:type="dxa"/>
            <w:vAlign w:val="bottom"/>
            <w:textDirection w:val="lrTb"/>
            <w:noWrap w:val="false"/>
          </w:tcPr>
          <w:p>
            <w:pPr>
              <w:jc w:val="center"/>
              <w:rPr>
                <w:rFonts w:ascii="仿宋" w:hAnsi="仿宋" w:eastAsia="仿宋"/>
                <w:sz w:val="24"/>
              </w:rPr>
            </w:pPr>
            <w:r>
              <w:rPr>
                <w:rFonts w:hint="eastAsia"/>
                <w:sz w:val="24"/>
              </w:rPr>
              <w:t xml:space="preserve"> </w:t>
            </w:r>
            <w:r/>
          </w:p>
        </w:tc>
        <w:tc>
          <w:tcPr>
            <w:tcW w:w="1231"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237"/>
        </w:trPr>
        <w:tc>
          <w:tcPr>
            <w:tcW w:w="582" w:type="dxa"/>
            <w:vAlign w:val="bottom"/>
            <w:textDirection w:val="lrTb"/>
            <w:noWrap w:val="false"/>
          </w:tcPr>
          <w:p>
            <w:pPr>
              <w:jc w:val="center"/>
              <w:rPr>
                <w:rFonts w:ascii="仿宋" w:hAnsi="仿宋" w:eastAsia="仿宋"/>
                <w:sz w:val="24"/>
              </w:rPr>
            </w:pPr>
            <w:r>
              <w:rPr>
                <w:rFonts w:hint="eastAsia"/>
                <w:sz w:val="24"/>
              </w:rPr>
              <w:t xml:space="preserve"> </w:t>
            </w:r>
            <w:r/>
          </w:p>
        </w:tc>
        <w:tc>
          <w:tcPr>
            <w:tcW w:w="1737" w:type="dxa"/>
            <w:vAlign w:val="bottom"/>
            <w:textDirection w:val="lrTb"/>
            <w:noWrap w:val="false"/>
          </w:tcPr>
          <w:p>
            <w:pPr>
              <w:jc w:val="center"/>
              <w:rPr>
                <w:rFonts w:ascii="仿宋" w:hAnsi="仿宋" w:eastAsia="仿宋"/>
                <w:sz w:val="24"/>
              </w:rPr>
            </w:pPr>
            <w:r>
              <w:rPr>
                <w:rFonts w:hint="eastAsia"/>
                <w:sz w:val="24"/>
              </w:rPr>
              <w:t xml:space="preserve"> ……</w:t>
            </w:r>
            <w:r/>
          </w:p>
        </w:tc>
        <w:tc>
          <w:tcPr>
            <w:tcW w:w="2565" w:type="dxa"/>
            <w:vAlign w:val="bottom"/>
            <w:textDirection w:val="lrTb"/>
            <w:noWrap w:val="false"/>
          </w:tcPr>
          <w:p>
            <w:pPr>
              <w:jc w:val="center"/>
              <w:rPr>
                <w:rFonts w:ascii="仿宋" w:hAnsi="仿宋" w:eastAsia="仿宋"/>
                <w:sz w:val="24"/>
              </w:rPr>
            </w:pPr>
            <w:r>
              <w:rPr>
                <w:rFonts w:hint="eastAsia"/>
                <w:sz w:val="24"/>
              </w:rPr>
              <w:t xml:space="preserve"> </w:t>
            </w:r>
            <w:r/>
          </w:p>
        </w:tc>
        <w:tc>
          <w:tcPr>
            <w:tcW w:w="3078" w:type="dxa"/>
            <w:vAlign w:val="bottom"/>
            <w:textDirection w:val="lrTb"/>
            <w:noWrap w:val="false"/>
          </w:tcPr>
          <w:p>
            <w:pPr>
              <w:jc w:val="center"/>
              <w:rPr>
                <w:rFonts w:ascii="仿宋" w:hAnsi="仿宋" w:eastAsia="仿宋"/>
                <w:sz w:val="24"/>
              </w:rPr>
            </w:pPr>
            <w:r>
              <w:rPr>
                <w:rFonts w:hint="eastAsia"/>
                <w:sz w:val="24"/>
              </w:rPr>
              <w:t xml:space="preserve"> </w:t>
            </w:r>
            <w:r/>
          </w:p>
        </w:tc>
        <w:tc>
          <w:tcPr>
            <w:tcW w:w="1231"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53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51"/>
        <w:gridCol w:w="7283"/>
      </w:tblGrid>
      <w:tr>
        <w:trPr>
          <w:trHeight w:val="147"/>
        </w:trPr>
        <w:tc>
          <w:tcPr>
            <w:tcW w:w="2251"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83" w:type="dxa"/>
            <w:vAlign w:val="center"/>
            <w:textDirection w:val="lrTb"/>
            <w:noWrap w:val="false"/>
          </w:tcPr>
          <w:p>
            <w:pPr>
              <w:rPr>
                <w:rFonts w:cs="Arial"/>
                <w:szCs w:val="21"/>
                <w:lang w:eastAsia="en-US"/>
              </w:rPr>
            </w:pPr>
            <w:r>
              <w:rPr>
                <w:rFonts w:cs="Arial"/>
                <w:szCs w:val="21"/>
                <w:lang w:eastAsia="en-US"/>
              </w:rPr>
            </w:r>
            <w:r/>
          </w:p>
        </w:tc>
      </w:tr>
      <w:tr>
        <w:trPr>
          <w:trHeight w:val="147"/>
        </w:trPr>
        <w:tc>
          <w:tcPr>
            <w:tcW w:w="2251"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83" w:type="dxa"/>
            <w:vAlign w:val="center"/>
            <w:textDirection w:val="lrTb"/>
            <w:noWrap w:val="false"/>
          </w:tcPr>
          <w:p>
            <w:pPr>
              <w:rPr>
                <w:rFonts w:cs="Arial"/>
                <w:szCs w:val="21"/>
                <w:lang w:eastAsia="en-US"/>
              </w:rPr>
            </w:pPr>
            <w:r>
              <w:rPr>
                <w:rFonts w:cs="Arial"/>
                <w:szCs w:val="21"/>
                <w:lang w:eastAsia="en-US"/>
              </w:rPr>
            </w:r>
            <w:r/>
          </w:p>
        </w:tc>
      </w:tr>
      <w:tr>
        <w:trPr>
          <w:trHeight w:val="146"/>
        </w:trPr>
        <w:tc>
          <w:tcPr>
            <w:tcW w:w="2251"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83"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234"/>
        </w:trPr>
        <w:tc>
          <w:tcPr>
            <w:tcW w:w="2251"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83"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1"/>
        <w:jc w:val="center"/>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职业资格注册</w:t>
            </w:r>
            <w:r>
              <w:rPr>
                <w:rFonts w:hint="eastAsia" w:ascii="仿宋" w:hAnsi="仿宋" w:eastAsia="仿宋" w:cs="仿宋"/>
                <w:b/>
                <w:bCs/>
                <w:sz w:val="24"/>
                <w:szCs w:val="24"/>
              </w:rPr>
              <w:t xml:space="preserve">证书及</w:t>
            </w:r>
            <w:r>
              <w:rPr>
                <w:rFonts w:hint="eastAsia" w:ascii="仿宋" w:hAnsi="仿宋" w:eastAsia="仿宋" w:cs="仿宋"/>
                <w:b/>
                <w:bCs/>
                <w:sz w:val="24"/>
                <w:szCs w:val="24"/>
              </w:rPr>
              <w:t xml:space="preserve">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rPr>
          <w:rFonts w:ascii="仿宋" w:hAnsi="仿宋" w:eastAsia="仿宋"/>
          <w:sz w:val="24"/>
          <w:szCs w:val="24"/>
        </w:rPr>
      </w:pPr>
      <w:r>
        <w:rPr>
          <w:rFonts w:hint="eastAsia" w:ascii="仿宋" w:hAnsi="仿宋" w:eastAsia="仿宋"/>
          <w:sz w:val="24"/>
          <w:szCs w:val="24"/>
        </w:rPr>
        <w:t xml:space="preserve">说明：</w:t>
      </w:r>
      <w:r>
        <w:rPr>
          <w:rFonts w:hint="eastAsia" w:ascii="仿宋" w:hAnsi="仿宋" w:eastAsia="仿宋"/>
          <w:sz w:val="24"/>
          <w:szCs w:val="24"/>
        </w:rPr>
        <w:t xml:space="preserve"> </w:t>
      </w: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ind w:firstLine="720"/>
        <w:rPr>
          <w:rFonts w:ascii="仿宋" w:hAnsi="仿宋" w:eastAsia="仿宋"/>
          <w:sz w:val="24"/>
          <w:szCs w:val="24"/>
        </w:rPr>
      </w:pPr>
      <w:r>
        <w:rPr>
          <w:rFonts w:hint="eastAsia" w:ascii="仿宋" w:hAnsi="仿宋" w:eastAsia="仿宋"/>
          <w:sz w:val="24"/>
          <w:szCs w:val="24"/>
        </w:rPr>
        <w:t xml:space="preserve">2.如果行数不够，请自行增加。</w:t>
      </w:r>
      <w:r/>
    </w:p>
    <w:p>
      <w:pPr>
        <w:ind w:firstLine="72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b/>
          <w:sz w:val="24"/>
          <w:szCs w:val="24"/>
        </w:rPr>
        <w:t xml:space="preserve">按照表格中人员顺序依次放置证明材料</w:t>
      </w:r>
      <w:r>
        <w:rPr>
          <w:rFonts w:hint="eastAsia" w:ascii="仿宋" w:hAnsi="仿宋" w:eastAsia="仿宋"/>
          <w:sz w:val="24"/>
          <w:szCs w:val="24"/>
        </w:rPr>
        <w:t xml:space="preserve">。</w:t>
      </w:r>
      <w:r>
        <w:rPr>
          <w:rFonts w:hint="eastAsia" w:ascii="仿宋" w:hAnsi="仿宋" w:eastAsia="仿宋"/>
          <w:b/>
          <w:sz w:val="24"/>
          <w:szCs w:val="24"/>
        </w:rPr>
        <w:t xml:space="preserve">各成员</w:t>
      </w:r>
      <w:r>
        <w:rPr>
          <w:rFonts w:hint="eastAsia" w:ascii="仿宋" w:hAnsi="仿宋" w:eastAsia="仿宋"/>
          <w:b/>
          <w:sz w:val="24"/>
          <w:szCs w:val="24"/>
        </w:rPr>
        <w:t xml:space="preserve">证明材料摆放顺序为注册证书、职称证书、</w:t>
      </w:r>
      <w:r>
        <w:rPr>
          <w:rFonts w:hint="eastAsia" w:ascii="仿宋" w:hAnsi="仿宋" w:eastAsia="仿宋"/>
          <w:b/>
          <w:sz w:val="24"/>
          <w:szCs w:val="24"/>
        </w:rPr>
        <w:t xml:space="preserve">社保证明</w:t>
      </w:r>
      <w:r>
        <w:rPr>
          <w:rFonts w:hint="eastAsia" w:ascii="仿宋" w:hAnsi="仿宋" w:eastAsia="仿宋"/>
          <w:b/>
          <w:sz w:val="24"/>
          <w:szCs w:val="24"/>
        </w:rPr>
        <w:t xml:space="preserve">。</w:t>
      </w:r>
      <w:r/>
    </w:p>
    <w:p>
      <w:pPr>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rPr>
          <w:rFonts w:hint="eastAsia" w:ascii="仿宋" w:hAnsi="仿宋" w:eastAsia="仿宋"/>
          <w:sz w:val="24"/>
          <w:szCs w:val="24"/>
        </w:rPr>
        <w:t xml:space="preserve">因</w:t>
      </w:r>
      <w:r>
        <w:rPr>
          <w:rFonts w:hint="eastAsia" w:ascii="仿宋" w:hAnsi="仿宋" w:eastAsia="仿宋"/>
          <w:sz w:val="24"/>
          <w:szCs w:val="24"/>
        </w:rPr>
        <w:t xml:space="preserve">上传的证书等资料无法识别有效信息的，视为无效。</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10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1"/>
        <w:gridCol w:w="1134"/>
        <w:gridCol w:w="709"/>
        <w:gridCol w:w="992"/>
        <w:gridCol w:w="709"/>
        <w:gridCol w:w="1417"/>
        <w:gridCol w:w="992"/>
        <w:gridCol w:w="1418"/>
        <w:gridCol w:w="1134"/>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85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组长姓名</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组长姓名所在页码</w:t>
            </w:r>
            <w:r/>
          </w:p>
        </w:tc>
        <w:tc>
          <w:tcPr>
            <w:tcW w:w="709"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992" w:type="dxa"/>
            <w:textDirection w:val="lrTb"/>
            <w:noWrap w:val="false"/>
          </w:tcPr>
          <w:p>
            <w:pPr>
              <w:jc w:val="center"/>
              <w:spacing w:before="100" w:beforeAutospacing="1" w:line="240" w:lineRule="exact"/>
              <w:rPr>
                <w:szCs w:val="21"/>
              </w:rPr>
            </w:pPr>
            <w:r>
              <w:rPr>
                <w:rFonts w:hint="eastAsia"/>
                <w:szCs w:val="21"/>
              </w:rPr>
              <w:t xml:space="preserve">委托人</w:t>
            </w:r>
            <w:r/>
          </w:p>
        </w:tc>
        <w:tc>
          <w:tcPr>
            <w:tcW w:w="709"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417" w:type="dxa"/>
            <w:vAlign w:val="center"/>
            <w:textDirection w:val="lrTb"/>
            <w:noWrap w:val="false"/>
          </w:tcPr>
          <w:p>
            <w:pPr>
              <w:spacing w:before="100" w:beforeAutospacing="1" w:line="240" w:lineRule="exact"/>
              <w:rPr>
                <w:szCs w:val="21"/>
              </w:rPr>
            </w:pPr>
            <w:r>
              <w:rPr>
                <w:rFonts w:hint="eastAsia" w:asciiTheme="minorEastAsia" w:hAnsiTheme="minorEastAsia" w:eastAsiaTheme="minorEastAsia"/>
                <w:szCs w:val="21"/>
              </w:rPr>
              <w:t xml:space="preserve">结算送审</w:t>
            </w:r>
            <w:r>
              <w:rPr>
                <w:rFonts w:eastAsia="Calibri"/>
                <w:szCs w:val="21"/>
              </w:rPr>
              <w:t xml:space="preserve">金额（</w:t>
            </w:r>
            <w:r>
              <w:rPr>
                <w:rFonts w:hint="eastAsia"/>
                <w:szCs w:val="21"/>
              </w:rPr>
              <w:t xml:space="preserve">万</w:t>
            </w:r>
            <w:r>
              <w:rPr>
                <w:rFonts w:eastAsia="Calibri"/>
                <w:szCs w:val="21"/>
              </w:rPr>
              <w:t xml:space="preserve">元）</w:t>
            </w:r>
            <w:r/>
          </w:p>
        </w:tc>
        <w:tc>
          <w:tcPr>
            <w:tcW w:w="992"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418" w:type="dxa"/>
            <w:textDirection w:val="lrTb"/>
            <w:noWrap w:val="false"/>
          </w:tcPr>
          <w:p>
            <w:pPr>
              <w:jc w:val="center"/>
              <w:spacing w:before="100" w:beforeAutospacing="1" w:line="240" w:lineRule="exact"/>
              <w:rPr>
                <w:szCs w:val="21"/>
              </w:rPr>
            </w:pPr>
            <w:r>
              <w:rPr>
                <w:rFonts w:hint="eastAsia"/>
                <w:szCs w:val="21"/>
              </w:rPr>
              <w:t xml:space="preserve">签订日期所在页码</w:t>
            </w:r>
            <w:r/>
          </w:p>
        </w:tc>
        <w:tc>
          <w:tcPr>
            <w:tcW w:w="1134" w:type="dxa"/>
            <w:textDirection w:val="lrTb"/>
            <w:noWrap w:val="false"/>
          </w:tcPr>
          <w:p>
            <w:pPr>
              <w:jc w:val="center"/>
              <w:spacing w:before="100" w:beforeAutospacing="1" w:line="240" w:lineRule="exact"/>
              <w:rPr>
                <w:rFonts w:eastAsia="Calibri"/>
                <w:szCs w:val="21"/>
              </w:rPr>
            </w:pPr>
            <w:r>
              <w:rPr>
                <w:rFonts w:eastAsia="Calibri"/>
                <w:szCs w:val="21"/>
              </w:rPr>
              <w:t xml:space="preserve">业绩</w:t>
            </w:r>
            <w:r>
              <w:rPr>
                <w:rFonts w:eastAsia="Calibri"/>
                <w:szCs w:val="21"/>
              </w:rPr>
              <w:t xml:space="preserve">所在页码范围</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before="100" w:beforeAutospacing="1" w:line="240" w:lineRule="exact"/>
              <w:rPr>
                <w:sz w:val="24"/>
                <w:szCs w:val="24"/>
              </w:rPr>
            </w:pPr>
            <w:r>
              <w:rPr>
                <w:sz w:val="24"/>
                <w:szCs w:val="24"/>
              </w:rPr>
            </w:r>
            <w:r/>
          </w:p>
        </w:tc>
        <w:tc>
          <w:tcPr>
            <w:tcW w:w="992" w:type="dxa"/>
            <w:textDirection w:val="lrTb"/>
            <w:noWrap w:val="false"/>
          </w:tcPr>
          <w:p>
            <w:pPr>
              <w:spacing w:line="240" w:lineRule="exact"/>
              <w:rPr>
                <w:sz w:val="24"/>
                <w:szCs w:val="24"/>
              </w:rPr>
            </w:pPr>
            <w:r>
              <w:rPr>
                <w:sz w:val="24"/>
                <w:szCs w:val="24"/>
              </w:rPr>
            </w:r>
            <w:r/>
          </w:p>
        </w:tc>
        <w:tc>
          <w:tcPr>
            <w:tcW w:w="1418" w:type="dxa"/>
            <w:textDirection w:val="lrTb"/>
            <w:noWrap w:val="false"/>
          </w:tcPr>
          <w:p>
            <w:pPr>
              <w:spacing w:line="240" w:lineRule="exact"/>
              <w:rPr>
                <w:sz w:val="24"/>
                <w:szCs w:val="24"/>
              </w:rPr>
            </w:pPr>
            <w:r>
              <w:rPr>
                <w:sz w:val="24"/>
                <w:szCs w:val="24"/>
              </w:rPr>
            </w:r>
            <w:r/>
          </w:p>
        </w:tc>
        <w:tc>
          <w:tcPr>
            <w:tcW w:w="1134" w:type="dxa"/>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c>
          <w:tcPr>
            <w:tcW w:w="1418" w:type="dxa"/>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c>
          <w:tcPr>
            <w:tcW w:w="1418" w:type="dxa"/>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rPr>
          <w:rFonts w:hint="eastAsia"/>
          <w:szCs w:val="21"/>
        </w:rPr>
        <w:t xml:space="preserve">，建议</w:t>
      </w:r>
      <w:r>
        <w:rPr>
          <w:rFonts w:hint="eastAsia"/>
          <w:szCs w:val="21"/>
        </w:rPr>
        <w:t xml:space="preserve">圈</w:t>
      </w:r>
      <w:r>
        <w:rPr>
          <w:rFonts w:hint="eastAsia"/>
          <w:szCs w:val="21"/>
        </w:rPr>
        <w:t xml:space="preserve">画</w:t>
      </w:r>
      <w:r>
        <w:rPr>
          <w:rFonts w:hint="eastAsia"/>
          <w:szCs w:val="21"/>
        </w:rPr>
        <w:t xml:space="preserve">服务</w:t>
      </w:r>
      <w:r>
        <w:rPr>
          <w:rFonts w:hint="eastAsia"/>
          <w:szCs w:val="21"/>
        </w:rPr>
        <w:t xml:space="preserve">内容、签订时间、项目负责人</w:t>
      </w:r>
      <w:r>
        <w:rPr>
          <w:rFonts w:hint="eastAsia"/>
          <w:szCs w:val="21"/>
        </w:rPr>
        <w:t xml:space="preserve">等评分要点</w:t>
      </w:r>
      <w:r>
        <w:rPr>
          <w:rFonts w:hint="eastAsia"/>
          <w:szCs w:val="21"/>
        </w:rPr>
        <w:t xml:space="preserve">。</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spacing w:line="300" w:lineRule="exact"/>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spacing w:line="300" w:lineRule="exact"/>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2"/>
        <w:spacing w:line="36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2"/>
        <w:spacing w:line="36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6"/>
        <w:jc w:val="center"/>
        <w:spacing w:line="360" w:lineRule="exact"/>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spacing w:line="300" w:lineRule="exact"/>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726"/>
        <w:jc w:val="center"/>
        <w:spacing w:line="360" w:lineRule="exact"/>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00" w:lineRule="exact"/>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726"/>
        <w:jc w:val="center"/>
        <w:spacing w:line="360" w:lineRule="exact"/>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环境标志产品认证证书</w:t>
      </w:r>
      <w:r/>
    </w:p>
    <w:p>
      <w:pPr>
        <w:ind w:firstLine="440"/>
        <w:spacing w:line="300" w:lineRule="exact"/>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726"/>
        <w:jc w:val="center"/>
        <w:spacing w:line="360" w:lineRule="exact"/>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00" w:lineRule="exact"/>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6"/>
        <w:jc w:val="center"/>
        <w:spacing w:line="360" w:lineRule="exact"/>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rPr>
          <w:rFonts w:hint="eastAsia"/>
          <w:sz w:val="24"/>
        </w:rPr>
        <w:t xml:space="preserve">               </w:t>
      </w: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1.产品如有型号，请在“产品名称”栏一并填写。</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2.生产厂名与厂址应与生产厂营业执照载明的相关信息保持一致。</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3.该产品的中国境内生产的组件成本占比相关要求实施前，“规定比例”栏可不填，下同。</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4.该产品的关键组件要求实施前，“关键组件”栏可不填，下同。</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5.该产品的关键工序要求实施前，“关键工序”栏可不填，下同。</w:t>
      </w:r>
      <w:r/>
    </w:p>
    <w:p>
      <w:pPr>
        <w:spacing w:before="30" w:after="30" w:line="85" w:lineRule="atLeast"/>
        <w:shd w:val="clear" w:color="ffffff" w:fill="ffffff"/>
        <w:rPr>
          <w:sz w:val="21"/>
        </w:rPr>
        <w:pBdr>
          <w:top w:val="none" w:color="000000" w:sz="0" w:space="0"/>
          <w:left w:val="none" w:color="000000" w:sz="0" w:space="0"/>
          <w:bottom w:val="none" w:color="000000" w:sz="0" w:space="0"/>
          <w:right w:val="none" w:color="000000" w:sz="0" w:space="0"/>
        </w:pBdr>
      </w:pPr>
      <w:r>
        <w:t xml:space="preserve">6.《声明函》中标注“</w:t>
      </w:r>
      <w:r>
        <w:rPr>
          <w:u w:val="single"/>
        </w:rPr>
        <w:t xml:space="preserve">  /  </w:t>
      </w:r>
      <w: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F3590A5-95C7-4022-B62B-1A84E4262F33}">
  <ds:schemaRefs>
    <ds:schemaRef ds:uri="http://schemas.openxmlformats.org/officeDocument/2006/bibliography"/>
  </ds:schemaRefs>
</ds:datastoreItem>
</file>

<file path=customXml/itemProps2.xml><?xml version="1.0" encoding="utf-8"?>
<ds:datastoreItem xmlns:ds="http://schemas.openxmlformats.org/officeDocument/2006/customXml" ds:itemID="{41BAEEAE-F0B2-497B-ACDE-0A2BB24CFF93}">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273</cp:revision>
  <dcterms:created xsi:type="dcterms:W3CDTF">2026-07-28T03:00:00Z</dcterms:created>
  <dcterms:modified xsi:type="dcterms:W3CDTF">2026-09-21T01:45:58Z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