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p>
    <w:p>
      <w:pPr>
        <w:pStyle w:val="982"/>
        <w:jc w:val="center"/>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p>
    <w:p>
      <w:pPr>
        <w:pStyle w:val="982"/>
        <w:jc w:val="center"/>
        <w:rPr>
          <w:rFonts w:ascii="宋体" w:hAnsi="宋体" w:cs="宋体"/>
          <w:b/>
          <w:bCs/>
          <w:color w:val="000000" w:themeColor="text1"/>
          <w:sz w:val="44"/>
          <w:szCs w:val="44"/>
          <w:highlight w:val="none"/>
        </w:rPr>
      </w:pPr>
      <w:r>
        <w:rPr>
          <w:rFonts w:hint="eastAsia" w:ascii="宋体" w:hAnsi="宋体" w:cs="宋体"/>
          <w:b/>
          <w:bCs/>
          <w:color w:val="000000" w:themeColor="text1"/>
          <w:sz w:val="44"/>
          <w:szCs w:val="44"/>
          <w:highlight w:val="none"/>
        </w:rPr>
        <w:t xml:space="preserve">南京市儿童医院</w:t>
      </w:r>
      <w:r>
        <w:rPr>
          <w:rFonts w:ascii="宋体" w:hAnsi="宋体" w:cs="宋体"/>
          <w:b/>
          <w:bCs/>
          <w:color w:val="000000" w:themeColor="text1"/>
          <w:sz w:val="44"/>
          <w:szCs w:val="44"/>
          <w:highlight w:val="none"/>
        </w:rPr>
      </w:r>
      <w:r>
        <w:rPr>
          <w:color w:val="000000" w:themeColor="text1"/>
          <w:highlight w:val="none"/>
        </w:rPr>
      </w:r>
    </w:p>
    <w:p>
      <w:pPr>
        <w:pStyle w:val="982"/>
        <w:jc w:val="center"/>
        <w:rPr>
          <w:rFonts w:ascii="宋体" w:hAnsi="宋体" w:cs="宋体"/>
          <w:b/>
          <w:bCs/>
          <w:color w:val="000000" w:themeColor="text1"/>
          <w:sz w:val="36"/>
          <w:szCs w:val="36"/>
          <w:highlight w:val="none"/>
          <w:u w:val="single"/>
        </w:rPr>
      </w:pPr>
      <w:r>
        <w:rPr>
          <w:rFonts w:hint="eastAsia" w:ascii="宋体" w:hAnsi="宋体" w:cs="宋体"/>
          <w:b/>
          <w:bCs/>
          <w:color w:val="000000" w:themeColor="text1"/>
          <w:sz w:val="36"/>
          <w:szCs w:val="36"/>
          <w:highlight w:val="none"/>
          <w:u w:val="single"/>
        </w:rPr>
        <w:t xml:space="preserve">河西院区二期项目医疗家具采购项目</w:t>
      </w:r>
      <w:r>
        <w:rPr>
          <w:rFonts w:ascii="宋体" w:hAnsi="宋体" w:cs="宋体"/>
          <w:b/>
          <w:bCs/>
          <w:color w:val="000000" w:themeColor="text1"/>
          <w:sz w:val="36"/>
          <w:szCs w:val="36"/>
          <w:highlight w:val="none"/>
          <w:u w:val="single"/>
        </w:rPr>
      </w:r>
      <w:r>
        <w:rPr>
          <w:color w:val="000000" w:themeColor="text1"/>
          <w:highlight w:val="none"/>
        </w:rPr>
      </w:r>
    </w:p>
    <w:p>
      <w:pPr>
        <w:pStyle w:val="982"/>
        <w:jc w:val="center"/>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p>
    <w:p>
      <w:pPr>
        <w:pStyle w:val="982"/>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82"/>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82"/>
        <w:jc w:val="center"/>
        <w:rPr>
          <w:rFonts w:ascii="宋体" w:hAnsi="宋体" w:cs="宋体"/>
          <w:b/>
          <w:bCs/>
          <w:color w:val="000000" w:themeColor="text1"/>
          <w:sz w:val="96"/>
          <w:highlight w:val="none"/>
        </w:rPr>
      </w:pPr>
      <w:r>
        <w:rPr>
          <w:rFonts w:hint="eastAsia" w:ascii="宋体" w:hAnsi="宋体" w:cs="宋体"/>
          <w:b/>
          <w:bCs/>
          <w:color w:val="000000" w:themeColor="text1"/>
          <w:sz w:val="96"/>
          <w:szCs w:val="72"/>
          <w:highlight w:val="none"/>
        </w:rPr>
        <w:t xml:space="preserve">招标文件</w:t>
      </w:r>
      <w:r>
        <w:rPr>
          <w:rFonts w:ascii="宋体" w:hAnsi="宋体" w:cs="宋体"/>
          <w:b/>
          <w:bCs/>
          <w:color w:val="000000" w:themeColor="text1"/>
          <w:sz w:val="96"/>
          <w:highlight w:val="none"/>
        </w:rPr>
      </w:r>
      <w:r>
        <w:rPr>
          <w:color w:val="000000" w:themeColor="text1"/>
          <w:highlight w:val="none"/>
        </w:rPr>
      </w:r>
    </w:p>
    <w:p>
      <w:pPr>
        <w:pStyle w:val="982"/>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82"/>
        <w:jc w:val="center"/>
        <w:rPr>
          <w:rFonts w:hint="eastAsia" w:ascii="宋体" w:hAnsi="宋体" w:eastAsia="宋体" w:cs="宋体"/>
          <w:b/>
          <w:bCs/>
          <w:color w:val="000000" w:themeColor="text1"/>
          <w:sz w:val="36"/>
          <w:highlight w:val="none"/>
        </w:rPr>
      </w:pPr>
      <w:r>
        <w:rPr>
          <w:rFonts w:hint="eastAsia" w:ascii="宋体" w:hAnsi="宋体" w:cs="宋体"/>
          <w:b/>
          <w:bCs/>
          <w:color w:val="000000" w:themeColor="text1"/>
          <w:sz w:val="36"/>
          <w:highlight w:val="none"/>
        </w:rPr>
        <w:t xml:space="preserve">项目编号：</w:t>
      </w:r>
      <w:r>
        <w:rPr>
          <w:rFonts w:hint="eastAsia" w:ascii="宋体" w:hAnsi="宋体" w:cs="宋体"/>
          <w:b/>
          <w:bCs/>
          <w:color w:val="000000" w:themeColor="text1"/>
          <w:sz w:val="36"/>
          <w:highlight w:val="none"/>
          <w:lang w:eastAsia="zh-CN"/>
        </w:rPr>
        <w:t xml:space="preserve">JSZC-320100-SOHO-G2026-0080</w:t>
      </w:r>
      <w:r>
        <w:rPr>
          <w:rFonts w:hint="eastAsia" w:ascii="宋体" w:hAnsi="宋体" w:eastAsia="宋体" w:cs="宋体"/>
          <w:b/>
          <w:bCs/>
          <w:color w:val="000000" w:themeColor="text1"/>
          <w:sz w:val="36"/>
          <w:highlight w:val="none"/>
          <w:lang w:eastAsia="zh-CN"/>
        </w:rPr>
      </w:r>
      <w:r>
        <w:rPr>
          <w:color w:val="000000" w:themeColor="text1"/>
          <w:highlight w:val="none"/>
        </w:rPr>
      </w:r>
    </w:p>
    <w:p>
      <w:pPr>
        <w:pStyle w:val="1060"/>
        <w:ind w:firstLine="210"/>
        <w:rPr>
          <w:color w:val="000000" w:themeColor="text1"/>
          <w:highlight w:val="none"/>
        </w:rPr>
      </w:pPr>
      <w:r>
        <w:rPr>
          <w:color w:val="000000" w:themeColor="text1"/>
          <w:highlight w:val="none"/>
        </w:rPr>
      </w:r>
      <w:r>
        <w:rPr>
          <w:color w:val="000000" w:themeColor="text1"/>
          <w:highlight w:val="none"/>
        </w:rPr>
      </w:r>
    </w:p>
    <w:p>
      <w:pPr>
        <w:pStyle w:val="1060"/>
        <w:ind w:firstLine="210"/>
        <w:rPr>
          <w:color w:val="000000" w:themeColor="text1"/>
          <w:highlight w:val="none"/>
        </w:rPr>
      </w:pPr>
      <w:r>
        <w:rPr>
          <w:color w:val="000000" w:themeColor="text1"/>
          <w:highlight w:val="none"/>
        </w:rPr>
      </w:r>
      <w:r>
        <w:rPr>
          <w:color w:val="000000" w:themeColor="text1"/>
          <w:highlight w:val="none"/>
        </w:rPr>
      </w:r>
    </w:p>
    <w:p>
      <w:pPr>
        <w:pStyle w:val="982"/>
        <w:jc w:val="center"/>
        <w:rPr>
          <w:rFonts w:ascii="宋体" w:hAnsi="宋体" w:cs="宋体"/>
          <w:b/>
          <w:bCs/>
          <w:color w:val="000000" w:themeColor="text1"/>
          <w:sz w:val="36"/>
          <w:highlight w:val="none"/>
        </w:rPr>
      </w:pPr>
      <w:r>
        <w:rPr>
          <w:rFonts w:eastAsia="Times New Roman"/>
          <w:color w:val="000000" w:themeColor="text1"/>
          <w:szCs w:val="21"/>
          <w:highlight w:val="none"/>
        </w:rPr>
        <mc:AlternateContent>
          <mc:Choice Requires="wpg">
            <w:drawing>
              <wp:inline xmlns:wp="http://schemas.openxmlformats.org/drawingml/2006/wordprocessingDrawing" distT="0" distB="0" distL="0" distR="0">
                <wp:extent cx="1365085" cy="135346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365085" cy="1353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7.5pt;height:106.6pt;mso-wrap-distance-left:0.0pt;mso-wrap-distance-top:0.0pt;mso-wrap-distance-right:0.0pt;mso-wrap-distance-bottom:0.0pt;" stroked="f">
                <v:path textboxrect="0,0,0,0"/>
                <v:imagedata r:id="rId18" o:title=""/>
              </v:shape>
            </w:pict>
          </mc:Fallback>
        </mc:AlternateContent>
      </w:r>
      <w:r>
        <w:rPr>
          <w:rFonts w:ascii="宋体" w:hAnsi="宋体" w:cs="宋体"/>
          <w:b/>
          <w:bCs/>
          <w:color w:val="000000" w:themeColor="text1"/>
          <w:sz w:val="36"/>
          <w:highlight w:val="none"/>
        </w:rPr>
      </w:r>
      <w:r>
        <w:rPr>
          <w:color w:val="000000" w:themeColor="text1"/>
          <w:highlight w:val="none"/>
        </w:rPr>
      </w:r>
    </w:p>
    <w:p>
      <w:pPr>
        <w:pStyle w:val="982"/>
        <w:jc w:val="center"/>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82"/>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82"/>
        <w:rPr>
          <w:rFonts w:ascii="宋体" w:hAnsi="宋体" w:cs="宋体"/>
          <w:b/>
          <w:bCs/>
          <w:color w:val="000000" w:themeColor="text1"/>
          <w:sz w:val="36"/>
          <w:highlight w:val="none"/>
        </w:rPr>
      </w:pPr>
      <w:r>
        <w:rPr>
          <w:rFonts w:ascii="宋体" w:hAnsi="宋体" w:cs="宋体"/>
          <w:b/>
          <w:bCs/>
          <w:color w:val="000000" w:themeColor="text1"/>
          <w:sz w:val="36"/>
          <w:highlight w:val="none"/>
        </w:rPr>
      </w:r>
      <w:r>
        <w:rPr>
          <w:color w:val="000000" w:themeColor="text1"/>
          <w:highlight w:val="none"/>
        </w:rPr>
      </w:r>
    </w:p>
    <w:p>
      <w:pPr>
        <w:pStyle w:val="982"/>
        <w:jc w:val="center"/>
        <w:rPr>
          <w:rFonts w:ascii="宋体" w:hAnsi="宋体" w:cs="宋体"/>
          <w:b/>
          <w:color w:val="000000" w:themeColor="text1"/>
          <w:sz w:val="36"/>
          <w:szCs w:val="30"/>
          <w:highlight w:val="none"/>
        </w:rPr>
      </w:pPr>
      <w:r>
        <w:rPr>
          <w:rFonts w:hint="eastAsia" w:ascii="宋体" w:hAnsi="宋体" w:cs="宋体"/>
          <w:b/>
          <w:color w:val="000000" w:themeColor="text1"/>
          <w:sz w:val="36"/>
          <w:szCs w:val="30"/>
          <w:highlight w:val="none"/>
        </w:rPr>
        <w:t xml:space="preserve">江苏苏豪创新科技集团有限公司</w:t>
      </w:r>
      <w:r>
        <w:rPr>
          <w:rFonts w:ascii="宋体" w:hAnsi="宋体" w:cs="宋体"/>
          <w:b/>
          <w:color w:val="000000" w:themeColor="text1"/>
          <w:sz w:val="36"/>
          <w:szCs w:val="30"/>
          <w:highlight w:val="none"/>
        </w:rPr>
      </w:r>
      <w:r>
        <w:rPr>
          <w:color w:val="000000" w:themeColor="text1"/>
          <w:highlight w:val="none"/>
        </w:rPr>
      </w:r>
    </w:p>
    <w:p>
      <w:pPr>
        <w:pStyle w:val="982"/>
        <w:jc w:val="center"/>
        <w:rPr>
          <w:rFonts w:ascii="宋体" w:hAnsi="宋体" w:cs="宋体"/>
          <w:b/>
          <w:bCs/>
          <w:color w:val="000000" w:themeColor="text1"/>
          <w:spacing w:val="40"/>
          <w:sz w:val="36"/>
          <w:szCs w:val="30"/>
          <w:highlight w:val="none"/>
        </w:rPr>
        <w:sectPr>
          <w:headerReference w:type="default" r:id="rId9"/>
          <w:headerReference w:type="first" r:id="rId10"/>
          <w:footerReference w:type="default" r:id="rId14"/>
          <w:footnotePr/>
          <w:endnotePr/>
          <w:type w:val="nextPage"/>
          <w:pgSz w:w="11906" w:h="16838" w:orient="portrait"/>
          <w:pgMar w:top="1134" w:right="1417" w:bottom="850" w:left="1417" w:header="850" w:footer="992" w:gutter="0"/>
          <w:cols w:num="1" w:sep="0" w:space="1701" w:equalWidth="1"/>
          <w:docGrid w:linePitch="360"/>
        </w:sectPr>
      </w:pPr>
      <w:r>
        <w:rPr>
          <w:rFonts w:hint="eastAsia" w:ascii="宋体" w:hAnsi="宋体" w:cs="宋体"/>
          <w:b/>
          <w:bCs/>
          <w:color w:val="000000" w:themeColor="text1"/>
          <w:spacing w:val="40"/>
          <w:sz w:val="36"/>
          <w:szCs w:val="30"/>
          <w:highlight w:val="none"/>
        </w:rPr>
        <w:t xml:space="preserve">二○二六年十月</w:t>
      </w:r>
      <w:r>
        <w:rPr>
          <w:rFonts w:ascii="宋体" w:hAnsi="宋体" w:cs="宋体"/>
          <w:b/>
          <w:bCs/>
          <w:color w:val="000000" w:themeColor="text1"/>
          <w:spacing w:val="40"/>
          <w:sz w:val="36"/>
          <w:szCs w:val="30"/>
          <w:highlight w:val="none"/>
        </w:rPr>
      </w:r>
      <w:r>
        <w:rPr>
          <w:color w:val="000000" w:themeColor="text1"/>
          <w:highlight w:val="none"/>
        </w:rPr>
      </w:r>
    </w:p>
    <w:p>
      <w:pPr>
        <w:pStyle w:val="982"/>
        <w:jc w:val="center"/>
        <w:rPr>
          <w:rFonts w:ascii="宋体" w:hAnsi="宋体" w:cs="宋体"/>
          <w:color w:val="000000" w:themeColor="text1"/>
          <w:sz w:val="32"/>
          <w:szCs w:val="32"/>
          <w:highlight w:val="none"/>
        </w:rPr>
        <w:outlineLvl w:val="0"/>
      </w:pPr>
      <w:r>
        <w:rPr>
          <w:color w:val="000000" w:themeColor="text1"/>
          <w:highlight w:val="none"/>
        </w:rPr>
      </w:r>
      <w:bookmarkStart w:id="0" w:name="_Toc15549"/>
      <w:r>
        <w:rPr>
          <w:rFonts w:hint="eastAsia" w:ascii="宋体" w:hAnsi="宋体" w:cs="宋体"/>
          <w:b/>
          <w:color w:val="000000" w:themeColor="text1"/>
          <w:sz w:val="32"/>
          <w:szCs w:val="32"/>
          <w:highlight w:val="none"/>
        </w:rPr>
        <w:t xml:space="preserve">目  录</w:t>
      </w:r>
      <w:bookmarkEnd w:id="0"/>
      <w:r>
        <w:rPr>
          <w:rFonts w:ascii="宋体" w:hAnsi="宋体" w:cs="宋体"/>
          <w:color w:val="000000" w:themeColor="text1"/>
          <w:sz w:val="32"/>
          <w:szCs w:val="32"/>
          <w:highlight w:val="none"/>
        </w:rPr>
      </w:r>
      <w:r>
        <w:rPr>
          <w:color w:val="000000" w:themeColor="text1"/>
          <w:highlight w:val="none"/>
        </w:rPr>
      </w:r>
    </w:p>
    <w:p>
      <w:pPr>
        <w:pStyle w:val="982"/>
        <w:ind w:firstLine="422"/>
        <w:rPr>
          <w:rFonts w:ascii="宋体" w:hAnsi="宋体" w:cs="宋体"/>
          <w:b/>
          <w:color w:val="000000" w:themeColor="text1"/>
          <w:highlight w:val="none"/>
        </w:rPr>
      </w:pPr>
      <w:r>
        <w:rPr>
          <w:rFonts w:ascii="宋体" w:hAnsi="宋体" w:cs="宋体"/>
          <w:b/>
          <w:color w:val="000000" w:themeColor="text1"/>
          <w:highlight w:val="none"/>
        </w:rPr>
      </w:r>
      <w:r>
        <w:rPr>
          <w:color w:val="000000" w:themeColor="text1"/>
          <w:highlight w:val="none"/>
        </w:rPr>
      </w:r>
    </w:p>
    <w:p>
      <w:pPr>
        <w:pStyle w:val="98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第一章  投标邀请</w:t>
      </w:r>
      <w:r>
        <w:rPr>
          <w:rFonts w:hint="eastAsia" w:ascii="宋体" w:hAnsi="宋体" w:cs="宋体"/>
          <w:b/>
          <w:bCs/>
          <w:color w:val="000000" w:themeColor="text1"/>
          <w:sz w:val="28"/>
          <w:szCs w:val="28"/>
          <w:highlight w:val="none"/>
        </w:rPr>
      </w:r>
      <w:r>
        <w:rPr>
          <w:color w:val="000000" w:themeColor="text1"/>
          <w:highlight w:val="none"/>
        </w:rPr>
      </w:r>
    </w:p>
    <w:p>
      <w:pPr>
        <w:pStyle w:val="98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第二章  投标人须知</w:t>
      </w:r>
      <w:r>
        <w:rPr>
          <w:rFonts w:hint="eastAsia" w:ascii="宋体" w:hAnsi="宋体" w:cs="宋体"/>
          <w:b/>
          <w:bCs/>
          <w:color w:val="000000" w:themeColor="text1"/>
          <w:sz w:val="28"/>
          <w:szCs w:val="28"/>
          <w:highlight w:val="none"/>
        </w:rPr>
      </w:r>
      <w:r>
        <w:rPr>
          <w:color w:val="000000" w:themeColor="text1"/>
          <w:highlight w:val="none"/>
        </w:rPr>
      </w:r>
    </w:p>
    <w:p>
      <w:pPr>
        <w:pStyle w:val="98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第三章  合同文本</w:t>
      </w:r>
      <w:r>
        <w:rPr>
          <w:rFonts w:hint="eastAsia" w:ascii="宋体" w:hAnsi="宋体" w:cs="宋体"/>
          <w:b/>
          <w:bCs/>
          <w:color w:val="000000" w:themeColor="text1"/>
          <w:sz w:val="28"/>
          <w:szCs w:val="28"/>
          <w:highlight w:val="none"/>
        </w:rPr>
      </w:r>
      <w:r>
        <w:rPr>
          <w:color w:val="000000" w:themeColor="text1"/>
          <w:highlight w:val="none"/>
        </w:rPr>
      </w:r>
    </w:p>
    <w:p>
      <w:pPr>
        <w:pStyle w:val="98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第四章  采购需求</w:t>
      </w:r>
      <w:r>
        <w:rPr>
          <w:rFonts w:hint="eastAsia" w:ascii="宋体" w:hAnsi="宋体" w:cs="宋体"/>
          <w:b/>
          <w:bCs/>
          <w:color w:val="000000" w:themeColor="text1"/>
          <w:sz w:val="28"/>
          <w:szCs w:val="28"/>
          <w:highlight w:val="none"/>
        </w:rPr>
      </w:r>
      <w:r>
        <w:rPr>
          <w:color w:val="000000" w:themeColor="text1"/>
          <w:highlight w:val="none"/>
        </w:rPr>
      </w:r>
    </w:p>
    <w:p>
      <w:pPr>
        <w:pStyle w:val="98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第五章  评标方法与评标标准</w:t>
      </w:r>
      <w:r>
        <w:rPr>
          <w:rFonts w:hint="eastAsia" w:ascii="宋体" w:hAnsi="宋体" w:cs="宋体"/>
          <w:b/>
          <w:bCs/>
          <w:color w:val="000000" w:themeColor="text1"/>
          <w:sz w:val="28"/>
          <w:szCs w:val="28"/>
          <w:highlight w:val="none"/>
        </w:rPr>
      </w:r>
      <w:r>
        <w:rPr>
          <w:color w:val="000000" w:themeColor="text1"/>
          <w:highlight w:val="none"/>
        </w:rPr>
      </w:r>
    </w:p>
    <w:p>
      <w:pPr>
        <w:pStyle w:val="982"/>
        <w:rPr>
          <w:rFonts w:hint="eastAsia"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 xml:space="preserve">第六章  投标文件格式</w:t>
      </w:r>
      <w:r>
        <w:rPr>
          <w:rFonts w:hint="eastAsia" w:ascii="宋体" w:hAnsi="宋体" w:cs="宋体"/>
          <w:b/>
          <w:bCs/>
          <w:color w:val="000000" w:themeColor="text1"/>
          <w:sz w:val="28"/>
          <w:szCs w:val="28"/>
          <w:highlight w:val="none"/>
        </w:rPr>
      </w:r>
      <w:r>
        <w:rPr>
          <w:color w:val="000000" w:themeColor="text1"/>
          <w:highlight w:val="none"/>
        </w:rPr>
      </w:r>
    </w:p>
    <w:p>
      <w:pPr>
        <w:pStyle w:val="1038"/>
        <w:tabs>
          <w:tab w:val="right" w:pos="9072" w:leader="dot"/>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20"/>
        <w:rPr>
          <w:rFonts w:ascii="宋体" w:hAnsi="宋体" w:cs="宋体"/>
          <w:color w:val="000000" w:themeColor="text1"/>
          <w:highlight w:val="none"/>
        </w:rPr>
        <w:sectPr>
          <w:headerReference w:type="default" r:id="rId11"/>
          <w:footerReference w:type="default" r:id="rId15"/>
          <w:footnotePr/>
          <w:endnotePr/>
          <w:type w:val="nextPage"/>
          <w:pgSz w:w="11906" w:h="16838" w:orient="portrait"/>
          <w:pgMar w:top="1134" w:right="1417" w:bottom="850" w:left="1417" w:header="850" w:footer="992" w:gutter="0"/>
          <w:cols w:num="1" w:sep="0" w:space="1701" w:equalWidth="1"/>
          <w:docGrid w:linePitch="360"/>
        </w:sectPr>
      </w:pPr>
      <w:r>
        <w:rPr>
          <w:rFonts w:ascii="宋体" w:hAnsi="宋体" w:cs="宋体"/>
          <w:color w:val="000000" w:themeColor="text1"/>
          <w:highlight w:val="none"/>
        </w:rPr>
      </w:r>
      <w:r>
        <w:rPr>
          <w:color w:val="000000" w:themeColor="text1"/>
          <w:highlight w:val="none"/>
        </w:rPr>
      </w:r>
    </w:p>
    <w:p>
      <w:pPr>
        <w:pStyle w:val="982"/>
        <w:jc w:val="center"/>
        <w:rPr>
          <w:rFonts w:ascii="宋体" w:hAnsi="宋体" w:cs="宋体"/>
          <w:b/>
          <w:color w:val="000000" w:themeColor="text1"/>
          <w:sz w:val="32"/>
          <w:szCs w:val="32"/>
          <w:highlight w:val="none"/>
        </w:rPr>
        <w:outlineLvl w:val="0"/>
      </w:pPr>
      <w:r>
        <w:rPr>
          <w:color w:val="000000" w:themeColor="text1"/>
          <w:highlight w:val="none"/>
        </w:rPr>
      </w:r>
      <w:bookmarkStart w:id="1" w:name="_Toc2975"/>
      <w:r>
        <w:rPr>
          <w:rFonts w:hint="eastAsia" w:ascii="宋体" w:hAnsi="宋体" w:cs="宋体"/>
          <w:b/>
          <w:color w:val="000000" w:themeColor="text1"/>
          <w:sz w:val="32"/>
          <w:szCs w:val="32"/>
          <w:highlight w:val="none"/>
        </w:rPr>
        <w:t xml:space="preserve">第一章  投标邀请</w:t>
      </w:r>
      <w:bookmarkEnd w:id="1"/>
      <w:r>
        <w:rPr>
          <w:rFonts w:ascii="宋体" w:hAnsi="宋体" w:cs="宋体"/>
          <w:b/>
          <w:color w:val="000000" w:themeColor="text1"/>
          <w:sz w:val="32"/>
          <w:szCs w:val="32"/>
          <w:highlight w:val="none"/>
        </w:rPr>
      </w:r>
      <w:r>
        <w:rPr>
          <w:color w:val="000000" w:themeColor="text1"/>
          <w:highlight w:val="none"/>
        </w:rPr>
      </w:r>
    </w:p>
    <w:p>
      <w:pPr>
        <w:pStyle w:val="982"/>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0"/>
        <w:rPr>
          <w:rFonts w:ascii="宋体" w:hAnsi="宋体" w:cs="宋体"/>
          <w:color w:val="000000" w:themeColor="text1"/>
          <w:sz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000000" w:themeColor="text1"/>
          <w:sz w:val="24"/>
          <w:highlight w:val="none"/>
        </w:rPr>
        <w:t xml:space="preserve">项目概况：</w:t>
      </w:r>
      <w:r>
        <w:rPr>
          <w:rFonts w:hint="eastAsia" w:ascii="宋体" w:hAnsi="宋体" w:cs="宋体"/>
          <w:b/>
          <w:bCs/>
          <w:color w:val="000000" w:themeColor="text1"/>
          <w:sz w:val="24"/>
          <w:highlight w:val="none"/>
          <w:u w:val="single"/>
        </w:rPr>
        <w:t xml:space="preserve">南京市儿童医院河西院区二期项目医疗家具</w:t>
      </w:r>
      <w:r>
        <w:rPr>
          <w:rFonts w:hint="eastAsia" w:ascii="宋体" w:hAnsi="宋体" w:cs="宋体"/>
          <w:color w:val="000000" w:themeColor="text1"/>
          <w:sz w:val="24"/>
          <w:highlight w:val="none"/>
        </w:rPr>
        <w:t xml:space="preserve">招标项目的潜在投标人应在</w:t>
      </w:r>
      <w:r>
        <w:rPr>
          <w:rFonts w:hint="eastAsia" w:ascii="宋体" w:hAnsi="宋体" w:cs="宋体"/>
          <w:color w:val="000000" w:themeColor="text1"/>
          <w:sz w:val="24"/>
          <w:highlight w:val="none"/>
          <w:u w:val="single"/>
        </w:rPr>
        <w:t xml:space="preserve">“江苏政府采购网”自行免费下载</w:t>
      </w:r>
      <w:r>
        <w:rPr>
          <w:rFonts w:hint="eastAsia" w:ascii="宋体" w:hAnsi="宋体" w:cs="宋体"/>
          <w:color w:val="000000" w:themeColor="text1"/>
          <w:sz w:val="24"/>
          <w:highlight w:val="none"/>
        </w:rPr>
        <w:t xml:space="preserve">招标文件获取招标文件，并于</w:t>
      </w:r>
      <w:r>
        <w:rPr>
          <w:rFonts w:hint="eastAsia" w:ascii="宋体" w:hAnsi="宋体" w:cs="宋体"/>
          <w:b/>
          <w:bCs/>
          <w:color w:val="000000" w:themeColor="text1"/>
          <w:sz w:val="24"/>
          <w:highlight w:val="none"/>
          <w:u w:val="single"/>
        </w:rPr>
        <w:t xml:space="preserve">2026年11月19日13点3</w:t>
      </w:r>
      <w:r>
        <w:rPr>
          <w:rFonts w:ascii="宋体" w:hAnsi="宋体" w:cs="宋体"/>
          <w:b/>
          <w:bCs/>
          <w:color w:val="000000" w:themeColor="text1"/>
          <w:sz w:val="24"/>
          <w:highlight w:val="none"/>
          <w:u w:val="single"/>
        </w:rPr>
        <w:t xml:space="preserve">0</w:t>
      </w:r>
      <w:r>
        <w:rPr>
          <w:rFonts w:hint="eastAsia" w:ascii="宋体" w:hAnsi="宋体" w:cs="宋体"/>
          <w:b/>
          <w:bCs/>
          <w:color w:val="000000" w:themeColor="text1"/>
          <w:sz w:val="24"/>
          <w:highlight w:val="none"/>
          <w:u w:val="single"/>
        </w:rPr>
        <w:t xml:space="preserve">分</w:t>
      </w:r>
      <w:r>
        <w:rPr>
          <w:rFonts w:hint="eastAsia" w:ascii="宋体" w:hAnsi="宋体" w:cs="宋体"/>
          <w:b/>
          <w:bCs/>
          <w:color w:val="000000" w:themeColor="text1"/>
          <w:sz w:val="24"/>
          <w:highlight w:val="none"/>
        </w:rPr>
        <w:t xml:space="preserve">（北京时间）</w:t>
      </w:r>
      <w:r>
        <w:rPr>
          <w:rFonts w:hint="eastAsia" w:ascii="宋体" w:hAnsi="宋体" w:cs="宋体"/>
          <w:bCs/>
          <w:color w:val="000000" w:themeColor="text1"/>
          <w:sz w:val="24"/>
          <w:highlight w:val="none"/>
        </w:rPr>
        <w:t xml:space="preserve">前递交投标文件</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8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 w:name="_Toc28359079"/>
      <w:r>
        <w:rPr>
          <w:color w:val="000000" w:themeColor="text1"/>
          <w:highlight w:val="none"/>
        </w:rPr>
      </w:r>
      <w:bookmarkStart w:id="3" w:name="_Toc35393621"/>
      <w:r>
        <w:rPr>
          <w:color w:val="000000" w:themeColor="text1"/>
          <w:highlight w:val="none"/>
        </w:rPr>
      </w:r>
      <w:bookmarkStart w:id="4" w:name="_Toc9002"/>
      <w:r>
        <w:rPr>
          <w:color w:val="000000" w:themeColor="text1"/>
          <w:highlight w:val="none"/>
        </w:rPr>
      </w:r>
      <w:bookmarkStart w:id="5" w:name="_Toc35393790"/>
      <w:r>
        <w:rPr>
          <w:color w:val="000000" w:themeColor="text1"/>
          <w:highlight w:val="none"/>
        </w:rPr>
      </w:r>
      <w:bookmarkStart w:id="6" w:name="_Toc28359002"/>
      <w:r>
        <w:rPr>
          <w:color w:val="000000" w:themeColor="text1"/>
          <w:highlight w:val="none"/>
        </w:rPr>
      </w:r>
      <w:bookmarkStart w:id="7" w:name="_Hlk24379207"/>
      <w:r>
        <w:rPr>
          <w:rFonts w:hint="eastAsia" w:ascii="宋体" w:hAnsi="宋体" w:cs="宋体"/>
          <w:b/>
          <w:color w:val="000000" w:themeColor="text1"/>
          <w:sz w:val="24"/>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rFonts w:ascii="宋体" w:hAnsi="宋体" w:cs="宋体"/>
          <w:b/>
          <w:color w:val="000000" w:themeColor="text1"/>
          <w:sz w:val="24"/>
          <w:highlight w:val="none"/>
        </w:rPr>
      </w:r>
      <w:r>
        <w:rPr>
          <w:color w:val="000000" w:themeColor="text1"/>
          <w:highlight w:val="none"/>
        </w:rPr>
      </w:r>
    </w:p>
    <w:p>
      <w:pPr>
        <w:pStyle w:val="982"/>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1、项目编号：</w:t>
      </w:r>
      <w:r>
        <w:rPr>
          <w:rFonts w:hint="eastAsia" w:ascii="宋体" w:hAnsi="宋体" w:cs="宋体"/>
          <w:color w:val="000000" w:themeColor="text1"/>
          <w:sz w:val="24"/>
          <w:highlight w:val="none"/>
          <w:lang w:eastAsia="zh-CN"/>
        </w:rPr>
        <w:t xml:space="preserve">JSZC-320100-SOHO-G2026-0080</w:t>
      </w:r>
      <w:r>
        <w:rPr>
          <w:rFonts w:hint="eastAsia" w:ascii="宋体" w:hAnsi="宋体" w:eastAsia="宋体" w:cs="宋体"/>
          <w:color w:val="000000" w:themeColor="text1"/>
          <w:sz w:val="24"/>
          <w:highlight w:val="none"/>
          <w:lang w:eastAsia="zh-CN"/>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2、项目名称：河西院区二期项目医疗家具采购项目</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color w:val="000000" w:themeColor="text1"/>
          <w:highlight w:val="none"/>
        </w:rPr>
      </w:r>
      <w:bookmarkEnd w:id="7"/>
      <w:r>
        <w:rPr>
          <w:rFonts w:hint="eastAsia" w:ascii="宋体" w:hAnsi="宋体" w:cs="宋体"/>
          <w:color w:val="000000" w:themeColor="text1"/>
          <w:sz w:val="24"/>
          <w:highlight w:val="none"/>
        </w:rPr>
        <w:t xml:space="preserve">3、预算金额：600万元人民币</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color w:val="000000" w:themeColor="text1"/>
          <w:highlight w:val="none"/>
        </w:rPr>
      </w:pPr>
      <w:r>
        <w:rPr>
          <w:rFonts w:hint="eastAsia" w:ascii="宋体" w:hAnsi="宋体" w:cs="宋体"/>
          <w:color w:val="000000" w:themeColor="text1"/>
          <w:sz w:val="24"/>
          <w:highlight w:val="none"/>
        </w:rPr>
        <w:t xml:space="preserve">4、最高限价：600万元人民币</w:t>
      </w:r>
      <w:r>
        <w:rPr>
          <w:rFonts w:hint="eastAsia"/>
          <w:color w:val="000000" w:themeColor="text1"/>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5、采购需求简介：</w:t>
      </w:r>
      <w:r>
        <w:rPr>
          <w:rFonts w:ascii="宋体" w:hAnsi="宋体" w:cs="宋体"/>
          <w:color w:val="000000" w:themeColor="text1"/>
          <w:sz w:val="24"/>
          <w:highlight w:val="none"/>
        </w:rPr>
      </w:r>
      <w:r>
        <w:rPr>
          <w:color w:val="000000" w:themeColor="text1"/>
          <w:highlight w:val="none"/>
        </w:rPr>
      </w:r>
    </w:p>
    <w:tbl>
      <w:tblPr>
        <w:tblW w:w="549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3102"/>
        <w:gridCol w:w="1167"/>
        <w:gridCol w:w="1130"/>
        <w:gridCol w:w="1779"/>
        <w:gridCol w:w="2421"/>
      </w:tblGrid>
      <w:tr>
        <w:trPr>
          <w:trHeight w:val="966"/>
        </w:trPr>
        <w:tc>
          <w:tcPr>
            <w:tcW w:w="293"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520"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tcW w:w="871"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ascii="宋体" w:hAnsi="宋体" w:cs="宋体"/>
                <w:color w:val="000000" w:themeColor="text1"/>
                <w:sz w:val="24"/>
                <w:szCs w:val="24"/>
                <w:highlight w:val="none"/>
              </w:rPr>
            </w:r>
            <w:r>
              <w:rPr>
                <w:color w:val="000000" w:themeColor="text1"/>
                <w:highlight w:val="none"/>
              </w:rPr>
            </w:r>
          </w:p>
        </w:tc>
        <w:tc>
          <w:tcPr>
            <w:tcW w:w="1186"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手动病床1（核心产品）</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868</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4100</w:t>
            </w:r>
            <w:r>
              <w:rPr>
                <w:rFonts w:ascii="宋体" w:hAnsi="宋体" w:cs="宋体"/>
                <w:color w:val="000000" w:themeColor="text1"/>
                <w:sz w:val="24"/>
                <w:szCs w:val="24"/>
                <w:highlight w:val="none"/>
              </w:rPr>
            </w:r>
            <w:r>
              <w:rPr>
                <w:color w:val="000000" w:themeColor="text1"/>
                <w:highlight w:val="none"/>
              </w:rPr>
            </w:r>
          </w:p>
        </w:tc>
        <w:tc>
          <w:tcPr>
            <w:tcW w:w="1186"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第一类医疗器械</w:t>
            </w: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输液吊杆</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868</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根</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150</w:t>
            </w:r>
            <w:r>
              <w:rPr>
                <w:rFonts w:ascii="宋体" w:hAnsi="宋体" w:cs="宋体"/>
                <w:color w:val="000000" w:themeColor="text1"/>
                <w:sz w:val="24"/>
                <w:szCs w:val="24"/>
                <w:highlight w:val="none"/>
              </w:rPr>
            </w:r>
            <w:r>
              <w:rPr>
                <w:color w:val="000000" w:themeColor="text1"/>
                <w:highlight w:val="none"/>
              </w:rPr>
            </w:r>
          </w:p>
        </w:tc>
        <w:tc>
          <w:tcPr>
            <w:tcW w:w="1186" w:type="dxa"/>
            <w:vAlign w:val="center"/>
            <w:textDirection w:val="lrTb"/>
            <w:noWrap/>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手动病床2</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113</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4100</w:t>
            </w:r>
            <w:r>
              <w:rPr>
                <w:rFonts w:ascii="宋体" w:hAnsi="宋体" w:cs="宋体"/>
                <w:color w:val="000000" w:themeColor="text1"/>
                <w:sz w:val="24"/>
                <w:szCs w:val="24"/>
                <w:highlight w:val="none"/>
              </w:rPr>
            </w:r>
            <w:r>
              <w:rPr>
                <w:color w:val="000000" w:themeColor="text1"/>
                <w:highlight w:val="none"/>
              </w:rPr>
            </w:r>
          </w:p>
        </w:tc>
        <w:tc>
          <w:tcPr>
            <w:tcW w:w="1186" w:type="dxa"/>
            <w:vAlign w:val="center"/>
            <w:textDirection w:val="lrTb"/>
            <w:noWrap/>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第一类医疗器械</w:t>
            </w:r>
            <w:r>
              <w:rPr>
                <w:rFonts w:hint="eastAsia" w:ascii="宋体" w:hAnsi="宋体" w:cs="宋体"/>
                <w:bCs/>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手动病床3</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4800</w:t>
            </w:r>
            <w:r>
              <w:rPr>
                <w:rFonts w:ascii="宋体" w:hAnsi="宋体" w:cs="宋体"/>
                <w:color w:val="000000" w:themeColor="text1"/>
                <w:sz w:val="24"/>
                <w:szCs w:val="24"/>
                <w:highlight w:val="none"/>
              </w:rPr>
            </w:r>
            <w:r>
              <w:rPr>
                <w:color w:val="000000" w:themeColor="text1"/>
                <w:highlight w:val="none"/>
              </w:rPr>
            </w:r>
          </w:p>
        </w:tc>
        <w:tc>
          <w:tcPr>
            <w:tcW w:w="1186" w:type="dxa"/>
            <w:vAlign w:val="center"/>
            <w:textDirection w:val="lrTb"/>
            <w:noWrap/>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第一类医疗器械</w:t>
            </w:r>
            <w:r>
              <w:rPr>
                <w:rFonts w:hint="eastAsia" w:ascii="宋体" w:hAnsi="宋体" w:cs="宋体"/>
                <w:bCs/>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床头柜</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914</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只</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陪护椅</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852</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3"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婴儿床</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44</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3000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186"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82"/>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交货期：合同签订后接采购人通知45天内。</w:t>
      </w:r>
      <w:r>
        <w:rPr>
          <w:rFonts w:ascii="宋体" w:hAnsi="宋体" w:cs="宋体"/>
          <w:bCs/>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7</w:t>
      </w:r>
      <w:r>
        <w:rPr>
          <w:rFonts w:hint="eastAsia" w:ascii="宋体" w:hAnsi="宋体" w:cs="宋体"/>
          <w:color w:val="000000" w:themeColor="text1"/>
          <w:sz w:val="24"/>
          <w:highlight w:val="none"/>
        </w:rPr>
        <w:t xml:space="preserve">、本项目不</w:t>
      </w:r>
      <w:r>
        <w:rPr>
          <w:rFonts w:hint="eastAsia" w:ascii="宋体" w:hAnsi="宋体" w:cs="宋体"/>
          <w:bCs/>
          <w:color w:val="000000" w:themeColor="text1"/>
          <w:sz w:val="24"/>
          <w:highlight w:val="none"/>
        </w:rPr>
        <w:t xml:space="preserve">接受进口产品投标。</w:t>
      </w:r>
      <w:r>
        <w:rPr>
          <w:rFonts w:hint="eastAsia" w:ascii="宋体" w:hAnsi="宋体" w:cs="宋体"/>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8</w:t>
      </w:r>
      <w:r>
        <w:rPr>
          <w:rFonts w:hint="eastAsia" w:ascii="宋体" w:hAnsi="宋体" w:cs="宋体"/>
          <w:color w:val="000000" w:themeColor="text1"/>
          <w:sz w:val="24"/>
          <w:highlight w:val="none"/>
        </w:rPr>
        <w:t xml:space="preserve">、本项目</w:t>
      </w:r>
      <w:r>
        <w:rPr>
          <w:rFonts w:hint="eastAsia" w:ascii="宋体" w:hAnsi="宋体" w:cs="宋体"/>
          <w:b/>
          <w:bCs/>
          <w:color w:val="000000" w:themeColor="text1"/>
          <w:sz w:val="24"/>
          <w:highlight w:val="none"/>
          <w:u w:val="single"/>
        </w:rPr>
        <w:t xml:space="preserve">不接受</w:t>
      </w:r>
      <w:r>
        <w:rPr>
          <w:rFonts w:hint="eastAsia" w:ascii="宋体" w:hAnsi="宋体" w:cs="宋体"/>
          <w:color w:val="000000" w:themeColor="text1"/>
          <w:sz w:val="24"/>
          <w:highlight w:val="none"/>
        </w:rPr>
        <w:t xml:space="preserve">联合体投标</w:t>
      </w:r>
      <w:r>
        <w:rPr>
          <w:rFonts w:ascii="宋体" w:hAnsi="宋体" w:cs="宋体"/>
          <w:color w:val="000000" w:themeColor="text1"/>
          <w:sz w:val="24"/>
          <w:highlight w:val="none"/>
        </w:rPr>
      </w:r>
      <w:r>
        <w:rPr>
          <w:color w:val="000000" w:themeColor="text1"/>
          <w:highlight w:val="none"/>
        </w:rPr>
      </w:r>
    </w:p>
    <w:p>
      <w:pPr>
        <w:pStyle w:val="982"/>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p>
    <w:p>
      <w:pPr>
        <w:pStyle w:val="982"/>
        <w:ind w:firstLine="482"/>
        <w:rPr>
          <w:rFonts w:ascii="宋体" w:hAnsi="宋体" w:cs="宋体"/>
          <w:b/>
          <w:color w:val="000000" w:themeColor="text1"/>
          <w:sz w:val="24"/>
          <w:highlight w:val="none"/>
        </w:rPr>
        <w:outlineLvl w:val="1"/>
      </w:pPr>
      <w:r>
        <w:rPr>
          <w:color w:val="000000" w:themeColor="text1"/>
          <w:highlight w:val="none"/>
        </w:rPr>
      </w:r>
      <w:bookmarkStart w:id="8" w:name="_Toc28359080"/>
      <w:r>
        <w:rPr>
          <w:color w:val="000000" w:themeColor="text1"/>
          <w:highlight w:val="none"/>
        </w:rPr>
      </w:r>
      <w:bookmarkStart w:id="9" w:name="_Toc28359003"/>
      <w:r>
        <w:rPr>
          <w:color w:val="000000" w:themeColor="text1"/>
          <w:highlight w:val="none"/>
        </w:rPr>
      </w:r>
      <w:bookmarkStart w:id="10" w:name="_Toc2088"/>
      <w:r>
        <w:rPr>
          <w:color w:val="000000" w:themeColor="text1"/>
          <w:highlight w:val="none"/>
        </w:rPr>
      </w:r>
      <w:bookmarkStart w:id="11" w:name="_Toc35393622"/>
      <w:r>
        <w:rPr>
          <w:color w:val="000000" w:themeColor="text1"/>
          <w:highlight w:val="none"/>
        </w:rPr>
      </w:r>
      <w:bookmarkStart w:id="12" w:name="_Toc35393791"/>
      <w:r>
        <w:rPr>
          <w:rFonts w:hint="eastAsia" w:ascii="宋体" w:hAnsi="宋体" w:cs="宋体"/>
          <w:b/>
          <w:color w:val="000000" w:themeColor="text1"/>
          <w:sz w:val="24"/>
          <w:highlight w:val="none"/>
        </w:rPr>
        <w:t xml:space="preserve">二、申请人的资格要求</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rFonts w:ascii="宋体" w:hAnsi="宋体" w:cs="宋体"/>
          <w:b/>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（一）通用资格要求</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1.满足《中华人民共和国政府采购法》第二十二条规定，并提供下列材料：</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1.1 法人或者其他组织的营业执照等证明文件，自然人的身份证明；</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1.2上一年度的财务状况报告；</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1.3依法缴纳税收和社会保障资金的相关材料；</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1.4具备履行合同所必需的设备和专业技术能力的书面声明；</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1.5参加政府采购活动前3年内在经营活动中没有重大违法记录的书面声明</w:t>
      </w:r>
      <w:r>
        <w:rPr>
          <w:rFonts w:hint="eastAsia" w:ascii="宋体" w:hAnsi="宋体" w:cs="宋体"/>
          <w:color w:val="000000" w:themeColor="text1"/>
          <w:sz w:val="24"/>
          <w:highlight w:val="none"/>
        </w:rPr>
        <w:t xml:space="preserve">；</w:t>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1.6</w:t>
      </w:r>
      <w:r>
        <w:rPr>
          <w:rFonts w:hint="eastAsia" w:ascii="宋体" w:hAnsi="宋体" w:cs="宋体"/>
          <w:color w:val="000000" w:themeColor="text1"/>
          <w:sz w:val="24"/>
          <w:highlight w:val="none"/>
        </w:rPr>
        <w:t xml:space="preserve">法律、行政法规规定的其他条件。</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（二）落实政府采购政策需满足的资格要求：</w:t>
      </w: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本项目专门面向中小企业采购。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（三）本项目的特定资格要求：</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1.根据国家相关规定提供投标产品有效的医疗器械产品注册证或产品备案凭证（手动病床1，手动病床2，手动病床3）；</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2.若投标供应商为代理商，应根据国家相关规定提供范围涵盖投标产品的医疗器械经营许可证或医疗器械经营备案凭证；</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3.若投标供应商为生产商，应根据国家相关规定提供范围涵盖投标产品的医疗器械生产许可证或生产备案凭证；</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4.提供投标人代表投标文件递交截止时间前半年内任一月份投标单位为其缴纳社会保障资金的凭据（复印件加盖公章），如果是法定代表人直接参与的可以不提供；</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5.没有重大违法及商业贿赂不良记录声明；</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6.拒绝下述供应商参加本次采购活动的情形：</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6.1.供应商单位负责人为同一人或者存在直接控股、管理关系的不同供应商，不得参加同一合同项下的政府采购活动。</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6.2.凡为采购项目提供整体设计、规范编制或者项目管理、监理、检测等服务的供应商，不得再参加本项目的采购活动。</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6.3.拒绝列入失信被执行人名单、重大税收违法失信主体名单、严重失信主体名单的供应商参与政府采购活动。</w:t>
      </w:r>
      <w:r>
        <w:rPr>
          <w:rFonts w:hint="eastAsia"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3" w:name="_Toc28359081"/>
      <w:r>
        <w:rPr>
          <w:color w:val="000000" w:themeColor="text1"/>
          <w:highlight w:val="none"/>
        </w:rPr>
      </w:r>
      <w:bookmarkStart w:id="14" w:name="_Toc35393623"/>
      <w:r>
        <w:rPr>
          <w:color w:val="000000" w:themeColor="text1"/>
          <w:highlight w:val="none"/>
        </w:rPr>
      </w:r>
      <w:bookmarkStart w:id="15" w:name="_Toc28095"/>
      <w:r>
        <w:rPr>
          <w:color w:val="000000" w:themeColor="text1"/>
          <w:highlight w:val="none"/>
        </w:rPr>
      </w:r>
      <w:bookmarkStart w:id="16" w:name="_Toc35393792"/>
      <w:r>
        <w:rPr>
          <w:color w:val="000000" w:themeColor="text1"/>
          <w:highlight w:val="none"/>
        </w:rPr>
      </w:r>
      <w:bookmarkStart w:id="17" w:name="_Toc28359004"/>
      <w:r>
        <w:rPr>
          <w:rFonts w:hint="eastAsia" w:ascii="宋体" w:hAnsi="宋体" w:cs="宋体"/>
          <w:b/>
          <w:color w:val="000000" w:themeColor="text1"/>
          <w:sz w:val="24"/>
          <w:highlight w:val="none"/>
        </w:rPr>
        <w:t xml:space="preserve">三、获取招标文件</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rFonts w:ascii="宋体" w:hAnsi="宋体" w:cs="宋体"/>
          <w:b/>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1、时间：自招标文件公告发布之日起五个工作日。</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2、方式：在“江苏政府采购网”自行免费下载招标文件。</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8" w:name="_Toc30964"/>
      <w:r>
        <w:rPr>
          <w:rFonts w:hint="eastAsia" w:ascii="宋体" w:hAnsi="宋体" w:cs="宋体"/>
          <w:b/>
          <w:color w:val="000000" w:themeColor="text1"/>
          <w:sz w:val="24"/>
          <w:highlight w:val="none"/>
        </w:rPr>
        <w:t xml:space="preserve">四、提交投标文件截止时间、开标时间和地点</w:t>
      </w:r>
      <w:bookmarkEnd w:id="18"/>
      <w:r>
        <w:rPr>
          <w:rFonts w:ascii="宋体" w:hAnsi="宋体" w:cs="宋体"/>
          <w:b/>
          <w:color w:val="000000" w:themeColor="text1"/>
          <w:sz w:val="24"/>
          <w:highlight w:val="none"/>
        </w:rPr>
      </w:r>
      <w:r>
        <w:rPr>
          <w:color w:val="000000" w:themeColor="text1"/>
          <w:highlight w:val="none"/>
        </w:rPr>
      </w:r>
    </w:p>
    <w:p>
      <w:pPr>
        <w:pStyle w:val="982"/>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1.投标文件接收截止时间（北京时间）：</w:t>
      </w:r>
      <w:r>
        <w:rPr>
          <w:rFonts w:hint="eastAsia" w:ascii="宋体" w:hAnsi="宋体" w:cs="宋体"/>
          <w:iCs/>
          <w:color w:val="000000" w:themeColor="text1"/>
          <w:sz w:val="24"/>
          <w:highlight w:val="none"/>
          <w:u w:val="single"/>
        </w:rPr>
        <w:t xml:space="preserve">2026年11月19日13点3</w:t>
      </w:r>
      <w:r>
        <w:rPr>
          <w:rFonts w:ascii="宋体" w:hAnsi="宋体" w:cs="宋体"/>
          <w:iCs/>
          <w:color w:val="000000" w:themeColor="text1"/>
          <w:sz w:val="24"/>
          <w:highlight w:val="none"/>
          <w:u w:val="single"/>
        </w:rPr>
        <w:t xml:space="preserve">0</w:t>
      </w:r>
      <w:r>
        <w:rPr>
          <w:rFonts w:hint="eastAsia" w:ascii="宋体" w:hAnsi="宋体" w:cs="宋体"/>
          <w:iCs/>
          <w:color w:val="000000" w:themeColor="text1"/>
          <w:sz w:val="24"/>
          <w:highlight w:val="none"/>
          <w:u w:val="single"/>
        </w:rPr>
        <w:t xml:space="preserve">分</w:t>
      </w:r>
      <w:r>
        <w:rPr>
          <w:rFonts w:hint="eastAsia" w:ascii="宋体" w:hAnsi="宋体" w:cs="宋体"/>
          <w:iCs/>
          <w:color w:val="000000" w:themeColor="text1"/>
          <w:sz w:val="24"/>
          <w:highlight w:val="none"/>
        </w:rPr>
        <w:t xml:space="preserve">。</w:t>
      </w:r>
      <w:r>
        <w:rPr>
          <w:rFonts w:ascii="宋体" w:hAnsi="宋体" w:cs="宋体"/>
          <w:iCs/>
          <w:color w:val="000000" w:themeColor="text1"/>
          <w:sz w:val="24"/>
          <w:highlight w:val="none"/>
        </w:rPr>
      </w:r>
      <w:r>
        <w:rPr>
          <w:color w:val="000000" w:themeColor="text1"/>
          <w:highlight w:val="none"/>
        </w:rPr>
      </w:r>
    </w:p>
    <w:p>
      <w:pPr>
        <w:pStyle w:val="982"/>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2.地点：“苏采云”政府采购交易系统网上开标大厅。</w:t>
      </w:r>
      <w:r>
        <w:rPr>
          <w:rFonts w:ascii="宋体" w:hAnsi="宋体" w:cs="宋体"/>
          <w:i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19" w:name="_Toc30300"/>
      <w:r>
        <w:rPr>
          <w:rFonts w:hint="eastAsia" w:ascii="宋体" w:hAnsi="宋体" w:cs="宋体"/>
          <w:b/>
          <w:color w:val="000000" w:themeColor="text1"/>
          <w:sz w:val="24"/>
          <w:highlight w:val="none"/>
        </w:rPr>
        <w:t xml:space="preserve">五、公告期限</w:t>
      </w:r>
      <w:bookmarkEnd w:id="19"/>
      <w:r>
        <w:rPr>
          <w:rFonts w:ascii="宋体" w:hAnsi="宋体" w:cs="宋体"/>
          <w:b/>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招标公告及招标文件公告期限为自本公告发布之日起5个工作日。</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0" w:name="_Toc26683"/>
      <w:r>
        <w:rPr>
          <w:rFonts w:hint="eastAsia" w:ascii="宋体" w:hAnsi="宋体" w:cs="宋体"/>
          <w:b/>
          <w:color w:val="000000" w:themeColor="text1"/>
          <w:sz w:val="24"/>
          <w:highlight w:val="none"/>
        </w:rPr>
        <w:t xml:space="preserve">六、其他补充事宜</w:t>
      </w:r>
      <w:bookmarkEnd w:id="20"/>
      <w:r>
        <w:rPr>
          <w:rFonts w:ascii="宋体" w:hAnsi="宋体" w:cs="宋体"/>
          <w:b/>
          <w:color w:val="000000" w:themeColor="text1"/>
          <w:sz w:val="24"/>
          <w:highlight w:val="none"/>
        </w:rPr>
      </w:r>
      <w:r>
        <w:rPr>
          <w:color w:val="000000" w:themeColor="text1"/>
          <w:highlight w:val="none"/>
        </w:rPr>
      </w:r>
    </w:p>
    <w:p>
      <w:pPr>
        <w:pStyle w:val="982"/>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ascii="宋体" w:hAnsi="宋体" w:cs="宋体"/>
          <w:color w:val="000000" w:themeColor="text1"/>
          <w:sz w:val="24"/>
          <w:highlight w:val="none"/>
        </w:rPr>
      </w:r>
      <w:r>
        <w:rPr>
          <w:color w:val="000000" w:themeColor="text1"/>
          <w:highlight w:val="none"/>
        </w:rPr>
      </w:r>
    </w:p>
    <w:p>
      <w:pPr>
        <w:pStyle w:val="982"/>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2、供应商如确定参加投标，可自行下载采购文件及有关资料，按照《操作手册》进行注册，领取CA和办理电子签章，并按《操作手册》要求报名、制作、上传电子投标文件。</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1" w:name="_Toc16072"/>
      <w:r>
        <w:rPr>
          <w:rFonts w:hint="eastAsia" w:ascii="宋体" w:hAnsi="宋体" w:cs="宋体"/>
          <w:b/>
          <w:color w:val="000000" w:themeColor="text1"/>
          <w:sz w:val="24"/>
          <w:highlight w:val="none"/>
        </w:rPr>
        <w:t xml:space="preserve">七、对本次招标提出询问，请按以下方式联系</w:t>
      </w:r>
      <w:bookmarkEnd w:id="21"/>
      <w:r>
        <w:rPr>
          <w:rFonts w:ascii="宋体" w:hAnsi="宋体" w:cs="宋体"/>
          <w:b/>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1、采购人信息</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名    称：南京市儿童医院</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联系地址：南京市鼓楼区广州路72号、建邺区江东南路8号</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 系 人：汪老师</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w:t>
      </w:r>
      <w:r>
        <w:rPr>
          <w:rFonts w:ascii="宋体" w:hAnsi="宋体" w:cs="宋体"/>
          <w:color w:val="000000" w:themeColor="text1"/>
          <w:sz w:val="24"/>
          <w:highlight w:val="none"/>
        </w:rPr>
        <w:t xml:space="preserve">025-528629</w:t>
      </w:r>
      <w:r>
        <w:rPr>
          <w:rFonts w:hint="eastAsia" w:ascii="宋体" w:hAnsi="宋体" w:cs="宋体"/>
          <w:color w:val="000000" w:themeColor="text1"/>
          <w:sz w:val="24"/>
          <w:highlight w:val="none"/>
        </w:rPr>
        <w:t xml:space="preserve">66</w:t>
      </w:r>
      <w:r>
        <w:rPr>
          <w:rFonts w:ascii="宋体" w:hAnsi="宋体" w:cs="宋体"/>
          <w:color w:val="000000" w:themeColor="text1"/>
          <w:sz w:val="24"/>
          <w:highlight w:val="none"/>
        </w:rPr>
      </w:r>
      <w:r>
        <w:rPr>
          <w:color w:val="000000" w:themeColor="text1"/>
          <w:highlight w:val="none"/>
        </w:rPr>
      </w:r>
    </w:p>
    <w:p>
      <w:pPr>
        <w:pStyle w:val="982"/>
        <w:ind w:firstLine="480"/>
        <w:spacing w:before="161" w:line="360" w:lineRule="auto"/>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联系地址：</w:t>
      </w:r>
      <w:r>
        <w:rPr>
          <w:rFonts w:hint="eastAsia" w:ascii="宋体" w:hAnsi="宋体" w:cs="宋体"/>
          <w:color w:val="000000" w:themeColor="text1"/>
          <w:highlight w:val="none"/>
        </w:rPr>
        <w:t xml:space="preserve">南京市雨花台区软件大道21号苏豪国际广场（北园）C座110室</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联 系 人：吴志叶、吴岢非</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联系电话：025-52875983</w:t>
      </w: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025-528759</w:t>
      </w:r>
      <w:r>
        <w:rPr>
          <w:rFonts w:hint="eastAsia" w:ascii="宋体" w:hAnsi="宋体" w:cs="宋体"/>
          <w:color w:val="000000" w:themeColor="text1"/>
          <w:sz w:val="24"/>
          <w:highlight w:val="none"/>
        </w:rPr>
        <w:t xml:space="preserve">36</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邮    箱：wkf@sumex.com.cn</w:t>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2" w:name="_Toc14166"/>
      <w:r>
        <w:rPr>
          <w:rFonts w:hint="eastAsia" w:ascii="宋体" w:hAnsi="宋体" w:cs="宋体"/>
          <w:b/>
          <w:color w:val="000000" w:themeColor="text1"/>
          <w:sz w:val="24"/>
          <w:highlight w:val="none"/>
        </w:rPr>
        <w:t xml:space="preserve">八、其他</w:t>
      </w:r>
      <w:bookmarkEnd w:id="22"/>
      <w:r>
        <w:rPr>
          <w:rFonts w:ascii="宋体" w:hAnsi="宋体" w:cs="宋体"/>
          <w:b/>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color w:val="000000" w:themeColor="text1"/>
          <w:szCs w:val="21"/>
          <w:highlight w:val="none"/>
        </w:rPr>
        <w:t xml:space="preserve">http://www.ccgp-jiangsu.gov.cn/jiangsu/zlxz/ee/ee3a4bc5a3454aa2b0d9312230633ce9.html。</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 本次招标不收取投标保证金。</w:t>
      </w:r>
      <w:r>
        <w:rPr>
          <w:rFonts w:ascii="宋体" w:hAnsi="宋体" w:cs="宋体"/>
          <w:color w:val="000000" w:themeColor="text1"/>
          <w:sz w:val="24"/>
          <w:highlight w:val="none"/>
        </w:rPr>
      </w:r>
      <w:r>
        <w:rPr>
          <w:color w:val="000000" w:themeColor="text1"/>
          <w:highlight w:val="none"/>
        </w:rPr>
      </w:r>
    </w:p>
    <w:p>
      <w:pPr>
        <w:pStyle w:val="982"/>
        <w:rPr>
          <w:color w:val="000000" w:themeColor="text1"/>
          <w:sz w:val="24"/>
          <w:highlight w:val="none"/>
        </w:rPr>
      </w:pPr>
      <w:r>
        <w:rPr>
          <w:color w:val="000000" w:themeColor="text1"/>
          <w:sz w:val="24"/>
          <w:highlight w:val="none"/>
        </w:rPr>
      </w:r>
      <w:r>
        <w:rPr>
          <w:color w:val="000000" w:themeColor="text1"/>
          <w:highlight w:val="none"/>
        </w:rPr>
      </w:r>
    </w:p>
    <w:p>
      <w:pPr>
        <w:pStyle w:val="982"/>
        <w:ind w:firstLine="420"/>
        <w:rPr>
          <w:rFonts w:ascii="宋体" w:hAnsi="宋体" w:cs="宋体"/>
          <w:color w:val="000000" w:themeColor="text1"/>
          <w:szCs w:val="21"/>
          <w:highlight w:val="none"/>
        </w:rPr>
        <w:sectPr>
          <w:footnotePr/>
          <w:endnotePr/>
          <w:type w:val="nextPage"/>
          <w:pgSz w:w="11906" w:h="16838" w:orient="portrait"/>
          <w:pgMar w:top="1134" w:right="1417" w:bottom="850" w:left="1417" w:header="850" w:footer="992" w:gutter="0"/>
          <w:cols w:num="1" w:sep="0" w:space="1701" w:equalWidth="1"/>
          <w:docGrid w:linePitch="360"/>
        </w:sectPr>
      </w:pPr>
      <w:r>
        <w:rPr>
          <w:rFonts w:ascii="宋体" w:hAnsi="宋体" w:cs="宋体"/>
          <w:color w:val="000000" w:themeColor="text1"/>
          <w:szCs w:val="21"/>
          <w:highlight w:val="none"/>
        </w:rPr>
      </w:r>
      <w:r>
        <w:rPr>
          <w:color w:val="000000" w:themeColor="text1"/>
          <w:highlight w:val="none"/>
        </w:rPr>
      </w:r>
    </w:p>
    <w:p>
      <w:pPr>
        <w:pStyle w:val="982"/>
        <w:jc w:val="center"/>
        <w:rPr>
          <w:rFonts w:ascii="宋体" w:hAnsi="宋体" w:cs="宋体"/>
          <w:b/>
          <w:color w:val="000000" w:themeColor="text1"/>
          <w:sz w:val="32"/>
          <w:szCs w:val="32"/>
          <w:highlight w:val="none"/>
        </w:rPr>
        <w:outlineLvl w:val="0"/>
      </w:pPr>
      <w:r>
        <w:rPr>
          <w:color w:val="000000" w:themeColor="text1"/>
          <w:highlight w:val="none"/>
        </w:rPr>
      </w:r>
      <w:bookmarkStart w:id="23" w:name="_Toc120614211"/>
      <w:r>
        <w:rPr>
          <w:color w:val="000000" w:themeColor="text1"/>
          <w:highlight w:val="none"/>
        </w:rPr>
      </w:r>
      <w:bookmarkStart w:id="24" w:name="_Toc5881"/>
      <w:r>
        <w:rPr>
          <w:rFonts w:hint="eastAsia" w:ascii="宋体" w:hAnsi="宋体" w:cs="宋体"/>
          <w:b/>
          <w:color w:val="000000" w:themeColor="text1"/>
          <w:sz w:val="32"/>
          <w:szCs w:val="32"/>
          <w:highlight w:val="none"/>
        </w:rPr>
        <w:t xml:space="preserve">第二章  </w:t>
      </w:r>
      <w:bookmarkEnd w:id="23"/>
      <w:r>
        <w:rPr>
          <w:color w:val="000000" w:themeColor="text1"/>
          <w:highlight w:val="none"/>
        </w:rPr>
      </w:r>
      <w:bookmarkStart w:id="25" w:name="_Toc120614213"/>
      <w:r>
        <w:rPr>
          <w:color w:val="000000" w:themeColor="text1"/>
          <w:highlight w:val="none"/>
        </w:rPr>
      </w:r>
      <w:bookmarkStart w:id="26" w:name="_Toc513029202"/>
      <w:r>
        <w:rPr>
          <w:color w:val="000000" w:themeColor="text1"/>
          <w:highlight w:val="none"/>
        </w:rPr>
      </w:r>
      <w:bookmarkStart w:id="27" w:name="_Toc16938518"/>
      <w:r>
        <w:rPr>
          <w:color w:val="000000" w:themeColor="text1"/>
          <w:highlight w:val="none"/>
        </w:rPr>
      </w:r>
      <w:bookmarkStart w:id="28" w:name="_Toc20823274"/>
      <w:r>
        <w:rPr>
          <w:rFonts w:hint="eastAsia" w:ascii="宋体" w:hAnsi="宋体" w:cs="宋体"/>
          <w:b/>
          <w:color w:val="000000" w:themeColor="text1"/>
          <w:sz w:val="32"/>
          <w:szCs w:val="32"/>
          <w:highlight w:val="none"/>
        </w:rPr>
        <w:t xml:space="preserve">投标人须知</w:t>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rFonts w:ascii="宋体" w:hAnsi="宋体" w:cs="宋体"/>
          <w:b/>
          <w:color w:val="000000" w:themeColor="text1"/>
          <w:sz w:val="32"/>
          <w:szCs w:val="32"/>
          <w:highlight w:val="none"/>
        </w:rPr>
      </w:r>
      <w:r>
        <w:rPr>
          <w:color w:val="000000" w:themeColor="text1"/>
          <w:highlight w:val="none"/>
        </w:rPr>
      </w:r>
    </w:p>
    <w:p>
      <w:pPr>
        <w:pStyle w:val="98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outlineLvl w:val="1"/>
      </w:pPr>
      <w:r>
        <w:rPr>
          <w:color w:val="000000" w:themeColor="text1"/>
          <w:highlight w:val="none"/>
        </w:rPr>
      </w:r>
      <w:bookmarkStart w:id="29" w:name="_Toc513029203"/>
      <w:r>
        <w:rPr>
          <w:color w:val="000000" w:themeColor="text1"/>
          <w:highlight w:val="none"/>
        </w:rPr>
      </w:r>
      <w:bookmarkStart w:id="30" w:name="_Toc8795"/>
      <w:r>
        <w:rPr>
          <w:color w:val="000000" w:themeColor="text1"/>
          <w:highlight w:val="none"/>
        </w:rPr>
      </w:r>
      <w:bookmarkStart w:id="31" w:name="_Toc20823275"/>
      <w:r>
        <w:rPr>
          <w:color w:val="000000" w:themeColor="text1"/>
          <w:highlight w:val="none"/>
        </w:rPr>
      </w:r>
      <w:bookmarkStart w:id="32" w:name="_Toc120614214"/>
      <w:r>
        <w:rPr>
          <w:color w:val="000000" w:themeColor="text1"/>
          <w:highlight w:val="none"/>
        </w:rPr>
      </w:r>
      <w:bookmarkStart w:id="33" w:name="_Toc16938519"/>
      <w:r>
        <w:rPr>
          <w:rFonts w:hint="eastAsia" w:ascii="宋体" w:hAnsi="宋体" w:cs="宋体"/>
          <w:b/>
          <w:bCs/>
          <w:color w:val="000000" w:themeColor="text1"/>
          <w:sz w:val="24"/>
          <w:highlight w:val="none"/>
        </w:rPr>
        <w:t xml:space="preserve">一、总则</w:t>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bookmarkEnd w:id="33"/>
      <w:r>
        <w:rPr>
          <w:rFonts w:ascii="宋体" w:hAnsi="宋体" w:cs="宋体"/>
          <w:b/>
          <w:bCs/>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34" w:name="_Hlt16619475"/>
      <w:r>
        <w:rPr>
          <w:color w:val="000000" w:themeColor="text1"/>
          <w:highlight w:val="none"/>
        </w:rPr>
      </w:r>
      <w:bookmarkEnd w:id="34"/>
      <w:r>
        <w:rPr>
          <w:color w:val="000000" w:themeColor="text1"/>
          <w:highlight w:val="none"/>
        </w:rPr>
      </w:r>
      <w:bookmarkStart w:id="35" w:name="_Toc458694821"/>
      <w:r>
        <w:rPr>
          <w:color w:val="000000" w:themeColor="text1"/>
          <w:highlight w:val="none"/>
        </w:rPr>
      </w:r>
      <w:bookmarkStart w:id="36" w:name="_Toc16938520"/>
      <w:r>
        <w:rPr>
          <w:color w:val="000000" w:themeColor="text1"/>
          <w:highlight w:val="none"/>
        </w:rPr>
      </w:r>
      <w:bookmarkStart w:id="37" w:name="_Toc513029204"/>
      <w:r>
        <w:rPr>
          <w:color w:val="000000" w:themeColor="text1"/>
          <w:highlight w:val="none"/>
        </w:rPr>
      </w:r>
      <w:bookmarkStart w:id="38" w:name="_Toc20823276"/>
      <w:r>
        <w:rPr>
          <w:rFonts w:hint="eastAsia" w:ascii="宋体" w:hAnsi="宋体" w:cs="宋体"/>
          <w:b/>
          <w:bCs/>
          <w:color w:val="000000" w:themeColor="text1"/>
          <w:sz w:val="24"/>
          <w:highlight w:val="none"/>
        </w:rPr>
        <w:t xml:space="preserve">1</w:t>
      </w:r>
      <w:bookmarkEnd w:id="35"/>
      <w:r>
        <w:rPr>
          <w:rFonts w:hint="eastAsia" w:ascii="宋体" w:hAnsi="宋体" w:cs="宋体"/>
          <w:b/>
          <w:bCs/>
          <w:color w:val="000000" w:themeColor="text1"/>
          <w:sz w:val="24"/>
          <w:highlight w:val="none"/>
        </w:rPr>
        <w:t xml:space="preserve">、招标方式</w:t>
      </w:r>
      <w:bookmarkEnd w:id="36"/>
      <w:r>
        <w:rPr>
          <w:color w:val="000000" w:themeColor="text1"/>
          <w:highlight w:val="none"/>
        </w:rPr>
      </w:r>
      <w:bookmarkEnd w:id="37"/>
      <w:r>
        <w:rPr>
          <w:color w:val="000000" w:themeColor="text1"/>
          <w:highlight w:val="none"/>
        </w:rPr>
      </w:r>
      <w:bookmarkEnd w:id="38"/>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 本次招标采取公开招标方式，本招标文件仅适用于招标公告中所述项目。</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39" w:name="_Toc513029205"/>
      <w:r>
        <w:rPr>
          <w:color w:val="000000" w:themeColor="text1"/>
          <w:highlight w:val="none"/>
        </w:rPr>
      </w:r>
      <w:bookmarkStart w:id="40" w:name="_Toc16938521"/>
      <w:r>
        <w:rPr>
          <w:color w:val="000000" w:themeColor="text1"/>
          <w:highlight w:val="none"/>
        </w:rPr>
      </w:r>
      <w:bookmarkStart w:id="41" w:name="_Toc20823277"/>
      <w:r>
        <w:rPr>
          <w:rFonts w:hint="eastAsia" w:ascii="宋体" w:hAnsi="宋体" w:cs="宋体"/>
          <w:b/>
          <w:bCs/>
          <w:color w:val="000000" w:themeColor="text1"/>
          <w:sz w:val="24"/>
          <w:highlight w:val="none"/>
        </w:rPr>
        <w:t xml:space="preserve">2、合格的投标人</w:t>
      </w:r>
      <w:bookmarkEnd w:id="39"/>
      <w:r>
        <w:rPr>
          <w:color w:val="000000" w:themeColor="text1"/>
          <w:highlight w:val="none"/>
        </w:rPr>
      </w:r>
      <w:bookmarkEnd w:id="40"/>
      <w:r>
        <w:rPr>
          <w:color w:val="000000" w:themeColor="text1"/>
          <w:highlight w:val="none"/>
        </w:rPr>
      </w:r>
      <w:bookmarkEnd w:id="41"/>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 满足招标公告中供应商的资格要求的规定。</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 满足本文件实质性要求和条件的规定。</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42" w:name="_Toc20823278"/>
      <w:r>
        <w:rPr>
          <w:color w:val="000000" w:themeColor="text1"/>
          <w:highlight w:val="none"/>
        </w:rPr>
      </w:r>
      <w:bookmarkStart w:id="43" w:name="_Toc513029206"/>
      <w:r>
        <w:rPr>
          <w:color w:val="000000" w:themeColor="text1"/>
          <w:highlight w:val="none"/>
        </w:rPr>
      </w:r>
      <w:bookmarkStart w:id="44" w:name="_Toc16938522"/>
      <w:r>
        <w:rPr>
          <w:rFonts w:hint="eastAsia" w:ascii="宋体" w:hAnsi="宋体" w:cs="宋体"/>
          <w:b/>
          <w:bCs/>
          <w:color w:val="000000" w:themeColor="text1"/>
          <w:sz w:val="24"/>
          <w:highlight w:val="none"/>
        </w:rPr>
        <w:t xml:space="preserve">3、适用法律</w:t>
      </w:r>
      <w:bookmarkEnd w:id="42"/>
      <w:r>
        <w:rPr>
          <w:color w:val="000000" w:themeColor="text1"/>
          <w:highlight w:val="none"/>
        </w:rPr>
      </w:r>
      <w:bookmarkEnd w:id="43"/>
      <w:r>
        <w:rPr>
          <w:color w:val="000000" w:themeColor="text1"/>
          <w:highlight w:val="none"/>
        </w:rPr>
      </w:r>
      <w:bookmarkEnd w:id="44"/>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3.1 本次招标及由此产生的合同受中华人民共和国有关的法律法规制约和保护。</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45" w:name="_Toc20823279"/>
      <w:r>
        <w:rPr>
          <w:color w:val="000000" w:themeColor="text1"/>
          <w:highlight w:val="none"/>
        </w:rPr>
      </w:r>
      <w:bookmarkStart w:id="46" w:name="_Toc513029207"/>
      <w:r>
        <w:rPr>
          <w:color w:val="000000" w:themeColor="text1"/>
          <w:highlight w:val="none"/>
        </w:rPr>
      </w:r>
      <w:bookmarkStart w:id="47" w:name="_Toc462564067"/>
      <w:r>
        <w:rPr>
          <w:color w:val="000000" w:themeColor="text1"/>
          <w:highlight w:val="none"/>
        </w:rPr>
      </w:r>
      <w:bookmarkStart w:id="48" w:name="_Toc16938523"/>
      <w:r>
        <w:rPr>
          <w:rFonts w:hint="eastAsia" w:ascii="宋体" w:hAnsi="宋体" w:cs="宋体"/>
          <w:b/>
          <w:bCs/>
          <w:color w:val="000000" w:themeColor="text1"/>
          <w:sz w:val="24"/>
          <w:highlight w:val="none"/>
        </w:rPr>
        <w:t xml:space="preserve">4、投标费用</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4.1 投标人应自行承担所有与参加投标有关的费用，无论投标过程中的做法和结果如何，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color w:val="000000" w:themeColor="text1"/>
          <w:highlight w:val="none"/>
        </w:rPr>
      </w:r>
    </w:p>
    <w:p>
      <w:pPr>
        <w:pStyle w:val="982"/>
        <w:ind w:firstLine="480"/>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4</w:t>
      </w:r>
      <w:r>
        <w:rPr>
          <w:rFonts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rPr>
        <w:t xml:space="preserve">本项目预算已包含本次招标服务费，故服务费由中标人支付。</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4.3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4.4 招标服务费收费标准：</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中标人向采购代理机构支付招标服务费，服务费标准按下表中标准的40%计取。</w:t>
      </w:r>
      <w:r>
        <w:rPr>
          <w:rFonts w:hint="eastAsia" w:ascii="宋体" w:hAnsi="宋体" w:cs="宋体"/>
          <w:color w:val="000000" w:themeColor="text1"/>
          <w:sz w:val="24"/>
          <w:highlight w:val="none"/>
        </w:rPr>
        <w:t xml:space="preserve">折后出现收费不足3000元的，按3000元收取。</w:t>
      </w:r>
      <w:r>
        <w:rPr>
          <w:color w:val="000000" w:themeColor="text1"/>
          <w:highlight w:val="none"/>
        </w:rPr>
      </w:r>
    </w:p>
    <w:tbl>
      <w:tblPr>
        <w:tblW w:w="8638" w:type="dxa"/>
        <w:tblInd w:w="412" w:type="dxa"/>
        <w:tblLayout w:type="autofit"/>
        <w:tblCellMar>
          <w:left w:w="108" w:type="dxa"/>
          <w:top w:w="0" w:type="dxa"/>
          <w:right w:w="108" w:type="dxa"/>
          <w:bottom w:w="0" w:type="dxa"/>
        </w:tblCellMar>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rFonts w:eastAsia="Times New Roman"/>
                <w:color w:val="000000" w:themeColor="text1"/>
                <w:highlight w:val="none"/>
              </w:rPr>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rFonts w:eastAsia="Times New Roman"/>
                <w:color w:val="000000" w:themeColor="text1"/>
                <w:highlight w:val="none"/>
                <w:lang w:eastAsia="en-US"/>
              </w:rPr>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rFonts w:eastAsia="Times New Roman"/>
                <w:color w:val="000000" w:themeColor="text1"/>
                <w:highlight w:val="none"/>
                <w:lang w:eastAsia="en-US"/>
              </w:rPr>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rFonts w:eastAsia="Times New Roman"/>
                <w:color w:val="000000" w:themeColor="text1"/>
                <w:highlight w:val="none"/>
                <w:lang w:eastAsia="en-US"/>
              </w:rPr>
            </w:r>
            <w:r>
              <w:rPr>
                <w:color w:val="000000" w:themeColor="text1"/>
                <w:highlight w:val="none"/>
              </w:rP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rFonts w:eastAsia="Times New Roman"/>
                <w:color w:val="000000" w:themeColor="text1"/>
                <w:highlight w:val="none"/>
                <w:lang w:eastAsia="en-US"/>
              </w:rPr>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vAlign w:val="top"/>
            <w:textDirection w:val="lrTb"/>
            <w:noWrap w:val="false"/>
          </w:tcPr>
          <w:p>
            <w:pPr>
              <w:pStyle w:val="982"/>
              <w:jc w:val="center"/>
              <w:spacing w:line="360" w:lineRule="auto"/>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rFonts w:eastAsia="Times New Roman"/>
                <w:color w:val="000000" w:themeColor="text1"/>
                <w:highlight w:val="none"/>
                <w:lang w:eastAsia="en-US"/>
              </w:rPr>
            </w:r>
            <w:r>
              <w:rPr>
                <w:color w:val="000000" w:themeColor="text1"/>
                <w:highlight w:val="none"/>
              </w:rP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vAlign w:val="top"/>
            <w:textDirection w:val="lrTb"/>
            <w:noWrap w:val="false"/>
          </w:tcPr>
          <w:p>
            <w:pPr>
              <w:pStyle w:val="982"/>
              <w:spacing w:line="360" w:lineRule="auto"/>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rFonts w:eastAsia="Times New Roman"/>
                <w:color w:val="000000" w:themeColor="text1"/>
                <w:highlight w:val="none"/>
              </w:rPr>
            </w:r>
            <w:r>
              <w:rPr>
                <w:color w:val="000000" w:themeColor="text1"/>
                <w:highlight w:val="none"/>
              </w:rPr>
            </w:r>
          </w:p>
        </w:tc>
      </w:tr>
    </w:tbl>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4.5电汇账户信息如下：</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5、招标文件的约束力</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 投标人一旦参加本项目采购活动，即被认为接受了本招标文件的规定和约束。</w:t>
      </w:r>
      <w:r>
        <w:rPr>
          <w:rFonts w:ascii="宋体" w:hAnsi="宋体" w:cs="宋体"/>
          <w:color w:val="000000" w:themeColor="text1"/>
          <w:sz w:val="24"/>
          <w:highlight w:val="none"/>
        </w:rPr>
      </w:r>
      <w:r>
        <w:rPr>
          <w:color w:val="000000" w:themeColor="text1"/>
          <w:highlight w:val="none"/>
        </w:rPr>
      </w:r>
    </w:p>
    <w:p>
      <w:pPr>
        <w:pStyle w:val="982"/>
        <w:ind w:firstLine="482"/>
        <w:spacing w:line="360" w:lineRule="auto"/>
        <w:rPr>
          <w:rFonts w:ascii="宋体" w:hAnsi="宋体" w:cs="宋体"/>
          <w:b/>
          <w:bCs/>
          <w:color w:val="000000" w:themeColor="text1"/>
          <w:sz w:val="24"/>
          <w:highlight w:val="none"/>
        </w:rPr>
      </w:pPr>
      <w:r>
        <w:rPr>
          <w:color w:val="000000" w:themeColor="text1"/>
          <w:highlight w:val="none"/>
        </w:rPr>
      </w:r>
      <w:bookmarkStart w:id="49" w:name="_Toc16938525"/>
      <w:r>
        <w:rPr>
          <w:color w:val="000000" w:themeColor="text1"/>
          <w:highlight w:val="none"/>
        </w:rPr>
      </w:r>
      <w:bookmarkStart w:id="50" w:name="_Toc120614215"/>
      <w:r>
        <w:rPr>
          <w:color w:val="000000" w:themeColor="text1"/>
          <w:highlight w:val="none"/>
        </w:rPr>
      </w:r>
      <w:bookmarkStart w:id="51" w:name="_Toc20823281"/>
      <w:r>
        <w:rPr>
          <w:color w:val="000000" w:themeColor="text1"/>
          <w:highlight w:val="none"/>
        </w:rPr>
      </w:r>
      <w:bookmarkStart w:id="52" w:name="_Toc513029209"/>
      <w:r>
        <w:rPr>
          <w:rFonts w:ascii="宋体" w:hAnsi="宋体" w:cs="宋体"/>
          <w:b/>
          <w:bCs/>
          <w:color w:val="000000" w:themeColor="text1"/>
          <w:sz w:val="24"/>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outlineLvl w:val="1"/>
      </w:pPr>
      <w:r>
        <w:rPr>
          <w:color w:val="000000" w:themeColor="text1"/>
          <w:highlight w:val="none"/>
        </w:rPr>
      </w:r>
      <w:bookmarkStart w:id="53" w:name="_Toc11968"/>
      <w:r>
        <w:rPr>
          <w:rFonts w:hint="eastAsia" w:ascii="宋体" w:hAnsi="宋体" w:cs="宋体"/>
          <w:b/>
          <w:bCs/>
          <w:color w:val="000000" w:themeColor="text1"/>
          <w:sz w:val="24"/>
          <w:highlight w:val="none"/>
        </w:rPr>
        <w:t xml:space="preserve">二、招标文件</w:t>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rFonts w:ascii="宋体" w:hAnsi="宋体" w:cs="宋体"/>
          <w:b/>
          <w:bCs/>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54" w:name="_Toc513029210"/>
      <w:r>
        <w:rPr>
          <w:color w:val="000000" w:themeColor="text1"/>
          <w:highlight w:val="none"/>
        </w:rPr>
      </w:r>
      <w:bookmarkStart w:id="55" w:name="_Toc16938526"/>
      <w:r>
        <w:rPr>
          <w:color w:val="000000" w:themeColor="text1"/>
          <w:highlight w:val="none"/>
        </w:rPr>
      </w:r>
      <w:bookmarkStart w:id="56" w:name="_Toc20823282"/>
      <w:r>
        <w:rPr>
          <w:rFonts w:hint="eastAsia" w:ascii="宋体" w:hAnsi="宋体" w:cs="宋体"/>
          <w:b/>
          <w:bCs/>
          <w:color w:val="000000" w:themeColor="text1"/>
          <w:sz w:val="24"/>
          <w:highlight w:val="none"/>
        </w:rPr>
        <w:t xml:space="preserve">6、招标文件构成</w:t>
      </w:r>
      <w:bookmarkEnd w:id="54"/>
      <w:r>
        <w:rPr>
          <w:color w:val="000000" w:themeColor="text1"/>
          <w:highlight w:val="none"/>
        </w:rPr>
      </w:r>
      <w:bookmarkEnd w:id="55"/>
      <w:r>
        <w:rPr>
          <w:color w:val="000000" w:themeColor="text1"/>
          <w:highlight w:val="none"/>
        </w:rPr>
      </w:r>
      <w:bookmarkEnd w:id="56"/>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6.1 招标文件由以下部分组成：</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（1）投标邀请</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（2）投标人须知</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（3）合同文本</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（4）采购需求</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（5）评标方法与评标标准</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（6）投标文件格式</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请仔细检查招标文件是否齐全，如有缺漏请立即与</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联系解决。</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57" w:name="_Toc20823283"/>
      <w:r>
        <w:rPr>
          <w:color w:val="000000" w:themeColor="text1"/>
          <w:highlight w:val="none"/>
        </w:rPr>
      </w:r>
      <w:bookmarkStart w:id="58" w:name="_Toc462564070"/>
      <w:r>
        <w:rPr>
          <w:color w:val="000000" w:themeColor="text1"/>
          <w:highlight w:val="none"/>
        </w:rPr>
      </w:r>
      <w:bookmarkStart w:id="59" w:name="_Toc16938527"/>
      <w:r>
        <w:rPr>
          <w:color w:val="000000" w:themeColor="text1"/>
          <w:highlight w:val="none"/>
        </w:rPr>
      </w:r>
      <w:bookmarkStart w:id="60" w:name="_Toc513029211"/>
      <w:r>
        <w:rPr>
          <w:rFonts w:hint="eastAsia" w:ascii="宋体" w:hAnsi="宋体" w:cs="宋体"/>
          <w:b/>
          <w:bCs/>
          <w:color w:val="000000" w:themeColor="text1"/>
          <w:sz w:val="24"/>
          <w:highlight w:val="none"/>
        </w:rPr>
        <w:t xml:space="preserve">7、招标文件的澄清</w:t>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61" w:name="_Toc20823284"/>
      <w:r>
        <w:rPr>
          <w:color w:val="000000" w:themeColor="text1"/>
          <w:highlight w:val="none"/>
        </w:rPr>
      </w:r>
      <w:bookmarkStart w:id="62" w:name="_Toc513029212"/>
      <w:r>
        <w:rPr>
          <w:color w:val="000000" w:themeColor="text1"/>
          <w:highlight w:val="none"/>
        </w:rPr>
      </w:r>
      <w:bookmarkStart w:id="63" w:name="_Toc16938528"/>
      <w:r>
        <w:rPr>
          <w:color w:val="000000" w:themeColor="text1"/>
          <w:highlight w:val="none"/>
        </w:rPr>
      </w:r>
      <w:bookmarkStart w:id="64" w:name="_Toc462564071"/>
      <w:r>
        <w:rPr>
          <w:rFonts w:hint="eastAsia" w:ascii="宋体" w:hAnsi="宋体" w:cs="宋体"/>
          <w:b/>
          <w:bCs/>
          <w:color w:val="000000" w:themeColor="text1"/>
          <w:sz w:val="24"/>
          <w:highlight w:val="none"/>
        </w:rPr>
        <w:t xml:space="preserve">8、招标文件的修改</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8.1 在投标截止时间前，</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可以对招标文件进行修改。</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8.2 </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有权按照法定的要求推迟投标截止日期和开标日期。</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8.3 招标文件的修改将在江苏政府采购网公布，补充文件将作为招标文件的组成部分，并对投标人具有约束力。</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outlineLvl w:val="1"/>
      </w:pPr>
      <w:r>
        <w:rPr>
          <w:color w:val="000000" w:themeColor="text1"/>
          <w:highlight w:val="none"/>
        </w:rPr>
      </w:r>
      <w:bookmarkStart w:id="65" w:name="_Toc462564072"/>
      <w:r>
        <w:rPr>
          <w:color w:val="000000" w:themeColor="text1"/>
          <w:highlight w:val="none"/>
        </w:rPr>
      </w:r>
      <w:bookmarkStart w:id="66" w:name="_Toc16938529"/>
      <w:r>
        <w:rPr>
          <w:color w:val="000000" w:themeColor="text1"/>
          <w:highlight w:val="none"/>
        </w:rPr>
      </w:r>
      <w:bookmarkStart w:id="67" w:name="_Toc513029213"/>
      <w:r>
        <w:rPr>
          <w:color w:val="000000" w:themeColor="text1"/>
          <w:highlight w:val="none"/>
        </w:rPr>
      </w:r>
      <w:bookmarkStart w:id="68" w:name="_Toc20823285"/>
      <w:r>
        <w:rPr>
          <w:color w:val="000000" w:themeColor="text1"/>
          <w:highlight w:val="none"/>
        </w:rPr>
      </w:r>
      <w:bookmarkStart w:id="69" w:name="_Toc120614216"/>
      <w:r>
        <w:rPr>
          <w:color w:val="000000" w:themeColor="text1"/>
          <w:highlight w:val="none"/>
        </w:rPr>
      </w:r>
      <w:bookmarkStart w:id="70" w:name="_Toc13732"/>
      <w:r>
        <w:rPr>
          <w:rFonts w:hint="eastAsia" w:ascii="宋体" w:hAnsi="宋体" w:cs="宋体"/>
          <w:b/>
          <w:bCs/>
          <w:color w:val="000000" w:themeColor="text1"/>
          <w:sz w:val="24"/>
          <w:highlight w:val="none"/>
        </w:rPr>
        <w:t xml:space="preserve">三、投标文件的编制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rFonts w:ascii="宋体" w:hAnsi="宋体" w:cs="宋体"/>
          <w:b/>
          <w:bCs/>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71" w:name="_Toc16938530"/>
      <w:r>
        <w:rPr>
          <w:color w:val="000000" w:themeColor="text1"/>
          <w:highlight w:val="none"/>
        </w:rPr>
      </w:r>
      <w:bookmarkStart w:id="72" w:name="_Toc513029214"/>
      <w:r>
        <w:rPr>
          <w:color w:val="000000" w:themeColor="text1"/>
          <w:highlight w:val="none"/>
        </w:rPr>
      </w:r>
      <w:bookmarkStart w:id="73" w:name="_Toc20823286"/>
      <w:r>
        <w:rPr>
          <w:color w:val="000000" w:themeColor="text1"/>
          <w:highlight w:val="none"/>
        </w:rPr>
      </w:r>
      <w:bookmarkStart w:id="74" w:name="_Toc462564073"/>
      <w:r>
        <w:rPr>
          <w:rFonts w:hint="eastAsia" w:ascii="宋体" w:hAnsi="宋体" w:cs="宋体"/>
          <w:b/>
          <w:bCs/>
          <w:color w:val="000000" w:themeColor="text1"/>
          <w:sz w:val="24"/>
          <w:highlight w:val="none"/>
        </w:rPr>
        <w:t xml:space="preserve">9、投标文件的语言及度量衡单位</w:t>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9.1 投标人提交的投标文件以及投标人与</w:t>
      </w:r>
      <w:r>
        <w:rPr>
          <w:rFonts w:hint="eastAsia" w:ascii="宋体" w:hAnsi="宋体" w:cs="宋体"/>
          <w:color w:val="000000" w:themeColor="text1"/>
          <w:sz w:val="24"/>
          <w:highlight w:val="none"/>
          <w:u w:val="single"/>
        </w:rPr>
        <w:t xml:space="preserve">采购代理机构</w:t>
      </w:r>
      <w:r>
        <w:rPr>
          <w:rFonts w:hint="eastAsia" w:ascii="宋体" w:hAnsi="宋体" w:cs="宋体"/>
          <w:color w:val="000000" w:themeColor="text1"/>
          <w:sz w:val="24"/>
          <w:highlight w:val="none"/>
        </w:rPr>
        <w:t xml:space="preserve">就有关投标的所有来往通知、函件和文件均应使用</w:t>
      </w:r>
      <w:r>
        <w:rPr>
          <w:rFonts w:hint="eastAsia" w:ascii="宋体" w:hAnsi="宋体" w:cs="宋体"/>
          <w:b/>
          <w:bCs/>
          <w:color w:val="000000" w:themeColor="text1"/>
          <w:sz w:val="24"/>
          <w:highlight w:val="none"/>
        </w:rPr>
        <w:t xml:space="preserve">简体中文</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9.2 除技术性能另有规定外，投标文件所使用的度量衡单位，均须采用国家法定计量单位。</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75" w:name="_Toc16938531"/>
      <w:r>
        <w:rPr>
          <w:color w:val="000000" w:themeColor="text1"/>
          <w:highlight w:val="none"/>
        </w:rPr>
      </w:r>
      <w:bookmarkStart w:id="76" w:name="_Toc20823287"/>
      <w:r>
        <w:rPr>
          <w:color w:val="000000" w:themeColor="text1"/>
          <w:highlight w:val="none"/>
        </w:rPr>
      </w:r>
      <w:bookmarkStart w:id="77" w:name="_Toc462564074"/>
      <w:r>
        <w:rPr>
          <w:color w:val="000000" w:themeColor="text1"/>
          <w:highlight w:val="none"/>
        </w:rPr>
      </w:r>
      <w:bookmarkStart w:id="78" w:name="_Toc513029215"/>
      <w:r>
        <w:rPr>
          <w:rFonts w:hint="eastAsia" w:ascii="宋体" w:hAnsi="宋体" w:cs="宋体"/>
          <w:b/>
          <w:bCs/>
          <w:color w:val="000000" w:themeColor="text1"/>
          <w:sz w:val="24"/>
          <w:highlight w:val="none"/>
        </w:rPr>
        <w:t xml:space="preserve">10、投标文件构成</w:t>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rFonts w:ascii="宋体" w:hAnsi="宋体" w:cs="宋体"/>
          <w:b/>
          <w:bCs/>
          <w:color w:val="000000" w:themeColor="text1"/>
          <w:sz w:val="24"/>
          <w:highlight w:val="none"/>
        </w:rPr>
      </w:r>
      <w:r>
        <w:rPr>
          <w:color w:val="000000" w:themeColor="text1"/>
          <w:highlight w:val="none"/>
        </w:rPr>
      </w:r>
    </w:p>
    <w:p>
      <w:pPr>
        <w:pStyle w:val="982"/>
        <w:ind w:firstLine="480"/>
        <w:spacing w:before="161" w:line="360" w:lineRule="auto"/>
        <w:rPr>
          <w:rFonts w:ascii="宋体" w:hAnsi="宋体" w:cs="宋体"/>
          <w:color w:val="000000" w:themeColor="text1"/>
          <w:sz w:val="24"/>
          <w:highlight w:val="none"/>
        </w:rPr>
      </w:pPr>
      <w:r>
        <w:rPr>
          <w:color w:val="000000" w:themeColor="text1"/>
          <w:highlight w:val="none"/>
        </w:rPr>
      </w:r>
      <w:bookmarkStart w:id="79" w:name="_Hlt26954838"/>
      <w:r>
        <w:rPr>
          <w:color w:val="000000" w:themeColor="text1"/>
          <w:highlight w:val="none"/>
        </w:rPr>
      </w:r>
      <w:bookmarkEnd w:id="79"/>
      <w:r>
        <w:rPr>
          <w:color w:val="000000" w:themeColor="text1"/>
          <w:highlight w:val="none"/>
        </w:rPr>
      </w:r>
      <w:bookmarkStart w:id="80" w:name="_Hlt26670360"/>
      <w:r>
        <w:rPr>
          <w:color w:val="000000" w:themeColor="text1"/>
          <w:highlight w:val="none"/>
        </w:rPr>
      </w:r>
      <w:bookmarkEnd w:id="80"/>
      <w:r>
        <w:rPr>
          <w:color w:val="000000" w:themeColor="text1"/>
          <w:highlight w:val="none"/>
        </w:rPr>
      </w:r>
      <w:bookmarkStart w:id="81" w:name="_Hlt26668975"/>
      <w:r>
        <w:rPr>
          <w:color w:val="000000" w:themeColor="text1"/>
          <w:highlight w:val="none"/>
        </w:rPr>
      </w:r>
      <w:bookmarkEnd w:id="81"/>
      <w:r>
        <w:rPr>
          <w:color w:val="000000" w:themeColor="text1"/>
          <w:highlight w:val="none"/>
        </w:rPr>
      </w:r>
      <w:bookmarkStart w:id="82" w:name="_Toc513029219"/>
      <w:r>
        <w:rPr>
          <w:color w:val="000000" w:themeColor="text1"/>
          <w:highlight w:val="none"/>
        </w:rPr>
      </w:r>
      <w:bookmarkStart w:id="83" w:name="_Toc14577357"/>
      <w:r>
        <w:rPr>
          <w:color w:val="000000" w:themeColor="text1"/>
          <w:highlight w:val="none"/>
        </w:rPr>
      </w:r>
      <w:bookmarkStart w:id="84" w:name="_Toc49090509"/>
      <w:r>
        <w:rPr>
          <w:color w:val="000000" w:themeColor="text1"/>
          <w:highlight w:val="none"/>
        </w:rPr>
      </w:r>
      <w:bookmarkStart w:id="85" w:name="_Toc49090507"/>
      <w:r>
        <w:rPr>
          <w:color w:val="000000" w:themeColor="text1"/>
          <w:highlight w:val="none"/>
        </w:rPr>
      </w:r>
      <w:bookmarkStart w:id="86" w:name="_Toc14577354"/>
      <w:r>
        <w:rPr>
          <w:color w:val="000000" w:themeColor="text1"/>
          <w:highlight w:val="none"/>
        </w:rPr>
      </w:r>
      <w:bookmarkStart w:id="87" w:name="_Toc513029216"/>
      <w:r>
        <w:rPr>
          <w:color w:val="000000" w:themeColor="text1"/>
          <w:highlight w:val="none"/>
        </w:rPr>
      </w:r>
      <w:bookmarkStart w:id="88" w:name="_Toc14577355"/>
      <w:r>
        <w:rPr>
          <w:color w:val="000000" w:themeColor="text1"/>
          <w:highlight w:val="none"/>
        </w:rPr>
      </w:r>
      <w:bookmarkStart w:id="89" w:name="_Toc49090508"/>
      <w:r>
        <w:rPr>
          <w:rFonts w:hint="eastAsia" w:ascii="宋体" w:hAnsi="宋体" w:cs="宋体"/>
          <w:color w:val="000000" w:themeColor="text1"/>
          <w:sz w:val="24"/>
          <w:highlight w:val="none"/>
        </w:rPr>
        <w:t xml:space="preserve">10.1 投标人编写的投标文件应包括资格证明文件、符合性证明文件、投标分项报价表、招标要求响应承诺书、其他证明文件、投标函、开标一览表等部分。</w:t>
      </w:r>
      <w:r>
        <w:rPr>
          <w:rFonts w:ascii="宋体" w:hAnsi="宋体" w:cs="宋体"/>
          <w:color w:val="000000" w:themeColor="text1"/>
          <w:sz w:val="24"/>
          <w:highlight w:val="none"/>
        </w:rPr>
      </w:r>
      <w:r>
        <w:rPr>
          <w:color w:val="000000" w:themeColor="text1"/>
          <w:highlight w:val="none"/>
        </w:rPr>
      </w:r>
    </w:p>
    <w:p>
      <w:pPr>
        <w:pStyle w:val="982"/>
        <w:ind w:firstLine="480"/>
        <w:spacing w:before="161"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10.2 如标书制作工具中格式和内容与“江苏政府采购网”发布的招标文件不一致，请以“江苏政府采购网”发布的招标文件为准。</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11、证明投标人及投标标的符合招标文件规定的文件</w:t>
      </w:r>
      <w:bookmarkEnd w:id="82"/>
      <w:r>
        <w:rPr>
          <w:color w:val="000000" w:themeColor="text1"/>
          <w:highlight w:val="none"/>
        </w:rPr>
      </w:r>
      <w:bookmarkEnd w:id="83"/>
      <w:r>
        <w:rPr>
          <w:color w:val="000000" w:themeColor="text1"/>
          <w:highlight w:val="none"/>
        </w:rPr>
      </w:r>
      <w:bookmarkEnd w:id="84"/>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rFonts w:hint="eastAsia" w:ascii="宋体" w:hAnsi="宋体" w:cs="宋体"/>
          <w:color w:val="000000" w:themeColor="text1"/>
          <w:sz w:val="24"/>
          <w:highlight w:val="none"/>
        </w:rPr>
        <w:t xml:space="preserve">11.1 投标人应按照招标文件要求提交证明文件，证明其及投标标的符合招标文件规定。</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11.2招标文件对证明文件无明确形式要求的，证明文件可以以文字资料、图纸和数据等形式提交。</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88"/>
      <w:r>
        <w:rPr>
          <w:color w:val="000000" w:themeColor="text1"/>
          <w:highlight w:val="none"/>
        </w:rPr>
      </w:r>
      <w:bookmarkEnd w:id="89"/>
      <w:r>
        <w:rPr>
          <w:rFonts w:hint="eastAsia" w:ascii="宋体" w:hAnsi="宋体" w:cs="宋体"/>
          <w:b/>
          <w:bCs/>
          <w:color w:val="000000" w:themeColor="text1"/>
          <w:sz w:val="24"/>
          <w:highlight w:val="none"/>
        </w:rPr>
        <w:t xml:space="preserve">12、投标分项报价表</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12.1 投标人应按照招标文件规定格式填报投标分项报价表。</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hint="eastAsia" w:ascii="宋体" w:hAnsi="宋体" w:cs="宋体"/>
          <w:b/>
          <w:bCs/>
          <w:color w:val="000000" w:themeColor="text1"/>
          <w:sz w:val="24"/>
          <w:highlight w:val="none"/>
        </w:rPr>
      </w:pPr>
      <w:r>
        <w:rPr>
          <w:color w:val="000000" w:themeColor="text1"/>
          <w:highlight w:val="none"/>
        </w:rPr>
      </w:r>
      <w:bookmarkStart w:id="90" w:name="_Hlt26954846"/>
      <w:r>
        <w:rPr>
          <w:color w:val="000000" w:themeColor="text1"/>
          <w:highlight w:val="none"/>
        </w:rPr>
      </w:r>
      <w:bookmarkEnd w:id="90"/>
      <w:r>
        <w:rPr>
          <w:color w:val="000000" w:themeColor="text1"/>
          <w:highlight w:val="none"/>
        </w:rPr>
      </w:r>
      <w:bookmarkStart w:id="91" w:name="_Hlt26670482"/>
      <w:r>
        <w:rPr>
          <w:color w:val="000000" w:themeColor="text1"/>
          <w:highlight w:val="none"/>
        </w:rPr>
      </w:r>
      <w:bookmarkEnd w:id="91"/>
      <w:r>
        <w:rPr>
          <w:color w:val="000000" w:themeColor="text1"/>
          <w:highlight w:val="none"/>
        </w:rPr>
      </w:r>
      <w:bookmarkStart w:id="92" w:name="_Hlt26954731"/>
      <w:r>
        <w:rPr>
          <w:color w:val="000000" w:themeColor="text1"/>
          <w:highlight w:val="none"/>
        </w:rPr>
      </w:r>
      <w:bookmarkEnd w:id="92"/>
      <w:r>
        <w:rPr>
          <w:color w:val="000000" w:themeColor="text1"/>
          <w:highlight w:val="none"/>
        </w:rPr>
      </w:r>
      <w:bookmarkStart w:id="93" w:name="_Hlt26670486"/>
      <w:r>
        <w:rPr>
          <w:color w:val="000000" w:themeColor="text1"/>
          <w:highlight w:val="none"/>
        </w:rPr>
      </w:r>
      <w:bookmarkEnd w:id="93"/>
      <w:r>
        <w:rPr>
          <w:color w:val="000000" w:themeColor="text1"/>
          <w:highlight w:val="none"/>
        </w:rPr>
      </w:r>
      <w:bookmarkStart w:id="94" w:name="_Hlt26954848"/>
      <w:r>
        <w:rPr>
          <w:color w:val="000000" w:themeColor="text1"/>
          <w:highlight w:val="none"/>
        </w:rPr>
      </w:r>
      <w:bookmarkEnd w:id="94"/>
      <w:r>
        <w:rPr>
          <w:rFonts w:hint="eastAsia" w:ascii="宋体" w:hAnsi="宋体" w:cs="宋体"/>
          <w:b/>
          <w:bCs/>
          <w:color w:val="000000" w:themeColor="text1"/>
          <w:sz w:val="24"/>
          <w:highlight w:val="none"/>
          <w:lang w:val="zh-CN"/>
        </w:rPr>
        <w:t xml:space="preserve">13、技术要求响应及偏离表、商务要求响应及偏离表</w:t>
      </w:r>
      <w:r>
        <w:rPr>
          <w:rFonts w:hint="eastAsia" w:ascii="宋体" w:hAnsi="宋体" w:cs="宋体"/>
          <w:b/>
          <w:bCs/>
          <w:color w:val="000000" w:themeColor="text1"/>
          <w:sz w:val="24"/>
          <w:highlight w:val="none"/>
          <w:lang w:val="zh-CN"/>
        </w:rPr>
      </w:r>
      <w:r>
        <w:rPr>
          <w:color w:val="000000" w:themeColor="text1"/>
          <w:highlight w:val="none"/>
        </w:rPr>
      </w:r>
    </w:p>
    <w:p>
      <w:pPr>
        <w:pStyle w:val="982"/>
        <w:ind w:firstLine="480"/>
        <w:spacing w:before="16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13.1 投标人需对招标文件中的技术要求与商务要求逐项作出响应或偏离，并说明原因。</w:t>
      </w:r>
      <w:r>
        <w:rPr>
          <w:rFonts w:hint="eastAsia" w:ascii="宋体" w:hAnsi="宋体" w:cs="宋体"/>
          <w:color w:val="000000" w:themeColor="text1"/>
          <w:sz w:val="24"/>
          <w:highlight w:val="none"/>
          <w:lang w:val="zh-CN"/>
        </w:rPr>
      </w:r>
      <w:r>
        <w:rPr>
          <w:color w:val="000000" w:themeColor="text1"/>
          <w:highlight w:val="none"/>
        </w:rPr>
      </w:r>
    </w:p>
    <w:p>
      <w:pPr>
        <w:pStyle w:val="982"/>
        <w:ind w:firstLine="480"/>
        <w:spacing w:before="16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13.2 投标人可在投标文件中提供认为需要的其他技术文件或说明。</w:t>
      </w:r>
      <w:r>
        <w:rPr>
          <w:rFonts w:hint="eastAsia" w:ascii="宋体" w:hAnsi="宋体" w:cs="宋体"/>
          <w:color w:val="000000" w:themeColor="text1"/>
          <w:sz w:val="24"/>
          <w:highlight w:val="none"/>
          <w:lang w:val="zh-CN"/>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14、服务承诺、培训计划、人员安排及其他</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14.1 投标人需根据招标文件要求提供有关售后服务的管理制度，售后服务机构的分布情况，售后服务人员的数量、素质、技术水平及售后服务的反应能力等。</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14.2 投标人需根据招标文件要求提供培训计划。</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14.3 投标人需根据招标文件要求提供</w:t>
      </w:r>
      <w:r>
        <w:rPr>
          <w:rFonts w:hint="eastAsia" w:ascii="宋体" w:hAnsi="宋体" w:cs="宋体"/>
          <w:color w:val="000000" w:themeColor="text1"/>
          <w:sz w:val="24"/>
          <w:highlight w:val="none"/>
          <w:lang w:val="zh-CN"/>
        </w:rPr>
        <w:t xml:space="preserve">所投标的的主要组成部分、功能设计、实现思路及关键技术等。</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95" w:name="_Toc49090510"/>
      <w:r>
        <w:rPr>
          <w:color w:val="000000" w:themeColor="text1"/>
          <w:highlight w:val="none"/>
        </w:rPr>
      </w:r>
      <w:bookmarkStart w:id="96" w:name="_Toc14577359"/>
      <w:r>
        <w:rPr>
          <w:rFonts w:hint="eastAsia" w:ascii="宋体" w:hAnsi="宋体" w:cs="宋体"/>
          <w:b/>
          <w:bCs/>
          <w:color w:val="000000" w:themeColor="text1"/>
          <w:sz w:val="24"/>
          <w:highlight w:val="none"/>
        </w:rPr>
        <w:t xml:space="preserve">15、投标函和开标一览表</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15.1 投标人应按照招标文件中提供的格式完整、正确填写投标函、开标一览表。</w:t>
      </w:r>
      <w:r>
        <w:rPr>
          <w:rFonts w:ascii="宋体"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End w:id="95"/>
      <w:r>
        <w:rPr>
          <w:color w:val="000000" w:themeColor="text1"/>
          <w:highlight w:val="none"/>
        </w:rPr>
      </w:r>
      <w:bookmarkEnd w:id="96"/>
      <w:r>
        <w:rPr>
          <w:color w:val="000000" w:themeColor="text1"/>
          <w:highlight w:val="none"/>
        </w:rPr>
      </w:r>
      <w:bookmarkStart w:id="97" w:name="_Toc49090511"/>
      <w:r>
        <w:rPr>
          <w:color w:val="000000" w:themeColor="text1"/>
          <w:highlight w:val="none"/>
        </w:rPr>
      </w:r>
      <w:bookmarkStart w:id="98" w:name="_Toc14577360"/>
      <w:r>
        <w:rPr>
          <w:rFonts w:hint="eastAsia" w:ascii="宋体" w:hAnsi="宋体" w:cs="宋体"/>
          <w:b/>
          <w:bCs/>
          <w:color w:val="000000" w:themeColor="text1"/>
          <w:sz w:val="24"/>
          <w:highlight w:val="none"/>
        </w:rPr>
        <w:t xml:space="preserve">16、投标有效期</w:t>
      </w:r>
      <w:bookmarkEnd w:id="97"/>
      <w:r>
        <w:rPr>
          <w:color w:val="000000" w:themeColor="text1"/>
          <w:highlight w:val="none"/>
        </w:rPr>
      </w:r>
      <w:bookmarkEnd w:id="98"/>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16.1投标有效期为开标之日后</w:t>
      </w:r>
      <w:r>
        <w:rPr>
          <w:rFonts w:hint="eastAsia" w:ascii="仿宋_GB2312" w:hAnsi="仿宋_GB2312"/>
          <w:b/>
          <w:color w:val="000000" w:themeColor="text1"/>
          <w:sz w:val="24"/>
          <w:szCs w:val="21"/>
          <w:highlight w:val="none"/>
          <w:u w:val="single"/>
        </w:rPr>
        <w:t xml:space="preserve">九十（90）天</w:t>
      </w:r>
      <w:r>
        <w:rPr>
          <w:rFonts w:hint="eastAsia" w:ascii="宋体" w:hAnsi="宋体"/>
          <w:bCs/>
          <w:color w:val="000000" w:themeColor="text1"/>
          <w:sz w:val="24"/>
          <w:szCs w:val="21"/>
          <w:highlight w:val="none"/>
        </w:rPr>
        <w:t xml:space="preserve">。投标有效期比规定短的将被视为未实质性响应招标文件而予以拒绝。</w:t>
      </w:r>
      <w:r>
        <w:rPr>
          <w:rFonts w:ascii="宋体" w:hAnsi="宋体"/>
          <w:bCs/>
          <w:color w:val="000000" w:themeColor="text1"/>
          <w:sz w:val="24"/>
          <w:szCs w:val="21"/>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17、投标有效期的延长</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17.1在特殊情况下，</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的这一要求而放弃投标，同意延长投标有效期的投标人既不能要求也不允许修改其投标文件。</w:t>
      </w:r>
      <w:r>
        <w:rPr>
          <w:rFonts w:hint="eastAsia" w:ascii="宋体" w:hAnsi="宋体"/>
          <w:color w:val="000000" w:themeColor="text1"/>
          <w:sz w:val="24"/>
          <w:highlight w:val="none"/>
        </w:rPr>
        <w:t xml:space="preserve">受投标有效期约束的所有权利与义务均延长至新的有效期</w:t>
      </w:r>
      <w:r>
        <w:rPr>
          <w:rFonts w:hint="eastAsia"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ascii="宋体" w:hAnsi="宋体"/>
          <w:bCs/>
          <w:color w:val="000000" w:themeColor="text1"/>
          <w:sz w:val="24"/>
          <w:szCs w:val="21"/>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outlineLvl w:val="1"/>
      </w:pPr>
      <w:r>
        <w:rPr>
          <w:color w:val="000000" w:themeColor="text1"/>
          <w:highlight w:val="none"/>
        </w:rPr>
      </w:r>
      <w:bookmarkStart w:id="99" w:name="_Hlt26954852"/>
      <w:r>
        <w:rPr>
          <w:color w:val="000000" w:themeColor="text1"/>
          <w:highlight w:val="none"/>
        </w:rPr>
      </w:r>
      <w:bookmarkEnd w:id="99"/>
      <w:r>
        <w:rPr>
          <w:color w:val="000000" w:themeColor="text1"/>
          <w:highlight w:val="none"/>
        </w:rPr>
      </w:r>
      <w:bookmarkStart w:id="100" w:name="_Hlt26954739"/>
      <w:r>
        <w:rPr>
          <w:color w:val="000000" w:themeColor="text1"/>
          <w:highlight w:val="none"/>
        </w:rPr>
      </w:r>
      <w:bookmarkEnd w:id="100"/>
      <w:r>
        <w:rPr>
          <w:color w:val="000000" w:themeColor="text1"/>
          <w:highlight w:val="none"/>
        </w:rPr>
      </w:r>
      <w:bookmarkStart w:id="101" w:name="_Toc120614217"/>
      <w:r>
        <w:rPr>
          <w:color w:val="000000" w:themeColor="text1"/>
          <w:highlight w:val="none"/>
        </w:rPr>
      </w:r>
      <w:bookmarkStart w:id="102" w:name="_Toc13747"/>
      <w:r>
        <w:rPr>
          <w:color w:val="000000" w:themeColor="text1"/>
          <w:highlight w:val="none"/>
        </w:rPr>
      </w:r>
      <w:bookmarkStart w:id="103" w:name="_Toc20823296"/>
      <w:r>
        <w:rPr>
          <w:color w:val="000000" w:themeColor="text1"/>
          <w:highlight w:val="none"/>
        </w:rPr>
      </w:r>
      <w:bookmarkStart w:id="104" w:name="_Toc513029224"/>
      <w:r>
        <w:rPr>
          <w:color w:val="000000" w:themeColor="text1"/>
          <w:highlight w:val="none"/>
        </w:rPr>
      </w:r>
      <w:bookmarkStart w:id="105" w:name="_Toc16938540"/>
      <w:r>
        <w:rPr>
          <w:rFonts w:hint="eastAsia" w:ascii="宋体" w:hAnsi="宋体" w:cs="宋体"/>
          <w:b/>
          <w:bCs/>
          <w:color w:val="000000" w:themeColor="text1"/>
          <w:sz w:val="24"/>
          <w:highlight w:val="none"/>
        </w:rPr>
        <w:t xml:space="preserve">四、投标文件的递交</w:t>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rFonts w:ascii="宋体" w:hAnsi="宋体" w:cs="宋体"/>
          <w:b/>
          <w:bCs/>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06" w:name="_Toc16938541"/>
      <w:r>
        <w:rPr>
          <w:color w:val="000000" w:themeColor="text1"/>
          <w:highlight w:val="none"/>
        </w:rPr>
      </w:r>
      <w:bookmarkStart w:id="107" w:name="_Toc513029225"/>
      <w:r>
        <w:rPr>
          <w:color w:val="000000" w:themeColor="text1"/>
          <w:highlight w:val="none"/>
        </w:rPr>
      </w:r>
      <w:bookmarkStart w:id="108" w:name="_Toc462564084"/>
      <w:r>
        <w:rPr>
          <w:color w:val="000000" w:themeColor="text1"/>
          <w:highlight w:val="none"/>
        </w:rPr>
      </w:r>
      <w:bookmarkStart w:id="109" w:name="_Toc20823297"/>
      <w:r>
        <w:rPr>
          <w:rFonts w:hint="eastAsia" w:ascii="宋体" w:hAnsi="宋体" w:cs="宋体"/>
          <w:b/>
          <w:bCs/>
          <w:color w:val="000000" w:themeColor="text1"/>
          <w:sz w:val="24"/>
          <w:highlight w:val="none"/>
        </w:rPr>
        <w:t xml:space="preserve">18、电子投标文件</w:t>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rFonts w:hint="eastAsia" w:ascii="宋体" w:hAnsi="宋体" w:cs="宋体"/>
          <w:b/>
          <w:bCs/>
          <w:color w:val="000000" w:themeColor="text1"/>
          <w:sz w:val="24"/>
          <w:highlight w:val="none"/>
        </w:rPr>
        <w:t xml:space="preserve">的递交</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18.1投标人应当按照《操作手册》规定，在投标截止时间前制作并上传电子投标文件。</w:t>
      </w:r>
      <w:bookmarkStart w:id="110" w:name="_Toc16938542"/>
      <w:r>
        <w:rPr>
          <w:color w:val="000000" w:themeColor="text1"/>
          <w:highlight w:val="none"/>
        </w:rPr>
      </w:r>
      <w:bookmarkStart w:id="111" w:name="_Toc513029226"/>
      <w:r>
        <w:rPr>
          <w:color w:val="000000" w:themeColor="text1"/>
          <w:highlight w:val="none"/>
        </w:rPr>
      </w:r>
      <w:bookmarkStart w:id="112" w:name="_Toc20823298"/>
      <w:r>
        <w:rPr>
          <w:rFonts w:ascii="宋体" w:hAnsi="宋体"/>
          <w:bCs/>
          <w:color w:val="000000" w:themeColor="text1"/>
          <w:sz w:val="24"/>
          <w:szCs w:val="21"/>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19、投标截止日期</w:t>
      </w:r>
      <w:bookmarkEnd w:id="110"/>
      <w:r>
        <w:rPr>
          <w:color w:val="000000" w:themeColor="text1"/>
          <w:highlight w:val="none"/>
        </w:rPr>
      </w:r>
      <w:bookmarkEnd w:id="111"/>
      <w:r>
        <w:rPr>
          <w:color w:val="000000" w:themeColor="text1"/>
          <w:highlight w:val="none"/>
        </w:rPr>
      </w:r>
      <w:bookmarkEnd w:id="112"/>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19.1 投标人上传电子投标文件的时间不得迟于招标公告中规定的投标截止时间。</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19.2 </w:t>
      </w:r>
      <w:r>
        <w:rPr>
          <w:rFonts w:hint="eastAsia" w:ascii="宋体" w:hAnsi="宋体"/>
          <w:bCs/>
          <w:color w:val="000000" w:themeColor="text1"/>
          <w:sz w:val="24"/>
          <w:szCs w:val="21"/>
          <w:highlight w:val="none"/>
          <w:u w:val="single"/>
        </w:rPr>
        <w:t xml:space="preserve">采购代理机构</w:t>
      </w:r>
      <w:r>
        <w:rPr>
          <w:rFonts w:hint="eastAsia" w:ascii="宋体" w:hAnsi="宋体"/>
          <w:bCs/>
          <w:color w:val="000000" w:themeColor="text1"/>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ascii="宋体" w:hAnsi="宋体"/>
          <w:bCs/>
          <w:color w:val="000000" w:themeColor="text1"/>
          <w:sz w:val="24"/>
          <w:szCs w:val="21"/>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13" w:name="_Toc20823299"/>
      <w:r>
        <w:rPr>
          <w:color w:val="000000" w:themeColor="text1"/>
          <w:highlight w:val="none"/>
        </w:rPr>
      </w:r>
      <w:bookmarkStart w:id="114" w:name="_Toc513029227"/>
      <w:r>
        <w:rPr>
          <w:color w:val="000000" w:themeColor="text1"/>
          <w:highlight w:val="none"/>
        </w:rPr>
      </w:r>
      <w:bookmarkStart w:id="115" w:name="_Toc16938543"/>
      <w:r>
        <w:rPr>
          <w:rFonts w:hint="eastAsia" w:ascii="宋体" w:hAnsi="宋体" w:cs="宋体"/>
          <w:b/>
          <w:bCs/>
          <w:color w:val="000000" w:themeColor="text1"/>
          <w:sz w:val="24"/>
          <w:highlight w:val="none"/>
        </w:rPr>
        <w:t xml:space="preserve">20、投标文件</w:t>
      </w:r>
      <w:bookmarkEnd w:id="113"/>
      <w:r>
        <w:rPr>
          <w:color w:val="000000" w:themeColor="text1"/>
          <w:highlight w:val="none"/>
        </w:rPr>
      </w:r>
      <w:bookmarkEnd w:id="114"/>
      <w:r>
        <w:rPr>
          <w:color w:val="000000" w:themeColor="text1"/>
          <w:highlight w:val="none"/>
        </w:rPr>
      </w:r>
      <w:bookmarkEnd w:id="115"/>
      <w:r>
        <w:rPr>
          <w:rFonts w:hint="eastAsia" w:ascii="宋体" w:hAnsi="宋体" w:cs="宋体"/>
          <w:b/>
          <w:bCs/>
          <w:color w:val="000000" w:themeColor="text1"/>
          <w:sz w:val="24"/>
          <w:highlight w:val="none"/>
        </w:rPr>
        <w:t xml:space="preserve">的拒收</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20.1 采购代理机构拒绝接收在其规定的投标截止时间后上传的任何投标文件。</w:t>
      </w:r>
      <w:r>
        <w:rPr>
          <w:rFonts w:ascii="宋体" w:hAnsi="宋体"/>
          <w:bCs/>
          <w:color w:val="000000" w:themeColor="text1"/>
          <w:sz w:val="24"/>
          <w:szCs w:val="21"/>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16" w:name="_Toc16938544"/>
      <w:r>
        <w:rPr>
          <w:color w:val="000000" w:themeColor="text1"/>
          <w:highlight w:val="none"/>
        </w:rPr>
      </w:r>
      <w:bookmarkStart w:id="117" w:name="_Toc20823300"/>
      <w:r>
        <w:rPr>
          <w:color w:val="000000" w:themeColor="text1"/>
          <w:highlight w:val="none"/>
        </w:rPr>
      </w:r>
      <w:bookmarkStart w:id="118" w:name="_Toc513029228"/>
      <w:r>
        <w:rPr>
          <w:rFonts w:hint="eastAsia" w:ascii="宋体" w:hAnsi="宋体" w:cs="宋体"/>
          <w:b/>
          <w:bCs/>
          <w:color w:val="000000" w:themeColor="text1"/>
          <w:sz w:val="24"/>
          <w:highlight w:val="none"/>
        </w:rPr>
        <w:t xml:space="preserve">21、投标文件的撤回和修改</w:t>
      </w:r>
      <w:bookmarkEnd w:id="116"/>
      <w:r>
        <w:rPr>
          <w:color w:val="000000" w:themeColor="text1"/>
          <w:highlight w:val="none"/>
        </w:rPr>
      </w:r>
      <w:bookmarkEnd w:id="117"/>
      <w:r>
        <w:rPr>
          <w:color w:val="000000" w:themeColor="text1"/>
          <w:highlight w:val="none"/>
        </w:rPr>
      </w:r>
      <w:bookmarkEnd w:id="118"/>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 投标文件的撤回</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21.1.1 电子投标文件的撤回</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投标人可在投标截止时间前，撤回其电子投标文件，具体操作方法见《操作手册》。</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21.1.2 投标人撤回电子投标文件，则认为其不再参与本项目投标活动。</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 投标文件的修改</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21.2.1投标人可在投标截止时间前，对其电子投标文件进行修改，具体操作方法见《操作手册》。</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21.2.2 在投标截止时间之后，投标人不得对其电子投标文件作任何修改。</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21.3 在投标截止时间至招标文件中规定的投标有效期满之间的这段时间内，投标人不得撤回其投标。</w:t>
      </w:r>
      <w:r>
        <w:rPr>
          <w:rFonts w:ascii="宋体" w:hAnsi="宋体"/>
          <w:bCs/>
          <w:color w:val="000000" w:themeColor="text1"/>
          <w:sz w:val="24"/>
          <w:szCs w:val="21"/>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pPr>
      <w:r>
        <w:rPr>
          <w:color w:val="000000" w:themeColor="text1"/>
          <w:highlight w:val="none"/>
        </w:rPr>
      </w:r>
      <w:bookmarkStart w:id="119" w:name="_Toc20823301"/>
      <w:r>
        <w:rPr>
          <w:color w:val="000000" w:themeColor="text1"/>
          <w:highlight w:val="none"/>
        </w:rPr>
      </w:r>
      <w:bookmarkStart w:id="120" w:name="_Toc16938545"/>
      <w:r>
        <w:rPr>
          <w:color w:val="000000" w:themeColor="text1"/>
          <w:highlight w:val="none"/>
        </w:rPr>
      </w:r>
      <w:bookmarkStart w:id="121" w:name="_Toc513029229"/>
      <w:r>
        <w:rPr>
          <w:color w:val="000000" w:themeColor="text1"/>
          <w:highlight w:val="none"/>
        </w:rPr>
      </w:r>
      <w:bookmarkStart w:id="122" w:name="_Toc120614218"/>
      <w:r>
        <w:rPr>
          <w:rFonts w:ascii="宋体" w:hAnsi="宋体" w:cs="宋体"/>
          <w:b/>
          <w:bCs/>
          <w:color w:val="000000" w:themeColor="text1"/>
          <w:sz w:val="24"/>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outlineLvl w:val="1"/>
      </w:pPr>
      <w:r>
        <w:rPr>
          <w:color w:val="000000" w:themeColor="text1"/>
          <w:highlight w:val="none"/>
        </w:rPr>
      </w:r>
      <w:bookmarkStart w:id="123" w:name="_Toc27778"/>
      <w:r>
        <w:rPr>
          <w:rFonts w:hint="eastAsia" w:ascii="宋体" w:hAnsi="宋体" w:cs="宋体"/>
          <w:b/>
          <w:bCs/>
          <w:color w:val="000000" w:themeColor="text1"/>
          <w:sz w:val="24"/>
          <w:highlight w:val="none"/>
        </w:rPr>
        <w:t xml:space="preserve">五、开标与评标</w:t>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rFonts w:ascii="宋体" w:hAnsi="宋体" w:cs="宋体"/>
          <w:b/>
          <w:bCs/>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24" w:name="_Toc20823302"/>
      <w:r>
        <w:rPr>
          <w:color w:val="000000" w:themeColor="text1"/>
          <w:highlight w:val="none"/>
        </w:rPr>
      </w:r>
      <w:bookmarkStart w:id="125" w:name="_Toc513029230"/>
      <w:r>
        <w:rPr>
          <w:color w:val="000000" w:themeColor="text1"/>
          <w:highlight w:val="none"/>
        </w:rPr>
      </w:r>
      <w:bookmarkStart w:id="126" w:name="_Toc16938546"/>
      <w:r>
        <w:rPr>
          <w:rFonts w:hint="eastAsia" w:ascii="宋体" w:hAnsi="宋体" w:cs="宋体"/>
          <w:b/>
          <w:bCs/>
          <w:color w:val="000000" w:themeColor="text1"/>
          <w:sz w:val="24"/>
          <w:highlight w:val="none"/>
        </w:rPr>
        <w:t xml:space="preserve">22、开标</w:t>
      </w:r>
      <w:bookmarkEnd w:id="124"/>
      <w:r>
        <w:rPr>
          <w:color w:val="000000" w:themeColor="text1"/>
          <w:highlight w:val="none"/>
        </w:rPr>
      </w:r>
      <w:bookmarkEnd w:id="125"/>
      <w:r>
        <w:rPr>
          <w:color w:val="000000" w:themeColor="text1"/>
          <w:highlight w:val="none"/>
        </w:rPr>
      </w:r>
      <w:bookmarkEnd w:id="126"/>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.1</w:t>
      </w:r>
      <w:r>
        <w:rPr>
          <w:rFonts w:hint="eastAsia" w:ascii="宋体" w:hAnsi="宋体"/>
          <w:bCs/>
          <w:color w:val="000000" w:themeColor="text1"/>
          <w:sz w:val="24"/>
          <w:highlight w:val="none"/>
        </w:rPr>
        <w:t xml:space="preserve"> 采购代理机构将在招标公告中规定的时间和地点组织公开开标</w:t>
      </w:r>
      <w:r>
        <w:rPr>
          <w:rFonts w:hint="eastAsia" w:ascii="宋体" w:hAnsi="宋体"/>
          <w:color w:val="000000" w:themeColor="text1"/>
          <w:sz w:val="24"/>
          <w:highlight w:val="none"/>
        </w:rPr>
        <w:t xml:space="preserve">。投标人应当按照《操作手册》规定，</w:t>
      </w:r>
      <w:r>
        <w:rPr>
          <w:rFonts w:ascii="宋体" w:hAnsi="宋体"/>
          <w:color w:val="000000" w:themeColor="text1"/>
          <w:sz w:val="24"/>
          <w:highlight w:val="none"/>
        </w:rPr>
        <w:t xml:space="preserve">参加开标活动</w:t>
      </w:r>
      <w:r>
        <w:rPr>
          <w:rFonts w:hint="eastAsia" w:ascii="宋体" w:hAnsi="宋体"/>
          <w:color w:val="000000" w:themeColor="text1"/>
          <w:sz w:val="24"/>
          <w:highlight w:val="none"/>
        </w:rPr>
        <w:t xml:space="preserve">和在</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规定的时间内对投标文件进行解密。</w:t>
      </w:r>
      <w:r>
        <w:rPr>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.2 </w:t>
      </w:r>
      <w:r>
        <w:rPr>
          <w:rFonts w:hint="eastAsia" w:ascii="宋体" w:hAnsi="宋体"/>
          <w:color w:val="000000" w:themeColor="text1"/>
          <w:sz w:val="24"/>
          <w:highlight w:val="none"/>
        </w:rPr>
        <w:t xml:space="preserve">开标仪式由采购代理机构组织。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w:t>
      </w:r>
      <w:r>
        <w:rPr>
          <w:rFonts w:hint="eastAsia" w:ascii="宋体" w:hAnsi="宋体"/>
          <w:color w:val="000000" w:themeColor="text1"/>
          <w:sz w:val="24"/>
          <w:highlight w:val="none"/>
        </w:rPr>
        <w:t xml:space="preserve">并宣布各投标人名称和投标价格。</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2</w:t>
      </w:r>
      <w:r>
        <w:rPr>
          <w:rFonts w:hint="eastAsia" w:ascii="宋体" w:hAnsi="宋体"/>
          <w:bCs/>
          <w:color w:val="000000" w:themeColor="text1"/>
          <w:sz w:val="24"/>
          <w:highlight w:val="none"/>
        </w:rPr>
        <w:t xml:space="preserve">.3 投标人在开标过程中涉及到的投标文件解密、开标结果确认等工作，应按照《操作手册》规定执行。</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.4 投标人如果对开标过程和开标记录有疑义，应当根据《操作手册》规定提出，如 </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27" w:name="_Toc513029231"/>
      <w:r>
        <w:rPr>
          <w:color w:val="000000" w:themeColor="text1"/>
          <w:highlight w:val="none"/>
        </w:rPr>
      </w:r>
      <w:bookmarkStart w:id="128" w:name="_Toc20823303"/>
      <w:r>
        <w:rPr>
          <w:color w:val="000000" w:themeColor="text1"/>
          <w:highlight w:val="none"/>
        </w:rPr>
      </w:r>
      <w:bookmarkStart w:id="129" w:name="_Toc16938547"/>
      <w:r>
        <w:rPr>
          <w:rFonts w:hint="eastAsia" w:ascii="宋体" w:hAnsi="宋体" w:cs="宋体"/>
          <w:b/>
          <w:bCs/>
          <w:color w:val="000000" w:themeColor="text1"/>
          <w:sz w:val="24"/>
          <w:highlight w:val="none"/>
        </w:rPr>
        <w:t xml:space="preserve">23、评标委员会</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.1</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开标后，采购代理机构将立即组织评标委员会（以下简称评委会）进行评标。</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.2 评委会由采购人代表和有关技术、经济等方面的专家组成，且人员构成符合政府采购有关规定。</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.3评委会独立工作，负责评审所有投标文件并确定中标候选人。</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24．评标过程的保密与公正</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.1 </w:t>
      </w:r>
      <w:r>
        <w:rPr>
          <w:rFonts w:hint="eastAsia" w:ascii="宋体" w:hAnsi="宋体"/>
          <w:bCs/>
          <w:color w:val="000000" w:themeColor="text1"/>
          <w:sz w:val="24"/>
          <w:szCs w:val="21"/>
          <w:highlight w:val="none"/>
        </w:rPr>
        <w:t xml:space="preserve">凡是与审查、澄清、评价和比较投标的有关资料以及授标建议等，采购人、评委、采购代理机构均不得向投标人或与评标无关的其他人员透露。</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4</w:t>
      </w:r>
      <w:r>
        <w:rPr>
          <w:rFonts w:hint="eastAsia" w:ascii="宋体" w:hAnsi="宋体"/>
          <w:color w:val="000000" w:themeColor="text1"/>
          <w:sz w:val="24"/>
          <w:szCs w:val="21"/>
          <w:highlight w:val="none"/>
        </w:rPr>
        <w:t xml:space="preserve">.2 </w:t>
      </w:r>
      <w:r>
        <w:rPr>
          <w:rFonts w:hint="eastAsia" w:ascii="宋体" w:hAnsi="宋体"/>
          <w:color w:val="000000" w:themeColor="text1"/>
          <w:sz w:val="24"/>
          <w:highlight w:val="none"/>
        </w:rPr>
        <w:t xml:space="preserve">在评标过程中，投标人不得以任何行为影响评标过程，否则其投标文件将被作为无效投标文件。</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24</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 采购代理机构和评标委员会不向未中标的投标人解释未中标原因，也不公布评标过程中的相关细节。</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 采用综合评分法的项目，未中标的投标人可于中标结果公告期限届满之日起通过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查看自己的评审得分及排序情况。</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color w:val="000000" w:themeColor="text1"/>
          <w:highlight w:val="none"/>
        </w:rPr>
      </w:r>
      <w:bookmarkStart w:id="130" w:name="_Toc513029232"/>
      <w:r>
        <w:rPr>
          <w:color w:val="000000" w:themeColor="text1"/>
          <w:highlight w:val="none"/>
        </w:rPr>
      </w:r>
      <w:bookmarkStart w:id="131" w:name="_Toc20823304"/>
      <w:r>
        <w:rPr>
          <w:color w:val="000000" w:themeColor="text1"/>
          <w:highlight w:val="none"/>
        </w:rPr>
      </w:r>
      <w:bookmarkStart w:id="132" w:name="_Toc16938548"/>
      <w:r>
        <w:rPr>
          <w:rFonts w:hint="eastAsia" w:ascii="宋体" w:hAnsi="宋体" w:cs="宋体"/>
          <w:b/>
          <w:bCs/>
          <w:color w:val="000000" w:themeColor="text1"/>
          <w:sz w:val="24"/>
          <w:highlight w:val="none"/>
        </w:rPr>
        <w:t xml:space="preserve">25．投标文件的澄清</w:t>
      </w:r>
      <w:bookmarkEnd w:id="130"/>
      <w:r>
        <w:rPr>
          <w:color w:val="000000" w:themeColor="text1"/>
          <w:highlight w:val="none"/>
        </w:rPr>
      </w:r>
      <w:bookmarkEnd w:id="131"/>
      <w:r>
        <w:rPr>
          <w:color w:val="000000" w:themeColor="text1"/>
          <w:highlight w:val="none"/>
        </w:rPr>
      </w:r>
      <w:bookmarkEnd w:id="132"/>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color w:val="000000" w:themeColor="text1"/>
          <w:highlight w:val="none"/>
        </w:rPr>
      </w:r>
      <w:bookmarkStart w:id="133" w:name="_Toc20823305"/>
      <w:r>
        <w:rPr>
          <w:color w:val="000000" w:themeColor="text1"/>
          <w:highlight w:val="none"/>
        </w:rPr>
      </w:r>
      <w:bookmarkStart w:id="134" w:name="_Toc16938549"/>
      <w:r>
        <w:rPr>
          <w:color w:val="000000" w:themeColor="text1"/>
          <w:highlight w:val="none"/>
        </w:rPr>
      </w:r>
      <w:bookmarkStart w:id="135" w:name="_Toc513029233"/>
      <w:r>
        <w:rPr>
          <w:rFonts w:ascii="宋体" w:hAnsi="宋体"/>
          <w:color w:val="000000" w:themeColor="text1"/>
          <w:sz w:val="24"/>
          <w:highlight w:val="none"/>
        </w:rPr>
        <w:t xml:space="preserve">25</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评标期间，评委会对投标文件中含义不明确、同类问题表述不一致或者有明显文字和计算错误的内容</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，有权要求投标人作出必要的澄清、说明或者补正。</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投标人的澄清、说明或者补正不得超出投标文件的范围或者改变投标文件的实质性内容。</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评标</w:t>
      </w:r>
      <w:r>
        <w:rPr>
          <w:rFonts w:ascii="宋体" w:hAnsi="宋体"/>
          <w:color w:val="000000" w:themeColor="text1"/>
          <w:sz w:val="24"/>
          <w:highlight w:val="none"/>
        </w:rPr>
        <w:t xml:space="preserve">委员会并非对每个投标人都做澄清要求</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.2需要供应商进行澄清、说明和补正的，评委会将通过</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向供应商发出“澄清要求函”，接到“澄清要求函”的投标人应当按照要求在</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中提交“澄清响应函”并加盖CA电子公章。澄清、说明和补正的内容作为投标文件的补充部分，具体操作方式见《操作手册》。</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 接到评委会澄清、说明和补正要求的投标人如未按规定做出澄清、说明和补正，其风险由投标人自行承担。</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26、对投标文件的初审</w:t>
      </w:r>
      <w:bookmarkEnd w:id="133"/>
      <w:r>
        <w:rPr>
          <w:color w:val="000000" w:themeColor="text1"/>
          <w:highlight w:val="none"/>
        </w:rPr>
      </w:r>
      <w:bookmarkEnd w:id="134"/>
      <w:r>
        <w:rPr>
          <w:color w:val="000000" w:themeColor="text1"/>
          <w:highlight w:val="none"/>
        </w:rPr>
      </w:r>
      <w:bookmarkEnd w:id="135"/>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.1 </w:t>
      </w:r>
      <w:r>
        <w:rPr>
          <w:rFonts w:hint="eastAsia" w:ascii="宋体" w:hAnsi="宋体"/>
          <w:bCs/>
          <w:color w:val="000000" w:themeColor="text1"/>
          <w:sz w:val="24"/>
          <w:szCs w:val="21"/>
          <w:highlight w:val="none"/>
        </w:rPr>
        <w:t xml:space="preserve">投标文件初审分为资格审查和符合性审查。</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.1.3 未通过资格审查或符合性审查的投标人，采购代理机构将在</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中告知未通过资格审查或符合性审查的原因，评审结束后，采购代理机构将不再告知未通过资格审查或符合性审查的原因。</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.2</w:t>
      </w:r>
      <w:r>
        <w:rPr>
          <w:rFonts w:hint="eastAsia" w:ascii="宋体" w:hAnsi="宋体"/>
          <w:color w:val="000000" w:themeColor="text1"/>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highlight w:val="none"/>
        </w:rPr>
        <w:t xml:space="preserve">评委决定投标文件的响应性只根据投标文件本身的内容，而不寻求外部的证据。</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.3</w:t>
      </w:r>
      <w:r>
        <w:rPr>
          <w:rFonts w:hint="eastAsia" w:ascii="宋体" w:hAnsi="宋体"/>
          <w:bCs/>
          <w:color w:val="000000" w:themeColor="text1"/>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.4</w:t>
      </w:r>
      <w:r>
        <w:rPr>
          <w:rFonts w:hint="eastAsia" w:ascii="宋体" w:hAnsi="宋体"/>
          <w:bCs/>
          <w:color w:val="000000" w:themeColor="text1"/>
          <w:sz w:val="24"/>
          <w:szCs w:val="21"/>
          <w:highlight w:val="none"/>
        </w:rPr>
        <w:t xml:space="preserve">评委会将对确定为实质性响应的投标进行进一步审核，看其是否有计算上或累加上的算术错误，修正错误的原则如下：</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（1）投标文件中开标一览表内容与投标文件中相应内容不一致的，以开标一览表为准。</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（2）大写金额和小写金额不一致的，以大写金额为准。</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（3）单价金额小数点或者百分比有明显错位的，以开标一览表的总价为准，并修改单价。</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（4）总价金额与按单价汇总金额不一致的，以单价金额计算结果为准。</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同时出现两种以上错误的，按照前款规定的顺序修正。</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.5</w:t>
      </w:r>
      <w:r>
        <w:rPr>
          <w:rFonts w:hint="eastAsia" w:ascii="宋体" w:hAnsi="宋体"/>
          <w:bCs/>
          <w:color w:val="000000" w:themeColor="text1"/>
          <w:sz w:val="24"/>
          <w:szCs w:val="21"/>
          <w:highlight w:val="none"/>
        </w:rPr>
        <w:t xml:space="preserve">评委会将按上述修正错误的方法调整投标文件中的投标报价，并</w:t>
      </w:r>
      <w:r>
        <w:rPr>
          <w:rFonts w:ascii="宋体" w:hAnsi="宋体"/>
          <w:bCs/>
          <w:color w:val="000000" w:themeColor="text1"/>
          <w:sz w:val="24"/>
          <w:szCs w:val="21"/>
          <w:highlight w:val="none"/>
        </w:rPr>
        <w:t xml:space="preserve">通过</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告知</w:t>
      </w:r>
      <w:r>
        <w:rPr>
          <w:rFonts w:ascii="宋体" w:hAnsi="宋体"/>
          <w:bCs/>
          <w:color w:val="000000" w:themeColor="text1"/>
          <w:sz w:val="24"/>
          <w:szCs w:val="21"/>
          <w:highlight w:val="none"/>
        </w:rPr>
        <w:t xml:space="preserve">投标人，</w:t>
      </w:r>
      <w:r>
        <w:rPr>
          <w:rFonts w:hint="eastAsia" w:ascii="宋体" w:hAnsi="宋体"/>
          <w:bCs/>
          <w:color w:val="000000" w:themeColor="text1"/>
          <w:sz w:val="24"/>
          <w:szCs w:val="21"/>
          <w:highlight w:val="none"/>
        </w:rPr>
        <w:t xml:space="preserve">调整后的价格应对投标人具有约束力。如果投标人不接受修正后的价格，则其投标将被拒绝。</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olor w:val="000000" w:themeColor="text1"/>
          <w:sz w:val="24"/>
          <w:szCs w:val="21"/>
          <w:highlight w:val="none"/>
        </w:rPr>
      </w:pPr>
      <w:r>
        <w:rPr>
          <w:color w:val="000000" w:themeColor="text1"/>
          <w:highlight w:val="none"/>
        </w:rPr>
      </w:r>
      <w:bookmarkStart w:id="136" w:name="_Toc16938550"/>
      <w:r>
        <w:rPr>
          <w:color w:val="000000" w:themeColor="text1"/>
          <w:highlight w:val="none"/>
        </w:rPr>
      </w:r>
      <w:bookmarkStart w:id="137" w:name="_Toc513029234"/>
      <w:r>
        <w:rPr>
          <w:color w:val="000000" w:themeColor="text1"/>
          <w:highlight w:val="none"/>
        </w:rPr>
      </w:r>
      <w:bookmarkStart w:id="138" w:name="_Toc20823306"/>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.6</w:t>
      </w:r>
      <w:r>
        <w:rPr>
          <w:rFonts w:ascii="宋体" w:hAnsi="宋体"/>
          <w:color w:val="000000" w:themeColor="text1"/>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highlight w:val="none"/>
        </w:rPr>
        <w:t xml:space="preserve">按照招标文件规定的方式（招标文件未规定的通过</w:t>
      </w:r>
      <w:r>
        <w:rPr>
          <w:rFonts w:ascii="宋体" w:hAnsi="宋体"/>
          <w:color w:val="000000" w:themeColor="text1"/>
          <w:sz w:val="24"/>
          <w:szCs w:val="21"/>
          <w:highlight w:val="none"/>
        </w:rPr>
        <w:t xml:space="preserve">随机抽取</w:t>
      </w:r>
      <w:r>
        <w:rPr>
          <w:rFonts w:hint="eastAsia" w:ascii="宋体" w:hAnsi="宋体"/>
          <w:color w:val="000000" w:themeColor="text1"/>
          <w:sz w:val="24"/>
          <w:szCs w:val="21"/>
          <w:highlight w:val="none"/>
        </w:rPr>
        <w:t xml:space="preserve">的</w:t>
      </w:r>
      <w:r>
        <w:rPr>
          <w:rFonts w:ascii="宋体" w:hAnsi="宋体"/>
          <w:color w:val="000000" w:themeColor="text1"/>
          <w:sz w:val="24"/>
          <w:szCs w:val="21"/>
          <w:highlight w:val="none"/>
        </w:rPr>
        <w:t xml:space="preserve">方式</w:t>
      </w:r>
      <w:r>
        <w:rPr>
          <w:rFonts w:hint="eastAsia" w:ascii="宋体" w:hAnsi="宋体"/>
          <w:color w:val="000000" w:themeColor="text1"/>
          <w:sz w:val="24"/>
          <w:szCs w:val="21"/>
          <w:highlight w:val="none"/>
        </w:rPr>
        <w:t xml:space="preserve">）</w:t>
      </w:r>
      <w:r>
        <w:rPr>
          <w:rFonts w:ascii="宋体" w:hAnsi="宋体"/>
          <w:color w:val="000000" w:themeColor="text1"/>
          <w:sz w:val="24"/>
          <w:szCs w:val="21"/>
          <w:highlight w:val="none"/>
        </w:rPr>
        <w:t xml:space="preserve">确定一个参加评标的投标人，其他投标无效。</w:t>
      </w:r>
      <w:r>
        <w:rPr>
          <w:rFonts w:ascii="宋体" w:hAnsi="宋体"/>
          <w:color w:val="000000" w:themeColor="text1"/>
          <w:sz w:val="24"/>
          <w:szCs w:val="21"/>
          <w:highlight w:val="none"/>
        </w:rPr>
      </w:r>
      <w:r>
        <w:rPr>
          <w:color w:val="000000" w:themeColor="text1"/>
          <w:highlight w:val="none"/>
        </w:rPr>
      </w:r>
    </w:p>
    <w:p>
      <w:pPr>
        <w:pStyle w:val="982"/>
        <w:ind w:firstLine="480"/>
        <w:spacing w:line="360" w:lineRule="auto"/>
        <w:rPr>
          <w:rFonts w:ascii="宋体" w:hAnsi="宋体"/>
          <w:color w:val="000000" w:themeColor="text1"/>
          <w:sz w:val="24"/>
          <w:szCs w:val="21"/>
          <w:highlight w:val="none"/>
        </w:rPr>
      </w:pPr>
      <w:r>
        <w:rPr>
          <w:rFonts w:ascii="宋体" w:hAnsi="宋体"/>
          <w:color w:val="000000" w:themeColor="text1"/>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highlight w:val="none"/>
        </w:rPr>
        <w:t xml:space="preserve">根据招标文件规定的方式（招标文件未规定的采取随机抽取的方式）</w:t>
      </w:r>
      <w:r>
        <w:rPr>
          <w:rFonts w:ascii="宋体" w:hAnsi="宋体"/>
          <w:color w:val="000000" w:themeColor="text1"/>
          <w:sz w:val="24"/>
          <w:szCs w:val="21"/>
          <w:highlight w:val="none"/>
        </w:rPr>
        <w:t xml:space="preserve">确定</w:t>
      </w:r>
      <w:r>
        <w:rPr>
          <w:rFonts w:hint="eastAsia" w:ascii="宋体" w:hAnsi="宋体"/>
          <w:color w:val="000000" w:themeColor="text1"/>
          <w:sz w:val="24"/>
          <w:szCs w:val="21"/>
          <w:highlight w:val="none"/>
        </w:rPr>
        <w:t xml:space="preserve">一个中标候选人</w:t>
      </w:r>
      <w:r>
        <w:rPr>
          <w:rFonts w:ascii="宋体" w:hAnsi="宋体"/>
          <w:color w:val="000000" w:themeColor="text1"/>
          <w:sz w:val="24"/>
          <w:szCs w:val="21"/>
          <w:highlight w:val="none"/>
        </w:rPr>
        <w:t xml:space="preserve">，其他同品牌投标人不作为中标候选人。</w:t>
      </w:r>
      <w:r>
        <w:rPr>
          <w:rFonts w:ascii="宋体" w:hAnsi="宋体"/>
          <w:color w:val="000000" w:themeColor="text1"/>
          <w:sz w:val="24"/>
          <w:szCs w:val="21"/>
          <w:highlight w:val="none"/>
        </w:rPr>
      </w:r>
      <w:r>
        <w:rPr>
          <w:color w:val="000000" w:themeColor="text1"/>
          <w:highlight w:val="none"/>
        </w:rPr>
      </w:r>
    </w:p>
    <w:p>
      <w:pPr>
        <w:pStyle w:val="982"/>
        <w:ind w:firstLine="480"/>
        <w:spacing w:line="360" w:lineRule="auto"/>
        <w:rPr>
          <w:rFonts w:ascii="宋体" w:hAnsi="宋体"/>
          <w:color w:val="000000" w:themeColor="text1"/>
          <w:sz w:val="24"/>
          <w:szCs w:val="21"/>
          <w:highlight w:val="none"/>
        </w:rPr>
      </w:pPr>
      <w:r>
        <w:rPr>
          <w:rFonts w:ascii="宋体" w:hAnsi="宋体"/>
          <w:color w:val="000000" w:themeColor="text1"/>
          <w:sz w:val="24"/>
          <w:szCs w:val="21"/>
          <w:highlight w:val="none"/>
        </w:rPr>
        <w:t xml:space="preserve">非单一产品采购项目，招标文件中</w:t>
      </w:r>
      <w:r>
        <w:rPr>
          <w:rFonts w:hint="eastAsia" w:ascii="宋体" w:hAnsi="宋体"/>
          <w:color w:val="000000" w:themeColor="text1"/>
          <w:sz w:val="24"/>
          <w:szCs w:val="21"/>
          <w:highlight w:val="none"/>
        </w:rPr>
        <w:t xml:space="preserve">将载明其中的核心产品</w:t>
      </w:r>
      <w:r>
        <w:rPr>
          <w:rFonts w:ascii="宋体" w:hAnsi="宋体"/>
          <w:color w:val="000000" w:themeColor="text1"/>
          <w:sz w:val="24"/>
          <w:szCs w:val="21"/>
          <w:highlight w:val="none"/>
        </w:rPr>
        <w:t xml:space="preserve">。多家投标人提供的核心产品品牌相同的，按前两款规定处理。</w:t>
      </w:r>
      <w:r>
        <w:rPr>
          <w:rFonts w:ascii="宋体" w:hAnsi="宋体"/>
          <w:color w:val="000000" w:themeColor="text1"/>
          <w:sz w:val="24"/>
          <w:szCs w:val="21"/>
          <w:highlight w:val="none"/>
        </w:rPr>
      </w:r>
      <w:r>
        <w:rPr>
          <w:color w:val="000000" w:themeColor="text1"/>
          <w:highlight w:val="none"/>
        </w:rPr>
      </w:r>
    </w:p>
    <w:p>
      <w:pPr>
        <w:pStyle w:val="982"/>
        <w:ind w:firstLine="480"/>
        <w:spacing w:line="360" w:lineRule="auto"/>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w:t>
      </w: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.7投标人在开、评标全过程中应保持通讯畅通，及时登录</w:t>
      </w:r>
      <w:r>
        <w:rPr>
          <w:rFonts w:hint="eastAsia" w:ascii="宋体" w:hAnsi="宋体"/>
          <w:color w:val="000000" w:themeColor="text1"/>
          <w:sz w:val="24"/>
          <w:highlight w:val="none"/>
        </w:rPr>
        <w:t xml:space="preserve">苏采云系统</w:t>
      </w:r>
      <w:r>
        <w:rPr>
          <w:rFonts w:hint="eastAsia" w:ascii="宋体" w:hAnsi="宋体"/>
          <w:color w:val="000000" w:themeColor="text1"/>
          <w:sz w:val="24"/>
          <w:szCs w:val="21"/>
          <w:highlight w:val="none"/>
        </w:rPr>
        <w:t xml:space="preserve">查阅</w:t>
      </w:r>
      <w:r>
        <w:rPr>
          <w:rFonts w:ascii="宋体" w:hAnsi="宋体"/>
          <w:color w:val="000000" w:themeColor="text1"/>
          <w:sz w:val="24"/>
          <w:szCs w:val="21"/>
          <w:highlight w:val="none"/>
        </w:rPr>
        <w:t xml:space="preserve">、答复相关</w:t>
      </w:r>
      <w:r>
        <w:rPr>
          <w:rFonts w:hint="eastAsia" w:ascii="宋体" w:hAnsi="宋体"/>
          <w:color w:val="000000" w:themeColor="text1"/>
          <w:sz w:val="24"/>
          <w:szCs w:val="21"/>
          <w:highlight w:val="none"/>
        </w:rPr>
        <w:t xml:space="preserve">信息</w:t>
      </w:r>
      <w:r>
        <w:rPr>
          <w:rFonts w:ascii="宋体" w:hAnsi="宋体"/>
          <w:color w:val="000000" w:themeColor="text1"/>
          <w:sz w:val="24"/>
          <w:szCs w:val="21"/>
          <w:highlight w:val="none"/>
        </w:rPr>
        <w:t xml:space="preserve">，</w:t>
      </w:r>
      <w:r>
        <w:rPr>
          <w:rFonts w:hint="eastAsia" w:ascii="宋体" w:hAnsi="宋体"/>
          <w:color w:val="000000" w:themeColor="text1"/>
          <w:sz w:val="24"/>
          <w:szCs w:val="21"/>
          <w:highlight w:val="none"/>
        </w:rPr>
        <w:t xml:space="preserve">并安排专人与采购代理机构及评标委员会联系。</w:t>
      </w:r>
      <w:r>
        <w:rPr>
          <w:rFonts w:ascii="宋体" w:hAnsi="宋体"/>
          <w:color w:val="000000" w:themeColor="text1"/>
          <w:sz w:val="24"/>
          <w:szCs w:val="21"/>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27、</w:t>
      </w:r>
      <w:bookmarkEnd w:id="136"/>
      <w:r>
        <w:rPr>
          <w:color w:val="000000" w:themeColor="text1"/>
          <w:highlight w:val="none"/>
        </w:rPr>
      </w:r>
      <w:bookmarkEnd w:id="137"/>
      <w:r>
        <w:rPr>
          <w:color w:val="000000" w:themeColor="text1"/>
          <w:highlight w:val="none"/>
        </w:rPr>
      </w:r>
      <w:bookmarkEnd w:id="138"/>
      <w:r>
        <w:rPr>
          <w:rFonts w:hint="eastAsia" w:ascii="宋体" w:hAnsi="宋体" w:cs="宋体"/>
          <w:b/>
          <w:bCs/>
          <w:color w:val="000000" w:themeColor="text1"/>
          <w:sz w:val="24"/>
          <w:highlight w:val="none"/>
        </w:rPr>
        <w:t xml:space="preserve">无效投标条款和废标条款</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color w:val="000000" w:themeColor="text1"/>
          <w:highlight w:val="none"/>
        </w:rPr>
      </w:r>
      <w:bookmarkStart w:id="139" w:name="_Toc513029235"/>
      <w:r>
        <w:rPr>
          <w:color w:val="000000" w:themeColor="text1"/>
          <w:highlight w:val="none"/>
        </w:rPr>
      </w:r>
      <w:bookmarkStart w:id="140" w:name="_Toc16938551"/>
      <w:r>
        <w:rPr>
          <w:color w:val="000000" w:themeColor="text1"/>
          <w:highlight w:val="none"/>
        </w:rPr>
      </w:r>
      <w:bookmarkStart w:id="141" w:name="_Toc20823307"/>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 无效投标条款</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 投标人在</w:t>
      </w:r>
      <w:r>
        <w:rPr>
          <w:rFonts w:hint="eastAsia" w:ascii="宋体" w:hAnsi="宋体"/>
          <w:color w:val="000000" w:themeColor="text1"/>
          <w:sz w:val="24"/>
          <w:highlight w:val="none"/>
        </w:rPr>
        <w:t xml:space="preserve">苏采云系统</w:t>
      </w:r>
      <w:r>
        <w:rPr>
          <w:rFonts w:hint="eastAsia" w:ascii="宋体" w:hAnsi="宋体"/>
          <w:bCs/>
          <w:color w:val="000000" w:themeColor="text1"/>
          <w:sz w:val="24"/>
          <w:szCs w:val="21"/>
          <w:highlight w:val="none"/>
        </w:rPr>
        <w:t xml:space="preserve">规定的时间内未成功解密电子投标文件的。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投标人未按照招标文件要求上传电子投标文件的。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 同一投标人提交两个</w:t>
      </w:r>
      <w:r>
        <w:rPr>
          <w:rFonts w:ascii="宋体" w:hAnsi="宋体"/>
          <w:bCs/>
          <w:color w:val="000000" w:themeColor="text1"/>
          <w:sz w:val="24"/>
          <w:szCs w:val="21"/>
          <w:highlight w:val="none"/>
        </w:rPr>
        <w:t xml:space="preserve">（</w:t>
      </w:r>
      <w:r>
        <w:rPr>
          <w:rFonts w:hint="eastAsia" w:ascii="宋体" w:hAnsi="宋体"/>
          <w:bCs/>
          <w:color w:val="000000" w:themeColor="text1"/>
          <w:sz w:val="24"/>
          <w:szCs w:val="21"/>
          <w:highlight w:val="none"/>
        </w:rPr>
        <w:t xml:space="preserve">含</w:t>
      </w:r>
      <w:r>
        <w:rPr>
          <w:rFonts w:ascii="宋体" w:hAnsi="宋体"/>
          <w:bCs/>
          <w:color w:val="000000" w:themeColor="text1"/>
          <w:sz w:val="24"/>
          <w:szCs w:val="21"/>
          <w:highlight w:val="none"/>
        </w:rPr>
        <w:t xml:space="preserve">两个）</w:t>
      </w:r>
      <w:r>
        <w:rPr>
          <w:rFonts w:hint="eastAsia" w:ascii="宋体" w:hAnsi="宋体"/>
          <w:bCs/>
          <w:color w:val="000000" w:themeColor="text1"/>
          <w:sz w:val="24"/>
          <w:szCs w:val="21"/>
          <w:highlight w:val="none"/>
        </w:rPr>
        <w:t xml:space="preserve">以上不同的</w:t>
      </w:r>
      <w:r>
        <w:rPr>
          <w:rFonts w:ascii="宋体" w:hAnsi="宋体"/>
          <w:bCs/>
          <w:color w:val="000000" w:themeColor="text1"/>
          <w:sz w:val="24"/>
          <w:szCs w:val="21"/>
          <w:highlight w:val="none"/>
        </w:rPr>
        <w:t xml:space="preserve">投标报价的。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4</w:t>
      </w:r>
      <w:r>
        <w:rPr>
          <w:rFonts w:hint="eastAsia" w:ascii="宋体" w:hAnsi="宋体"/>
          <w:bCs/>
          <w:color w:val="000000" w:themeColor="text1"/>
          <w:sz w:val="24"/>
          <w:szCs w:val="21"/>
          <w:highlight w:val="none"/>
        </w:rPr>
        <w:t xml:space="preserve"> 投标人不具备招标文件中规定资格要求的。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5</w:t>
      </w:r>
      <w:r>
        <w:rPr>
          <w:rFonts w:hint="eastAsia" w:ascii="宋体" w:hAnsi="宋体"/>
          <w:bCs/>
          <w:color w:val="000000" w:themeColor="text1"/>
          <w:sz w:val="24"/>
          <w:szCs w:val="21"/>
          <w:highlight w:val="none"/>
        </w:rPr>
        <w:t xml:space="preserve"> 投标人的报价超过了采购预算或最高限价的。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i/>
          <w:color w:val="000000" w:themeColor="text1"/>
          <w:sz w:val="24"/>
          <w:szCs w:val="21"/>
          <w:highlight w:val="none"/>
          <w:u w:val="singl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6</w:t>
      </w:r>
      <w:r>
        <w:rPr>
          <w:rFonts w:hint="eastAsia" w:ascii="宋体" w:hAnsi="宋体"/>
          <w:bCs/>
          <w:color w:val="000000" w:themeColor="text1"/>
          <w:sz w:val="24"/>
          <w:szCs w:val="21"/>
          <w:highlight w:val="none"/>
        </w:rPr>
        <w:t xml:space="preserve"> 未通过符合性审查的。</w:t>
      </w:r>
      <w:r>
        <w:rPr>
          <w:rFonts w:ascii="宋体" w:hAnsi="宋体"/>
          <w:bCs/>
          <w:i/>
          <w:color w:val="000000" w:themeColor="text1"/>
          <w:sz w:val="24"/>
          <w:szCs w:val="21"/>
          <w:highlight w:val="none"/>
          <w:u w:val="singl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不符合招标文件中规定的实质性要求和条件的。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w:t>
      </w:r>
      <w:r>
        <w:rPr>
          <w:rFonts w:ascii="宋体" w:hAnsi="宋体"/>
          <w:bCs/>
          <w:color w:val="000000" w:themeColor="text1"/>
          <w:sz w:val="24"/>
          <w:szCs w:val="21"/>
          <w:highlight w:val="none"/>
        </w:rPr>
        <w:t xml:space="preserve">9</w:t>
      </w:r>
      <w:r>
        <w:rPr>
          <w:rFonts w:hint="eastAsia" w:ascii="宋体" w:hAnsi="宋体"/>
          <w:bCs/>
          <w:color w:val="000000" w:themeColor="text1"/>
          <w:sz w:val="24"/>
          <w:szCs w:val="21"/>
          <w:highlight w:val="none"/>
        </w:rPr>
        <w:t xml:space="preserve"> 投标文件含有采购人不能接受的附加条件的。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27.1.10评审过程中出现下列情形之一的，评审委员会应当启动异常低价投标（响应）审查程序：</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（1）投标（响应）报价低于全部通过符合性审查供应商投标（响应）报价平均值65%的，即投标（响应）报价＜全部通过符合性审查供应商投标（响应）报价平均值×65%；</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（2）投标（响应）报价低于通过符合性审查的次低报价供应商投标（响应）报价65%的，即投标（响应）报价＜通过符合性审查的次低报价供应商投标（响应）报价×65%；</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（3）投标（响应）报价低于采购项目最高限价65%%的，即投标（响应）报价＜采购项目最高限价×65%；</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（4）评审委员会基于专业判断，认为供应商报价过低，有可能影响产品质量或者不能诚信履约的其他情形。</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hint="eastAsia"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启动异常低价投标（响应）审查后，评审委员会应当通过苏采云系统要求相关供应商在评标现场合理的时间内（自澄清发布后30分钟，投标人应关注苏采云系统，及时在规定时间内作出回复。回复超出时间视为未提供有效书面说明、证明材料），在政府采购管理交易系统（苏采云）中提供具体成本测算等与报价合理性相关的书面说明及必要的证明材料，包括但不限于原材料成本、人工成本、服务业绩案例、制造费用等与</w:t>
      </w:r>
      <w:r>
        <w:rPr>
          <w:rFonts w:hint="eastAsia" w:ascii="宋体" w:hAnsi="宋体"/>
          <w:bCs/>
          <w:color w:val="000000" w:themeColor="text1"/>
          <w:sz w:val="24"/>
          <w:szCs w:val="21"/>
          <w:highlight w:val="none"/>
        </w:rPr>
        <w:t xml:space="preserve">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27.1.1</w:t>
      </w:r>
      <w:r>
        <w:rPr>
          <w:rFonts w:ascii="宋体" w:hAnsi="宋体"/>
          <w:bCs/>
          <w:color w:val="000000" w:themeColor="text1"/>
          <w:sz w:val="24"/>
          <w:szCs w:val="21"/>
          <w:highlight w:val="none"/>
        </w:rPr>
        <w:t xml:space="preserve">1</w:t>
      </w:r>
      <w:r>
        <w:rPr>
          <w:rFonts w:hint="eastAsia" w:ascii="宋体" w:hAnsi="宋体"/>
          <w:bCs/>
          <w:color w:val="000000" w:themeColor="text1"/>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2</w:t>
      </w:r>
      <w:r>
        <w:rPr>
          <w:rFonts w:hint="eastAsia" w:ascii="宋体" w:hAnsi="宋体"/>
          <w:bCs/>
          <w:color w:val="000000" w:themeColor="text1"/>
          <w:sz w:val="24"/>
          <w:szCs w:val="21"/>
          <w:highlight w:val="none"/>
        </w:rPr>
        <w:t xml:space="preserve"> 投标文件未按照招标文件要求加盖CA电子公章的。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.1.1</w:t>
      </w:r>
      <w:r>
        <w:rPr>
          <w:rFonts w:ascii="宋体" w:hAnsi="宋体"/>
          <w:bCs/>
          <w:color w:val="000000" w:themeColor="text1"/>
          <w:sz w:val="24"/>
          <w:szCs w:val="21"/>
          <w:highlight w:val="none"/>
        </w:rPr>
        <w:t xml:space="preserve">3</w:t>
      </w:r>
      <w:r>
        <w:rPr>
          <w:rFonts w:hint="eastAsia" w:ascii="宋体" w:hAnsi="宋体"/>
          <w:bCs/>
          <w:color w:val="000000" w:themeColor="text1"/>
          <w:sz w:val="24"/>
          <w:szCs w:val="21"/>
          <w:highlight w:val="none"/>
        </w:rPr>
        <w:t xml:space="preserve"> 其他法律、法规及本招标文件规定的属无效投标的情形。</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 废标条款</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.2.1 符合专业条件的供应商或者对招标文件作实质响应的供应商不足三家的。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.2.2出现影响采购公正的违法、违规行为的。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.2.3 因重大变故，采购任务取消的。</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.2.4 评标委员会认定招标文件存在歧义、重大缺陷导致评审工作无法进行。</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.2.5 因</w:t>
      </w:r>
      <w:r>
        <w:rPr>
          <w:rFonts w:hint="eastAsia" w:ascii="宋体" w:hAnsi="宋体"/>
          <w:color w:val="000000" w:themeColor="text1"/>
          <w:sz w:val="24"/>
          <w:highlight w:val="none"/>
        </w:rPr>
        <w:t xml:space="preserve">苏采云系统</w:t>
      </w:r>
      <w:r>
        <w:rPr>
          <w:rFonts w:ascii="宋体" w:hAnsi="宋体"/>
          <w:bCs/>
          <w:color w:val="000000" w:themeColor="text1"/>
          <w:sz w:val="24"/>
          <w:szCs w:val="21"/>
          <w:highlight w:val="none"/>
        </w:rPr>
        <w:t xml:space="preserve">系统故障原因造成开标不成功</w:t>
      </w:r>
      <w:r>
        <w:rPr>
          <w:rFonts w:hint="eastAsia" w:ascii="宋体" w:hAnsi="宋体"/>
          <w:bCs/>
          <w:color w:val="000000" w:themeColor="text1"/>
          <w:sz w:val="24"/>
          <w:szCs w:val="21"/>
          <w:highlight w:val="none"/>
        </w:rPr>
        <w:t xml:space="preserve">的</w:t>
      </w:r>
      <w:r>
        <w:rPr>
          <w:rFonts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 投标截止时间结束后参加投标的供应商不足三家的处理：</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7</w:t>
      </w:r>
      <w:r>
        <w:rPr>
          <w:rFonts w:hint="eastAsia" w:ascii="宋体" w:hAnsi="宋体"/>
          <w:bCs/>
          <w:color w:val="000000" w:themeColor="text1"/>
          <w:sz w:val="24"/>
          <w:szCs w:val="21"/>
          <w:highlight w:val="none"/>
        </w:rPr>
        <w:t xml:space="preserve">.3.1 如出现投标截止时间结束后参加投标的供应商或者在评标期间对招标文件做出实质响应的供应商不足三家情况，按政府采购相关规定执行。</w:t>
      </w:r>
      <w:r>
        <w:rPr>
          <w:rFonts w:ascii="宋体" w:hAnsi="宋体"/>
          <w:bCs/>
          <w:color w:val="000000" w:themeColor="text1"/>
          <w:sz w:val="24"/>
          <w:szCs w:val="21"/>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pPr>
      <w:r>
        <w:rPr>
          <w:color w:val="000000" w:themeColor="text1"/>
          <w:highlight w:val="none"/>
        </w:rPr>
      </w:r>
      <w:bookmarkStart w:id="142" w:name="_Toc120614219"/>
      <w:r>
        <w:rPr>
          <w:rFonts w:ascii="宋体" w:hAnsi="宋体" w:cs="宋体"/>
          <w:b/>
          <w:bCs/>
          <w:color w:val="000000" w:themeColor="text1"/>
          <w:sz w:val="24"/>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outlineLvl w:val="1"/>
      </w:pPr>
      <w:r>
        <w:rPr>
          <w:color w:val="000000" w:themeColor="text1"/>
          <w:highlight w:val="none"/>
        </w:rPr>
      </w:r>
      <w:bookmarkStart w:id="143" w:name="_Toc910"/>
      <w:r>
        <w:rPr>
          <w:rFonts w:hint="eastAsia" w:ascii="宋体" w:hAnsi="宋体" w:cs="宋体"/>
          <w:b/>
          <w:bCs/>
          <w:color w:val="000000" w:themeColor="text1"/>
          <w:sz w:val="24"/>
          <w:highlight w:val="none"/>
        </w:rPr>
        <w:t xml:space="preserve">六、定标</w:t>
      </w:r>
      <w:r>
        <w:rPr>
          <w:rFonts w:ascii="宋体" w:hAnsi="宋体" w:cs="宋体"/>
          <w:b/>
          <w:bCs/>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28、确定中标单位</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.1中标候选人的选取原则和数量见招标文件第五章规定。 </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2</w:t>
      </w:r>
      <w:r>
        <w:rPr>
          <w:rFonts w:ascii="宋体" w:hAnsi="宋体"/>
          <w:bCs/>
          <w:color w:val="000000" w:themeColor="text1"/>
          <w:sz w:val="24"/>
          <w:szCs w:val="21"/>
          <w:highlight w:val="none"/>
        </w:rPr>
        <w:t xml:space="preserve">8</w:t>
      </w:r>
      <w:r>
        <w:rPr>
          <w:rFonts w:hint="eastAsia" w:ascii="宋体" w:hAnsi="宋体"/>
          <w:bCs/>
          <w:color w:val="000000" w:themeColor="text1"/>
          <w:sz w:val="24"/>
          <w:szCs w:val="21"/>
          <w:highlight w:val="none"/>
        </w:rPr>
        <w:t xml:space="preserve">.2 采购人应根据评委会推荐的中标候选人确定中标人。</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2</w:t>
      </w:r>
      <w:r>
        <w:rPr>
          <w:rFonts w:ascii="宋体" w:hAnsi="宋体"/>
          <w:bCs/>
          <w:color w:val="000000" w:themeColor="text1"/>
          <w:sz w:val="24"/>
          <w:highlight w:val="none"/>
        </w:rPr>
        <w:t xml:space="preserve">8</w:t>
      </w:r>
      <w:r>
        <w:rPr>
          <w:rFonts w:hint="eastAsia" w:ascii="宋体" w:hAnsi="宋体"/>
          <w:bCs/>
          <w:color w:val="000000" w:themeColor="text1"/>
          <w:sz w:val="24"/>
          <w:highlight w:val="none"/>
        </w:rPr>
        <w:t xml:space="preserve">.3 </w:t>
      </w:r>
      <w:r>
        <w:rPr>
          <w:rFonts w:hint="eastAsia" w:ascii="宋体" w:hAnsi="宋体"/>
          <w:color w:val="000000" w:themeColor="text1"/>
          <w:sz w:val="24"/>
          <w:highlight w:val="none"/>
        </w:rPr>
        <w:t xml:space="preserve">采购代理机构将在“江苏政府采购网”发布中标公告，公告期限为1个工作日。</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 若有充分证据证明，中标人出现下列情况之一的，一经查实，将被取消中标资格：</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.4.1 提供虚假材料谋取中标的。</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.4.2 向采购人、采购代理机构行贿或者提供其他不正当利益的。</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.4.3 属于本文件规定的无效条件，但在评标过程中又未被评委会发现的。</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.4.4 与采购人或者其他供应商恶意串通的。</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.4.5 采取不正当手段诋毁、排挤其他供应商的。</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w:t>
      </w:r>
      <w:r>
        <w:rPr>
          <w:rFonts w:hint="eastAsia"/>
          <w:color w:val="000000" w:themeColor="text1"/>
          <w:szCs w:val="21"/>
          <w:highlight w:val="none"/>
        </w:rPr>
        <w:t xml:space="preserve"> </w:t>
      </w:r>
      <w:r>
        <w:rPr>
          <w:rFonts w:hAnsi="宋体" w:cs="宋体"/>
          <w:color w:val="000000" w:themeColor="text1"/>
          <w:sz w:val="24"/>
          <w:highlight w:val="none"/>
        </w:rPr>
        <w:t xml:space="preserve">有下列情形之一的，</w:t>
      </w:r>
      <w:r>
        <w:rPr>
          <w:rFonts w:hint="eastAsia" w:hAnsi="宋体" w:cs="宋体"/>
          <w:color w:val="000000" w:themeColor="text1"/>
          <w:sz w:val="24"/>
          <w:highlight w:val="none"/>
        </w:rPr>
        <w:t xml:space="preserve">视为投标人</w:t>
      </w:r>
      <w:r>
        <w:rPr>
          <w:rFonts w:hAnsi="宋体" w:cs="宋体"/>
          <w:color w:val="000000" w:themeColor="text1"/>
          <w:sz w:val="24"/>
          <w:highlight w:val="none"/>
        </w:rPr>
        <w:t xml:space="preserve">串通</w:t>
      </w:r>
      <w:r>
        <w:rPr>
          <w:rFonts w:hint="eastAsia" w:hAnsi="宋体" w:cs="宋体"/>
          <w:color w:val="000000" w:themeColor="text1"/>
          <w:sz w:val="24"/>
          <w:highlight w:val="none"/>
        </w:rPr>
        <w:t xml:space="preserve">投标，投标无效：</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.5.1 不同投标人的投标文件由同一单位或者个人编制；</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.5.2 不同投标人委托同一单位或者个人办理投标事宜；</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.5.3 不同投标人的投标文件载明的项目管理成员或者联系人员为同一人；</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8</w:t>
      </w:r>
      <w:r>
        <w:rPr>
          <w:rFonts w:hint="eastAsia" w:ascii="宋体" w:hAnsi="宋体"/>
          <w:color w:val="000000" w:themeColor="text1"/>
          <w:sz w:val="24"/>
          <w:highlight w:val="none"/>
        </w:rPr>
        <w:t xml:space="preserve">.5.4 不同投标人的投标文件异常一致或者投标报价呈规律性差异；</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29、质疑处理</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.1 提出质疑的供应商应当是参与所质疑项目采购活动的供应商。潜在供应商依法获取其可质疑的采购文件的，可以对采购文件提出质疑。</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hAnsi="宋体" w:cs="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.2.1</w:t>
      </w:r>
      <w:r>
        <w:rPr>
          <w:rFonts w:hAnsi="宋体" w:cs="宋体"/>
          <w:color w:val="000000" w:themeColor="text1"/>
          <w:sz w:val="24"/>
          <w:highlight w:val="none"/>
        </w:rPr>
        <w:t xml:space="preserve">对可以质疑的采购文件提出质疑的，为收到采购文件之日或者采购文件公告期限届满之日；</w:t>
      </w:r>
      <w:r>
        <w:rPr>
          <w:rFonts w:hAnsi="宋体" w:cs="宋体"/>
          <w:color w:val="000000" w:themeColor="text1"/>
          <w:sz w:val="24"/>
          <w:highlight w:val="none"/>
        </w:rPr>
        <w:br w:type="textWrapping" w:clear="all"/>
      </w:r>
      <w:r>
        <w:rPr>
          <w:rFonts w:hAnsi="宋体" w:cs="宋体"/>
          <w:color w:val="000000" w:themeColor="text1"/>
          <w:sz w:val="24"/>
          <w:highlight w:val="none"/>
        </w:rPr>
        <w:t xml:space="preserve">　　</w:t>
      </w: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.2.2</w:t>
      </w:r>
      <w:r>
        <w:rPr>
          <w:rFonts w:hAnsi="宋体" w:cs="宋体"/>
          <w:color w:val="000000" w:themeColor="text1"/>
          <w:sz w:val="24"/>
          <w:highlight w:val="none"/>
        </w:rPr>
        <w:t xml:space="preserve">对采购过程提出质疑的，为各采购程序环节结束之日；</w:t>
      </w:r>
      <w:r>
        <w:rPr>
          <w:rFonts w:hAnsi="宋体" w:cs="宋体"/>
          <w:color w:val="000000" w:themeColor="text1"/>
          <w:sz w:val="24"/>
          <w:highlight w:val="none"/>
        </w:rPr>
        <w:br w:type="textWrapping" w:clear="all"/>
      </w:r>
      <w:r>
        <w:rPr>
          <w:rFonts w:hAnsi="宋体" w:cs="宋体"/>
          <w:color w:val="000000" w:themeColor="text1"/>
          <w:sz w:val="24"/>
          <w:highlight w:val="none"/>
        </w:rPr>
        <w:t xml:space="preserve">　　</w:t>
      </w: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.2.3</w:t>
      </w:r>
      <w:r>
        <w:rPr>
          <w:rFonts w:hAnsi="宋体" w:cs="宋体"/>
          <w:color w:val="000000" w:themeColor="text1"/>
          <w:sz w:val="24"/>
          <w:highlight w:val="none"/>
        </w:rPr>
        <w:t xml:space="preserve">对中标或者成交结果提出质疑的，为中标或者成交结果公告期限届满之日。</w:t>
      </w:r>
      <w:r>
        <w:rPr>
          <w:rFonts w:hAnsi="宋体" w:cs="宋体"/>
          <w:color w:val="000000" w:themeColor="text1"/>
          <w:sz w:val="24"/>
          <w:highlight w:val="none"/>
        </w:rPr>
      </w:r>
      <w:r>
        <w:rPr>
          <w:color w:val="000000" w:themeColor="text1"/>
          <w:highlight w:val="none"/>
        </w:rPr>
      </w:r>
    </w:p>
    <w:p>
      <w:pPr>
        <w:pStyle w:val="982"/>
        <w:ind w:firstLine="480"/>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w:t>
      </w:r>
      <w:r>
        <w:rPr>
          <w:rFonts w:hAnsi="宋体" w:cs="宋体"/>
          <w:color w:val="000000" w:themeColor="text1"/>
          <w:sz w:val="24"/>
          <w:highlight w:val="none"/>
        </w:rPr>
        <w:t xml:space="preserve">采购人</w:t>
      </w:r>
      <w:r>
        <w:rPr>
          <w:rFonts w:hint="eastAsia" w:hAnsi="宋体" w:cs="宋体"/>
          <w:color w:val="000000" w:themeColor="text1"/>
          <w:sz w:val="24"/>
          <w:highlight w:val="none"/>
        </w:rPr>
        <w:t xml:space="preserve">将只对供应商第一次质疑作出答复。</w:t>
      </w:r>
      <w:r>
        <w:rPr>
          <w:rFonts w:hAnsi="宋体" w:cs="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.3 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b/>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.4 供应商</w:t>
      </w:r>
      <w:r>
        <w:rPr>
          <w:rFonts w:hint="eastAsia" w:ascii="宋体" w:hAnsi="宋体"/>
          <w:color w:val="000000" w:themeColor="text1"/>
          <w:sz w:val="24"/>
          <w:highlight w:val="none"/>
        </w:rPr>
        <w:t xml:space="preserve">（含潜在</w:t>
      </w:r>
      <w:r>
        <w:rPr>
          <w:rFonts w:ascii="宋体" w:hAnsi="宋体"/>
          <w:color w:val="000000" w:themeColor="text1"/>
          <w:sz w:val="24"/>
          <w:highlight w:val="none"/>
        </w:rPr>
        <w:t xml:space="preserve">供应商</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t xml:space="preserve">对与</w:t>
      </w:r>
      <w:r>
        <w:rPr>
          <w:rFonts w:ascii="宋体" w:hAnsi="宋体"/>
          <w:color w:val="000000" w:themeColor="text1"/>
          <w:sz w:val="24"/>
          <w:highlight w:val="none"/>
        </w:rPr>
        <w:t xml:space="preserve">本项目</w:t>
      </w:r>
      <w:r>
        <w:rPr>
          <w:rFonts w:hint="eastAsia" w:ascii="宋体" w:hAnsi="宋体"/>
          <w:color w:val="000000" w:themeColor="text1"/>
          <w:sz w:val="24"/>
          <w:highlight w:val="none"/>
        </w:rPr>
        <w:t xml:space="preserve">有关的</w:t>
      </w:r>
      <w:r>
        <w:rPr>
          <w:rFonts w:ascii="宋体" w:hAnsi="宋体"/>
          <w:color w:val="000000" w:themeColor="text1"/>
          <w:sz w:val="24"/>
          <w:highlight w:val="none"/>
        </w:rPr>
        <w:t xml:space="preserve">所有询问、质疑</w:t>
      </w:r>
      <w:r>
        <w:rPr>
          <w:rFonts w:hint="eastAsia" w:ascii="宋体" w:hAnsi="宋体"/>
          <w:color w:val="000000" w:themeColor="text1"/>
          <w:sz w:val="24"/>
          <w:highlight w:val="none"/>
        </w:rPr>
        <w:t xml:space="preserve">均</w:t>
      </w:r>
      <w:r>
        <w:rPr>
          <w:rFonts w:ascii="宋体" w:hAnsi="宋体"/>
          <w:color w:val="000000" w:themeColor="text1"/>
          <w:sz w:val="24"/>
          <w:highlight w:val="none"/>
        </w:rPr>
        <w:t xml:space="preserve">请向</w:t>
      </w:r>
      <w:r>
        <w:rPr>
          <w:rFonts w:ascii="宋体" w:hAnsi="宋体" w:cs="宋体"/>
          <w:color w:val="000000" w:themeColor="text1"/>
          <w:sz w:val="24"/>
          <w:highlight w:val="none"/>
        </w:rPr>
        <w:t xml:space="preserve">采购代理机构</w:t>
      </w:r>
      <w:r>
        <w:rPr>
          <w:rFonts w:ascii="宋体" w:hAnsi="宋体"/>
          <w:color w:val="000000" w:themeColor="text1"/>
          <w:sz w:val="24"/>
          <w:highlight w:val="none"/>
        </w:rPr>
        <w:t xml:space="preserve">提出，由</w:t>
      </w:r>
      <w:r>
        <w:rPr>
          <w:rFonts w:ascii="宋体" w:hAnsi="宋体" w:cs="宋体"/>
          <w:color w:val="000000" w:themeColor="text1"/>
          <w:sz w:val="24"/>
          <w:highlight w:val="none"/>
        </w:rPr>
        <w:t xml:space="preserve">采购代理机构</w:t>
      </w:r>
      <w:r>
        <w:rPr>
          <w:rFonts w:ascii="宋体" w:hAnsi="宋体"/>
          <w:color w:val="000000" w:themeColor="text1"/>
          <w:sz w:val="24"/>
          <w:highlight w:val="none"/>
        </w:rPr>
        <w:t xml:space="preserve">负责答复。</w:t>
      </w:r>
      <w:r>
        <w:rPr>
          <w:rFonts w:ascii="宋体" w:hAnsi="宋体"/>
          <w:b/>
          <w:color w:val="000000" w:themeColor="text1"/>
          <w:sz w:val="24"/>
          <w:highlight w:val="none"/>
        </w:rPr>
      </w:r>
      <w:r>
        <w:rPr>
          <w:color w:val="000000" w:themeColor="text1"/>
          <w:highlight w:val="none"/>
        </w:rPr>
      </w:r>
    </w:p>
    <w:p>
      <w:pPr>
        <w:pStyle w:val="982"/>
        <w:ind w:firstLine="480"/>
        <w:spacing w:line="360" w:lineRule="auto"/>
        <w:rPr>
          <w:color w:val="000000" w:themeColor="text1"/>
          <w:highlight w:val="none"/>
        </w:rPr>
      </w:pPr>
      <w:r>
        <w:rPr>
          <w:rFonts w:ascii="宋体" w:hAnsi="宋体" w:cs="宋体"/>
          <w:color w:val="000000" w:themeColor="text1"/>
          <w:sz w:val="24"/>
          <w:highlight w:val="none"/>
        </w:rPr>
        <w:t xml:space="preserve">采购人及采购代理机构只接收以纸质原件形式送达的质疑,建议供应商尽量通过邮寄方式提交质疑</w:t>
      </w:r>
      <w:r>
        <w:rPr>
          <w:rFonts w:ascii="宋体" w:hAnsi="宋体" w:cs="宋体"/>
          <w:color w:val="000000" w:themeColor="text1"/>
          <w:sz w:val="24"/>
          <w:highlight w:val="none"/>
        </w:rPr>
        <w:t xml:space="preserve">（采购人和采购代理机构不接受未填写快递运单的快件）。</w:t>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吴岢非，</w:t>
      </w:r>
      <w:r>
        <w:rPr>
          <w:rFonts w:ascii="宋体" w:hAnsi="宋体" w:cs="宋体"/>
          <w:color w:val="000000" w:themeColor="text1"/>
          <w:sz w:val="24"/>
          <w:highlight w:val="none"/>
        </w:rPr>
        <w:t xml:space="preserve">联系地址：南京市雨花台区软件大道21号C座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采购人质疑接收人及联系方式见招标文件第一章。</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 以下情形的质疑不予受理</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.5.1 内容不符合《政府采购质疑和投诉办法》第十二条规定的质疑。</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.5.2 超出政府采购法定期限的质疑。</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.5.3 以传真、电子邮件等方式递交的非原件形式的质疑。</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.5.4 未参加投标活动的供应商或在投标活动中自身权益未受到损害的供应商所提出的质疑。</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.5.5供应商组成联合体参加投标，联合体中任何一方或多方未按要求签字、盖章、加盖公章的质疑。</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29</w:t>
      </w:r>
      <w:r>
        <w:rPr>
          <w:rFonts w:hint="eastAsia" w:ascii="宋体" w:hAnsi="宋体"/>
          <w:color w:val="000000" w:themeColor="text1"/>
          <w:sz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30、中标通知书</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30</w:t>
      </w:r>
      <w:r>
        <w:rPr>
          <w:rFonts w:hint="eastAsia" w:ascii="宋体" w:hAnsi="宋体"/>
          <w:color w:val="000000" w:themeColor="text1"/>
          <w:sz w:val="24"/>
          <w:highlight w:val="none"/>
        </w:rPr>
        <w:t xml:space="preserve">.l</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中标结果确定后，采购代理机构将向中标人发出中标通知书。请中标人在中标结果公告届满之日起30日内,使用CA数字证书登录</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及时下载中标通知书。因系统存储空间有限，自中标结果公告届满之日起30日后，</w:t>
      </w:r>
      <w:r>
        <w:rPr>
          <w:rFonts w:hint="eastAsia" w:ascii="宋体" w:hAnsi="宋体"/>
          <w:color w:val="000000" w:themeColor="text1"/>
          <w:sz w:val="24"/>
          <w:highlight w:val="none"/>
        </w:rPr>
        <w:t xml:space="preserve">苏采云系统</w:t>
      </w:r>
      <w:r>
        <w:rPr>
          <w:rFonts w:hint="eastAsia" w:ascii="宋体" w:hAnsi="宋体"/>
          <w:color w:val="000000" w:themeColor="text1"/>
          <w:sz w:val="24"/>
          <w:highlight w:val="none"/>
        </w:rPr>
        <w:t xml:space="preserve">不再保证提供下载中标通知书服务,因未及时下载而造成的不利后果由中标人自行承担。</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0</w:t>
      </w:r>
      <w:r>
        <w:rPr>
          <w:rFonts w:hint="eastAsia" w:ascii="宋体" w:hAnsi="宋体"/>
          <w:color w:val="000000" w:themeColor="text1"/>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themeColor="text1"/>
          <w:sz w:val="24"/>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rPr>
          <w:color w:val="000000" w:themeColor="text1"/>
          <w:highlight w:val="none"/>
        </w:rPr>
      </w:r>
    </w:p>
    <w:p>
      <w:pPr>
        <w:pStyle w:val="982"/>
        <w:spacing w:line="360" w:lineRule="auto"/>
        <w:rPr>
          <w:rFonts w:ascii="宋体" w:hAnsi="宋体" w:cs="宋体"/>
          <w:b/>
          <w:bCs/>
          <w:color w:val="000000" w:themeColor="text1"/>
          <w:sz w:val="24"/>
          <w:highlight w:val="none"/>
        </w:rPr>
        <w:outlineLvl w:val="1"/>
      </w:pPr>
      <w:r>
        <w:rPr>
          <w:rFonts w:hint="eastAsia" w:ascii="宋体" w:hAnsi="宋体" w:cs="宋体"/>
          <w:b/>
          <w:bCs/>
          <w:color w:val="000000" w:themeColor="text1"/>
          <w:sz w:val="24"/>
          <w:highlight w:val="none"/>
        </w:rPr>
        <w:t xml:space="preserve">七、授予合同</w:t>
      </w:r>
      <w:r>
        <w:rPr>
          <w:rFonts w:ascii="宋体" w:hAnsi="宋体" w:cs="宋体"/>
          <w:b/>
          <w:bCs/>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31. 签订合同</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bCs/>
          <w:color w:val="000000" w:themeColor="text1"/>
          <w:sz w:val="24"/>
          <w:highlight w:val="none"/>
        </w:rPr>
        <w:t xml:space="preserve">3</w:t>
      </w:r>
      <w:r>
        <w:rPr>
          <w:rFonts w:ascii="宋体" w:hAnsi="宋体"/>
          <w:bCs/>
          <w:color w:val="000000" w:themeColor="text1"/>
          <w:sz w:val="24"/>
          <w:highlight w:val="none"/>
        </w:rPr>
        <w:t xml:space="preserve">1</w:t>
      </w:r>
      <w:r>
        <w:rPr>
          <w:rFonts w:hint="eastAsia" w:ascii="宋体" w:hAnsi="宋体"/>
          <w:color w:val="000000" w:themeColor="text1"/>
          <w:sz w:val="24"/>
          <w:highlight w:val="none"/>
        </w:rPr>
        <w:t xml:space="preserve">.l中标人应当在中标通知书发出之日起三十日内，按照招标文件确定的事项与采购人签订政府采购合同。</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.2</w:t>
      </w:r>
      <w:r>
        <w:rPr>
          <w:rFonts w:hint="eastAsia" w:ascii="宋体" w:hAnsi="宋体"/>
          <w:b/>
          <w:color w:val="000000" w:themeColor="text1"/>
          <w:sz w:val="24"/>
          <w:highlight w:val="none"/>
        </w:rPr>
        <w:t xml:space="preserve"> </w:t>
      </w:r>
      <w:r>
        <w:rPr>
          <w:rFonts w:hint="eastAsia" w:ascii="宋体" w:hAnsi="宋体"/>
          <w:color w:val="000000" w:themeColor="text1"/>
          <w:sz w:val="24"/>
          <w:highlight w:val="none"/>
        </w:rPr>
        <w:t xml:space="preserve">招标文件、中标人的投标文件及招标过程中有关澄清、承诺文件均应作为合同附件。</w:t>
      </w:r>
      <w:r>
        <w:rPr>
          <w:rFonts w:ascii="宋体" w:hAnsi="宋体"/>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31.3 签订合同后，</w:t>
      </w:r>
      <w:r>
        <w:rPr>
          <w:rFonts w:hint="eastAsia" w:ascii="宋体" w:hAnsi="宋体"/>
          <w:b/>
          <w:bCs/>
          <w:i/>
          <w:color w:val="000000" w:themeColor="text1"/>
          <w:sz w:val="24"/>
          <w:highlight w:val="none"/>
          <w:u w:val="single"/>
        </w:rPr>
        <w:t xml:space="preserve">中标人不得将合同标的进行转包</w:t>
      </w:r>
      <w:r>
        <w:rPr>
          <w:rFonts w:hint="eastAsia" w:ascii="宋体" w:hAnsi="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32、货物（包含与货物相关的服务）的追加</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themeColor="text1"/>
          <w:sz w:val="24"/>
          <w:highlight w:val="none"/>
        </w:rPr>
      </w:r>
      <w:r>
        <w:rPr>
          <w:color w:val="000000" w:themeColor="text1"/>
          <w:highlight w:val="none"/>
        </w:rPr>
      </w:r>
    </w:p>
    <w:p>
      <w:pPr>
        <w:pStyle w:val="982"/>
        <w:ind w:firstLine="482"/>
        <w:spacing w:before="161"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33、政府采购履约资金扶持政策</w:t>
      </w:r>
      <w:r>
        <w:rPr>
          <w:rFonts w:ascii="宋体" w:hAnsi="宋体" w:cs="宋体"/>
          <w:b/>
          <w:bCs/>
          <w:color w:val="000000" w:themeColor="text1"/>
          <w:sz w:val="24"/>
          <w:highlight w:val="none"/>
        </w:rPr>
      </w:r>
      <w:r>
        <w:rPr>
          <w:color w:val="000000" w:themeColor="text1"/>
          <w:highlight w:val="none"/>
        </w:rPr>
      </w:r>
    </w:p>
    <w:p>
      <w:pPr>
        <w:pStyle w:val="982"/>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中标供应商可凭政府采购合同办理融资贷款，详情请见江苏政府采购网“政采贷”专栏。</w:t>
      </w:r>
      <w:r>
        <w:rPr>
          <w:rFonts w:ascii="宋体" w:hAnsi="宋体"/>
          <w:color w:val="000000" w:themeColor="text1"/>
          <w:sz w:val="24"/>
          <w:highlight w:val="none"/>
        </w:rPr>
      </w:r>
      <w:r>
        <w:rPr>
          <w:color w:val="000000" w:themeColor="text1"/>
          <w:highlight w:val="none"/>
        </w:rPr>
      </w:r>
    </w:p>
    <w:p>
      <w:pPr>
        <w:pStyle w:val="982"/>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r>
      <w:r>
        <w:rPr>
          <w:color w:val="000000" w:themeColor="text1"/>
          <w:highlight w:val="none"/>
        </w:rPr>
      </w:r>
    </w:p>
    <w:p>
      <w:pPr>
        <w:pStyle w:val="982"/>
        <w:jc w:val="center"/>
        <w:widowControl/>
        <w:rPr>
          <w:color w:val="000000" w:themeColor="text1"/>
          <w:highlight w:val="none"/>
        </w:rPr>
        <w:outlineLvl w:val="0"/>
      </w:pPr>
      <w:r>
        <w:rPr>
          <w:rFonts w:hint="eastAsia" w:ascii="宋体" w:hAnsi="宋体" w:cs="宋体"/>
          <w:color w:val="000000" w:themeColor="text1"/>
          <w:szCs w:val="21"/>
          <w:highlight w:val="none"/>
        </w:rPr>
        <w:br w:type="page" w:clear="all"/>
      </w:r>
      <w:bookmarkStart w:id="144" w:name="_Toc21594"/>
      <w:r>
        <w:rPr>
          <w:rFonts w:hint="eastAsia" w:ascii="宋体" w:hAnsi="宋体" w:cs="宋体"/>
          <w:b/>
          <w:color w:val="000000" w:themeColor="text1"/>
          <w:sz w:val="32"/>
          <w:szCs w:val="32"/>
          <w:highlight w:val="none"/>
        </w:rPr>
        <w:t xml:space="preserve">第三章  合同文本</w:t>
      </w:r>
      <w:bookmarkEnd w:id="144"/>
      <w:r>
        <w:rPr>
          <w:color w:val="000000" w:themeColor="text1"/>
          <w:highlight w:val="none"/>
        </w:rPr>
      </w:r>
      <w:r>
        <w:rPr>
          <w:color w:val="000000" w:themeColor="text1"/>
          <w:highlight w:val="none"/>
        </w:rPr>
      </w:r>
    </w:p>
    <w:p>
      <w:pPr>
        <w:pStyle w:val="982"/>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（注：本合同仅为框架性条款，中标后需按招标文件及投标文件情况进行细化，招标文件、投标文件及本条款均作为合同的重要组成部分）</w:t>
      </w:r>
      <w:r>
        <w:rPr>
          <w:rFonts w:ascii="宋体" w:hAnsi="宋体" w:cs="宋体"/>
          <w:color w:val="000000" w:themeColor="text1"/>
          <w:sz w:val="24"/>
          <w:highlight w:val="none"/>
        </w:rPr>
      </w:r>
      <w:r>
        <w:rPr>
          <w:color w:val="000000" w:themeColor="text1"/>
          <w:highlight w:val="none"/>
        </w:rPr>
      </w:r>
    </w:p>
    <w:p>
      <w:pPr>
        <w:pStyle w:val="982"/>
        <w:jc w:val="center"/>
        <w:spacing w:line="264" w:lineRule="auto"/>
        <w:rPr>
          <w:rFonts w:hint="eastAsia" w:ascii="宋体" w:hAnsi="宋体" w:cs="方正小标宋简体"/>
          <w:bCs/>
          <w:color w:val="000000" w:themeColor="text1"/>
          <w:sz w:val="32"/>
          <w:szCs w:val="32"/>
          <w:highlight w:val="none"/>
        </w:rPr>
      </w:pPr>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Start w:id="145" w:name="_Toc16162"/>
      <w:r>
        <w:rPr>
          <w:rFonts w:hint="eastAsia" w:ascii="宋体" w:hAnsi="宋体" w:cs="方正小标宋简体"/>
          <w:bCs/>
          <w:color w:val="000000" w:themeColor="text1"/>
          <w:sz w:val="32"/>
          <w:szCs w:val="32"/>
          <w:highlight w:val="none"/>
        </w:rPr>
        <w:t xml:space="preserve">合  同</w:t>
      </w:r>
      <w:r>
        <w:rPr>
          <w:rFonts w:hint="eastAsia" w:ascii="宋体" w:hAnsi="宋体" w:cs="方正小标宋简体"/>
          <w:bCs/>
          <w:color w:val="000000" w:themeColor="text1"/>
          <w:sz w:val="32"/>
          <w:szCs w:val="32"/>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合同编号：</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widowControl/>
        <w:rPr>
          <w:rFonts w:hint="eastAsia" w:ascii="宋体" w:hAnsi="宋体" w:cs="宋体"/>
          <w:color w:val="000000" w:themeColor="text1"/>
          <w:sz w:val="24"/>
          <w:szCs w:val="24"/>
          <w:highlight w:val="none"/>
        </w:rPr>
      </w:pPr>
      <w:r>
        <w:rPr>
          <w:rFonts w:ascii="宋体" w:hAnsi="宋体" w:cs="Courier New"/>
          <w:color w:val="000000" w:themeColor="text1"/>
          <w:sz w:val="24"/>
          <w:szCs w:val="24"/>
          <w:highlight w:val="none"/>
        </w:rPr>
        <w:t xml:space="preserve">项目名称：</w:t>
      </w:r>
      <w:r>
        <w:rPr>
          <w:rFonts w:hint="eastAsia" w:ascii="宋体" w:hAnsi="宋体" w:cs="宋体"/>
          <w:color w:val="000000" w:themeColor="text1"/>
          <w:sz w:val="24"/>
          <w:szCs w:val="24"/>
          <w:highlight w:val="none"/>
        </w:rPr>
      </w:r>
      <w:r>
        <w:rPr>
          <w:color w:val="000000" w:themeColor="text1"/>
          <w:highlight w:val="none"/>
        </w:rPr>
      </w:r>
    </w:p>
    <w:p>
      <w:pPr>
        <w:pStyle w:val="982"/>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甲方：（买方）</w:t>
      </w:r>
      <w:r>
        <w:rPr>
          <w:rFonts w:hint="eastAsia" w:ascii="宋体" w:hAnsi="宋体" w:cs="宋体"/>
          <w:color w:val="000000" w:themeColor="text1"/>
          <w:sz w:val="24"/>
          <w:szCs w:val="24"/>
          <w:highlight w:val="none"/>
        </w:rPr>
      </w:r>
      <w:r>
        <w:rPr>
          <w:color w:val="000000" w:themeColor="text1"/>
          <w:highlight w:val="none"/>
        </w:rPr>
      </w:r>
    </w:p>
    <w:p>
      <w:pPr>
        <w:pStyle w:val="982"/>
        <w:ind w:firstLine="480"/>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乙方：（卖方）</w:t>
      </w:r>
      <w:r>
        <w:rPr>
          <w:rFonts w:hint="eastAsia" w:ascii="宋体" w:hAnsi="宋体" w:cs="宋体"/>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宋体"/>
          <w:color w:val="000000" w:themeColor="text1"/>
          <w:sz w:val="24"/>
          <w:szCs w:val="24"/>
          <w:highlight w:val="none"/>
          <w:u w:val="single"/>
        </w:rPr>
        <w:t xml:space="preserve">X</w:t>
      </w:r>
      <w:r>
        <w:rPr>
          <w:rFonts w:ascii="宋体" w:hAnsi="宋体" w:cs="宋体"/>
          <w:color w:val="000000" w:themeColor="text1"/>
          <w:sz w:val="24"/>
          <w:szCs w:val="24"/>
          <w:highlight w:val="none"/>
          <w:u w:val="single"/>
        </w:rPr>
        <w:t xml:space="preserve">XXXXXXXXXXXXXXXXXXX</w:t>
      </w:r>
      <w:r>
        <w:rPr>
          <w:rFonts w:hint="eastAsia" w:ascii="宋体" w:hAnsi="宋体" w:cs="Courier New"/>
          <w:color w:val="000000" w:themeColor="text1"/>
          <w:sz w:val="24"/>
          <w:szCs w:val="24"/>
          <w:highlight w:val="none"/>
        </w:rPr>
        <w:t xml:space="preserve">组织的</w:t>
      </w:r>
      <w:r>
        <w:rPr>
          <w:rFonts w:hint="eastAsia" w:ascii="宋体" w:hAnsi="宋体" w:cs="宋体"/>
          <w:color w:val="000000" w:themeColor="text1"/>
          <w:sz w:val="24"/>
          <w:szCs w:val="24"/>
          <w:highlight w:val="none"/>
          <w:u w:val="single"/>
        </w:rPr>
        <w:t xml:space="preserve">南京市儿童医院X</w:t>
      </w:r>
      <w:r>
        <w:rPr>
          <w:rFonts w:ascii="宋体" w:hAnsi="宋体" w:cs="宋体"/>
          <w:color w:val="000000" w:themeColor="text1"/>
          <w:sz w:val="24"/>
          <w:szCs w:val="24"/>
          <w:highlight w:val="none"/>
          <w:u w:val="single"/>
        </w:rPr>
        <w:t xml:space="preserve">XXXXXXXXXXXXXXXXXXX</w:t>
      </w:r>
      <w:r>
        <w:rPr>
          <w:rFonts w:hint="eastAsia" w:ascii="宋体" w:hAnsi="宋体" w:cs="宋体"/>
          <w:color w:val="000000" w:themeColor="text1"/>
          <w:sz w:val="24"/>
          <w:szCs w:val="24"/>
          <w:highlight w:val="none"/>
          <w:u w:val="single"/>
        </w:rPr>
        <w:t xml:space="preserve">采购</w:t>
      </w:r>
      <w:r>
        <w:rPr>
          <w:rFonts w:ascii="宋体" w:hAnsi="宋体" w:cs="Courier New"/>
          <w:color w:val="000000" w:themeColor="text1"/>
          <w:sz w:val="24"/>
          <w:szCs w:val="24"/>
          <w:highlight w:val="none"/>
        </w:rPr>
        <w:t xml:space="preserve">项目公开招标结果，签署本合同。</w:t>
      </w:r>
      <w:r>
        <w:rPr>
          <w:rFonts w:hint="eastAsia" w:ascii="宋体" w:hAnsi="宋体" w:cs="Courier New"/>
          <w:b/>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一、合同内容</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widowControl/>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 标的名称：</w:t>
      </w:r>
      <w:r>
        <w:rPr>
          <w:rFonts w:hint="eastAsia" w:ascii="宋体" w:hAnsi="宋体" w:cs="宋体"/>
          <w:color w:val="000000" w:themeColor="text1"/>
          <w:sz w:val="24"/>
          <w:szCs w:val="24"/>
          <w:highlight w:val="none"/>
        </w:rPr>
        <w:t xml:space="preserve">南京市儿童医院</w:t>
      </w:r>
      <w:r>
        <w:rPr>
          <w:rFonts w:hint="eastAsia" w:ascii="宋体" w:hAnsi="宋体" w:cs="宋体"/>
          <w:color w:val="000000" w:themeColor="text1"/>
          <w:sz w:val="24"/>
          <w:szCs w:val="24"/>
          <w:highlight w:val="none"/>
          <w:u w:val="single"/>
        </w:rPr>
        <w:t xml:space="preserve">X</w:t>
      </w:r>
      <w:r>
        <w:rPr>
          <w:rFonts w:ascii="宋体" w:hAnsi="宋体" w:cs="宋体"/>
          <w:color w:val="000000" w:themeColor="text1"/>
          <w:sz w:val="24"/>
          <w:szCs w:val="24"/>
          <w:highlight w:val="none"/>
          <w:u w:val="single"/>
        </w:rPr>
        <w:t xml:space="preserve">XXXXXXXXXXXXXXXXXXX</w:t>
      </w:r>
      <w:r>
        <w:rPr>
          <w:rFonts w:hint="eastAsia" w:ascii="宋体" w:hAnsi="宋体" w:cs="宋体"/>
          <w:color w:val="000000" w:themeColor="text1"/>
          <w:sz w:val="24"/>
          <w:szCs w:val="24"/>
          <w:highlight w:val="none"/>
        </w:rPr>
        <w:t xml:space="preserve">采购项目</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szCs w:val="24"/>
          <w:highlight w:val="none"/>
        </w:rPr>
      </w:pPr>
      <w:r>
        <w:rPr>
          <w:rFonts w:hint="eastAsia" w:ascii="宋体" w:hAnsi="宋体" w:cs="Courier New"/>
          <w:color w:val="000000" w:themeColor="text1"/>
          <w:sz w:val="24"/>
          <w:szCs w:val="24"/>
          <w:highlight w:val="none"/>
        </w:rPr>
        <w:t xml:space="preserve">1.2 标的质量</w:t>
      </w:r>
      <w:r>
        <w:rPr>
          <w:rFonts w:hint="eastAsia" w:ascii="宋体" w:hAnsi="宋体" w:cs="Courier New"/>
          <w:color w:val="000000" w:themeColor="text1"/>
          <w:sz w:val="24"/>
          <w:szCs w:val="24"/>
          <w:highlight w:val="none"/>
        </w:rPr>
        <w:t xml:space="preserve">：乙方</w:t>
      </w:r>
      <w:r>
        <w:rPr>
          <w:rFonts w:hint="eastAsia" w:ascii="宋体" w:hAnsi="宋体" w:cs="宋体"/>
          <w:color w:val="000000" w:themeColor="text1"/>
          <w:sz w:val="24"/>
          <w:szCs w:val="24"/>
          <w:highlight w:val="none"/>
        </w:rPr>
        <w:t xml:space="preserve">所供产品必须是全新的原装正品，符合国家规定的质量标准，不得私自添加或更改，保证所有产品原材料及部件均是全新的纯正部件，不得以废、旧材料制作，产品必须</w:t>
      </w:r>
      <w:bookmarkStart w:id="146" w:name="OLE_LINK1"/>
      <w:r>
        <w:rPr>
          <w:color w:val="000000" w:themeColor="text1"/>
          <w:highlight w:val="none"/>
        </w:rPr>
      </w:r>
      <w:bookmarkStart w:id="147" w:name="OLE_LINK2"/>
      <w:r>
        <w:rPr>
          <w:rFonts w:hint="eastAsia" w:ascii="宋体" w:hAnsi="宋体" w:cs="宋体"/>
          <w:color w:val="000000" w:themeColor="text1"/>
          <w:sz w:val="24"/>
          <w:szCs w:val="24"/>
          <w:highlight w:val="none"/>
        </w:rPr>
        <w:t xml:space="preserve">符合家具行业设计及甲方的品质、环保要求。</w:t>
      </w:r>
      <w:bookmarkEnd w:id="146"/>
      <w:r>
        <w:rPr>
          <w:color w:val="000000" w:themeColor="text1"/>
          <w:highlight w:val="none"/>
        </w:rPr>
      </w:r>
      <w:bookmarkEnd w:id="147"/>
      <w:r>
        <w:rPr>
          <w:rFonts w:hint="eastAsia" w:ascii="宋体" w:hAnsi="宋体" w:cs="宋体"/>
          <w:color w:val="000000" w:themeColor="text1"/>
          <w:sz w:val="24"/>
          <w:szCs w:val="24"/>
          <w:highlight w:val="none"/>
        </w:rPr>
        <w:t xml:space="preserve">交货时所有家具应完好，物品配件齐全，否则视为不合格产品。</w:t>
      </w:r>
      <w:r>
        <w:rPr>
          <w:rFonts w:hint="eastAsia" w:ascii="宋体" w:hAnsi="宋体" w:cs="宋体"/>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 标的数量（规模）：</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 履行时间（期限）：</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 履行地点：甲方指定地点。</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履行方式：乙方负责送货、安装及售后服务。</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.7 包装方式：乙方提供的全部货物均应按标准保护措施进行包装，由于包装不符合标准所引起的货物损失均由乙方承担。包装内须附带产品合格证、检测报告、说明书、配件清单等相关内容。</w:t>
      </w:r>
      <w:r>
        <w:rPr>
          <w:rFonts w:hint="eastAsia" w:ascii="宋体" w:hAnsi="宋体" w:cs="Courier New"/>
          <w:color w:val="000000" w:themeColor="text1"/>
          <w:sz w:val="24"/>
          <w:szCs w:val="24"/>
          <w:highlight w:val="none"/>
        </w:rPr>
      </w:r>
      <w:r>
        <w:rPr>
          <w:color w:val="000000" w:themeColor="text1"/>
          <w:highlight w:val="none"/>
        </w:rPr>
      </w:r>
    </w:p>
    <w:p>
      <w:pPr>
        <w:pStyle w:val="1136"/>
        <w:ind w:left="0" w:firstLine="480"/>
        <w:spacing w:line="360" w:lineRule="auto"/>
        <w:rPr>
          <w:rFonts w:hint="eastAsia" w:ascii="宋体" w:hAnsi="宋体" w:eastAsia="宋体" w:cs="Courier New"/>
          <w:color w:val="000000" w:themeColor="text1"/>
          <w:sz w:val="24"/>
          <w:szCs w:val="24"/>
          <w:highlight w:val="none"/>
        </w:rPr>
      </w:pPr>
      <w:r>
        <w:rPr>
          <w:rFonts w:hint="eastAsia" w:ascii="宋体" w:hAnsi="宋体" w:eastAsia="宋体" w:cs="Courier New"/>
          <w:color w:val="000000" w:themeColor="text1"/>
          <w:sz w:val="24"/>
          <w:szCs w:val="24"/>
          <w:highlight w:val="none"/>
        </w:rPr>
        <w:t xml:space="preserve">1.8 超出金额：按照实际金额支付。</w:t>
      </w:r>
      <w:r>
        <w:rPr>
          <w:rFonts w:hint="eastAsia" w:ascii="宋体" w:hAnsi="宋体" w:eastAsia="宋体" w:cs="Courier New"/>
          <w:color w:val="000000" w:themeColor="text1"/>
          <w:sz w:val="24"/>
          <w:szCs w:val="24"/>
          <w:highlight w:val="none"/>
        </w:rPr>
      </w:r>
      <w:r>
        <w:rPr>
          <w:color w:val="000000" w:themeColor="text1"/>
          <w:highlight w:val="none"/>
        </w:rPr>
      </w:r>
    </w:p>
    <w:p>
      <w:pPr>
        <w:pStyle w:val="982"/>
        <w:ind w:firstLine="480"/>
        <w:spacing w:line="360" w:lineRule="auto"/>
        <w:rPr>
          <w:color w:val="000000" w:themeColor="text1"/>
          <w:highlight w:val="none"/>
        </w:rPr>
      </w:pPr>
      <w:r>
        <w:rPr>
          <w:rFonts w:hint="eastAsia" w:ascii="宋体" w:hAnsi="宋体" w:cs="Courier New"/>
          <w:color w:val="000000" w:themeColor="text1"/>
          <w:sz w:val="24"/>
          <w:szCs w:val="24"/>
          <w:highlight w:val="none"/>
        </w:rPr>
        <w:t xml:space="preserve">1.9本合同货物数量、金额原则上不得超出合同约定范围。确需增加供货的，必须履行政府采购变更审批程序，双方签署书面补充协议，未经书面补充协议，乙方擅自供货增项，甲方不予结算付款。</w:t>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二、合同金额</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rFonts w:hAnsi="宋体"/>
          <w:color w:val="000000" w:themeColor="text1"/>
          <w:sz w:val="24"/>
          <w:szCs w:val="24"/>
          <w:highlight w:val="none"/>
        </w:rPr>
        <w:t xml:space="preserve">2.1 </w:t>
      </w:r>
      <w:r>
        <w:rPr>
          <w:rFonts w:hint="eastAsia" w:hAnsi="宋体"/>
          <w:color w:val="000000" w:themeColor="text1"/>
          <w:sz w:val="24"/>
          <w:szCs w:val="24"/>
          <w:highlight w:val="none"/>
        </w:rPr>
        <w:t xml:space="preserve">本合同金额为（大写）：人民币X</w:t>
      </w:r>
      <w:r>
        <w:rPr>
          <w:rFonts w:hAnsi="宋体"/>
          <w:color w:val="000000" w:themeColor="text1"/>
          <w:sz w:val="24"/>
          <w:szCs w:val="24"/>
          <w:highlight w:val="none"/>
        </w:rPr>
        <w:t xml:space="preserve">XXXX</w:t>
      </w:r>
      <w:r>
        <w:rPr>
          <w:rFonts w:hint="eastAsia" w:hAnsi="宋体"/>
          <w:color w:val="000000" w:themeColor="text1"/>
          <w:sz w:val="24"/>
          <w:szCs w:val="24"/>
          <w:highlight w:val="none"/>
          <w:u w:val="single"/>
        </w:rPr>
        <w:t xml:space="preserve">元整</w:t>
      </w:r>
      <w:r>
        <w:rPr>
          <w:rFonts w:hint="eastAsia" w:hAnsi="宋体"/>
          <w:color w:val="000000" w:themeColor="text1"/>
          <w:sz w:val="24"/>
          <w:szCs w:val="24"/>
          <w:highlight w:val="none"/>
        </w:rPr>
        <w:t xml:space="preserve">（</w:t>
      </w:r>
      <w:r>
        <w:rPr>
          <w:rFonts w:hAnsi="宋体"/>
          <w:color w:val="000000" w:themeColor="text1"/>
          <w:sz w:val="24"/>
          <w:szCs w:val="24"/>
          <w:highlight w:val="none"/>
          <w:u w:val="single"/>
        </w:rPr>
        <w:t xml:space="preserve">              </w:t>
      </w:r>
      <w:r>
        <w:rPr>
          <w:rFonts w:hint="eastAsia" w:hAnsi="宋体"/>
          <w:color w:val="000000" w:themeColor="text1"/>
          <w:sz w:val="24"/>
          <w:szCs w:val="24"/>
          <w:highlight w:val="none"/>
        </w:rPr>
        <w:t xml:space="preserve">元）。</w:t>
      </w:r>
      <w:r>
        <w:rPr>
          <w:rFonts w:hint="eastAsia" w:hAnsi="宋体"/>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2.2 本合同金额为包干总价，无任何其他额外需支付的费用。单价详见附件产品价格清单，单价在合同履行期间不作调整，最终结算总价 = 实际验收合格供货数量 × 附件成交单价，不得突破财政审定预算。附件《产品价格清单》为本合同不可分割组成部分，与本合同具有同等法律效力。</w:t>
      </w:r>
      <w:r>
        <w:rPr>
          <w:rFonts w:hint="eastAsia" w:hAnsi="宋体"/>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三、技术资料</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.1乙方应按招标文件规定的时间向甲方提供货物(包含与货物相关的服务)的有关技术资料。</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自本合同生效之日起至保密内容按照相关法律法规规定，以合法方式和途径将其全部披露或本合同终止后5年为止，以两者孰长为准。</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四、知识产权</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乙方因侵权导致甲方涉诉，除承担全部责任外，还应当赔偿甲方包括但不限于诉讼费、律师费、商誉损失等费用。</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五、产权担保</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六、履约保证金</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 签订合同时，乙方按照合同金额 </w:t>
      </w:r>
      <w:r>
        <w:rPr>
          <w:rFonts w:hint="eastAsia" w:ascii="宋体" w:hAnsi="宋体" w:cs="Courier New"/>
          <w:color w:val="000000" w:themeColor="text1"/>
          <w:sz w:val="24"/>
          <w:szCs w:val="24"/>
          <w:highlight w:val="none"/>
          <w:u w:val="single"/>
        </w:rPr>
        <w:t xml:space="preserve">10</w:t>
      </w:r>
      <w:r>
        <w:rPr>
          <w:rFonts w:hint="eastAsia" w:ascii="宋体" w:hAnsi="宋体" w:cs="Courier New"/>
          <w:color w:val="000000" w:themeColor="text1"/>
          <w:sz w:val="24"/>
          <w:szCs w:val="24"/>
          <w:highlight w:val="none"/>
        </w:rPr>
        <w:t xml:space="preserve"> %缴纳履约保证金。合同履行结束后，甲方按以下约定退还：</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6.1.1 退还时间及条件：甲方验收合格且合同履行期结束后5个工作日内。</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6.1.2 退还方式：扣除违约费用后一次性无息退还。</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6.1.3 不予退还的情形：合同约定交付期内未履约完成、验收不合格、整改不到位等情形。</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如乙方采用履约保函（保险）代替缴纳履约保证金，保函有效期自合同生效日起5年。</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七、合同转包或分包</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7.1乙方不得将合同标的转包给他人履行。</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7.2除招标文件接受分包并经甲方同意，乙方可按分包意向协议分包情况外，乙方不得将合同标的分包给他人履行。经甲方同意分包的，乙方应当向甲方提交分包单位资质、项目人员清单，乙方就分包单位全部履约行为向甲方承担全部连带责任。</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7.3乙方如有转包或未经甲方同意的分包行为，甲方有权终止合同，乙方应当向甲方支付合同总价款20%的违约金，并赔偿甲方全部损失。</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八、合同款项支付</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8.1合同款项的支付方式及时间</w:t>
      </w:r>
      <w:r>
        <w:rPr>
          <w:rFonts w:hint="eastAsia" w:hAnsi="宋体"/>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8.1.1 合同签订后，甲方支付合同总价款的30%作为预付款。</w:t>
      </w:r>
      <w:r>
        <w:rPr>
          <w:rFonts w:hint="eastAsia" w:hAnsi="宋体"/>
          <w:color w:val="000000" w:themeColor="text1"/>
          <w:sz w:val="24"/>
          <w:szCs w:val="24"/>
          <w:highlight w:val="none"/>
        </w:rPr>
      </w:r>
      <w:r>
        <w:rPr>
          <w:color w:val="000000" w:themeColor="text1"/>
          <w:highlight w:val="none"/>
        </w:rPr>
      </w:r>
    </w:p>
    <w:p>
      <w:pPr>
        <w:pStyle w:val="1024"/>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8.1.2 供货结束并经甲方验收合格后，甲方至支付合同总价款的80%。</w:t>
      </w:r>
      <w:r>
        <w:rPr>
          <w:rFonts w:hAnsi="宋体"/>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8.1.3如采购数量与实际使用数量不一致时，乙方应根据实际使用量供货，合同的最终结算金额经审计审定后按实际使用量乘以成交单价进行计算，项目经审计决算后支付至决算金额的97%，剩余价款质保期满后无息支付。</w:t>
      </w:r>
      <w:r>
        <w:rPr>
          <w:rFonts w:hint="eastAsia" w:hAnsi="宋体"/>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8.1.3 满足合同约定支付条件的，甲方收到乙方发票后10个工作日内，将资金支付到合同约定的乙方账户。 </w:t>
      </w:r>
      <w:r>
        <w:rPr>
          <w:rFonts w:hint="eastAsia" w:hAnsi="宋体"/>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hAnsi="宋体"/>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九、税费</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9.1本合同执行中的相关税费均由乙方负担。</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十、质量保修范围和保修期及售后服务</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10.1乙方应按招标文件规定的货物性能、技术要求、质量标准向甲方提供未经使用的全新产品。</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10.2.1 更换：由乙方承担所发生的全部费用。</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10.2.2 贬值处理：由甲乙双方合议定价。</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10.3如在使用过程中发生质量问题，乙方应在接到甲方通知后4小时内到达甲方现场。如乙方未按期到达的，承担1000元/次的违约金，累计超过三次的，甲方有权解除合同，并要求乙方承担合同总价20%的违约金。</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10.4质保期内，乙方应对货物出现的质量及安全问题负责处理解决并承担一切费用。</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10.5质保期为自交货验收合格之日起</w:t>
      </w:r>
      <w:r>
        <w:rPr>
          <w:rFonts w:hint="eastAsia" w:ascii="宋体" w:hAnsi="宋体" w:cs="Courier New"/>
          <w:color w:val="000000" w:themeColor="text1"/>
          <w:sz w:val="24"/>
          <w:szCs w:val="24"/>
          <w:highlight w:val="none"/>
          <w:u w:val="single"/>
        </w:rPr>
        <w:t xml:space="preserve"> 5 </w:t>
      </w:r>
      <w:r>
        <w:rPr>
          <w:rFonts w:hint="eastAsia" w:ascii="宋体" w:hAnsi="宋体" w:cs="Courier New"/>
          <w:color w:val="000000" w:themeColor="text1"/>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十一、项目验收</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11.1甲方依法组织履约验收工作。</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11.3对于实际使用人和甲方分离的项目，甲方邀请实际使用人参与验收。</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11.4如有必要，甲方可邀请参加本项目投标的其他供应商或第三方专业机构及专家参与验收，相关意见将作为验收结论的参考。</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11.5甲方成立验收小组，按照采购合同约定对乙方履约情况进行验收。</w:t>
      </w:r>
      <w:r>
        <w:rPr>
          <w:rFonts w:hint="eastAsia" w:ascii="宋体" w:hAnsi="宋体" w:cs="Courier New"/>
          <w:color w:val="000000" w:themeColor="text1"/>
          <w:sz w:val="24"/>
          <w:szCs w:val="24"/>
          <w:highlight w:val="none"/>
        </w:rPr>
        <w:t xml:space="preserve">验</w:t>
      </w:r>
      <w:r>
        <w:rPr>
          <w:rFonts w:hint="eastAsia" w:ascii="宋体" w:hAnsi="宋体" w:cs="Courier New"/>
          <w:color w:val="000000" w:themeColor="text1"/>
          <w:sz w:val="24"/>
          <w:szCs w:val="24"/>
          <w:highlight w:val="none"/>
        </w:rPr>
        <w:t xml:space="preserve">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十二、货物的包装、发运及运输</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12.2使用说明书、质量检验证明书、随配附件和工具以及清单一并附于货物内。</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12.3乙方在货物发运手续办理完毕后24小时内或货到甲方48小时前通知甲方，以准备接货。</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12.4货物在交付甲方前发生的风险均由乙方负责。</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12.5货物在规定的交付期限内由乙方送达甲方指定的地点视为交付，乙方同时需通知甲方货物已送达。</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十三、违约责任</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13.1甲方无正当理由拒收货物</w:t>
      </w:r>
      <w:r>
        <w:rPr>
          <w:rFonts w:hint="eastAsia" w:ascii="宋体" w:hAnsi="宋体" w:cs="Courier New"/>
          <w:color w:val="000000" w:themeColor="text1"/>
          <w:sz w:val="24"/>
          <w:szCs w:val="24"/>
          <w:highlight w:val="none"/>
        </w:rPr>
        <w:t xml:space="preserve">的，应向乙方偿付拒收货物总价款</w:t>
      </w:r>
      <w:r>
        <w:rPr>
          <w:rFonts w:hint="eastAsia" w:ascii="宋体" w:hAnsi="宋体" w:cs="Courier New"/>
          <w:color w:val="000000" w:themeColor="text1"/>
          <w:sz w:val="24"/>
          <w:szCs w:val="24"/>
          <w:highlight w:val="none"/>
          <w:u w:val="single"/>
        </w:rPr>
        <w:t xml:space="preserve">5%</w:t>
      </w:r>
      <w:r>
        <w:rPr>
          <w:rFonts w:hint="eastAsia" w:ascii="宋体" w:hAnsi="宋体" w:cs="Courier New"/>
          <w:color w:val="000000" w:themeColor="text1"/>
          <w:sz w:val="24"/>
          <w:szCs w:val="24"/>
          <w:highlight w:val="none"/>
        </w:rPr>
        <w:t xml:space="preserve">的违约金。</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13.2甲方无故逾期验收和办理货款支付手续的，应按逾期付款总额每日</w:t>
      </w:r>
      <w:r>
        <w:rPr>
          <w:rFonts w:hint="eastAsia" w:ascii="宋体" w:hAnsi="宋体" w:cs="Courier New"/>
          <w:color w:val="000000" w:themeColor="text1"/>
          <w:sz w:val="24"/>
          <w:szCs w:val="24"/>
          <w:highlight w:val="none"/>
          <w:u w:val="single"/>
        </w:rPr>
        <w:t xml:space="preserve">0.5‰</w:t>
      </w:r>
      <w:r>
        <w:rPr>
          <w:rFonts w:hint="eastAsia" w:ascii="宋体" w:hAnsi="宋体" w:cs="Courier New"/>
          <w:color w:val="000000" w:themeColor="text1"/>
          <w:sz w:val="24"/>
          <w:szCs w:val="24"/>
          <w:highlight w:val="none"/>
        </w:rPr>
        <w:t xml:space="preserve">向乙方支付违约金。</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13.3乙方逾期交付货物的，应按逾期交货总额每日</w:t>
      </w:r>
      <w:r>
        <w:rPr>
          <w:rFonts w:hint="eastAsia" w:ascii="宋体" w:hAnsi="宋体" w:cs="Courier New"/>
          <w:color w:val="000000" w:themeColor="text1"/>
          <w:sz w:val="24"/>
          <w:szCs w:val="24"/>
          <w:highlight w:val="none"/>
          <w:u w:val="single"/>
        </w:rPr>
        <w:t xml:space="preserve">0.5‰</w:t>
      </w:r>
      <w:r>
        <w:rPr>
          <w:rFonts w:hint="eastAsia" w:ascii="宋体" w:hAnsi="宋体" w:cs="Courier New"/>
          <w:color w:val="000000" w:themeColor="text1"/>
          <w:sz w:val="24"/>
          <w:szCs w:val="24"/>
          <w:highlight w:val="none"/>
        </w:rPr>
        <w:t xml:space="preserve">向甲方支付违约金，由甲方从待付货款中扣除。逾期超过约定日期10个工作日不能交货的，甲方有权解除本合同。乙方因逾期交货或因其他违约行为导致甲方解除合同的，应向甲方支付合同总价</w:t>
      </w:r>
      <w:r>
        <w:rPr>
          <w:rFonts w:hint="eastAsia" w:ascii="宋体" w:hAnsi="宋体" w:cs="Courier New"/>
          <w:color w:val="000000" w:themeColor="text1"/>
          <w:sz w:val="24"/>
          <w:szCs w:val="24"/>
          <w:highlight w:val="none"/>
          <w:u w:val="single"/>
        </w:rPr>
        <w:t xml:space="preserve">20%</w:t>
      </w:r>
      <w:r>
        <w:rPr>
          <w:rFonts w:hint="eastAsia" w:ascii="宋体" w:hAnsi="宋体" w:cs="Courier New"/>
          <w:color w:val="000000" w:themeColor="text1"/>
          <w:sz w:val="24"/>
          <w:szCs w:val="24"/>
          <w:highlight w:val="none"/>
        </w:rPr>
        <w:t xml:space="preserve">的违约金</w:t>
      </w:r>
      <w:r>
        <w:rPr>
          <w:rFonts w:hint="eastAsia" w:ascii="宋体" w:hAnsi="宋体" w:cs="Courier New"/>
          <w:color w:val="000000" w:themeColor="text1"/>
          <w:sz w:val="24"/>
          <w:szCs w:val="24"/>
          <w:highlight w:val="none"/>
        </w:rPr>
        <w:t xml:space="preserve">。 </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13.4 乙方所交付的货物合格证等材料、品种、型号、规格、技术参数、质量不符合合同规定及招标文件规定标准的，甲方有权拒收该货物，乙方愿意更换货物但逾期交货的，按乙方逾期交货处理。乙方拒绝更换货物的，甲方有权单方面解除合同，除赔偿甲方因此遭受的损失外，还应另行承担合同总价20%的违约金。</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color w:val="000000" w:themeColor="text1"/>
          <w:sz w:val="24"/>
          <w:szCs w:val="24"/>
          <w:highlight w:val="none"/>
        </w:rPr>
      </w:pPr>
      <w:r>
        <w:rPr>
          <w:rFonts w:hint="eastAsia" w:ascii="宋体" w:hAnsi="宋体" w:cs="Courier New"/>
          <w:color w:val="000000" w:themeColor="text1"/>
          <w:sz w:val="24"/>
          <w:szCs w:val="24"/>
          <w:highlight w:val="none"/>
        </w:rPr>
        <w:t xml:space="preserve">13.5 甲乙双方任何一方违反本合同约定的，除应承担上述违约责任外，违约方还应当赔偿因此给守约方造成的损失（包括但不限于诉讼费、保全费、保全担保费、律师费、公证费、鉴定费、差旅费等）。</w:t>
      </w:r>
      <w:r>
        <w:rPr>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十四、不可抗力事件处理</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14.2 不可抗力事件发生后，应立即通知对方并寄送有关权威机构出具的证明。</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14.3 不可抗力事件延续120天以上，双方应通过友好协商确定是否继续履行合同。</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十五、解决争议的方法</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15.1甲乙双方因合同签订、履行而发生的一切争议，应通过友好协商解决。协商不成的由甲方住所地人民法院管辖。</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十六、合同生效及其它</w:t>
      </w:r>
      <w:r>
        <w:rPr>
          <w:rFonts w:hint="eastAsia" w:ascii="方正黑体_GBK" w:hAnsi="方正黑体_GBK" w:eastAsia="方正黑体_GBK" w:cs="方正黑体_GBK"/>
          <w:bCs/>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16.1 本合同经双方加盖单位公章</w:t>
      </w:r>
      <w:r>
        <w:rPr>
          <w:rFonts w:ascii="宋体" w:hAnsi="宋体" w:cs="Courier New"/>
          <w:color w:val="000000" w:themeColor="text1"/>
          <w:sz w:val="24"/>
          <w:szCs w:val="24"/>
          <w:highlight w:val="none"/>
        </w:rPr>
        <w:t xml:space="preserve">或合同专用章</w:t>
      </w:r>
      <w:r>
        <w:rPr>
          <w:rFonts w:hint="eastAsia" w:ascii="宋体" w:hAnsi="宋体" w:cs="Courier New"/>
          <w:color w:val="000000" w:themeColor="text1"/>
          <w:sz w:val="24"/>
          <w:szCs w:val="24"/>
          <w:highlight w:val="none"/>
        </w:rPr>
        <w:t xml:space="preserve">后生效。</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16.2本合同未尽事宜，遵照《中华人民共和国民法典》《中华人民共和国政府采购法》有关条文执行。</w:t>
      </w:r>
      <w:r>
        <w:rPr>
          <w:rFonts w:hint="eastAsia" w:ascii="宋体" w:hAnsi="宋体" w:cs="Courier New"/>
          <w:color w:val="000000" w:themeColor="text1"/>
          <w:sz w:val="24"/>
          <w:szCs w:val="24"/>
          <w:highlight w:val="none"/>
        </w:rPr>
      </w:r>
      <w:r>
        <w:rPr>
          <w:color w:val="000000" w:themeColor="text1"/>
          <w:highlight w:val="none"/>
        </w:rPr>
      </w:r>
    </w:p>
    <w:p>
      <w:pPr>
        <w:pStyle w:val="982"/>
        <w:ind w:firstLine="480"/>
        <w:spacing w:line="360" w:lineRule="auto"/>
        <w:rPr>
          <w:rFonts w:hint="eastAsia"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16.3 本合同正本一式</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份，甲方执</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份，乙方执</w:t>
      </w:r>
      <w:r>
        <w:rPr>
          <w:rFonts w:hint="eastAsia" w:ascii="宋体" w:hAnsi="宋体" w:cs="Courier New"/>
          <w:color w:val="000000" w:themeColor="text1"/>
          <w:sz w:val="24"/>
          <w:szCs w:val="24"/>
          <w:highlight w:val="none"/>
          <w:u w:val="single"/>
        </w:rPr>
        <w:t xml:space="preserve"> </w:t>
      </w:r>
      <w:r>
        <w:rPr>
          <w:rFonts w:hint="eastAsia" w:ascii="宋体" w:hAnsi="宋体" w:cs="Courier New"/>
          <w:color w:val="000000" w:themeColor="text1"/>
          <w:sz w:val="24"/>
          <w:szCs w:val="24"/>
          <w:highlight w:val="none"/>
        </w:rPr>
        <w:t xml:space="preserve">份，具有同等法律效力。</w:t>
      </w:r>
      <w:r>
        <w:rPr>
          <w:rFonts w:hint="eastAsia" w:ascii="宋体" w:hAnsi="宋体" w:cs="Courier New"/>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olor w:val="000000" w:themeColor="text1"/>
          <w:sz w:val="24"/>
          <w:szCs w:val="24"/>
          <w:highlight w:val="none"/>
        </w:rPr>
      </w:pPr>
      <w:r>
        <w:rPr>
          <w:color w:val="000000" w:themeColor="text1"/>
          <w:highlight w:val="none"/>
        </w:rPr>
      </w:r>
      <w:bookmarkStart w:id="148" w:name="_Hlt16619369"/>
      <w:r>
        <w:rPr>
          <w:color w:val="000000" w:themeColor="text1"/>
          <w:highlight w:val="none"/>
        </w:rPr>
      </w:r>
      <w:bookmarkEnd w:id="148"/>
      <w:r>
        <w:rPr>
          <w:rFonts w:hint="eastAsia" w:hAnsi="宋体"/>
          <w:color w:val="000000" w:themeColor="text1"/>
          <w:sz w:val="24"/>
          <w:szCs w:val="24"/>
          <w:highlight w:val="none"/>
        </w:rPr>
      </w:r>
      <w:r>
        <w:rPr>
          <w:color w:val="000000" w:themeColor="text1"/>
          <w:highlight w:val="none"/>
        </w:rPr>
      </w:r>
    </w:p>
    <w:p>
      <w:pPr>
        <w:pStyle w:val="102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甲方：(章)南京市儿童医院            乙方：(章)</w:t>
      </w:r>
      <w:r>
        <w:rPr>
          <w:rFonts w:hAnsi="宋体"/>
          <w:color w:val="000000" w:themeColor="text1"/>
          <w:sz w:val="24"/>
          <w:szCs w:val="24"/>
          <w:highlight w:val="none"/>
        </w:rPr>
        <w:t xml:space="preserve"> </w:t>
      </w:r>
      <w:r>
        <w:rPr>
          <w:rFonts w:hint="eastAsia" w:hAnsi="宋体"/>
          <w:color w:val="000000" w:themeColor="text1"/>
          <w:sz w:val="24"/>
          <w:szCs w:val="24"/>
          <w:highlight w:val="none"/>
        </w:rPr>
      </w:r>
      <w:r>
        <w:rPr>
          <w:color w:val="000000" w:themeColor="text1"/>
          <w:highlight w:val="none"/>
        </w:rPr>
      </w:r>
    </w:p>
    <w:p>
      <w:pPr>
        <w:pStyle w:val="1024"/>
        <w:spacing w:before="100" w:beforeAutospacing="1"/>
        <w:rPr>
          <w:rFonts w:hint="eastAsia" w:hAnsi="宋体"/>
          <w:color w:val="000000" w:themeColor="text1"/>
          <w:sz w:val="24"/>
          <w:szCs w:val="24"/>
          <w:highlight w:val="none"/>
        </w:rPr>
      </w:pPr>
      <w:r>
        <w:rPr>
          <w:rFonts w:hint="eastAsia" w:hAnsi="宋体"/>
          <w:color w:val="000000" w:themeColor="text1"/>
          <w:sz w:val="24"/>
          <w:szCs w:val="24"/>
          <w:highlight w:val="none"/>
        </w:rPr>
        <w:t xml:space="preserve">法定代表人或授权代表人：            法定代表人或授权代表人：</w:t>
      </w:r>
      <w:r>
        <w:rPr>
          <w:rFonts w:hint="eastAsia" w:hAnsi="宋体"/>
          <w:color w:val="000000" w:themeColor="text1"/>
          <w:sz w:val="24"/>
          <w:szCs w:val="24"/>
          <w:highlight w:val="none"/>
        </w:rPr>
      </w:r>
      <w:r>
        <w:rPr>
          <w:color w:val="000000" w:themeColor="text1"/>
          <w:highlight w:val="none"/>
        </w:rPr>
      </w:r>
    </w:p>
    <w:p>
      <w:pPr>
        <w:pStyle w:val="1024"/>
        <w:spacing w:after="100" w:afterAutospacing="1"/>
        <w:rPr>
          <w:rFonts w:hint="eastAsia" w:hAnsi="宋体"/>
          <w:color w:val="000000" w:themeColor="text1"/>
          <w:sz w:val="24"/>
          <w:szCs w:val="24"/>
          <w:highlight w:val="none"/>
        </w:rPr>
      </w:pPr>
      <w:r>
        <w:rPr>
          <w:rFonts w:hAnsi="宋体"/>
          <w:color w:val="000000" w:themeColor="text1"/>
          <w:sz w:val="24"/>
          <w:szCs w:val="24"/>
          <w:highlight w:val="none"/>
        </w:rPr>
        <w:t xml:space="preserve">（签章）</w:t>
      </w:r>
      <w:r>
        <w:rPr>
          <w:rFonts w:hint="eastAsia" w:hAnsi="宋体"/>
          <w:color w:val="000000" w:themeColor="text1"/>
          <w:sz w:val="24"/>
          <w:szCs w:val="24"/>
          <w:highlight w:val="none"/>
        </w:rPr>
        <w:t xml:space="preserve">                            （签章）</w:t>
      </w:r>
      <w:r>
        <w:rPr>
          <w:rFonts w:hint="eastAsia" w:hAnsi="宋体"/>
          <w:color w:val="000000" w:themeColor="text1"/>
          <w:sz w:val="24"/>
          <w:szCs w:val="24"/>
          <w:highlight w:val="none"/>
        </w:rPr>
      </w:r>
      <w:r>
        <w:rPr>
          <w:color w:val="000000" w:themeColor="text1"/>
          <w:highlight w:val="none"/>
        </w:rPr>
      </w:r>
    </w:p>
    <w:p>
      <w:pPr>
        <w:pStyle w:val="1024"/>
        <w:spacing w:before="100" w:beforeAutospacing="1" w:after="100" w:afterAutospacing="1"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日期：                              日期： </w:t>
      </w:r>
      <w:r>
        <w:rPr>
          <w:rFonts w:hint="eastAsia" w:hAnsi="宋体"/>
          <w:color w:val="000000" w:themeColor="text1"/>
          <w:sz w:val="24"/>
          <w:szCs w:val="24"/>
          <w:highlight w:val="none"/>
        </w:rPr>
      </w:r>
      <w:r>
        <w:rPr>
          <w:color w:val="000000" w:themeColor="text1"/>
          <w:highlight w:val="none"/>
        </w:rPr>
      </w:r>
    </w:p>
    <w:p>
      <w:pPr>
        <w:pStyle w:val="1024"/>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地址：南京市鼓楼区广州路72号       地址：</w:t>
      </w:r>
      <w:r>
        <w:rPr>
          <w:rFonts w:hint="eastAsia" w:hAnsi="宋体"/>
          <w:color w:val="000000" w:themeColor="text1"/>
          <w:sz w:val="24"/>
          <w:szCs w:val="24"/>
          <w:highlight w:val="none"/>
        </w:rPr>
      </w:r>
      <w:r>
        <w:rPr>
          <w:color w:val="000000" w:themeColor="text1"/>
          <w:highlight w:val="none"/>
        </w:rPr>
      </w:r>
    </w:p>
    <w:p>
      <w:pPr>
        <w:pStyle w:val="1024"/>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开户银行：农行南京市广州路支行      开户银行：</w:t>
      </w:r>
      <w:r>
        <w:rPr>
          <w:rFonts w:hAnsi="宋体"/>
          <w:color w:val="000000" w:themeColor="text1"/>
          <w:sz w:val="24"/>
          <w:szCs w:val="24"/>
          <w:highlight w:val="none"/>
        </w:rPr>
        <w:t xml:space="preserve"> </w:t>
      </w:r>
      <w:r>
        <w:rPr>
          <w:rFonts w:hint="eastAsia" w:hAnsi="宋体"/>
          <w:color w:val="000000" w:themeColor="text1"/>
          <w:sz w:val="24"/>
          <w:szCs w:val="24"/>
          <w:highlight w:val="none"/>
        </w:rPr>
      </w:r>
      <w:r>
        <w:rPr>
          <w:color w:val="000000" w:themeColor="text1"/>
          <w:highlight w:val="none"/>
        </w:rPr>
      </w:r>
    </w:p>
    <w:p>
      <w:pPr>
        <w:pStyle w:val="1024"/>
        <w:spacing w:line="48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账号：10100301040000177              账号：</w:t>
      </w:r>
      <w:r>
        <w:rPr>
          <w:rFonts w:hint="eastAsia" w:hAnsi="宋体"/>
          <w:color w:val="000000" w:themeColor="text1"/>
          <w:sz w:val="24"/>
          <w:szCs w:val="24"/>
          <w:highlight w:val="none"/>
        </w:rPr>
      </w:r>
      <w:r>
        <w:rPr>
          <w:color w:val="000000" w:themeColor="text1"/>
          <w:highlight w:val="none"/>
        </w:rPr>
      </w:r>
    </w:p>
    <w:p>
      <w:pPr>
        <w:pStyle w:val="1024"/>
        <w:jc w:val="left"/>
        <w:spacing w:before="120" w:after="120" w:line="264"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jc w:val="left"/>
        <w:spacing w:before="120" w:after="120" w:line="264" w:lineRule="auto"/>
        <w:rPr>
          <w:rFonts w:hint="eastAsia" w:hAnsi="宋体"/>
          <w:color w:val="000000" w:themeColor="text1"/>
          <w:sz w:val="24"/>
          <w:szCs w:val="24"/>
          <w:highlight w:val="none"/>
        </w:rPr>
      </w:pPr>
      <w:r>
        <w:rPr>
          <w:rFonts w:hint="eastAsia" w:hAnsi="宋体"/>
          <w:color w:val="000000" w:themeColor="text1"/>
          <w:sz w:val="24"/>
          <w:szCs w:val="24"/>
          <w:highlight w:val="none"/>
        </w:rPr>
      </w:r>
      <w:r>
        <w:rPr>
          <w:color w:val="000000" w:themeColor="text1"/>
          <w:highlight w:val="none"/>
        </w:rPr>
      </w:r>
    </w:p>
    <w:p>
      <w:pPr>
        <w:pStyle w:val="1024"/>
        <w:spacing w:before="120" w:after="120" w:line="264" w:lineRule="auto"/>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p>
    <w:p>
      <w:pPr>
        <w:pStyle w:val="1024"/>
        <w:spacing w:before="120" w:after="120" w:line="264" w:lineRule="auto"/>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p>
    <w:p>
      <w:pPr>
        <w:pStyle w:val="1024"/>
        <w:spacing w:before="120" w:after="120" w:line="264" w:lineRule="auto"/>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p>
    <w:p>
      <w:pPr>
        <w:pStyle w:val="1024"/>
        <w:spacing w:before="120" w:after="120" w:line="264" w:lineRule="auto"/>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p>
    <w:p>
      <w:pPr>
        <w:pStyle w:val="1024"/>
        <w:spacing w:before="120" w:after="120" w:line="264" w:lineRule="auto"/>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p>
    <w:p>
      <w:pPr>
        <w:pStyle w:val="1024"/>
        <w:spacing w:before="120" w:after="120" w:line="264" w:lineRule="auto"/>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p>
    <w:p>
      <w:pPr>
        <w:pStyle w:val="1024"/>
        <w:spacing w:before="120" w:after="120" w:line="264" w:lineRule="auto"/>
        <w:rPr>
          <w:rFonts w:hint="eastAsia" w:hAnsi="宋体"/>
          <w:color w:val="000000" w:themeColor="text1"/>
          <w:sz w:val="24"/>
          <w:szCs w:val="24"/>
          <w:highlight w:val="none"/>
        </w:rPr>
      </w:pPr>
      <w:r>
        <w:rPr>
          <w:rFonts w:hAnsi="宋体"/>
          <w:color w:val="000000" w:themeColor="text1"/>
          <w:sz w:val="24"/>
          <w:szCs w:val="24"/>
          <w:highlight w:val="none"/>
        </w:rPr>
        <w:t xml:space="preserve">附件：</w:t>
      </w:r>
      <w:r>
        <w:rPr>
          <w:rFonts w:hint="eastAsia" w:hAnsi="宋体"/>
          <w:color w:val="000000" w:themeColor="text1"/>
          <w:sz w:val="24"/>
          <w:szCs w:val="24"/>
          <w:highlight w:val="none"/>
        </w:rPr>
      </w:r>
      <w:r>
        <w:rPr>
          <w:color w:val="000000" w:themeColor="text1"/>
          <w:highlight w:val="none"/>
        </w:rPr>
      </w:r>
    </w:p>
    <w:p>
      <w:pPr>
        <w:pStyle w:val="1024"/>
        <w:jc w:val="center"/>
        <w:spacing w:before="120" w:after="120"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产品价格清单</w:t>
      </w:r>
      <w:r>
        <w:rPr>
          <w:rFonts w:hint="eastAsia" w:hAnsi="宋体"/>
          <w:color w:val="000000" w:themeColor="text1"/>
          <w:sz w:val="24"/>
          <w:szCs w:val="24"/>
          <w:highlight w:val="none"/>
        </w:rPr>
      </w:r>
      <w:r>
        <w:rPr>
          <w:color w:val="000000" w:themeColor="text1"/>
          <w:highlight w:val="none"/>
        </w:rPr>
      </w:r>
    </w:p>
    <w:p>
      <w:pPr>
        <w:pStyle w:val="982"/>
        <w:rPr>
          <w:rFonts w:hint="eastAsia" w:hAnsi="宋体"/>
          <w:color w:val="000000" w:themeColor="text1"/>
          <w:sz w:val="24"/>
          <w:szCs w:val="24"/>
          <w:highlight w:val="none"/>
        </w:rPr>
      </w:pPr>
      <w:r>
        <w:rPr>
          <w:rFonts w:hint="eastAsia" w:hAnsi="宋体"/>
          <w:color w:val="000000" w:themeColor="text1"/>
          <w:sz w:val="24"/>
          <w:szCs w:val="24"/>
          <w:highlight w:val="none"/>
        </w:rPr>
        <w:br w:type="page" w:clear="all"/>
      </w:r>
      <w:r>
        <w:rPr>
          <w:rFonts w:hint="eastAsia" w:hAnsi="宋体"/>
          <w:color w:val="000000" w:themeColor="text1"/>
          <w:sz w:val="24"/>
          <w:szCs w:val="24"/>
          <w:highlight w:val="none"/>
        </w:rPr>
      </w:r>
      <w:r>
        <w:rPr>
          <w:color w:val="000000" w:themeColor="text1"/>
          <w:highlight w:val="none"/>
        </w:rPr>
      </w:r>
    </w:p>
    <w:p>
      <w:pPr>
        <w:pStyle w:val="982"/>
        <w:jc w:val="center"/>
        <w:spacing w:line="60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医疗卫生机构廉洁购销合同</w:t>
      </w:r>
      <w:r>
        <w:rPr>
          <w:rFonts w:hint="eastAsia" w:ascii="宋体" w:hAnsi="宋体" w:cs="宋体"/>
          <w:color w:val="000000" w:themeColor="text1"/>
          <w:sz w:val="36"/>
          <w:szCs w:val="36"/>
          <w:highlight w:val="none"/>
        </w:rPr>
      </w:r>
      <w:r>
        <w:rPr>
          <w:color w:val="000000" w:themeColor="text1"/>
          <w:highlight w:val="none"/>
        </w:rPr>
      </w:r>
    </w:p>
    <w:p>
      <w:pPr>
        <w:pStyle w:val="982"/>
        <w:jc w:val="center"/>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甲方（医疗卫生机构）： 南京市儿童医院</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乙方（企业及其代理人）：</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为进一步加强医疗卫生行风建设，规范医疗卫生机构购销行为，有效防范商业贿赂行为，营造公平交易、诚实守信的购销环境，经甲、乙双方协商，同意签订本合同，并共同遵守：</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一、甲乙双方按照《中华人民共和国民法典》及购销合同约定发生购销行为。</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二、甲方应当严格执行购销合同项目的验收、入库制度，对产品及发票进行查验，不得违反有关规定合同外采购、违价采购、从非规定渠道采购。</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四、乙方不得以回扣、宴请等方式影响甲方及甲方工作人员采购货物、服务的选择权，不得在学术和公务活动中提供旅游、超标准支付食宿费用。</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五、乙方指定</w:t>
      </w:r>
      <w:r>
        <w:rPr>
          <w:rFonts w:hint="eastAsia" w:ascii="宋体" w:hAnsi="宋体" w:cs="宋体"/>
          <w:color w:val="000000" w:themeColor="text1"/>
          <w:szCs w:val="21"/>
          <w:highlight w:val="none"/>
          <w:u w:val="single"/>
        </w:rPr>
        <w:t xml:space="preserve">(身份证号：         手机号：             )</w:t>
      </w:r>
      <w:r>
        <w:rPr>
          <w:rFonts w:hint="eastAsia" w:ascii="宋体" w:hAnsi="宋体" w:cs="宋体"/>
          <w:color w:val="000000" w:themeColor="text1"/>
          <w:szCs w:val="21"/>
          <w:highlight w:val="none"/>
        </w:rPr>
        <w:t xml:space="preserve">作为设备改造代表洽谈业务。销售代表发生变更的，应一个月内书面通知甲方。销售代表必须在工作时间到甲方指定地点联系商谈，不得借故到甲方相关领导、部门负责人及相关工作人员家中访谈并提供任何好处费。</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六、乙方如违反本合同，一经发现，甲方有权终止购销合同，并参照《国家卫生计生委关于建立医药购销领域商业贿赂不良记录的规定》（国卫法制发〔2013〕50号）相关规定予以惩戒。</w:t>
      </w:r>
      <w:r>
        <w:rPr>
          <w:rFonts w:hint="eastAsia" w:ascii="宋体" w:hAnsi="宋体" w:cs="宋体"/>
          <w:color w:val="000000" w:themeColor="text1"/>
          <w:szCs w:val="21"/>
          <w:highlight w:val="none"/>
        </w:rPr>
      </w:r>
      <w:r>
        <w:rPr>
          <w:color w:val="000000" w:themeColor="text1"/>
          <w:highlight w:val="none"/>
        </w:rPr>
      </w:r>
    </w:p>
    <w:p>
      <w:pPr>
        <w:pStyle w:val="982"/>
        <w:ind w:firstLine="420"/>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七、本合同作为采购项目：</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购销合同的重要组成部分。</w:t>
      </w:r>
      <w:r>
        <w:rPr>
          <w:rFonts w:hint="eastAsia" w:ascii="宋体" w:hAnsi="宋体" w:cs="宋体"/>
          <w:color w:val="000000" w:themeColor="text1"/>
          <w:szCs w:val="21"/>
          <w:highlight w:val="none"/>
          <w:u w:val="singl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八、本合同自签订之日起生效；本合同一式三份，甲方两份（甲方纪律监督部门执一份）、乙方一份，具有同等法律效力。</w:t>
      </w:r>
      <w:r>
        <w:rPr>
          <w:rFonts w:hint="eastAsia" w:ascii="宋体" w:hAnsi="宋体" w:cs="宋体"/>
          <w:color w:val="000000" w:themeColor="text1"/>
          <w:szCs w:val="21"/>
          <w:highlight w:val="none"/>
        </w:rPr>
      </w:r>
      <w:r>
        <w:rPr>
          <w:color w:val="000000" w:themeColor="text1"/>
          <w:highlight w:val="none"/>
        </w:rPr>
      </w:r>
    </w:p>
    <w:p>
      <w:pPr>
        <w:pStyle w:val="982"/>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82"/>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甲方（盖章）：                              乙方（盖章）：</w:t>
      </w:r>
      <w:r>
        <w:rPr>
          <w:rFonts w:hint="eastAsia" w:ascii="宋体" w:hAnsi="宋体" w:cs="宋体"/>
          <w:color w:val="000000" w:themeColor="text1"/>
          <w:szCs w:val="21"/>
          <w:highlight w:val="none"/>
        </w:rPr>
      </w:r>
      <w:r>
        <w:rPr>
          <w:color w:val="000000" w:themeColor="text1"/>
          <w:highlight w:val="none"/>
        </w:rPr>
      </w:r>
    </w:p>
    <w:p>
      <w:pPr>
        <w:pStyle w:val="982"/>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法定代表人（负责人）：                       法定代表人（负责人）：</w:t>
      </w:r>
      <w:r>
        <w:rPr>
          <w:rFonts w:hint="eastAsia" w:ascii="宋体" w:hAnsi="宋体" w:cs="宋体"/>
          <w:color w:val="000000" w:themeColor="text1"/>
          <w:szCs w:val="21"/>
          <w:highlight w:val="none"/>
        </w:rPr>
      </w:r>
      <w:r>
        <w:rPr>
          <w:color w:val="000000" w:themeColor="text1"/>
          <w:highlight w:val="none"/>
        </w:rPr>
      </w:r>
    </w:p>
    <w:p>
      <w:pPr>
        <w:pStyle w:val="982"/>
        <w:ind w:firstLine="42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经办人签名：                                 经办人签名：</w:t>
      </w:r>
      <w:r>
        <w:rPr>
          <w:rFonts w:hint="eastAsia" w:ascii="宋体" w:hAnsi="宋体" w:cs="宋体"/>
          <w:color w:val="000000" w:themeColor="text1"/>
          <w:szCs w:val="21"/>
          <w:highlight w:val="none"/>
        </w:rPr>
      </w:r>
      <w:r>
        <w:rPr>
          <w:color w:val="000000" w:themeColor="text1"/>
          <w:highlight w:val="none"/>
        </w:rPr>
      </w:r>
    </w:p>
    <w:p>
      <w:pPr>
        <w:pStyle w:val="982"/>
        <w:ind w:firstLine="1050"/>
        <w:spacing w:line="48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年     月     日                              年     月     日</w:t>
      </w:r>
      <w:r>
        <w:rPr>
          <w:rFonts w:hint="eastAsia" w:ascii="宋体" w:hAnsi="宋体" w:cs="宋体"/>
          <w:color w:val="000000" w:themeColor="text1"/>
          <w:szCs w:val="21"/>
          <w:highlight w:val="none"/>
        </w:rPr>
      </w:r>
      <w:r>
        <w:rPr>
          <w:color w:val="000000" w:themeColor="text1"/>
          <w:highlight w:val="none"/>
        </w:rPr>
      </w:r>
    </w:p>
    <w:p>
      <w:pPr>
        <w:pStyle w:val="982"/>
        <w:jc w:val="center"/>
        <w:widowControl/>
        <w:rPr>
          <w:rFonts w:ascii="宋体" w:hAnsi="宋体" w:cs="宋体"/>
          <w:b/>
          <w:color w:val="000000" w:themeColor="text1"/>
          <w:sz w:val="32"/>
          <w:szCs w:val="32"/>
          <w:highlight w:val="none"/>
        </w:rPr>
        <w:outlineLvl w:val="0"/>
      </w:pPr>
      <w:r>
        <w:rPr>
          <w:rFonts w:hint="eastAsia" w:ascii="宋体" w:hAnsi="宋体" w:cs="宋体"/>
          <w:b/>
          <w:color w:val="000000" w:themeColor="text1"/>
          <w:sz w:val="32"/>
          <w:szCs w:val="32"/>
          <w:highlight w:val="none"/>
        </w:rPr>
        <w:t xml:space="preserve">第四章  采购需求</w:t>
      </w:r>
      <w:bookmarkEnd w:id="145"/>
      <w:r>
        <w:rPr>
          <w:rFonts w:ascii="宋体" w:hAnsi="宋体" w:cs="宋体"/>
          <w:b/>
          <w:color w:val="000000" w:themeColor="text1"/>
          <w:sz w:val="32"/>
          <w:szCs w:val="32"/>
          <w:highlight w:val="none"/>
        </w:rPr>
      </w:r>
      <w:r>
        <w:rPr>
          <w:color w:val="000000" w:themeColor="text1"/>
          <w:highlight w:val="none"/>
        </w:rPr>
      </w:r>
    </w:p>
    <w:p>
      <w:pPr>
        <w:pStyle w:val="98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82"/>
        <w:rPr>
          <w:rFonts w:ascii="宋体" w:hAnsi="宋体"/>
          <w:color w:val="000000" w:themeColor="text1"/>
          <w:sz w:val="24"/>
          <w:highlight w:val="none"/>
        </w:rPr>
      </w:pPr>
      <w:r>
        <w:rPr>
          <w:rFonts w:hint="eastAsia" w:ascii="宋体" w:hAnsi="宋体"/>
          <w:color w:val="000000" w:themeColor="text1"/>
          <w:sz w:val="24"/>
          <w:highlight w:val="none"/>
        </w:rPr>
        <w:t xml:space="preserve">项目属性：货物类项目。</w:t>
      </w:r>
      <w:r>
        <w:rPr>
          <w:rFonts w:ascii="宋体" w:hAnsi="宋体"/>
          <w:color w:val="000000" w:themeColor="text1"/>
          <w:sz w:val="24"/>
          <w:highlight w:val="none"/>
        </w:rPr>
      </w:r>
      <w:r>
        <w:rPr>
          <w:color w:val="000000" w:themeColor="text1"/>
          <w:highlight w:val="none"/>
        </w:rPr>
      </w:r>
    </w:p>
    <w:p>
      <w:pPr>
        <w:pStyle w:val="982"/>
        <w:jc w:val="center"/>
        <w:rPr>
          <w:rFonts w:ascii="宋体" w:hAnsi="宋体"/>
          <w:b/>
          <w:bCs/>
          <w:color w:val="000000" w:themeColor="text1"/>
          <w:sz w:val="28"/>
          <w:szCs w:val="28"/>
          <w:highlight w:val="none"/>
        </w:rPr>
      </w:pPr>
      <w:r>
        <w:rPr>
          <w:rFonts w:ascii="宋体" w:hAnsi="宋体"/>
          <w:b/>
          <w:bCs/>
          <w:color w:val="000000" w:themeColor="text1"/>
          <w:sz w:val="28"/>
          <w:szCs w:val="28"/>
          <w:highlight w:val="none"/>
        </w:rPr>
      </w:r>
      <w:r>
        <w:rPr>
          <w:color w:val="000000" w:themeColor="text1"/>
          <w:highlight w:val="none"/>
        </w:rPr>
      </w:r>
    </w:p>
    <w:p>
      <w:pPr>
        <w:pStyle w:val="1137"/>
        <w:numPr>
          <w:ilvl w:val="0"/>
          <w:numId w:val="6"/>
        </w:numPr>
        <w:ind w:hanging="562"/>
        <w:rPr>
          <w:rFonts w:cs="宋体"/>
          <w:color w:val="000000" w:themeColor="text1"/>
          <w:sz w:val="24"/>
          <w:szCs w:val="24"/>
          <w:highlight w:val="none"/>
        </w:rPr>
        <w:outlineLvl w:val="1"/>
      </w:pPr>
      <w:r>
        <w:rPr>
          <w:color w:val="000000" w:themeColor="text1"/>
          <w:highlight w:val="none"/>
        </w:rPr>
      </w:r>
      <w:bookmarkStart w:id="149" w:name="_Toc17987"/>
      <w:r>
        <w:rPr>
          <w:rFonts w:hint="eastAsia" w:cs="宋体"/>
          <w:color w:val="000000" w:themeColor="text1"/>
          <w:sz w:val="24"/>
          <w:szCs w:val="24"/>
          <w:highlight w:val="none"/>
        </w:rPr>
        <w:t xml:space="preserve">项目</w:t>
      </w:r>
      <w:bookmarkEnd w:id="149"/>
      <w:r>
        <w:rPr>
          <w:rFonts w:hint="eastAsia" w:cs="宋体"/>
          <w:color w:val="000000" w:themeColor="text1"/>
          <w:sz w:val="24"/>
          <w:szCs w:val="24"/>
          <w:highlight w:val="none"/>
        </w:rPr>
        <w:t xml:space="preserve">清单一览表</w:t>
      </w:r>
      <w:r>
        <w:rPr>
          <w:rFonts w:cs="宋体"/>
          <w:color w:val="000000" w:themeColor="text1"/>
          <w:sz w:val="24"/>
          <w:szCs w:val="24"/>
          <w:highlight w:val="none"/>
        </w:rPr>
      </w:r>
      <w:r>
        <w:rPr>
          <w:color w:val="000000" w:themeColor="text1"/>
          <w:highlight w:val="none"/>
        </w:rPr>
      </w:r>
    </w:p>
    <w:tbl>
      <w:tblPr>
        <w:tblW w:w="535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3027"/>
        <w:gridCol w:w="1138"/>
        <w:gridCol w:w="1102"/>
        <w:gridCol w:w="1735"/>
        <w:gridCol w:w="2363"/>
      </w:tblGrid>
      <w:tr>
        <w:trPr>
          <w:trHeight w:val="966"/>
        </w:trPr>
        <w:tc>
          <w:tcPr>
            <w:tcW w:w="292"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1520"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w:t>
            </w:r>
            <w:r>
              <w:rPr>
                <w:rFonts w:hint="eastAsia" w:ascii="宋体" w:hAnsi="宋体" w:cs="宋体"/>
                <w:color w:val="000000" w:themeColor="text1"/>
                <w:sz w:val="24"/>
                <w:szCs w:val="24"/>
                <w:highlight w:val="none"/>
              </w:rPr>
            </w:r>
            <w:r>
              <w:rPr>
                <w:color w:val="000000" w:themeColor="text1"/>
                <w:highlight w:val="none"/>
              </w:rPr>
            </w:r>
          </w:p>
        </w:tc>
        <w:tc>
          <w:tcPr>
            <w:tcW w:w="871"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2"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手动病床1</w:t>
            </w:r>
            <w:r>
              <w:rPr>
                <w:rFonts w:hint="eastAsia" w:ascii="宋体" w:hAnsi="宋体" w:cs="宋体"/>
                <w:bCs/>
                <w:color w:val="000000" w:themeColor="text1"/>
                <w:sz w:val="24"/>
                <w:szCs w:val="24"/>
                <w:highlight w:val="none"/>
              </w:rPr>
            </w:r>
            <w:r>
              <w:rPr>
                <w:color w:val="000000" w:themeColor="text1"/>
                <w:highlight w:val="none"/>
              </w:rPr>
            </w:r>
          </w:p>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（核心产品）</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868</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4100</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第一类医疗器械</w:t>
            </w: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2"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输液吊杆</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868</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根</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150</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trHeight w:val="488"/>
        </w:trPr>
        <w:tc>
          <w:tcPr>
            <w:shd w:val="clear" w:color="000000" w:fill="ffffff"/>
            <w:tcW w:w="292"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手动病床2</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113</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4100</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第一类医疗器械</w:t>
            </w:r>
            <w:r>
              <w:rPr>
                <w:rFonts w:hint="eastAsia" w:ascii="宋体" w:hAnsi="宋体" w:cs="宋体"/>
                <w:bCs/>
                <w:color w:val="000000" w:themeColor="text1"/>
                <w:sz w:val="24"/>
                <w:szCs w:val="24"/>
                <w:highlight w:val="none"/>
              </w:rPr>
            </w:r>
            <w:r>
              <w:rPr>
                <w:color w:val="000000" w:themeColor="text1"/>
                <w:highlight w:val="none"/>
              </w:rPr>
            </w:r>
          </w:p>
        </w:tc>
      </w:tr>
      <w:tr>
        <w:trPr>
          <w:trHeight w:val="488"/>
        </w:trPr>
        <w:tc>
          <w:tcPr>
            <w:shd w:val="clear" w:color="000000" w:fill="ffffff"/>
            <w:tcW w:w="292"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手动病床3</w:t>
            </w:r>
            <w:r>
              <w:rPr>
                <w:rFonts w:hint="eastAsia"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4800</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第一类医疗器械</w:t>
            </w:r>
            <w:r>
              <w:rPr>
                <w:rFonts w:hint="eastAsia" w:ascii="宋体" w:hAnsi="宋体" w:cs="宋体"/>
                <w:bCs/>
                <w:color w:val="000000" w:themeColor="text1"/>
                <w:sz w:val="24"/>
                <w:szCs w:val="24"/>
                <w:highlight w:val="none"/>
              </w:rPr>
            </w:r>
            <w:r>
              <w:rPr>
                <w:color w:val="000000" w:themeColor="text1"/>
                <w:highlight w:val="none"/>
              </w:rPr>
            </w:r>
          </w:p>
        </w:tc>
      </w:tr>
      <w:tr>
        <w:trPr>
          <w:trHeight w:val="488"/>
        </w:trPr>
        <w:tc>
          <w:tcPr>
            <w:shd w:val="clear" w:color="000000" w:fill="ffffff"/>
            <w:tcW w:w="292"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床头柜</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914</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只</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800</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2"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陪护椅</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852</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1000</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92"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1520"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婴儿床</w:t>
            </w:r>
            <w:r>
              <w:rPr>
                <w:rFonts w:ascii="宋体" w:hAnsi="宋体" w:cs="宋体"/>
                <w:color w:val="000000" w:themeColor="text1"/>
                <w:sz w:val="24"/>
                <w:szCs w:val="24"/>
                <w:highlight w:val="none"/>
              </w:rPr>
            </w:r>
            <w:r>
              <w:rPr>
                <w:color w:val="000000" w:themeColor="text1"/>
                <w:highlight w:val="none"/>
              </w:rPr>
            </w:r>
          </w:p>
        </w:tc>
        <w:tc>
          <w:tcPr>
            <w:tcW w:w="572"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44</w:t>
            </w:r>
            <w:r>
              <w:rPr>
                <w:rFonts w:ascii="宋体" w:hAnsi="宋体" w:cs="宋体"/>
                <w:color w:val="000000" w:themeColor="text1"/>
                <w:sz w:val="24"/>
                <w:szCs w:val="24"/>
                <w:highlight w:val="none"/>
              </w:rPr>
            </w:r>
            <w:r>
              <w:rPr>
                <w:color w:val="000000" w:themeColor="text1"/>
                <w:highlight w:val="none"/>
              </w:rPr>
            </w:r>
          </w:p>
        </w:tc>
        <w:tc>
          <w:tcPr>
            <w:tcW w:w="554"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张</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71" w:type="dxa"/>
            <w:vAlign w:val="center"/>
            <w:textDirection w:val="lrTb"/>
            <w:noWrap/>
          </w:tcPr>
          <w:p>
            <w:pPr>
              <w:pStyle w:val="982"/>
              <w:jc w:val="center"/>
              <w:rPr>
                <w:rFonts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3000</w:t>
            </w:r>
            <w:r>
              <w:rPr>
                <w:rFonts w:ascii="宋体" w:hAnsi="宋体" w:cs="宋体"/>
                <w:color w:val="000000" w:themeColor="text1"/>
                <w:sz w:val="24"/>
                <w:szCs w:val="24"/>
                <w:highlight w:val="none"/>
              </w:rPr>
            </w:r>
            <w:r>
              <w:rPr>
                <w:color w:val="000000" w:themeColor="text1"/>
                <w:highlight w:val="none"/>
              </w:rPr>
            </w:r>
          </w:p>
        </w:tc>
        <w:tc>
          <w:tcPr>
            <w:tcW w:w="1187" w:type="dxa"/>
            <w:vAlign w:val="center"/>
            <w:textDirection w:val="lrTb"/>
            <w:noWrap/>
          </w:tcPr>
          <w:p>
            <w:pPr>
              <w:pStyle w:val="98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bl>
    <w:p>
      <w:pPr>
        <w:pStyle w:val="98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8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注：1.序号1为核心产品</w:t>
      </w:r>
      <w:r>
        <w:rPr>
          <w:rFonts w:hint="eastAsia" w:ascii="宋体" w:hAnsi="宋体" w:cs="宋体"/>
          <w:b/>
          <w:bCs/>
          <w:color w:val="000000" w:themeColor="text1"/>
          <w:sz w:val="24"/>
          <w:szCs w:val="24"/>
          <w:highlight w:val="none"/>
        </w:rPr>
      </w:r>
      <w:r>
        <w:rPr>
          <w:color w:val="000000" w:themeColor="text1"/>
          <w:highlight w:val="none"/>
        </w:rPr>
      </w:r>
    </w:p>
    <w:p>
      <w:pPr>
        <w:pStyle w:val="98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2.投标单价不得超过单价限价。</w:t>
      </w:r>
      <w:r>
        <w:rPr>
          <w:rFonts w:hint="eastAsia" w:ascii="宋体" w:hAnsi="宋体" w:cs="宋体"/>
          <w:b/>
          <w:bCs/>
          <w:color w:val="000000" w:themeColor="text1"/>
          <w:sz w:val="24"/>
          <w:szCs w:val="24"/>
          <w:highlight w:val="none"/>
        </w:rPr>
      </w:r>
      <w:r>
        <w:rPr>
          <w:color w:val="000000" w:themeColor="text1"/>
          <w:highlight w:val="none"/>
        </w:rPr>
      </w:r>
    </w:p>
    <w:p>
      <w:pPr>
        <w:pStyle w:val="98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p>
      <w:pPr>
        <w:pStyle w:val="98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p>
      <w:pPr>
        <w:pStyle w:val="982"/>
        <w:jc w:val="left"/>
        <w:rPr>
          <w:rFonts w:hint="eastAsia" w:ascii="宋体" w:hAnsi="宋体" w:cs="宋体"/>
          <w:b/>
          <w:bCs/>
          <w:color w:val="000000" w:themeColor="text1"/>
          <w:sz w:val="24"/>
          <w:szCs w:val="24"/>
          <w:highlight w:val="none"/>
        </w:rPr>
        <w:sectPr>
          <w:headerReference w:type="default" r:id="rId12"/>
          <w:footerReference w:type="default" r:id="rId16"/>
          <w:footnotePr/>
          <w:endnotePr/>
          <w:type w:val="nextPage"/>
          <w:pgSz w:w="11906" w:h="16838" w:orient="portrait"/>
          <w:pgMar w:top="1134" w:right="1417" w:bottom="850" w:left="1417" w:header="850" w:footer="992" w:gutter="0"/>
          <w:cols w:num="1" w:sep="0" w:space="1701" w:equalWidth="1"/>
          <w:docGrid w:linePitch="360"/>
        </w:sectPr>
      </w:pPr>
      <w:r>
        <w:rPr>
          <w:rFonts w:hint="eastAsia" w:ascii="宋体" w:hAnsi="宋体" w:cs="宋体"/>
          <w:b/>
          <w:bCs/>
          <w:color w:val="000000" w:themeColor="text1"/>
          <w:sz w:val="24"/>
          <w:szCs w:val="24"/>
          <w:highlight w:val="none"/>
        </w:rPr>
      </w:r>
      <w:r>
        <w:rPr>
          <w:color w:val="000000" w:themeColor="text1"/>
          <w:highlight w:val="none"/>
        </w:rPr>
      </w:r>
    </w:p>
    <w:p>
      <w:pPr>
        <w:pStyle w:val="982"/>
        <w:jc w:val="lef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p>
      <w:pPr>
        <w:pStyle w:val="1137"/>
        <w:numPr>
          <w:ilvl w:val="0"/>
          <w:numId w:val="6"/>
        </w:numPr>
        <w:ind w:hanging="562"/>
        <w:rPr>
          <w:rFonts w:cs="宋体"/>
          <w:color w:val="000000" w:themeColor="text1"/>
          <w:sz w:val="24"/>
          <w:szCs w:val="24"/>
          <w:highlight w:val="none"/>
        </w:rPr>
        <w:outlineLvl w:val="1"/>
      </w:pPr>
      <w:r>
        <w:rPr>
          <w:rFonts w:hint="eastAsia" w:cs="宋体"/>
          <w:color w:val="000000" w:themeColor="text1"/>
          <w:sz w:val="24"/>
          <w:szCs w:val="24"/>
          <w:highlight w:val="none"/>
        </w:rPr>
        <w:t xml:space="preserve">技术要求</w:t>
      </w:r>
      <w:r>
        <w:rPr>
          <w:rFonts w:cs="宋体"/>
          <w:color w:val="000000" w:themeColor="text1"/>
          <w:sz w:val="24"/>
          <w:szCs w:val="24"/>
          <w:highlight w:val="none"/>
        </w:rPr>
      </w:r>
      <w:r>
        <w:rPr>
          <w:color w:val="000000" w:themeColor="text1"/>
          <w:highlight w:val="none"/>
        </w:rPr>
      </w:r>
    </w:p>
    <w:tbl>
      <w:tblPr>
        <w:tblW w:w="14857" w:type="dxa"/>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9"/>
        <w:gridCol w:w="796"/>
        <w:gridCol w:w="9508"/>
        <w:gridCol w:w="3694"/>
      </w:tblGrid>
      <w:tr>
        <w:trPr>
          <w:trHeight w:val="90"/>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序号</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产品</w:t>
            </w:r>
            <w:r>
              <w:rPr>
                <w:rFonts w:hint="eastAsia" w:ascii="宋体" w:hAnsi="宋体" w:cs="宋体"/>
                <w:b/>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jc w:val="center"/>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功能、性能、配置不低于以下要求</w:t>
            </w:r>
            <w:r>
              <w:rPr>
                <w:rFonts w:hint="eastAsia" w:ascii="宋体" w:hAnsi="宋体" w:cs="宋体"/>
                <w:b/>
                <w:color w:val="000000" w:themeColor="text1"/>
                <w:sz w:val="24"/>
                <w:szCs w:val="24"/>
                <w:highlight w:val="none"/>
              </w:rPr>
            </w:r>
            <w:r>
              <w:rPr>
                <w:color w:val="000000" w:themeColor="text1"/>
                <w:highlight w:val="none"/>
              </w:rPr>
            </w:r>
          </w:p>
        </w:tc>
        <w:tc>
          <w:tcPr>
            <w:tcW w:w="3694" w:type="dxa"/>
            <w:vAlign w:val="center"/>
            <w:textDirection w:val="lrTb"/>
            <w:noWrap w:val="false"/>
          </w:tcPr>
          <w:p>
            <w:pPr>
              <w:pStyle w:val="982"/>
              <w:jc w:val="center"/>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图示</w:t>
            </w:r>
            <w:r>
              <w:rPr>
                <w:rFonts w:ascii="宋体" w:hAnsi="宋体" w:cs="宋体"/>
                <w:b/>
                <w:color w:val="000000" w:themeColor="text1"/>
                <w:sz w:val="24"/>
                <w:szCs w:val="24"/>
                <w:highlight w:val="none"/>
              </w:rPr>
            </w:r>
            <w:r>
              <w:rPr>
                <w:color w:val="000000" w:themeColor="text1"/>
                <w:highlight w:val="none"/>
              </w:rPr>
            </w:r>
          </w:p>
        </w:tc>
      </w:tr>
      <w:tr>
        <w:trPr>
          <w:trHeight w:val="7901"/>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手动病床1</w:t>
            </w:r>
            <w:r>
              <w:rPr>
                <w:rFonts w:hint="eastAsia" w:ascii="宋体" w:hAnsi="宋体" w:cs="宋体"/>
                <w:bCs/>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▲1、整床设计使用年限：≥8年(投标时需提供铭牌图片)。</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2、安全载重 ：≥240kg。</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3、外包尺寸：2000*900*650mm（±50mm）。</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4、床头尾板：</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（1）外形尺寸：≥1120×900mm；</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（2）材料为铝合金型材；</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（3）使用塑料装饰板配色；</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（4）床头使用塑料型材板镶嵌、贴卡通装饰画。</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床尾使用铝型材竖杆、镂空式设计。</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5、护栏：</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（1）外形尺寸：≥1790×500mm，护栏升起后顶部到床面的距离：≥520mm；</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（2）护栏使用铝合金护栏，操作简便，护栏间距：≤65mm</w:t>
            </w:r>
            <w:r>
              <w:rPr>
                <w:rFonts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（3）向上升档无需解锁，操作方便；</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（4）向下降档需要有儿童防护装置，护栏可调节档位≥2个；</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tabs>
                <w:tab w:val="left" w:pos="845" w:leader="none"/>
                <w:tab w:val="left" w:pos="2181"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（5）全封闭式护栏。</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6、餐桌：配阻尼翻板式餐桌。</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7、功能：背板升降功能角度范围为0～75°，大腿板升降功能角度范围为0～35°。</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8、床框、床面材质：</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（1）床框使用≥60*30*1.5mm矩形钢管焊接。</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（2）鞋架由多根≥∅10*0.8mm圆管焊接在床底架组成。</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tabs>
                <w:tab w:val="left" w:pos="845" w:leader="none"/>
                <w:tab w:val="left" w:pos="2181" w:leader="none"/>
              </w:tabs>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highlight w:val="none"/>
              </w:rPr>
              <w:t xml:space="preserve">床面板为冷轧钢一次冲压成型，厚度≥1.0mm</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（4）床框配有4个输液杆插孔。</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（5）床框内侧焊有引流袋挂钩（6个）。</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9、摇臂（传动机构）：折叠收缩式手摇柄，使用耐药性树脂材料，防酸耐碱，椭圆形设计。要有过摇保护设计，有离合装置，即使摇柄上的作用力过大，也有效避免摇杆及相关连接部受到损伤。</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10、脚轮：采用中控脚轮，配有四个直径125毫米的中控双面脚轮，轮面材质TPE热塑橡胶，无压痕，金属螺栓杆，承载能力强，TPU耐磨轮面，降噪防震方便稳定。</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▲11、复式喷涂工艺：“电泳涂装+粉末喷涂”工艺（或同等及以上工艺，响应文件中须写明具体工艺以及提供购买合同或租赁合同等证明材料）。</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粉末具有抗菌性作用，对金黄色葡萄球菌、藤黄微球菌、大肠杆菌抗菌率均≥99%(GB/T21866-2025)。(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▲13、电泳涂层不含镉、铅、汞、六价铬重金属(GB/T26572-2011)。(提供CMA标识检测报告（报告名称允许和招标产品名称有出入，只要是同类产品且参数符合均认可），检测报告上附防伪二维码)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14、焊接工艺采用机器人焊接工艺。(提供购买合同或租赁合同等证明材料）</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含床垫：规格配床，床垫套为PU涤纶布，不含甲醛，强韧和耐老化，防水透气；内层TPU薄膜复合,经防霉、抗菌、阻燃处理，可阻挡病菌，阻抗血融病原菌等多种病菌；尾部拉链式设计，面料可拆卸水洗。内芯：内芯为80mm（±5mm）厚的海绵，海绵不含甲醛。</w:t>
            </w:r>
            <w:r>
              <w:rPr>
                <w:rFonts w:ascii="宋体" w:hAnsi="宋体" w:cs="宋体"/>
                <w:color w:val="000000" w:themeColor="text1"/>
                <w:sz w:val="24"/>
                <w:szCs w:val="24"/>
                <w:highlight w:val="none"/>
              </w:rPr>
            </w:r>
            <w:r>
              <w:rPr>
                <w:color w:val="000000" w:themeColor="text1"/>
                <w:highlight w:val="none"/>
              </w:rPr>
            </w:r>
          </w:p>
        </w:tc>
        <w:tc>
          <w:tcPr>
            <w:tcW w:w="3694" w:type="dxa"/>
            <w:vAlign w:val="center"/>
            <w:textDirection w:val="lrTb"/>
            <w:noWrap w:val="false"/>
          </w:tcPr>
          <w:p>
            <w:pPr>
              <w:pStyle w:val="982"/>
              <w:spacing w:line="360" w:lineRule="exact"/>
              <w:widowControl/>
              <w:rPr>
                <w:rFonts w:hint="eastAsia" w:ascii="宋体" w:hAnsi="宋体" w:cs="宋体"/>
                <w:color w:val="000000" w:themeColor="text1"/>
                <w:sz w:val="24"/>
                <w:szCs w:val="24"/>
                <w:highlight w:val="none"/>
              </w:rPr>
            </w:pPr>
            <w:r>
              <w:rPr>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291465</wp:posOffset>
                      </wp:positionH>
                      <wp:positionV relativeFrom="paragraph">
                        <wp:posOffset>66040</wp:posOffset>
                      </wp:positionV>
                      <wp:extent cx="1977390" cy="3053080"/>
                      <wp:effectExtent l="0" t="0" r="0" b="0"/>
                      <wp:wrapNone/>
                      <wp:docPr id="3" name=""/>
                      <wp:cNvGraphicFramePr/>
                      <a:graphic xmlns:a="http://schemas.openxmlformats.org/drawingml/2006/main">
                        <a:graphicData uri="http://schemas.microsoft.com/office/word/2010/wordprocessingGroup">
                          <wpg:wgp>
                            <wpg:cNvGrpSpPr/>
                            <wpg:grpSpPr bwMode="auto">
                              <a:xfrm>
                                <a:off x="0" y="0"/>
                                <a:ext cx="1977390" cy="3053080"/>
                                <a:chOff x="2154" y="4149"/>
                                <a:chExt cx="2010" cy="3433"/>
                              </a:xfrm>
                            </wpg:grpSpPr>
                            <pic:pic xmlns:pic="http://schemas.openxmlformats.org/drawingml/2006/picture">
                              <pic:nvPicPr>
                                <pic:cNvPr id="3" name=""/>
                                <pic:cNvPicPr/>
                                <pic:nvPr/>
                              </pic:nvPicPr>
                              <pic:blipFill>
                                <a:blip r:embed="rId19"/>
                                <a:stretch/>
                              </pic:blipFill>
                              <pic:spPr bwMode="auto">
                                <a:xfrm>
                                  <a:off x="2154" y="4149"/>
                                  <a:ext cx="2010" cy="1704"/>
                                </a:xfrm>
                                <a:prstGeom prst="rect">
                                  <a:avLst/>
                                </a:prstGeom>
                                <a:noFill/>
                                <a:ln>
                                  <a:noFill/>
                                </a:ln>
                              </pic:spPr>
                            </pic:pic>
                            <pic:pic xmlns:pic="http://schemas.openxmlformats.org/drawingml/2006/picture">
                              <pic:nvPicPr>
                                <pic:cNvPr id="5" name=""/>
                                <pic:cNvPicPr/>
                                <pic:nvPr/>
                              </pic:nvPicPr>
                              <pic:blipFill>
                                <a:blip r:embed="rId20"/>
                                <a:stretch/>
                              </pic:blipFill>
                              <pic:spPr bwMode="auto">
                                <a:xfrm>
                                  <a:off x="2247" y="6332"/>
                                  <a:ext cx="1682" cy="1251"/>
                                </a:xfrm>
                                <a:prstGeom prst="rect">
                                  <a:avLst/>
                                </a:prstGeom>
                                <a:noFill/>
                                <a:ln>
                                  <a:noFill/>
                                </a:ln>
                              </pic:spPr>
                            </pic:pic>
                          </wpg:wgp>
                        </a:graphicData>
                      </a:graphic>
                    </wp:anchor>
                  </w:drawing>
                </mc:Choice>
                <mc:Fallback>
                  <w:pict>
                    <v:group id="group 2" o:spid="_x0000_s0000" style="position:absolute;z-index:251658241;o:allowoverlap:true;o:allowincell:true;mso-position-horizontal-relative:text;margin-left:22.9pt;mso-position-horizontal:absolute;mso-position-vertical-relative:text;margin-top:5.2pt;mso-position-vertical:absolute;width:155.7pt;height:240.4pt;mso-wrap-distance-left:9.0pt;mso-wrap-distance-top:0.0pt;mso-wrap-distance-right:9.0pt;mso-wrap-distance-bottom:0.0pt;" coordorigin="21,41" coordsize="20,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21;top:41;width:20;height:17;" stroked="f">
                        <v:path textboxrect="0,0,0,0"/>
                        <v:imagedata r:id="rId19"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left:22;top:63;width:16;height:12;" stroked="f">
                        <v:path textboxrect="0,0,0,0"/>
                        <v:imagedata r:id="rId20" o:title=""/>
                      </v:shape>
                    </v:group>
                  </w:pict>
                </mc:Fallback>
              </mc:AlternateContent>
            </w:r>
            <w:r>
              <w:rPr>
                <w:rFonts w:hint="eastAsia" w:ascii="宋体" w:hAnsi="宋体" w:cs="宋体"/>
                <w:color w:val="000000" w:themeColor="text1"/>
                <w:sz w:val="24"/>
                <w:szCs w:val="24"/>
                <w:highlight w:val="none"/>
              </w:rPr>
            </w:r>
            <w:r>
              <w:rPr>
                <w:color w:val="000000" w:themeColor="text1"/>
                <w:highlight w:val="none"/>
              </w:rPr>
            </w:r>
          </w:p>
        </w:tc>
      </w:tr>
      <w:tr>
        <w:trPr>
          <w:trHeight w:val="3114"/>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jc w:val="lef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输液吊杆</w:t>
            </w:r>
            <w:r>
              <w:rPr>
                <w:rFonts w:hint="eastAsia" w:ascii="宋体" w:hAnsi="宋体" w:cs="宋体"/>
                <w:bCs/>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1、规格：长度80cm，可拉伸至少50cm。</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2、型式：4钩，分段式，可上下升降调节高度。</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3、材料：全不锈钢304材质。</w:t>
            </w:r>
            <w:r>
              <w:rPr>
                <w:rFonts w:hint="eastAsia" w:ascii="宋体" w:hAnsi="宋体" w:cs="宋体"/>
                <w:color w:val="000000" w:themeColor="text1"/>
                <w:sz w:val="24"/>
                <w:szCs w:val="24"/>
                <w:highlight w:val="none"/>
              </w:rPr>
            </w:r>
            <w:r>
              <w:rPr>
                <w:color w:val="000000" w:themeColor="text1"/>
                <w:highlight w:val="none"/>
              </w:rPr>
            </w:r>
          </w:p>
        </w:tc>
        <w:tc>
          <w:tcPr>
            <w:tcW w:w="3694" w:type="dxa"/>
            <w:vAlign w:val="center"/>
            <w:textDirection w:val="lrTb"/>
            <w:noWrap w:val="false"/>
          </w:tcPr>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983615</wp:posOffset>
                      </wp:positionH>
                      <wp:positionV relativeFrom="paragraph">
                        <wp:posOffset>-14604</wp:posOffset>
                      </wp:positionV>
                      <wp:extent cx="1198880" cy="183705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0" r="9066" b="0"/>
                              <a:stretch/>
                            </pic:blipFill>
                            <pic:spPr bwMode="auto">
                              <a:xfrm>
                                <a:off x="0" y="0"/>
                                <a:ext cx="1198880" cy="1837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77.5pt;mso-position-horizontal:absolute;mso-position-vertical-relative:text;margin-top:-1.1pt;mso-position-vertical:absolute;width:94.4pt;height:144.7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themeColor="text1"/>
                <w:sz w:val="24"/>
                <w:szCs w:val="24"/>
                <w:highlight w:val="none"/>
              </w:rPr>
              <w:t xml:space="preserve">  </w:t>
            </w:r>
            <w:r>
              <w:rPr>
                <w:rFonts w:hint="eastAsia" w:ascii="宋体" w:hAnsi="宋体" w:cs="宋体"/>
                <w:color w:val="000000" w:themeColor="text1"/>
                <w:sz w:val="24"/>
                <w:szCs w:val="24"/>
                <w:highlight w:val="none"/>
              </w:rPr>
            </w:r>
            <w:r>
              <w:rPr>
                <w:color w:val="000000" w:themeColor="text1"/>
                <w:highlight w:val="none"/>
              </w:rPr>
            </w:r>
          </w:p>
        </w:tc>
      </w:tr>
      <w:tr>
        <w:trPr>
          <w:trHeight w:val="418"/>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手动病床2</w:t>
            </w:r>
            <w:r>
              <w:rPr>
                <w:rFonts w:hint="eastAsia" w:ascii="宋体" w:hAnsi="宋体" w:cs="宋体"/>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1、外型尺寸：2100*1000*450mm（±50mm）。</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2、床头尾：床头和床尾架及侧板采用实木颗粒板，贴三聚氰胺面，颜色可根据院方定制。无异味，可插拔式。</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3、床面：</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（1）≥1.0mm冷轧钢板冲孔床面。</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手摇式病床、冷轧钢板喷涂通过酸性盐雾试验，暴露≥168小时，外观等级≥10级（无破坏）GB/T10125-2021。(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4、护栏：四档铝合金护栏，上下支架全套铁件模具化，并带有锁件，防夹手装置，使用方便、安全。</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5、餐桌：采用液压带阻尼装置翻板餐桌，使用安全。</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6、床脚：≥40*40mm，采用中控脚轮，配有四个直径125毫米的中控双面脚轮，轮面材质TPE热塑橡胶，无压痕，金属螺栓杆，承载能力强，TPU耐磨轮面，降噪防震方便稳定。</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7、摇臂：</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（1）折叠抽拉式双摇臂，全封闭丝杆，背板升降0-75度，腿板升降0-35度。</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▲（2）丝杆采用优质45#钢，其含碳量为0.42%-0.50%（GB/T699-2015）。(提供CMA标识检测报告（报告名称允许和招标产品名称有出入，只要是同类产品且参数符合均认可），检测报告上附防伪二维码)。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▲8、复式喷涂工艺：“电泳涂装+粉末喷涂”工艺（或同等及以上工艺，响应文件中须写明具体工艺以及提供购买合同或租赁合同等证明材料）。</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粉末具有抗菌性作用，对金黄色葡萄球菌、藤黄微球菌、大肠杆菌抗菌率均≥99%。(GB/T21866-2025)。(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▲10、电泳涂层不含镉、铅、汞、六价铬重金属(GB/T26572-2011)。(提供CMA标识检测报告（报告名称允许和招标产品名称有出入，只要是同类产品且参数符合均认可），检测报告上附防伪二维码)。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11、焊接工艺采用机器人焊接工艺。(提供购买合同或租赁合同等证明材料）</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含床垫：规格配床，床垫套为PU涤纶布，不含甲醛，强韧和耐老化，防水透气；内层TPU薄膜复合,经防霉、抗菌、阻燃处理，可阻挡病菌，阻抗血融病原菌等多种病菌；尾部拉链式设计，面料可拆卸水洗。内芯：内芯为80mm（±5mm）厚的海绵，海绵不含甲醛。</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3694" w:type="dxa"/>
            <w:vAlign w:val="center"/>
            <w:textDirection w:val="lrTb"/>
            <w:noWrap w:val="false"/>
          </w:tcPr>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190500</wp:posOffset>
                      </wp:positionH>
                      <wp:positionV relativeFrom="paragraph">
                        <wp:posOffset>-1090929</wp:posOffset>
                      </wp:positionV>
                      <wp:extent cx="1870710" cy="2327910"/>
                      <wp:effectExtent l="0" t="0" r="0" b="0"/>
                      <wp:wrapNone/>
                      <wp:docPr id="5" name=""/>
                      <wp:cNvGraphicFramePr/>
                      <a:graphic xmlns:a="http://schemas.openxmlformats.org/drawingml/2006/main">
                        <a:graphicData uri="http://schemas.microsoft.com/office/word/2010/wordprocessingGroup">
                          <wpg:wgp>
                            <wpg:cNvGrpSpPr/>
                            <wpg:grpSpPr bwMode="auto">
                              <a:xfrm>
                                <a:off x="0" y="0"/>
                                <a:ext cx="1870710" cy="2327910"/>
                                <a:chOff x="2154" y="12646"/>
                                <a:chExt cx="2018" cy="3435"/>
                              </a:xfrm>
                            </wpg:grpSpPr>
                            <pic:pic xmlns:pic="http://schemas.openxmlformats.org/drawingml/2006/picture">
                              <pic:nvPicPr>
                                <pic:cNvPr id="9" name=""/>
                                <pic:cNvPicPr/>
                                <pic:nvPr/>
                              </pic:nvPicPr>
                              <pic:blipFill>
                                <a:blip r:embed="rId22"/>
                                <a:stretch/>
                              </pic:blipFill>
                              <pic:spPr bwMode="auto">
                                <a:xfrm>
                                  <a:off x="2259" y="14831"/>
                                  <a:ext cx="1682" cy="1251"/>
                                </a:xfrm>
                                <a:prstGeom prst="rect">
                                  <a:avLst/>
                                </a:prstGeom>
                                <a:noFill/>
                                <a:ln>
                                  <a:noFill/>
                                </a:ln>
                              </pic:spPr>
                            </pic:pic>
                            <pic:pic xmlns:pic="http://schemas.openxmlformats.org/drawingml/2006/picture">
                              <pic:nvPicPr>
                                <pic:cNvPr id="11" name=""/>
                                <pic:cNvPicPr/>
                                <pic:nvPr/>
                              </pic:nvPicPr>
                              <pic:blipFill>
                                <a:blip r:embed="rId23"/>
                                <a:stretch/>
                              </pic:blipFill>
                              <pic:spPr bwMode="auto">
                                <a:xfrm>
                                  <a:off x="2154" y="12646"/>
                                  <a:ext cx="2019" cy="1494"/>
                                </a:xfrm>
                                <a:prstGeom prst="rect">
                                  <a:avLst/>
                                </a:prstGeom>
                                <a:noFill/>
                                <a:ln>
                                  <a:noFill/>
                                </a:ln>
                              </pic:spPr>
                            </pic:pic>
                          </wpg:wgp>
                        </a:graphicData>
                      </a:graphic>
                    </wp:anchor>
                  </w:drawing>
                </mc:Choice>
                <mc:Fallback>
                  <w:pict>
                    <v:group id="group 6" o:spid="_x0000_s0000" style="position:absolute;z-index:251658242;o:allowoverlap:true;o:allowincell:true;mso-position-horizontal-relative:text;margin-left:15.0pt;mso-position-horizontal:absolute;mso-position-vertical-relative:text;margin-top:-85.9pt;mso-position-vertical:absolute;width:147.3pt;height:183.3pt;mso-wrap-distance-left:9.0pt;mso-wrap-distance-top:0.0pt;mso-wrap-distance-right:9.0pt;mso-wrap-distance-bottom:0.0pt;" coordorigin="21,126" coordsize="20,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left:22;top:148;width:16;height:12;" stroked="f">
                        <v:path textboxrect="0,0,0,0"/>
                        <v:imagedata r:id="rId22"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left:21;top:126;width:20;height:14;" stroked="f">
                        <v:path textboxrect="0,0,0,0"/>
                        <v:imagedata r:id="rId23" o:title=""/>
                      </v:shape>
                    </v:group>
                  </w:pict>
                </mc:Fallback>
              </mc:AlternateContent>
            </w:r>
            <w:r>
              <w:rPr>
                <w:rFonts w:hint="eastAsia" w:ascii="宋体" w:hAnsi="宋体" w:cs="宋体"/>
                <w:color w:val="000000" w:themeColor="text1"/>
                <w:sz w:val="24"/>
                <w:szCs w:val="24"/>
                <w:highlight w:val="none"/>
              </w:rPr>
            </w:r>
            <w:r>
              <w:rPr>
                <w:color w:val="000000" w:themeColor="text1"/>
                <w:highlight w:val="none"/>
              </w:rPr>
            </w:r>
          </w:p>
        </w:tc>
      </w:tr>
      <w:tr>
        <w:trPr>
          <w:trHeight w:val="692"/>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手动病床3</w:t>
            </w:r>
            <w:r>
              <w:rPr>
                <w:rFonts w:hint="eastAsia" w:ascii="宋体" w:hAnsi="宋体" w:cs="宋体"/>
                <w:bCs/>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1、外型尺寸：2100*1500*450mm（±50mm）。</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2、床头尾：床头和床尾架及侧板采用实木颗粒板，贴三聚氰胺面，颜色可根据院方定制。无异味，可插拔式。</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3、床面：</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（1）≥1.0mm冷轧钢板冲孔床面。</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冷轧钢板喷涂通过酸性盐雾试验，暴露≥168小时，外观等级≥10级（无破坏）GB/T10125-2021。(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4、护栏：四档铝合金护栏，上下支架全套铁件模具化，并带有锁件，防夹手装置，使用方便、安全。</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5、餐桌：采用液压带阻尼装置翻板餐桌，使用安全。</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6、床脚：≥40*40mm，采用中控脚轮，配有四个直径125毫米的中控双面脚轮，轮面材质TPE热塑橡胶，无压痕，金属螺栓杆，承载能力强，TPU耐磨轮面，降噪防震方便稳定。</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7、摇臂：</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（1）折叠抽拉式双摇臂，全封闭丝杆，背板升降0-75度，腿板升降0-35度。</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6287770</wp:posOffset>
                      </wp:positionH>
                      <wp:positionV relativeFrom="paragraph">
                        <wp:posOffset>410845</wp:posOffset>
                      </wp:positionV>
                      <wp:extent cx="1870710" cy="2327910"/>
                      <wp:effectExtent l="0" t="0" r="0" b="0"/>
                      <wp:wrapNone/>
                      <wp:docPr id="6" name=""/>
                      <wp:cNvGraphicFramePr/>
                      <a:graphic xmlns:a="http://schemas.openxmlformats.org/drawingml/2006/main">
                        <a:graphicData uri="http://schemas.microsoft.com/office/word/2010/wordprocessingGroup">
                          <wpg:wgp>
                            <wpg:cNvGrpSpPr/>
                            <wpg:grpSpPr bwMode="auto">
                              <a:xfrm>
                                <a:off x="0" y="0"/>
                                <a:ext cx="1870710" cy="2327910"/>
                                <a:chOff x="2154" y="12646"/>
                                <a:chExt cx="2018" cy="3435"/>
                              </a:xfrm>
                            </wpg:grpSpPr>
                            <pic:pic xmlns:pic="http://schemas.openxmlformats.org/drawingml/2006/picture">
                              <pic:nvPicPr>
                                <pic:cNvPr id="14" name=""/>
                                <pic:cNvPicPr/>
                                <pic:nvPr/>
                              </pic:nvPicPr>
                              <pic:blipFill>
                                <a:blip r:embed="rId24"/>
                                <a:stretch/>
                              </pic:blipFill>
                              <pic:spPr bwMode="auto">
                                <a:xfrm>
                                  <a:off x="2259" y="14831"/>
                                  <a:ext cx="1682" cy="1251"/>
                                </a:xfrm>
                                <a:prstGeom prst="rect">
                                  <a:avLst/>
                                </a:prstGeom>
                                <a:noFill/>
                                <a:ln>
                                  <a:noFill/>
                                </a:ln>
                              </pic:spPr>
                            </pic:pic>
                            <pic:pic xmlns:pic="http://schemas.openxmlformats.org/drawingml/2006/picture">
                              <pic:nvPicPr>
                                <pic:cNvPr id="16" name=""/>
                                <pic:cNvPicPr/>
                                <pic:nvPr/>
                              </pic:nvPicPr>
                              <pic:blipFill>
                                <a:blip r:embed="rId25"/>
                                <a:stretch/>
                              </pic:blipFill>
                              <pic:spPr bwMode="auto">
                                <a:xfrm>
                                  <a:off x="2154" y="12646"/>
                                  <a:ext cx="2019" cy="1494"/>
                                </a:xfrm>
                                <a:prstGeom prst="rect">
                                  <a:avLst/>
                                </a:prstGeom>
                                <a:noFill/>
                                <a:ln>
                                  <a:noFill/>
                                </a:ln>
                              </pic:spPr>
                            </pic:pic>
                          </wpg:wgp>
                        </a:graphicData>
                      </a:graphic>
                    </wp:anchor>
                  </w:drawing>
                </mc:Choice>
                <mc:Fallback>
                  <w:pict>
                    <v:group id="group 9" o:spid="_x0000_s0000" style="position:absolute;z-index:251658246;o:allowoverlap:true;o:allowincell:true;mso-position-horizontal-relative:text;margin-left:495.1pt;mso-position-horizontal:absolute;mso-position-vertical-relative:text;margin-top:32.4pt;mso-position-vertical:absolute;width:147.3pt;height:183.3pt;mso-wrap-distance-left:9.0pt;mso-wrap-distance-top:0.0pt;mso-wrap-distance-right:9.0pt;mso-wrap-distance-bottom:0.0pt;" coordorigin="21,126" coordsize="20,3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left:22;top:148;width:16;height:12;" stroked="f">
                        <v:path textboxrect="0,0,0,0"/>
                        <v:imagedata r:id="rId2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left:21;top:126;width:20;height:14;" stroked="f">
                        <v:path textboxrect="0,0,0,0"/>
                        <v:imagedata r:id="rId25" o:title=""/>
                      </v:shape>
                    </v:group>
                  </w:pict>
                </mc:Fallback>
              </mc:AlternateContent>
            </w:r>
            <w:r>
              <w:rPr>
                <w:rFonts w:hint="eastAsia" w:ascii="宋体" w:hAnsi="宋体" w:cs="宋体"/>
                <w:color w:val="000000" w:themeColor="text1"/>
                <w:sz w:val="24"/>
                <w:szCs w:val="24"/>
                <w:highlight w:val="none"/>
              </w:rPr>
              <w:t xml:space="preserve">▲（2）丝杆采用优质45#钢，其含碳量为0.42%-0.50%（GB/T699-2015）。(提供CMA标识检测报告（报告名称允许和招标产品名称有出入，只要是同类产品且参数符合均认可），检测报告上附防伪二维码)。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▲8、复式喷涂工艺：“电泳涂装+粉末喷涂”工艺（或同等及以上工艺，响应文件中须写明具体工艺以及提供购买合同或租赁合同等证明材料）。</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粉末具有抗菌性作用，对金黄色葡萄球菌、藤黄微球菌、大肠杆菌抗菌率均≥99%。(GB/T21866-2025)。(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▲10、电泳涂层不含镉、铅、汞、六价铬重金属(GB/T26572-2011)。(提供CMA标识检测报告（报告名称允许和招标产品名称有出入，只要是同类产品且参数符合均认可），检测报告上附防伪二维码)。</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11、焊接工艺采用机器人焊接工艺。(提供购买合同或租赁合同等证明材料）</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含床垫：规格配床，床垫套为PU涤纶布，不含甲醛，强韧和耐老化，防水透气；内层TPU薄膜复合,经防霉、抗菌、阻燃处理，可阻挡病菌，阻抗血融病原菌等多种病菌；尾部拉链式设计，面料可拆卸水洗。内芯：内芯为80mm（±5mm）厚的海绵，海绵不含甲醛。</w:t>
            </w:r>
            <w:r>
              <w:rPr>
                <w:rFonts w:hint="eastAsia" w:ascii="宋体" w:hAnsi="宋体" w:cs="宋体"/>
                <w:color w:val="000000" w:themeColor="text1"/>
                <w:sz w:val="24"/>
                <w:szCs w:val="24"/>
                <w:highlight w:val="none"/>
              </w:rPr>
            </w:r>
            <w:r>
              <w:rPr>
                <w:color w:val="000000" w:themeColor="text1"/>
                <w:highlight w:val="none"/>
              </w:rPr>
            </w:r>
          </w:p>
        </w:tc>
        <w:tc>
          <w:tcPr>
            <w:tcW w:w="3694" w:type="dxa"/>
            <w:vAlign w:val="center"/>
            <w:textDirection w:val="lrTb"/>
            <w:noWrap w:val="false"/>
          </w:tcPr>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1805"/>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床头柜</w:t>
            </w:r>
            <w:r>
              <w:rPr>
                <w:rFonts w:hint="eastAsia" w:ascii="宋体" w:hAnsi="宋体" w:cs="宋体"/>
                <w:bCs/>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1、规格：440*460*775mm（±50mm）；柜面外包尺寸：440*460*35mm（±5mm）；门尺寸：435*520mm（±5mm）；抽屉面尺寸：435*115mm（±5mm）。</w:t>
            </w:r>
            <w:r>
              <w:rPr>
                <w:rFonts w:hint="eastAsia" w:ascii="宋体" w:hAnsi="宋体" w:cs="宋体"/>
                <w:color w:val="000000" w:themeColor="text1"/>
                <w:sz w:val="24"/>
                <w:szCs w:val="24"/>
                <w:highlight w:val="none"/>
              </w:rPr>
            </w:r>
            <w:r>
              <w:rPr>
                <w:color w:val="000000" w:themeColor="text1"/>
                <w:highlight w:val="none"/>
              </w:rPr>
            </w:r>
          </w:p>
          <w:p>
            <w:pPr>
              <w:pStyle w:val="982"/>
              <w:rPr>
                <w:color w:val="000000" w:themeColor="text1"/>
                <w:sz w:val="24"/>
                <w:szCs w:val="24"/>
                <w:highlight w:val="none"/>
              </w:rPr>
            </w:pPr>
            <w:r>
              <w:rPr>
                <w:rFonts w:hint="eastAsia" w:ascii="宋体" w:hAnsi="宋体" w:cs="宋体"/>
                <w:color w:val="000000" w:themeColor="text1"/>
                <w:sz w:val="24"/>
                <w:szCs w:val="24"/>
                <w:highlight w:val="none"/>
              </w:rPr>
              <w:t xml:space="preserve">2、柜体、抽屉采用≥0.7mm的冷轧板制作，经硅烷处理后喷漆处理，柜面、把手、隐藏式餐桌板为抗药ABS注件制作，柜体内部结构中间横隔板，横隔板带圆弧形（方便放水瓶），底板为防水材料制作并有漏水装置，毛巾架采用不锈钢材质，柜腿前面二个固定脚，后面二个带轮。</w:t>
            </w:r>
            <w:r>
              <w:rPr>
                <w:color w:val="000000" w:themeColor="text1"/>
                <w:sz w:val="24"/>
                <w:szCs w:val="24"/>
                <w:highlight w:val="none"/>
              </w:rPr>
            </w:r>
            <w:r>
              <w:rPr>
                <w:color w:val="000000" w:themeColor="text1"/>
                <w:highlight w:val="none"/>
              </w:rPr>
            </w:r>
          </w:p>
        </w:tc>
        <w:tc>
          <w:tcPr>
            <w:tcW w:w="3694" w:type="dxa"/>
            <w:vAlign w:val="bottom"/>
            <w:textDirection w:val="lrTb"/>
            <w:noWrap w:val="false"/>
          </w:tcPr>
          <w:p>
            <w:pPr>
              <w:pStyle w:val="982"/>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633730</wp:posOffset>
                      </wp:positionH>
                      <wp:positionV relativeFrom="paragraph">
                        <wp:posOffset>-859789</wp:posOffset>
                      </wp:positionV>
                      <wp:extent cx="829945" cy="102044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29944" cy="1020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3;o:allowoverlap:true;o:allowincell:true;mso-position-horizontal-relative:text;margin-left:49.9pt;mso-position-horizontal:absolute;mso-position-vertical-relative:text;margin-top:-67.7pt;mso-position-vertical:absolute;width:65.3pt;height:80.3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themeColor="text1"/>
                <w:sz w:val="24"/>
                <w:szCs w:val="24"/>
                <w:highlight w:val="none"/>
              </w:rPr>
            </w:r>
            <w:r>
              <w:rPr>
                <w:color w:val="000000" w:themeColor="text1"/>
                <w:highlight w:val="none"/>
              </w:rPr>
            </w:r>
          </w:p>
        </w:tc>
      </w:tr>
      <w:tr>
        <w:trPr>
          <w:trHeight w:val="3224"/>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陪护椅</w:t>
            </w:r>
            <w:r>
              <w:rPr>
                <w:rFonts w:hint="eastAsia" w:ascii="宋体" w:hAnsi="宋体" w:cs="宋体"/>
                <w:bCs/>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1、规格：620*720*940mm（±50mm），展开：620*1920mm（±50mm）。</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2、材质：扶手为≥Φ38*1.2mm钢管及≥25*40*1.2mm方管制作，经硅烷处理后喷塑；框架为≥Φ25*1.2mm钢管制作，经硅烷处理后喷塑；椅垫及靠背为七夹板和≥50mm海绵组成，枕头为≥50mm海绵，上覆优质PVC软皮，ABS扶手。</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3、每张陪护椅配一把挂锁，钥匙通配。</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4、特殊要求：陪护椅靠背顶端配置1根提拉挂带，方便陪护椅管理。</w:t>
            </w:r>
            <w:r>
              <w:rPr>
                <w:rFonts w:hint="eastAsia" w:ascii="宋体" w:hAnsi="宋体" w:cs="宋体"/>
                <w:color w:val="000000" w:themeColor="text1"/>
                <w:sz w:val="24"/>
                <w:szCs w:val="24"/>
                <w:highlight w:val="none"/>
              </w:rPr>
            </w:r>
            <w:r>
              <w:rPr>
                <w:color w:val="000000" w:themeColor="text1"/>
                <w:highlight w:val="none"/>
              </w:rPr>
            </w:r>
          </w:p>
          <w:p>
            <w:pPr>
              <w:pStyle w:val="982"/>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5、颜色按采购人要求提供。</w:t>
            </w:r>
            <w:r>
              <w:rPr>
                <w:rFonts w:ascii="宋体" w:hAnsi="宋体" w:cs="宋体"/>
                <w:color w:val="000000" w:themeColor="text1"/>
                <w:sz w:val="24"/>
                <w:szCs w:val="24"/>
                <w:highlight w:val="none"/>
              </w:rPr>
            </w:r>
            <w:r>
              <w:rPr>
                <w:color w:val="000000" w:themeColor="text1"/>
                <w:highlight w:val="none"/>
              </w:rPr>
            </w:r>
          </w:p>
        </w:tc>
        <w:tc>
          <w:tcPr>
            <w:tcW w:w="3694" w:type="dxa"/>
            <w:vAlign w:val="center"/>
            <w:textDirection w:val="lrTb"/>
            <w:noWrap w:val="false"/>
          </w:tcPr>
          <w:p>
            <w:pPr>
              <w:pStyle w:val="982"/>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155575</wp:posOffset>
                      </wp:positionH>
                      <wp:positionV relativeFrom="paragraph">
                        <wp:posOffset>-196214</wp:posOffset>
                      </wp:positionV>
                      <wp:extent cx="1731010" cy="167957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731010" cy="167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4;o:allowoverlap:true;o:allowincell:true;mso-position-horizontal-relative:text;margin-left:12.2pt;mso-position-horizontal:absolute;mso-position-vertical-relative:text;margin-top:-15.4pt;mso-position-vertical:absolute;width:136.3pt;height:132.2pt;mso-wrap-distance-left:9.0pt;mso-wrap-distance-top:0.0pt;mso-wrap-distance-right:9.0pt;mso-wrap-distance-bottom:0.0pt;" stroked="f">
                      <v:path textboxrect="0,0,0,0"/>
                      <v:imagedata r:id="rId27" o:title=""/>
                    </v:shape>
                  </w:pict>
                </mc:Fallback>
              </mc:AlternateContent>
            </w:r>
            <w:r>
              <w:rPr>
                <w:rFonts w:hint="eastAsia" w:ascii="宋体" w:hAnsi="宋体" w:cs="宋体"/>
                <w:b/>
                <w:bCs/>
                <w:color w:val="000000" w:themeColor="text1"/>
                <w:sz w:val="24"/>
                <w:szCs w:val="24"/>
                <w:highlight w:val="none"/>
              </w:rPr>
            </w:r>
            <w:r>
              <w:rPr>
                <w:color w:val="000000" w:themeColor="text1"/>
                <w:highlight w:val="none"/>
              </w:rPr>
            </w:r>
          </w:p>
        </w:tc>
      </w:tr>
      <w:tr>
        <w:trPr>
          <w:trHeight w:val="1518"/>
        </w:trPr>
        <w:tc>
          <w:tcPr>
            <w:tcW w:w="859" w:type="dxa"/>
            <w:vAlign w:val="center"/>
            <w:textDirection w:val="lrTb"/>
            <w:noWrap w:val="false"/>
          </w:tcPr>
          <w:p>
            <w:pPr>
              <w:pStyle w:val="982"/>
              <w:jc w:val="center"/>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rPr>
            </w:r>
            <w:r>
              <w:rPr>
                <w:color w:val="000000" w:themeColor="text1"/>
                <w:highlight w:val="none"/>
              </w:rPr>
            </w:r>
          </w:p>
        </w:tc>
        <w:tc>
          <w:tcPr>
            <w:tcW w:w="796" w:type="dxa"/>
            <w:vAlign w:val="center"/>
            <w:textDirection w:val="lrTb"/>
            <w:noWrap w:val="false"/>
          </w:tcPr>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婴儿床</w:t>
            </w:r>
            <w:r>
              <w:rPr>
                <w:rFonts w:hint="eastAsia" w:ascii="宋体" w:hAnsi="宋体" w:cs="宋体"/>
                <w:color w:val="000000" w:themeColor="text1"/>
                <w:sz w:val="24"/>
                <w:szCs w:val="24"/>
                <w:highlight w:val="none"/>
              </w:rPr>
            </w:r>
            <w:r>
              <w:rPr>
                <w:color w:val="000000" w:themeColor="text1"/>
                <w:highlight w:val="none"/>
              </w:rPr>
            </w:r>
          </w:p>
        </w:tc>
        <w:tc>
          <w:tcPr>
            <w:tcW w:w="9508" w:type="dxa"/>
            <w:vAlign w:val="center"/>
            <w:textDirection w:val="lrTb"/>
            <w:noWrap w:val="false"/>
          </w:tcPr>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1、床体：采用冷轧钢材。</w:t>
            </w:r>
            <w:r>
              <w:rPr>
                <w:rFonts w:hint="eastAsia" w:ascii="宋体" w:hAnsi="宋体" w:cs="宋体"/>
                <w:color w:val="000000" w:themeColor="text1"/>
                <w:sz w:val="24"/>
                <w:szCs w:val="24"/>
                <w:highlight w:val="none"/>
              </w:rPr>
            </w:r>
            <w:r>
              <w:rPr>
                <w:color w:val="000000" w:themeColor="text1"/>
                <w:highlight w:val="none"/>
              </w:rPr>
            </w:r>
          </w:p>
          <w:p>
            <w:pPr>
              <w:pStyle w:val="982"/>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2、复式喷涂工艺：“电泳涂装+粉末喷涂”工艺（或同等及以上工艺，响应文件中须写明具体工艺以及提供购买合同或租赁合同等证明材料）。</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3、滚轮：采用直径100mm的四角刹车脚轮，树脂双面轮静音，防缠绕，稳定性、安全性极佳。</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4、睡盆：采用全透明ABS材料制成。</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6650355</wp:posOffset>
                      </wp:positionH>
                      <wp:positionV relativeFrom="paragraph">
                        <wp:posOffset>218440</wp:posOffset>
                      </wp:positionV>
                      <wp:extent cx="1181100" cy="158369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181099" cy="158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5;o:allowoverlap:true;o:allowincell:true;mso-position-horizontal-relative:text;margin-left:523.6pt;mso-position-horizontal:absolute;mso-position-vertical-relative:text;margin-top:17.2pt;mso-position-vertical:absolute;width:93.0pt;height:124.7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themeColor="text1"/>
                <w:sz w:val="24"/>
                <w:szCs w:val="24"/>
                <w:highlight w:val="none"/>
              </w:rPr>
              <w:t xml:space="preserve">5、采用气泵弹簧，可以使睡盆在0-12˚之间进行任意角度倾斜。</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床垫：外套：针织水洗面料具有防水、透气、经防霉、抗菌、阻燃处理，可阻挡病菌，阻抗血融病原菌等多种病菌；尾部拉链式设计，面料可拆卸水洗。内芯：采用一体式高弹海绵制成，经过反复辗压测试不易变形，经防霉、抗菌处理，可阻挡病菌，阻抗血融病原菌等多种病菌。</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7、网篮：床体下方安装有杂物架、方便护理人员的护理工作。</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8、连接部位要求运用机器人焊接工艺，增加床的使用寿命。</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9、尺寸全长：825mm（±10mm）、全宽：530mm（±10mm）、全高910 mm（±10mm），安全载重≥10KG。</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400" w:lineRule="exact"/>
              <w:widowControl/>
              <w:tabs>
                <w:tab w:val="left" w:pos="1097" w:leader="none"/>
                <w:tab w:val="left" w:pos="2939"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10、配蚊帐。</w:t>
            </w:r>
            <w:r>
              <w:rPr>
                <w:rFonts w:hint="eastAsia" w:ascii="宋体" w:hAnsi="宋体" w:cs="宋体"/>
                <w:color w:val="000000" w:themeColor="text1"/>
                <w:sz w:val="24"/>
                <w:szCs w:val="24"/>
                <w:highlight w:val="none"/>
              </w:rPr>
            </w:r>
            <w:r>
              <w:rPr>
                <w:color w:val="000000" w:themeColor="text1"/>
                <w:highlight w:val="none"/>
              </w:rPr>
            </w:r>
          </w:p>
        </w:tc>
        <w:tc>
          <w:tcPr>
            <w:tcW w:w="3694" w:type="dxa"/>
            <w:vAlign w:val="center"/>
            <w:textDirection w:val="lrTb"/>
            <w:noWrap w:val="false"/>
          </w:tcPr>
          <w:p>
            <w:pPr>
              <w:pStyle w:val="982"/>
              <w:jc w:val="lef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tc>
      </w:tr>
      <w:tr>
        <w:trPr>
          <w:trHeight w:val="1857"/>
        </w:trPr>
        <w:tc>
          <w:tcPr>
            <w:gridSpan w:val="4"/>
            <w:tcW w:w="14857" w:type="dxa"/>
            <w:vAlign w:val="center"/>
            <w:textDirection w:val="lrTb"/>
            <w:noWrap w:val="false"/>
          </w:tcPr>
          <w:p>
            <w:pPr>
              <w:pStyle w:val="98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以上技术参数所用国家/行业检测方法不做限制，新出台检测标准或现行/过往同类国家标准，只要检测结果符合或优于招标要求都予以认可。证明材料的出具时间不做限制，若是2026.6.1日之后出具的检测报告需满足国家市场监督管理局一单一库政策要求。报告须附防伪二维码，原件备查。</w:t>
            </w:r>
            <w:r>
              <w:rPr>
                <w:rFonts w:hint="eastAsia" w:ascii="宋体" w:hAnsi="宋体" w:cs="宋体"/>
                <w:color w:val="000000" w:themeColor="text1"/>
                <w:sz w:val="24"/>
                <w:szCs w:val="24"/>
                <w:highlight w:val="none"/>
              </w:rPr>
            </w:r>
            <w:r>
              <w:rPr>
                <w:color w:val="000000" w:themeColor="text1"/>
                <w:highlight w:val="none"/>
              </w:rPr>
            </w:r>
          </w:p>
          <w:p>
            <w:pPr>
              <w:pStyle w:val="982"/>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2.检测报告名称允许和招标产品名称有细微出入，只要是同类产品且参数符合均认可，报告须附防伪二维码，原件备查。</w:t>
            </w:r>
            <w:r>
              <w:rPr>
                <w:rFonts w:hint="eastAsia" w:ascii="宋体" w:hAnsi="宋体" w:cs="宋体"/>
                <w:color w:val="000000" w:themeColor="text1"/>
                <w:sz w:val="24"/>
                <w:szCs w:val="24"/>
                <w:highlight w:val="none"/>
              </w:rPr>
            </w:r>
            <w:r>
              <w:rPr>
                <w:color w:val="000000" w:themeColor="text1"/>
                <w:highlight w:val="none"/>
              </w:rPr>
            </w:r>
          </w:p>
          <w:p>
            <w:pPr>
              <w:pStyle w:val="982"/>
              <w:jc w:val="left"/>
              <w:widowControl/>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3.如投标人在投标活动中提供任何虚假材料,其投标无效，并报监管部门查处；中标人在签订合同前，采购方有权根据情况要求提供投标文件中的检测报告、发票及相关证明文件原件供采购人核验，如中标后发现弄虚作假情况的报监管部门查处。</w:t>
            </w:r>
            <w:r>
              <w:rPr>
                <w:rFonts w:hint="eastAsia" w:ascii="宋体" w:hAnsi="宋体" w:cs="宋体"/>
                <w:b/>
                <w:bCs/>
                <w:color w:val="000000" w:themeColor="text1"/>
                <w:sz w:val="24"/>
                <w:szCs w:val="24"/>
                <w:highlight w:val="none"/>
              </w:rPr>
            </w:r>
            <w:r>
              <w:rPr>
                <w:color w:val="000000" w:themeColor="text1"/>
                <w:highlight w:val="none"/>
              </w:rPr>
            </w:r>
          </w:p>
        </w:tc>
      </w:tr>
    </w:tbl>
    <w:p>
      <w:pPr>
        <w:pStyle w:val="1137"/>
        <w:ind w:left="0"/>
        <w:rPr>
          <w:rFonts w:cs="宋体"/>
          <w:color w:val="000000" w:themeColor="text1"/>
          <w:sz w:val="24"/>
          <w:szCs w:val="24"/>
          <w:highlight w:val="none"/>
        </w:rPr>
        <w:sectPr>
          <w:footnotePr/>
          <w:endnotePr/>
          <w:type w:val="nextPage"/>
          <w:pgSz w:w="16838" w:h="11906" w:orient="landscape"/>
          <w:pgMar w:top="1417" w:right="1134" w:bottom="1417" w:left="850" w:header="850" w:footer="992" w:gutter="0"/>
          <w:cols w:num="1" w:sep="0" w:space="1701" w:equalWidth="1"/>
          <w:docGrid w:linePitch="360"/>
        </w:sectPr>
        <w:outlineLvl w:val="1"/>
      </w:pPr>
      <w:r>
        <w:rPr>
          <w:rFonts w:cs="宋体"/>
          <w:color w:val="000000" w:themeColor="text1"/>
          <w:sz w:val="24"/>
          <w:szCs w:val="24"/>
          <w:highlight w:val="none"/>
        </w:rPr>
      </w:r>
      <w:r>
        <w:rPr>
          <w:color w:val="000000" w:themeColor="text1"/>
          <w:highlight w:val="none"/>
        </w:rPr>
      </w:r>
    </w:p>
    <w:p>
      <w:pPr>
        <w:pStyle w:val="982"/>
        <w:rPr>
          <w:color w:val="000000" w:themeColor="text1"/>
          <w:highlight w:val="none"/>
        </w:rPr>
      </w:pPr>
      <w:r>
        <w:rPr>
          <w:color w:val="000000" w:themeColor="text1"/>
          <w:highlight w:val="none"/>
        </w:rPr>
      </w:r>
      <w:r>
        <w:rPr>
          <w:color w:val="000000" w:themeColor="text1"/>
          <w:highlight w:val="none"/>
        </w:rPr>
      </w:r>
    </w:p>
    <w:p>
      <w:pPr>
        <w:pStyle w:val="1137"/>
        <w:numPr>
          <w:ilvl w:val="0"/>
          <w:numId w:val="6"/>
        </w:numPr>
        <w:ind w:hanging="562"/>
        <w:spacing w:line="360" w:lineRule="auto"/>
        <w:rPr>
          <w:rFonts w:cs="宋体"/>
          <w:color w:val="000000" w:themeColor="text1"/>
          <w:sz w:val="24"/>
          <w:szCs w:val="24"/>
          <w:highlight w:val="none"/>
        </w:rPr>
        <w:outlineLvl w:val="1"/>
      </w:pPr>
      <w:r>
        <w:rPr>
          <w:color w:val="000000" w:themeColor="text1"/>
          <w:highlight w:val="none"/>
        </w:rPr>
      </w:r>
      <w:bookmarkStart w:id="150" w:name="_Toc14750"/>
      <w:r>
        <w:rPr>
          <w:rFonts w:hint="eastAsia" w:cs="宋体"/>
          <w:color w:val="000000" w:themeColor="text1"/>
          <w:sz w:val="24"/>
          <w:szCs w:val="24"/>
          <w:highlight w:val="none"/>
        </w:rPr>
        <w:t xml:space="preserve">样品要求</w:t>
      </w:r>
      <w:r>
        <w:rPr>
          <w:rFonts w:cs="宋体"/>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1.投标人提供以下样品各一件，制作标准和要求与本次采购对应产品的参数一致：</w:t>
      </w:r>
      <w:r>
        <w:rPr>
          <w:rFonts w:hint="eastAsia" w:ascii="宋体" w:hAnsi="宋体" w:cs="宋体"/>
          <w:bCs/>
          <w:color w:val="000000" w:themeColor="text1"/>
          <w:sz w:val="24"/>
          <w:szCs w:val="24"/>
          <w:highlight w:val="none"/>
        </w:rPr>
      </w:r>
      <w:r>
        <w:rPr>
          <w:color w:val="000000" w:themeColor="text1"/>
          <w:highlight w:val="none"/>
        </w:rPr>
      </w:r>
    </w:p>
    <w:p>
      <w:pPr>
        <w:pStyle w:val="1138"/>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（1）项目清单序号1手动病床1。</w:t>
      </w:r>
      <w:r>
        <w:rPr>
          <w:rFonts w:hint="eastAsia" w:ascii="宋体" w:hAnsi="宋体" w:cs="宋体"/>
          <w:bCs/>
          <w:color w:val="000000" w:themeColor="text1"/>
          <w:sz w:val="24"/>
          <w:szCs w:val="24"/>
          <w:highlight w:val="none"/>
        </w:rPr>
      </w:r>
      <w:r>
        <w:rPr>
          <w:color w:val="000000" w:themeColor="text1"/>
          <w:highlight w:val="none"/>
        </w:rPr>
      </w:r>
    </w:p>
    <w:p>
      <w:pPr>
        <w:pStyle w:val="1138"/>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（2）项目清单序号5床头柜。</w:t>
      </w:r>
      <w:r>
        <w:rPr>
          <w:rFonts w:hint="eastAsia" w:ascii="宋体" w:hAnsi="宋体" w:cs="宋体"/>
          <w:bCs/>
          <w:color w:val="000000" w:themeColor="text1"/>
          <w:sz w:val="24"/>
          <w:szCs w:val="24"/>
          <w:highlight w:val="none"/>
        </w:rPr>
      </w:r>
      <w:r>
        <w:rPr>
          <w:color w:val="000000" w:themeColor="text1"/>
          <w:highlight w:val="none"/>
        </w:rPr>
      </w:r>
    </w:p>
    <w:p>
      <w:pPr>
        <w:pStyle w:val="1138"/>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（3）项目清单序号7婴儿床。</w:t>
      </w:r>
      <w:r>
        <w:rPr>
          <w:rFonts w:ascii="宋体" w:hAnsi="宋体" w:cs="宋体"/>
          <w:bCs/>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2.样品递交要求</w:t>
      </w:r>
      <w:r>
        <w:rPr>
          <w:rFonts w:hint="eastAsia" w:ascii="宋体" w:hAnsi="宋体" w:cs="宋体"/>
          <w:bCs/>
          <w:color w:val="000000" w:themeColor="text1"/>
          <w:sz w:val="24"/>
          <w:szCs w:val="24"/>
          <w:highlight w:val="none"/>
        </w:rPr>
      </w:r>
      <w:r>
        <w:rPr>
          <w:color w:val="000000" w:themeColor="text1"/>
          <w:highlight w:val="none"/>
        </w:rPr>
      </w:r>
    </w:p>
    <w:p>
      <w:pPr>
        <w:pStyle w:val="1054"/>
        <w:jc w:val="both"/>
        <w:spacing w:beforeAutospacing="0" w:afterAutospacing="0" w:line="36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（1）</w:t>
      </w:r>
      <w:r>
        <w:rPr>
          <w:rFonts w:hint="eastAsia" w:ascii="宋体" w:hAnsi="宋体" w:cs="宋体"/>
          <w:color w:val="000000" w:themeColor="text1"/>
          <w:highlight w:val="none"/>
        </w:rPr>
        <w:t xml:space="preserve">投标供应商请于11月1</w:t>
      </w:r>
      <w:r>
        <w:rPr>
          <w:rFonts w:hint="eastAsia" w:ascii="宋体" w:hAnsi="宋体" w:cs="宋体"/>
          <w:bCs/>
          <w:color w:val="000000" w:themeColor="text1"/>
          <w:highlight w:val="none"/>
        </w:rPr>
        <w:t xml:space="preserve">9日（上午8:00-11:00）</w:t>
      </w:r>
      <w:r>
        <w:rPr>
          <w:rFonts w:hint="eastAsia" w:ascii="宋体" w:hAnsi="宋体" w:cs="宋体"/>
          <w:color w:val="000000" w:themeColor="text1"/>
          <w:highlight w:val="none"/>
        </w:rPr>
        <w:t xml:space="preserve">，将实物样品送至南京市雨花台区软件大道21号苏豪国际广场（北园）C座1楼大厅样品接收处，并登记送达信息。不接收在样品递交截止时间后递交的样品，未在规定截止时间前送达样品并登记或样品不全的，样品评审分为零。</w:t>
      </w:r>
      <w:r>
        <w:rPr>
          <w:rFonts w:hint="eastAsia" w:ascii="宋体" w:hAnsi="宋体" w:cs="宋体"/>
          <w:color w:val="000000" w:themeColor="text1"/>
          <w:highlight w:val="none"/>
        </w:rPr>
      </w:r>
      <w:r>
        <w:rPr>
          <w:color w:val="000000" w:themeColor="text1"/>
          <w:highlight w:val="none"/>
        </w:rPr>
      </w:r>
    </w:p>
    <w:p>
      <w:pPr>
        <w:pStyle w:val="982"/>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cs="宋体"/>
          <w:bCs/>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3）样品的退还。评标结束后，未中标样品由投标人自行搬运离开（费用自理），供应商应最迟于1个工作日内取回样品，否则按废品处理。中标人的样品由中标人负责运送到采购人指定地点并封存。样品的所有费用由供应商承担，中标供应商的样品由采购人保管、封存，作为履约验收的参考。</w:t>
      </w:r>
      <w:r>
        <w:rPr>
          <w:rFonts w:hint="eastAsia" w:ascii="宋体" w:hAnsi="宋体" w:cs="宋体"/>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p>
    <w:p>
      <w:pPr>
        <w:pStyle w:val="1137"/>
        <w:numPr>
          <w:ilvl w:val="0"/>
          <w:numId w:val="6"/>
        </w:numPr>
        <w:ind w:firstLine="0"/>
        <w:spacing w:line="360" w:lineRule="auto"/>
        <w:rPr>
          <w:rFonts w:hint="eastAsia" w:cs="宋体"/>
          <w:color w:val="000000" w:themeColor="text1"/>
          <w:sz w:val="24"/>
          <w:szCs w:val="24"/>
          <w:highlight w:val="none"/>
        </w:rPr>
        <w:outlineLvl w:val="1"/>
      </w:pPr>
      <w:r>
        <w:rPr>
          <w:color w:val="000000" w:themeColor="text1"/>
          <w:highlight w:val="none"/>
        </w:rPr>
      </w:r>
      <w:bookmarkStart w:id="151" w:name="_Hlk223539153"/>
      <w:r>
        <w:rPr>
          <w:rFonts w:hint="eastAsia"/>
          <w:bCs/>
          <w:color w:val="000000" w:themeColor="text1"/>
          <w:szCs w:val="24"/>
          <w:highlight w:val="none"/>
        </w:rPr>
        <w:t xml:space="preserve">★</w:t>
      </w:r>
      <w:bookmarkEnd w:id="151"/>
      <w:r>
        <w:rPr>
          <w:rFonts w:hint="eastAsia" w:cs="宋体"/>
          <w:color w:val="000000" w:themeColor="text1"/>
          <w:sz w:val="24"/>
          <w:szCs w:val="24"/>
          <w:highlight w:val="none"/>
        </w:rPr>
        <w:t xml:space="preserve">商务要求</w:t>
      </w:r>
      <w:r>
        <w:rPr>
          <w:rFonts w:hint="eastAsia"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1.质保期：5年（自验收报告签字确认之日起进入质保期）。质保期内，每年维护保养1次，维护保养及更换损坏件的费用包含在投标总价中。</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2.维修响应及故障解决时间</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w:t>
      </w:r>
      <w:r>
        <w:rPr>
          <w:rFonts w:hint="eastAsia" w:ascii="宋体" w:hAnsi="宋体" w:cs="宋体"/>
          <w:color w:val="000000" w:themeColor="text1"/>
          <w:sz w:val="24"/>
          <w:szCs w:val="24"/>
          <w:highlight w:val="none"/>
        </w:rPr>
        <w:t xml:space="preserve">质保期内，一旦产品发生质量问题，供应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w:t>
      </w:r>
      <w:r>
        <w:rPr>
          <w:rFonts w:hint="eastAsia" w:ascii="宋体" w:hAnsi="宋体" w:cs="宋体"/>
          <w:color w:val="000000" w:themeColor="text1"/>
          <w:sz w:val="24"/>
          <w:szCs w:val="24"/>
          <w:highlight w:val="none"/>
        </w:rPr>
        <w:t xml:space="preserve">质保期外，供应商提供终生服务，在货物的设计使用寿命周期内，供应商能保证采购人更换到原厂备件材料，确保产品的正常使用。 </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2.3质保期内维修（人为因素除外）费用包含在投标总价中，质保期外提供不高于市场价格的终身维护。中标后提供质保期外配件价格明细表。</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bCs/>
          <w:color w:val="000000" w:themeColor="text1"/>
          <w:sz w:val="24"/>
          <w:highlight w:val="none"/>
        </w:rPr>
        <w:t xml:space="preserve">交货期：合同签订后接采购人通知45天内。</w:t>
      </w:r>
      <w:r>
        <w:rPr>
          <w:rFonts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3.1交货（具体）地点：采购人指定。（本项目不组织集中踏勘，投标人可自行踏勘现场）</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3.2货物的随机技术资料应齐全，提供但不限于如下技术文件和资料：</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（1）产品到货清单；</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（2）产品保修证明，需标明保修联系方式。</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4.验收</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4.1验收内容包括但不限于：产品型号、数量及外观、货物组件及配置等。</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4.2中标人货物经过双方检验认可后，签署验收报告，产品保修期自验收合格之日起算，由中标人提供产品保修文件。</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4.3采购人有权在验收前到现场抽样送检，送检费用由中标方承担，另有约定除外，如有招标文件产品不一致，采购人有权追究责任并上报监管部门处理。</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5.产品质量要求标准</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5.1采购人在中国使用该货物或货物的任何一部分时，免受第三方提出的侵犯其专利权、商标权或工业设计权等知识产权的起诉或司法干预。如果发生上述起诉或干预，则其法律责任均由中标人负责。</w:t>
      </w:r>
      <w:r>
        <w:rPr>
          <w:rFonts w:hint="eastAsia" w:ascii="宋体" w:hAnsi="宋体" w:cs="宋体"/>
          <w:color w:val="000000" w:themeColor="text1"/>
          <w:sz w:val="24"/>
          <w:szCs w:val="24"/>
          <w:highlight w:val="none"/>
        </w:rPr>
      </w:r>
      <w:r>
        <w:rPr>
          <w:color w:val="000000" w:themeColor="text1"/>
          <w:highlight w:val="none"/>
        </w:rPr>
      </w:r>
    </w:p>
    <w:p>
      <w:pPr>
        <w:pStyle w:val="1024"/>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6.付款方式：</w:t>
      </w:r>
      <w:r>
        <w:rPr>
          <w:rFonts w:hint="eastAsia" w:hAnsi="宋体"/>
          <w:color w:val="000000" w:themeColor="text1"/>
          <w:sz w:val="24"/>
          <w:szCs w:val="24"/>
          <w:highlight w:val="none"/>
        </w:rPr>
        <w:t xml:space="preserve">合同签订后，支付合同总价款的30%作为预付款，供货结束并经验收合格后，支付至合同总价款的80%，如采购数量与实际使用数量不一致时，乙方应根据实际使用量供货，合同的最终结算金额经审计审定后按实际使用量乘以成交单价进行计算，项目经审计决算后支付至决算金额的97%，剩余价款质保期满后无息支付。满足合同约定支付条件的，采购人收到乙方发票后10个工作日内，将资金支付到合同约定的账户。 </w:t>
      </w:r>
      <w:r>
        <w:rPr>
          <w:rFonts w:hint="eastAsia" w:hAnsi="宋体" w:cs="宋体"/>
          <w:color w:val="000000" w:themeColor="text1"/>
          <w:sz w:val="24"/>
          <w:szCs w:val="24"/>
          <w:highlight w:val="none"/>
        </w:rPr>
      </w:r>
      <w:r>
        <w:rPr>
          <w:color w:val="000000" w:themeColor="text1"/>
          <w:highlight w:val="none"/>
        </w:rPr>
      </w:r>
    </w:p>
    <w:p>
      <w:pPr>
        <w:pStyle w:val="982"/>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7.履约保证金：合同签订后5个工作日支付10%履约保证金，详见第三章合同文本要求。</w:t>
      </w:r>
      <w:r>
        <w:rPr>
          <w:rFonts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报价要求：投标人应按货物需求的要求逐项报价。投标人提供的所有报价除另有约定外已包含购买货物费用及售后服务所发生的所有费用，包括但不限于代理费、税费、货物运至安装指定地点的如运输费、保险费、叉车费和装卸费；配套资料费、安装调试费、服务培训费以及免费保修期内的售后服务费用等。</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9.中标人在签订合同前，采购方有权根据情况要求提供投标文件中的检测报告及相关证明文件原件供采购人核验。</w:t>
      </w:r>
      <w:r>
        <w:rPr>
          <w:rFonts w:hint="eastAsia" w:ascii="宋体" w:hAnsi="宋体" w:cs="宋体"/>
          <w:color w:val="000000" w:themeColor="text1"/>
          <w:sz w:val="24"/>
          <w:szCs w:val="24"/>
          <w:highlight w:val="none"/>
        </w:rPr>
      </w:r>
      <w:r>
        <w:rPr>
          <w:color w:val="000000" w:themeColor="text1"/>
          <w:highlight w:val="none"/>
        </w:rPr>
      </w:r>
    </w:p>
    <w:p>
      <w:pPr>
        <w:pStyle w:val="1137"/>
        <w:numPr>
          <w:ilvl w:val="0"/>
          <w:numId w:val="6"/>
        </w:numPr>
        <w:ind w:hanging="562"/>
        <w:rPr>
          <w:rFonts w:cs="宋体"/>
          <w:color w:val="000000" w:themeColor="text1"/>
          <w:sz w:val="24"/>
          <w:szCs w:val="24"/>
          <w:highlight w:val="none"/>
        </w:rPr>
        <w:outlineLvl w:val="1"/>
      </w:pPr>
      <w:r>
        <w:rPr>
          <w:rFonts w:hint="eastAsia" w:cs="宋体"/>
          <w:color w:val="000000" w:themeColor="text1"/>
          <w:sz w:val="24"/>
          <w:szCs w:val="24"/>
          <w:highlight w:val="none"/>
        </w:rPr>
        <w:t xml:space="preserve">其它说明</w:t>
      </w:r>
      <w:bookmarkEnd w:id="150"/>
      <w:r>
        <w:rPr>
          <w:rFonts w:cs="宋体"/>
          <w:color w:val="000000" w:themeColor="text1"/>
          <w:sz w:val="24"/>
          <w:szCs w:val="24"/>
          <w:highlight w:val="none"/>
        </w:rPr>
      </w:r>
      <w:r>
        <w:rPr>
          <w:color w:val="000000" w:themeColor="text1"/>
          <w:highlight w:val="none"/>
        </w:rPr>
      </w:r>
    </w:p>
    <w:p>
      <w:pPr>
        <w:pStyle w:val="982"/>
        <w:spacing w:before="120" w:after="16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1.上述技术要求中加注“★”符号的为关键指标，加注“▲”符号的为重要指标，其它为一般指标</w:t>
      </w:r>
      <w:r>
        <w:rPr>
          <w:rFonts w:hint="eastAsia" w:ascii="宋体" w:hAnsi="宋体" w:cs="宋体"/>
          <w:color w:val="000000" w:themeColor="text1"/>
          <w:sz w:val="24"/>
          <w:szCs w:val="24"/>
          <w:highlight w:val="none"/>
        </w:rPr>
      </w:r>
      <w:r>
        <w:rPr>
          <w:color w:val="000000" w:themeColor="text1"/>
          <w:highlight w:val="none"/>
        </w:rPr>
      </w:r>
    </w:p>
    <w:p>
      <w:pPr>
        <w:pStyle w:val="982"/>
        <w:spacing w:before="120" w:after="16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技术要求中加注“▲”符号以及一般参数里明确要求提供证明材料的必须提供技术证明材料，如未要求具体证明材料则应提供第三方检测报告、产品说明书、注册证及附页等技术支持资料等（功能参数应进行明显标注，采用如箭头、标红或下划线等方式标注，以便评委查看）。</w:t>
      </w:r>
      <w:r>
        <w:rPr>
          <w:rFonts w:hint="eastAsia" w:ascii="宋体" w:hAnsi="宋体" w:cs="宋体"/>
          <w:color w:val="000000" w:themeColor="text1"/>
          <w:sz w:val="24"/>
          <w:szCs w:val="24"/>
          <w:highlight w:val="none"/>
        </w:rPr>
      </w:r>
      <w:r>
        <w:rPr>
          <w:color w:val="000000" w:themeColor="text1"/>
          <w:highlight w:val="none"/>
        </w:rPr>
      </w:r>
    </w:p>
    <w:p>
      <w:pPr>
        <w:pStyle w:val="982"/>
        <w:spacing w:before="120" w:after="16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3.“★商务要求”需在《商务要求响应/偏离表》中逐条响应，商务条款均为实质性条款，不允许负偏离，否则将作无效投标处理。</w:t>
      </w:r>
      <w:r>
        <w:rPr>
          <w:rFonts w:hint="eastAsia" w:ascii="宋体" w:hAnsi="宋体" w:cs="宋体"/>
          <w:color w:val="000000" w:themeColor="text1"/>
          <w:sz w:val="24"/>
          <w:szCs w:val="24"/>
          <w:highlight w:val="none"/>
        </w:rPr>
      </w:r>
      <w:r>
        <w:rPr>
          <w:color w:val="000000" w:themeColor="text1"/>
          <w:highlight w:val="none"/>
        </w:rPr>
      </w:r>
    </w:p>
    <w:p>
      <w:pPr>
        <w:pStyle w:val="9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4.采购标的对应的中小企业划分标准所属行业一览表</w:t>
      </w:r>
      <w:r>
        <w:rPr>
          <w:rFonts w:hint="eastAsia" w:ascii="宋体" w:hAnsi="宋体" w:cs="宋体"/>
          <w:color w:val="000000" w:themeColor="text1"/>
          <w:sz w:val="24"/>
          <w:szCs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458"/>
        <w:gridCol w:w="4223"/>
      </w:tblGrid>
      <w:tr>
        <w:trPr>
          <w:cantSplit/>
          <w:trHeight w:val="567"/>
        </w:trPr>
        <w:tc>
          <w:tcPr>
            <w:tcW w:w="1218" w:type="dxa"/>
            <w:vAlign w:val="center"/>
            <w:textDirection w:val="lrTb"/>
            <w:noWrap w:val="false"/>
          </w:tcPr>
          <w:p>
            <w:pPr>
              <w:pStyle w:val="98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3458" w:type="dxa"/>
            <w:vAlign w:val="center"/>
            <w:textDirection w:val="lrTb"/>
            <w:noWrap w:val="false"/>
          </w:tcPr>
          <w:p>
            <w:pPr>
              <w:pStyle w:val="98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采购标的</w:t>
            </w:r>
            <w:r>
              <w:rPr>
                <w:rFonts w:hint="eastAsia" w:ascii="宋体" w:hAnsi="宋体" w:cs="宋体"/>
                <w:color w:val="000000" w:themeColor="text1"/>
                <w:sz w:val="24"/>
                <w:szCs w:val="24"/>
                <w:highlight w:val="none"/>
              </w:rPr>
            </w:r>
            <w:r>
              <w:rPr>
                <w:color w:val="000000" w:themeColor="text1"/>
                <w:highlight w:val="none"/>
              </w:rPr>
            </w:r>
          </w:p>
        </w:tc>
        <w:tc>
          <w:tcPr>
            <w:tcW w:w="4223" w:type="dxa"/>
            <w:vAlign w:val="center"/>
            <w:textDirection w:val="lrTb"/>
            <w:noWrap w:val="false"/>
          </w:tcPr>
          <w:p>
            <w:pPr>
              <w:pStyle w:val="98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对应中小企业划分标准所属行业</w:t>
            </w:r>
            <w:r>
              <w:rPr>
                <w:rFonts w:hint="eastAsia" w:ascii="宋体" w:hAnsi="宋体" w:cs="宋体"/>
                <w:color w:val="000000" w:themeColor="text1"/>
                <w:sz w:val="24"/>
                <w:szCs w:val="24"/>
                <w:highlight w:val="none"/>
              </w:rPr>
            </w:r>
            <w:r>
              <w:rPr>
                <w:color w:val="000000" w:themeColor="text1"/>
                <w:highlight w:val="none"/>
              </w:rPr>
            </w:r>
          </w:p>
        </w:tc>
      </w:tr>
      <w:tr>
        <w:trPr>
          <w:cantSplit/>
          <w:trHeight w:val="567"/>
        </w:trPr>
        <w:tc>
          <w:tcPr>
            <w:tcW w:w="1218" w:type="dxa"/>
            <w:vAlign w:val="center"/>
            <w:textDirection w:val="lrTb"/>
            <w:noWrap w:val="false"/>
          </w:tcPr>
          <w:p>
            <w:pPr>
              <w:pStyle w:val="98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tcW w:w="3458" w:type="dxa"/>
            <w:vAlign w:val="center"/>
            <w:textDirection w:val="lrTb"/>
            <w:noWrap w:val="false"/>
          </w:tcPr>
          <w:p>
            <w:pPr>
              <w:pStyle w:val="982"/>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河西院区二期项目医疗家具</w:t>
            </w:r>
            <w:r>
              <w:rPr>
                <w:rFonts w:hint="eastAsia" w:ascii="宋体" w:hAnsi="宋体" w:cs="宋体"/>
                <w:color w:val="000000" w:themeColor="text1"/>
                <w:sz w:val="24"/>
                <w:szCs w:val="24"/>
                <w:highlight w:val="none"/>
              </w:rPr>
            </w:r>
            <w:r>
              <w:rPr>
                <w:color w:val="000000" w:themeColor="text1"/>
                <w:highlight w:val="none"/>
              </w:rPr>
            </w:r>
          </w:p>
        </w:tc>
        <w:tc>
          <w:tcPr>
            <w:tcW w:w="4223" w:type="dxa"/>
            <w:vAlign w:val="center"/>
            <w:textDirection w:val="lrTb"/>
            <w:noWrap w:val="false"/>
          </w:tcPr>
          <w:p>
            <w:pPr>
              <w:pStyle w:val="982"/>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工业</w:t>
            </w:r>
            <w:r>
              <w:rPr>
                <w:rFonts w:hint="eastAsia" w:ascii="宋体" w:hAnsi="宋体" w:cs="宋体"/>
                <w:color w:val="000000" w:themeColor="text1"/>
                <w:sz w:val="24"/>
                <w:szCs w:val="24"/>
                <w:highlight w:val="none"/>
              </w:rPr>
            </w:r>
            <w:r>
              <w:rPr>
                <w:color w:val="000000" w:themeColor="text1"/>
                <w:highlight w:val="none"/>
              </w:rPr>
            </w:r>
          </w:p>
        </w:tc>
      </w:tr>
    </w:tbl>
    <w:p>
      <w:pPr>
        <w:pStyle w:val="982"/>
        <w:jc w:val="left"/>
        <w:rPr>
          <w:rFonts w:ascii="宋体" w:hAnsi="宋体" w:cs="宋体"/>
          <w:color w:val="000000" w:themeColor="text1"/>
          <w:sz w:val="28"/>
          <w:szCs w:val="28"/>
          <w:highlight w:val="none"/>
        </w:rPr>
      </w:pPr>
      <w:r>
        <w:rPr>
          <w:rFonts w:hint="eastAsia" w:ascii="宋体" w:hAnsi="宋体" w:cs="宋体"/>
          <w:color w:val="000000" w:themeColor="text1"/>
          <w:szCs w:val="21"/>
          <w:highlight w:val="none"/>
        </w:rPr>
        <w:br w:type="page" w:clear="all"/>
      </w:r>
      <w:r>
        <w:rPr>
          <w:rFonts w:ascii="宋体" w:hAnsi="宋体" w:cs="宋体"/>
          <w:color w:val="000000" w:themeColor="text1"/>
          <w:sz w:val="28"/>
          <w:szCs w:val="28"/>
          <w:highlight w:val="none"/>
        </w:rPr>
      </w:r>
      <w:r>
        <w:rPr>
          <w:color w:val="000000" w:themeColor="text1"/>
          <w:highlight w:val="none"/>
        </w:rPr>
      </w:r>
    </w:p>
    <w:p>
      <w:pPr>
        <w:pStyle w:val="982"/>
        <w:jc w:val="center"/>
        <w:widowControl/>
        <w:rPr>
          <w:rFonts w:ascii="宋体" w:hAnsi="宋体" w:cs="宋体"/>
          <w:b/>
          <w:color w:val="000000" w:themeColor="text1"/>
          <w:sz w:val="32"/>
          <w:szCs w:val="32"/>
          <w:highlight w:val="none"/>
        </w:rPr>
        <w:outlineLvl w:val="0"/>
      </w:pPr>
      <w:r>
        <w:rPr>
          <w:color w:val="000000" w:themeColor="text1"/>
          <w:highlight w:val="none"/>
        </w:rPr>
      </w:r>
      <w:bookmarkStart w:id="152" w:name="_Toc26041"/>
      <w:r>
        <w:rPr>
          <w:rFonts w:hint="eastAsia" w:ascii="宋体" w:hAnsi="宋体" w:cs="宋体"/>
          <w:b/>
          <w:color w:val="000000" w:themeColor="text1"/>
          <w:sz w:val="32"/>
          <w:szCs w:val="32"/>
          <w:highlight w:val="none"/>
        </w:rPr>
        <w:t xml:space="preserve">第五章  评标方法与评标标准</w:t>
      </w:r>
      <w:bookmarkEnd w:id="152"/>
      <w:r>
        <w:rPr>
          <w:rFonts w:ascii="宋体" w:hAnsi="宋体" w:cs="宋体"/>
          <w:b/>
          <w:color w:val="000000" w:themeColor="text1"/>
          <w:sz w:val="32"/>
          <w:szCs w:val="32"/>
          <w:highlight w:val="none"/>
        </w:rPr>
      </w:r>
      <w:r>
        <w:rPr>
          <w:color w:val="000000" w:themeColor="text1"/>
          <w:highlight w:val="none"/>
        </w:rPr>
      </w:r>
    </w:p>
    <w:p>
      <w:pPr>
        <w:pStyle w:val="982"/>
        <w:ind w:firstLine="480"/>
        <w:jc w:val="left"/>
        <w:spacing w:before="161" w:after="16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53" w:name="OLE_LINK20"/>
      <w:r>
        <w:rPr>
          <w:rFonts w:hint="eastAsia" w:ascii="宋体" w:hAnsi="宋体" w:cs="宋体"/>
          <w:color w:val="000000" w:themeColor="text1"/>
          <w:sz w:val="24"/>
          <w:highlight w:val="none"/>
        </w:rPr>
        <w:t xml:space="preserve">取1名中标候选人</w:t>
      </w:r>
      <w:bookmarkEnd w:id="153"/>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ascii="宋体" w:hAnsi="宋体" w:cs="宋体"/>
          <w:b/>
          <w:bCs/>
          <w:color w:val="000000" w:themeColor="text1"/>
          <w:sz w:val="24"/>
          <w:highlight w:val="none"/>
        </w:rPr>
      </w:pPr>
      <w:r>
        <w:rPr>
          <w:color w:val="000000" w:themeColor="text1"/>
          <w:highlight w:val="none"/>
        </w:rPr>
      </w:r>
      <w:bookmarkStart w:id="154" w:name="_Toc28210"/>
      <w:r>
        <w:rPr>
          <w:rFonts w:hint="eastAsia" w:ascii="宋体" w:hAnsi="宋体" w:cs="宋体"/>
          <w:b/>
          <w:bCs/>
          <w:color w:val="000000" w:themeColor="text1"/>
          <w:sz w:val="24"/>
          <w:highlight w:val="none"/>
        </w:rPr>
        <w:t xml:space="preserve">政府采购政策功能落实</w:t>
      </w:r>
      <w:bookmarkEnd w:id="154"/>
      <w:r>
        <w:rPr>
          <w:rFonts w:ascii="宋体" w:hAnsi="宋体" w:cs="宋体"/>
          <w:b/>
          <w:bCs/>
          <w:color w:val="000000" w:themeColor="text1"/>
          <w:sz w:val="24"/>
          <w:highlight w:val="none"/>
        </w:rPr>
      </w:r>
      <w:r>
        <w:rPr>
          <w:color w:val="000000" w:themeColor="text1"/>
          <w:highlight w:val="none"/>
        </w:rPr>
      </w:r>
    </w:p>
    <w:p>
      <w:pPr>
        <w:pStyle w:val="98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rPr>
        <w:tab/>
      </w:r>
      <w:r>
        <w:rPr>
          <w:rFonts w:hint="eastAsia" w:ascii="宋体" w:hAnsi="宋体" w:cs="宋体"/>
          <w:color w:val="000000" w:themeColor="text1"/>
          <w:sz w:val="24"/>
          <w:highlight w:val="none"/>
        </w:rPr>
        <w:t xml:space="preserve">本项目专门面向中小企业采购。</w:t>
      </w:r>
      <w:r>
        <w:rPr>
          <w:rFonts w:hint="eastAsia"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 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 企业标准请参照《关于印发中小企业划型标准规定的通知》（工信部联企业[2011]300号）文件规定自行填写。</w:t>
      </w:r>
      <w:r>
        <w:rPr>
          <w:rFonts w:hint="eastAsia"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 残疾人福利单位标准请参照《关于促进残疾人就业政府采购政策的通知》（财库〔2017〕141号）。</w:t>
      </w:r>
      <w:r>
        <w:rPr>
          <w:rFonts w:hint="eastAsia"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 监狱企业标准请参照《关于政府采购支持监狱企业发展有关问题的通知》（财库[2014]68号）。</w:t>
      </w:r>
      <w:r>
        <w:rPr>
          <w:rFonts w:hint="eastAsia"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 残疾人福利单位、监狱企业属于小型、微型企业的，不重复享受政策。</w:t>
      </w:r>
      <w:r>
        <w:rPr>
          <w:rFonts w:hint="eastAsia"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 如本项目同意联合体投标或同意分包履行合同的,联合体各方均必须为小型、微型企业（残疾人福利单位、监狱企业）。</w:t>
      </w:r>
      <w:r>
        <w:rPr>
          <w:rFonts w:hint="eastAsia"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2、采购本国产品的支持政策</w:t>
      </w:r>
      <w:r>
        <w:rPr>
          <w:rFonts w:ascii="宋体" w:hAnsi="宋体" w:cs="宋体"/>
          <w:color w:val="000000" w:themeColor="text1"/>
          <w:sz w:val="24"/>
          <w:highlight w:val="none"/>
        </w:rPr>
      </w:r>
      <w:r>
        <w:rPr>
          <w:color w:val="000000" w:themeColor="text1"/>
          <w:highlight w:val="none"/>
        </w:rPr>
      </w:r>
    </w:p>
    <w:p>
      <w:pPr>
        <w:pStyle w:val="98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2.1 本项目政府采购活动中既有本国产品又有非本国产品参与竞争的，依法对本国产品给予价格评审优惠，对本国产品的报价给予</w:t>
      </w:r>
      <w:r>
        <w:rPr>
          <w:rFonts w:ascii="宋体" w:hAnsi="宋体" w:cs="宋体"/>
          <w:color w:val="000000" w:themeColor="text1"/>
          <w:sz w:val="24"/>
          <w:highlight w:val="none"/>
        </w:rPr>
        <w:t xml:space="preserve">20%</w:t>
      </w:r>
      <w:r>
        <w:rPr>
          <w:rFonts w:ascii="宋体" w:hAnsi="宋体" w:cs="宋体"/>
          <w:color w:val="000000" w:themeColor="text1"/>
          <w:sz w:val="24"/>
          <w:highlight w:val="none"/>
        </w:rPr>
        <w:t xml:space="preserve">的价格扣除，用扣除后的价格参与评审。</w:t>
      </w:r>
      <w:r>
        <w:rPr>
          <w:rFonts w:eastAsia="Times New Roman"/>
          <w:color w:val="000000" w:themeColor="text1"/>
          <w:sz w:val="24"/>
          <w:highlight w:val="none"/>
        </w:rPr>
      </w:r>
      <w:r>
        <w:rPr>
          <w:color w:val="000000" w:themeColor="text1"/>
          <w:highlight w:val="none"/>
        </w:rPr>
      </w:r>
    </w:p>
    <w:p>
      <w:pPr>
        <w:pStyle w:val="98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000000" w:themeColor="text1"/>
          <w:sz w:val="24"/>
          <w:highlight w:val="none"/>
        </w:rPr>
        <w:t xml:space="preserve">80%</w:t>
      </w:r>
      <w:r>
        <w:rPr>
          <w:rFonts w:ascii="宋体" w:hAnsi="宋体" w:cs="宋体"/>
          <w:color w:val="000000" w:themeColor="text1"/>
          <w:sz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eastAsia="Times New Roman"/>
          <w:color w:val="000000" w:themeColor="text1"/>
          <w:sz w:val="24"/>
          <w:highlight w:val="none"/>
        </w:rPr>
      </w:r>
      <w:r>
        <w:rPr>
          <w:color w:val="000000" w:themeColor="text1"/>
          <w:highlight w:val="none"/>
        </w:rPr>
      </w:r>
    </w:p>
    <w:p>
      <w:pPr>
        <w:pStyle w:val="98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2.3 供应商需按照招标文件的要求提供《关于符合本国产品标准的声明函》（以下简称《声明函》），</w:t>
      </w:r>
      <w:r>
        <w:rPr>
          <w:rFonts w:ascii="宋体" w:hAnsi="宋体" w:cs="宋体"/>
          <w:color w:val="000000" w:themeColor="text1"/>
          <w:sz w:val="24"/>
          <w:highlight w:val="none"/>
        </w:rPr>
        <w:t xml:space="preserve">如不提供将不享受本国产品价格评审优惠</w:t>
      </w:r>
      <w:r>
        <w:rPr>
          <w:rFonts w:ascii="宋体" w:hAnsi="宋体" w:cs="宋体"/>
          <w:color w:val="000000" w:themeColor="text1"/>
          <w:sz w:val="24"/>
          <w:highlight w:val="none"/>
        </w:rPr>
        <w:t xml:space="preserve">。</w:t>
      </w:r>
      <w:r>
        <w:rPr>
          <w:rFonts w:eastAsia="Times New Roman"/>
          <w:color w:val="000000" w:themeColor="text1"/>
          <w:sz w:val="24"/>
          <w:highlight w:val="none"/>
        </w:rPr>
      </w:r>
      <w:r>
        <w:rPr>
          <w:color w:val="000000" w:themeColor="text1"/>
          <w:highlight w:val="none"/>
        </w:rPr>
      </w:r>
    </w:p>
    <w:p>
      <w:pPr>
        <w:pStyle w:val="98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2.4 供应商需在《声明函》中</w:t>
      </w:r>
      <w:r>
        <w:rPr>
          <w:rFonts w:ascii="宋体" w:hAnsi="宋体" w:cs="宋体"/>
          <w:color w:val="000000" w:themeColor="text1"/>
          <w:sz w:val="24"/>
          <w:highlight w:val="none"/>
        </w:rPr>
        <w:t xml:space="preserve">逐一、准确</w:t>
      </w:r>
      <w:r>
        <w:rPr>
          <w:rFonts w:ascii="宋体" w:hAnsi="宋体" w:cs="宋体"/>
          <w:color w:val="000000" w:themeColor="text1"/>
          <w:sz w:val="24"/>
          <w:highlight w:val="none"/>
        </w:rPr>
        <w:t xml:space="preserve">填写产品名称、厂名、生产厂址三项信息（《声明函》中用斜线划除的地方无需填写），</w:t>
      </w:r>
      <w:r>
        <w:rPr>
          <w:rFonts w:ascii="宋体" w:hAnsi="宋体" w:cs="宋体"/>
          <w:color w:val="000000" w:themeColor="text1"/>
          <w:sz w:val="24"/>
          <w:highlight w:val="none"/>
        </w:rPr>
        <w:t xml:space="preserve">三项信息中任意一项未填写的视为该项产品不符合本国产品标准，不享受本国产品价格评审优惠</w:t>
      </w:r>
      <w:r>
        <w:rPr>
          <w:rFonts w:ascii="宋体" w:hAnsi="宋体" w:cs="宋体"/>
          <w:color w:val="000000" w:themeColor="text1"/>
          <w:sz w:val="24"/>
          <w:highlight w:val="none"/>
        </w:rPr>
        <w:t xml:space="preserve">。</w:t>
      </w:r>
      <w:r>
        <w:rPr>
          <w:rFonts w:eastAsia="Times New Roman"/>
          <w:color w:val="000000" w:themeColor="text1"/>
          <w:sz w:val="24"/>
          <w:highlight w:val="none"/>
        </w:rPr>
      </w:r>
      <w:r>
        <w:rPr>
          <w:color w:val="000000" w:themeColor="text1"/>
          <w:highlight w:val="none"/>
        </w:rPr>
      </w:r>
    </w:p>
    <w:p>
      <w:pPr>
        <w:pStyle w:val="98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Times New Roman"/>
          <w:color w:val="000000" w:themeColor="text1"/>
          <w:sz w:val="24"/>
          <w:highlight w:val="none"/>
        </w:rPr>
      </w:r>
      <w:r>
        <w:rPr>
          <w:color w:val="000000" w:themeColor="text1"/>
          <w:highlight w:val="none"/>
        </w:rPr>
      </w:r>
    </w:p>
    <w:p>
      <w:pPr>
        <w:pStyle w:val="98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Times New Roman"/>
          <w:color w:val="000000" w:themeColor="text1"/>
          <w:sz w:val="24"/>
          <w:highlight w:val="none"/>
        </w:rPr>
      </w:r>
      <w:r>
        <w:rPr>
          <w:color w:val="000000" w:themeColor="text1"/>
          <w:highlight w:val="none"/>
        </w:rPr>
      </w:r>
    </w:p>
    <w:p>
      <w:pPr>
        <w:pStyle w:val="982"/>
        <w:ind w:firstLine="480"/>
        <w:jc w:val="left"/>
        <w:spacing w:before="161" w:after="160" w:line="360" w:lineRule="auto"/>
        <w:rPr>
          <w:rFonts w:eastAsia="Times New Roman"/>
          <w:color w:val="000000" w:themeColor="text1"/>
          <w:sz w:val="24"/>
          <w:highlight w:val="none"/>
        </w:rPr>
      </w:pPr>
      <w:r>
        <w:rPr>
          <w:rFonts w:ascii="宋体" w:hAnsi="宋体" w:cs="宋体"/>
          <w:color w:val="000000" w:themeColor="text1"/>
          <w:sz w:val="24"/>
          <w:highlight w:val="none"/>
        </w:rPr>
        <w:t xml:space="preserve">2.7本国产品应当在中国境内生产，即在中华人民共和国关境内实现从原材料、组件到产品的属性改变。从具体情形看，在国内保税区、综合保税区等海关特殊监管区域生产的产品，属于在中国境内生产的产品；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000000" w:themeColor="text1"/>
          <w:sz w:val="24"/>
          <w:highlight w:val="none"/>
        </w:rPr>
        <w:t xml:space="preserve">对医疗器械产品，取得药品监督管理部门授予的准字号医疗器械注册证的，属于在中国境内生产的产品；</w:t>
      </w:r>
      <w:r>
        <w:rPr>
          <w:rFonts w:ascii="宋体" w:hAnsi="宋体" w:cs="宋体"/>
          <w:color w:val="000000" w:themeColor="text1"/>
          <w:sz w:val="24"/>
          <w:highlight w:val="none"/>
        </w:rPr>
        <w:t xml:space="preserve">其他产品，根据实际情况判断是否在中国境内生产。</w:t>
      </w:r>
      <w:r>
        <w:rPr>
          <w:rFonts w:eastAsia="Times New Roman"/>
          <w:color w:val="000000" w:themeColor="text1"/>
          <w:sz w:val="24"/>
          <w:highlight w:val="none"/>
        </w:rPr>
      </w:r>
      <w:r>
        <w:rPr>
          <w:color w:val="000000" w:themeColor="text1"/>
          <w:highlight w:val="none"/>
        </w:rPr>
      </w:r>
    </w:p>
    <w:p>
      <w:pPr>
        <w:pStyle w:val="982"/>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ind w:firstLine="482"/>
        <w:jc w:val="left"/>
        <w:rPr>
          <w:rFonts w:ascii="宋体" w:hAnsi="宋体"/>
          <w:b/>
          <w:color w:val="000000" w:themeColor="text1"/>
          <w:sz w:val="24"/>
          <w:highlight w:val="none"/>
        </w:rPr>
        <w:outlineLvl w:val="1"/>
      </w:pPr>
      <w:r>
        <w:rPr>
          <w:color w:val="000000" w:themeColor="text1"/>
          <w:highlight w:val="none"/>
        </w:rPr>
      </w:r>
      <w:bookmarkStart w:id="155" w:name="_Toc30809"/>
      <w:r>
        <w:rPr>
          <w:rFonts w:hint="eastAsia" w:ascii="宋体" w:hAnsi="宋体"/>
          <w:b/>
          <w:color w:val="000000" w:themeColor="text1"/>
          <w:sz w:val="24"/>
          <w:highlight w:val="none"/>
        </w:rPr>
        <w:t xml:space="preserve">符合性审查内容</w:t>
      </w:r>
      <w:bookmarkEnd w:id="155"/>
      <w:r>
        <w:rPr>
          <w:rFonts w:ascii="宋体" w:hAnsi="宋体"/>
          <w:b/>
          <w:color w:val="000000" w:themeColor="text1"/>
          <w:sz w:val="24"/>
          <w:highlight w:val="none"/>
        </w:rPr>
      </w:r>
      <w:r>
        <w:rPr>
          <w:color w:val="000000" w:themeColor="text1"/>
          <w:highlight w:val="none"/>
        </w:rPr>
      </w:r>
    </w:p>
    <w:p>
      <w:pPr>
        <w:pStyle w:val="1104"/>
        <w:numPr>
          <w:ilvl w:val="0"/>
          <w:numId w:val="7"/>
        </w:numPr>
        <w:rPr>
          <w:rFonts w:ascii="宋体" w:hAnsi="宋体"/>
          <w:b/>
          <w:bCs/>
          <w:color w:val="000000" w:themeColor="text1"/>
          <w:sz w:val="24"/>
          <w:szCs w:val="24"/>
          <w:highlight w:val="none"/>
        </w:rPr>
      </w:pPr>
      <w:r>
        <w:rPr>
          <w:rFonts w:hint="eastAsia" w:ascii="宋体" w:hAnsi="宋体"/>
          <w:b/>
          <w:bCs/>
          <w:color w:val="000000" w:themeColor="text1"/>
          <w:sz w:val="24"/>
          <w:highlight w:val="none"/>
        </w:rPr>
        <w:t xml:space="preserve">报价要求：</w:t>
      </w:r>
      <w:r>
        <w:rPr>
          <w:rFonts w:hint="eastAsia" w:ascii="宋体" w:hAnsi="宋体"/>
          <w:b/>
          <w:bCs/>
          <w:color w:val="000000" w:themeColor="text1"/>
          <w:sz w:val="24"/>
          <w:szCs w:val="24"/>
          <w:highlight w:val="none"/>
        </w:rPr>
        <w:t xml:space="preserve">不得超过最高限价</w:t>
      </w:r>
      <w:r>
        <w:rPr>
          <w:rFonts w:ascii="宋体" w:hAnsi="宋体"/>
          <w:b/>
          <w:bCs/>
          <w:color w:val="000000" w:themeColor="text1"/>
          <w:sz w:val="24"/>
          <w:szCs w:val="24"/>
          <w:highlight w:val="none"/>
        </w:rPr>
      </w:r>
      <w:r>
        <w:rPr>
          <w:color w:val="000000" w:themeColor="text1"/>
          <w:highlight w:val="none"/>
        </w:rPr>
      </w:r>
    </w:p>
    <w:p>
      <w:pPr>
        <w:pStyle w:val="982"/>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82"/>
        <w:numPr>
          <w:ilvl w:val="0"/>
          <w:numId w:val="7"/>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rFonts w:ascii="宋体" w:hAnsi="宋体"/>
          <w:b/>
          <w:bCs/>
          <w:color w:val="000000" w:themeColor="text1"/>
          <w:sz w:val="24"/>
          <w:highlight w:val="none"/>
        </w:rPr>
      </w:r>
      <w:r>
        <w:rPr>
          <w:color w:val="000000" w:themeColor="text1"/>
          <w:highlight w:val="none"/>
        </w:rPr>
      </w:r>
    </w:p>
    <w:p>
      <w:pPr>
        <w:pStyle w:val="98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2.1</w:t>
      </w:r>
      <w:r>
        <w:rPr>
          <w:rFonts w:hint="eastAsia"/>
          <w:iCs/>
          <w:color w:val="000000" w:themeColor="text1"/>
          <w:sz w:val="24"/>
          <w:highlight w:val="none"/>
          <w:lang w:bidi="ar"/>
        </w:rPr>
        <w:t xml:space="preserve">投标文件没有重大负偏离，所谓重大负偏离是指投标人所投标的</w:t>
      </w:r>
      <w:r>
        <w:rPr>
          <w:rFonts w:hint="eastAsia"/>
          <w:iCs/>
          <w:color w:val="000000" w:themeColor="text1"/>
          <w:sz w:val="24"/>
          <w:highlight w:val="none"/>
          <w:u w:val="single"/>
          <w:lang w:bidi="ar"/>
        </w:rPr>
        <w:t xml:space="preserve">范围、质量、数量、付款方式、质保期和交货期限</w:t>
      </w:r>
      <w:r>
        <w:rPr>
          <w:rFonts w:hint="eastAsia"/>
          <w:iCs/>
          <w:color w:val="000000" w:themeColor="text1"/>
          <w:sz w:val="24"/>
          <w:highlight w:val="none"/>
          <w:lang w:bidi="ar"/>
        </w:rPr>
        <w:t xml:space="preserve">等明显不能满足招标文件的要求。重大负偏离的认定须经评标委员会同意，</w:t>
      </w:r>
      <w:r>
        <w:rPr>
          <w:rFonts w:hint="eastAsia" w:ascii="宋体" w:hAnsi="宋体"/>
          <w:color w:val="000000" w:themeColor="text1"/>
          <w:sz w:val="24"/>
          <w:highlight w:val="none"/>
        </w:rPr>
        <w:t xml:space="preserve">商务要求不接受任何一项的负偏离或者不满足，允许正偏离；</w:t>
      </w:r>
      <w:r>
        <w:rPr>
          <w:rFonts w:ascii="宋体" w:hAnsi="宋体"/>
          <w:color w:val="000000" w:themeColor="text1"/>
          <w:sz w:val="24"/>
          <w:highlight w:val="none"/>
        </w:rPr>
      </w:r>
      <w:r>
        <w:rPr>
          <w:color w:val="000000" w:themeColor="text1"/>
          <w:highlight w:val="none"/>
        </w:rPr>
      </w:r>
    </w:p>
    <w:p>
      <w:pPr>
        <w:pStyle w:val="98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2.2《第六章投标文件构成》中“投标文件构成”没有实质性缺漏；</w:t>
      </w:r>
      <w:r>
        <w:rPr>
          <w:rFonts w:ascii="宋体" w:hAnsi="宋体"/>
          <w:color w:val="000000" w:themeColor="text1"/>
          <w:sz w:val="24"/>
          <w:highlight w:val="none"/>
        </w:rPr>
      </w:r>
      <w:r>
        <w:rPr>
          <w:color w:val="000000" w:themeColor="text1"/>
          <w:highlight w:val="none"/>
        </w:rPr>
      </w:r>
    </w:p>
    <w:p>
      <w:pPr>
        <w:pStyle w:val="98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2.3本项目不接受备选投标方案</w:t>
      </w:r>
      <w:r>
        <w:rPr>
          <w:rFonts w:ascii="宋体" w:hAnsi="宋体"/>
          <w:color w:val="000000" w:themeColor="text1"/>
          <w:sz w:val="24"/>
          <w:highlight w:val="none"/>
        </w:rPr>
      </w:r>
      <w:r>
        <w:rPr>
          <w:color w:val="000000" w:themeColor="text1"/>
          <w:highlight w:val="none"/>
        </w:rPr>
      </w:r>
    </w:p>
    <w:p>
      <w:pPr>
        <w:pStyle w:val="98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2.4投标文件没有采购人不能接受的附加条件</w:t>
      </w:r>
      <w:r>
        <w:rPr>
          <w:rFonts w:ascii="宋体" w:hAnsi="宋体"/>
          <w:color w:val="000000" w:themeColor="text1"/>
          <w:sz w:val="24"/>
          <w:highlight w:val="none"/>
        </w:rPr>
      </w:r>
      <w:r>
        <w:rPr>
          <w:color w:val="000000" w:themeColor="text1"/>
          <w:highlight w:val="none"/>
        </w:rPr>
      </w:r>
    </w:p>
    <w:p>
      <w:pPr>
        <w:pStyle w:val="98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2.5投标文件没有法律、法规和招标文件规定的其他无效情形</w:t>
      </w:r>
      <w:r>
        <w:rPr>
          <w:rFonts w:ascii="宋体" w:hAnsi="宋体"/>
          <w:color w:val="000000" w:themeColor="text1"/>
          <w:sz w:val="24"/>
          <w:highlight w:val="none"/>
        </w:rPr>
      </w:r>
      <w:r>
        <w:rPr>
          <w:color w:val="000000" w:themeColor="text1"/>
          <w:highlight w:val="none"/>
        </w:rPr>
      </w:r>
    </w:p>
    <w:p>
      <w:pPr>
        <w:pStyle w:val="982"/>
        <w:ind w:firstLine="480"/>
        <w:jc w:val="left"/>
        <w:spacing w:before="161"/>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82"/>
        <w:numPr>
          <w:ilvl w:val="0"/>
          <w:numId w:val="7"/>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rFonts w:ascii="宋体" w:hAnsi="宋体"/>
          <w:b/>
          <w:bCs/>
          <w:color w:val="000000" w:themeColor="text1"/>
          <w:sz w:val="24"/>
          <w:highlight w:val="none"/>
        </w:rPr>
      </w:r>
      <w:r>
        <w:rPr>
          <w:color w:val="000000" w:themeColor="text1"/>
          <w:highlight w:val="none"/>
        </w:rPr>
      </w:r>
    </w:p>
    <w:p>
      <w:pPr>
        <w:pStyle w:val="982"/>
        <w:ind w:firstLine="480"/>
        <w:jc w:val="left"/>
        <w:spacing w:before="161"/>
        <w:rPr>
          <w:rFonts w:ascii="宋体" w:hAnsi="宋体"/>
          <w:color w:val="000000" w:themeColor="text1"/>
          <w:sz w:val="24"/>
          <w:highlight w:val="none"/>
        </w:rPr>
      </w:pPr>
      <w:r>
        <w:rPr>
          <w:rFonts w:hint="eastAsia" w:ascii="宋体" w:hAnsi="宋体"/>
          <w:color w:val="000000" w:themeColor="text1"/>
          <w:sz w:val="24"/>
          <w:highlight w:val="none"/>
        </w:rPr>
        <w:t xml:space="preserve">3.1技术要求中</w:t>
      </w:r>
      <w:r>
        <w:rPr>
          <w:rFonts w:hint="eastAsia" w:ascii="宋体" w:hAnsi="宋体" w:cs="宋体"/>
          <w:color w:val="000000" w:themeColor="text1"/>
          <w:sz w:val="24"/>
          <w:highlight w:val="none"/>
        </w:rPr>
        <w:t xml:space="preserve">★条款</w:t>
      </w:r>
      <w:r>
        <w:rPr>
          <w:rFonts w:hint="eastAsia" w:ascii="宋体" w:hAnsi="宋体"/>
          <w:color w:val="000000" w:themeColor="text1"/>
          <w:sz w:val="24"/>
          <w:highlight w:val="none"/>
        </w:rPr>
        <w:t xml:space="preserve">不接受任何一项的负偏离或者不满足</w:t>
      </w:r>
      <w:r>
        <w:rPr>
          <w:rFonts w:ascii="宋体" w:hAnsi="宋体"/>
          <w:color w:val="000000" w:themeColor="text1"/>
          <w:sz w:val="24"/>
          <w:highlight w:val="none"/>
        </w:rPr>
      </w:r>
      <w:r>
        <w:rPr>
          <w:color w:val="000000" w:themeColor="text1"/>
          <w:highlight w:val="none"/>
        </w:rPr>
      </w:r>
    </w:p>
    <w:p>
      <w:pPr>
        <w:pStyle w:val="982"/>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rPr>
          <w:rFonts w:ascii="宋体" w:hAnsi="宋体"/>
          <w:b/>
          <w:color w:val="000000" w:themeColor="text1"/>
          <w:sz w:val="24"/>
          <w:highlight w:val="none"/>
        </w:rPr>
      </w:pPr>
      <w:r>
        <w:rPr>
          <w:color w:val="000000" w:themeColor="text1"/>
          <w:highlight w:val="none"/>
        </w:rPr>
      </w:r>
      <w:bookmarkStart w:id="156" w:name="_Toc20828"/>
      <w:r>
        <w:rPr>
          <w:rFonts w:hint="eastAsia" w:ascii="宋体" w:hAnsi="宋体"/>
          <w:b/>
          <w:color w:val="000000" w:themeColor="text1"/>
          <w:sz w:val="24"/>
          <w:highlight w:val="none"/>
        </w:rPr>
        <w:br w:type="page" w:clear="all"/>
      </w:r>
      <w:r>
        <w:rPr>
          <w:rFonts w:ascii="宋体" w:hAnsi="宋体"/>
          <w:b/>
          <w:color w:val="000000" w:themeColor="text1"/>
          <w:sz w:val="24"/>
          <w:highlight w:val="none"/>
        </w:rPr>
      </w:r>
      <w:r>
        <w:rPr>
          <w:color w:val="000000" w:themeColor="text1"/>
          <w:highlight w:val="none"/>
        </w:rPr>
      </w:r>
    </w:p>
    <w:p>
      <w:pPr>
        <w:pStyle w:val="982"/>
        <w:ind w:firstLine="482"/>
        <w:jc w:val="center"/>
        <w:rPr>
          <w:rFonts w:ascii="宋体" w:hAnsi="宋体"/>
          <w:b/>
          <w:color w:val="000000" w:themeColor="text1"/>
          <w:sz w:val="24"/>
          <w:highlight w:val="none"/>
        </w:rPr>
        <w:outlineLvl w:val="1"/>
      </w:pPr>
      <w:r>
        <w:rPr>
          <w:rFonts w:hint="eastAsia" w:ascii="宋体" w:hAnsi="宋体"/>
          <w:b/>
          <w:color w:val="000000" w:themeColor="text1"/>
          <w:sz w:val="24"/>
          <w:highlight w:val="none"/>
        </w:rPr>
        <w:t xml:space="preserve">评标方法与评标标准</w:t>
      </w:r>
      <w:bookmarkEnd w:id="156"/>
      <w:r>
        <w:rPr>
          <w:rFonts w:ascii="宋体" w:hAnsi="宋体"/>
          <w:b/>
          <w:color w:val="000000" w:themeColor="text1"/>
          <w:sz w:val="24"/>
          <w:highlight w:val="none"/>
        </w:rPr>
      </w:r>
      <w:r>
        <w:rPr>
          <w:color w:val="000000" w:themeColor="text1"/>
          <w:highlight w:val="none"/>
        </w:rPr>
      </w:r>
    </w:p>
    <w:tbl>
      <w:tblPr>
        <w:tblW w:w="4479"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861"/>
        <w:gridCol w:w="6059"/>
      </w:tblGrid>
      <w:tr>
        <w:trPr>
          <w:trHeight w:val="471"/>
        </w:trPr>
        <w:tc>
          <w:tcPr>
            <w:tcW w:w="841"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评标标准</w:t>
            </w:r>
            <w:r>
              <w:rPr>
                <w:rFonts w:hint="eastAsia" w:ascii="宋体" w:hAnsi="宋体" w:cs="宋体"/>
                <w:bCs/>
                <w:color w:val="000000" w:themeColor="text1"/>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分值</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评分细则</w:t>
            </w:r>
            <w:r>
              <w:rPr>
                <w:rFonts w:hint="eastAsia" w:ascii="宋体" w:hAnsi="宋体" w:cs="宋体"/>
                <w:bCs/>
                <w:color w:val="000000" w:themeColor="text1"/>
                <w:sz w:val="24"/>
                <w:szCs w:val="24"/>
                <w:highlight w:val="none"/>
              </w:rPr>
            </w:r>
            <w:r>
              <w:rPr>
                <w:color w:val="000000" w:themeColor="text1"/>
                <w:highlight w:val="none"/>
              </w:rPr>
            </w:r>
          </w:p>
        </w:tc>
      </w:tr>
      <w:tr>
        <w:trPr>
          <w:trHeight w:val="2783"/>
        </w:trPr>
        <w:tc>
          <w:tcPr>
            <w:tcW w:w="841"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价格分</w:t>
            </w:r>
            <w:r>
              <w:rPr>
                <w:rFonts w:hint="eastAsia" w:ascii="宋体" w:hAnsi="宋体" w:cs="宋体"/>
                <w:bCs/>
                <w:color w:val="000000" w:themeColor="text1"/>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color w:val="000000" w:themeColor="text1"/>
                <w:highlight w:val="none"/>
              </w:rPr>
            </w:r>
            <w:bookmarkStart w:id="157" w:name="OLE_LINK64"/>
            <w:r>
              <w:rPr>
                <w:rFonts w:hint="eastAsia" w:ascii="宋体" w:hAnsi="宋体" w:cs="宋体"/>
                <w:bCs/>
                <w:color w:val="000000" w:themeColor="text1"/>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bookmarkEnd w:id="157"/>
            <w:r>
              <w:rPr>
                <w:rFonts w:hint="eastAsia" w:ascii="宋体" w:hAnsi="宋体" w:cs="宋体"/>
                <w:bCs/>
                <w:color w:val="000000" w:themeColor="text1"/>
                <w:sz w:val="24"/>
                <w:szCs w:val="24"/>
                <w:highlight w:val="none"/>
              </w:rPr>
            </w:r>
            <w:r>
              <w:rPr>
                <w:color w:val="000000" w:themeColor="text1"/>
                <w:highlight w:val="none"/>
              </w:rPr>
            </w:r>
          </w:p>
        </w:tc>
      </w:tr>
      <w:tr>
        <w:trPr>
          <w:trHeight w:val="90"/>
        </w:trPr>
        <w:tc>
          <w:tcPr>
            <w:tcW w:w="841"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技术响应</w:t>
            </w:r>
            <w:r>
              <w:rPr>
                <w:rFonts w:hint="eastAsia" w:ascii="宋体" w:hAnsi="宋体" w:cs="宋体"/>
                <w:bCs/>
                <w:color w:val="000000" w:themeColor="text1"/>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投标产品参数完全满足招标文件要求的，得满分。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其中：标注▲的每有一项负偏离扣2分，其余指标有1项负偏离扣0.1分。缺漏项视为负偏离，正偏离不加分。</w:t>
            </w:r>
            <w:r>
              <w:rPr>
                <w:rFonts w:ascii="宋体" w:hAnsi="宋体" w:cs="宋体"/>
                <w:bCs/>
                <w:color w:val="000000" w:themeColor="text1"/>
                <w:sz w:val="24"/>
                <w:szCs w:val="24"/>
                <w:highlight w:val="none"/>
              </w:rPr>
            </w:r>
            <w:r>
              <w:rPr>
                <w:color w:val="000000" w:themeColor="text1"/>
                <w:highlight w:val="none"/>
              </w:rPr>
            </w:r>
          </w:p>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w:t>
            </w:r>
            <w:r>
              <w:rPr>
                <w:rFonts w:hint="eastAsia" w:ascii="宋体" w:hAnsi="宋体" w:cs="宋体"/>
                <w:bCs/>
                <w:color w:val="000000" w:themeColor="text1"/>
                <w:sz w:val="24"/>
                <w:szCs w:val="24"/>
                <w:highlight w:val="none"/>
              </w:rPr>
            </w:r>
            <w:r>
              <w:rPr>
                <w:color w:val="000000" w:themeColor="text1"/>
                <w:highlight w:val="none"/>
              </w:rPr>
            </w:r>
          </w:p>
          <w:p>
            <w:pPr>
              <w:pStyle w:val="982"/>
              <w:spacing w:before="120" w:after="160"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技术要求中加注“▲”符号以及一般参数里明确要求提供证明材料的必须提供技术证明材料，如未要求具体证明材料则应提供第三方检测报告、产品说明书、注册证及附页等技术支持资料等（功能参数应进行明显标注，采用如箭头、标红或下划线等方式标注，以便评委查看）未按要求提供的，视为负偏离。</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2.如果投标人提供虚假材料，一经查实，视为放弃中标资格，并上报财政主管部门。</w:t>
            </w:r>
            <w:r>
              <w:rPr>
                <w:rFonts w:hint="eastAsia" w:ascii="宋体" w:hAnsi="宋体" w:cs="宋体"/>
                <w:bCs/>
                <w:color w:val="000000" w:themeColor="text1"/>
                <w:sz w:val="24"/>
                <w:szCs w:val="24"/>
                <w:highlight w:val="none"/>
              </w:rPr>
            </w:r>
            <w:r>
              <w:rPr>
                <w:color w:val="000000" w:themeColor="text1"/>
                <w:highlight w:val="none"/>
              </w:rPr>
            </w:r>
          </w:p>
        </w:tc>
      </w:tr>
      <w:tr>
        <w:trPr>
          <w:trHeight w:val="4180"/>
        </w:trPr>
        <w:tc>
          <w:tcPr>
            <w:tcW w:w="841"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同类业绩</w:t>
            </w:r>
            <w:r>
              <w:rPr>
                <w:rFonts w:hint="eastAsia" w:ascii="宋体" w:hAnsi="宋体" w:cs="宋体"/>
                <w:bCs/>
                <w:color w:val="000000" w:themeColor="text1"/>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投标人提供（2023年10月1日至今）类似本项目（每份业绩至少包含</w:t>
            </w:r>
            <w:r>
              <w:rPr>
                <w:rFonts w:hint="eastAsia" w:ascii="宋体" w:hAnsi="宋体" w:cs="宋体"/>
                <w:bCs/>
                <w:color w:val="000000" w:themeColor="text1"/>
                <w:sz w:val="24"/>
                <w:szCs w:val="24"/>
                <w:highlight w:val="none"/>
              </w:rPr>
              <w:t xml:space="preserve">手动病床</w:t>
            </w:r>
            <w:r>
              <w:rPr>
                <w:rFonts w:hint="eastAsia" w:ascii="宋体" w:hAnsi="宋体" w:cs="宋体"/>
                <w:bCs/>
                <w:color w:val="000000" w:themeColor="text1"/>
                <w:sz w:val="24"/>
                <w:szCs w:val="24"/>
                <w:highlight w:val="none"/>
              </w:rPr>
              <w:t xml:space="preserve">）的销售成功案例，每提供一份业绩证明材料的得2分，最多得6分。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注：本项需提供以下证明材料，缺一不得分：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（1）合同复印件（时间以合同签订时间为准，同一采购单位的多份合同业绩，不重复计分）；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（2）合同期内的任意供货发票复印件（须提供</w:t>
            </w:r>
            <w:r>
              <w:rPr>
                <w:rFonts w:hint="eastAsia" w:ascii="宋体" w:hAnsi="宋体" w:cs="宋体"/>
                <w:bCs/>
                <w:color w:val="000000" w:themeColor="text1"/>
                <w:sz w:val="24"/>
                <w:szCs w:val="24"/>
                <w:highlight w:val="none"/>
              </w:rPr>
              <w:t xml:space="preserve">手动病床的</w:t>
            </w:r>
            <w:r>
              <w:rPr>
                <w:rFonts w:hint="eastAsia" w:ascii="宋体" w:hAnsi="宋体" w:cs="宋体"/>
                <w:bCs/>
                <w:color w:val="000000" w:themeColor="text1"/>
                <w:sz w:val="24"/>
                <w:szCs w:val="24"/>
                <w:highlight w:val="none"/>
              </w:rPr>
              <w:t xml:space="preserve">发票明细）；</w:t>
            </w:r>
            <w:r>
              <w:rPr>
                <w:rFonts w:hint="eastAsia" w:ascii="宋体" w:hAnsi="宋体" w:cs="宋体"/>
                <w:bCs/>
                <w:color w:val="000000" w:themeColor="text1"/>
                <w:sz w:val="24"/>
                <w:szCs w:val="24"/>
                <w:highlight w:val="none"/>
              </w:rPr>
            </w:r>
            <w:r>
              <w:rPr>
                <w:color w:val="000000" w:themeColor="text1"/>
                <w:highlight w:val="none"/>
              </w:rPr>
            </w:r>
          </w:p>
        </w:tc>
      </w:tr>
      <w:tr>
        <w:trPr>
          <w:trHeight w:val="3701"/>
        </w:trPr>
        <w:tc>
          <w:tcPr>
            <w:tcW w:w="841" w:type="dxa"/>
            <w:vAlign w:val="center"/>
            <w:textDirection w:val="lrTb"/>
            <w:noWrap w:val="false"/>
          </w:tcPr>
          <w:p>
            <w:pPr>
              <w:pStyle w:val="982"/>
              <w:jc w:val="center"/>
              <w:rPr>
                <w:rFonts w:hint="eastAsia" w:ascii="宋体" w:hAnsi="宋体" w:cs="宋体"/>
                <w:bCs/>
                <w:color w:val="000000" w:themeColor="text1"/>
                <w:position w:val="-10"/>
                <w:sz w:val="24"/>
                <w:szCs w:val="24"/>
                <w:highlight w:val="none"/>
              </w:rPr>
            </w:pPr>
            <w:r>
              <w:rPr>
                <w:color w:val="000000" w:themeColor="text1"/>
                <w:highlight w:val="none"/>
              </w:rPr>
            </w:r>
            <w:bookmarkStart w:id="158" w:name="_Hlk227154168"/>
            <w:r>
              <w:rPr>
                <w:rFonts w:hint="eastAsia" w:ascii="宋体" w:hAnsi="宋体" w:cs="宋体"/>
                <w:color w:val="000000" w:themeColor="text1"/>
                <w:sz w:val="24"/>
                <w:szCs w:val="24"/>
                <w:highlight w:val="none"/>
              </w:rPr>
              <w:t xml:space="preserve">项目实施</w:t>
            </w:r>
            <w:r>
              <w:rPr>
                <w:rFonts w:hint="eastAsia" w:ascii="宋体" w:hAnsi="宋体" w:cs="宋体"/>
                <w:color w:val="000000" w:themeColor="text1"/>
                <w:sz w:val="24"/>
                <w:szCs w:val="24"/>
                <w:highlight w:val="none"/>
                <w:lang w:eastAsia="en-US"/>
              </w:rPr>
              <w:t xml:space="preserve">方案</w:t>
            </w:r>
            <w:r>
              <w:rPr>
                <w:rFonts w:hint="eastAsia" w:ascii="宋体" w:hAnsi="宋体" w:cs="宋体"/>
                <w:bCs/>
                <w:color w:val="000000" w:themeColor="text1"/>
                <w:position w:val="-10"/>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szCs w:val="24"/>
                <w:highlight w:val="none"/>
              </w:rPr>
              <w:t xml:space="preserve">根据本项目编制</w:t>
            </w:r>
            <w:r>
              <w:rPr>
                <w:rFonts w:hint="eastAsia" w:ascii="宋体" w:hAnsi="宋体" w:cs="宋体"/>
                <w:bCs/>
                <w:color w:val="000000" w:themeColor="text1"/>
                <w:sz w:val="24"/>
                <w:highlight w:val="none"/>
              </w:rPr>
              <w:t xml:space="preserve">项目实施</w:t>
            </w:r>
            <w:r>
              <w:rPr>
                <w:rFonts w:hint="eastAsia" w:ascii="宋体" w:hAnsi="宋体" w:cs="宋体"/>
                <w:bCs/>
                <w:color w:val="000000" w:themeColor="text1"/>
                <w:sz w:val="24"/>
                <w:szCs w:val="24"/>
                <w:highlight w:val="none"/>
              </w:rPr>
              <w:t xml:space="preserve">方案，内容包含：</w:t>
            </w:r>
            <w:r>
              <w:rPr>
                <w:rFonts w:hint="eastAsia" w:ascii="宋体" w:hAnsi="宋体" w:cs="宋体"/>
                <w:bCs/>
                <w:color w:val="000000" w:themeColor="text1"/>
                <w:sz w:val="24"/>
                <w:highlight w:val="none"/>
              </w:rPr>
              <w:t xml:space="preserve">1.供货进度保证措施；2.安装调试及试运行测试方案；3.供货运输保障措施；4.质量保障体系及措施；5.总时间进度计划、关键时间点及竣工时间响应措施；6.应急措施及故障应急补救措施。</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以上每项内容须根据下述量化评审因素指标要求进行打分。</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方案内容细致完善、科学合理、执行力强，且专门针对本项目，契合采购需求视为符合；</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方案内容属于通用类，部分契合采购需求视为部分符合；</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方案内容非专门针对本项目，脱离采购需求视为不符合。</w:t>
            </w:r>
            <w:r>
              <w:rPr>
                <w:rFonts w:hint="eastAsia" w:ascii="宋体" w:hAnsi="宋体" w:cs="宋体"/>
                <w:bCs/>
                <w:color w:val="000000" w:themeColor="text1"/>
                <w:sz w:val="24"/>
                <w:highlight w:val="none"/>
              </w:rPr>
            </w:r>
            <w:r>
              <w:rPr>
                <w:color w:val="000000" w:themeColor="text1"/>
                <w:highlight w:val="none"/>
              </w:rPr>
            </w:r>
          </w:p>
          <w:p>
            <w:pPr>
              <w:pStyle w:val="982"/>
              <w:spacing w:line="360" w:lineRule="auto"/>
              <w:widowControl/>
              <w:rPr>
                <w:rFonts w:hint="eastAsia" w:ascii="宋体" w:hAnsi="宋体" w:cs="宋体"/>
                <w:bCs/>
                <w:color w:val="000000" w:themeColor="text1"/>
                <w:position w:val="-10"/>
                <w:sz w:val="24"/>
                <w:szCs w:val="24"/>
                <w:highlight w:val="none"/>
              </w:rPr>
            </w:pPr>
            <w:r>
              <w:rPr>
                <w:rFonts w:hint="eastAsia" w:ascii="宋体" w:hAnsi="宋体" w:cs="宋体"/>
                <w:bCs/>
                <w:color w:val="000000" w:themeColor="text1"/>
                <w:sz w:val="24"/>
                <w:highlight w:val="none"/>
              </w:rPr>
              <w:t xml:space="preserve">上述每项内容符合得1分；部分符合得0.5分；不符合或不提供不得分。</w:t>
            </w:r>
            <w:r>
              <w:rPr>
                <w:rFonts w:hint="eastAsia" w:ascii="宋体" w:hAnsi="宋体" w:cs="宋体"/>
                <w:bCs/>
                <w:color w:val="000000" w:themeColor="text1"/>
                <w:position w:val="-10"/>
                <w:sz w:val="24"/>
                <w:szCs w:val="24"/>
                <w:highlight w:val="none"/>
              </w:rPr>
            </w:r>
            <w:r>
              <w:rPr>
                <w:color w:val="000000" w:themeColor="text1"/>
                <w:highlight w:val="none"/>
              </w:rPr>
            </w:r>
          </w:p>
        </w:tc>
      </w:tr>
      <w:tr>
        <w:trPr>
          <w:trHeight w:val="1241"/>
        </w:trPr>
        <w:tc>
          <w:tcPr>
            <w:tcW w:w="841" w:type="dxa"/>
            <w:vAlign w:val="center"/>
            <w:textDirection w:val="lrTb"/>
            <w:noWrap w:val="false"/>
          </w:tcPr>
          <w:p>
            <w:pPr>
              <w:pStyle w:val="982"/>
              <w:jc w:val="center"/>
              <w:rPr>
                <w:rFonts w:hint="eastAsia" w:ascii="宋体" w:hAnsi="宋体" w:cs="宋体"/>
                <w:bCs/>
                <w:color w:val="000000" w:themeColor="text1"/>
                <w:position w:val="-10"/>
                <w:sz w:val="24"/>
                <w:szCs w:val="24"/>
                <w:highlight w:val="none"/>
              </w:rPr>
            </w:pPr>
            <w:r>
              <w:rPr>
                <w:rFonts w:hint="eastAsia" w:ascii="宋体" w:hAnsi="宋体" w:cs="宋体"/>
                <w:color w:val="000000" w:themeColor="text1"/>
                <w:sz w:val="24"/>
                <w:szCs w:val="24"/>
                <w:highlight w:val="none"/>
              </w:rPr>
              <w:t xml:space="preserve">培训方案</w:t>
            </w:r>
            <w:r>
              <w:rPr>
                <w:rFonts w:hint="eastAsia" w:ascii="宋体" w:hAnsi="宋体" w:cs="宋体"/>
                <w:bCs/>
                <w:color w:val="000000" w:themeColor="text1"/>
                <w:position w:val="-10"/>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widowControl/>
              <w:rPr>
                <w:rFonts w:hint="eastAsia" w:ascii="宋体" w:hAnsi="宋体" w:cs="宋体"/>
                <w:bCs/>
                <w:color w:val="000000" w:themeColor="text1"/>
                <w:sz w:val="24"/>
                <w:highlight w:val="none"/>
              </w:rPr>
            </w:pPr>
            <w:r>
              <w:rPr>
                <w:color w:val="000000" w:themeColor="text1"/>
                <w:highlight w:val="none"/>
              </w:rPr>
            </w:r>
            <w:bookmarkEnd w:id="158"/>
            <w:r>
              <w:rPr>
                <w:rFonts w:hint="eastAsia" w:ascii="宋体" w:hAnsi="宋体" w:cs="宋体"/>
                <w:bCs/>
                <w:color w:val="000000" w:themeColor="text1"/>
                <w:sz w:val="24"/>
                <w:highlight w:val="none"/>
              </w:rPr>
              <w:t xml:space="preserve">根据本项目编制培训方案，内容包含：1.培训目标与原则；2.培训内容与课程体系；3.培训方式与实施策略以及培训时间与地点安排；4.培训人员资质与教材准备；5.培训考核与效果评估以及培训保障与售后服务。</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以上每项内容须根据下述量化评审因素指标要求进行打分。</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方案内容细致完善、科学合理、执行力强，且专门针对本项目，契合采购需求视为符合；</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方案内容属于通用类，部分契合采购需求视为部分符合；</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方案内容非专门针对本项目，脱离采购需求视为不符合。</w:t>
            </w:r>
            <w:r>
              <w:rPr>
                <w:rFonts w:hint="eastAsia" w:ascii="宋体" w:hAnsi="宋体" w:cs="宋体"/>
                <w:bCs/>
                <w:color w:val="000000" w:themeColor="text1"/>
                <w:sz w:val="24"/>
                <w:highlight w:val="none"/>
              </w:rPr>
            </w:r>
            <w:r>
              <w:rPr>
                <w:color w:val="000000" w:themeColor="text1"/>
                <w:highlight w:val="none"/>
              </w:rPr>
            </w:r>
          </w:p>
          <w:p>
            <w:pPr>
              <w:pStyle w:val="982"/>
              <w:spacing w:line="360" w:lineRule="auto"/>
              <w:widowControl/>
              <w:rPr>
                <w:rFonts w:hint="eastAsia" w:ascii="宋体" w:hAnsi="宋体" w:cs="宋体"/>
                <w:bCs/>
                <w:color w:val="000000" w:themeColor="text1"/>
                <w:position w:val="-10"/>
                <w:sz w:val="24"/>
                <w:szCs w:val="24"/>
                <w:highlight w:val="none"/>
              </w:rPr>
            </w:pPr>
            <w:r>
              <w:rPr>
                <w:rFonts w:hint="eastAsia" w:ascii="宋体" w:hAnsi="宋体" w:cs="宋体"/>
                <w:bCs/>
                <w:color w:val="000000" w:themeColor="text1"/>
                <w:sz w:val="24"/>
                <w:highlight w:val="none"/>
              </w:rPr>
              <w:t xml:space="preserve">上述每项内容符合得1分；部分符合得0.5分；不符合或不提供不得分。</w:t>
            </w:r>
            <w:r>
              <w:rPr>
                <w:rFonts w:hint="eastAsia" w:ascii="宋体" w:hAnsi="宋体" w:cs="宋体"/>
                <w:bCs/>
                <w:color w:val="000000" w:themeColor="text1"/>
                <w:position w:val="-10"/>
                <w:sz w:val="24"/>
                <w:szCs w:val="24"/>
                <w:highlight w:val="none"/>
              </w:rPr>
            </w:r>
            <w:r>
              <w:rPr>
                <w:color w:val="000000" w:themeColor="text1"/>
                <w:highlight w:val="none"/>
              </w:rPr>
            </w:r>
          </w:p>
        </w:tc>
      </w:tr>
      <w:tr>
        <w:trPr>
          <w:trHeight w:val="2471"/>
        </w:trPr>
        <w:tc>
          <w:tcPr>
            <w:tcW w:w="841" w:type="dxa"/>
            <w:vAlign w:val="center"/>
            <w:textDirection w:val="lrTb"/>
            <w:noWrap w:val="false"/>
          </w:tcPr>
          <w:p>
            <w:pPr>
              <w:pStyle w:val="982"/>
              <w:jc w:val="center"/>
              <w:rPr>
                <w:rFonts w:hint="eastAsia" w:ascii="宋体" w:hAnsi="宋体" w:cs="宋体"/>
                <w:bCs/>
                <w:color w:val="000000" w:themeColor="text1"/>
                <w:position w:val="-10"/>
                <w:sz w:val="24"/>
                <w:szCs w:val="24"/>
                <w:highlight w:val="none"/>
              </w:rPr>
            </w:pPr>
            <w:r>
              <w:rPr>
                <w:rFonts w:hint="eastAsia" w:ascii="宋体" w:hAnsi="宋体" w:cs="宋体"/>
                <w:color w:val="000000" w:themeColor="text1"/>
                <w:sz w:val="24"/>
                <w:szCs w:val="24"/>
                <w:highlight w:val="none"/>
                <w:lang w:eastAsia="en-US"/>
              </w:rPr>
              <w:t xml:space="preserve">售后服务方案</w:t>
            </w:r>
            <w:r>
              <w:rPr>
                <w:rFonts w:hint="eastAsia" w:ascii="宋体" w:hAnsi="宋体" w:cs="宋体"/>
                <w:bCs/>
                <w:color w:val="000000" w:themeColor="text1"/>
                <w:position w:val="-10"/>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szCs w:val="24"/>
                <w:highlight w:val="none"/>
              </w:rPr>
              <w:t xml:space="preserve">根据本项目编制</w:t>
            </w:r>
            <w:r>
              <w:rPr>
                <w:rFonts w:hint="eastAsia" w:ascii="宋体" w:hAnsi="宋体" w:cs="宋体"/>
                <w:bCs/>
                <w:color w:val="000000" w:themeColor="text1"/>
                <w:sz w:val="24"/>
                <w:highlight w:val="none"/>
              </w:rPr>
              <w:t xml:space="preserve">售后服务</w:t>
            </w:r>
            <w:r>
              <w:rPr>
                <w:rFonts w:hint="eastAsia" w:ascii="宋体" w:hAnsi="宋体" w:cs="宋体"/>
                <w:bCs/>
                <w:color w:val="000000" w:themeColor="text1"/>
                <w:sz w:val="24"/>
                <w:szCs w:val="24"/>
                <w:highlight w:val="none"/>
              </w:rPr>
              <w:t xml:space="preserve">方案，内容包含：</w:t>
            </w:r>
            <w:r>
              <w:rPr>
                <w:rFonts w:hint="eastAsia" w:ascii="宋体" w:hAnsi="宋体" w:cs="宋体"/>
                <w:bCs/>
                <w:color w:val="000000" w:themeColor="text1"/>
                <w:sz w:val="24"/>
                <w:highlight w:val="none"/>
              </w:rPr>
              <w:t xml:space="preserve">1.服务宗旨与承诺；2.服务体系与组织架构；3.服务范围与服务内容；4.质保服务方案；5.快速响应与技术支持；6.零配件储备及供应保障体系；7.服务监督与投诉处理。以上每项内容逐项评分：</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以上每项内容须根据下述量化评审因素指标要求进行打分。</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方案内容细致完善、科学合理、执行力强，且专门针对本项目，契合采购需求视为符合；</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方案内容属于通用类，部分契合采购需求视为部分符合；</w:t>
            </w:r>
            <w:r>
              <w:rPr>
                <w:rFonts w:hint="eastAsia" w:ascii="宋体" w:hAnsi="宋体" w:cs="宋体"/>
                <w:bCs/>
                <w:color w:val="000000" w:themeColor="text1"/>
                <w:sz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方案内容非专门针对本项目，脱离采购需求视为不符合。</w:t>
            </w:r>
            <w:r>
              <w:rPr>
                <w:rFonts w:hint="eastAsia" w:ascii="宋体" w:hAnsi="宋体" w:cs="宋体"/>
                <w:bCs/>
                <w:color w:val="000000" w:themeColor="text1"/>
                <w:sz w:val="24"/>
                <w:highlight w:val="none"/>
              </w:rPr>
            </w:r>
            <w:r>
              <w:rPr>
                <w:color w:val="000000" w:themeColor="text1"/>
                <w:highlight w:val="none"/>
              </w:rPr>
            </w:r>
          </w:p>
          <w:p>
            <w:pPr>
              <w:pStyle w:val="982"/>
              <w:spacing w:line="360" w:lineRule="auto"/>
              <w:widowControl/>
              <w:rPr>
                <w:rFonts w:hint="eastAsia" w:ascii="宋体" w:hAnsi="宋体" w:cs="宋体"/>
                <w:bCs/>
                <w:color w:val="000000" w:themeColor="text1"/>
                <w:position w:val="-10"/>
                <w:sz w:val="24"/>
                <w:szCs w:val="24"/>
                <w:highlight w:val="none"/>
              </w:rPr>
            </w:pPr>
            <w:r>
              <w:rPr>
                <w:rFonts w:hint="eastAsia" w:ascii="宋体" w:hAnsi="宋体" w:cs="宋体"/>
                <w:bCs/>
                <w:color w:val="000000" w:themeColor="text1"/>
                <w:sz w:val="24"/>
                <w:highlight w:val="none"/>
              </w:rPr>
              <w:t xml:space="preserve">上述每项内容符合得1分；部分符合得0.5分；不符合或不提供不得分。</w:t>
            </w:r>
            <w:r>
              <w:rPr>
                <w:rFonts w:hint="eastAsia" w:ascii="宋体" w:hAnsi="宋体" w:cs="宋体"/>
                <w:bCs/>
                <w:color w:val="000000" w:themeColor="text1"/>
                <w:position w:val="-10"/>
                <w:sz w:val="24"/>
                <w:szCs w:val="24"/>
                <w:highlight w:val="none"/>
              </w:rPr>
            </w:r>
            <w:r>
              <w:rPr>
                <w:color w:val="000000" w:themeColor="text1"/>
                <w:highlight w:val="none"/>
              </w:rPr>
            </w:r>
          </w:p>
        </w:tc>
      </w:tr>
      <w:tr>
        <w:trPr>
          <w:trHeight w:val="3217"/>
        </w:trPr>
        <w:tc>
          <w:tcPr>
            <w:tcW w:w="841" w:type="dxa"/>
            <w:vAlign w:val="center"/>
            <w:textDirection w:val="lrTb"/>
            <w:noWrap w:val="false"/>
          </w:tcPr>
          <w:p>
            <w:pPr>
              <w:pStyle w:val="982"/>
              <w:ind w:firstLine="24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样品1</w:t>
            </w:r>
            <w:r>
              <w:rPr>
                <w:rFonts w:hint="eastAsia" w:ascii="宋体" w:hAnsi="宋体" w:cs="宋体"/>
                <w:bCs/>
                <w:color w:val="000000" w:themeColor="text1"/>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评委根据投标人提供的样品的外观、材质要求及结构工艺等情况进行评分，（具体样品技术参数及规格要求详见第四章采购需求，不提供样品、样品不齐全不得分）：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1.手动病床1（6分）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外观工艺与喷涂质量（表面平整度、色泽均匀度、无毛刺划伤；焊缝平整美观）；②结构材质与配件配置；③功能操作性能（全部功能操作顺畅，各项限位、防护功能有效）；④安全防护设计（多重安全防护结构完整可靠，无安全隐患）；⑤床垫（回弹稳定不塌陷，支撑均匀，无异味）。针对以上评分点逐项评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（1）上述每有一项内容完全满足、完全符合的，对应项得1.2分；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（2）上述每有一项内容比较满足、比较符合的，对应项得0.8分；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（3）上述每有一项内容基本满足、基本符合的，对应项得0.4分。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（4）上述每有一项内容完全不满足、完全不符合，对应项得0分。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3217"/>
        </w:trPr>
        <w:tc>
          <w:tcPr>
            <w:tcW w:w="841" w:type="dxa"/>
            <w:vAlign w:val="center"/>
            <w:textDirection w:val="lrTb"/>
            <w:noWrap w:val="false"/>
          </w:tcPr>
          <w:p>
            <w:pPr>
              <w:pStyle w:val="982"/>
              <w:ind w:firstLine="24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样品2</w:t>
            </w:r>
            <w:r>
              <w:rPr>
                <w:rFonts w:hint="eastAsia" w:ascii="宋体" w:hAnsi="宋体" w:cs="宋体"/>
                <w:bCs/>
                <w:color w:val="000000" w:themeColor="text1"/>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2.床头柜（3分）</w:t>
            </w:r>
            <w:r>
              <w:rPr>
                <w:rFonts w:hint="eastAsia" w:ascii="宋体" w:hAnsi="宋体" w:cs="宋体"/>
                <w:b/>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①表面平整光洁，无划痕、鼓包、色差、毛刺、边角圆弧过渡。；②框架稳固、抽屉、柜门开合顺畅静音，无卡顿、松旷，闭合到位③</w:t>
            </w:r>
            <w:r>
              <w:rPr>
                <w:rFonts w:hint="eastAsia" w:ascii="宋体" w:hAnsi="宋体" w:cs="宋体"/>
                <w:color w:val="000000" w:themeColor="text1"/>
                <w:sz w:val="24"/>
                <w:szCs w:val="24"/>
                <w:highlight w:val="none"/>
              </w:rPr>
              <w:t xml:space="preserve">横隔板</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毛巾架</w:t>
            </w:r>
            <w:r>
              <w:rPr>
                <w:rFonts w:hint="eastAsia" w:ascii="宋体" w:hAnsi="宋体" w:cs="宋体"/>
                <w:bCs/>
                <w:color w:val="000000" w:themeColor="text1"/>
                <w:sz w:val="24"/>
                <w:szCs w:val="24"/>
                <w:highlight w:val="none"/>
              </w:rPr>
              <w:t xml:space="preserve">空间设计分配合理</w:t>
            </w:r>
            <w:r>
              <w:rPr>
                <w:rFonts w:hint="eastAsia" w:ascii="宋体" w:hAnsi="宋体" w:cs="宋体"/>
                <w:color w:val="000000" w:themeColor="text1"/>
                <w:sz w:val="24"/>
                <w:szCs w:val="24"/>
                <w:highlight w:val="none"/>
              </w:rPr>
              <w:t xml:space="preserve">等</w:t>
            </w:r>
            <w:r>
              <w:rPr>
                <w:rFonts w:hint="eastAsia" w:ascii="宋体" w:hAnsi="宋体" w:cs="宋体"/>
                <w:bCs/>
                <w:color w:val="000000" w:themeColor="text1"/>
                <w:sz w:val="24"/>
                <w:szCs w:val="24"/>
                <w:highlight w:val="none"/>
              </w:rPr>
              <w:t xml:space="preserve">针对以上评分点逐项评分。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（1）上述每有一项内容完全满足、完全符合的，对应项得1分；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（2）上述每有一项内容比较满足、比较符合的，对应项得0.6分；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（3）上述每有一项内容基本满足、基本符合的，对应项得0.2分。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（4）上述每有一项内容完全不满足、完全不符合，对应项得0分。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trHeight w:val="3217"/>
        </w:trPr>
        <w:tc>
          <w:tcPr>
            <w:tcW w:w="841" w:type="dxa"/>
            <w:vAlign w:val="center"/>
            <w:textDirection w:val="lrTb"/>
            <w:noWrap w:val="false"/>
          </w:tcPr>
          <w:p>
            <w:pPr>
              <w:pStyle w:val="982"/>
              <w:ind w:firstLine="24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样品3</w:t>
            </w:r>
            <w:r>
              <w:rPr>
                <w:rFonts w:hint="eastAsia" w:ascii="宋体" w:hAnsi="宋体" w:cs="宋体"/>
                <w:bCs/>
                <w:color w:val="000000" w:themeColor="text1"/>
                <w:sz w:val="24"/>
                <w:szCs w:val="24"/>
                <w:highlight w:val="none"/>
              </w:rPr>
            </w:r>
            <w:r>
              <w:rPr>
                <w:color w:val="000000" w:themeColor="text1"/>
                <w:highlight w:val="none"/>
              </w:rPr>
            </w:r>
          </w:p>
        </w:tc>
        <w:tc>
          <w:tcPr>
            <w:tcW w:w="517" w:type="dxa"/>
            <w:vAlign w:val="center"/>
            <w:textDirection w:val="lrTb"/>
            <w:noWrap w:val="false"/>
          </w:tcPr>
          <w:p>
            <w:pPr>
              <w:pStyle w:val="982"/>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6分</w:t>
            </w:r>
            <w:r>
              <w:rPr>
                <w:rFonts w:hint="eastAsia" w:ascii="宋体" w:hAnsi="宋体" w:cs="宋体"/>
                <w:bCs/>
                <w:color w:val="000000" w:themeColor="text1"/>
                <w:sz w:val="24"/>
                <w:szCs w:val="24"/>
                <w:highlight w:val="none"/>
              </w:rPr>
            </w:r>
            <w:r>
              <w:rPr>
                <w:color w:val="000000" w:themeColor="text1"/>
                <w:highlight w:val="none"/>
              </w:rPr>
            </w:r>
          </w:p>
        </w:tc>
        <w:tc>
          <w:tcPr>
            <w:tcW w:w="3640" w:type="dxa"/>
            <w:vAlign w:val="center"/>
            <w:textDirection w:val="lrTb"/>
            <w:noWrap w:val="false"/>
          </w:tcPr>
          <w:p>
            <w:pPr>
              <w:pStyle w:val="982"/>
              <w:jc w:val="left"/>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3.婴儿床（6分）</w:t>
            </w:r>
            <w:r>
              <w:rPr>
                <w:rFonts w:hint="eastAsia" w:ascii="宋体" w:hAnsi="宋体" w:cs="宋体"/>
                <w:b/>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外观工艺与喷涂质量（表面平整度、色泽均匀度、无毛刺划伤；焊缝平整美观）；②结构材质与配件配置；③床垫（回弹稳定不塌陷，支撑均匀，无异味）；④脚轮行止自如，气弹簧调节顺当；⑤功能设计合理。针对以上评分点逐项评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（1）上述每有一项内容完全满足、完全符合的，对应项得1.2分；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（2）上述每有一项内容比较满足、比较符合的，对应项得0.8分；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（3）上述每有一项内容基本满足、基本符合的，对应项得0.4分。</w:t>
            </w:r>
            <w:r>
              <w:rPr>
                <w:rFonts w:hint="eastAsia" w:ascii="宋体" w:hAnsi="宋体" w:cs="宋体"/>
                <w:bCs/>
                <w:color w:val="000000" w:themeColor="text1"/>
                <w:sz w:val="24"/>
                <w:szCs w:val="24"/>
                <w:highlight w:val="none"/>
              </w:rPr>
            </w:r>
            <w:r>
              <w:rPr>
                <w:color w:val="000000" w:themeColor="text1"/>
                <w:highlight w:val="none"/>
              </w:rPr>
            </w:r>
          </w:p>
          <w:p>
            <w:pPr>
              <w:pStyle w:val="982"/>
              <w:jc w:val="left"/>
              <w:spacing w:line="36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（4）上述每有一项内容完全不满足、完全不符合，对应项得0分。</w:t>
            </w:r>
            <w:r>
              <w:rPr>
                <w:rFonts w:hint="eastAsia" w:ascii="宋体" w:hAnsi="宋体" w:cs="宋体"/>
                <w:bCs/>
                <w:color w:val="000000" w:themeColor="text1"/>
                <w:sz w:val="24"/>
                <w:szCs w:val="24"/>
                <w:highlight w:val="none"/>
              </w:rPr>
            </w:r>
            <w:r>
              <w:rPr>
                <w:color w:val="000000" w:themeColor="text1"/>
                <w:highlight w:val="none"/>
              </w:rPr>
            </w:r>
          </w:p>
        </w:tc>
      </w:tr>
    </w:tbl>
    <w:p>
      <w:pPr>
        <w:pStyle w:val="982"/>
        <w:spacing w:after="12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pStyle w:val="982"/>
        <w:jc w:val="left"/>
        <w:widowControl/>
        <w:rPr>
          <w:rFonts w:ascii="宋体" w:hAnsi="宋体" w:cs="宋体"/>
          <w:color w:val="000000" w:themeColor="text1"/>
          <w:szCs w:val="21"/>
          <w:highlight w:val="none"/>
        </w:rPr>
      </w:pPr>
      <w:r>
        <w:rPr>
          <w:rFonts w:hint="eastAsia" w:ascii="宋体" w:hAnsi="宋体" w:cs="宋体"/>
          <w:color w:val="000000" w:themeColor="text1"/>
          <w:sz w:val="24"/>
          <w:szCs w:val="24"/>
          <w:highlight w:val="none"/>
        </w:rPr>
        <w:br w:type="page" w:clear="all"/>
      </w:r>
      <w:r>
        <w:rPr>
          <w:rFonts w:ascii="宋体" w:hAnsi="宋体" w:cs="宋体"/>
          <w:color w:val="000000" w:themeColor="text1"/>
          <w:szCs w:val="21"/>
          <w:highlight w:val="none"/>
        </w:rPr>
      </w:r>
      <w:r>
        <w:rPr>
          <w:color w:val="000000" w:themeColor="text1"/>
          <w:highlight w:val="none"/>
        </w:rPr>
      </w:r>
    </w:p>
    <w:p>
      <w:pPr>
        <w:pStyle w:val="982"/>
        <w:jc w:val="center"/>
        <w:widowControl/>
        <w:rPr>
          <w:rFonts w:ascii="宋体" w:hAnsi="宋体" w:cs="宋体"/>
          <w:b/>
          <w:color w:val="000000" w:themeColor="text1"/>
          <w:sz w:val="32"/>
          <w:szCs w:val="32"/>
          <w:highlight w:val="none"/>
        </w:rPr>
        <w:outlineLvl w:val="0"/>
      </w:pPr>
      <w:r>
        <w:rPr>
          <w:color w:val="000000" w:themeColor="text1"/>
          <w:highlight w:val="none"/>
        </w:rPr>
      </w:r>
      <w:bookmarkStart w:id="159" w:name="_Toc31068"/>
      <w:r>
        <w:rPr>
          <w:rFonts w:hint="eastAsia" w:ascii="宋体" w:hAnsi="宋体" w:cs="宋体"/>
          <w:b/>
          <w:color w:val="000000" w:themeColor="text1"/>
          <w:sz w:val="32"/>
          <w:szCs w:val="32"/>
          <w:highlight w:val="none"/>
        </w:rPr>
        <w:t xml:space="preserve">第六章  投标文件格式</w:t>
      </w:r>
      <w:bookmarkEnd w:id="159"/>
      <w:r>
        <w:rPr>
          <w:rFonts w:ascii="宋体" w:hAnsi="宋体" w:cs="宋体"/>
          <w:b/>
          <w:color w:val="000000" w:themeColor="text1"/>
          <w:sz w:val="32"/>
          <w:szCs w:val="32"/>
          <w:highlight w:val="none"/>
        </w:rPr>
      </w:r>
      <w:r>
        <w:rPr>
          <w:color w:val="000000" w:themeColor="text1"/>
          <w:highlight w:val="none"/>
        </w:rPr>
      </w:r>
    </w:p>
    <w:p>
      <w:pPr>
        <w:pStyle w:val="98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82"/>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p>
    <w:p>
      <w:pPr>
        <w:pStyle w:val="982"/>
        <w:jc w:val="center"/>
        <w:rPr>
          <w:rFonts w:ascii="宋体" w:hAnsi="宋体" w:cs="宋体"/>
          <w:b/>
          <w:color w:val="000000" w:themeColor="text1"/>
          <w:sz w:val="72"/>
          <w:szCs w:val="21"/>
          <w:highlight w:val="none"/>
        </w:rPr>
        <w:outlineLvl w:val="1"/>
      </w:pPr>
      <w:r>
        <w:rPr>
          <w:color w:val="000000" w:themeColor="text1"/>
          <w:highlight w:val="none"/>
        </w:rPr>
      </w:r>
      <w:bookmarkStart w:id="160" w:name="_Toc23536"/>
      <w:r>
        <w:rPr>
          <w:rFonts w:hint="eastAsia" w:ascii="宋体" w:hAnsi="宋体" w:cs="宋体"/>
          <w:b/>
          <w:color w:val="000000" w:themeColor="text1"/>
          <w:sz w:val="96"/>
          <w:szCs w:val="84"/>
          <w:highlight w:val="none"/>
        </w:rPr>
        <w:t xml:space="preserve">投  标  文  件</w:t>
      </w:r>
      <w:bookmarkEnd w:id="160"/>
      <w:r>
        <w:rPr>
          <w:rFonts w:ascii="宋体" w:hAnsi="宋体" w:cs="宋体"/>
          <w:b/>
          <w:color w:val="000000" w:themeColor="text1"/>
          <w:sz w:val="72"/>
          <w:szCs w:val="21"/>
          <w:highlight w:val="none"/>
        </w:rPr>
      </w:r>
      <w:r>
        <w:rPr>
          <w:color w:val="000000" w:themeColor="text1"/>
          <w:highlight w:val="none"/>
        </w:rPr>
      </w:r>
    </w:p>
    <w:p>
      <w:pPr>
        <w:pStyle w:val="982"/>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p>
    <w:p>
      <w:pPr>
        <w:pStyle w:val="982"/>
        <w:jc w:val="center"/>
        <w:rPr>
          <w:rFonts w:ascii="宋体" w:hAnsi="宋体" w:cs="宋体"/>
          <w:b/>
          <w:color w:val="000000" w:themeColor="text1"/>
          <w:sz w:val="72"/>
          <w:szCs w:val="21"/>
          <w:highlight w:val="none"/>
        </w:rPr>
      </w:pPr>
      <w:r>
        <w:rPr>
          <w:rFonts w:ascii="宋体" w:hAnsi="宋体" w:cs="宋体"/>
          <w:b/>
          <w:color w:val="000000" w:themeColor="text1"/>
          <w:sz w:val="72"/>
          <w:szCs w:val="21"/>
          <w:highlight w:val="none"/>
        </w:rPr>
      </w:r>
      <w:r>
        <w:rPr>
          <w:color w:val="000000" w:themeColor="text1"/>
          <w:highlight w:val="none"/>
        </w:rPr>
      </w:r>
    </w:p>
    <w:tbl>
      <w:tblPr>
        <w:tblW w:w="0" w:type="auto"/>
        <w:tblInd w:w="-79"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8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项目名称：</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82"/>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南京市儿童医院河西院区二期项目医疗家具采购项目</w:t>
            </w:r>
            <w:r>
              <w:rPr>
                <w:rFonts w:ascii="宋体" w:hAnsi="宋体" w:cs="宋体"/>
                <w:b/>
                <w:color w:val="000000" w:themeColor="text1"/>
                <w:sz w:val="32"/>
                <w:szCs w:val="32"/>
                <w:highlight w:val="none"/>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8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项目编号：</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82"/>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2"/>
                <w:szCs w:val="32"/>
                <w:highlight w:val="none"/>
                <w:lang w:eastAsia="zh-CN"/>
              </w:rPr>
              <w:t xml:space="preserve">JSZC-320100-SOHO-G2026-0080</w:t>
            </w:r>
            <w:r>
              <w:rPr>
                <w:rFonts w:hint="eastAsia" w:ascii="宋体" w:hAnsi="宋体" w:eastAsia="宋体" w:cs="宋体"/>
                <w:b/>
                <w:color w:val="000000" w:themeColor="text1"/>
                <w:sz w:val="32"/>
                <w:szCs w:val="32"/>
                <w:highlight w:val="none"/>
                <w:lang w:eastAsia="zh-CN"/>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8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设备名称：</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82"/>
              <w:rPr>
                <w:rFonts w:hint="eastAsia"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河西院区二期项目医疗家具</w:t>
            </w:r>
            <w:r>
              <w:rPr>
                <w:rFonts w:hint="eastAsia" w:ascii="宋体" w:hAnsi="宋体" w:cs="宋体"/>
                <w:b/>
                <w:color w:val="000000" w:themeColor="text1"/>
                <w:sz w:val="32"/>
                <w:szCs w:val="32"/>
                <w:highlight w:val="none"/>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82"/>
              <w:jc w:val="right"/>
              <w:rPr>
                <w:rFonts w:ascii="宋体" w:hAnsi="宋体" w:cs="宋体"/>
                <w:b/>
                <w:color w:val="000000" w:themeColor="text1"/>
                <w:sz w:val="32"/>
                <w:szCs w:val="32"/>
                <w:highlight w:val="none"/>
              </w:rPr>
            </w:pPr>
            <w:r>
              <w:rPr>
                <w:rFonts w:hint="eastAsia" w:ascii="宋体" w:hAnsi="宋体" w:cs="宋体"/>
                <w:b/>
                <w:color w:val="000000" w:themeColor="text1"/>
                <w:sz w:val="36"/>
                <w:szCs w:val="21"/>
                <w:highlight w:val="none"/>
              </w:rPr>
              <w:t xml:space="preserve">投标人名称：</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82"/>
              <w:rPr>
                <w:rFonts w:ascii="宋体" w:hAnsi="宋体" w:cs="宋体"/>
                <w:b/>
                <w:color w:val="000000" w:themeColor="text1"/>
                <w:sz w:val="32"/>
                <w:szCs w:val="32"/>
                <w:highlight w:val="none"/>
              </w:rPr>
            </w:pPr>
            <w:r>
              <w:rPr>
                <w:rFonts w:hint="eastAsia" w:ascii="宋体" w:hAnsi="宋体" w:cs="宋体"/>
                <w:b/>
                <w:color w:val="000000" w:themeColor="text1"/>
                <w:sz w:val="36"/>
                <w:szCs w:val="21"/>
                <w:highlight w:val="none"/>
              </w:rPr>
              <w:t xml:space="preserve">（XXXXXXXXX加盖CA电子公章）</w:t>
            </w:r>
            <w:r>
              <w:rPr>
                <w:rFonts w:ascii="宋体" w:hAnsi="宋体" w:cs="宋体"/>
                <w:b/>
                <w:color w:val="000000" w:themeColor="text1"/>
                <w:sz w:val="32"/>
                <w:szCs w:val="32"/>
                <w:highlight w:val="none"/>
              </w:rPr>
            </w:r>
            <w:r>
              <w:rPr>
                <w:color w:val="000000" w:themeColor="text1"/>
                <w:highlight w:val="none"/>
              </w:rPr>
            </w:r>
          </w:p>
        </w:tc>
      </w:tr>
      <w:tr>
        <w:trPr>
          <w:trHeight w:val="23"/>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982"/>
              <w:jc w:val="right"/>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日期</w:t>
            </w:r>
            <w:r>
              <w:rPr>
                <w:rFonts w:hint="eastAsia" w:ascii="宋体" w:hAnsi="宋体" w:cs="宋体"/>
                <w:b/>
                <w:color w:val="000000" w:themeColor="text1"/>
                <w:sz w:val="36"/>
                <w:szCs w:val="21"/>
                <w:highlight w:val="none"/>
              </w:rPr>
              <w:t xml:space="preserve">：</w:t>
            </w:r>
            <w:r>
              <w:rPr>
                <w:rFonts w:ascii="宋体" w:hAnsi="宋体" w:cs="宋体"/>
                <w:b/>
                <w:color w:val="000000" w:themeColor="text1"/>
                <w:sz w:val="32"/>
                <w:szCs w:val="32"/>
                <w:highlight w:val="none"/>
              </w:rPr>
            </w:r>
            <w:r>
              <w:rPr>
                <w:color w:val="000000" w:themeColor="text1"/>
                <w:highlight w:val="none"/>
              </w:rP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982"/>
              <w:rPr>
                <w:rFonts w:ascii="宋体" w:hAnsi="宋体" w:cs="宋体"/>
                <w:b/>
                <w:color w:val="000000" w:themeColor="text1"/>
                <w:sz w:val="32"/>
                <w:szCs w:val="32"/>
                <w:highlight w:val="none"/>
              </w:rPr>
            </w:pPr>
            <w:r>
              <w:rPr>
                <w:rFonts w:hint="eastAsia" w:ascii="宋体" w:hAnsi="宋体" w:cs="宋体"/>
                <w:b/>
                <w:color w:val="000000" w:themeColor="text1"/>
                <w:sz w:val="32"/>
                <w:szCs w:val="32"/>
                <w:highlight w:val="none"/>
              </w:rPr>
              <w:t xml:space="preserve">XX年XX月XX日</w:t>
            </w:r>
            <w:r>
              <w:rPr>
                <w:rFonts w:ascii="宋体" w:hAnsi="宋体" w:cs="宋体"/>
                <w:b/>
                <w:color w:val="000000" w:themeColor="text1"/>
                <w:sz w:val="32"/>
                <w:szCs w:val="32"/>
                <w:highlight w:val="none"/>
              </w:rPr>
            </w:r>
            <w:r>
              <w:rPr>
                <w:color w:val="000000" w:themeColor="text1"/>
                <w:highlight w:val="none"/>
              </w:rPr>
            </w:r>
          </w:p>
        </w:tc>
      </w:tr>
    </w:tbl>
    <w:p>
      <w:pPr>
        <w:pStyle w:val="982"/>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p>
    <w:p>
      <w:pPr>
        <w:pStyle w:val="982"/>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p>
    <w:p>
      <w:pPr>
        <w:pStyle w:val="982"/>
        <w:jc w:val="center"/>
        <w:rPr>
          <w:rFonts w:ascii="宋体" w:hAnsi="宋体" w:cs="宋体"/>
          <w:b/>
          <w:color w:val="000000" w:themeColor="text1"/>
          <w:sz w:val="36"/>
          <w:szCs w:val="21"/>
          <w:highlight w:val="none"/>
        </w:rPr>
      </w:pPr>
      <w:r>
        <w:rPr>
          <w:rFonts w:ascii="宋体" w:hAnsi="宋体" w:cs="宋体"/>
          <w:b/>
          <w:color w:val="000000" w:themeColor="text1"/>
          <w:sz w:val="36"/>
          <w:szCs w:val="21"/>
          <w:highlight w:val="none"/>
        </w:rPr>
      </w:r>
      <w:r>
        <w:rPr>
          <w:color w:val="000000" w:themeColor="text1"/>
          <w:highlight w:val="none"/>
        </w:rPr>
      </w:r>
    </w:p>
    <w:p>
      <w:pPr>
        <w:pStyle w:val="98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82"/>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p>
    <w:p>
      <w:pPr>
        <w:pStyle w:val="982"/>
        <w:jc w:val="lef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br w:type="page" w:clear="all"/>
      </w:r>
      <w:r>
        <w:rPr>
          <w:rFonts w:ascii="宋体" w:hAnsi="宋体" w:cs="宋体"/>
          <w:color w:val="000000" w:themeColor="text1"/>
          <w:szCs w:val="21"/>
          <w:highlight w:val="none"/>
        </w:rPr>
      </w:r>
      <w:r>
        <w:rPr>
          <w:color w:val="000000" w:themeColor="text1"/>
          <w:highlight w:val="none"/>
        </w:rPr>
      </w:r>
    </w:p>
    <w:p>
      <w:pPr>
        <w:pStyle w:val="982"/>
        <w:jc w:val="center"/>
        <w:spacing w:line="440" w:lineRule="exact"/>
        <w:rPr>
          <w:rFonts w:ascii="宋体" w:hAnsi="宋体"/>
          <w:b/>
          <w:bCs/>
          <w:color w:val="000000" w:themeColor="text1"/>
          <w:sz w:val="32"/>
          <w:szCs w:val="32"/>
          <w:highlight w:val="none"/>
        </w:rPr>
        <w:outlineLvl w:val="1"/>
      </w:pPr>
      <w:r>
        <w:rPr>
          <w:color w:val="000000" w:themeColor="text1"/>
          <w:highlight w:val="none"/>
        </w:rPr>
      </w:r>
      <w:bookmarkStart w:id="161" w:name="_Toc2408"/>
      <w:r>
        <w:rPr>
          <w:rFonts w:hint="eastAsia" w:ascii="宋体" w:hAnsi="宋体"/>
          <w:b/>
          <w:bCs/>
          <w:color w:val="000000" w:themeColor="text1"/>
          <w:sz w:val="32"/>
          <w:szCs w:val="32"/>
          <w:highlight w:val="none"/>
        </w:rPr>
        <w:t xml:space="preserve">投标文件目录</w:t>
      </w:r>
      <w:bookmarkEnd w:id="161"/>
      <w:r>
        <w:rPr>
          <w:rFonts w:ascii="宋体" w:hAnsi="宋体"/>
          <w:b/>
          <w:bCs/>
          <w:color w:val="000000" w:themeColor="text1"/>
          <w:sz w:val="32"/>
          <w:szCs w:val="32"/>
          <w:highlight w:val="none"/>
        </w:rPr>
      </w:r>
      <w:r>
        <w:rPr>
          <w:color w:val="000000" w:themeColor="text1"/>
          <w:highlight w:val="none"/>
        </w:rPr>
      </w:r>
    </w:p>
    <w:p>
      <w:pPr>
        <w:pStyle w:val="982"/>
        <w:ind w:firstLine="321"/>
        <w:jc w:val="center"/>
        <w:spacing w:line="360" w:lineRule="auto"/>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一、法人或者其他组织的营业执照等证明文件，自然人的身份证明</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二、上一年度的财务状况报告</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三、依法缴纳税收和社会保障资金的相关材料</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四、具备履行合同所必需的设备和专业技术能力的书面声明</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五、参加政府采购活动前 3 年内在经营活动中没有重大违法记录的书面声明</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六、特定资格要求的证明文件</w:t>
      </w:r>
      <w:r>
        <w:rPr>
          <w:rFonts w:hint="eastAsia"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七、法人授权书</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八、投标函</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九、中小微企业声明函</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十、残疾人福利性单位声明函</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十一、技术、商务条款偏离表</w:t>
      </w:r>
      <w:r>
        <w:rPr>
          <w:rFonts w:hint="eastAsia"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十二、开标一览表</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十三、分项报价表</w:t>
      </w:r>
      <w:r>
        <w:rPr>
          <w:rFonts w:hint="eastAsia"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十四、服务方案</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十五、投标人认为需要提供的其它资料</w:t>
      </w:r>
      <w:r>
        <w:rPr>
          <w:rFonts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十六、样品清单</w:t>
      </w:r>
      <w:r>
        <w:rPr>
          <w:rFonts w:hint="eastAsia"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hint="eastAsia" w:ascii="宋体" w:hAnsi="宋体"/>
          <w:iCs/>
          <w:color w:val="000000" w:themeColor="text1"/>
          <w:sz w:val="24"/>
          <w:szCs w:val="21"/>
          <w:highlight w:val="none"/>
        </w:rPr>
      </w:pPr>
      <w:r>
        <w:rPr>
          <w:rFonts w:hint="eastAsia" w:ascii="宋体" w:hAnsi="宋体"/>
          <w:iCs/>
          <w:color w:val="000000" w:themeColor="text1"/>
          <w:sz w:val="24"/>
          <w:szCs w:val="21"/>
          <w:highlight w:val="none"/>
        </w:rPr>
        <w:t xml:space="preserve">十七、南京市政府采购供应商信用承诺书</w:t>
      </w:r>
      <w:r>
        <w:rPr>
          <w:rFonts w:hint="eastAsia" w:ascii="宋体" w:hAnsi="宋体"/>
          <w:iCs/>
          <w:color w:val="000000" w:themeColor="text1"/>
          <w:sz w:val="24"/>
          <w:szCs w:val="21"/>
          <w:highlight w:val="none"/>
        </w:rPr>
      </w:r>
      <w:r>
        <w:rPr>
          <w:color w:val="000000" w:themeColor="text1"/>
          <w:highlight w:val="none"/>
        </w:rPr>
      </w:r>
    </w:p>
    <w:p>
      <w:pPr>
        <w:pStyle w:val="982"/>
        <w:ind w:firstLine="240"/>
        <w:spacing w:line="360" w:lineRule="auto"/>
        <w:rPr>
          <w:rFonts w:ascii="宋体" w:hAnsi="宋体"/>
          <w:i/>
          <w:color w:val="000000" w:themeColor="text1"/>
          <w:sz w:val="24"/>
          <w:szCs w:val="21"/>
          <w:highlight w:val="none"/>
          <w:u w:val="single"/>
        </w:rPr>
      </w:pPr>
      <w:r>
        <w:rPr>
          <w:rFonts w:ascii="宋体" w:hAnsi="宋体"/>
          <w:i/>
          <w:color w:val="000000" w:themeColor="text1"/>
          <w:sz w:val="24"/>
          <w:szCs w:val="21"/>
          <w:highlight w:val="none"/>
          <w:u w:val="single"/>
        </w:rPr>
      </w:r>
      <w:r>
        <w:rPr>
          <w:color w:val="000000" w:themeColor="text1"/>
          <w:highlight w:val="none"/>
        </w:rPr>
      </w:r>
    </w:p>
    <w:p>
      <w:pPr>
        <w:pStyle w:val="982"/>
        <w:jc w:val="center"/>
        <w:rPr>
          <w:rFonts w:ascii="宋体" w:hAnsi="宋体" w:cs="宋体"/>
          <w:b/>
          <w:color w:val="000000" w:themeColor="text1"/>
          <w:sz w:val="44"/>
          <w:szCs w:val="44"/>
          <w:highlight w:val="none"/>
        </w:rPr>
      </w:pPr>
      <w:r>
        <w:rPr>
          <w:rFonts w:ascii="宋体" w:hAnsi="宋体" w:cs="宋体"/>
          <w:b/>
          <w:color w:val="000000" w:themeColor="text1"/>
          <w:sz w:val="44"/>
          <w:szCs w:val="44"/>
          <w:highlight w:val="none"/>
        </w:rPr>
      </w:r>
      <w:r>
        <w:rPr>
          <w:color w:val="000000" w:themeColor="text1"/>
          <w:highlight w:val="none"/>
        </w:rPr>
      </w:r>
    </w:p>
    <w:p>
      <w:pPr>
        <w:pStyle w:val="982"/>
        <w:jc w:val="center"/>
        <w:rPr>
          <w:rFonts w:ascii="宋体" w:hAnsi="宋体" w:cs="宋体"/>
          <w:bCs/>
          <w:color w:val="000000" w:themeColor="text1"/>
          <w:szCs w:val="21"/>
          <w:highlight w:val="none"/>
        </w:rPr>
      </w:pPr>
      <w:r>
        <w:rPr>
          <w:rFonts w:hint="eastAsia" w:ascii="宋体" w:hAnsi="宋体" w:cs="宋体"/>
          <w:b/>
          <w:color w:val="000000" w:themeColor="text1"/>
          <w:sz w:val="44"/>
          <w:szCs w:val="44"/>
          <w:highlight w:val="none"/>
        </w:rPr>
        <w:br w:type="page" w:clear="all"/>
      </w:r>
      <w:r>
        <w:rPr>
          <w:rFonts w:ascii="宋体" w:hAnsi="宋体" w:cs="宋体"/>
          <w:bCs/>
          <w:color w:val="000000" w:themeColor="text1"/>
          <w:szCs w:val="21"/>
          <w:highlight w:val="none"/>
        </w:rPr>
      </w:r>
      <w:r>
        <w:rPr>
          <w:color w:val="000000" w:themeColor="text1"/>
          <w:highlight w:val="none"/>
        </w:rPr>
      </w:r>
    </w:p>
    <w:p>
      <w:pPr>
        <w:pStyle w:val="98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62" w:name="_Toc4762"/>
      <w:r>
        <w:rPr>
          <w:rFonts w:hint="eastAsia" w:ascii="宋体" w:hAnsi="宋体" w:cs="宋体"/>
          <w:iCs/>
          <w:color w:val="000000" w:themeColor="text1"/>
          <w:sz w:val="28"/>
          <w:szCs w:val="28"/>
          <w:highlight w:val="none"/>
        </w:rPr>
        <w:t xml:space="preserve">一、法人或者其他组织的营业执照等证明文件，自然人的身份证明</w:t>
      </w:r>
      <w:bookmarkEnd w:id="162"/>
      <w:r>
        <w:rPr>
          <w:rFonts w:ascii="宋体" w:hAnsi="宋体" w:cs="宋体"/>
          <w:iCs/>
          <w:color w:val="000000" w:themeColor="text1"/>
          <w:sz w:val="28"/>
          <w:szCs w:val="28"/>
          <w:highlight w:val="none"/>
        </w:rPr>
      </w:r>
      <w:r>
        <w:rPr>
          <w:color w:val="000000" w:themeColor="text1"/>
          <w:highlight w:val="none"/>
        </w:rPr>
      </w:r>
    </w:p>
    <w:p>
      <w:pPr>
        <w:pStyle w:val="982"/>
        <w:spacing w:line="360" w:lineRule="auto"/>
        <w:rPr>
          <w:rFonts w:ascii="宋体" w:hAnsi="宋体" w:cs="宋体"/>
          <w:color w:val="000000" w:themeColor="text1"/>
          <w:sz w:val="24"/>
          <w:szCs w:val="21"/>
          <w:highlight w:val="none"/>
        </w:rPr>
      </w:pPr>
      <w:r>
        <w:rPr>
          <w:rFonts w:ascii="宋体" w:hAnsi="宋体" w:cs="宋体"/>
          <w:color w:val="000000" w:themeColor="text1"/>
          <w:sz w:val="24"/>
          <w:szCs w:val="21"/>
          <w:highlight w:val="none"/>
        </w:rPr>
      </w:r>
      <w:r>
        <w:rPr>
          <w:color w:val="000000" w:themeColor="text1"/>
          <w:highlight w:val="none"/>
        </w:rPr>
      </w:r>
    </w:p>
    <w:p>
      <w:pPr>
        <w:pStyle w:val="98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63" w:name="_Toc20138"/>
      <w:r>
        <w:rPr>
          <w:rFonts w:hint="eastAsia" w:ascii="宋体" w:hAnsi="宋体" w:cs="宋体"/>
          <w:iCs/>
          <w:color w:val="000000" w:themeColor="text1"/>
          <w:sz w:val="28"/>
          <w:szCs w:val="28"/>
          <w:highlight w:val="none"/>
        </w:rPr>
        <w:t xml:space="preserve">二、</w:t>
      </w:r>
      <w:bookmarkEnd w:id="163"/>
      <w:r>
        <w:rPr>
          <w:rFonts w:hint="eastAsia" w:ascii="宋体" w:hAnsi="宋体" w:cs="宋体"/>
          <w:iCs/>
          <w:color w:val="000000" w:themeColor="text1"/>
          <w:sz w:val="28"/>
          <w:szCs w:val="28"/>
          <w:highlight w:val="none"/>
        </w:rPr>
        <w:t xml:space="preserve">具有良好的商业信誉和健全的财务会计制度</w:t>
      </w:r>
      <w:r>
        <w:rPr>
          <w:rFonts w:ascii="宋体" w:hAnsi="宋体" w:cs="宋体"/>
          <w:iCs/>
          <w:color w:val="000000" w:themeColor="text1"/>
          <w:sz w:val="28"/>
          <w:szCs w:val="28"/>
          <w:highlight w:val="none"/>
        </w:rPr>
      </w:r>
      <w:r>
        <w:rPr>
          <w:color w:val="000000" w:themeColor="text1"/>
          <w:highlight w:val="none"/>
        </w:rPr>
      </w:r>
    </w:p>
    <w:p>
      <w:pPr>
        <w:pStyle w:val="982"/>
        <w:ind w:firstLine="480"/>
        <w:spacing w:line="241"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64" w:name="_Toc11827"/>
      <w:r>
        <w:rPr>
          <w:rFonts w:ascii="宋体" w:hAnsi="宋体" w:cs="宋体"/>
          <w:color w:val="000000" w:themeColor="text1"/>
          <w:sz w:val="24"/>
          <w:highlight w:val="none"/>
        </w:rPr>
        <w:t xml:space="preserve">提供202</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rPr>
          <w:color w:val="000000" w:themeColor="text1"/>
          <w:highlight w:val="none"/>
        </w:rPr>
      </w:r>
    </w:p>
    <w:p>
      <w:pPr>
        <w:pStyle w:val="982"/>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三、依法缴纳税收和社会保障资金的相关材料</w:t>
      </w:r>
      <w:bookmarkEnd w:id="164"/>
      <w:r>
        <w:rPr>
          <w:rFonts w:ascii="宋体" w:hAnsi="宋体" w:cs="宋体"/>
          <w:iCs/>
          <w:color w:val="000000" w:themeColor="text1"/>
          <w:sz w:val="28"/>
          <w:szCs w:val="28"/>
          <w:highlight w:val="none"/>
        </w:rPr>
      </w:r>
      <w:r>
        <w:rPr>
          <w:color w:val="000000" w:themeColor="text1"/>
          <w:highlight w:val="none"/>
        </w:rPr>
      </w:r>
    </w:p>
    <w:p>
      <w:pPr>
        <w:pStyle w:val="982"/>
        <w:ind w:firstLine="480"/>
        <w:spacing w:line="360" w:lineRule="auto"/>
        <w:rPr>
          <w:rFonts w:ascii="宋体" w:hAnsi="宋体" w:cs="宋体"/>
          <w:i/>
          <w:color w:val="000000" w:themeColor="text1"/>
          <w:sz w:val="32"/>
          <w:szCs w:val="32"/>
          <w:highlight w:val="none"/>
          <w:u w:val="singl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i/>
          <w:color w:val="000000" w:themeColor="text1"/>
          <w:sz w:val="32"/>
          <w:szCs w:val="32"/>
          <w:highlight w:val="none"/>
          <w:u w:val="single"/>
        </w:rPr>
      </w:r>
      <w:r>
        <w:rPr>
          <w:color w:val="000000" w:themeColor="text1"/>
          <w:highlight w:val="none"/>
        </w:rPr>
      </w:r>
    </w:p>
    <w:p>
      <w:pPr>
        <w:pStyle w:val="98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65" w:name="_Toc17495"/>
      <w:r>
        <w:rPr>
          <w:rFonts w:hint="eastAsia" w:ascii="宋体" w:hAnsi="宋体" w:cs="宋体"/>
          <w:iCs/>
          <w:color w:val="000000" w:themeColor="text1"/>
          <w:sz w:val="28"/>
          <w:szCs w:val="28"/>
          <w:highlight w:val="none"/>
        </w:rPr>
        <w:t xml:space="preserve">四、具备履行合同所必需的设备和专业技术能力的书面声明</w:t>
      </w:r>
      <w:bookmarkEnd w:id="165"/>
      <w:r>
        <w:rPr>
          <w:rFonts w:ascii="宋体" w:hAnsi="宋体" w:cs="宋体"/>
          <w:iCs/>
          <w:color w:val="000000" w:themeColor="text1"/>
          <w:sz w:val="28"/>
          <w:szCs w:val="28"/>
          <w:highlight w:val="none"/>
        </w:rPr>
      </w:r>
      <w:r>
        <w:rPr>
          <w:color w:val="000000" w:themeColor="text1"/>
          <w:highlight w:val="none"/>
        </w:rPr>
      </w:r>
    </w:p>
    <w:p>
      <w:pPr>
        <w:pStyle w:val="982"/>
        <w:jc w:val="center"/>
        <w:spacing w:line="360" w:lineRule="auto"/>
        <w:rPr>
          <w:rFonts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t xml:space="preserve">声明</w:t>
      </w:r>
      <w:r>
        <w:rPr>
          <w:rFonts w:ascii="宋体" w:hAnsi="宋体" w:cs="宋体"/>
          <w:bCs/>
          <w:color w:val="000000" w:themeColor="text1"/>
          <w:sz w:val="32"/>
          <w:szCs w:val="32"/>
          <w:highlight w:val="none"/>
        </w:rPr>
      </w:r>
      <w:r>
        <w:rPr>
          <w:color w:val="000000" w:themeColor="text1"/>
          <w:highlight w:val="none"/>
        </w:rPr>
      </w:r>
    </w:p>
    <w:p>
      <w:pPr>
        <w:pStyle w:val="982"/>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致：南京市儿童医院</w:t>
      </w:r>
      <w:r>
        <w:rPr>
          <w:rFonts w:ascii="宋体" w:hAnsi="宋体" w:cs="宋体"/>
          <w:bCs/>
          <w:color w:val="000000" w:themeColor="text1"/>
          <w:sz w:val="24"/>
          <w:highlight w:val="none"/>
        </w:rPr>
      </w:r>
      <w:r>
        <w:rPr>
          <w:color w:val="000000" w:themeColor="text1"/>
          <w:highlight w:val="none"/>
        </w:rPr>
      </w:r>
    </w:p>
    <w:p>
      <w:pPr>
        <w:pStyle w:val="982"/>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themeColor="text1"/>
          <w:sz w:val="24"/>
          <w:szCs w:val="21"/>
          <w:highlight w:val="none"/>
        </w:rPr>
      </w:r>
      <w:r>
        <w:rPr>
          <w:color w:val="000000" w:themeColor="text1"/>
          <w:highlight w:val="none"/>
        </w:rPr>
      </w:r>
    </w:p>
    <w:p>
      <w:pPr>
        <w:pStyle w:val="982"/>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82"/>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rFonts w:ascii="宋体" w:hAnsi="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82"/>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8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66" w:name="_Toc21471"/>
      <w:r>
        <w:rPr>
          <w:rFonts w:hint="eastAsia" w:ascii="宋体" w:hAnsi="宋体" w:cs="宋体"/>
          <w:iCs/>
          <w:color w:val="000000" w:themeColor="text1"/>
          <w:sz w:val="28"/>
          <w:szCs w:val="28"/>
          <w:highlight w:val="none"/>
        </w:rPr>
        <w:t xml:space="preserve">五、参加政府采购活动前 3 年内在经营活动中没有重大违法记录声明</w:t>
      </w:r>
      <w:bookmarkEnd w:id="166"/>
      <w:r>
        <w:rPr>
          <w:rFonts w:ascii="宋体" w:hAnsi="宋体" w:cs="宋体"/>
          <w:iCs/>
          <w:color w:val="000000" w:themeColor="text1"/>
          <w:sz w:val="28"/>
          <w:szCs w:val="28"/>
          <w:highlight w:val="none"/>
        </w:rPr>
      </w:r>
      <w:r>
        <w:rPr>
          <w:color w:val="000000" w:themeColor="text1"/>
          <w:highlight w:val="none"/>
        </w:rPr>
      </w:r>
    </w:p>
    <w:p>
      <w:pPr>
        <w:pStyle w:val="982"/>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rFonts w:ascii="宋体" w:hAnsi="宋体" w:cs="宋体"/>
          <w:bCs/>
          <w:color w:val="000000" w:themeColor="text1"/>
          <w:sz w:val="24"/>
          <w:highlight w:val="none"/>
        </w:rPr>
      </w:r>
      <w:r>
        <w:rPr>
          <w:color w:val="000000" w:themeColor="text1"/>
          <w:highlight w:val="none"/>
        </w:rPr>
      </w:r>
    </w:p>
    <w:p>
      <w:pPr>
        <w:pStyle w:val="982"/>
        <w:ind w:firstLine="480"/>
        <w:jc w:val="left"/>
        <w:spacing w:line="360" w:lineRule="auto"/>
        <w:rPr>
          <w:rFonts w:ascii="宋体" w:hAnsi="宋体" w:cs="宋体"/>
          <w:b/>
          <w:bCs/>
          <w:color w:val="000000" w:themeColor="text1"/>
          <w:sz w:val="44"/>
          <w:szCs w:val="44"/>
          <w:highlight w:val="none"/>
        </w:rPr>
      </w:pPr>
      <w:r>
        <w:rPr>
          <w:rFonts w:hint="eastAsia" w:ascii="宋体" w:hAnsi="宋体" w:cs="宋体"/>
          <w:bCs/>
          <w:color w:val="000000" w:themeColor="text1"/>
          <w:sz w:val="24"/>
          <w:highlight w:val="none"/>
        </w:rPr>
        <w:t xml:space="preserve">致：南京市儿童医院</w:t>
      </w:r>
      <w:r>
        <w:rPr>
          <w:rFonts w:ascii="宋体" w:hAnsi="宋体" w:cs="宋体"/>
          <w:b/>
          <w:bCs/>
          <w:color w:val="000000" w:themeColor="text1"/>
          <w:sz w:val="44"/>
          <w:szCs w:val="44"/>
          <w:highlight w:val="none"/>
        </w:rPr>
      </w:r>
      <w:r>
        <w:rPr>
          <w:color w:val="000000" w:themeColor="text1"/>
          <w:highlight w:val="none"/>
        </w:rPr>
      </w:r>
    </w:p>
    <w:p>
      <w:pPr>
        <w:pStyle w:val="982"/>
        <w:spacing w:line="360" w:lineRule="auto"/>
        <w:rPr>
          <w:rFonts w:ascii="宋体" w:hAnsi="宋体" w:cs="宋体"/>
          <w:bCs/>
          <w:color w:val="000000" w:themeColor="text1"/>
          <w:sz w:val="24"/>
          <w:szCs w:val="21"/>
          <w:highlight w:val="none"/>
        </w:rPr>
      </w:pPr>
      <w:r>
        <w:rPr>
          <w:rFonts w:hint="eastAsia" w:ascii="宋体" w:hAnsi="宋体" w:cs="宋体"/>
          <w:b/>
          <w:bCs/>
          <w:color w:val="000000" w:themeColor="text1"/>
          <w:sz w:val="24"/>
          <w:szCs w:val="21"/>
          <w:highlight w:val="none"/>
        </w:rPr>
        <w:t xml:space="preserve">    </w:t>
      </w:r>
      <w:r>
        <w:rPr>
          <w:rFonts w:hint="eastAsia" w:ascii="宋体" w:hAnsi="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82"/>
        <w:spacing w:line="360" w:lineRule="auto"/>
        <w:rPr>
          <w:rFonts w:ascii="宋体" w:hAnsi="宋体" w:cs="宋体"/>
          <w:i/>
          <w:color w:val="000000" w:themeColor="text1"/>
          <w:sz w:val="32"/>
          <w:szCs w:val="32"/>
          <w:highlight w:val="none"/>
          <w:u w:val="single"/>
        </w:rPr>
      </w:pPr>
      <w:r>
        <w:rPr>
          <w:rFonts w:ascii="宋体" w:hAnsi="宋体" w:cs="宋体"/>
          <w:i/>
          <w:color w:val="000000" w:themeColor="text1"/>
          <w:sz w:val="32"/>
          <w:szCs w:val="32"/>
          <w:highlight w:val="none"/>
          <w:u w:val="single"/>
        </w:rPr>
      </w:r>
      <w:r>
        <w:rPr>
          <w:color w:val="000000" w:themeColor="text1"/>
          <w:highlight w:val="none"/>
        </w:rPr>
      </w:r>
    </w:p>
    <w:p>
      <w:pPr>
        <w:pStyle w:val="982"/>
        <w:spacing w:line="360" w:lineRule="auto"/>
        <w:rPr>
          <w:rFonts w:ascii="宋体" w:hAnsi="宋体" w:cs="宋体"/>
          <w:iCs/>
          <w:color w:val="000000" w:themeColor="text1"/>
          <w:sz w:val="28"/>
          <w:szCs w:val="28"/>
          <w:highlight w:val="none"/>
        </w:rPr>
        <w:outlineLvl w:val="1"/>
      </w:pPr>
      <w:r>
        <w:rPr>
          <w:color w:val="000000" w:themeColor="text1"/>
          <w:highlight w:val="none"/>
        </w:rPr>
      </w:r>
      <w:bookmarkStart w:id="167" w:name="_Toc7896"/>
      <w:r>
        <w:rPr>
          <w:rFonts w:hint="eastAsia" w:ascii="宋体" w:hAnsi="宋体" w:cs="宋体"/>
          <w:iCs/>
          <w:color w:val="000000" w:themeColor="text1"/>
          <w:sz w:val="28"/>
          <w:szCs w:val="28"/>
          <w:highlight w:val="none"/>
        </w:rPr>
        <w:t xml:space="preserve">六、特定资格要求的证明文件</w:t>
      </w:r>
      <w:bookmarkEnd w:id="167"/>
      <w:r>
        <w:rPr>
          <w:rFonts w:ascii="宋体" w:hAnsi="宋体" w:cs="宋体"/>
          <w:iCs/>
          <w:color w:val="000000" w:themeColor="text1"/>
          <w:sz w:val="28"/>
          <w:szCs w:val="28"/>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1.根据国家相关规定提供投标产品有效的医疗器械产品注册证或产品备案凭证（手动病床1，手动病床2，手动病床3）；</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2.若投标供应商为代理商，应根据国家相关规定提供范围涵盖投标产品的医疗器械经营许可证或医疗器械经营备案凭证；</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3.若投标供应商为生产商，应根据国家相关规定提供范围涵盖投标产品的医疗器械生产许可证或生产备案凭证；</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4.提供投标人代表投标文件递交截止时间前半年内任一月份投标单位为其缴纳社会保障资金的凭据（复印件加盖公章），如果是法定代表人直接参与的可以不提供；</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5.没有重大违法及商业贿赂不良记录声明；</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6.拒绝下述供应商参加本次采购活动的情形：</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7.1.供应商单位负责人为同一人或者存在直接控股、管理关系的不同供应商，不得参加同一合同项下的政府采购活动。</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7.2.凡为采购项目提供整体设计、规范编制或者项目管理、监理、检测等服务的供应商，不得再参加本项目的采购活动。</w:t>
      </w:r>
      <w:r>
        <w:rPr>
          <w:rFonts w:hint="eastAsia" w:ascii="宋体" w:hAnsi="宋体" w:cs="宋体"/>
          <w:color w:val="000000" w:themeColor="text1"/>
          <w:sz w:val="24"/>
          <w:highlight w:val="none"/>
        </w:rPr>
      </w:r>
      <w:r>
        <w:rPr>
          <w:color w:val="000000" w:themeColor="text1"/>
          <w:highlight w:val="none"/>
        </w:rPr>
      </w:r>
    </w:p>
    <w:p>
      <w:pPr>
        <w:pStyle w:val="982"/>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7.3.拒绝列入失信被执行人名单、重大税收违法失信主体名单、严重失信主体名单的供应商参与政府采购活动。</w:t>
      </w:r>
      <w:r>
        <w:rPr>
          <w:rFonts w:hint="eastAsia" w:ascii="宋体" w:hAnsi="宋体" w:cs="宋体"/>
          <w:color w:val="000000" w:themeColor="text1"/>
          <w:sz w:val="24"/>
          <w:highlight w:val="none"/>
        </w:rPr>
      </w:r>
      <w:r>
        <w:rPr>
          <w:color w:val="000000" w:themeColor="text1"/>
          <w:highlight w:val="none"/>
        </w:rPr>
      </w:r>
    </w:p>
    <w:p>
      <w:pPr>
        <w:pStyle w:val="98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8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8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82"/>
        <w:jc w:val="center"/>
        <w:rPr>
          <w:rFonts w:hint="eastAsia"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r>
      <w:r>
        <w:rPr>
          <w:color w:val="000000" w:themeColor="text1"/>
          <w:highlight w:val="none"/>
        </w:rPr>
      </w:r>
    </w:p>
    <w:p>
      <w:pPr>
        <w:pStyle w:val="982"/>
        <w:jc w:val="center"/>
        <w:rPr>
          <w:rFonts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t xml:space="preserve">2.没有重大违法及商业贿赂不良记录声明</w:t>
      </w:r>
      <w:r>
        <w:rPr>
          <w:rFonts w:ascii="宋体" w:hAnsi="宋体" w:cs="宋体"/>
          <w:b/>
          <w:iCs/>
          <w:color w:val="000000" w:themeColor="text1"/>
          <w:sz w:val="32"/>
          <w:szCs w:val="32"/>
          <w:highlight w:val="none"/>
        </w:rPr>
      </w:r>
      <w:r>
        <w:rPr>
          <w:color w:val="000000" w:themeColor="text1"/>
          <w:highlight w:val="none"/>
        </w:rPr>
      </w:r>
    </w:p>
    <w:p>
      <w:pPr>
        <w:pStyle w:val="982"/>
        <w:spacing w:line="500" w:lineRule="exact"/>
        <w:rPr>
          <w:rFonts w:ascii="宋体" w:hAnsi="宋体"/>
          <w:b/>
          <w:bCs/>
          <w:iCs/>
          <w:color w:val="000000" w:themeColor="text1"/>
          <w:sz w:val="24"/>
          <w:szCs w:val="28"/>
          <w:highlight w:val="none"/>
        </w:rPr>
      </w:pPr>
      <w:r>
        <w:rPr>
          <w:rFonts w:hint="eastAsia" w:ascii="宋体" w:hAnsi="宋体"/>
          <w:b/>
          <w:bCs/>
          <w:iCs/>
          <w:color w:val="000000" w:themeColor="text1"/>
          <w:sz w:val="24"/>
          <w:szCs w:val="28"/>
          <w:highlight w:val="none"/>
        </w:rPr>
        <w:t xml:space="preserve">（请提供参加本次采购活动前3年内在经营活动中没有重大违法记录、2年内没有商业贿赂不良记录的书面声明，原件，加盖单位公章）</w:t>
      </w:r>
      <w:r>
        <w:rPr>
          <w:rFonts w:ascii="宋体" w:hAnsi="宋体"/>
          <w:b/>
          <w:bCs/>
          <w:iCs/>
          <w:color w:val="000000" w:themeColor="text1"/>
          <w:sz w:val="24"/>
          <w:szCs w:val="28"/>
          <w:highlight w:val="none"/>
        </w:rPr>
      </w:r>
      <w:r>
        <w:rPr>
          <w:color w:val="000000" w:themeColor="text1"/>
          <w:highlight w:val="none"/>
        </w:rPr>
      </w:r>
    </w:p>
    <w:p>
      <w:pPr>
        <w:pStyle w:val="1104"/>
        <w:contextualSpacing/>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rFonts w:ascii="宋体" w:hAnsi="宋体" w:cs="宋体"/>
          <w:iCs/>
          <w:color w:val="000000" w:themeColor="text1"/>
          <w:sz w:val="24"/>
          <w:szCs w:val="21"/>
          <w:highlight w:val="none"/>
        </w:rPr>
      </w:r>
      <w:r>
        <w:rPr>
          <w:color w:val="000000" w:themeColor="text1"/>
          <w:highlight w:val="none"/>
        </w:rPr>
      </w:r>
    </w:p>
    <w:p>
      <w:pPr>
        <w:pStyle w:val="1104"/>
        <w:contextualSpacing/>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特此声明！</w:t>
      </w:r>
      <w:r>
        <w:rPr>
          <w:rFonts w:ascii="宋体" w:hAnsi="宋体" w:cs="宋体"/>
          <w:iCs/>
          <w:color w:val="000000" w:themeColor="text1"/>
          <w:sz w:val="24"/>
          <w:szCs w:val="21"/>
          <w:highlight w:val="none"/>
        </w:rPr>
      </w:r>
      <w:r>
        <w:rPr>
          <w:color w:val="000000" w:themeColor="text1"/>
          <w:highlight w:val="none"/>
        </w:rPr>
      </w:r>
    </w:p>
    <w:p>
      <w:pPr>
        <w:pStyle w:val="1104"/>
        <w:contextualSpacing/>
        <w:ind w:firstLine="480"/>
        <w:spacing w:line="480" w:lineRule="auto"/>
        <w:rPr>
          <w:rFonts w:ascii="宋体" w:hAnsi="宋体" w:cs="宋体"/>
          <w:iCs/>
          <w:color w:val="000000" w:themeColor="text1"/>
          <w:sz w:val="24"/>
          <w:szCs w:val="21"/>
          <w:highlight w:val="none"/>
        </w:rPr>
      </w:pPr>
      <w:r>
        <w:rPr>
          <w:rFonts w:ascii="宋体" w:hAnsi="宋体" w:cs="宋体"/>
          <w:i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u w:val="single"/>
        </w:rPr>
      </w:pPr>
      <w:r>
        <w:rPr>
          <w:color w:val="000000" w:themeColor="text1"/>
          <w:highlight w:val="none"/>
        </w:rPr>
      </w:r>
      <w:bookmarkStart w:id="168" w:name="_Toc17132"/>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82"/>
        <w:rPr>
          <w:rFonts w:ascii="宋体" w:hAnsi="宋体" w:cs="宋体"/>
          <w:iCs/>
          <w:color w:val="000000" w:themeColor="text1"/>
          <w:sz w:val="32"/>
          <w:szCs w:val="32"/>
          <w:highlight w:val="none"/>
          <w:u w:val="single"/>
        </w:rPr>
      </w:pPr>
      <w:r>
        <w:rPr>
          <w:rFonts w:ascii="宋体" w:hAnsi="宋体" w:cs="宋体"/>
          <w:iCs/>
          <w:color w:val="000000" w:themeColor="text1"/>
          <w:sz w:val="32"/>
          <w:szCs w:val="32"/>
          <w:highlight w:val="none"/>
          <w:u w:val="single"/>
        </w:rPr>
      </w:r>
      <w:r>
        <w:rPr>
          <w:color w:val="000000" w:themeColor="text1"/>
          <w:highlight w:val="none"/>
        </w:rPr>
      </w:r>
    </w:p>
    <w:p>
      <w:pPr>
        <w:pStyle w:val="982"/>
        <w:rPr>
          <w:rFonts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br w:type="page" w:clear="all"/>
      </w:r>
      <w:r>
        <w:rPr>
          <w:rFonts w:ascii="宋体" w:hAnsi="宋体" w:cs="宋体"/>
          <w:iCs/>
          <w:color w:val="000000" w:themeColor="text1"/>
          <w:sz w:val="28"/>
          <w:szCs w:val="28"/>
          <w:highlight w:val="none"/>
        </w:rPr>
      </w:r>
      <w:r>
        <w:rPr>
          <w:color w:val="000000" w:themeColor="text1"/>
          <w:highlight w:val="none"/>
        </w:rPr>
      </w:r>
    </w:p>
    <w:p>
      <w:pPr>
        <w:pStyle w:val="982"/>
        <w:jc w:val="center"/>
        <w:spacing w:line="360" w:lineRule="auto"/>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七、法人授权书</w:t>
      </w:r>
      <w:bookmarkEnd w:id="168"/>
      <w:r>
        <w:rPr>
          <w:rFonts w:ascii="宋体" w:hAnsi="宋体" w:cs="宋体"/>
          <w:iCs/>
          <w:color w:val="000000" w:themeColor="text1"/>
          <w:sz w:val="28"/>
          <w:szCs w:val="28"/>
          <w:highlight w:val="none"/>
        </w:rPr>
      </w:r>
      <w:r>
        <w:rPr>
          <w:color w:val="000000" w:themeColor="text1"/>
          <w:highlight w:val="none"/>
        </w:rPr>
      </w:r>
    </w:p>
    <w:p>
      <w:pPr>
        <w:pStyle w:val="982"/>
        <w:ind w:firstLine="480"/>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本授权书声明：____________（投标人名称）授权________________（</w:t>
      </w:r>
      <w:r>
        <w:rPr>
          <w:rFonts w:hint="eastAsia" w:ascii="宋体" w:hAnsi="宋体" w:cs="宋体"/>
          <w:iCs/>
          <w:color w:val="000000" w:themeColor="text1"/>
          <w:sz w:val="24"/>
          <w:highlight w:val="none"/>
        </w:rPr>
        <w:t xml:space="preserve">授权代表</w:t>
      </w:r>
      <w:r>
        <w:rPr>
          <w:rFonts w:ascii="宋体" w:hAnsi="宋体" w:cs="宋体"/>
          <w:iCs/>
          <w:color w:val="000000" w:themeColor="text1"/>
          <w:sz w:val="24"/>
          <w:highlight w:val="none"/>
        </w:rPr>
        <w:t xml:space="preserve">的姓名）为我方就JSZC-</w:t>
      </w:r>
      <w:r>
        <w:rPr>
          <w:rFonts w:ascii="宋体" w:hAnsi="宋体" w:cs="宋体"/>
          <w:iCs/>
          <w:color w:val="000000" w:themeColor="text1"/>
          <w:sz w:val="24"/>
          <w:highlight w:val="none"/>
          <w:u w:val="single"/>
        </w:rPr>
        <w:t xml:space="preserve">        号项目</w:t>
      </w:r>
      <w:r>
        <w:rPr>
          <w:rFonts w:ascii="宋体" w:hAnsi="宋体" w:cs="宋体"/>
          <w:iCs/>
          <w:color w:val="000000" w:themeColor="text1"/>
          <w:sz w:val="24"/>
          <w:highlight w:val="none"/>
        </w:rPr>
        <w:t xml:space="preserve">采购活动的合法代理人，以本单位名义全权处理一切与该项目采购有关的事务。</w:t>
      </w:r>
      <w:r>
        <w:rPr>
          <w:iCs/>
          <w:color w:val="000000" w:themeColor="text1"/>
          <w:highlight w:val="none"/>
        </w:rPr>
      </w:r>
      <w:r>
        <w:rPr>
          <w:color w:val="000000" w:themeColor="text1"/>
          <w:highlight w:val="none"/>
        </w:rPr>
      </w:r>
    </w:p>
    <w:p>
      <w:pPr>
        <w:pStyle w:val="982"/>
        <w:ind w:firstLine="480"/>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本授权书于______年____月____日起生效，特此声明。</w:t>
      </w:r>
      <w:r>
        <w:rPr>
          <w:iCs/>
          <w:color w:val="000000" w:themeColor="text1"/>
          <w:highlight w:val="none"/>
        </w:rPr>
      </w:r>
      <w:r>
        <w:rPr>
          <w:color w:val="000000" w:themeColor="text1"/>
          <w:highlight w:val="none"/>
        </w:rPr>
      </w:r>
    </w:p>
    <w:p>
      <w:pPr>
        <w:pStyle w:val="982"/>
        <w:jc w:val="left"/>
        <w:spacing w:line="85" w:lineRule="atLeast"/>
        <w:tabs>
          <w:tab w:val="left" w:pos="360" w:leader="none"/>
        </w:tabs>
        <w:rPr>
          <w:iCs/>
          <w:color w:val="000000" w:themeColor="text1"/>
          <w:highlight w:val="none"/>
        </w:rPr>
      </w:pPr>
      <w:r>
        <w:rPr>
          <w:rFonts w:hint="eastAsia" w:ascii="宋体" w:hAnsi="宋体" w:cs="宋体"/>
          <w:iCs/>
          <w:color w:val="000000" w:themeColor="text1"/>
          <w:sz w:val="24"/>
          <w:highlight w:val="none"/>
        </w:rPr>
        <w:t xml:space="preserve">法定代表人身份证号码</w:t>
      </w:r>
      <w:r>
        <w:rPr>
          <w:rFonts w:ascii="宋体" w:hAnsi="宋体" w:cs="宋体"/>
          <w:iCs/>
          <w:color w:val="000000" w:themeColor="text1"/>
          <w:sz w:val="24"/>
          <w:highlight w:val="none"/>
        </w:rPr>
        <w:t xml:space="preserve">：</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8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法定代表人联系电话：（手机）</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82"/>
        <w:jc w:val="left"/>
        <w:spacing w:line="85" w:lineRule="atLeast"/>
        <w:tabs>
          <w:tab w:val="left" w:pos="360" w:leader="none"/>
        </w:tabs>
        <w:rPr>
          <w:rFonts w:ascii="宋体" w:hAnsi="宋体" w:cs="宋体"/>
          <w:iCs/>
          <w:color w:val="000000" w:themeColor="text1"/>
          <w:sz w:val="24"/>
          <w:highlight w:val="none"/>
          <w:u w:val="single"/>
        </w:rPr>
      </w:pPr>
      <w:r>
        <w:rPr>
          <w:rFonts w:ascii="宋体" w:hAnsi="宋体" w:cs="宋体"/>
          <w:iCs/>
          <w:color w:val="000000" w:themeColor="text1"/>
          <w:sz w:val="24"/>
          <w:highlight w:val="none"/>
        </w:rPr>
        <w:t xml:space="preserve">授权代表身份证号码：</w:t>
      </w:r>
      <w:r>
        <w:rPr>
          <w:rFonts w:ascii="宋体" w:hAnsi="宋体" w:cs="宋体"/>
          <w:iCs/>
          <w:color w:val="000000" w:themeColor="text1"/>
          <w:sz w:val="24"/>
          <w:highlight w:val="none"/>
          <w:u w:val="single"/>
        </w:rPr>
        <w:t xml:space="preserve">                        </w:t>
      </w:r>
      <w:r>
        <w:rPr>
          <w:rFonts w:ascii="宋体" w:hAnsi="宋体" w:cs="宋体"/>
          <w:iCs/>
          <w:color w:val="000000" w:themeColor="text1"/>
          <w:sz w:val="24"/>
          <w:highlight w:val="none"/>
          <w:u w:val="single"/>
        </w:rPr>
      </w:r>
      <w:r>
        <w:rPr>
          <w:color w:val="000000" w:themeColor="text1"/>
          <w:highlight w:val="none"/>
        </w:rPr>
      </w:r>
    </w:p>
    <w:p>
      <w:pPr>
        <w:pStyle w:val="98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授权代表联系电话：（手机）</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8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授权单位名称：</w:t>
      </w:r>
      <w:r>
        <w:rPr>
          <w:rFonts w:ascii="宋体" w:hAnsi="宋体" w:cs="宋体"/>
          <w:iCs/>
          <w:color w:val="000000" w:themeColor="text1"/>
          <w:sz w:val="24"/>
          <w:highlight w:val="none"/>
          <w:u w:val="single"/>
        </w:rPr>
        <w:t xml:space="preserve">（加盖CA电子公章）</w:t>
      </w:r>
      <w:r>
        <w:rPr>
          <w:iCs/>
          <w:color w:val="000000" w:themeColor="text1"/>
          <w:highlight w:val="none"/>
        </w:rPr>
      </w:r>
      <w:r>
        <w:rPr>
          <w:color w:val="000000" w:themeColor="text1"/>
          <w:highlight w:val="none"/>
        </w:rPr>
      </w:r>
    </w:p>
    <w:p>
      <w:pPr>
        <w:pStyle w:val="98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单位地址：</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82"/>
        <w:jc w:val="left"/>
        <w:spacing w:line="85" w:lineRule="atLeast"/>
        <w:tabs>
          <w:tab w:val="left" w:pos="360" w:leader="none"/>
        </w:tabs>
        <w:rPr>
          <w:iCs/>
          <w:color w:val="000000" w:themeColor="text1"/>
          <w:highlight w:val="none"/>
        </w:rPr>
      </w:pPr>
      <w:r>
        <w:rPr>
          <w:rFonts w:ascii="宋体" w:hAnsi="宋体" w:cs="宋体"/>
          <w:iCs/>
          <w:color w:val="000000" w:themeColor="text1"/>
          <w:sz w:val="24"/>
          <w:highlight w:val="none"/>
        </w:rPr>
        <w:t xml:space="preserve">日期：</w:t>
      </w:r>
      <w:r>
        <w:rPr>
          <w:rFonts w:ascii="宋体" w:hAnsi="宋体" w:cs="宋体"/>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82"/>
        <w:ind w:firstLine="420"/>
        <w:rPr>
          <w:iCs/>
          <w:color w:val="000000" w:themeColor="text1"/>
          <w:highlight w:val="none"/>
        </w:rPr>
      </w:pPr>
      <w:r>
        <w:rPr>
          <w:rFonts w:eastAsia="Times New Roman"/>
          <w:iCs/>
          <w:color w:val="000000" w:themeColor="text1"/>
          <w:sz w:val="24"/>
          <w:highlight w:val="none"/>
          <w:u w:val="single"/>
        </w:rPr>
        <w:t xml:space="preserve"> </w:t>
      </w:r>
      <w:r>
        <w:rPr>
          <w:iCs/>
          <w:color w:val="000000" w:themeColor="text1"/>
          <w:highlight w:val="none"/>
        </w:rPr>
      </w:r>
      <w:r>
        <w:rPr>
          <w:color w:val="000000" w:themeColor="text1"/>
          <w:highlight w:val="none"/>
        </w:rPr>
      </w:r>
    </w:p>
    <w:p>
      <w:pPr>
        <w:pStyle w:val="982"/>
        <w:ind w:firstLine="420"/>
        <w:rPr>
          <w:iCs/>
          <w:color w:val="000000" w:themeColor="text1"/>
          <w:highlight w:val="none"/>
        </w:rPr>
      </w:pPr>
      <w:r>
        <w:rPr>
          <w:rFonts w:ascii="宋体" w:hAnsi="宋体" w:cs="宋体"/>
          <w:iCs/>
          <w:color w:val="000000" w:themeColor="text1"/>
          <w:sz w:val="24"/>
          <w:highlight w:val="none"/>
          <w:u w:val="single"/>
        </w:rPr>
        <w:t xml:space="preserve">法定代表人身份证复印件：</w:t>
      </w:r>
      <w:r>
        <w:rPr>
          <w:iCs/>
          <w:color w:val="000000" w:themeColor="text1"/>
          <w:highlight w:val="none"/>
        </w:rPr>
      </w:r>
      <w:r>
        <w:rPr>
          <w:color w:val="000000" w:themeColor="text1"/>
          <w:highlight w:val="none"/>
        </w:rPr>
      </w:r>
    </w:p>
    <w:p>
      <w:pPr>
        <w:pStyle w:val="98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8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82"/>
        <w:ind w:firstLine="420"/>
        <w:rPr>
          <w:iCs/>
          <w:color w:val="000000" w:themeColor="text1"/>
          <w:highlight w:val="none"/>
        </w:rPr>
      </w:pPr>
      <w:r>
        <w:rPr>
          <w:rFonts w:ascii="宋体" w:hAnsi="宋体" w:cs="宋体"/>
          <w:iCs/>
          <w:color w:val="000000" w:themeColor="text1"/>
          <w:sz w:val="24"/>
          <w:highlight w:val="none"/>
          <w:u w:val="single"/>
        </w:rPr>
        <w:t xml:space="preserve">授权代表身份证复印件：</w:t>
      </w:r>
      <w:r>
        <w:rPr>
          <w:iCs/>
          <w:color w:val="000000" w:themeColor="text1"/>
          <w:highlight w:val="none"/>
        </w:rPr>
      </w:r>
      <w:r>
        <w:rPr>
          <w:color w:val="000000" w:themeColor="text1"/>
          <w:highlight w:val="none"/>
        </w:rPr>
      </w:r>
    </w:p>
    <w:p>
      <w:pPr>
        <w:pStyle w:val="98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rFonts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rFonts w:ascii="宋体" w:hAnsi="宋体" w:cs="宋体"/>
          <w:bCs/>
          <w:color w:val="000000" w:themeColor="text1"/>
          <w:sz w:val="24"/>
          <w:szCs w:val="21"/>
          <w:highlight w:val="none"/>
        </w:rPr>
      </w:r>
      <w:r>
        <w:rPr>
          <w:color w:val="000000" w:themeColor="text1"/>
          <w:highlight w:val="none"/>
        </w:rPr>
      </w:r>
    </w:p>
    <w:p>
      <w:pPr>
        <w:pStyle w:val="982"/>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82"/>
        <w:ind w:left="420" w:firstLine="480"/>
        <w:spacing w:after="120"/>
        <w:rPr>
          <w:iCs/>
          <w:color w:val="000000" w:themeColor="text1"/>
          <w:highlight w:val="none"/>
        </w:rPr>
      </w:pPr>
      <w:r>
        <w:rPr>
          <w:rFonts w:eastAsia="Times New Roman"/>
          <w:iCs/>
          <w:color w:val="000000" w:themeColor="text1"/>
          <w:highlight w:val="none"/>
        </w:rPr>
        <w:t xml:space="preserve"> </w:t>
      </w:r>
      <w:r>
        <w:rPr>
          <w:iCs/>
          <w:color w:val="000000" w:themeColor="text1"/>
          <w:highlight w:val="none"/>
        </w:rPr>
      </w:r>
      <w:r>
        <w:rPr>
          <w:color w:val="000000" w:themeColor="text1"/>
          <w:highlight w:val="none"/>
        </w:rPr>
      </w:r>
    </w:p>
    <w:p>
      <w:pPr>
        <w:pStyle w:val="982"/>
        <w:ind w:firstLine="420"/>
        <w:spacing w:before="161"/>
        <w:rPr>
          <w:iCs/>
          <w:color w:val="000000" w:themeColor="text1"/>
          <w:highlight w:val="none"/>
        </w:rPr>
      </w:pPr>
      <w:r>
        <w:rPr>
          <w:rFonts w:ascii="宋体" w:hAnsi="宋体" w:cs="宋体"/>
          <w:iCs/>
          <w:color w:val="000000" w:themeColor="text1"/>
          <w:highlight w:val="none"/>
        </w:rPr>
        <w:t xml:space="preserve">说明：</w:t>
      </w:r>
      <w:r>
        <w:rPr>
          <w:iCs/>
          <w:color w:val="000000" w:themeColor="text1"/>
          <w:highlight w:val="none"/>
        </w:rPr>
      </w:r>
      <w:r>
        <w:rPr>
          <w:color w:val="000000" w:themeColor="text1"/>
          <w:highlight w:val="none"/>
        </w:rPr>
      </w:r>
    </w:p>
    <w:p>
      <w:pPr>
        <w:pStyle w:val="982"/>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（1）本授权委托书之后需附上法定代表人、授权代表身份证复印件（正反面）；</w:t>
      </w:r>
      <w:r>
        <w:rPr>
          <w:rFonts w:ascii="宋体" w:hAnsi="宋体" w:cs="宋体"/>
          <w:b/>
          <w:iCs/>
          <w:color w:val="000000" w:themeColor="text1"/>
          <w:highlight w:val="none"/>
          <w:u w:val="single"/>
        </w:rPr>
      </w:r>
      <w:r>
        <w:rPr>
          <w:color w:val="000000" w:themeColor="text1"/>
          <w:highlight w:val="none"/>
        </w:rPr>
      </w:r>
    </w:p>
    <w:p>
      <w:pPr>
        <w:pStyle w:val="982"/>
        <w:ind w:firstLine="420"/>
        <w:spacing w:before="161"/>
        <w:rPr>
          <w:rFonts w:ascii="宋体" w:hAnsi="宋体" w:cs="宋体"/>
          <w:b/>
          <w:iCs/>
          <w:color w:val="000000" w:themeColor="text1"/>
          <w:highlight w:val="none"/>
          <w:u w:val="single"/>
        </w:rPr>
      </w:pPr>
      <w:r>
        <w:rPr>
          <w:rFonts w:ascii="宋体" w:hAnsi="宋体" w:cs="宋体"/>
          <w:b/>
          <w:iCs/>
          <w:color w:val="000000" w:themeColor="text1"/>
          <w:highlight w:val="none"/>
          <w:u w:val="single"/>
        </w:rPr>
        <w:t xml:space="preserve">（2）如果是法定代表人直接参与的可以不提供授权委托书；但必须在营业执照之后附上法定代表人身份证复印；</w:t>
      </w:r>
      <w:r>
        <w:rPr>
          <w:rFonts w:ascii="宋体" w:hAnsi="宋体" w:cs="宋体"/>
          <w:b/>
          <w:iCs/>
          <w:color w:val="000000" w:themeColor="text1"/>
          <w:highlight w:val="none"/>
          <w:u w:val="single"/>
        </w:rPr>
      </w:r>
      <w:r>
        <w:rPr>
          <w:color w:val="000000" w:themeColor="text1"/>
          <w:highlight w:val="none"/>
        </w:rPr>
      </w:r>
    </w:p>
    <w:p>
      <w:pPr>
        <w:pStyle w:val="982"/>
        <w:ind w:firstLine="420"/>
        <w:spacing w:before="161"/>
        <w:rPr>
          <w:iCs/>
          <w:color w:val="000000" w:themeColor="text1"/>
          <w:highlight w:val="none"/>
        </w:rPr>
      </w:pPr>
      <w:r>
        <w:rPr>
          <w:rFonts w:ascii="宋体" w:hAnsi="宋体" w:cs="宋体"/>
          <w:iCs/>
          <w:color w:val="000000" w:themeColor="text1"/>
          <w:highlight w:val="none"/>
        </w:rPr>
        <w:t xml:space="preserve">（3）</w:t>
      </w:r>
      <w:r>
        <w:rPr>
          <w:rFonts w:ascii="宋体" w:hAnsi="宋体" w:cs="宋体"/>
          <w:b/>
          <w:iCs/>
          <w:color w:val="000000" w:themeColor="text1"/>
          <w:highlight w:val="none"/>
          <w:u w:val="single"/>
        </w:rPr>
        <w:t xml:space="preserve">未按上述规定随附身份证复印件的，响应无效。</w:t>
      </w:r>
      <w:r>
        <w:rPr>
          <w:iCs/>
          <w:color w:val="000000" w:themeColor="text1"/>
          <w:highlight w:val="none"/>
        </w:rPr>
      </w:r>
      <w:r>
        <w:rPr>
          <w:color w:val="000000" w:themeColor="text1"/>
          <w:highlight w:val="none"/>
        </w:rPr>
      </w:r>
    </w:p>
    <w:p>
      <w:pPr>
        <w:pStyle w:val="982"/>
        <w:ind w:firstLine="420"/>
        <w:rPr>
          <w:iCs/>
          <w:color w:val="000000" w:themeColor="text1"/>
          <w:sz w:val="24"/>
          <w:highlight w:val="none"/>
          <w:u w:val="single"/>
        </w:rPr>
      </w:pPr>
      <w:r>
        <w:rPr>
          <w:iCs/>
          <w:color w:val="000000" w:themeColor="text1"/>
          <w:sz w:val="24"/>
          <w:highlight w:val="none"/>
          <w:u w:val="single"/>
        </w:rPr>
      </w:r>
      <w:r>
        <w:rPr>
          <w:color w:val="000000" w:themeColor="text1"/>
          <w:highlight w:val="none"/>
        </w:rPr>
      </w:r>
    </w:p>
    <w:p>
      <w:pPr>
        <w:pStyle w:val="982"/>
        <w:jc w:val="center"/>
        <w:spacing w:line="360" w:lineRule="auto"/>
        <w:rPr>
          <w:rFonts w:ascii="黑体" w:hAnsi="黑体" w:eastAsia="黑体"/>
          <w:b/>
          <w:iCs/>
          <w:color w:val="000000" w:themeColor="text1"/>
          <w:sz w:val="32"/>
          <w:szCs w:val="32"/>
          <w:highlight w:val="none"/>
          <w:u w:val="single"/>
        </w:rPr>
        <w:outlineLvl w:val="1"/>
      </w:pPr>
      <w:r>
        <w:rPr>
          <w:rFonts w:hint="eastAsia"/>
          <w:iCs/>
          <w:color w:val="000000" w:themeColor="text1"/>
          <w:szCs w:val="21"/>
          <w:highlight w:val="none"/>
        </w:rPr>
        <w:br w:type="page" w:clear="all"/>
      </w:r>
      <w:bookmarkStart w:id="169" w:name="_Toc12967"/>
      <w:r>
        <w:rPr>
          <w:rFonts w:hint="eastAsia" w:ascii="宋体" w:hAnsi="宋体" w:cs="宋体"/>
          <w:iCs/>
          <w:color w:val="000000" w:themeColor="text1"/>
          <w:sz w:val="28"/>
          <w:szCs w:val="28"/>
          <w:highlight w:val="none"/>
        </w:rPr>
        <w:t xml:space="preserve">八、投标函</w:t>
      </w:r>
      <w:bookmarkEnd w:id="169"/>
      <w:r>
        <w:rPr>
          <w:rFonts w:ascii="黑体" w:hAnsi="黑体" w:eastAsia="黑体"/>
          <w:b/>
          <w:iCs/>
          <w:color w:val="000000" w:themeColor="text1"/>
          <w:sz w:val="32"/>
          <w:szCs w:val="32"/>
          <w:highlight w:val="none"/>
          <w:u w:val="single"/>
        </w:rPr>
      </w:r>
      <w:r>
        <w:rPr>
          <w:color w:val="000000" w:themeColor="text1"/>
          <w:highlight w:val="none"/>
        </w:rPr>
      </w:r>
    </w:p>
    <w:p>
      <w:pPr>
        <w:pStyle w:val="982"/>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致：江苏苏豪创新科技集团有限公司</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根据贵方的</w:t>
      </w:r>
      <w:r>
        <w:rPr>
          <w:rFonts w:hint="eastAsia" w:ascii="宋体" w:hAnsi="宋体"/>
          <w:color w:val="000000" w:themeColor="text1"/>
          <w:sz w:val="24"/>
          <w:szCs w:val="21"/>
          <w:highlight w:val="none"/>
          <w:lang w:eastAsia="zh-CN"/>
        </w:rPr>
        <w:t xml:space="preserve">JSZC-320100-SOHO-G2026-0080</w:t>
      </w:r>
      <w:r>
        <w:rPr>
          <w:rFonts w:hint="eastAsia" w:ascii="宋体" w:hAnsi="宋体"/>
          <w:color w:val="000000" w:themeColor="text1"/>
          <w:sz w:val="24"/>
          <w:szCs w:val="21"/>
          <w:highlight w:val="none"/>
        </w:rPr>
        <w:t xml:space="preserve">号招标文件，正式授权下述签字人_________________(姓名)代表我方______________（投标人的名称），全权处理本次项目投标的有关事宜。</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据此函，__________签字人兹宣布同意如下：</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1.按招标文件规定的各项要求，向买方提供所需货物（包含与货物相关的服务）。</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2.我们完全理解贵方不一定将合同授予最低报价的投标人。</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3.我们已详细审核全部招标文件及其有效补充文件，我们知道必须放弃提出含糊不清或误解问题的权利。</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4.我们同意从规定的开标日期起遵循本投标文件，并在规定的投标有效期期满之前均具有约束力。</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5</w:t>
      </w:r>
      <w:r>
        <w:rPr>
          <w:rFonts w:hint="eastAsia" w:ascii="宋体" w:hAnsi="宋体"/>
          <w:color w:val="000000" w:themeColor="text1"/>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themeColor="text1"/>
          <w:sz w:val="24"/>
          <w:szCs w:val="21"/>
          <w:highlight w:val="none"/>
        </w:rPr>
      </w:r>
      <w:r>
        <w:rPr>
          <w:color w:val="000000" w:themeColor="text1"/>
          <w:highlight w:val="none"/>
        </w:rPr>
      </w:r>
    </w:p>
    <w:p>
      <w:pPr>
        <w:pStyle w:val="982"/>
        <w:ind w:firstLine="480"/>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6</w:t>
      </w:r>
      <w:r>
        <w:rPr>
          <w:rFonts w:hint="eastAsia" w:ascii="宋体" w:hAnsi="宋体"/>
          <w:color w:val="000000" w:themeColor="text1"/>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themeColor="text1"/>
          <w:sz w:val="24"/>
          <w:szCs w:val="21"/>
          <w:highlight w:val="none"/>
        </w:rPr>
      </w:r>
      <w:r>
        <w:rPr>
          <w:color w:val="000000" w:themeColor="text1"/>
          <w:highlight w:val="none"/>
        </w:rPr>
      </w:r>
    </w:p>
    <w:p>
      <w:pPr>
        <w:pStyle w:val="982"/>
        <w:ind w:left="425"/>
        <w:jc w:val="left"/>
        <w:spacing w:line="420" w:lineRule="exact"/>
        <w:rPr>
          <w:rFonts w:ascii="宋体" w:hAnsi="宋体"/>
          <w:color w:val="000000" w:themeColor="text1"/>
          <w:sz w:val="24"/>
          <w:szCs w:val="21"/>
          <w:highlight w:val="none"/>
        </w:rPr>
      </w:pPr>
      <w:r>
        <w:rPr>
          <w:rFonts w:ascii="宋体" w:hAnsi="宋体"/>
          <w:color w:val="000000" w:themeColor="text1"/>
          <w:sz w:val="24"/>
          <w:szCs w:val="21"/>
          <w:highlight w:val="none"/>
        </w:rPr>
        <w:t xml:space="preserve">7</w:t>
      </w:r>
      <w:r>
        <w:rPr>
          <w:rFonts w:hint="eastAsia" w:ascii="宋体" w:hAnsi="宋体"/>
          <w:color w:val="000000" w:themeColor="text1"/>
          <w:sz w:val="24"/>
          <w:szCs w:val="21"/>
          <w:highlight w:val="none"/>
        </w:rPr>
        <w:t xml:space="preserve">.与本投标有关的正式通讯地址为：</w:t>
      </w:r>
      <w:r>
        <w:rPr>
          <w:rFonts w:ascii="宋体" w:hAnsi="宋体"/>
          <w:color w:val="000000" w:themeColor="text1"/>
          <w:sz w:val="24"/>
          <w:szCs w:val="21"/>
          <w:highlight w:val="none"/>
        </w:rPr>
      </w:r>
      <w:r>
        <w:rPr>
          <w:color w:val="000000" w:themeColor="text1"/>
          <w:highlight w:val="none"/>
        </w:rPr>
      </w:r>
    </w:p>
    <w:p>
      <w:pPr>
        <w:pStyle w:val="98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地        址：</w:t>
      </w:r>
      <w:r>
        <w:rPr>
          <w:rFonts w:ascii="宋体" w:hAnsi="宋体"/>
          <w:color w:val="000000" w:themeColor="text1"/>
          <w:sz w:val="24"/>
          <w:szCs w:val="21"/>
          <w:highlight w:val="none"/>
        </w:rPr>
      </w:r>
      <w:r>
        <w:rPr>
          <w:color w:val="000000" w:themeColor="text1"/>
          <w:highlight w:val="none"/>
        </w:rPr>
      </w:r>
    </w:p>
    <w:p>
      <w:pPr>
        <w:pStyle w:val="98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邮        编：</w:t>
      </w:r>
      <w:r>
        <w:rPr>
          <w:rFonts w:ascii="宋体" w:hAnsi="宋体"/>
          <w:color w:val="000000" w:themeColor="text1"/>
          <w:sz w:val="24"/>
          <w:szCs w:val="21"/>
          <w:highlight w:val="none"/>
        </w:rPr>
      </w:r>
      <w:r>
        <w:rPr>
          <w:color w:val="000000" w:themeColor="text1"/>
          <w:highlight w:val="none"/>
        </w:rPr>
      </w:r>
    </w:p>
    <w:p>
      <w:pPr>
        <w:pStyle w:val="98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电        话：</w:t>
      </w:r>
      <w:r>
        <w:rPr>
          <w:rFonts w:ascii="宋体" w:hAnsi="宋体"/>
          <w:color w:val="000000" w:themeColor="text1"/>
          <w:sz w:val="24"/>
          <w:szCs w:val="21"/>
          <w:highlight w:val="none"/>
        </w:rPr>
      </w:r>
      <w:r>
        <w:rPr>
          <w:color w:val="000000" w:themeColor="text1"/>
          <w:highlight w:val="none"/>
        </w:rPr>
      </w:r>
    </w:p>
    <w:p>
      <w:pPr>
        <w:pStyle w:val="98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传        真：</w:t>
      </w:r>
      <w:r>
        <w:rPr>
          <w:rFonts w:ascii="宋体" w:hAnsi="宋体"/>
          <w:color w:val="000000" w:themeColor="text1"/>
          <w:sz w:val="24"/>
          <w:szCs w:val="21"/>
          <w:highlight w:val="none"/>
        </w:rPr>
      </w:r>
      <w:r>
        <w:rPr>
          <w:color w:val="000000" w:themeColor="text1"/>
          <w:highlight w:val="none"/>
        </w:rPr>
      </w:r>
    </w:p>
    <w:p>
      <w:pPr>
        <w:pStyle w:val="98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投标人开户行：</w:t>
      </w:r>
      <w:r>
        <w:rPr>
          <w:rFonts w:ascii="宋体" w:hAnsi="宋体"/>
          <w:color w:val="000000" w:themeColor="text1"/>
          <w:sz w:val="24"/>
          <w:szCs w:val="21"/>
          <w:highlight w:val="none"/>
        </w:rPr>
      </w:r>
      <w:r>
        <w:rPr>
          <w:color w:val="000000" w:themeColor="text1"/>
          <w:highlight w:val="none"/>
        </w:rPr>
      </w:r>
    </w:p>
    <w:p>
      <w:pPr>
        <w:pStyle w:val="98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账        号：</w:t>
      </w:r>
      <w:r>
        <w:rPr>
          <w:rFonts w:ascii="宋体" w:hAnsi="宋体"/>
          <w:color w:val="000000" w:themeColor="text1"/>
          <w:sz w:val="24"/>
          <w:szCs w:val="21"/>
          <w:highlight w:val="none"/>
        </w:rPr>
      </w:r>
      <w:r>
        <w:rPr>
          <w:color w:val="000000" w:themeColor="text1"/>
          <w:highlight w:val="none"/>
        </w:rPr>
      </w:r>
    </w:p>
    <w:p>
      <w:pPr>
        <w:pStyle w:val="982"/>
        <w:ind w:left="420" w:firstLine="480"/>
        <w:jc w:val="left"/>
        <w:spacing w:line="420" w:lineRule="exact"/>
        <w:rPr>
          <w:rFonts w:ascii="宋体" w:hAnsi="宋体"/>
          <w:color w:val="000000" w:themeColor="text1"/>
          <w:sz w:val="24"/>
          <w:szCs w:val="21"/>
          <w:highlight w:val="none"/>
        </w:rPr>
      </w:pPr>
      <w:r>
        <w:rPr>
          <w:rFonts w:hint="eastAsia" w:ascii="宋体" w:hAnsi="宋体"/>
          <w:color w:val="000000" w:themeColor="text1"/>
          <w:sz w:val="24"/>
          <w:szCs w:val="21"/>
          <w:highlight w:val="none"/>
        </w:rPr>
        <w:t xml:space="preserve">日        期：________年____月____日</w:t>
      </w:r>
      <w:r>
        <w:rPr>
          <w:rFonts w:ascii="宋体" w:hAnsi="宋体"/>
          <w:color w:val="000000" w:themeColor="text1"/>
          <w:sz w:val="24"/>
          <w:szCs w:val="21"/>
          <w:highlight w:val="none"/>
        </w:rPr>
      </w:r>
      <w:r>
        <w:rPr>
          <w:color w:val="000000" w:themeColor="text1"/>
          <w:highlight w:val="none"/>
        </w:rPr>
      </w:r>
    </w:p>
    <w:p>
      <w:pPr>
        <w:pStyle w:val="982"/>
        <w:numPr>
          <w:ilvl w:val="0"/>
          <w:numId w:val="8"/>
        </w:numPr>
        <w:ind w:firstLine="321"/>
        <w:jc w:val="center"/>
        <w:spacing w:line="560" w:lineRule="exact"/>
        <w:rPr>
          <w:rFonts w:ascii="宋体" w:hAnsi="宋体" w:cs="宋体"/>
          <w:b/>
          <w:color w:val="000000" w:themeColor="text1"/>
          <w:sz w:val="28"/>
          <w:szCs w:val="28"/>
          <w:highlight w:val="none"/>
        </w:rPr>
        <w:outlineLvl w:val="1"/>
      </w:pPr>
      <w:r>
        <w:rPr>
          <w:rFonts w:hint="eastAsia"/>
          <w:color w:val="000000" w:themeColor="text1"/>
          <w:szCs w:val="21"/>
          <w:highlight w:val="none"/>
        </w:rPr>
        <w:br w:type="page" w:clear="all"/>
      </w:r>
      <w:bookmarkStart w:id="170" w:name="_Toc20163"/>
      <w:r>
        <w:rPr>
          <w:rFonts w:hint="eastAsia" w:ascii="宋体" w:hAnsi="宋体" w:cs="宋体"/>
          <w:iCs/>
          <w:color w:val="000000" w:themeColor="text1"/>
          <w:sz w:val="28"/>
          <w:szCs w:val="28"/>
          <w:highlight w:val="none"/>
        </w:rPr>
        <w:t xml:space="preserve">中小微企业声明函</w:t>
      </w:r>
      <w:bookmarkEnd w:id="170"/>
      <w:r>
        <w:rPr>
          <w:rFonts w:ascii="宋体" w:hAnsi="宋体" w:cs="宋体"/>
          <w:b/>
          <w:color w:val="000000" w:themeColor="text1"/>
          <w:sz w:val="28"/>
          <w:szCs w:val="28"/>
          <w:highlight w:val="none"/>
        </w:rPr>
      </w:r>
      <w:r>
        <w:rPr>
          <w:color w:val="000000" w:themeColor="text1"/>
          <w:highlight w:val="none"/>
        </w:rPr>
      </w:r>
    </w:p>
    <w:p>
      <w:pPr>
        <w:pStyle w:val="982"/>
        <w:ind w:firstLine="281"/>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中小微企业声明函（货物类项目）</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本公司（联合体）郑重声明，根据《政府采购促进中小企业发展管理办法》(财库[2020]46号)的规定，本公司（联合体）参加江苏苏豪创新科技集团有限公司组织的</w:t>
      </w:r>
      <w:r>
        <w:rPr>
          <w:rFonts w:hint="eastAsia" w:ascii="宋体" w:hAnsi="宋体" w:cs="宋体"/>
          <w:color w:val="000000" w:themeColor="text1"/>
          <w:sz w:val="24"/>
          <w:highlight w:val="none"/>
          <w:u w:val="single"/>
        </w:rPr>
        <w:t xml:space="preserve">（单位名称）</w:t>
      </w:r>
      <w:r>
        <w:rPr>
          <w:rFonts w:hint="eastAsia" w:ascii="宋体" w:hAnsi="宋体" w:cs="宋体"/>
          <w:color w:val="000000" w:themeColor="text1"/>
          <w:sz w:val="24"/>
          <w:highlight w:val="none"/>
        </w:rPr>
        <w:t xml:space="preserve">采购编号为</w:t>
      </w:r>
      <w:r>
        <w:rPr>
          <w:rFonts w:hint="eastAsia" w:ascii="宋体" w:hAnsi="宋体" w:cs="宋体"/>
          <w:color w:val="000000" w:themeColor="text1"/>
          <w:sz w:val="24"/>
          <w:szCs w:val="24"/>
          <w:highlight w:val="none"/>
        </w:rPr>
        <w:t xml:space="preserve">JSZC-320</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工业</w:t>
      </w:r>
      <w:r>
        <w:rPr>
          <w:rFonts w:hint="eastAsia" w:ascii="宋体" w:hAnsi="宋体" w:cs="宋体"/>
          <w:color w:val="000000" w:themeColor="text1"/>
          <w:sz w:val="24"/>
          <w:highlight w:val="none"/>
        </w:rPr>
        <w:t xml:space="preserve">行业；制造商为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color w:val="000000" w:themeColor="text1"/>
          <w:sz w:val="24"/>
          <w:highlight w:val="none"/>
          <w:u w:val="single"/>
        </w:rPr>
        <w:t xml:space="preserve">（□中型企业 □小型企业 □微型企业）；</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u w:val="single"/>
        </w:rPr>
        <w:t xml:space="preserve">（标的名称）</w:t>
      </w:r>
      <w:r>
        <w:rPr>
          <w:rFonts w:hint="eastAsia" w:ascii="宋体" w:hAnsi="宋体" w:cs="宋体"/>
          <w:i/>
          <w:color w:val="000000" w:themeColor="text1"/>
          <w:sz w:val="24"/>
          <w:highlight w:val="none"/>
        </w:rPr>
        <w:t xml:space="preserve">，</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工业</w:t>
      </w:r>
      <w:r>
        <w:rPr>
          <w:rFonts w:hint="eastAsia" w:ascii="宋体" w:hAnsi="宋体" w:cs="宋体"/>
          <w:color w:val="000000" w:themeColor="text1"/>
          <w:sz w:val="24"/>
          <w:highlight w:val="none"/>
        </w:rPr>
        <w:t xml:space="preserve">行业；制造商为</w:t>
      </w:r>
      <w:r>
        <w:rPr>
          <w:rFonts w:hint="eastAsia" w:ascii="宋体" w:hAnsi="宋体" w:cs="宋体"/>
          <w:color w:val="000000" w:themeColor="text1"/>
          <w:sz w:val="24"/>
          <w:highlight w:val="none"/>
          <w:u w:val="single"/>
        </w:rPr>
        <w:t xml:space="preserve">（企业名称）</w:t>
      </w:r>
      <w:r>
        <w:rPr>
          <w:rFonts w:hint="eastAsia" w:ascii="宋体" w:hAnsi="宋体" w:cs="宋体"/>
          <w:color w:val="000000" w:themeColor="text1"/>
          <w:sz w:val="24"/>
          <w:highlight w:val="none"/>
        </w:rPr>
        <w:t xml:space="preserve">，从业人员人，营业收入为万元，资产总额为万元，属于</w:t>
      </w:r>
      <w:r>
        <w:rPr>
          <w:rFonts w:hint="eastAsia" w:ascii="宋体" w:hAnsi="宋体" w:cs="宋体"/>
          <w:color w:val="000000" w:themeColor="text1"/>
          <w:sz w:val="24"/>
          <w:highlight w:val="none"/>
          <w:u w:val="single"/>
        </w:rPr>
        <w:t xml:space="preserve">（□中型企业 □小型企业 □微型企业）；</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本企业对上述声明内容的真实性负责。如有虚假，将依法承担相应责任</w:t>
      </w:r>
      <w:r>
        <w:rPr>
          <w:rFonts w:hint="eastAsia" w:ascii="宋体" w:hAnsi="宋体" w:cs="宋体"/>
          <w:color w:val="000000" w:themeColor="text1"/>
          <w:sz w:val="24"/>
          <w:highlight w:val="none"/>
        </w:rPr>
      </w:r>
      <w:r>
        <w:rPr>
          <w:color w:val="000000" w:themeColor="text1"/>
          <w:highlight w:val="none"/>
        </w:rPr>
      </w:r>
    </w:p>
    <w:p>
      <w:pPr>
        <w:pStyle w:val="982"/>
        <w:ind w:right="72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82"/>
        <w:ind w:right="180" w:firstLine="420"/>
        <w:jc w:val="right"/>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企业名称（加盖CA电子公章）：</w:t>
      </w:r>
      <w:r>
        <w:rPr>
          <w:rFonts w:hint="eastAsia" w:ascii="宋体" w:hAnsi="宋体" w:cs="宋体"/>
          <w:color w:val="000000" w:themeColor="text1"/>
          <w:sz w:val="24"/>
          <w:highlight w:val="none"/>
        </w:rPr>
      </w:r>
      <w:r>
        <w:rPr>
          <w:color w:val="000000" w:themeColor="text1"/>
          <w:highlight w:val="none"/>
        </w:rPr>
      </w:r>
    </w:p>
    <w:p>
      <w:pPr>
        <w:pStyle w:val="982"/>
        <w:ind w:right="480" w:firstLine="630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日  期：</w:t>
      </w:r>
      <w:r>
        <w:rPr>
          <w:rFonts w:hint="eastAsia" w:ascii="宋体" w:hAnsi="宋体" w:cs="宋体"/>
          <w:color w:val="000000" w:themeColor="text1"/>
          <w:sz w:val="24"/>
          <w:highlight w:val="none"/>
        </w:rPr>
      </w:r>
      <w:r>
        <w:rPr>
          <w:color w:val="000000" w:themeColor="text1"/>
          <w:highlight w:val="none"/>
        </w:rPr>
      </w:r>
    </w:p>
    <w:p>
      <w:pPr>
        <w:pStyle w:val="982"/>
        <w:ind w:right="480" w:firstLine="630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备注：</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1.从业人员、营业收入、资产总额填报上一年度数据，无上一年度数据的新成立企业可不填报。</w:t>
      </w:r>
      <w:r>
        <w:rPr>
          <w:rFonts w:hint="eastAsia" w:ascii="宋体" w:hAnsi="宋体" w:cs="宋体"/>
          <w:color w:val="000000" w:themeColor="text1"/>
          <w:sz w:val="24"/>
          <w:highlight w:val="none"/>
        </w:rPr>
      </w:r>
      <w:r>
        <w:rPr>
          <w:color w:val="000000" w:themeColor="text1"/>
          <w:highlight w:val="none"/>
        </w:rPr>
      </w:r>
    </w:p>
    <w:p>
      <w:pPr>
        <w:pStyle w:val="982"/>
        <w:ind w:firstLine="562"/>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3.供应商自行勾选制造商的企业规模类型。</w:t>
      </w:r>
      <w:r>
        <w:rPr>
          <w:rFonts w:hint="eastAsia" w:ascii="宋体" w:hAnsi="宋体" w:cs="宋体"/>
          <w:color w:val="000000" w:themeColor="text1"/>
          <w:sz w:val="24"/>
          <w:highlight w:val="none"/>
        </w:rPr>
      </w:r>
      <w:r>
        <w:rPr>
          <w:color w:val="000000" w:themeColor="text1"/>
          <w:highlight w:val="none"/>
        </w:rPr>
      </w:r>
    </w:p>
    <w:p>
      <w:pPr>
        <w:pStyle w:val="982"/>
        <w:numPr>
          <w:ilvl w:val="0"/>
          <w:numId w:val="8"/>
        </w:numPr>
        <w:ind w:firstLine="321"/>
        <w:jc w:val="center"/>
        <w:spacing w:line="460" w:lineRule="exact"/>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br w:type="page" w:clear="all"/>
      </w:r>
      <w:bookmarkStart w:id="171" w:name="_Toc31478"/>
      <w:r>
        <w:rPr>
          <w:rFonts w:hint="eastAsia" w:ascii="宋体" w:hAnsi="宋体" w:cs="宋体"/>
          <w:iCs/>
          <w:color w:val="000000" w:themeColor="text1"/>
          <w:sz w:val="24"/>
          <w:szCs w:val="24"/>
          <w:highlight w:val="none"/>
        </w:rPr>
        <w:t xml:space="preserve">残疾人福利性单位声明函</w:t>
      </w:r>
      <w:bookmarkEnd w:id="171"/>
      <w:r>
        <w:rPr>
          <w:rFonts w:hint="eastAsia" w:ascii="宋体" w:hAnsi="宋体" w:cs="宋体"/>
          <w:b/>
          <w:color w:val="000000" w:themeColor="text1"/>
          <w:sz w:val="24"/>
          <w:szCs w:val="24"/>
          <w:highlight w:val="none"/>
        </w:rPr>
      </w:r>
      <w:r>
        <w:rPr>
          <w:color w:val="000000" w:themeColor="text1"/>
          <w:highlight w:val="none"/>
        </w:rPr>
      </w:r>
    </w:p>
    <w:p>
      <w:pPr>
        <w:pStyle w:val="982"/>
        <w:ind w:left="561" w:hanging="141"/>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残疾人福利性单位声明函（货物类项目）</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000000" w:themeColor="text1"/>
          <w:sz w:val="24"/>
          <w:szCs w:val="24"/>
          <w:highlight w:val="none"/>
        </w:rPr>
        <w:t xml:space="preserve">JSZC-320</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u w:val="single"/>
        </w:rPr>
        <w:t xml:space="preserve">****</w:t>
      </w:r>
      <w:r>
        <w:rPr>
          <w:rFonts w:hint="eastAsia" w:ascii="宋体" w:hAnsi="宋体" w:cs="宋体"/>
          <w:color w:val="000000" w:themeColor="text1"/>
          <w:sz w:val="24"/>
          <w:highlight w:val="none"/>
        </w:rPr>
        <w:t xml:space="preserve">的项目采购活动提供本单位制造的货物，或者提供其他残疾人福利性单位制造的货物（不包括使用非残疾人福利性单位注册商标的货物）。</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本单位对上述声明的真实性负责。如有虚假，将依法承担相应责任。</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备注：</w:t>
      </w:r>
      <w:r>
        <w:rPr>
          <w:rFonts w:hint="eastAsia" w:ascii="宋体" w:hAnsi="宋体" w:cs="宋体"/>
          <w:color w:val="000000" w:themeColor="text1"/>
          <w:sz w:val="24"/>
          <w:highlight w:val="none"/>
        </w:rPr>
      </w:r>
      <w:r>
        <w:rPr>
          <w:color w:val="000000" w:themeColor="text1"/>
          <w:highlight w:val="none"/>
        </w:rPr>
      </w:r>
    </w:p>
    <w:p>
      <w:pPr>
        <w:pStyle w:val="982"/>
        <w:ind w:firstLine="562"/>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2. 非专门面向中小微型企业采购的项目，供应商如不提供此声明函，价格将不做相应扣除。</w:t>
      </w:r>
      <w:r>
        <w:rPr>
          <w:rFonts w:hint="eastAsia" w:ascii="宋体" w:hAnsi="宋体" w:cs="宋体"/>
          <w:color w:val="000000" w:themeColor="text1"/>
          <w:sz w:val="24"/>
          <w:highlight w:val="none"/>
        </w:rPr>
      </w:r>
      <w:r>
        <w:rPr>
          <w:color w:val="000000" w:themeColor="text1"/>
          <w:highlight w:val="none"/>
        </w:rPr>
      </w:r>
    </w:p>
    <w:p>
      <w:pPr>
        <w:pStyle w:val="982"/>
        <w:ind w:firstLine="560"/>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3.中标/成交供应商为残疾人福利性单位的，此声明函将随中标/成交结果同时公告，接受社会监督。</w:t>
      </w:r>
      <w:r>
        <w:rPr>
          <w:rFonts w:hint="eastAsia" w:ascii="宋体" w:hAnsi="宋体" w:cs="宋体"/>
          <w:color w:val="000000" w:themeColor="text1"/>
          <w:sz w:val="24"/>
          <w:highlight w:val="none"/>
        </w:rPr>
      </w:r>
      <w:r>
        <w:rPr>
          <w:color w:val="000000" w:themeColor="text1"/>
          <w:highlight w:val="none"/>
        </w:rPr>
      </w:r>
    </w:p>
    <w:p>
      <w:pPr>
        <w:pStyle w:val="982"/>
        <w:ind w:firstLine="584"/>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82"/>
        <w:ind w:right="873" w:firstLine="584"/>
        <w:jc w:val="center"/>
        <w:spacing w:line="479" w:lineRule="atLeast"/>
        <w:tabs>
          <w:tab w:val="left" w:pos="4860" w:leader="none"/>
        </w:tabs>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供应商全称（加盖CA电子章）：</w:t>
      </w:r>
      <w:r>
        <w:rPr>
          <w:rFonts w:hint="eastAsia" w:ascii="宋体" w:hAnsi="宋体" w:cs="宋体"/>
          <w:color w:val="000000" w:themeColor="text1"/>
          <w:sz w:val="24"/>
          <w:highlight w:val="none"/>
        </w:rPr>
      </w:r>
      <w:r>
        <w:rPr>
          <w:color w:val="000000" w:themeColor="text1"/>
          <w:highlight w:val="none"/>
        </w:rPr>
      </w:r>
    </w:p>
    <w:p>
      <w:pPr>
        <w:pStyle w:val="982"/>
        <w:ind w:right="1559" w:firstLine="560"/>
        <w:jc w:val="center"/>
        <w:spacing w:line="479" w:lineRule="atLeast"/>
        <w:tabs>
          <w:tab w:val="left" w:pos="4860" w:leader="none"/>
        </w:tabs>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rPr>
        <w:t xml:space="preserve">        日  期：</w:t>
      </w:r>
      <w:r>
        <w:rPr>
          <w:rFonts w:hint="eastAsia" w:ascii="宋体" w:hAnsi="宋体" w:cs="宋体"/>
          <w:color w:val="000000" w:themeColor="text1"/>
          <w:sz w:val="24"/>
          <w:highlight w:val="none"/>
        </w:rPr>
      </w:r>
      <w:r>
        <w:rPr>
          <w:color w:val="000000" w:themeColor="text1"/>
          <w:highlight w:val="none"/>
        </w:rPr>
      </w:r>
    </w:p>
    <w:p>
      <w:pPr>
        <w:pStyle w:val="982"/>
        <w:jc w:val="center"/>
        <w:spacing w:line="47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numPr>
          <w:ilvl w:val="0"/>
          <w:numId w:val="8"/>
        </w:numPr>
        <w:ind w:firstLine="321"/>
        <w:jc w:val="center"/>
        <w:spacing w:line="460" w:lineRule="exact"/>
        <w:rPr>
          <w:rFonts w:ascii="宋体" w:hAnsi="宋体" w:cs="宋体"/>
          <w:iCs/>
          <w:color w:val="000000" w:themeColor="text1"/>
          <w:sz w:val="28"/>
          <w:szCs w:val="28"/>
          <w:highlight w:val="none"/>
        </w:rPr>
        <w:outlineLvl w:val="1"/>
      </w:pPr>
      <w:r>
        <w:rPr>
          <w:rFonts w:hint="eastAsia" w:ascii="宋体" w:hAnsi="宋体" w:cs="宋体"/>
          <w:iCs/>
          <w:color w:val="000000" w:themeColor="text1"/>
          <w:sz w:val="28"/>
          <w:szCs w:val="28"/>
          <w:highlight w:val="none"/>
        </w:rPr>
        <w:t xml:space="preserve">技术、商务条款偏离表</w:t>
      </w:r>
      <w:r>
        <w:rPr>
          <w:rFonts w:ascii="宋体" w:hAnsi="宋体" w:cs="宋体"/>
          <w:iCs/>
          <w:color w:val="000000" w:themeColor="text1"/>
          <w:sz w:val="28"/>
          <w:szCs w:val="28"/>
          <w:highlight w:val="none"/>
        </w:rPr>
      </w:r>
      <w:r>
        <w:rPr>
          <w:color w:val="000000" w:themeColor="text1"/>
          <w:highlight w:val="none"/>
        </w:rPr>
      </w:r>
    </w:p>
    <w:p>
      <w:pPr>
        <w:pStyle w:val="982"/>
        <w:ind w:firstLine="281"/>
        <w:jc w:val="center"/>
        <w:spacing w:after="160" w:line="278" w:lineRule="auto"/>
        <w:rPr>
          <w:color w:val="000000" w:themeColor="text1"/>
          <w:sz w:val="28"/>
          <w:szCs w:val="28"/>
          <w:highlight w:val="none"/>
        </w:rPr>
      </w:pPr>
      <w:r>
        <w:rPr>
          <w:rFonts w:ascii="宋体" w:hAnsi="宋体" w:cs="宋体"/>
          <w:b/>
          <w:bCs/>
          <w:color w:val="000000" w:themeColor="text1"/>
          <w:sz w:val="28"/>
          <w:szCs w:val="28"/>
          <w:highlight w:val="none"/>
        </w:rPr>
        <w:t xml:space="preserve">技术要求响应/偏离表</w:t>
      </w:r>
      <w:r>
        <w:rPr>
          <w:color w:val="000000" w:themeColor="text1"/>
          <w:sz w:val="28"/>
          <w:szCs w:val="28"/>
          <w:highlight w:val="none"/>
        </w:rPr>
      </w:r>
      <w:r>
        <w:rPr>
          <w:color w:val="000000" w:themeColor="text1"/>
          <w:highlight w:val="none"/>
        </w:rPr>
      </w:r>
    </w:p>
    <w:p>
      <w:pPr>
        <w:pStyle w:val="98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（根据招标文件第四章</w:t>
      </w:r>
      <w:r>
        <w:rPr>
          <w:rFonts w:ascii="宋体" w:hAnsi="宋体" w:cs="宋体"/>
          <w:b/>
          <w:bCs/>
          <w:color w:val="000000" w:themeColor="text1"/>
          <w:sz w:val="24"/>
          <w:szCs w:val="24"/>
          <w:highlight w:val="none"/>
        </w:rPr>
        <w:t xml:space="preserve">技术要求</w:t>
      </w:r>
      <w:r>
        <w:rPr>
          <w:rFonts w:ascii="宋体" w:hAnsi="宋体" w:cs="宋体"/>
          <w:color w:val="000000" w:themeColor="text1"/>
          <w:sz w:val="24"/>
          <w:szCs w:val="24"/>
          <w:highlight w:val="none"/>
        </w:rPr>
        <w:t xml:space="preserve">的内容填写，必须点对点应答，逐条进行响应）</w:t>
      </w:r>
      <w:r>
        <w:rPr>
          <w:color w:val="000000" w:themeColor="text1"/>
          <w:sz w:val="24"/>
          <w:szCs w:val="24"/>
          <w:highlight w:val="none"/>
        </w:rPr>
      </w:r>
      <w:r>
        <w:rPr>
          <w:color w:val="000000" w:themeColor="text1"/>
          <w:highlight w:val="none"/>
        </w:rPr>
      </w:r>
    </w:p>
    <w:p>
      <w:pPr>
        <w:pStyle w:val="98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项目名称：</w:t>
      </w:r>
      <w:r>
        <w:rPr>
          <w:color w:val="000000" w:themeColor="text1"/>
          <w:sz w:val="24"/>
          <w:szCs w:val="24"/>
          <w:highlight w:val="none"/>
        </w:rPr>
      </w:r>
      <w:r>
        <w:rPr>
          <w:color w:val="000000" w:themeColor="text1"/>
          <w:highlight w:val="none"/>
        </w:rPr>
      </w:r>
    </w:p>
    <w:p>
      <w:pPr>
        <w:pStyle w:val="98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项目编号：</w:t>
      </w:r>
      <w:r>
        <w:rPr>
          <w:color w:val="000000" w:themeColor="text1"/>
          <w:sz w:val="24"/>
          <w:szCs w:val="24"/>
          <w:highlight w:val="none"/>
        </w:rPr>
      </w:r>
      <w:r>
        <w:rPr>
          <w:color w:val="000000" w:themeColor="text1"/>
          <w:highlight w:val="none"/>
        </w:rPr>
      </w:r>
    </w:p>
    <w:tbl>
      <w:tblPr>
        <w:tblW w:w="5102" w:type="pct"/>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8" w:type="dxa"/>
          <w:top w:w="8" w:type="dxa"/>
          <w:right w:w="8" w:type="dxa"/>
          <w:bottom w:w="8" w:type="dxa"/>
        </w:tblCellMar>
        <w:tblLook w:val="04A0" w:firstRow="1" w:lastRow="0" w:firstColumn="1" w:lastColumn="0" w:noHBand="0" w:noVBand="1"/>
      </w:tblPr>
      <w:tblGrid>
        <w:gridCol w:w="993"/>
        <w:gridCol w:w="3218"/>
        <w:gridCol w:w="2239"/>
        <w:gridCol w:w="1580"/>
        <w:gridCol w:w="1243"/>
      </w:tblGrid>
      <w:tr>
        <w:trPr>
          <w:trHeight w:val="1597"/>
        </w:trPr>
        <w:tc>
          <w:tcPr>
            <w:tcMar>
              <w:left w:w="8" w:type="dxa"/>
              <w:top w:w="8" w:type="dxa"/>
              <w:right w:w="8" w:type="dxa"/>
              <w:bottom w:w="8" w:type="dxa"/>
            </w:tcMar>
            <w:tcW w:w="992" w:type="dxa"/>
            <w:vAlign w:val="center"/>
            <w:textDirection w:val="lrTb"/>
            <w:noWrap w:val="false"/>
          </w:tcPr>
          <w:p>
            <w:pPr>
              <w:pStyle w:val="98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序号</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3213" w:type="dxa"/>
            <w:vAlign w:val="center"/>
            <w:textDirection w:val="lrTb"/>
            <w:noWrap w:val="false"/>
          </w:tcPr>
          <w:p>
            <w:pPr>
              <w:pStyle w:val="98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招标文件技术要求条款</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235" w:type="dxa"/>
            <w:vAlign w:val="center"/>
            <w:textDirection w:val="lrTb"/>
            <w:noWrap w:val="false"/>
          </w:tcPr>
          <w:p>
            <w:pPr>
              <w:pStyle w:val="98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投标人技术响应</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1577" w:type="dxa"/>
            <w:vAlign w:val="center"/>
            <w:textDirection w:val="lrTb"/>
            <w:noWrap w:val="false"/>
          </w:tcPr>
          <w:p>
            <w:pPr>
              <w:pStyle w:val="98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符合</w:t>
            </w:r>
            <w:r>
              <w:rPr>
                <w:color w:val="000000" w:themeColor="text1"/>
                <w:sz w:val="24"/>
                <w:szCs w:val="24"/>
                <w:highlight w:val="none"/>
              </w:rPr>
              <w:t xml:space="preserve">/</w:t>
            </w:r>
            <w:r>
              <w:rPr>
                <w:rFonts w:ascii="宋体" w:hAnsi="宋体" w:cs="宋体"/>
                <w:color w:val="000000" w:themeColor="text1"/>
                <w:sz w:val="24"/>
                <w:szCs w:val="24"/>
                <w:highlight w:val="none"/>
              </w:rPr>
              <w:t xml:space="preserve">正偏离</w:t>
            </w:r>
            <w:r>
              <w:rPr>
                <w:color w:val="000000" w:themeColor="text1"/>
                <w:sz w:val="24"/>
                <w:szCs w:val="24"/>
                <w:highlight w:val="none"/>
              </w:rPr>
              <w:t xml:space="preserve">/</w:t>
            </w:r>
            <w:r>
              <w:rPr>
                <w:rFonts w:ascii="宋体" w:hAnsi="宋体" w:cs="宋体"/>
                <w:color w:val="000000" w:themeColor="text1"/>
                <w:sz w:val="24"/>
                <w:szCs w:val="24"/>
                <w:highlight w:val="none"/>
              </w:rPr>
              <w:t xml:space="preserve">负偏离</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1241" w:type="dxa"/>
            <w:vAlign w:val="center"/>
            <w:textDirection w:val="lrTb"/>
            <w:noWrap w:val="false"/>
          </w:tcPr>
          <w:p>
            <w:pPr>
              <w:pStyle w:val="982"/>
              <w:spacing w:after="160" w:line="278" w:lineRule="auto"/>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98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证明</w:t>
            </w:r>
            <w:r>
              <w:rPr>
                <w:color w:val="000000" w:themeColor="text1"/>
                <w:sz w:val="24"/>
                <w:szCs w:val="24"/>
                <w:highlight w:val="none"/>
              </w:rPr>
            </w:r>
            <w:r>
              <w:rPr>
                <w:color w:val="000000" w:themeColor="text1"/>
                <w:highlight w:val="none"/>
              </w:rPr>
            </w:r>
          </w:p>
          <w:p>
            <w:pPr>
              <w:pStyle w:val="982"/>
              <w:jc w:val="center"/>
              <w:spacing w:after="160" w:line="278" w:lineRule="auto"/>
              <w:rPr>
                <w:rFonts w:hint="eastAsia"/>
                <w:color w:val="000000" w:themeColor="text1"/>
                <w:sz w:val="24"/>
                <w:szCs w:val="24"/>
                <w:highlight w:val="none"/>
              </w:rPr>
            </w:pPr>
            <w:r>
              <w:rPr>
                <w:rFonts w:ascii="宋体" w:hAnsi="宋体" w:cs="宋体"/>
                <w:color w:val="000000" w:themeColor="text1"/>
                <w:sz w:val="24"/>
                <w:szCs w:val="24"/>
                <w:highlight w:val="none"/>
              </w:rPr>
              <w:t xml:space="preserve">材料</w:t>
            </w:r>
            <w:r>
              <w:rPr>
                <w:rFonts w:hint="eastAsia" w:ascii="宋体" w:hAnsi="宋体" w:cs="宋体"/>
                <w:color w:val="000000" w:themeColor="text1"/>
                <w:sz w:val="24"/>
                <w:szCs w:val="24"/>
                <w:highlight w:val="none"/>
              </w:rPr>
              <w:t xml:space="preserve">页码</w:t>
            </w:r>
            <w:r>
              <w:rPr>
                <w:rFonts w:hint="eastAsia"/>
                <w:color w:val="000000" w:themeColor="text1"/>
                <w:sz w:val="24"/>
                <w:szCs w:val="24"/>
                <w:highlight w:val="none"/>
              </w:rPr>
            </w:r>
            <w:r>
              <w:rPr>
                <w:color w:val="000000" w:themeColor="text1"/>
                <w:highlight w:val="none"/>
              </w:rPr>
            </w:r>
          </w:p>
        </w:tc>
      </w:tr>
      <w:tr>
        <w:trPr>
          <w:trHeight w:val="632"/>
        </w:trPr>
        <w:tc>
          <w:tcPr>
            <w:tcMar>
              <w:left w:w="8" w:type="dxa"/>
              <w:top w:w="8" w:type="dxa"/>
              <w:right w:w="8" w:type="dxa"/>
              <w:bottom w:w="8" w:type="dxa"/>
            </w:tcMar>
            <w:tcW w:w="992" w:type="dxa"/>
            <w:vAlign w:val="center"/>
            <w:textDirection w:val="lrTb"/>
            <w:noWrap w:val="false"/>
          </w:tcPr>
          <w:p>
            <w:pPr>
              <w:pStyle w:val="98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3213"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2235"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577"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241"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29"/>
        </w:trPr>
        <w:tc>
          <w:tcPr>
            <w:tcMar>
              <w:left w:w="8" w:type="dxa"/>
              <w:top w:w="8" w:type="dxa"/>
              <w:right w:w="8" w:type="dxa"/>
              <w:bottom w:w="5" w:type="dxa"/>
            </w:tcMar>
            <w:tcW w:w="992" w:type="dxa"/>
            <w:vAlign w:val="center"/>
            <w:textDirection w:val="lrTb"/>
            <w:noWrap w:val="false"/>
          </w:tcPr>
          <w:p>
            <w:pPr>
              <w:pStyle w:val="98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3213"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2235"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577"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241"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29"/>
        </w:trPr>
        <w:tc>
          <w:tcPr>
            <w:tcMar>
              <w:left w:w="8" w:type="dxa"/>
              <w:top w:w="8" w:type="dxa"/>
              <w:right w:w="8" w:type="dxa"/>
              <w:bottom w:w="5" w:type="dxa"/>
            </w:tcMar>
            <w:tcW w:w="992" w:type="dxa"/>
            <w:vAlign w:val="center"/>
            <w:textDirection w:val="lrTb"/>
            <w:noWrap w:val="false"/>
          </w:tcPr>
          <w:p>
            <w:pPr>
              <w:pStyle w:val="98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3213"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2235"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577"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241"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29"/>
        </w:trPr>
        <w:tc>
          <w:tcPr>
            <w:tcMar>
              <w:left w:w="8" w:type="dxa"/>
              <w:top w:w="8" w:type="dxa"/>
              <w:right w:w="8" w:type="dxa"/>
              <w:bottom w:w="5" w:type="dxa"/>
            </w:tcMar>
            <w:tcW w:w="992" w:type="dxa"/>
            <w:vAlign w:val="center"/>
            <w:textDirection w:val="lrTb"/>
            <w:noWrap w:val="false"/>
          </w:tcPr>
          <w:p>
            <w:pPr>
              <w:pStyle w:val="98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3213"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2235"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577"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5" w:type="dxa"/>
            </w:tcMar>
            <w:tcW w:w="1241"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32"/>
        </w:trPr>
        <w:tc>
          <w:tcPr>
            <w:tcMar>
              <w:left w:w="8" w:type="dxa"/>
              <w:top w:w="8" w:type="dxa"/>
              <w:right w:w="8" w:type="dxa"/>
              <w:bottom w:w="8" w:type="dxa"/>
            </w:tcMar>
            <w:tcW w:w="992" w:type="dxa"/>
            <w:vAlign w:val="center"/>
            <w:textDirection w:val="lrTb"/>
            <w:noWrap w:val="false"/>
          </w:tcPr>
          <w:p>
            <w:pPr>
              <w:pStyle w:val="98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3213"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2235"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577"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241"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r>
      <w:tr>
        <w:trPr>
          <w:trHeight w:val="647"/>
        </w:trPr>
        <w:tc>
          <w:tcPr>
            <w:tcMar>
              <w:left w:w="8" w:type="dxa"/>
              <w:top w:w="8" w:type="dxa"/>
              <w:right w:w="8" w:type="dxa"/>
              <w:bottom w:w="8" w:type="dxa"/>
            </w:tcMar>
            <w:tcW w:w="992" w:type="dxa"/>
            <w:vAlign w:val="center"/>
            <w:textDirection w:val="lrTb"/>
            <w:noWrap w:val="false"/>
          </w:tcPr>
          <w:p>
            <w:pPr>
              <w:pStyle w:val="982"/>
              <w:jc w:val="center"/>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3213"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2235"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577"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c>
          <w:tcPr>
            <w:tcMar>
              <w:left w:w="8" w:type="dxa"/>
              <w:top w:w="8" w:type="dxa"/>
              <w:right w:w="8" w:type="dxa"/>
              <w:bottom w:w="8" w:type="dxa"/>
            </w:tcMar>
            <w:tcW w:w="1241" w:type="dxa"/>
            <w:vAlign w:val="center"/>
            <w:textDirection w:val="lrTb"/>
            <w:noWrap w:val="false"/>
          </w:tcPr>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tc>
      </w:tr>
    </w:tbl>
    <w:p>
      <w:pPr>
        <w:pStyle w:val="982"/>
        <w:spacing w:after="160" w:line="240" w:lineRule="atLeast"/>
        <w:rPr>
          <w:color w:val="000000" w:themeColor="text1"/>
          <w:highlight w:val="none"/>
        </w:rPr>
      </w:pPr>
      <w:r>
        <w:rPr>
          <w:rFonts w:ascii="宋体" w:hAnsi="宋体" w:cs="宋体"/>
          <w:color w:val="000000" w:themeColor="text1"/>
          <w:highlight w:val="none"/>
        </w:rPr>
        <w:t xml:space="preserve">注：</w:t>
      </w:r>
      <w:r>
        <w:rPr>
          <w:color w:val="000000" w:themeColor="text1"/>
          <w:highlight w:val="none"/>
        </w:rPr>
      </w:r>
    </w:p>
    <w:p>
      <w:pPr>
        <w:pStyle w:val="982"/>
        <w:spacing w:after="160" w:line="240" w:lineRule="atLeast"/>
        <w:rPr>
          <w:color w:val="000000" w:themeColor="text1"/>
          <w:highlight w:val="none"/>
        </w:rPr>
      </w:pPr>
      <w:r>
        <w:rPr>
          <w:rFonts w:ascii="宋体" w:hAnsi="宋体" w:cs="宋体"/>
          <w:color w:val="000000" w:themeColor="text1"/>
          <w:highlight w:val="none"/>
        </w:rPr>
        <w:t xml:space="preserve">1.行数不够，可自行添加；</w:t>
      </w:r>
      <w:r>
        <w:rPr>
          <w:color w:val="000000" w:themeColor="text1"/>
          <w:highlight w:val="none"/>
        </w:rPr>
      </w:r>
    </w:p>
    <w:p>
      <w:pPr>
        <w:pStyle w:val="982"/>
        <w:spacing w:after="160" w:line="240" w:lineRule="atLeast"/>
        <w:rPr>
          <w:color w:val="000000" w:themeColor="text1"/>
          <w:highlight w:val="none"/>
        </w:rPr>
      </w:pPr>
      <w:r>
        <w:rPr>
          <w:rFonts w:ascii="宋体" w:hAnsi="宋体" w:cs="宋体"/>
          <w:color w:val="000000" w:themeColor="text1"/>
          <w:highlight w:val="none"/>
        </w:rPr>
        <w:t xml:space="preserve">2.本表需要对招标文件</w:t>
      </w:r>
      <w:r>
        <w:rPr>
          <w:rFonts w:ascii="宋体" w:hAnsi="宋体" w:cs="宋体"/>
          <w:b/>
          <w:bCs/>
          <w:color w:val="000000" w:themeColor="text1"/>
          <w:highlight w:val="none"/>
        </w:rPr>
        <w:t xml:space="preserve">要求</w:t>
      </w:r>
      <w:r>
        <w:rPr>
          <w:rFonts w:ascii="宋体" w:hAnsi="宋体" w:cs="宋体"/>
          <w:color w:val="000000" w:themeColor="text1"/>
          <w:highlight w:val="none"/>
        </w:rPr>
        <w:t xml:space="preserve">逐项响应，</w:t>
      </w:r>
      <w:r>
        <w:rPr>
          <w:rFonts w:ascii="宋体" w:hAnsi="宋体" w:cs="宋体"/>
          <w:color w:val="000000" w:themeColor="text1"/>
          <w:highlight w:val="none"/>
        </w:rPr>
        <w:t xml:space="preserve">加注“▲”符号以及一般参数里明确要求提供证明材料的必须提供技术证明材料，</w:t>
      </w:r>
      <w:r>
        <w:rPr>
          <w:rFonts w:hint="eastAsia" w:ascii="宋体" w:hAnsi="宋体" w:cs="宋体"/>
          <w:color w:val="000000" w:themeColor="text1"/>
          <w:highlight w:val="none"/>
        </w:rPr>
        <w:t xml:space="preserve">如产品说明书、注册证及附页等技术支持资料等</w:t>
      </w:r>
      <w:r>
        <w:rPr>
          <w:rFonts w:hint="eastAsia" w:ascii="宋体" w:hAnsi="宋体" w:cs="宋体"/>
          <w:color w:val="000000" w:themeColor="text1"/>
          <w:highlight w:val="none"/>
        </w:rPr>
        <w:t xml:space="preserve">（功能参数应进行明显标注，采用如箭头、标红或下划线等方式标注，以便评委查看）</w:t>
      </w:r>
      <w:r>
        <w:rPr>
          <w:rFonts w:ascii="宋体" w:hAnsi="宋体" w:cs="宋体"/>
          <w:color w:val="000000" w:themeColor="text1"/>
          <w:highlight w:val="none"/>
        </w:rPr>
        <w:t xml:space="preserve">。如厂家的</w:t>
      </w:r>
      <w:r>
        <w:rPr>
          <w:rFonts w:hint="eastAsia" w:ascii="宋体" w:hAnsi="宋体" w:cs="宋体"/>
          <w:color w:val="000000" w:themeColor="text1"/>
          <w:highlight w:val="none"/>
        </w:rPr>
        <w:t xml:space="preserve">证明材料</w:t>
      </w:r>
      <w:r>
        <w:rPr>
          <w:rFonts w:ascii="宋体" w:hAnsi="宋体" w:cs="宋体"/>
          <w:color w:val="000000" w:themeColor="text1"/>
          <w:highlight w:val="none"/>
        </w:rPr>
        <w:t xml:space="preserve">为英文版，</w:t>
      </w:r>
      <w:r>
        <w:rPr>
          <w:rFonts w:hint="eastAsia" w:ascii="宋体" w:hAnsi="宋体" w:cs="宋体"/>
          <w:color w:val="000000" w:themeColor="text1"/>
          <w:highlight w:val="none"/>
        </w:rPr>
        <w:t xml:space="preserve">应</w:t>
      </w:r>
      <w:r>
        <w:rPr>
          <w:rFonts w:ascii="宋体" w:hAnsi="宋体" w:cs="宋体"/>
          <w:color w:val="000000" w:themeColor="text1"/>
          <w:highlight w:val="none"/>
        </w:rPr>
        <w:t xml:space="preserve">同时提供中文版或翻译件。评委会将根据提供的佐证材料评定投标产品对招标文件技术要求的响应情况。无相关资料证实的，评委会有权做负偏离处理。</w:t>
      </w:r>
      <w:r>
        <w:rPr>
          <w:color w:val="000000" w:themeColor="text1"/>
          <w:highlight w:val="none"/>
        </w:rPr>
      </w:r>
    </w:p>
    <w:p>
      <w:pPr>
        <w:pStyle w:val="982"/>
        <w:spacing w:after="160" w:line="360" w:lineRule="auto"/>
        <w:rPr>
          <w:color w:val="000000" w:themeColor="text1"/>
          <w:highlight w:val="none"/>
        </w:rPr>
      </w:pPr>
      <w:r>
        <w:rPr>
          <w:rFonts w:ascii="宋体" w:hAnsi="宋体" w:cs="宋体"/>
          <w:color w:val="000000" w:themeColor="text1"/>
          <w:highlight w:val="none"/>
        </w:rPr>
        <w:t xml:space="preserve">3.投标人需确保提供佐证材料的真实性，如被认定提供实质性虚假材料，将会导致无效投标处理。</w:t>
      </w:r>
      <w:r>
        <w:rPr>
          <w:color w:val="000000" w:themeColor="text1"/>
          <w:highlight w:val="none"/>
        </w:rPr>
      </w:r>
    </w:p>
    <w:p>
      <w:pPr>
        <w:pStyle w:val="98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投标人名称（加盖CA电子公章）：____________</w:t>
      </w:r>
      <w:r>
        <w:rPr>
          <w:color w:val="000000" w:themeColor="text1"/>
          <w:sz w:val="24"/>
          <w:szCs w:val="24"/>
          <w:highlight w:val="none"/>
        </w:rPr>
      </w:r>
      <w:r>
        <w:rPr>
          <w:color w:val="000000" w:themeColor="text1"/>
          <w:highlight w:val="none"/>
        </w:rPr>
      </w:r>
    </w:p>
    <w:p>
      <w:pPr>
        <w:pStyle w:val="98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日期：_____年______月______日   </w:t>
      </w:r>
      <w:r>
        <w:rPr>
          <w:color w:val="000000" w:themeColor="text1"/>
          <w:sz w:val="24"/>
          <w:szCs w:val="24"/>
          <w:highlight w:val="none"/>
        </w:rPr>
      </w:r>
      <w:r>
        <w:rPr>
          <w:color w:val="000000" w:themeColor="text1"/>
          <w:highlight w:val="none"/>
        </w:rPr>
      </w:r>
    </w:p>
    <w:p>
      <w:pPr>
        <w:pStyle w:val="982"/>
        <w:rPr>
          <w:rFonts w:ascii="宋体" w:hAnsi="宋体" w:cs="宋体"/>
          <w:b/>
          <w:bCs/>
          <w:color w:val="000000" w:themeColor="text1"/>
          <w:sz w:val="28"/>
          <w:szCs w:val="28"/>
          <w:highlight w:val="none"/>
        </w:rPr>
      </w:pPr>
      <w:r>
        <w:rPr>
          <w:rFonts w:ascii="宋体" w:hAnsi="宋体" w:cs="宋体"/>
          <w:b/>
          <w:bCs/>
          <w:color w:val="000000" w:themeColor="text1"/>
          <w:sz w:val="28"/>
          <w:szCs w:val="28"/>
          <w:highlight w:val="none"/>
        </w:rPr>
        <w:br w:type="page" w:clear="all"/>
      </w:r>
      <w:r>
        <w:rPr>
          <w:rFonts w:ascii="宋体" w:hAnsi="宋体" w:cs="宋体"/>
          <w:b/>
          <w:bCs/>
          <w:color w:val="000000" w:themeColor="text1"/>
          <w:sz w:val="28"/>
          <w:szCs w:val="28"/>
          <w:highlight w:val="none"/>
        </w:rPr>
      </w:r>
      <w:r>
        <w:rPr>
          <w:color w:val="000000" w:themeColor="text1"/>
          <w:highlight w:val="none"/>
        </w:rPr>
      </w:r>
    </w:p>
    <w:p>
      <w:pPr>
        <w:pStyle w:val="982"/>
        <w:ind w:firstLine="281"/>
        <w:jc w:val="center"/>
        <w:spacing w:after="160" w:line="278" w:lineRule="auto"/>
        <w:rPr>
          <w:color w:val="000000" w:themeColor="text1"/>
          <w:sz w:val="28"/>
          <w:szCs w:val="28"/>
          <w:highlight w:val="none"/>
        </w:rPr>
      </w:pPr>
      <w:r>
        <w:rPr>
          <w:rFonts w:ascii="宋体" w:hAnsi="宋体" w:cs="宋体"/>
          <w:b/>
          <w:bCs/>
          <w:color w:val="000000" w:themeColor="text1"/>
          <w:sz w:val="28"/>
          <w:szCs w:val="28"/>
          <w:highlight w:val="none"/>
        </w:rPr>
        <w:t xml:space="preserve">商务要求响应/偏离表</w:t>
      </w:r>
      <w:r>
        <w:rPr>
          <w:color w:val="000000" w:themeColor="text1"/>
          <w:sz w:val="28"/>
          <w:szCs w:val="28"/>
          <w:highlight w:val="none"/>
        </w:rPr>
      </w:r>
      <w:r>
        <w:rPr>
          <w:color w:val="000000" w:themeColor="text1"/>
          <w:highlight w:val="none"/>
        </w:rPr>
      </w:r>
    </w:p>
    <w:p>
      <w:pPr>
        <w:pStyle w:val="982"/>
        <w:jc w:val="center"/>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（根据招标文件第四章 </w:t>
      </w:r>
      <w:r>
        <w:rPr>
          <w:rFonts w:hint="eastAsia" w:ascii="宋体" w:hAnsi="宋体" w:cs="宋体"/>
          <w:color w:val="000000" w:themeColor="text1"/>
          <w:sz w:val="24"/>
          <w:szCs w:val="24"/>
          <w:highlight w:val="none"/>
        </w:rPr>
        <w:t xml:space="preserve">四</w:t>
      </w:r>
      <w:r>
        <w:rPr>
          <w:rFonts w:ascii="宋体" w:hAnsi="宋体" w:cs="宋体"/>
          <w:color w:val="000000" w:themeColor="text1"/>
          <w:sz w:val="24"/>
          <w:szCs w:val="24"/>
          <w:highlight w:val="none"/>
        </w:rPr>
        <w:t xml:space="preserve">、商务要求的内容填写，必须点对点应答，逐条进行响应）</w:t>
      </w:r>
      <w:r>
        <w:rPr>
          <w:color w:val="000000" w:themeColor="text1"/>
          <w:sz w:val="24"/>
          <w:szCs w:val="24"/>
          <w:highlight w:val="none"/>
        </w:rPr>
      </w:r>
      <w:r>
        <w:rPr>
          <w:color w:val="000000" w:themeColor="text1"/>
          <w:highlight w:val="none"/>
        </w:rPr>
      </w:r>
    </w:p>
    <w:p>
      <w:pPr>
        <w:pStyle w:val="98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项目名称：</w:t>
      </w:r>
      <w:r>
        <w:rPr>
          <w:color w:val="000000" w:themeColor="text1"/>
          <w:sz w:val="24"/>
          <w:szCs w:val="24"/>
          <w:highlight w:val="none"/>
        </w:rPr>
      </w:r>
      <w:r>
        <w:rPr>
          <w:color w:val="000000" w:themeColor="text1"/>
          <w:highlight w:val="none"/>
        </w:rPr>
      </w:r>
    </w:p>
    <w:p>
      <w:pPr>
        <w:pStyle w:val="982"/>
        <w:spacing w:after="160" w:line="278" w:lineRule="auto"/>
        <w:rPr>
          <w:color w:val="000000" w:themeColor="text1"/>
          <w:sz w:val="24"/>
          <w:szCs w:val="24"/>
          <w:highlight w:val="none"/>
        </w:rPr>
      </w:pPr>
      <w:r>
        <w:rPr>
          <w:rFonts w:ascii="宋体" w:hAnsi="宋体" w:cs="宋体"/>
          <w:color w:val="000000" w:themeColor="text1"/>
          <w:sz w:val="24"/>
          <w:szCs w:val="24"/>
          <w:highlight w:val="none"/>
        </w:rPr>
        <w:t xml:space="preserve">项目编号：</w:t>
      </w:r>
      <w:r>
        <w:rPr>
          <w:color w:val="000000" w:themeColor="text1"/>
          <w:sz w:val="24"/>
          <w:szCs w:val="24"/>
          <w:highlight w:val="none"/>
        </w:rPr>
      </w:r>
      <w:r>
        <w:rPr>
          <w:color w:val="000000" w:themeColor="text1"/>
          <w:highlight w:val="none"/>
        </w:rPr>
      </w:r>
    </w:p>
    <w:tbl>
      <w:tblPr>
        <w:tblpPr w:horzAnchor="text" w:tblpXSpec="left" w:vertAnchor="text" w:tblpY="1" w:leftFromText="180" w:topFromText="0" w:rightFromText="180" w:bottomFromText="0"/>
        <w:tblW w:w="4750"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8" w:type="dxa"/>
          <w:top w:w="8" w:type="dxa"/>
          <w:right w:w="8" w:type="dxa"/>
          <w:bottom w:w="8" w:type="dxa"/>
        </w:tblCellMar>
        <w:tblLook w:val="04A0" w:firstRow="1" w:lastRow="0" w:firstColumn="1" w:lastColumn="0" w:noHBand="0" w:noVBand="1"/>
      </w:tblPr>
      <w:tblGrid>
        <w:gridCol w:w="958"/>
        <w:gridCol w:w="2159"/>
        <w:gridCol w:w="2159"/>
        <w:gridCol w:w="2159"/>
        <w:gridCol w:w="1199"/>
      </w:tblGrid>
      <w:tr>
        <w:trPr>
          <w:trHeight w:val="694"/>
        </w:trPr>
        <w:tc>
          <w:tcPr>
            <w:tcMar>
              <w:left w:w="8" w:type="dxa"/>
              <w:top w:w="8" w:type="dxa"/>
              <w:right w:w="8" w:type="dxa"/>
              <w:bottom w:w="8" w:type="dxa"/>
            </w:tcMar>
            <w:tcW w:w="1040" w:type="dxa"/>
            <w:vAlign w:val="center"/>
            <w:textDirection w:val="lrTb"/>
            <w:noWrap w:val="false"/>
          </w:tcPr>
          <w:p>
            <w:pPr>
              <w:pStyle w:val="98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序号</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招标文件商务要求条款</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投标人商务响应</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符合</w:t>
            </w:r>
            <w:r>
              <w:rPr>
                <w:color w:val="000000" w:themeColor="text1"/>
                <w:sz w:val="24"/>
                <w:szCs w:val="24"/>
                <w:highlight w:val="none"/>
              </w:rPr>
              <w:t xml:space="preserve">/</w:t>
            </w:r>
            <w:r>
              <w:rPr>
                <w:rFonts w:ascii="宋体" w:hAnsi="宋体" w:cs="宋体"/>
                <w:color w:val="000000" w:themeColor="text1"/>
                <w:sz w:val="24"/>
                <w:szCs w:val="24"/>
                <w:highlight w:val="none"/>
              </w:rPr>
              <w:t xml:space="preserve">正偏离</w:t>
            </w:r>
            <w:r>
              <w:rPr>
                <w:color w:val="000000" w:themeColor="text1"/>
                <w:sz w:val="24"/>
                <w:szCs w:val="24"/>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82"/>
              <w:jc w:val="center"/>
              <w:spacing w:after="160" w:line="278" w:lineRule="auto"/>
              <w:rPr>
                <w:color w:val="000000" w:themeColor="text1"/>
                <w:sz w:val="24"/>
                <w:szCs w:val="24"/>
                <w:highlight w:val="none"/>
              </w:rPr>
              <w:framePr w:vAnchor="margin" w:hAnchor="page" w:y="1"/>
            </w:pPr>
            <w:r>
              <w:rPr>
                <w:rFonts w:ascii="宋体" w:hAnsi="宋体" w:cs="宋体"/>
                <w:color w:val="000000" w:themeColor="text1"/>
                <w:sz w:val="24"/>
                <w:szCs w:val="24"/>
                <w:highlight w:val="none"/>
              </w:rPr>
              <w:t xml:space="preserve">备注</w:t>
            </w:r>
            <w:r>
              <w:rPr>
                <w:color w:val="000000" w:themeColor="text1"/>
                <w:sz w:val="24"/>
                <w:szCs w:val="24"/>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5"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5"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r>
        <w:trPr>
          <w:trHeight w:val="615"/>
        </w:trPr>
        <w:tc>
          <w:tcPr>
            <w:tcMar>
              <w:left w:w="8" w:type="dxa"/>
              <w:top w:w="8" w:type="dxa"/>
              <w:right w:w="8" w:type="dxa"/>
              <w:bottom w:w="8" w:type="dxa"/>
            </w:tcMar>
            <w:tcW w:w="1040"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2348"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c>
          <w:tcPr>
            <w:tcMar>
              <w:left w:w="8" w:type="dxa"/>
              <w:top w:w="8" w:type="dxa"/>
              <w:right w:w="8" w:type="dxa"/>
              <w:bottom w:w="8" w:type="dxa"/>
            </w:tcMar>
            <w:tcW w:w="1302" w:type="dxa"/>
            <w:vAlign w:val="center"/>
            <w:textDirection w:val="lrTb"/>
            <w:noWrap w:val="false"/>
          </w:tcPr>
          <w:p>
            <w:pPr>
              <w:pStyle w:val="982"/>
              <w:jc w:val="center"/>
              <w:spacing w:after="160" w:line="278" w:lineRule="auto"/>
              <w:rPr>
                <w:color w:val="000000" w:themeColor="text1"/>
                <w:highlight w:val="none"/>
              </w:rPr>
              <w:framePr w:vAnchor="margin" w:hAnchor="page" w:y="1"/>
            </w:pPr>
            <w:r>
              <w:rPr>
                <w:color w:val="000000" w:themeColor="text1"/>
                <w:highlight w:val="none"/>
              </w:rPr>
            </w:r>
            <w:r>
              <w:rPr>
                <w:color w:val="000000" w:themeColor="text1"/>
                <w:highlight w:val="none"/>
              </w:rPr>
            </w:r>
          </w:p>
        </w:tc>
      </w:tr>
    </w:tbl>
    <w:p>
      <w:pPr>
        <w:pStyle w:val="982"/>
        <w:spacing w:after="160" w:line="278" w:lineRule="auto"/>
        <w:rPr>
          <w:color w:val="000000" w:themeColor="text1"/>
          <w:highlight w:val="none"/>
        </w:rPr>
      </w:pPr>
      <w:r>
        <w:rPr>
          <w:color w:val="000000" w:themeColor="text1"/>
          <w:highlight w:val="none"/>
        </w:rPr>
      </w:r>
      <w:r>
        <w:rPr>
          <w:color w:val="000000" w:themeColor="text1"/>
          <w:highlight w:val="none"/>
        </w:rPr>
      </w:r>
    </w:p>
    <w:p>
      <w:pPr>
        <w:pStyle w:val="982"/>
        <w:spacing w:before="25" w:after="25" w:line="360" w:lineRule="auto"/>
        <w:rPr>
          <w:color w:val="000000" w:themeColor="text1"/>
          <w:szCs w:val="21"/>
          <w:highlight w:val="none"/>
        </w:rPr>
      </w:pPr>
      <w:r>
        <w:rPr>
          <w:color w:val="000000" w:themeColor="text1"/>
          <w:szCs w:val="21"/>
          <w:highlight w:val="none"/>
        </w:rPr>
      </w:r>
      <w:r>
        <w:rPr>
          <w:color w:val="000000" w:themeColor="text1"/>
          <w:highlight w:val="none"/>
        </w:rPr>
      </w:r>
    </w:p>
    <w:p>
      <w:pPr>
        <w:pStyle w:val="98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投标人名称（加盖CA电子公章）：____________</w:t>
      </w:r>
      <w:r>
        <w:rPr>
          <w:color w:val="000000" w:themeColor="text1"/>
          <w:sz w:val="24"/>
          <w:szCs w:val="24"/>
          <w:highlight w:val="none"/>
        </w:rPr>
      </w:r>
      <w:r>
        <w:rPr>
          <w:color w:val="000000" w:themeColor="text1"/>
          <w:highlight w:val="none"/>
        </w:rPr>
      </w:r>
    </w:p>
    <w:p>
      <w:pPr>
        <w:pStyle w:val="982"/>
        <w:spacing w:before="25" w:after="25" w:line="360" w:lineRule="auto"/>
        <w:rPr>
          <w:color w:val="000000" w:themeColor="text1"/>
          <w:sz w:val="24"/>
          <w:szCs w:val="24"/>
          <w:highlight w:val="none"/>
        </w:rPr>
      </w:pPr>
      <w:r>
        <w:rPr>
          <w:rFonts w:ascii="宋体" w:hAnsi="宋体" w:cs="宋体"/>
          <w:color w:val="000000" w:themeColor="text1"/>
          <w:sz w:val="24"/>
          <w:szCs w:val="24"/>
          <w:highlight w:val="none"/>
        </w:rPr>
        <w:t xml:space="preserve">日期：_____年______月______日   </w:t>
      </w:r>
      <w:r>
        <w:rPr>
          <w:color w:val="000000" w:themeColor="text1"/>
          <w:sz w:val="24"/>
          <w:szCs w:val="24"/>
          <w:highlight w:val="none"/>
        </w:rPr>
      </w:r>
      <w:r>
        <w:rPr>
          <w:color w:val="000000" w:themeColor="text1"/>
          <w:highlight w:val="none"/>
        </w:rPr>
      </w:r>
    </w:p>
    <w:p>
      <w:pPr>
        <w:pStyle w:val="982"/>
        <w:spacing w:line="360"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8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982"/>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82"/>
        <w:rPr>
          <w:rFonts w:ascii="宋体" w:hAnsi="宋体" w:cs="宋体"/>
          <w:iCs/>
          <w:color w:val="000000" w:themeColor="text1"/>
          <w:sz w:val="32"/>
          <w:szCs w:val="32"/>
          <w:highlight w:val="none"/>
        </w:rPr>
      </w:pPr>
      <w:r>
        <w:rPr>
          <w:color w:val="000000" w:themeColor="text1"/>
          <w:highlight w:val="none"/>
        </w:rPr>
      </w:r>
      <w:bookmarkStart w:id="172" w:name="_Hlt26955054"/>
      <w:r>
        <w:rPr>
          <w:color w:val="000000" w:themeColor="text1"/>
          <w:highlight w:val="none"/>
        </w:rPr>
      </w:r>
      <w:bookmarkEnd w:id="172"/>
      <w:r>
        <w:rPr>
          <w:rFonts w:hint="eastAsia" w:ascii="宋体" w:hAnsi="宋体" w:cs="宋体"/>
          <w:iCs/>
          <w:color w:val="000000" w:themeColor="text1"/>
          <w:sz w:val="32"/>
          <w:szCs w:val="32"/>
          <w:highlight w:val="none"/>
        </w:rPr>
        <w:br w:type="page" w:clear="all"/>
      </w:r>
      <w:r>
        <w:rPr>
          <w:rFonts w:ascii="宋体" w:hAnsi="宋体" w:cs="宋体"/>
          <w:iCs/>
          <w:color w:val="000000" w:themeColor="text1"/>
          <w:sz w:val="32"/>
          <w:szCs w:val="32"/>
          <w:highlight w:val="none"/>
        </w:rPr>
      </w:r>
      <w:r>
        <w:rPr>
          <w:color w:val="000000" w:themeColor="text1"/>
          <w:highlight w:val="none"/>
        </w:rPr>
      </w:r>
    </w:p>
    <w:p>
      <w:pPr>
        <w:pStyle w:val="982"/>
        <w:ind w:firstLine="3390"/>
        <w:keepLines/>
        <w:keepNext/>
        <w:spacing w:before="260" w:after="260" w:line="416" w:lineRule="auto"/>
        <w:rPr>
          <w:rFonts w:ascii="宋体" w:hAnsi="宋体" w:cs="宋体"/>
          <w:iCs/>
          <w:color w:val="000000" w:themeColor="text1"/>
          <w:sz w:val="28"/>
          <w:szCs w:val="28"/>
          <w:highlight w:val="none"/>
        </w:rPr>
        <w:outlineLvl w:val="1"/>
      </w:pPr>
      <w:r>
        <w:rPr>
          <w:color w:val="000000" w:themeColor="text1"/>
          <w:highlight w:val="none"/>
        </w:rPr>
      </w:r>
      <w:bookmarkStart w:id="173" w:name="_格式2__法定代表人授权书"/>
      <w:r>
        <w:rPr>
          <w:color w:val="000000" w:themeColor="text1"/>
          <w:highlight w:val="none"/>
        </w:rPr>
      </w:r>
      <w:bookmarkEnd w:id="173"/>
      <w:r>
        <w:rPr>
          <w:color w:val="000000" w:themeColor="text1"/>
          <w:highlight w:val="none"/>
        </w:rPr>
      </w:r>
      <w:bookmarkStart w:id="174" w:name="_Hlt26671374"/>
      <w:r>
        <w:rPr>
          <w:color w:val="000000" w:themeColor="text1"/>
          <w:highlight w:val="none"/>
        </w:rPr>
      </w:r>
      <w:bookmarkEnd w:id="174"/>
      <w:r>
        <w:rPr>
          <w:color w:val="000000" w:themeColor="text1"/>
          <w:highlight w:val="none"/>
        </w:rPr>
      </w:r>
      <w:bookmarkStart w:id="175" w:name="_Hlt26609389"/>
      <w:r>
        <w:rPr>
          <w:color w:val="000000" w:themeColor="text1"/>
          <w:highlight w:val="none"/>
        </w:rPr>
      </w:r>
      <w:bookmarkEnd w:id="175"/>
      <w:r>
        <w:rPr>
          <w:color w:val="000000" w:themeColor="text1"/>
          <w:highlight w:val="none"/>
        </w:rPr>
      </w:r>
      <w:bookmarkStart w:id="176" w:name="_Hlt26955066"/>
      <w:r>
        <w:rPr>
          <w:color w:val="000000" w:themeColor="text1"/>
          <w:highlight w:val="none"/>
        </w:rPr>
      </w:r>
      <w:bookmarkEnd w:id="176"/>
      <w:r>
        <w:rPr>
          <w:color w:val="000000" w:themeColor="text1"/>
          <w:highlight w:val="none"/>
        </w:rPr>
      </w:r>
      <w:bookmarkStart w:id="177" w:name="_Toc1140"/>
      <w:r>
        <w:rPr>
          <w:rFonts w:hint="eastAsia" w:ascii="宋体" w:hAnsi="宋体" w:cs="宋体"/>
          <w:iCs/>
          <w:color w:val="000000" w:themeColor="text1"/>
          <w:sz w:val="28"/>
          <w:szCs w:val="28"/>
          <w:highlight w:val="none"/>
        </w:rPr>
        <w:t xml:space="preserve">十二、开标一览表</w:t>
      </w:r>
      <w:bookmarkEnd w:id="177"/>
      <w:r>
        <w:rPr>
          <w:rFonts w:ascii="宋体" w:hAnsi="宋体" w:cs="宋体"/>
          <w:iCs/>
          <w:color w:val="000000" w:themeColor="text1"/>
          <w:sz w:val="28"/>
          <w:szCs w:val="28"/>
          <w:highlight w:val="none"/>
        </w:rPr>
      </w:r>
      <w:r>
        <w:rPr>
          <w:color w:val="000000" w:themeColor="text1"/>
          <w:highlight w:val="none"/>
        </w:rPr>
      </w:r>
    </w:p>
    <w:p>
      <w:pPr>
        <w:pStyle w:val="982"/>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rFonts w:ascii="宋体" w:hAnsi="宋体" w:cs="宋体"/>
          <w:color w:val="000000" w:themeColor="text1"/>
          <w:sz w:val="24"/>
          <w:highlight w:val="none"/>
        </w:rPr>
      </w:r>
      <w:r>
        <w:rPr>
          <w:color w:val="000000" w:themeColor="text1"/>
          <w:highlight w:val="none"/>
        </w:rPr>
      </w:r>
    </w:p>
    <w:p>
      <w:pPr>
        <w:pStyle w:val="982"/>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ascii="宋体" w:hAnsi="宋体" w:cs="宋体"/>
          <w:color w:val="000000" w:themeColor="text1"/>
          <w:sz w:val="24"/>
          <w:highlight w:val="none"/>
        </w:rPr>
      </w:r>
      <w:r>
        <w:rPr>
          <w:color w:val="000000" w:themeColor="text1"/>
          <w:highlight w:val="none"/>
        </w:rPr>
      </w:r>
    </w:p>
    <w:p>
      <w:pPr>
        <w:pStyle w:val="982"/>
        <w:ind w:firstLine="480"/>
        <w:rPr>
          <w:rFonts w:ascii="宋体" w:hAnsi="宋体"/>
          <w:color w:val="000000" w:themeColor="text1"/>
          <w:sz w:val="24"/>
          <w:highlight w:val="none"/>
        </w:rPr>
      </w:pPr>
      <w:r>
        <w:rPr>
          <w:rFonts w:hint="eastAsia" w:ascii="宋体" w:hAnsi="宋体" w:cs="宋体"/>
          <w:color w:val="000000" w:themeColor="text1"/>
          <w:sz w:val="24"/>
          <w:highlight w:val="none"/>
        </w:rPr>
        <w:t xml:space="preserve">招标编号：                                   分包号：</w:t>
      </w:r>
      <w:r>
        <w:rPr>
          <w:rFonts w:ascii="宋体" w:hAnsi="宋体"/>
          <w:color w:val="000000" w:themeColor="text1"/>
          <w:sz w:val="24"/>
          <w:highlight w:val="none"/>
        </w:rPr>
      </w:r>
      <w:r>
        <w:rPr>
          <w:color w:val="000000" w:themeColor="text1"/>
          <w:highlight w:val="none"/>
        </w:rPr>
      </w:r>
    </w:p>
    <w:tbl>
      <w:tblPr>
        <w:tblW w:w="8783"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3"/>
        <w:gridCol w:w="4600"/>
      </w:tblGrid>
      <w:tr>
        <w:trPr>
          <w:trHeight w:val="649"/>
        </w:trPr>
        <w:tc>
          <w:tcPr>
            <w:tcW w:w="4183" w:type="dxa"/>
            <w:vAlign w:val="top"/>
            <w:textDirection w:val="lrTb"/>
            <w:noWrap w:val="false"/>
          </w:tcPr>
          <w:p>
            <w:pPr>
              <w:pStyle w:val="982"/>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投标货物名称</w:t>
            </w:r>
            <w:r>
              <w:rPr>
                <w:rFonts w:hint="eastAsia" w:hAnsi="宋体"/>
                <w:color w:val="000000" w:themeColor="text1"/>
                <w:sz w:val="24"/>
                <w:szCs w:val="24"/>
                <w:highlight w:val="none"/>
                <w:shd w:val="clear" w:color="auto" w:fill="ffffff"/>
              </w:rPr>
            </w:r>
            <w:r>
              <w:rPr>
                <w:color w:val="000000" w:themeColor="text1"/>
                <w:highlight w:val="none"/>
              </w:rPr>
            </w:r>
          </w:p>
        </w:tc>
        <w:tc>
          <w:tcPr>
            <w:tcW w:w="4600" w:type="dxa"/>
            <w:vAlign w:val="top"/>
            <w:textDirection w:val="lrTb"/>
            <w:noWrap w:val="false"/>
          </w:tcPr>
          <w:p>
            <w:pPr>
              <w:pStyle w:val="982"/>
              <w:spacing w:before="50" w:after="50" w:line="360" w:lineRule="auto"/>
              <w:widowControl/>
              <w:rPr>
                <w:rFonts w:hint="eastAsia" w:hAnsi="宋体"/>
                <w:color w:val="000000" w:themeColor="text1"/>
                <w:sz w:val="24"/>
                <w:szCs w:val="24"/>
                <w:highlight w:val="none"/>
                <w:shd w:val="clear" w:color="auto" w:fill="ffffff"/>
              </w:rPr>
            </w:pPr>
            <w:r>
              <w:rPr>
                <w:rFonts w:hint="eastAsia" w:ascii="Calibri" w:hAnsi="Calibri"/>
                <w:color w:val="000000" w:themeColor="text1"/>
                <w:sz w:val="24"/>
                <w:szCs w:val="24"/>
                <w:highlight w:val="none"/>
                <w:shd w:val="clear" w:color="auto" w:fill="ffffff"/>
              </w:rPr>
              <w:t xml:space="preserve">总价（小写）</w:t>
            </w:r>
            <w:r>
              <w:rPr>
                <w:rFonts w:hint="eastAsia" w:hAnsi="宋体"/>
                <w:color w:val="000000" w:themeColor="text1"/>
                <w:sz w:val="24"/>
                <w:szCs w:val="24"/>
                <w:highlight w:val="none"/>
                <w:shd w:val="clear" w:color="auto" w:fill="ffffff"/>
              </w:rPr>
            </w:r>
            <w:r>
              <w:rPr>
                <w:color w:val="000000" w:themeColor="text1"/>
                <w:highlight w:val="none"/>
              </w:rPr>
            </w:r>
          </w:p>
        </w:tc>
      </w:tr>
      <w:tr>
        <w:trPr>
          <w:trHeight w:val="649"/>
        </w:trPr>
        <w:tc>
          <w:tcPr>
            <w:tcW w:w="4183" w:type="dxa"/>
            <w:vAlign w:val="top"/>
            <w:textDirection w:val="lrTb"/>
            <w:noWrap w:val="false"/>
          </w:tcPr>
          <w:p>
            <w:pPr>
              <w:pStyle w:val="982"/>
              <w:spacing w:before="50" w:after="50" w:line="360" w:lineRule="auto"/>
              <w:widowControl/>
              <w:rPr>
                <w:rFonts w:hint="eastAsia" w:hAnsi="宋体"/>
                <w:bCs/>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投标产品名称</w:t>
            </w:r>
            <w:r>
              <w:rPr>
                <w:rFonts w:hint="eastAsia" w:hAnsi="宋体"/>
                <w:bCs/>
                <w:color w:val="000000" w:themeColor="text1"/>
                <w:sz w:val="24"/>
                <w:szCs w:val="24"/>
                <w:highlight w:val="none"/>
                <w:shd w:val="clear" w:color="auto" w:fill="ffffff"/>
              </w:rPr>
            </w:r>
            <w:r>
              <w:rPr>
                <w:color w:val="000000" w:themeColor="text1"/>
                <w:highlight w:val="none"/>
              </w:rPr>
            </w:r>
          </w:p>
        </w:tc>
        <w:tc>
          <w:tcPr>
            <w:tcW w:w="4600" w:type="dxa"/>
            <w:vAlign w:val="top"/>
            <w:textDirection w:val="lrTb"/>
            <w:noWrap w:val="false"/>
          </w:tcPr>
          <w:p>
            <w:pPr>
              <w:pStyle w:val="982"/>
              <w:spacing w:before="50" w:after="50" w:line="360" w:lineRule="auto"/>
              <w:widowControl/>
              <w:rPr>
                <w:rFonts w:hint="eastAsia" w:hAnsi="宋体"/>
                <w:color w:val="000000" w:themeColor="text1"/>
                <w:sz w:val="24"/>
                <w:szCs w:val="24"/>
                <w:highlight w:val="none"/>
                <w:shd w:val="clear" w:color="auto" w:fill="ffffff"/>
              </w:rPr>
            </w:pPr>
            <w:r>
              <w:rPr>
                <w:rFonts w:ascii="Calibri" w:hAnsi="Calibri"/>
                <w:color w:val="000000" w:themeColor="text1"/>
                <w:sz w:val="24"/>
                <w:szCs w:val="24"/>
                <w:highlight w:val="none"/>
                <w:shd w:val="clear" w:color="auto" w:fill="ffffff"/>
              </w:rPr>
              <w:t xml:space="preserve">_______________</w:t>
            </w:r>
            <w:r>
              <w:rPr>
                <w:rFonts w:hint="eastAsia" w:ascii="Calibri" w:hAnsi="Calibri"/>
                <w:color w:val="000000" w:themeColor="text1"/>
                <w:sz w:val="24"/>
                <w:szCs w:val="24"/>
                <w:highlight w:val="none"/>
                <w:shd w:val="clear" w:color="auto" w:fill="ffffff"/>
              </w:rPr>
              <w:t xml:space="preserve">元</w:t>
            </w:r>
            <w:r>
              <w:rPr>
                <w:rFonts w:hint="eastAsia" w:hAnsi="宋体"/>
                <w:color w:val="000000" w:themeColor="text1"/>
                <w:sz w:val="24"/>
                <w:szCs w:val="24"/>
                <w:highlight w:val="none"/>
                <w:shd w:val="clear" w:color="auto" w:fill="ffffff"/>
              </w:rPr>
            </w:r>
            <w:r>
              <w:rPr>
                <w:color w:val="000000" w:themeColor="text1"/>
                <w:highlight w:val="none"/>
              </w:rPr>
            </w:r>
          </w:p>
        </w:tc>
      </w:tr>
      <w:tr>
        <w:trPr>
          <w:trHeight w:val="660"/>
        </w:trPr>
        <w:tc>
          <w:tcPr>
            <w:tcW w:w="4183" w:type="dxa"/>
            <w:vAlign w:val="top"/>
            <w:textDirection w:val="lrTb"/>
            <w:noWrap w:val="false"/>
          </w:tcPr>
          <w:p>
            <w:pPr>
              <w:pStyle w:val="982"/>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t xml:space="preserve">核心产品品牌：</w:t>
            </w:r>
            <w:r>
              <w:rPr>
                <w:rFonts w:hint="eastAsia" w:hAnsi="宋体"/>
                <w:color w:val="000000" w:themeColor="text1"/>
                <w:sz w:val="24"/>
                <w:szCs w:val="24"/>
                <w:highlight w:val="none"/>
                <w:shd w:val="clear" w:color="auto" w:fill="ffffff"/>
              </w:rPr>
            </w:r>
            <w:r>
              <w:rPr>
                <w:color w:val="000000" w:themeColor="text1"/>
                <w:highlight w:val="none"/>
              </w:rPr>
            </w:r>
          </w:p>
        </w:tc>
        <w:tc>
          <w:tcPr>
            <w:tcW w:w="4600" w:type="dxa"/>
            <w:vAlign w:val="top"/>
            <w:textDirection w:val="lrTb"/>
            <w:noWrap w:val="false"/>
          </w:tcPr>
          <w:p>
            <w:pPr>
              <w:pStyle w:val="982"/>
              <w:spacing w:before="50" w:after="50" w:line="360" w:lineRule="auto"/>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r>
            <w:r>
              <w:rPr>
                <w:color w:val="000000" w:themeColor="text1"/>
                <w:highlight w:val="none"/>
              </w:rPr>
            </w:r>
          </w:p>
        </w:tc>
      </w:tr>
    </w:tbl>
    <w:p>
      <w:pPr>
        <w:pStyle w:val="982"/>
        <w:spacing w:before="50" w:after="50"/>
        <w:widowControl/>
        <w:rPr>
          <w:rFonts w:hint="eastAsia" w:hAnsi="宋体"/>
          <w:color w:val="000000" w:themeColor="text1"/>
          <w:sz w:val="24"/>
          <w:szCs w:val="24"/>
          <w:highlight w:val="none"/>
          <w:shd w:val="clear" w:color="auto" w:fill="ffffff"/>
        </w:rPr>
      </w:pPr>
      <w:r>
        <w:rPr>
          <w:rFonts w:hint="eastAsia" w:hAnsi="宋体"/>
          <w:color w:val="000000" w:themeColor="text1"/>
          <w:sz w:val="24"/>
          <w:szCs w:val="24"/>
          <w:highlight w:val="none"/>
          <w:shd w:val="clear" w:color="auto" w:fill="ffffff"/>
        </w:rPr>
      </w:r>
      <w:r>
        <w:rPr>
          <w:color w:val="000000" w:themeColor="text1"/>
          <w:highlight w:val="none"/>
        </w:rPr>
      </w:r>
    </w:p>
    <w:p>
      <w:pPr>
        <w:pStyle w:val="982"/>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982"/>
        <w:ind w:firstLine="480"/>
        <w:rPr>
          <w:rFonts w:ascii="宋体" w:hAnsi="宋体"/>
          <w:color w:val="000000" w:themeColor="text1"/>
          <w:sz w:val="24"/>
          <w:highlight w:val="none"/>
        </w:rPr>
      </w:pP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982"/>
        <w:jc w:val="right"/>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年</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月</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日</w:t>
      </w:r>
      <w:r>
        <w:rPr>
          <w:rFonts w:ascii="宋体" w:hAnsi="宋体"/>
          <w:color w:val="000000" w:themeColor="text1"/>
          <w:sz w:val="24"/>
          <w:highlight w:val="none"/>
        </w:rPr>
      </w:r>
      <w:r>
        <w:rPr>
          <w:color w:val="000000" w:themeColor="text1"/>
          <w:highlight w:val="none"/>
        </w:rPr>
      </w:r>
    </w:p>
    <w:p>
      <w:pPr>
        <w:pStyle w:val="982"/>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pStyle w:val="982"/>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备注：以苏采云系统中开标一览表为准！</w:t>
      </w:r>
      <w:r>
        <w:rPr>
          <w:rFonts w:hint="eastAsia" w:ascii="宋体" w:hAnsi="宋体" w:cs="宋体"/>
          <w:color w:val="000000" w:themeColor="text1"/>
          <w:sz w:val="24"/>
          <w:highlight w:val="none"/>
        </w:rPr>
      </w:r>
      <w:r>
        <w:rPr>
          <w:color w:val="000000" w:themeColor="text1"/>
          <w:highlight w:val="none"/>
        </w:rPr>
      </w:r>
    </w:p>
    <w:p>
      <w:pPr>
        <w:pStyle w:val="982"/>
        <w:jc w:val="left"/>
        <w:widowControl/>
        <w:rPr>
          <w:rFonts w:ascii="宋体" w:hAnsi="宋体" w:cs="宋体"/>
          <w:color w:val="000000" w:themeColor="text1"/>
          <w:sz w:val="32"/>
          <w:szCs w:val="32"/>
          <w:highlight w:val="none"/>
        </w:rPr>
      </w:pPr>
      <w:r>
        <w:rPr>
          <w:rFonts w:ascii="宋体" w:hAnsi="宋体" w:cs="宋体"/>
          <w:color w:val="000000" w:themeColor="text1"/>
          <w:sz w:val="32"/>
          <w:szCs w:val="32"/>
          <w:highlight w:val="none"/>
        </w:rPr>
        <w:br w:type="page" w:clear="all"/>
      </w:r>
      <w:r>
        <w:rPr>
          <w:rFonts w:ascii="宋体" w:hAnsi="宋体" w:cs="宋体"/>
          <w:color w:val="000000" w:themeColor="text1"/>
          <w:sz w:val="32"/>
          <w:szCs w:val="32"/>
          <w:highlight w:val="none"/>
        </w:rPr>
      </w:r>
      <w:r>
        <w:rPr>
          <w:color w:val="000000" w:themeColor="text1"/>
          <w:highlight w:val="none"/>
        </w:rPr>
      </w:r>
    </w:p>
    <w:p>
      <w:pPr>
        <w:pStyle w:val="982"/>
        <w:ind w:firstLine="3390"/>
        <w:keepLines/>
        <w:keepNext/>
        <w:spacing w:before="260" w:after="260" w:line="416" w:lineRule="auto"/>
        <w:rPr>
          <w:rFonts w:hint="eastAsia" w:ascii="宋体" w:hAnsi="宋体" w:cs="宋体"/>
          <w:iCs/>
          <w:color w:val="000000" w:themeColor="text1"/>
          <w:sz w:val="28"/>
          <w:szCs w:val="28"/>
          <w:highlight w:val="none"/>
        </w:rPr>
        <w:outlineLvl w:val="1"/>
      </w:pPr>
      <w:r>
        <w:rPr>
          <w:color w:val="000000" w:themeColor="text1"/>
          <w:highlight w:val="none"/>
        </w:rPr>
      </w:r>
      <w:bookmarkStart w:id="178" w:name="_Toc14221"/>
      <w:r>
        <w:rPr>
          <w:rFonts w:hint="eastAsia" w:ascii="宋体" w:hAnsi="宋体" w:cs="宋体"/>
          <w:iCs/>
          <w:color w:val="000000" w:themeColor="text1"/>
          <w:sz w:val="28"/>
          <w:szCs w:val="28"/>
          <w:highlight w:val="none"/>
        </w:rPr>
        <w:t xml:space="preserve">十三、分项报价表</w:t>
      </w:r>
      <w:r>
        <w:rPr>
          <w:rFonts w:hint="eastAsia" w:ascii="宋体" w:hAnsi="宋体" w:cs="宋体"/>
          <w:iCs/>
          <w:color w:val="000000" w:themeColor="text1"/>
          <w:sz w:val="28"/>
          <w:szCs w:val="28"/>
          <w:highlight w:val="none"/>
        </w:rPr>
      </w:r>
      <w:r>
        <w:rPr>
          <w:color w:val="000000" w:themeColor="text1"/>
          <w:highlight w:val="none"/>
        </w:rPr>
      </w:r>
    </w:p>
    <w:p>
      <w:pPr>
        <w:pStyle w:val="9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ascii="宋体" w:hAnsi="宋体" w:cs="宋体"/>
          <w:color w:val="000000" w:themeColor="text1"/>
          <w:sz w:val="24"/>
          <w:highlight w:val="none"/>
        </w:rPr>
      </w:r>
      <w:r>
        <w:rPr>
          <w:color w:val="000000" w:themeColor="text1"/>
          <w:highlight w:val="none"/>
        </w:rPr>
      </w:r>
    </w:p>
    <w:p>
      <w:pPr>
        <w:pStyle w:val="1060"/>
        <w:ind w:firstLine="0"/>
        <w:rPr>
          <w:rFonts w:hint="eastAsia"/>
          <w:color w:val="000000" w:themeColor="text1"/>
          <w:highlight w:val="none"/>
        </w:rPr>
      </w:pPr>
      <w:r>
        <w:rPr>
          <w:rFonts w:hint="eastAsia" w:ascii="宋体" w:hAnsi="宋体" w:cs="宋体"/>
          <w:color w:val="000000" w:themeColor="text1"/>
          <w:highlight w:val="none"/>
        </w:rPr>
        <w:t xml:space="preserve">项目编号：</w:t>
      </w:r>
      <w:r>
        <w:rPr>
          <w:rFonts w:hint="eastAsia"/>
          <w:color w:val="000000" w:themeColor="text1"/>
          <w:highlight w:val="none"/>
        </w:rPr>
      </w:r>
      <w:r>
        <w:rPr>
          <w:color w:val="000000" w:themeColor="text1"/>
          <w:highlight w:val="none"/>
        </w:rPr>
      </w:r>
    </w:p>
    <w:tbl>
      <w:tblPr>
        <w:tblW w:w="625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969"/>
        <w:gridCol w:w="1116"/>
        <w:gridCol w:w="1804"/>
        <w:gridCol w:w="1899"/>
        <w:gridCol w:w="1646"/>
        <w:gridCol w:w="1322"/>
        <w:gridCol w:w="1334"/>
      </w:tblGrid>
      <w:tr>
        <w:trPr>
          <w:trHeight w:val="966"/>
        </w:trPr>
        <w:tc>
          <w:tcPr>
            <w:tcW w:w="229"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rFonts w:hint="eastAsia" w:ascii="宋体" w:hAnsi="宋体" w:cs="宋体"/>
                <w:color w:val="000000" w:themeColor="text1"/>
                <w:sz w:val="24"/>
                <w:szCs w:val="24"/>
                <w:highlight w:val="none"/>
              </w:rPr>
            </w:r>
            <w:r>
              <w:rPr>
                <w:color w:val="000000" w:themeColor="text1"/>
                <w:highlight w:val="none"/>
              </w:rPr>
            </w:r>
          </w:p>
        </w:tc>
        <w:tc>
          <w:tcPr>
            <w:tcW w:w="847"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产品名称</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rFonts w:hint="eastAsia" w:ascii="宋体" w:hAnsi="宋体" w:cs="宋体"/>
                <w:color w:val="000000" w:themeColor="text1"/>
                <w:sz w:val="24"/>
                <w:szCs w:val="24"/>
                <w:highlight w:val="none"/>
              </w:rPr>
            </w:r>
            <w:r>
              <w:rPr>
                <w:color w:val="000000" w:themeColor="text1"/>
                <w:highlight w:val="none"/>
              </w:rPr>
            </w:r>
          </w:p>
        </w:tc>
        <w:tc>
          <w:tcPr>
            <w:tcW w:w="776"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hint="eastAsia" w:ascii="宋体" w:hAnsi="宋体" w:cs="宋体"/>
                <w:color w:val="000000" w:themeColor="text1"/>
                <w:sz w:val="24"/>
                <w:szCs w:val="24"/>
                <w:highlight w:val="none"/>
              </w:rPr>
            </w:r>
            <w:r>
              <w:rPr>
                <w:color w:val="000000" w:themeColor="text1"/>
                <w:highlight w:val="none"/>
              </w:rPr>
            </w:r>
          </w:p>
        </w:tc>
        <w:tc>
          <w:tcPr>
            <w:tcW w:w="817"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价格</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hint="eastAsia" w:ascii="宋体" w:hAnsi="宋体" w:cs="宋体"/>
                <w:color w:val="000000" w:themeColor="text1"/>
                <w:sz w:val="24"/>
                <w:szCs w:val="24"/>
                <w:highlight w:val="none"/>
              </w:rPr>
            </w:r>
            <w:r>
              <w:rPr>
                <w:color w:val="000000" w:themeColor="text1"/>
                <w:highlight w:val="none"/>
              </w:rPr>
            </w:r>
          </w:p>
        </w:tc>
        <w:tc>
          <w:tcPr>
            <w:tcW w:w="708"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小计</w:t>
            </w:r>
            <w:r>
              <w:rPr>
                <w:rFonts w:hint="eastAsia" w:ascii="宋体" w:hAnsi="宋体" w:cs="宋体"/>
                <w:color w:val="000000" w:themeColor="text1"/>
                <w:sz w:val="24"/>
                <w:szCs w:val="24"/>
                <w:highlight w:val="none"/>
              </w:rPr>
            </w:r>
            <w:r>
              <w:rPr>
                <w:color w:val="000000" w:themeColor="text1"/>
                <w:highlight w:val="none"/>
              </w:rPr>
            </w:r>
          </w:p>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（人民币/元）</w:t>
            </w:r>
            <w:r>
              <w:rPr>
                <w:rFonts w:ascii="宋体" w:hAnsi="宋体" w:cs="宋体"/>
                <w:color w:val="000000" w:themeColor="text1"/>
                <w:sz w:val="24"/>
                <w:szCs w:val="24"/>
                <w:highlight w:val="none"/>
              </w:rPr>
            </w:r>
            <w:r>
              <w:rPr>
                <w:color w:val="000000" w:themeColor="text1"/>
                <w:highlight w:val="none"/>
              </w:rPr>
            </w:r>
          </w:p>
        </w:tc>
        <w:tc>
          <w:tcPr>
            <w:tcW w:w="569"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品牌/制造商</w:t>
            </w:r>
            <w:r>
              <w:rPr>
                <w:rFonts w:hint="eastAsia" w:ascii="宋体" w:hAnsi="宋体" w:cs="宋体"/>
                <w:color w:val="000000" w:themeColor="text1"/>
                <w:sz w:val="24"/>
                <w:szCs w:val="24"/>
                <w:highlight w:val="none"/>
              </w:rPr>
            </w:r>
            <w:r>
              <w:rPr>
                <w:color w:val="000000" w:themeColor="text1"/>
                <w:highlight w:val="none"/>
              </w:rPr>
            </w:r>
          </w:p>
        </w:tc>
        <w:tc>
          <w:tcPr>
            <w:tcW w:w="569"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规格型号</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手动病床1</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868</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82"/>
              <w:jc w:val="left"/>
              <w:spacing w:line="360" w:lineRule="auto"/>
              <w:tabs>
                <w:tab w:val="center" w:pos="97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82"/>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tabs>
                <w:tab w:val="center" w:pos="970" w:leader="none"/>
              </w:tabs>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输液吊杆</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868</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手动病床2</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113</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手动病床3</w:t>
            </w:r>
            <w:r>
              <w:rPr>
                <w:rFonts w:hint="eastAsia"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4800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床头柜</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914</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r>
      <w:tr>
        <w:trPr>
          <w:trHeight w:val="488"/>
        </w:trPr>
        <w:tc>
          <w:tcPr>
            <w:shd w:val="clear" w:color="000000" w:fill="ffffff"/>
            <w:tcW w:w="229"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陪护椅</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852</w:t>
            </w: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76"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1000</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17"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82"/>
              <w:jc w:val="left"/>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90"/>
        </w:trPr>
        <w:tc>
          <w:tcPr>
            <w:shd w:val="clear" w:color="000000" w:fill="ffffff"/>
            <w:tcW w:w="229"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rFonts w:ascii="宋体" w:hAnsi="宋体" w:cs="宋体"/>
                <w:color w:val="000000" w:themeColor="text1"/>
                <w:sz w:val="24"/>
                <w:szCs w:val="24"/>
                <w:highlight w:val="none"/>
              </w:rPr>
            </w:r>
            <w:r>
              <w:rPr>
                <w:color w:val="000000" w:themeColor="text1"/>
                <w:highlight w:val="none"/>
              </w:rPr>
            </w:r>
          </w:p>
        </w:tc>
        <w:tc>
          <w:tcPr>
            <w:shd w:val="clear" w:color="000000" w:fill="ffffff"/>
            <w:tcW w:w="847"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婴儿床</w:t>
            </w:r>
            <w:r>
              <w:rPr>
                <w:rFonts w:ascii="宋体" w:hAnsi="宋体" w:cs="宋体"/>
                <w:color w:val="000000" w:themeColor="text1"/>
                <w:sz w:val="24"/>
                <w:szCs w:val="24"/>
                <w:highlight w:val="none"/>
              </w:rPr>
            </w:r>
            <w:r>
              <w:rPr>
                <w:color w:val="000000" w:themeColor="text1"/>
                <w:highlight w:val="none"/>
              </w:rPr>
            </w:r>
          </w:p>
        </w:tc>
        <w:tc>
          <w:tcPr>
            <w:tcW w:w="480"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44</w:t>
            </w:r>
            <w:r>
              <w:rPr>
                <w:rFonts w:hint="eastAsia" w:ascii="宋体" w:hAnsi="宋体" w:cs="宋体"/>
                <w:color w:val="000000" w:themeColor="text1"/>
                <w:sz w:val="24"/>
                <w:szCs w:val="24"/>
                <w:highlight w:val="none"/>
              </w:rPr>
            </w:r>
            <w:r>
              <w:rPr>
                <w:color w:val="000000" w:themeColor="text1"/>
                <w:highlight w:val="none"/>
              </w:rPr>
            </w:r>
          </w:p>
        </w:tc>
        <w:tc>
          <w:tcPr>
            <w:tcW w:w="776"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3000</w:t>
            </w:r>
            <w:r>
              <w:rPr>
                <w:rFonts w:ascii="宋体" w:hAnsi="宋体" w:cs="宋体"/>
                <w:color w:val="000000" w:themeColor="text1"/>
                <w:sz w:val="24"/>
                <w:szCs w:val="24"/>
                <w:highlight w:val="none"/>
              </w:rPr>
            </w:r>
            <w:r>
              <w:rPr>
                <w:color w:val="000000" w:themeColor="text1"/>
                <w:highlight w:val="none"/>
              </w:rPr>
            </w:r>
          </w:p>
        </w:tc>
        <w:tc>
          <w:tcPr>
            <w:tcW w:w="817" w:type="dxa"/>
            <w:vAlign w:val="center"/>
            <w:textDirection w:val="lrTb"/>
            <w:noWrap/>
          </w:tcPr>
          <w:p>
            <w:pPr>
              <w:pStyle w:val="982"/>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708" w:type="dxa"/>
            <w:vAlign w:val="center"/>
            <w:textDirection w:val="lrTb"/>
            <w:noWrap/>
          </w:tcPr>
          <w:p>
            <w:pPr>
              <w:pStyle w:val="982"/>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000000" w:fill="ffffff"/>
            <w:tcW w:w="569" w:type="dxa"/>
            <w:vAlign w:val="center"/>
            <w:textDirection w:val="lrTb"/>
            <w:noWrap/>
          </w:tcPr>
          <w:p>
            <w:pPr>
              <w:pStyle w:val="982"/>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gridSpan w:val="8"/>
            <w:shd w:val="clear" w:color="000000" w:fill="ffffff"/>
            <w:tcW w:w="11621" w:type="dxa"/>
            <w:vAlign w:val="center"/>
            <w:textDirection w:val="lrTb"/>
            <w:noWrap/>
          </w:tcPr>
          <w:p>
            <w:pPr>
              <w:pStyle w:val="982"/>
              <w:jc w:val="center"/>
              <w:spacing w:line="360" w:lineRule="auto"/>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投标总价：           </w:t>
            </w:r>
            <w:r>
              <w:rPr>
                <w:rFonts w:ascii="宋体" w:hAnsi="宋体" w:cs="宋体"/>
                <w:color w:val="000000" w:themeColor="text1"/>
                <w:sz w:val="24"/>
                <w:szCs w:val="24"/>
                <w:highlight w:val="none"/>
              </w:rPr>
            </w:r>
            <w:r>
              <w:rPr>
                <w:color w:val="000000" w:themeColor="text1"/>
                <w:highlight w:val="none"/>
              </w:rPr>
            </w:r>
          </w:p>
        </w:tc>
      </w:tr>
      <w:tr>
        <w:trPr>
          <w:trHeight w:val="488"/>
        </w:trPr>
        <w:tc>
          <w:tcPr>
            <w:gridSpan w:val="8"/>
            <w:shd w:val="clear" w:color="000000" w:fill="ffffff"/>
            <w:tcW w:w="11621" w:type="dxa"/>
            <w:vAlign w:val="center"/>
            <w:textDirection w:val="lrTb"/>
            <w:noWrap/>
          </w:tcPr>
          <w:p>
            <w:pPr>
              <w:pStyle w:val="982"/>
              <w:jc w:val="center"/>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本国产品占比:        %</w:t>
            </w:r>
            <w:r>
              <w:rPr>
                <w:rFonts w:hint="eastAsia" w:ascii="宋体" w:hAnsi="宋体" w:cs="宋体"/>
                <w:color w:val="000000" w:themeColor="text1"/>
                <w:sz w:val="24"/>
                <w:szCs w:val="24"/>
                <w:highlight w:val="none"/>
              </w:rPr>
            </w:r>
            <w:r>
              <w:rPr>
                <w:color w:val="000000" w:themeColor="text1"/>
                <w:highlight w:val="none"/>
              </w:rPr>
            </w:r>
          </w:p>
        </w:tc>
      </w:tr>
      <w:tr>
        <w:trPr>
          <w:trHeight w:val="488"/>
        </w:trPr>
        <w:tc>
          <w:tcPr>
            <w:gridSpan w:val="8"/>
            <w:shd w:val="clear" w:color="000000" w:fill="ffffff"/>
            <w:tcW w:w="11621" w:type="dxa"/>
            <w:vAlign w:val="center"/>
            <w:textDirection w:val="lrTb"/>
            <w:noWrap/>
          </w:tcPr>
          <w:p>
            <w:pPr>
              <w:pStyle w:val="982"/>
              <w:jc w:val="left"/>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备注：</w:t>
            </w:r>
            <w:r>
              <w:rPr>
                <w:rFonts w:hint="eastAsia" w:ascii="宋体" w:hAnsi="宋体" w:cs="宋体"/>
                <w:color w:val="000000" w:themeColor="text1"/>
                <w:highlight w:val="none"/>
              </w:rPr>
            </w:r>
            <w:r>
              <w:rPr>
                <w:color w:val="000000" w:themeColor="text1"/>
                <w:highlight w:val="none"/>
              </w:rPr>
            </w:r>
          </w:p>
        </w:tc>
      </w:tr>
    </w:tbl>
    <w:p>
      <w:pPr>
        <w:pStyle w:val="982"/>
        <w:jc w:val="left"/>
        <w:rPr>
          <w:color w:val="000000" w:themeColor="text1"/>
          <w:szCs w:val="21"/>
          <w:highlight w:val="none"/>
        </w:rPr>
      </w:pPr>
      <w:r>
        <w:rPr>
          <w:rFonts w:hint="eastAsia" w:ascii="宋体" w:hAnsi="宋体" w:cs="宋体"/>
          <w:bCs/>
          <w:color w:val="000000" w:themeColor="text1"/>
          <w:sz w:val="24"/>
          <w:szCs w:val="21"/>
          <w:highlight w:val="none"/>
        </w:rPr>
        <w:t xml:space="preserve">备注：</w:t>
      </w:r>
      <w:r>
        <w:rPr>
          <w:rFonts w:ascii="宋体" w:hAnsi="宋体" w:cs="宋体"/>
          <w:b/>
          <w:bCs/>
          <w:color w:val="000000" w:themeColor="text1"/>
          <w:szCs w:val="21"/>
          <w:highlight w:val="none"/>
        </w:rPr>
        <w:t xml:space="preserve">1、“分项报价表”中“投标总价”金额应当与“开标一览表”中</w:t>
      </w:r>
      <w:r>
        <w:rPr>
          <w:rFonts w:hint="eastAsia" w:ascii="宋体" w:hAnsi="宋体" w:cs="宋体"/>
          <w:b/>
          <w:bCs/>
          <w:color w:val="000000" w:themeColor="text1"/>
          <w:szCs w:val="21"/>
          <w:highlight w:val="none"/>
        </w:rPr>
        <w:t xml:space="preserve">价格</w:t>
      </w:r>
      <w:r>
        <w:rPr>
          <w:rFonts w:ascii="宋体" w:hAnsi="宋体" w:cs="宋体"/>
          <w:b/>
          <w:bCs/>
          <w:color w:val="000000" w:themeColor="text1"/>
          <w:szCs w:val="21"/>
          <w:highlight w:val="none"/>
        </w:rPr>
        <w:t xml:space="preserve">金额一致。</w:t>
      </w:r>
      <w:r>
        <w:rPr>
          <w:rFonts w:hint="eastAsia" w:ascii="宋体" w:hAnsi="宋体" w:cs="宋体"/>
          <w:b/>
          <w:bCs/>
          <w:color w:val="000000" w:themeColor="text1"/>
          <w:szCs w:val="21"/>
          <w:highlight w:val="none"/>
        </w:rPr>
        <w:t xml:space="preserve">投标单价不得超过单价限价。</w:t>
      </w:r>
      <w:r>
        <w:rPr>
          <w:color w:val="000000" w:themeColor="text1"/>
          <w:szCs w:val="21"/>
          <w:highlight w:val="none"/>
        </w:rPr>
      </w:r>
      <w:r>
        <w:rPr>
          <w:color w:val="000000" w:themeColor="text1"/>
          <w:highlight w:val="none"/>
        </w:rPr>
      </w:r>
    </w:p>
    <w:p>
      <w:pPr>
        <w:pStyle w:val="982"/>
        <w:spacing w:after="120" w:line="300" w:lineRule="auto"/>
        <w:rPr>
          <w:color w:val="000000" w:themeColor="text1"/>
          <w:szCs w:val="21"/>
          <w:highlight w:val="none"/>
        </w:rPr>
      </w:pPr>
      <w:r>
        <w:rPr>
          <w:rFonts w:ascii="宋体" w:hAnsi="宋体" w:cs="宋体"/>
          <w:b/>
          <w:bCs/>
          <w:color w:val="000000" w:themeColor="text1"/>
          <w:szCs w:val="21"/>
          <w:highlight w:val="none"/>
        </w:rPr>
        <w:t xml:space="preserve">2、涉及小型、微型、节能产品、环境标志等享受政府采购扶持政策的项目，需在备注中分别明确注明。</w:t>
      </w:r>
      <w:r>
        <w:rPr>
          <w:color w:val="000000" w:themeColor="text1"/>
          <w:szCs w:val="21"/>
          <w:highlight w:val="none"/>
        </w:rPr>
      </w:r>
      <w:r>
        <w:rPr>
          <w:color w:val="000000" w:themeColor="text1"/>
          <w:highlight w:val="none"/>
        </w:rPr>
      </w:r>
    </w:p>
    <w:p>
      <w:pPr>
        <w:pStyle w:val="982"/>
        <w:spacing w:after="120" w:line="300" w:lineRule="auto"/>
        <w:rPr>
          <w:rFonts w:hint="eastAsia" w:ascii="宋体" w:hAnsi="宋体" w:cs="宋体"/>
          <w:bCs/>
          <w:color w:val="000000" w:themeColor="text1"/>
          <w:sz w:val="24"/>
          <w:szCs w:val="21"/>
          <w:highlight w:val="none"/>
        </w:rPr>
      </w:pPr>
      <w:r>
        <w:rPr>
          <w:rFonts w:ascii="宋体" w:hAnsi="宋体" w:cs="宋体"/>
          <w:b/>
          <w:bCs/>
          <w:color w:val="000000" w:themeColor="text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cs="宋体"/>
          <w:b/>
          <w:bCs/>
          <w:color w:val="000000" w:themeColor="text1"/>
          <w:szCs w:val="21"/>
          <w:highlight w:val="none"/>
        </w:rPr>
        <w:t xml:space="preserve">详见第五章中7、采购本国产品的支持政策。</w:t>
      </w:r>
      <w:r>
        <w:rPr>
          <w:rFonts w:hint="eastAsia" w:ascii="宋体" w:hAnsi="宋体" w:cs="宋体"/>
          <w:bCs/>
          <w:color w:val="000000" w:themeColor="text1"/>
          <w:sz w:val="24"/>
          <w:szCs w:val="21"/>
          <w:highlight w:val="non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rFonts w:ascii="宋体" w:hAnsi="宋体" w:cs="宋体"/>
          <w:bCs/>
          <w:color w:val="000000" w:themeColor="text1"/>
          <w:sz w:val="24"/>
          <w:szCs w:val="21"/>
          <w:highlight w:val="none"/>
          <w:u w:val="single"/>
        </w:rPr>
      </w:r>
      <w:r>
        <w:rPr>
          <w:color w:val="000000" w:themeColor="text1"/>
          <w:highlight w:val="none"/>
        </w:rPr>
      </w:r>
    </w:p>
    <w:p>
      <w:pPr>
        <w:pStyle w:val="982"/>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投标日期：XX年XX月XX日</w:t>
      </w:r>
      <w:r>
        <w:rPr>
          <w:rFonts w:ascii="宋体" w:hAnsi="宋体" w:cs="宋体"/>
          <w:bCs/>
          <w:color w:val="000000" w:themeColor="text1"/>
          <w:sz w:val="24"/>
          <w:szCs w:val="21"/>
          <w:highlight w:val="none"/>
        </w:rPr>
      </w:r>
      <w:r>
        <w:rPr>
          <w:color w:val="000000" w:themeColor="text1"/>
          <w:highlight w:val="none"/>
        </w:rPr>
      </w:r>
    </w:p>
    <w:p>
      <w:pPr>
        <w:pStyle w:val="982"/>
        <w:rPr>
          <w:rFonts w:hint="eastAsia" w:ascii="宋体" w:hAnsi="宋体" w:cs="宋体"/>
          <w:iCs/>
          <w:color w:val="000000" w:themeColor="text1"/>
          <w:sz w:val="28"/>
          <w:szCs w:val="28"/>
          <w:highlight w:val="none"/>
        </w:rPr>
      </w:pPr>
      <w:r>
        <w:rPr>
          <w:rFonts w:hint="eastAsia" w:ascii="宋体" w:hAnsi="宋体" w:cs="宋体"/>
          <w:iCs/>
          <w:color w:val="000000" w:themeColor="text1"/>
          <w:sz w:val="28"/>
          <w:szCs w:val="28"/>
          <w:highlight w:val="none"/>
        </w:rPr>
      </w:r>
      <w:r>
        <w:rPr>
          <w:color w:val="000000" w:themeColor="text1"/>
          <w:highlight w:val="none"/>
        </w:rPr>
      </w:r>
    </w:p>
    <w:p>
      <w:pPr>
        <w:pStyle w:val="982"/>
        <w:jc w:val="center"/>
        <w:keepLines/>
        <w:keepNext/>
        <w:spacing w:before="260" w:line="415" w:lineRule="auto"/>
        <w:rPr>
          <w:rFonts w:ascii="宋体" w:hAnsi="宋体" w:cs="宋体"/>
          <w:color w:val="000000" w:themeColor="text1"/>
          <w:sz w:val="28"/>
          <w:szCs w:val="28"/>
          <w:highlight w:val="none"/>
        </w:rPr>
        <w:outlineLvl w:val="1"/>
      </w:pPr>
      <w:r>
        <w:rPr>
          <w:rFonts w:hint="eastAsia" w:ascii="宋体" w:hAnsi="宋体" w:cs="宋体"/>
          <w:color w:val="000000" w:themeColor="text1"/>
          <w:sz w:val="28"/>
          <w:szCs w:val="28"/>
          <w:highlight w:val="none"/>
        </w:rPr>
        <w:t xml:space="preserve">十四、服务方案</w:t>
      </w:r>
      <w:bookmarkEnd w:id="178"/>
      <w:r>
        <w:rPr>
          <w:rFonts w:ascii="宋体" w:hAnsi="宋体" w:cs="宋体"/>
          <w:color w:val="000000" w:themeColor="text1"/>
          <w:sz w:val="28"/>
          <w:szCs w:val="28"/>
          <w:highlight w:val="none"/>
        </w:rPr>
      </w:r>
      <w:r>
        <w:rPr>
          <w:color w:val="000000" w:themeColor="text1"/>
          <w:highlight w:val="none"/>
        </w:rPr>
      </w:r>
    </w:p>
    <w:p>
      <w:pPr>
        <w:pStyle w:val="982"/>
        <w:ind w:left="420"/>
        <w:jc w:val="center"/>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投标人须根据本项目的采购需求及评分标准的要求编制项目服务方案，格式自拟</w:t>
      </w:r>
      <w:r>
        <w:rPr>
          <w:rFonts w:ascii="宋体" w:hAnsi="宋体" w:cs="宋体"/>
          <w:color w:val="000000" w:themeColor="text1"/>
          <w:sz w:val="24"/>
          <w:highlight w:val="none"/>
        </w:rPr>
      </w:r>
      <w:r>
        <w:rPr>
          <w:color w:val="000000" w:themeColor="text1"/>
          <w:highlight w:val="none"/>
        </w:rPr>
      </w:r>
    </w:p>
    <w:p>
      <w:pPr>
        <w:pStyle w:val="982"/>
        <w:rPr>
          <w:rFonts w:ascii="宋体" w:hAnsi="宋体" w:cs="宋体"/>
          <w:i/>
          <w:iCs/>
          <w:color w:val="000000" w:themeColor="text1"/>
          <w:sz w:val="32"/>
          <w:szCs w:val="32"/>
          <w:highlight w:val="none"/>
          <w:u w:val="single"/>
        </w:rPr>
      </w:pPr>
      <w:r>
        <w:rPr>
          <w:rFonts w:hint="eastAsia" w:ascii="宋体" w:hAnsi="宋体" w:cs="宋体"/>
          <w:i/>
          <w:iCs/>
          <w:color w:val="000000" w:themeColor="text1"/>
          <w:sz w:val="32"/>
          <w:szCs w:val="32"/>
          <w:highlight w:val="none"/>
          <w:u w:val="single"/>
        </w:rPr>
        <w:br w:type="page" w:clear="all"/>
      </w:r>
      <w:r>
        <w:rPr>
          <w:rFonts w:ascii="宋体" w:hAnsi="宋体" w:cs="宋体"/>
          <w:i/>
          <w:iCs/>
          <w:color w:val="000000" w:themeColor="text1"/>
          <w:sz w:val="32"/>
          <w:szCs w:val="32"/>
          <w:highlight w:val="none"/>
          <w:u w:val="single"/>
        </w:rPr>
      </w:r>
      <w:r>
        <w:rPr>
          <w:color w:val="000000" w:themeColor="text1"/>
          <w:highlight w:val="none"/>
        </w:rPr>
      </w:r>
    </w:p>
    <w:p>
      <w:pPr>
        <w:pStyle w:val="982"/>
        <w:jc w:val="center"/>
        <w:keepLines/>
        <w:keepNext/>
        <w:spacing w:before="260" w:line="415" w:lineRule="auto"/>
        <w:rPr>
          <w:rFonts w:ascii="宋体" w:hAnsi="宋体" w:cs="宋体"/>
          <w:color w:val="000000" w:themeColor="text1"/>
          <w:sz w:val="28"/>
          <w:szCs w:val="28"/>
          <w:highlight w:val="none"/>
        </w:rPr>
        <w:outlineLvl w:val="1"/>
      </w:pPr>
      <w:r>
        <w:rPr>
          <w:color w:val="000000" w:themeColor="text1"/>
          <w:highlight w:val="none"/>
        </w:rPr>
      </w:r>
      <w:bookmarkStart w:id="179" w:name="_Toc10285"/>
      <w:r>
        <w:rPr>
          <w:rFonts w:hint="eastAsia" w:ascii="宋体" w:hAnsi="宋体" w:cs="宋体"/>
          <w:color w:val="000000" w:themeColor="text1"/>
          <w:sz w:val="28"/>
          <w:szCs w:val="28"/>
          <w:highlight w:val="none"/>
        </w:rPr>
        <w:t xml:space="preserve">十五、</w:t>
      </w:r>
      <w:bookmarkEnd w:id="179"/>
      <w:r>
        <w:rPr>
          <w:rFonts w:hint="eastAsia" w:ascii="宋体" w:hAnsi="宋体" w:cs="宋体"/>
          <w:color w:val="000000" w:themeColor="text1"/>
          <w:sz w:val="28"/>
          <w:szCs w:val="28"/>
          <w:highlight w:val="none"/>
        </w:rPr>
        <w:t xml:space="preserve">投标人认为需要提供的其它资料</w:t>
      </w:r>
      <w:r>
        <w:rPr>
          <w:rFonts w:ascii="宋体" w:hAnsi="宋体" w:cs="宋体"/>
          <w:color w:val="000000" w:themeColor="text1"/>
          <w:sz w:val="28"/>
          <w:szCs w:val="28"/>
          <w:highlight w:val="none"/>
        </w:rPr>
      </w:r>
      <w:r>
        <w:rPr>
          <w:color w:val="000000" w:themeColor="text1"/>
          <w:highlight w:val="none"/>
        </w:rPr>
      </w:r>
    </w:p>
    <w:p>
      <w:pPr>
        <w:pStyle w:val="982"/>
        <w:jc w:val="center"/>
        <w:keepLines/>
        <w:keepNext/>
        <w:spacing w:before="260" w:line="415" w:lineRule="auto"/>
        <w:rPr>
          <w:rFonts w:ascii="宋体" w:hAnsi="宋体" w:cs="宋体"/>
          <w:color w:val="000000" w:themeColor="text1"/>
          <w:sz w:val="32"/>
          <w:szCs w:val="32"/>
          <w:highlight w:val="none"/>
        </w:rPr>
      </w:pPr>
      <w:r>
        <w:rPr>
          <w:rFonts w:ascii="宋体" w:hAnsi="宋体" w:cs="宋体"/>
          <w:color w:val="000000" w:themeColor="text1"/>
          <w:sz w:val="32"/>
          <w:szCs w:val="32"/>
          <w:highlight w:val="none"/>
        </w:rPr>
      </w:r>
      <w:r>
        <w:rPr>
          <w:color w:val="000000" w:themeColor="text1"/>
          <w:highlight w:val="none"/>
        </w:rPr>
      </w:r>
    </w:p>
    <w:p>
      <w:pPr>
        <w:pStyle w:val="982"/>
        <w:jc w:val="center"/>
        <w:rPr>
          <w:rFonts w:ascii="宋体" w:hAnsi="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highlight w:val="none"/>
        </w:rPr>
        <w:t xml:space="preserve">（评分或招标文件中要求提供的材料，格式自拟）</w:t>
      </w:r>
      <w:r>
        <w:rPr>
          <w:rFonts w:ascii="宋体" w:hAnsi="宋体" w:cs="宋体"/>
          <w:color w:val="000000" w:themeColor="text1"/>
          <w:sz w:val="28"/>
          <w:szCs w:val="28"/>
          <w:highlight w:val="none"/>
        </w:rPr>
      </w:r>
      <w:r>
        <w:rPr>
          <w:color w:val="000000" w:themeColor="text1"/>
          <w:highlight w:val="none"/>
        </w:rPr>
      </w:r>
    </w:p>
    <w:p>
      <w:pPr>
        <w:pStyle w:val="982"/>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例如：</w:t>
      </w:r>
      <w:r>
        <w:rPr>
          <w:rFonts w:ascii="宋体" w:hAnsi="宋体" w:cs="宋体"/>
          <w:color w:val="000000" w:themeColor="text1"/>
          <w:sz w:val="24"/>
          <w:highlight w:val="none"/>
        </w:rPr>
      </w:r>
      <w:r>
        <w:rPr>
          <w:color w:val="000000" w:themeColor="text1"/>
          <w:highlight w:val="none"/>
        </w:rPr>
      </w:r>
    </w:p>
    <w:p>
      <w:pPr>
        <w:pStyle w:val="982"/>
        <w:numPr>
          <w:ilvl w:val="0"/>
          <w:numId w:val="9"/>
        </w:numPr>
        <w:ind w:left="0" w:firstLine="0"/>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评分标准中涉及的材料（如业绩证明材料等）</w:t>
      </w:r>
      <w:r>
        <w:rPr>
          <w:rFonts w:ascii="宋体" w:hAnsi="宋体" w:cs="宋体"/>
          <w:color w:val="000000" w:themeColor="text1"/>
          <w:sz w:val="24"/>
          <w:highlight w:val="none"/>
        </w:rPr>
      </w:r>
      <w:r>
        <w:rPr>
          <w:color w:val="000000" w:themeColor="text1"/>
          <w:highlight w:val="none"/>
        </w:rPr>
      </w:r>
    </w:p>
    <w:p>
      <w:pPr>
        <w:pStyle w:val="982"/>
        <w:numPr>
          <w:ilvl w:val="0"/>
          <w:numId w:val="9"/>
        </w:numPr>
        <w:ind w:left="0" w:firstLine="0"/>
        <w:jc w:val="left"/>
        <w:keepLines/>
        <w:keepNex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投标人认为需要提供的其它资料</w:t>
      </w:r>
      <w:r>
        <w:rPr>
          <w:rFonts w:ascii="宋体" w:hAnsi="宋体" w:cs="宋体"/>
          <w:color w:val="000000" w:themeColor="text1"/>
          <w:sz w:val="24"/>
          <w:highlight w:val="none"/>
        </w:rPr>
      </w:r>
      <w:r>
        <w:rPr>
          <w:color w:val="000000" w:themeColor="text1"/>
          <w:highlight w:val="none"/>
        </w:rPr>
      </w:r>
    </w:p>
    <w:p>
      <w:pPr>
        <w:pStyle w:val="982"/>
        <w:jc w:val="center"/>
        <w:keepLines/>
        <w:keepNext/>
        <w:spacing w:before="260" w:line="415" w:lineRule="auto"/>
        <w:rPr>
          <w:rFonts w:hint="eastAsia" w:ascii="宋体" w:hAnsi="宋体" w:cs="宋体"/>
          <w:color w:val="000000" w:themeColor="text1"/>
          <w:sz w:val="28"/>
          <w:szCs w:val="28"/>
          <w:highlight w:val="none"/>
        </w:rPr>
        <w:outlineLvl w:val="1"/>
      </w:pPr>
      <w:r>
        <w:rPr>
          <w:rFonts w:hint="eastAsia" w:ascii="宋体" w:hAnsi="宋体" w:cs="宋体"/>
          <w:color w:val="000000" w:themeColor="text1"/>
          <w:sz w:val="28"/>
          <w:szCs w:val="28"/>
          <w:highlight w:val="none"/>
        </w:rPr>
        <w:br w:type="page" w:clear="all"/>
      </w:r>
      <w:r>
        <w:rPr>
          <w:rFonts w:hint="eastAsia" w:ascii="宋体" w:hAnsi="宋体" w:cs="宋体"/>
          <w:color w:val="000000" w:themeColor="text1"/>
          <w:sz w:val="28"/>
          <w:szCs w:val="28"/>
          <w:highlight w:val="none"/>
        </w:rPr>
        <w:t xml:space="preserve">十六、样品清单（格式自拟）</w:t>
      </w:r>
      <w:r>
        <w:rPr>
          <w:rFonts w:hint="eastAsia" w:ascii="宋体" w:hAnsi="宋体" w:cs="宋体"/>
          <w:color w:val="000000" w:themeColor="text1"/>
          <w:sz w:val="28"/>
          <w:szCs w:val="28"/>
          <w:highlight w:val="none"/>
        </w:rPr>
      </w:r>
      <w:r>
        <w:rPr>
          <w:color w:val="000000" w:themeColor="text1"/>
          <w:highlight w:val="none"/>
        </w:rPr>
      </w:r>
    </w:p>
    <w:p>
      <w:pPr>
        <w:pStyle w:val="982"/>
        <w:jc w:val="center"/>
        <w:spacing w:line="241" w:lineRule="atLeast"/>
        <w:rPr>
          <w:rFonts w:ascii="宋体" w:hAnsi="宋体" w:cs="宋体"/>
          <w:color w:val="000000" w:themeColor="text1"/>
          <w:sz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仿宋"/>
          <w:b/>
          <w:bCs/>
          <w:color w:val="000000" w:themeColor="text1"/>
          <w:sz w:val="32"/>
          <w:szCs w:val="32"/>
          <w:highlight w:val="none"/>
        </w:rPr>
        <w:br w:type="page" w:clear="all"/>
      </w:r>
      <w:r>
        <w:rPr>
          <w:rFonts w:hint="eastAsia" w:ascii="宋体" w:hAnsi="宋体" w:cs="宋体"/>
          <w:color w:val="000000" w:themeColor="text1"/>
          <w:sz w:val="28"/>
          <w:szCs w:val="28"/>
          <w:highlight w:val="none"/>
        </w:rPr>
        <w:t xml:space="preserve">十七、</w:t>
      </w:r>
      <w:r>
        <w:rPr>
          <w:rFonts w:hint="eastAsia" w:ascii="宋体" w:hAnsi="宋体" w:cs="宋体"/>
          <w:color w:val="000000" w:themeColor="text1"/>
          <w:sz w:val="32"/>
          <w:highlight w:val="none"/>
        </w:rPr>
        <w:t xml:space="preserve">南京市政府采购供应商信用承诺书</w:t>
      </w:r>
      <w:r>
        <w:rPr>
          <w:rFonts w:ascii="宋体" w:hAnsi="宋体" w:cs="宋体"/>
          <w:color w:val="000000" w:themeColor="text1"/>
          <w:sz w:val="32"/>
          <w:highlight w:val="none"/>
        </w:rPr>
      </w:r>
      <w:r>
        <w:rPr>
          <w:color w:val="000000" w:themeColor="text1"/>
          <w:highlight w:val="none"/>
        </w:rPr>
      </w:r>
    </w:p>
    <w:p>
      <w:pPr>
        <w:pStyle w:val="982"/>
        <w:jc w:val="right"/>
        <w:rPr>
          <w:rFonts w:ascii="方正小标宋简体" w:hAnsi="方正小标宋简体" w:eastAsia="方正小标宋简体" w:cs="方正小标宋简体"/>
          <w:color w:val="000000" w:themeColor="text1"/>
          <w:sz w:val="22"/>
          <w:szCs w:val="28"/>
          <w:highlight w:val="none"/>
        </w:rPr>
      </w:pPr>
      <w:r>
        <w:rPr>
          <w:rFonts w:ascii="方正小标宋简体" w:hAnsi="方正小标宋简体" w:eastAsia="方正小标宋简体" w:cs="方正小标宋简体"/>
          <w:color w:val="000000" w:themeColor="text1"/>
          <w:sz w:val="22"/>
          <w:szCs w:val="28"/>
          <w:highlight w:val="none"/>
        </w:rPr>
        <w:t xml:space="preserve">2026</w:t>
      </w:r>
      <w:r>
        <w:rPr>
          <w:rFonts w:hint="eastAsia" w:ascii="方正小标宋简体" w:hAnsi="方正小标宋简体" w:eastAsia="方正小标宋简体" w:cs="方正小标宋简体"/>
          <w:color w:val="000000" w:themeColor="text1"/>
          <w:sz w:val="22"/>
          <w:szCs w:val="28"/>
          <w:highlight w:val="none"/>
        </w:rPr>
        <w:t xml:space="preserve">年</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月</w:t>
      </w:r>
      <w:r>
        <w:rPr>
          <w:rFonts w:ascii="方正小标宋简体" w:hAnsi="方正小标宋简体" w:eastAsia="方正小标宋简体" w:cs="方正小标宋简体"/>
          <w:color w:val="000000" w:themeColor="text1"/>
          <w:sz w:val="22"/>
          <w:szCs w:val="28"/>
          <w:highlight w:val="none"/>
        </w:rPr>
        <w:t xml:space="preserve">XX</w:t>
      </w:r>
      <w:r>
        <w:rPr>
          <w:rFonts w:hint="eastAsia" w:ascii="方正小标宋简体" w:hAnsi="方正小标宋简体" w:eastAsia="方正小标宋简体" w:cs="方正小标宋简体"/>
          <w:color w:val="000000" w:themeColor="text1"/>
          <w:sz w:val="22"/>
          <w:szCs w:val="28"/>
          <w:highlight w:val="none"/>
        </w:rPr>
        <w:t xml:space="preserve">日</w:t>
      </w:r>
      <w:r>
        <w:rPr>
          <w:rFonts w:ascii="方正小标宋简体" w:hAnsi="方正小标宋简体" w:eastAsia="方正小标宋简体" w:cs="方正小标宋简体"/>
          <w:color w:val="000000" w:themeColor="text1"/>
          <w:sz w:val="22"/>
          <w:szCs w:val="28"/>
          <w:highlight w:val="none"/>
        </w:rPr>
      </w:r>
      <w:r>
        <w:rPr>
          <w:color w:val="000000" w:themeColor="text1"/>
          <w:highlight w:val="none"/>
        </w:rPr>
      </w:r>
    </w:p>
    <w:p>
      <w:pPr>
        <w:pStyle w:val="982"/>
        <w:jc w:val="center"/>
        <w:rPr>
          <w:color w:val="000000" w:themeColor="text1"/>
          <w:highlight w:val="none"/>
        </w:rPr>
      </w:pPr>
      <w:r>
        <w:rPr>
          <w:color w:val="000000" w:themeColor="text1"/>
          <w:highlight w:val="none"/>
        </w:rPr>
      </w:r>
      <w:r>
        <w:rPr>
          <w:color w:val="000000" w:themeColor="text1"/>
          <w:highlight w:val="none"/>
        </w:rPr>
      </w:r>
    </w:p>
    <w:tbl>
      <w:tblPr>
        <w:tblpPr w:horzAnchor="text" w:tblpXSpec="center" w:vertAnchor="text" w:tblpY="1" w:leftFromText="180" w:topFromText="0" w:rightFromText="180" w:bottomFromText="0"/>
        <w:tblW w:w="95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982"/>
              <w:ind w:left="-420"/>
              <w:jc w:val="center"/>
              <w:tabs>
                <w:tab w:val="left" w:pos="2520" w:leader="none"/>
              </w:tabs>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   单位名称</w:t>
            </w:r>
            <w:r>
              <w:rPr>
                <w:rFonts w:ascii="宋体" w:hAnsi="宋体"/>
                <w:color w:val="000000" w:themeColor="text1"/>
                <w:sz w:val="24"/>
                <w:szCs w:val="32"/>
                <w:highlight w:val="none"/>
              </w:rPr>
            </w:r>
            <w:r>
              <w:rPr>
                <w:color w:val="000000" w:themeColor="text1"/>
                <w:highlight w:val="none"/>
              </w:rPr>
            </w:r>
          </w:p>
        </w:tc>
        <w:tc>
          <w:tcPr>
            <w:tcW w:w="2284"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统一社会信用代码</w:t>
            </w:r>
            <w:r>
              <w:rPr>
                <w:rFonts w:ascii="宋体" w:hAnsi="宋体"/>
                <w:color w:val="000000" w:themeColor="text1"/>
                <w:sz w:val="24"/>
                <w:szCs w:val="32"/>
                <w:highlight w:val="none"/>
              </w:rPr>
            </w:r>
            <w:r>
              <w:rPr>
                <w:color w:val="000000" w:themeColor="text1"/>
                <w:highlight w:val="none"/>
              </w:rPr>
            </w:r>
          </w:p>
        </w:tc>
        <w:tc>
          <w:tcPr>
            <w:tcW w:w="3331" w:type="dxa"/>
            <w:vAlign w:val="center"/>
            <w:textDirection w:val="lrTb"/>
            <w:noWrap w:val="false"/>
          </w:tcPr>
          <w:p>
            <w:pPr>
              <w:pStyle w:val="982"/>
              <w:ind w:right="-678"/>
              <w:jc w:val="center"/>
              <w:tabs>
                <w:tab w:val="left" w:pos="2320" w:leader="none"/>
              </w:tabs>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tc>
      </w:tr>
      <w:tr>
        <w:trPr>
          <w:trHeight w:val="567"/>
        </w:trPr>
        <w:tc>
          <w:tcPr>
            <w:tcW w:w="2148"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法定代表人</w:t>
            </w:r>
            <w:r>
              <w:rPr>
                <w:rFonts w:ascii="宋体" w:hAnsi="宋体"/>
                <w:color w:val="000000" w:themeColor="text1"/>
                <w:sz w:val="24"/>
                <w:szCs w:val="32"/>
                <w:highlight w:val="none"/>
              </w:rPr>
            </w:r>
            <w:r>
              <w:rPr>
                <w:color w:val="000000" w:themeColor="text1"/>
                <w:highlight w:val="none"/>
              </w:rPr>
            </w:r>
          </w:p>
        </w:tc>
        <w:tc>
          <w:tcPr>
            <w:tcW w:w="2284"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联系人</w:t>
            </w:r>
            <w:r>
              <w:rPr>
                <w:rFonts w:ascii="宋体" w:hAnsi="宋体"/>
                <w:color w:val="000000" w:themeColor="text1"/>
                <w:sz w:val="24"/>
                <w:szCs w:val="32"/>
                <w:highlight w:val="none"/>
              </w:rPr>
            </w:r>
            <w:r>
              <w:rPr>
                <w:color w:val="000000" w:themeColor="text1"/>
                <w:highlight w:val="none"/>
              </w:rPr>
            </w:r>
          </w:p>
        </w:tc>
        <w:tc>
          <w:tcPr>
            <w:tcW w:w="3331" w:type="dxa"/>
            <w:vAlign w:val="center"/>
            <w:textDirection w:val="lrTb"/>
            <w:noWrap w:val="false"/>
          </w:tcPr>
          <w:p>
            <w:pPr>
              <w:pStyle w:val="982"/>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tc>
      </w:tr>
      <w:tr>
        <w:trPr>
          <w:trHeight w:val="567"/>
        </w:trPr>
        <w:tc>
          <w:tcPr>
            <w:tcW w:w="2148"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联系地址</w:t>
            </w:r>
            <w:r>
              <w:rPr>
                <w:rFonts w:ascii="宋体" w:hAnsi="宋体"/>
                <w:color w:val="000000" w:themeColor="text1"/>
                <w:sz w:val="24"/>
                <w:szCs w:val="32"/>
                <w:highlight w:val="none"/>
              </w:rPr>
            </w:r>
            <w:r>
              <w:rPr>
                <w:color w:val="000000" w:themeColor="text1"/>
                <w:highlight w:val="none"/>
              </w:rPr>
            </w:r>
          </w:p>
        </w:tc>
        <w:tc>
          <w:tcPr>
            <w:tcW w:w="2284"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ascii="宋体" w:hAnsi="宋体"/>
                <w:color w:val="000000" w:themeColor="text1"/>
                <w:sz w:val="24"/>
                <w:szCs w:val="32"/>
                <w:highlight w:val="none"/>
              </w:rPr>
            </w:r>
            <w:r>
              <w:rPr>
                <w:color w:val="000000" w:themeColor="text1"/>
                <w:highlight w:val="none"/>
              </w:rPr>
            </w:r>
          </w:p>
        </w:tc>
        <w:tc>
          <w:tcPr>
            <w:tcW w:w="1833"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联系电话</w:t>
            </w:r>
            <w:r>
              <w:rPr>
                <w:rFonts w:ascii="宋体" w:hAnsi="宋体"/>
                <w:color w:val="000000" w:themeColor="text1"/>
                <w:sz w:val="24"/>
                <w:szCs w:val="32"/>
                <w:highlight w:val="none"/>
              </w:rPr>
            </w:r>
            <w:r>
              <w:rPr>
                <w:color w:val="000000" w:themeColor="text1"/>
                <w:highlight w:val="none"/>
              </w:rPr>
            </w:r>
          </w:p>
        </w:tc>
        <w:tc>
          <w:tcPr>
            <w:tcW w:w="3331" w:type="dxa"/>
            <w:vAlign w:val="center"/>
            <w:textDirection w:val="lrTb"/>
            <w:noWrap w:val="false"/>
          </w:tcPr>
          <w:p>
            <w:pPr>
              <w:pStyle w:val="982"/>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tc>
      </w:tr>
      <w:tr>
        <w:trPr>
          <w:trHeight w:val="5560"/>
        </w:trPr>
        <w:tc>
          <w:tcPr>
            <w:tcW w:w="2148" w:type="dxa"/>
            <w:vAlign w:val="center"/>
            <w:textDirection w:val="lrTb"/>
            <w:noWrap w:val="false"/>
          </w:tcPr>
          <w:p>
            <w:pPr>
              <w:pStyle w:val="982"/>
              <w:jc w:val="center"/>
              <w:rPr>
                <w:rFonts w:ascii="宋体" w:hAnsi="宋体"/>
                <w:color w:val="000000" w:themeColor="text1"/>
                <w:sz w:val="24"/>
                <w:szCs w:val="32"/>
                <w:highlight w:val="none"/>
              </w:rPr>
              <w:framePr w:vAnchor="margin" w:hAnchor="page" w:xAlign="center" w:y="1"/>
            </w:pPr>
            <w:r>
              <w:rPr>
                <w:rFonts w:hint="eastAsia" w:ascii="宋体" w:hAnsi="宋体"/>
                <w:color w:val="000000" w:themeColor="text1"/>
                <w:sz w:val="24"/>
                <w:szCs w:val="32"/>
                <w:highlight w:val="none"/>
              </w:rPr>
              <w:t xml:space="preserve">信用承诺</w:t>
            </w:r>
            <w:r>
              <w:rPr>
                <w:rFonts w:ascii="宋体" w:hAnsi="宋体"/>
                <w:color w:val="000000" w:themeColor="text1"/>
                <w:sz w:val="24"/>
                <w:szCs w:val="32"/>
                <w:highlight w:val="none"/>
              </w:rPr>
            </w:r>
            <w:r>
              <w:rPr>
                <w:color w:val="000000" w:themeColor="text1"/>
                <w:highlight w:val="none"/>
              </w:rPr>
            </w:r>
          </w:p>
        </w:tc>
        <w:tc>
          <w:tcPr>
            <w:gridSpan w:val="3"/>
            <w:tcW w:w="7448" w:type="dxa"/>
            <w:vAlign w:val="center"/>
            <w:textDirection w:val="lrTb"/>
            <w:noWrap w:val="false"/>
          </w:tcPr>
          <w:p>
            <w:pPr>
              <w:pStyle w:val="982"/>
              <w:ind w:firstLine="420"/>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我公司自愿参加贵中心（公司）组织的本次采购活动，严格遵守《中华人民共和国政府采购法》及相关</w:t>
            </w:r>
            <w:r>
              <w:rPr>
                <w:rFonts w:hint="eastAsia" w:ascii="宋体" w:hAnsi="宋体"/>
                <w:color w:val="000000" w:themeColor="text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olor w:val="000000" w:themeColor="text1"/>
                <w:highlight w:val="none"/>
              </w:rPr>
            </w:r>
            <w:r>
              <w:rPr>
                <w:color w:val="000000" w:themeColor="text1"/>
                <w:highlight w:val="none"/>
              </w:rPr>
            </w:r>
          </w:p>
          <w:p>
            <w:pPr>
              <w:pStyle w:val="982"/>
              <w:ind w:firstLine="420"/>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p>
            <w:pPr>
              <w:pStyle w:val="982"/>
              <w:ind w:firstLine="420"/>
              <w:jc w:val="center"/>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供应商名称（盖章）：</w:t>
            </w:r>
            <w:r>
              <w:rPr>
                <w:rFonts w:ascii="宋体" w:hAnsi="宋体"/>
                <w:color w:val="000000" w:themeColor="text1"/>
                <w:highlight w:val="none"/>
              </w:rPr>
            </w:r>
            <w:r>
              <w:rPr>
                <w:color w:val="000000" w:themeColor="text1"/>
                <w:highlight w:val="none"/>
              </w:rPr>
            </w:r>
          </w:p>
          <w:p>
            <w:pPr>
              <w:pStyle w:val="982"/>
              <w:ind w:firstLine="420"/>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p>
            <w:pPr>
              <w:pStyle w:val="982"/>
              <w:ind w:firstLine="420"/>
              <w:jc w:val="center"/>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法定代表人（签字）：</w:t>
            </w:r>
            <w:r>
              <w:rPr>
                <w:rFonts w:ascii="宋体" w:hAnsi="宋体"/>
                <w:color w:val="000000" w:themeColor="text1"/>
                <w:highlight w:val="none"/>
              </w:rPr>
            </w:r>
            <w:r>
              <w:rPr>
                <w:color w:val="000000" w:themeColor="text1"/>
                <w:highlight w:val="none"/>
              </w:rPr>
            </w:r>
          </w:p>
          <w:p>
            <w:pPr>
              <w:pStyle w:val="982"/>
              <w:ind w:firstLine="420"/>
              <w:jc w:val="center"/>
              <w:rPr>
                <w:rFonts w:ascii="宋体" w:hAnsi="宋体"/>
                <w:color w:val="000000" w:themeColor="text1"/>
                <w:highlight w:val="none"/>
              </w:rPr>
              <w:framePr w:vAnchor="margin" w:hAnchor="page" w:xAlign="center" w:y="1"/>
            </w:pPr>
            <w:r>
              <w:rPr>
                <w:rFonts w:ascii="宋体" w:hAnsi="宋体"/>
                <w:color w:val="000000" w:themeColor="text1"/>
                <w:highlight w:val="none"/>
              </w:rPr>
            </w:r>
            <w:r>
              <w:rPr>
                <w:color w:val="000000" w:themeColor="text1"/>
                <w:highlight w:val="none"/>
              </w:rPr>
            </w:r>
          </w:p>
          <w:p>
            <w:pPr>
              <w:pStyle w:val="982"/>
              <w:ind w:firstLine="420"/>
              <w:jc w:val="center"/>
              <w:rPr>
                <w:rFonts w:ascii="宋体" w:hAnsi="宋体"/>
                <w:color w:val="000000" w:themeColor="text1"/>
                <w:highlight w:val="none"/>
              </w:rPr>
              <w:framePr w:vAnchor="margin" w:hAnchor="page" w:xAlign="center" w:y="1"/>
            </w:pPr>
            <w:r>
              <w:rPr>
                <w:rFonts w:hint="eastAsia" w:ascii="宋体" w:hAnsi="宋体"/>
                <w:color w:val="000000" w:themeColor="text1"/>
                <w:highlight w:val="none"/>
              </w:rPr>
              <w:t xml:space="preserve">XXXX年XX月XX日</w:t>
            </w:r>
            <w:r>
              <w:rPr>
                <w:rFonts w:ascii="宋体" w:hAnsi="宋体"/>
                <w:color w:val="000000" w:themeColor="text1"/>
                <w:highlight w:val="none"/>
              </w:rPr>
            </w:r>
            <w:r>
              <w:rPr>
                <w:color w:val="000000" w:themeColor="text1"/>
                <w:highlight w:val="none"/>
              </w:rPr>
            </w:r>
          </w:p>
        </w:tc>
      </w:tr>
    </w:tbl>
    <w:p>
      <w:pPr>
        <w:pStyle w:val="982"/>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p>
    <w:p>
      <w:pPr>
        <w:pStyle w:val="982"/>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982"/>
        <w:spacing w:line="6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highlight w:val="none"/>
        </w:rPr>
      </w:r>
    </w:p>
    <w:p>
      <w:pPr>
        <w:pStyle w:val="982"/>
        <w:ind w:firstLine="480"/>
        <w:rPr>
          <w:color w:val="000000" w:themeColor="text1"/>
          <w:highlight w:val="none"/>
        </w:rPr>
      </w:pPr>
      <w:r>
        <w:rPr>
          <w:rFonts w:eastAsia="Times New Roman"/>
          <w:color w:val="000000" w:themeColor="text1"/>
          <w:highlight w:val="none"/>
        </w:rPr>
        <w:t xml:space="preserve"> </w:t>
      </w:r>
      <w:r>
        <w:rPr>
          <w:rFonts w:ascii="宋体" w:hAnsi="宋体" w:cs="宋体"/>
          <w:color w:val="000000" w:themeColor="text1"/>
          <w:sz w:val="24"/>
          <w:highlight w:val="none"/>
        </w:rPr>
        <w:t xml:space="preserve">在政府采购资格审查环节，供应商只需提供书面《</w:t>
      </w:r>
      <w:r>
        <w:rPr>
          <w:rFonts w:hint="eastAsia" w:ascii="宋体" w:hAnsi="宋体" w:cs="宋体"/>
          <w:color w:val="000000" w:themeColor="text1"/>
          <w:sz w:val="24"/>
          <w:highlight w:val="none"/>
        </w:rPr>
        <w:t xml:space="preserve">南京市政府采购供应商信用承诺书</w:t>
      </w:r>
      <w:r>
        <w:rPr>
          <w:rFonts w:ascii="宋体" w:hAnsi="宋体" w:cs="宋体"/>
          <w:color w:val="000000" w:themeColor="text1"/>
          <w:sz w:val="24"/>
          <w:highlight w:val="none"/>
        </w:rPr>
        <w:t xml:space="preserve">》，即可替代以下证明材料：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供应商涉及以下情形的，不适用信用承诺：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（2）被相关监管部门作出行政处罚且尚在处罚有效期内；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p>
    <w:p>
      <w:pPr>
        <w:pStyle w:val="982"/>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供应商对信用承诺内容的真实性、合法性、有效性负责。如作出虚假信用承诺，视同为“提供虚假材料谋取中标、成交”的违法行为。</w:t>
      </w:r>
      <w:r>
        <w:rPr>
          <w:color w:val="000000" w:themeColor="text1"/>
          <w:highlight w:val="none"/>
        </w:rPr>
      </w:r>
    </w:p>
    <w:p>
      <w:pPr>
        <w:pStyle w:val="982"/>
        <w:jc w:val="left"/>
        <w:widowControl/>
        <w:rPr>
          <w:rFonts w:ascii="宋体" w:hAnsi="宋体" w:cs="仿宋"/>
          <w:b/>
          <w:bCs/>
          <w:color w:val="000000" w:themeColor="text1"/>
          <w:sz w:val="32"/>
          <w:szCs w:val="32"/>
          <w:highlight w:val="none"/>
        </w:rPr>
      </w:pPr>
      <w:r>
        <w:rPr>
          <w:rFonts w:ascii="宋体" w:hAnsi="宋体" w:cs="仿宋"/>
          <w:b/>
          <w:bCs/>
          <w:color w:val="000000" w:themeColor="text1"/>
          <w:sz w:val="32"/>
          <w:szCs w:val="32"/>
          <w:highlight w:val="none"/>
        </w:rPr>
        <w:br w:type="page" w:clear="all"/>
      </w:r>
      <w:r>
        <w:rPr>
          <w:rFonts w:ascii="宋体" w:hAnsi="宋体" w:cs="仿宋"/>
          <w:b/>
          <w:bCs/>
          <w:color w:val="000000" w:themeColor="text1"/>
          <w:sz w:val="32"/>
          <w:szCs w:val="32"/>
          <w:highlight w:val="none"/>
        </w:rPr>
      </w:r>
      <w:r>
        <w:rPr>
          <w:color w:val="000000" w:themeColor="text1"/>
          <w:highlight w:val="none"/>
        </w:rPr>
      </w:r>
    </w:p>
    <w:p>
      <w:pPr>
        <w:pStyle w:val="982"/>
        <w:rPr>
          <w:rFonts w:ascii="宋体" w:hAnsi="宋体" w:cs="仿宋"/>
          <w:b/>
          <w:bCs/>
          <w:color w:val="000000" w:themeColor="text1"/>
          <w:sz w:val="32"/>
          <w:szCs w:val="32"/>
          <w:highlight w:val="none"/>
        </w:rPr>
      </w:pPr>
      <w:r>
        <w:rPr>
          <w:rFonts w:ascii="宋体" w:hAnsi="宋体" w:cs="仿宋"/>
          <w:b/>
          <w:bCs/>
          <w:color w:val="000000" w:themeColor="text1"/>
          <w:sz w:val="32"/>
          <w:szCs w:val="32"/>
          <w:highlight w:val="none"/>
        </w:rPr>
      </w:r>
      <w:r>
        <w:rPr>
          <w:color w:val="000000" w:themeColor="text1"/>
          <w:highlight w:val="none"/>
        </w:rPr>
      </w:r>
    </w:p>
    <w:p>
      <w:pPr>
        <w:pStyle w:val="982"/>
        <w:jc w:val="center"/>
        <w:rPr>
          <w:rFonts w:ascii="宋体" w:hAnsi="宋体" w:cs="仿宋"/>
          <w:b/>
          <w:bCs/>
          <w:color w:val="000000" w:themeColor="text1"/>
          <w:sz w:val="32"/>
          <w:szCs w:val="32"/>
          <w:highlight w:val="none"/>
        </w:rPr>
        <w:outlineLvl w:val="1"/>
      </w:pPr>
      <w:r>
        <w:rPr>
          <w:color w:val="000000" w:themeColor="text1"/>
          <w:highlight w:val="none"/>
        </w:rPr>
      </w:r>
      <w:bookmarkStart w:id="180" w:name="_Toc18348"/>
      <w:r>
        <w:rPr>
          <w:rFonts w:hint="eastAsia" w:ascii="宋体" w:hAnsi="宋体" w:cs="仿宋"/>
          <w:b/>
          <w:bCs/>
          <w:color w:val="000000" w:themeColor="text1"/>
          <w:sz w:val="32"/>
          <w:szCs w:val="32"/>
          <w:highlight w:val="none"/>
        </w:rPr>
        <w:t xml:space="preserve">质疑函范本</w:t>
      </w:r>
      <w:bookmarkEnd w:id="180"/>
      <w:r>
        <w:rPr>
          <w:rFonts w:ascii="宋体" w:hAnsi="宋体" w:cs="仿宋"/>
          <w:b/>
          <w:bCs/>
          <w:color w:val="000000" w:themeColor="text1"/>
          <w:sz w:val="32"/>
          <w:szCs w:val="32"/>
          <w:highlight w:val="none"/>
        </w:rPr>
      </w:r>
      <w:r>
        <w:rPr>
          <w:color w:val="000000" w:themeColor="text1"/>
          <w:highlight w:val="none"/>
        </w:rPr>
      </w:r>
    </w:p>
    <w:p>
      <w:pPr>
        <w:pStyle w:val="982"/>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rFonts w:ascii="宋体" w:hAnsi="宋体" w:cs="仿宋"/>
          <w:bCs/>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二、质疑项目基本情况</w:t>
      </w:r>
      <w:r>
        <w:rPr>
          <w:rFonts w:ascii="宋体" w:hAnsi="宋体" w:cs="仿宋"/>
          <w:bCs/>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采购文件获取日期：</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rFonts w:ascii="宋体" w:hAnsi="宋体" w:cs="仿宋"/>
          <w:bCs/>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rFonts w:ascii="宋体" w:hAnsi="宋体" w:cs="仿宋"/>
          <w:color w:val="000000" w:themeColor="text1"/>
          <w:sz w:val="24"/>
          <w:highlight w:val="none"/>
          <w:u w:val="single"/>
        </w:rPr>
      </w:r>
      <w:r>
        <w:rPr>
          <w:color w:val="000000" w:themeColor="text1"/>
          <w:highlight w:val="none"/>
        </w:rPr>
      </w:r>
    </w:p>
    <w:p>
      <w:pPr>
        <w:pStyle w:val="982"/>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rFonts w:ascii="宋体" w:hAnsi="宋体" w:cs="仿宋"/>
          <w:color w:val="000000" w:themeColor="text1"/>
          <w:sz w:val="24"/>
          <w:highlight w:val="none"/>
        </w:rPr>
      </w:r>
      <w:r>
        <w:rPr>
          <w:color w:val="000000" w:themeColor="text1"/>
          <w:highlight w:val="none"/>
        </w:rPr>
      </w:r>
    </w:p>
    <w:p>
      <w:pPr>
        <w:pStyle w:val="982"/>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rFonts w:ascii="宋体" w:hAnsi="宋体" w:cs="仿宋"/>
          <w:bCs/>
          <w:color w:val="000000" w:themeColor="text1"/>
          <w:sz w:val="24"/>
          <w:highlight w:val="none"/>
        </w:rPr>
      </w:r>
      <w:r>
        <w:rPr>
          <w:color w:val="000000" w:themeColor="text1"/>
          <w:highlight w:val="none"/>
        </w:rPr>
      </w:r>
    </w:p>
    <w:p>
      <w:pPr>
        <w:pStyle w:val="982"/>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r>
      <w:r>
        <w:rPr>
          <w:color w:val="000000" w:themeColor="text1"/>
          <w:highlight w:val="none"/>
        </w:rPr>
      </w:r>
    </w:p>
    <w:p>
      <w:pPr>
        <w:pStyle w:val="982"/>
        <w:rPr>
          <w:rFonts w:ascii="宋体" w:hAnsi="宋体"/>
          <w:color w:val="000000" w:themeColor="text1"/>
          <w:sz w:val="24"/>
          <w:highlight w:val="none"/>
        </w:rPr>
      </w:pPr>
      <w:r>
        <w:rPr>
          <w:rFonts w:hint="eastAsia" w:ascii="宋体" w:hAnsi="宋体"/>
          <w:color w:val="000000" w:themeColor="text1"/>
          <w:sz w:val="24"/>
          <w:highlight w:val="none"/>
        </w:rPr>
        <w:t xml:space="preserve">签字(签章)：                   公章：                      </w:t>
      </w:r>
      <w:r>
        <w:rPr>
          <w:rFonts w:ascii="宋体" w:hAnsi="宋体"/>
          <w:color w:val="000000" w:themeColor="text1"/>
          <w:sz w:val="24"/>
          <w:highlight w:val="none"/>
        </w:rPr>
      </w:r>
      <w:r>
        <w:rPr>
          <w:color w:val="000000" w:themeColor="text1"/>
          <w:highlight w:val="none"/>
        </w:rPr>
      </w:r>
    </w:p>
    <w:p>
      <w:pPr>
        <w:pStyle w:val="982"/>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rFonts w:ascii="宋体" w:hAnsi="宋体"/>
          <w:color w:val="000000" w:themeColor="text1"/>
          <w:sz w:val="24"/>
          <w:highlight w:val="none"/>
        </w:rPr>
      </w:r>
      <w:r>
        <w:rPr>
          <w:color w:val="000000" w:themeColor="text1"/>
          <w:highlight w:val="none"/>
        </w:rPr>
      </w:r>
    </w:p>
    <w:p>
      <w:pPr>
        <w:pStyle w:val="982"/>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rFonts w:ascii="宋体" w:hAnsi="宋体"/>
          <w:b/>
          <w:color w:val="000000" w:themeColor="text1"/>
          <w:sz w:val="24"/>
          <w:highlight w:val="none"/>
        </w:rPr>
      </w:r>
      <w:r>
        <w:rPr>
          <w:color w:val="000000" w:themeColor="text1"/>
          <w:highlight w:val="none"/>
        </w:rPr>
      </w:r>
    </w:p>
    <w:p>
      <w:pPr>
        <w:pStyle w:val="98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rFonts w:ascii="宋体" w:hAnsi="宋体"/>
          <w:color w:val="000000" w:themeColor="text1"/>
          <w:sz w:val="24"/>
          <w:highlight w:val="none"/>
        </w:rPr>
      </w:r>
      <w:r>
        <w:rPr>
          <w:color w:val="000000" w:themeColor="text1"/>
          <w:highlight w:val="none"/>
        </w:rPr>
      </w:r>
    </w:p>
    <w:p>
      <w:pPr>
        <w:pStyle w:val="98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rFonts w:ascii="宋体" w:hAnsi="宋体"/>
          <w:color w:val="000000" w:themeColor="text1"/>
          <w:sz w:val="24"/>
          <w:highlight w:val="none"/>
        </w:rPr>
      </w:r>
      <w:r>
        <w:rPr>
          <w:color w:val="000000" w:themeColor="text1"/>
          <w:highlight w:val="none"/>
        </w:rPr>
      </w:r>
    </w:p>
    <w:p>
      <w:pPr>
        <w:pStyle w:val="98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rFonts w:ascii="宋体" w:hAnsi="宋体"/>
          <w:color w:val="000000" w:themeColor="text1"/>
          <w:sz w:val="24"/>
          <w:highlight w:val="none"/>
        </w:rPr>
      </w:r>
      <w:r>
        <w:rPr>
          <w:color w:val="000000" w:themeColor="text1"/>
          <w:highlight w:val="none"/>
        </w:rPr>
      </w:r>
    </w:p>
    <w:p>
      <w:pPr>
        <w:pStyle w:val="98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4.质疑函的质疑事项应具体、明确，并有必要的事实依据和法律依据。</w:t>
      </w:r>
      <w:r>
        <w:rPr>
          <w:rFonts w:ascii="宋体" w:hAnsi="宋体"/>
          <w:color w:val="000000" w:themeColor="text1"/>
          <w:sz w:val="24"/>
          <w:highlight w:val="none"/>
        </w:rPr>
      </w:r>
      <w:r>
        <w:rPr>
          <w:color w:val="000000" w:themeColor="text1"/>
          <w:highlight w:val="none"/>
        </w:rPr>
      </w:r>
    </w:p>
    <w:p>
      <w:pPr>
        <w:pStyle w:val="98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rFonts w:ascii="宋体" w:hAnsi="宋体"/>
          <w:color w:val="000000" w:themeColor="text1"/>
          <w:sz w:val="24"/>
          <w:highlight w:val="none"/>
        </w:rPr>
      </w:r>
      <w:r>
        <w:rPr>
          <w:color w:val="000000" w:themeColor="text1"/>
          <w:highlight w:val="none"/>
        </w:rPr>
      </w:r>
    </w:p>
    <w:p>
      <w:pPr>
        <w:pStyle w:val="982"/>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themeColor="text1"/>
          <w:sz w:val="24"/>
          <w:highlight w:val="none"/>
        </w:rPr>
      </w:r>
      <w:r>
        <w:rPr>
          <w:color w:val="000000" w:themeColor="text1"/>
          <w:highlight w:val="none"/>
        </w:rPr>
      </w:r>
    </w:p>
    <w:p>
      <w:pPr>
        <w:pStyle w:val="982"/>
        <w:ind w:firstLine="420"/>
        <w:rPr>
          <w:color w:val="000000" w:themeColor="text1"/>
          <w:sz w:val="24"/>
          <w:highlight w:val="none"/>
        </w:rPr>
      </w:pPr>
      <w:r>
        <w:rPr>
          <w:color w:val="000000" w:themeColor="text1"/>
          <w:sz w:val="24"/>
          <w:highlight w:val="none"/>
        </w:rPr>
      </w:r>
      <w:r>
        <w:rPr>
          <w:color w:val="000000" w:themeColor="text1"/>
          <w:highlight w:val="none"/>
        </w:rPr>
      </w:r>
    </w:p>
    <w:p>
      <w:pPr>
        <w:pStyle w:val="982"/>
        <w:ind w:firstLine="420"/>
        <w:rPr>
          <w:color w:val="000000" w:themeColor="text1"/>
          <w:sz w:val="24"/>
          <w:highlight w:val="none"/>
        </w:rPr>
      </w:pPr>
      <w:r>
        <w:rPr>
          <w:color w:val="000000" w:themeColor="text1"/>
          <w:sz w:val="24"/>
          <w:highlight w:val="none"/>
        </w:rPr>
      </w:r>
      <w:r>
        <w:rPr>
          <w:color w:val="000000" w:themeColor="text1"/>
          <w:highlight w:val="none"/>
        </w:rPr>
      </w:r>
    </w:p>
    <w:p>
      <w:pPr>
        <w:pStyle w:val="982"/>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p>
    <w:p>
      <w:pPr>
        <w:pStyle w:val="982"/>
        <w:jc w:val="center"/>
        <w:rPr>
          <w:rFonts w:ascii="宋体" w:hAnsi="宋体" w:cs="宋体"/>
          <w:b/>
          <w:bCs/>
          <w:color w:val="000000" w:themeColor="text1"/>
          <w:sz w:val="44"/>
          <w:szCs w:val="44"/>
          <w:highlight w:val="none"/>
        </w:rPr>
      </w:pPr>
      <w:r>
        <w:rPr>
          <w:rFonts w:ascii="宋体" w:hAnsi="宋体" w:cs="宋体"/>
          <w:b/>
          <w:bCs/>
          <w:color w:val="000000" w:themeColor="text1"/>
          <w:sz w:val="44"/>
          <w:szCs w:val="44"/>
          <w:highlight w:val="none"/>
        </w:rPr>
      </w:r>
      <w:r>
        <w:rPr>
          <w:color w:val="000000" w:themeColor="text1"/>
          <w:highlight w:val="none"/>
        </w:rPr>
      </w:r>
    </w:p>
    <w:sectPr>
      <w:headerReference w:type="default" r:id="rId13"/>
      <w:footerReference w:type="default" r:id="rId17"/>
      <w:footnotePr/>
      <w:endnotePr/>
      <w:type w:val="nextPage"/>
      <w:pgSz w:w="11906" w:h="16838" w:orient="portrait"/>
      <w:pgMar w:top="1134" w:right="1417" w:bottom="850"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方正小标宋简体">
    <w:panose1 w:val="020B0503020202020204"/>
  </w:font>
  <w:font w:name="华文行楷">
    <w:panose1 w:val="02010800040101010101"/>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Tahoma">
    <w:panose1 w:val="020B060403050404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4"/>
                            <w:tabs>
                              <w:tab w:val="clear" w:pos="4153" w:leader="none"/>
                              <w:tab w:val="clear" w:pos="8306" w:leader="none"/>
                            </w:tabs>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65</w:t>
                          </w:r>
                          <w:r>
                            <w:rPr>
                              <w:rFonts w:hint="eastAsia" w:ascii="宋体" w:hAnsi="宋体" w:cs="宋体"/>
                              <w:sz w:val="21"/>
                              <w:szCs w:val="21"/>
                            </w:rPr>
                            <w:fldChar w:fldCharType="end"/>
                          </w:r>
                          <w:r/>
                        </w:p>
                        <w:p>
                          <w:pPr>
                            <w:pStyle w:val="9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4"/>
                      <w:tabs>
                        <w:tab w:val="clear" w:pos="4153" w:leader="none"/>
                        <w:tab w:val="clear" w:pos="8306" w:leader="none"/>
                      </w:tabs>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65</w:t>
                    </w:r>
                    <w:r>
                      <w:rPr>
                        <w:rFonts w:hint="eastAsia" w:ascii="宋体" w:hAnsi="宋体" w:cs="宋体"/>
                        <w:sz w:val="21"/>
                        <w:szCs w:val="21"/>
                      </w:rPr>
                      <w:fldChar w:fldCharType="end"/>
                    </w:r>
                    <w:r/>
                  </w:p>
                  <w:p>
                    <w:pPr>
                      <w:pStyle w:val="982"/>
                    </w:pPr>
                    <w:r/>
                    <w:r/>
                  </w:p>
                </w:txbxContent>
              </v:textbox>
            </v:shape>
          </w:pict>
        </mc:Fallback>
      </mc:AlternateContent>
    </w:r>
    <w:r>
      <w:rPr>
        <w:rFonts w:ascii="宋体" w:hAnsi="宋体" w:cs="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pPr>
    <w:r>
      <w:rPr>
        <w:rFonts w:hint="eastAsia"/>
      </w:rPr>
      <w:t xml:space="preserve">第</w:t>
    </w:r>
    <w:r>
      <w:fldChar w:fldCharType="begin"/>
    </w:r>
    <w:r>
      <w:rPr>
        <w:rStyle w:val="1064"/>
      </w:rPr>
      <w:instrText xml:space="preserve"> PAGE </w:instrText>
    </w:r>
    <w:r>
      <w:fldChar w:fldCharType="separate"/>
    </w:r>
    <w:r>
      <w:rPr>
        <w:rStyle w:val="1064"/>
      </w:rPr>
      <w:t xml:space="preserve">35</w:t>
    </w:r>
    <w:r>
      <w:fldChar w:fldCharType="end"/>
    </w:r>
    <w:r>
      <w:rPr>
        <w:rStyle w:val="1064"/>
        <w:rFonts w:hint="eastAsia"/>
      </w:rPr>
      <w:t xml:space="preserve">页，共</w:t>
    </w:r>
    <w:r>
      <w:fldChar w:fldCharType="begin"/>
    </w:r>
    <w:r>
      <w:rPr>
        <w:rStyle w:val="1064"/>
      </w:rPr>
      <w:instrText xml:space="preserve"> NUMPAGES </w:instrText>
    </w:r>
    <w:r>
      <w:fldChar w:fldCharType="separate"/>
    </w:r>
    <w:r>
      <w:rPr>
        <w:rStyle w:val="1064"/>
      </w:rPr>
      <w:t xml:space="preserve">65</w:t>
    </w:r>
    <w:r>
      <w:fldChar w:fldCharType="end"/>
    </w:r>
    <w:r>
      <w:rPr>
        <w:rStyle w:val="1064"/>
        <w:rFonts w:hint="eastAsia"/>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tabs>
        <w:tab w:val="center" w:pos="4153" w:leader="none"/>
        <w:tab w:val="right" w:pos="8306" w:leader="none"/>
      </w:tabs>
    </w:pPr>
    <w:r>
      <w:rPr>
        <w:rFonts w:hint="eastAsia"/>
      </w:rPr>
      <w:t xml:space="preserve">第</w:t>
    </w:r>
    <w:r>
      <w:fldChar w:fldCharType="begin"/>
    </w:r>
    <w:r>
      <w:rPr>
        <w:rStyle w:val="1064"/>
      </w:rPr>
      <w:instrText xml:space="preserve"> PAGE </w:instrText>
    </w:r>
    <w:r>
      <w:fldChar w:fldCharType="separate"/>
    </w:r>
    <w:r>
      <w:rPr>
        <w:rStyle w:val="1064"/>
      </w:rPr>
      <w:t xml:space="preserve">39</w:t>
    </w:r>
    <w:r>
      <w:fldChar w:fldCharType="end"/>
    </w:r>
    <w:r>
      <w:rPr>
        <w:rStyle w:val="1064"/>
        <w:rFonts w:hint="eastAsia"/>
      </w:rPr>
      <w:t xml:space="preserve">页，共</w:t>
    </w:r>
    <w:r>
      <w:fldChar w:fldCharType="begin"/>
    </w:r>
    <w:r>
      <w:rPr>
        <w:rStyle w:val="1064"/>
      </w:rPr>
      <w:instrText xml:space="preserve"> NUMPAGES </w:instrText>
    </w:r>
    <w:r>
      <w:fldChar w:fldCharType="separate"/>
    </w:r>
    <w:r>
      <w:rPr>
        <w:rStyle w:val="1064"/>
      </w:rPr>
      <w:t xml:space="preserve">65</w:t>
    </w:r>
    <w:r>
      <w:fldChar w:fldCharType="end"/>
    </w:r>
    <w:r>
      <w:rPr>
        <w:rStyle w:val="1064"/>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Pr>
    <w:r>
      <w:rPr>
        <w:rFonts w:hint="eastAsia" w:eastAsia="华文行楷"/>
        <w:sz w:val="24"/>
      </w:rPr>
      <w:t xml:space="preserve">江苏海事大厦智能化系统招标文件</w:t>
    </w:r>
    <w:r/>
  </w:p>
  <w:p>
    <w:pPr>
      <w:pStyle w:val="1036"/>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spacing w:line="40" w:lineRule="exac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pStyle w:val="9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83"/>
      <w:isLgl w:val="false"/>
      <w:suff w:val="nothing"/>
      <w:lvlText w:val="第%1章"/>
      <w:lvlJc w:val="left"/>
      <w:pPr>
        <w:pStyle w:val="982"/>
        <w:ind w:left="0" w:firstLine="0"/>
      </w:pPr>
    </w:lvl>
    <w:lvl w:ilvl="1">
      <w:start w:val="1"/>
      <w:numFmt w:val="decimal"/>
      <w:pStyle w:val="984"/>
      <w:isLgl w:val="false"/>
      <w:suff w:val="nothing"/>
      <w:lvlText w:val=""/>
      <w:lvlJc w:val="left"/>
      <w:pPr>
        <w:pStyle w:val="982"/>
        <w:ind w:left="0" w:firstLine="0"/>
      </w:pPr>
    </w:lvl>
    <w:lvl w:ilvl="2">
      <w:start w:val="1"/>
      <w:numFmt w:val="decimal"/>
      <w:pStyle w:val="985"/>
      <w:isLgl w:val="false"/>
      <w:suff w:val="nothing"/>
      <w:lvlText w:val=""/>
      <w:lvlJc w:val="left"/>
      <w:pPr>
        <w:pStyle w:val="982"/>
        <w:ind w:left="0" w:firstLine="0"/>
      </w:pPr>
    </w:lvl>
    <w:lvl w:ilvl="3">
      <w:start w:val="1"/>
      <w:numFmt w:val="decimal"/>
      <w:pStyle w:val="986"/>
      <w:isLgl w:val="false"/>
      <w:suff w:val="nothing"/>
      <w:lvlText w:val=""/>
      <w:lvlJc w:val="left"/>
      <w:pPr>
        <w:pStyle w:val="982"/>
        <w:ind w:left="0" w:firstLine="0"/>
      </w:pPr>
    </w:lvl>
    <w:lvl w:ilvl="4">
      <w:start w:val="1"/>
      <w:numFmt w:val="decimal"/>
      <w:pStyle w:val="987"/>
      <w:isLgl w:val="false"/>
      <w:suff w:val="nothing"/>
      <w:lvlText w:val=""/>
      <w:lvlJc w:val="left"/>
      <w:pPr>
        <w:pStyle w:val="982"/>
        <w:ind w:left="0" w:firstLine="0"/>
      </w:pPr>
    </w:lvl>
    <w:lvl w:ilvl="5">
      <w:start w:val="1"/>
      <w:numFmt w:val="decimal"/>
      <w:pStyle w:val="988"/>
      <w:isLgl w:val="false"/>
      <w:suff w:val="nothing"/>
      <w:lvlText w:val=""/>
      <w:lvlJc w:val="left"/>
      <w:pPr>
        <w:pStyle w:val="982"/>
        <w:ind w:left="0" w:firstLine="0"/>
      </w:pPr>
    </w:lvl>
    <w:lvl w:ilvl="6">
      <w:start w:val="1"/>
      <w:numFmt w:val="decimal"/>
      <w:pStyle w:val="989"/>
      <w:isLgl w:val="false"/>
      <w:suff w:val="nothing"/>
      <w:lvlText w:val=""/>
      <w:lvlJc w:val="left"/>
      <w:pPr>
        <w:pStyle w:val="982"/>
        <w:ind w:left="0" w:firstLine="0"/>
      </w:pPr>
    </w:lvl>
    <w:lvl w:ilvl="7">
      <w:start w:val="1"/>
      <w:numFmt w:val="decimal"/>
      <w:pStyle w:val="990"/>
      <w:isLgl w:val="false"/>
      <w:suff w:val="nothing"/>
      <w:lvlText w:val=""/>
      <w:lvlJc w:val="left"/>
      <w:pPr>
        <w:pStyle w:val="982"/>
        <w:ind w:left="0" w:firstLine="0"/>
      </w:pPr>
    </w:lvl>
    <w:lvl w:ilvl="8">
      <w:start w:val="1"/>
      <w:numFmt w:val="decimal"/>
      <w:pStyle w:val="991"/>
      <w:isLgl w:val="false"/>
      <w:suff w:val="nothing"/>
      <w:lvlText w:val=""/>
      <w:lvlJc w:val="left"/>
      <w:pPr>
        <w:pStyle w:val="982"/>
        <w:ind w:left="0" w:firstLine="0"/>
      </w:pPr>
    </w:lvl>
  </w:abstractNum>
  <w:abstractNum w:abstractNumId="3">
    <w:multiLevelType w:val="hybridMultilevel"/>
    <w:lvl w:ilvl="0">
      <w:start w:val="1"/>
      <w:numFmt w:val="decimal"/>
      <w:isLgl w:val="false"/>
      <w:suff w:val="tab"/>
      <w:lvlText w:val="%1."/>
      <w:lvlJc w:val="left"/>
      <w:pPr>
        <w:pStyle w:val="9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26"/>
      <w:isLgl w:val="false"/>
      <w:suff w:val="tab"/>
      <w:lvlText w:val=""/>
      <w:lvlJc w:val="left"/>
      <w:pPr>
        <w:pStyle w:val="982"/>
        <w:ind w:left="420" w:hanging="420"/>
        <w:tabs>
          <w:tab w:val="num" w:pos="420" w:leader="none"/>
        </w:tabs>
      </w:pPr>
      <w:rPr>
        <w:rFonts w:ascii="Wingdings" w:hAnsi="Wingdings"/>
      </w:rPr>
    </w:lvl>
    <w:lvl w:ilvl="1">
      <w:start w:val="1"/>
      <w:numFmt w:val="decimal"/>
      <w:isLgl w:val="false"/>
      <w:suff w:val="tab"/>
      <w:lvlText w:val="（%2）"/>
      <w:lvlJc w:val="left"/>
      <w:pPr>
        <w:pStyle w:val="982"/>
        <w:ind w:left="1500" w:hanging="1080"/>
        <w:tabs>
          <w:tab w:val="num" w:pos="1500" w:leader="none"/>
        </w:tabs>
      </w:pPr>
      <w:rPr>
        <w:rFonts w:hint="eastAsia" w:cs="Times New Roman"/>
      </w:rPr>
    </w:lvl>
    <w:lvl w:ilvl="2">
      <w:start w:val="1"/>
      <w:numFmt w:val="decimal"/>
      <w:isLgl w:val="false"/>
      <w:suff w:val="tab"/>
      <w:lvlText w:val="（%3）"/>
      <w:lvlJc w:val="left"/>
      <w:pPr>
        <w:pStyle w:val="982"/>
        <w:ind w:left="1560" w:hanging="720"/>
        <w:tabs>
          <w:tab w:val="num" w:pos="1560" w:leader="none"/>
        </w:tabs>
      </w:pPr>
      <w:rPr>
        <w:rFonts w:hint="eastAsia" w:cs="Times New Roman"/>
      </w:rPr>
    </w:lvl>
    <w:lvl w:ilvl="3">
      <w:start w:val="1"/>
      <w:numFmt w:val="decimal"/>
      <w:isLgl w:val="false"/>
      <w:suff w:val="tab"/>
      <w:lvlText w:val="%4."/>
      <w:lvlJc w:val="left"/>
      <w:pPr>
        <w:pStyle w:val="982"/>
        <w:ind w:left="1680" w:hanging="420"/>
        <w:tabs>
          <w:tab w:val="num" w:pos="1680" w:leader="none"/>
        </w:tabs>
      </w:pPr>
      <w:rPr>
        <w:rFonts w:cs="Times New Roman"/>
      </w:rPr>
    </w:lvl>
    <w:lvl w:ilvl="4">
      <w:start w:val="1"/>
      <w:numFmt w:val="lowerLetter"/>
      <w:isLgl w:val="false"/>
      <w:suff w:val="tab"/>
      <w:lvlText w:val="%5)"/>
      <w:lvlJc w:val="left"/>
      <w:pPr>
        <w:pStyle w:val="982"/>
        <w:ind w:left="2100" w:hanging="420"/>
        <w:tabs>
          <w:tab w:val="num" w:pos="2100" w:leader="none"/>
        </w:tabs>
      </w:pPr>
      <w:rPr>
        <w:rFonts w:cs="Times New Roman"/>
      </w:rPr>
    </w:lvl>
    <w:lvl w:ilvl="5">
      <w:start w:val="1"/>
      <w:numFmt w:val="lowerRoman"/>
      <w:isLgl w:val="false"/>
      <w:suff w:val="tab"/>
      <w:lvlText w:val="%6."/>
      <w:lvlJc w:val="right"/>
      <w:pPr>
        <w:pStyle w:val="982"/>
        <w:ind w:left="2520" w:hanging="420"/>
        <w:tabs>
          <w:tab w:val="num" w:pos="2520" w:leader="none"/>
        </w:tabs>
      </w:pPr>
      <w:rPr>
        <w:rFonts w:cs="Times New Roman"/>
      </w:rPr>
    </w:lvl>
    <w:lvl w:ilvl="6">
      <w:start w:val="1"/>
      <w:numFmt w:val="decimal"/>
      <w:isLgl w:val="false"/>
      <w:suff w:val="tab"/>
      <w:lvlText w:val="%7."/>
      <w:lvlJc w:val="left"/>
      <w:pPr>
        <w:pStyle w:val="982"/>
        <w:ind w:left="2940" w:hanging="420"/>
        <w:tabs>
          <w:tab w:val="num" w:pos="2940" w:leader="none"/>
        </w:tabs>
      </w:pPr>
      <w:rPr>
        <w:rFonts w:cs="Times New Roman"/>
      </w:rPr>
    </w:lvl>
    <w:lvl w:ilvl="7">
      <w:start w:val="1"/>
      <w:numFmt w:val="lowerLetter"/>
      <w:isLgl w:val="false"/>
      <w:suff w:val="tab"/>
      <w:lvlText w:val="%8)"/>
      <w:lvlJc w:val="left"/>
      <w:pPr>
        <w:pStyle w:val="982"/>
        <w:ind w:left="3360" w:hanging="420"/>
        <w:tabs>
          <w:tab w:val="num" w:pos="3360" w:leader="none"/>
        </w:tabs>
      </w:pPr>
      <w:rPr>
        <w:rFonts w:cs="Times New Roman"/>
      </w:rPr>
    </w:lvl>
    <w:lvl w:ilvl="8">
      <w:start w:val="1"/>
      <w:numFmt w:val="lowerRoman"/>
      <w:isLgl w:val="false"/>
      <w:suff w:val="tab"/>
      <w:lvlText w:val="%9."/>
      <w:lvlJc w:val="right"/>
      <w:pPr>
        <w:pStyle w:val="982"/>
        <w:ind w:left="3780" w:hanging="420"/>
        <w:tabs>
          <w:tab w:val="num" w:pos="3780" w:leader="none"/>
        </w:tabs>
      </w:pPr>
      <w:rPr>
        <w:rFonts w:cs="Times New Roman"/>
      </w:rPr>
    </w:lvl>
  </w:abstractNum>
  <w:abstractNum w:abstractNumId="5">
    <w:multiLevelType w:val="hybridMultilevel"/>
    <w:lvl w:ilvl="0">
      <w:start w:val="1"/>
      <w:numFmt w:val="decimal"/>
      <w:pStyle w:val="1114"/>
      <w:isLgl w:val="false"/>
      <w:suff w:val="tab"/>
      <w:lvlText w:val="(%1)"/>
      <w:lvlJc w:val="left"/>
      <w:pPr>
        <w:pStyle w:val="982"/>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82"/>
        <w:ind w:left="840" w:hanging="420"/>
        <w:tabs>
          <w:tab w:val="num" w:pos="840" w:leader="none"/>
        </w:tabs>
      </w:pPr>
      <w:rPr>
        <w:rFonts w:cs="Times New Roman"/>
      </w:rPr>
    </w:lvl>
    <w:lvl w:ilvl="2">
      <w:start w:val="1"/>
      <w:numFmt w:val="lowerRoman"/>
      <w:isLgl w:val="false"/>
      <w:suff w:val="tab"/>
      <w:lvlText w:val="%3."/>
      <w:lvlJc w:val="right"/>
      <w:pPr>
        <w:pStyle w:val="982"/>
        <w:ind w:left="1260" w:hanging="420"/>
        <w:tabs>
          <w:tab w:val="num" w:pos="1260" w:leader="none"/>
        </w:tabs>
      </w:pPr>
      <w:rPr>
        <w:rFonts w:cs="Times New Roman"/>
      </w:rPr>
    </w:lvl>
    <w:lvl w:ilvl="3">
      <w:start w:val="1"/>
      <w:numFmt w:val="decimal"/>
      <w:isLgl w:val="false"/>
      <w:suff w:val="tab"/>
      <w:lvlText w:val="%4."/>
      <w:lvlJc w:val="left"/>
      <w:pPr>
        <w:pStyle w:val="982"/>
        <w:ind w:left="1680" w:hanging="420"/>
        <w:tabs>
          <w:tab w:val="num" w:pos="1680" w:leader="none"/>
        </w:tabs>
      </w:pPr>
      <w:rPr>
        <w:rFonts w:cs="Times New Roman"/>
      </w:rPr>
    </w:lvl>
    <w:lvl w:ilvl="4">
      <w:start w:val="1"/>
      <w:numFmt w:val="lowerLetter"/>
      <w:isLgl w:val="false"/>
      <w:suff w:val="tab"/>
      <w:lvlText w:val="%5)"/>
      <w:lvlJc w:val="left"/>
      <w:pPr>
        <w:pStyle w:val="982"/>
        <w:ind w:left="2100" w:hanging="420"/>
        <w:tabs>
          <w:tab w:val="num" w:pos="2100" w:leader="none"/>
        </w:tabs>
      </w:pPr>
      <w:rPr>
        <w:rFonts w:cs="Times New Roman"/>
      </w:rPr>
    </w:lvl>
    <w:lvl w:ilvl="5">
      <w:start w:val="1"/>
      <w:numFmt w:val="lowerRoman"/>
      <w:isLgl w:val="false"/>
      <w:suff w:val="tab"/>
      <w:lvlText w:val="%6."/>
      <w:lvlJc w:val="right"/>
      <w:pPr>
        <w:pStyle w:val="982"/>
        <w:ind w:left="2520" w:hanging="420"/>
        <w:tabs>
          <w:tab w:val="num" w:pos="2520" w:leader="none"/>
        </w:tabs>
      </w:pPr>
      <w:rPr>
        <w:rFonts w:cs="Times New Roman"/>
      </w:rPr>
    </w:lvl>
    <w:lvl w:ilvl="6">
      <w:start w:val="1"/>
      <w:numFmt w:val="decimal"/>
      <w:isLgl w:val="false"/>
      <w:suff w:val="tab"/>
      <w:lvlText w:val="%7."/>
      <w:lvlJc w:val="left"/>
      <w:pPr>
        <w:pStyle w:val="982"/>
        <w:ind w:left="2940" w:hanging="420"/>
        <w:tabs>
          <w:tab w:val="num" w:pos="2940" w:leader="none"/>
        </w:tabs>
      </w:pPr>
      <w:rPr>
        <w:rFonts w:cs="Times New Roman"/>
      </w:rPr>
    </w:lvl>
    <w:lvl w:ilvl="7">
      <w:start w:val="1"/>
      <w:numFmt w:val="lowerLetter"/>
      <w:isLgl w:val="false"/>
      <w:suff w:val="tab"/>
      <w:lvlText w:val="%8)"/>
      <w:lvlJc w:val="left"/>
      <w:pPr>
        <w:pStyle w:val="982"/>
        <w:ind w:left="3360" w:hanging="420"/>
        <w:tabs>
          <w:tab w:val="num" w:pos="3360" w:leader="none"/>
        </w:tabs>
      </w:pPr>
      <w:rPr>
        <w:rFonts w:cs="Times New Roman"/>
      </w:rPr>
    </w:lvl>
    <w:lvl w:ilvl="8">
      <w:start w:val="1"/>
      <w:numFmt w:val="lowerRoman"/>
      <w:isLgl w:val="false"/>
      <w:suff w:val="tab"/>
      <w:lvlText w:val="%9."/>
      <w:lvlJc w:val="right"/>
      <w:pPr>
        <w:pStyle w:val="982"/>
        <w:ind w:left="3780" w:hanging="420"/>
        <w:tabs>
          <w:tab w:val="num" w:pos="3780" w:leader="none"/>
        </w:tabs>
      </w:pPr>
      <w:rPr>
        <w:rFonts w:cs="Times New Roman"/>
      </w:rPr>
    </w:lvl>
  </w:abstractNum>
  <w:abstractNum w:abstractNumId="6">
    <w:multiLevelType w:val="hybridMultilevel"/>
    <w:lvl w:ilvl="0">
      <w:start w:val="1"/>
      <w:numFmt w:val="bullet"/>
      <w:pStyle w:val="1124"/>
      <w:isLgl w:val="false"/>
      <w:suff w:val="tab"/>
      <w:lvlText w:val=""/>
      <w:lvlJc w:val="left"/>
      <w:pPr>
        <w:pStyle w:val="98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81"/>
      <w:isLgl w:val="false"/>
      <w:suff w:val="tab"/>
      <w:lvlText w:val="%1"/>
      <w:lvlJc w:val="left"/>
      <w:pPr>
        <w:pStyle w:val="982"/>
        <w:ind w:left="567" w:hanging="567"/>
        <w:tabs>
          <w:tab w:val="num" w:pos="567" w:leader="none"/>
        </w:tabs>
      </w:pPr>
      <w:rPr>
        <w:rFonts w:hint="eastAsia" w:cs="Times New Roman"/>
      </w:rPr>
    </w:lvl>
    <w:lvl w:ilvl="1">
      <w:start w:val="1"/>
      <w:numFmt w:val="decimal"/>
      <w:pStyle w:val="1097"/>
      <w:isLgl w:val="false"/>
      <w:suff w:val="tab"/>
      <w:lvlText w:val="%1.%2"/>
      <w:lvlJc w:val="left"/>
      <w:pPr>
        <w:pStyle w:val="982"/>
        <w:ind w:left="567" w:hanging="283"/>
        <w:tabs>
          <w:tab w:val="num" w:pos="1004" w:leader="none"/>
        </w:tabs>
      </w:pPr>
      <w:rPr>
        <w:rFonts w:hint="eastAsia" w:cs="Times New Roman"/>
      </w:rPr>
    </w:lvl>
    <w:lvl w:ilvl="2">
      <w:start w:val="1"/>
      <w:numFmt w:val="decimal"/>
      <w:isLgl w:val="false"/>
      <w:suff w:val="tab"/>
      <w:lvlText w:val="%1.%2.%3"/>
      <w:lvlJc w:val="left"/>
      <w:pPr>
        <w:pStyle w:val="982"/>
        <w:ind w:left="1134" w:hanging="567"/>
        <w:tabs>
          <w:tab w:val="num" w:pos="1647" w:leader="none"/>
        </w:tabs>
      </w:pPr>
      <w:rPr>
        <w:rFonts w:hint="eastAsia" w:cs="Times New Roman"/>
      </w:rPr>
    </w:lvl>
    <w:lvl w:ilvl="3">
      <w:start w:val="1"/>
      <w:numFmt w:val="decimal"/>
      <w:isLgl w:val="false"/>
      <w:suff w:val="tab"/>
      <w:lvlText w:val="%1.%2.%3.%4"/>
      <w:lvlJc w:val="left"/>
      <w:pPr>
        <w:pStyle w:val="982"/>
        <w:ind w:left="2851" w:hanging="708"/>
        <w:tabs>
          <w:tab w:val="num" w:pos="3223" w:leader="none"/>
        </w:tabs>
      </w:pPr>
      <w:rPr>
        <w:rFonts w:hint="eastAsia" w:cs="Times New Roman"/>
      </w:rPr>
    </w:lvl>
    <w:lvl w:ilvl="4">
      <w:start w:val="1"/>
      <w:numFmt w:val="decimal"/>
      <w:isLgl w:val="false"/>
      <w:suff w:val="tab"/>
      <w:lvlText w:val="%1.%2.%3.%4.%5"/>
      <w:lvlJc w:val="left"/>
      <w:pPr>
        <w:pStyle w:val="982"/>
        <w:ind w:left="3418" w:hanging="850"/>
        <w:tabs>
          <w:tab w:val="num" w:pos="3648" w:leader="none"/>
        </w:tabs>
      </w:pPr>
      <w:rPr>
        <w:rFonts w:hint="eastAsia" w:cs="Times New Roman"/>
      </w:rPr>
    </w:lvl>
    <w:lvl w:ilvl="5">
      <w:start w:val="1"/>
      <w:numFmt w:val="decimal"/>
      <w:isLgl w:val="false"/>
      <w:suff w:val="tab"/>
      <w:lvlText w:val="%1.%2.%3.%4.%5.%6"/>
      <w:lvlJc w:val="left"/>
      <w:pPr>
        <w:pStyle w:val="982"/>
        <w:ind w:left="4127" w:hanging="1134"/>
        <w:tabs>
          <w:tab w:val="num" w:pos="4433" w:leader="none"/>
        </w:tabs>
      </w:pPr>
      <w:rPr>
        <w:rFonts w:hint="eastAsia" w:cs="Times New Roman"/>
      </w:rPr>
    </w:lvl>
    <w:lvl w:ilvl="6">
      <w:start w:val="1"/>
      <w:numFmt w:val="decimal"/>
      <w:isLgl w:val="false"/>
      <w:suff w:val="tab"/>
      <w:lvlText w:val="%1.%2.%3.%4.%5.%6.%7"/>
      <w:lvlJc w:val="left"/>
      <w:pPr>
        <w:pStyle w:val="982"/>
        <w:ind w:left="4694" w:hanging="1276"/>
        <w:tabs>
          <w:tab w:val="num" w:pos="4858" w:leader="none"/>
        </w:tabs>
      </w:pPr>
      <w:rPr>
        <w:rFonts w:hint="eastAsia" w:cs="Times New Roman"/>
      </w:rPr>
    </w:lvl>
    <w:lvl w:ilvl="7">
      <w:start w:val="1"/>
      <w:numFmt w:val="decimal"/>
      <w:isLgl w:val="false"/>
      <w:suff w:val="tab"/>
      <w:lvlText w:val="%1.%2.%3.%4.%5.%6.%7.%8"/>
      <w:lvlJc w:val="left"/>
      <w:pPr>
        <w:pStyle w:val="982"/>
        <w:ind w:left="5261" w:hanging="1418"/>
        <w:tabs>
          <w:tab w:val="num" w:pos="5643" w:leader="none"/>
        </w:tabs>
      </w:pPr>
      <w:rPr>
        <w:rFonts w:hint="eastAsia" w:cs="Times New Roman"/>
      </w:rPr>
    </w:lvl>
    <w:lvl w:ilvl="8">
      <w:start w:val="1"/>
      <w:numFmt w:val="decimal"/>
      <w:isLgl w:val="false"/>
      <w:suff w:val="tab"/>
      <w:lvlText w:val="%1.%2.%3.%4.%5.%6.%7.%8.%9"/>
      <w:lvlJc w:val="left"/>
      <w:pPr>
        <w:pStyle w:val="982"/>
        <w:ind w:left="5969" w:hanging="1700"/>
        <w:tabs>
          <w:tab w:val="num" w:pos="6429" w:leader="none"/>
        </w:tabs>
      </w:pPr>
      <w:rPr>
        <w:rFonts w:hint="eastAsia" w:cs="Times New Roman"/>
      </w:rPr>
    </w:lvl>
  </w:abstractNum>
  <w:abstractNum w:abstractNumId="8">
    <w:multiLevelType w:val="hybridMultilevel"/>
    <w:lvl w:ilvl="0">
      <w:start w:val="1"/>
      <w:numFmt w:val="chineseCountingThousand"/>
      <w:isLgl w:val="false"/>
      <w:suff w:val="tab"/>
      <w:lvlText w:val="%1、"/>
      <w:lvlJc w:val="left"/>
      <w:pPr>
        <w:pStyle w:val="982"/>
        <w:ind w:left="562" w:hanging="420"/>
      </w:pPr>
      <w:rPr>
        <w:rFonts w:hint="eastAsia"/>
      </w:rPr>
    </w:lvl>
    <w:lvl w:ilvl="1">
      <w:start w:val="1"/>
      <w:numFmt w:val="lowerLetter"/>
      <w:isLgl w:val="false"/>
      <w:suff w:val="tab"/>
      <w:lvlText w:val="%2)"/>
      <w:lvlJc w:val="left"/>
      <w:pPr>
        <w:pStyle w:val="982"/>
        <w:ind w:left="840" w:hanging="420"/>
      </w:pPr>
    </w:lvl>
    <w:lvl w:ilvl="2">
      <w:start w:val="1"/>
      <w:numFmt w:val="lowerRoman"/>
      <w:isLgl w:val="false"/>
      <w:suff w:val="tab"/>
      <w:lvlText w:val="%3."/>
      <w:lvlJc w:val="right"/>
      <w:pPr>
        <w:pStyle w:val="982"/>
        <w:ind w:left="1260" w:hanging="420"/>
      </w:pPr>
    </w:lvl>
    <w:lvl w:ilvl="3">
      <w:start w:val="1"/>
      <w:numFmt w:val="decimal"/>
      <w:isLgl w:val="false"/>
      <w:suff w:val="tab"/>
      <w:lvlText w:val="%4."/>
      <w:lvlJc w:val="left"/>
      <w:pPr>
        <w:pStyle w:val="982"/>
        <w:ind w:left="1680" w:hanging="420"/>
      </w:pPr>
    </w:lvl>
    <w:lvl w:ilvl="4">
      <w:start w:val="1"/>
      <w:numFmt w:val="lowerLetter"/>
      <w:isLgl w:val="false"/>
      <w:suff w:val="tab"/>
      <w:lvlText w:val="%5)"/>
      <w:lvlJc w:val="left"/>
      <w:pPr>
        <w:pStyle w:val="982"/>
        <w:ind w:left="2100" w:hanging="420"/>
      </w:pPr>
    </w:lvl>
    <w:lvl w:ilvl="5">
      <w:start w:val="1"/>
      <w:numFmt w:val="lowerRoman"/>
      <w:isLgl w:val="false"/>
      <w:suff w:val="tab"/>
      <w:lvlText w:val="%6."/>
      <w:lvlJc w:val="right"/>
      <w:pPr>
        <w:pStyle w:val="982"/>
        <w:ind w:left="2520" w:hanging="420"/>
      </w:pPr>
    </w:lvl>
    <w:lvl w:ilvl="6">
      <w:start w:val="1"/>
      <w:numFmt w:val="decimal"/>
      <w:isLgl w:val="false"/>
      <w:suff w:val="tab"/>
      <w:lvlText w:val="%7."/>
      <w:lvlJc w:val="left"/>
      <w:pPr>
        <w:pStyle w:val="982"/>
        <w:ind w:left="2940" w:hanging="420"/>
      </w:pPr>
    </w:lvl>
    <w:lvl w:ilvl="7">
      <w:start w:val="1"/>
      <w:numFmt w:val="lowerLetter"/>
      <w:isLgl w:val="false"/>
      <w:suff w:val="tab"/>
      <w:lvlText w:val="%8)"/>
      <w:lvlJc w:val="left"/>
      <w:pPr>
        <w:pStyle w:val="982"/>
        <w:ind w:left="3360" w:hanging="420"/>
      </w:pPr>
    </w:lvl>
    <w:lvl w:ilvl="8">
      <w:start w:val="1"/>
      <w:numFmt w:val="lowerRoman"/>
      <w:isLgl w:val="false"/>
      <w:suff w:val="tab"/>
      <w:lvlText w:val="%9."/>
      <w:lvlJc w:val="right"/>
      <w:pPr>
        <w:pStyle w:val="982"/>
        <w:ind w:left="3780" w:hanging="420"/>
      </w:pPr>
    </w:lvl>
  </w:abstractNum>
  <w:num w:numId="1">
    <w:abstractNumId w:val="2"/>
  </w:num>
  <w:num w:numId="2">
    <w:abstractNumId w:val="7"/>
  </w:num>
  <w:num w:numId="3">
    <w:abstractNumId w:val="5"/>
  </w:num>
  <w:num w:numId="4">
    <w:abstractNumId w:val="6"/>
  </w:num>
  <w:num w:numId="5">
    <w:abstractNumId w:val="4"/>
  </w:num>
  <w:num w:numId="6">
    <w:abstractNumId w:val="8"/>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name w:val="Heading 1"/>
    <w:basedOn w:val="982"/>
    <w:next w:val="982"/>
    <w:link w:val="806"/>
    <w:uiPriority w:val="9"/>
    <w:qFormat/>
    <w:pPr>
      <w:keepLines/>
      <w:keepNext/>
      <w:spacing w:before="480" w:after="200"/>
      <w:outlineLvl w:val="0"/>
    </w:pPr>
    <w:rPr>
      <w:rFonts w:ascii="Arial" w:hAnsi="Arial" w:eastAsia="Arial" w:cs="Arial"/>
      <w:sz w:val="40"/>
      <w:szCs w:val="40"/>
    </w:rPr>
  </w:style>
  <w:style w:type="character" w:styleId="806">
    <w:name w:val="Heading 1 Char"/>
    <w:link w:val="805"/>
    <w:uiPriority w:val="9"/>
    <w:rPr>
      <w:rFonts w:ascii="Arial" w:hAnsi="Arial" w:eastAsia="Arial" w:cs="Arial"/>
      <w:sz w:val="40"/>
      <w:szCs w:val="40"/>
    </w:rPr>
  </w:style>
  <w:style w:type="paragraph" w:styleId="807">
    <w:name w:val="Heading 2"/>
    <w:basedOn w:val="982"/>
    <w:next w:val="982"/>
    <w:link w:val="808"/>
    <w:uiPriority w:val="9"/>
    <w:unhideWhenUsed/>
    <w:qFormat/>
    <w:pPr>
      <w:keepLines/>
      <w:keepNext/>
      <w:spacing w:before="360" w:after="200"/>
      <w:outlineLvl w:val="1"/>
    </w:pPr>
    <w:rPr>
      <w:rFonts w:ascii="Arial" w:hAnsi="Arial" w:eastAsia="Arial" w:cs="Arial"/>
      <w:sz w:val="34"/>
    </w:rPr>
  </w:style>
  <w:style w:type="character" w:styleId="808">
    <w:name w:val="Heading 2 Char"/>
    <w:link w:val="807"/>
    <w:uiPriority w:val="9"/>
    <w:rPr>
      <w:rFonts w:ascii="Arial" w:hAnsi="Arial" w:eastAsia="Arial" w:cs="Arial"/>
      <w:sz w:val="34"/>
    </w:rPr>
  </w:style>
  <w:style w:type="paragraph" w:styleId="809">
    <w:name w:val="Heading 3"/>
    <w:basedOn w:val="982"/>
    <w:next w:val="982"/>
    <w:link w:val="810"/>
    <w:uiPriority w:val="9"/>
    <w:unhideWhenUsed/>
    <w:qFormat/>
    <w:pPr>
      <w:keepLines/>
      <w:keepNext/>
      <w:spacing w:before="320" w:after="200"/>
      <w:outlineLvl w:val="2"/>
    </w:pPr>
    <w:rPr>
      <w:rFonts w:ascii="Arial" w:hAnsi="Arial" w:eastAsia="Arial" w:cs="Arial"/>
      <w:sz w:val="30"/>
      <w:szCs w:val="30"/>
    </w:rPr>
  </w:style>
  <w:style w:type="character" w:styleId="810">
    <w:name w:val="Heading 3 Char"/>
    <w:link w:val="809"/>
    <w:uiPriority w:val="9"/>
    <w:rPr>
      <w:rFonts w:ascii="Arial" w:hAnsi="Arial" w:eastAsia="Arial" w:cs="Arial"/>
      <w:sz w:val="30"/>
      <w:szCs w:val="30"/>
    </w:rPr>
  </w:style>
  <w:style w:type="paragraph" w:styleId="811">
    <w:name w:val="Heading 4"/>
    <w:basedOn w:val="982"/>
    <w:next w:val="982"/>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82"/>
    <w:next w:val="982"/>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82"/>
    <w:next w:val="982"/>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82"/>
    <w:next w:val="982"/>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82"/>
    <w:next w:val="982"/>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82"/>
    <w:next w:val="982"/>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No Spacing"/>
    <w:uiPriority w:val="1"/>
    <w:qFormat/>
    <w:pPr>
      <w:spacing w:before="0" w:after="0" w:line="240" w:lineRule="auto"/>
    </w:pPr>
  </w:style>
  <w:style w:type="paragraph" w:styleId="824">
    <w:name w:val="Title"/>
    <w:basedOn w:val="982"/>
    <w:next w:val="982"/>
    <w:link w:val="825"/>
    <w:uiPriority w:val="10"/>
    <w:qFormat/>
    <w:pPr>
      <w:contextualSpacing/>
      <w:spacing w:before="300" w:after="200"/>
    </w:pPr>
    <w:rPr>
      <w:sz w:val="48"/>
      <w:szCs w:val="48"/>
    </w:rPr>
  </w:style>
  <w:style w:type="character" w:styleId="825">
    <w:name w:val="Title Char"/>
    <w:link w:val="824"/>
    <w:uiPriority w:val="10"/>
    <w:rPr>
      <w:sz w:val="48"/>
      <w:szCs w:val="48"/>
    </w:rPr>
  </w:style>
  <w:style w:type="paragraph" w:styleId="826">
    <w:name w:val="Subtitle"/>
    <w:basedOn w:val="982"/>
    <w:next w:val="982"/>
    <w:link w:val="827"/>
    <w:uiPriority w:val="11"/>
    <w:qFormat/>
    <w:pPr>
      <w:spacing w:before="200" w:after="200"/>
    </w:pPr>
    <w:rPr>
      <w:sz w:val="24"/>
      <w:szCs w:val="24"/>
    </w:rPr>
  </w:style>
  <w:style w:type="character" w:styleId="827">
    <w:name w:val="Subtitle Char"/>
    <w:link w:val="826"/>
    <w:uiPriority w:val="11"/>
    <w:rPr>
      <w:sz w:val="24"/>
      <w:szCs w:val="24"/>
    </w:rPr>
  </w:style>
  <w:style w:type="paragraph" w:styleId="828">
    <w:name w:val="Quote"/>
    <w:basedOn w:val="982"/>
    <w:next w:val="982"/>
    <w:link w:val="829"/>
    <w:uiPriority w:val="29"/>
    <w:qFormat/>
    <w:pPr>
      <w:ind w:left="720" w:right="720"/>
    </w:pPr>
    <w:rPr>
      <w:i/>
    </w:rPr>
  </w:style>
  <w:style w:type="character" w:styleId="829">
    <w:name w:val="Quote Char"/>
    <w:link w:val="828"/>
    <w:uiPriority w:val="29"/>
    <w:rPr>
      <w:i/>
    </w:rPr>
  </w:style>
  <w:style w:type="paragraph" w:styleId="830">
    <w:name w:val="Intense Quote"/>
    <w:basedOn w:val="982"/>
    <w:next w:val="982"/>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link w:val="830"/>
    <w:uiPriority w:val="30"/>
    <w:rPr>
      <w:i/>
    </w:rPr>
  </w:style>
  <w:style w:type="paragraph" w:styleId="832">
    <w:name w:val="Header"/>
    <w:basedOn w:val="982"/>
    <w:link w:val="833"/>
    <w:uiPriority w:val="99"/>
    <w:unhideWhenUsed/>
    <w:pPr>
      <w:spacing w:after="0" w:line="240" w:lineRule="auto"/>
      <w:tabs>
        <w:tab w:val="center" w:pos="7143" w:leader="none"/>
        <w:tab w:val="right" w:pos="14287" w:leader="none"/>
      </w:tabs>
    </w:pPr>
  </w:style>
  <w:style w:type="character" w:styleId="833">
    <w:name w:val="Header Char"/>
    <w:link w:val="832"/>
    <w:uiPriority w:val="99"/>
  </w:style>
  <w:style w:type="paragraph" w:styleId="834">
    <w:name w:val="Footer"/>
    <w:basedOn w:val="982"/>
    <w:link w:val="837"/>
    <w:uiPriority w:val="99"/>
    <w:unhideWhenUsed/>
    <w:pPr>
      <w:spacing w:after="0" w:line="240" w:lineRule="auto"/>
      <w:tabs>
        <w:tab w:val="center" w:pos="7143" w:leader="none"/>
        <w:tab w:val="right" w:pos="14287" w:leader="none"/>
      </w:tabs>
    </w:pPr>
  </w:style>
  <w:style w:type="character" w:styleId="835">
    <w:name w:val="Footer Char"/>
    <w:link w:val="834"/>
    <w:uiPriority w:val="99"/>
  </w:style>
  <w:style w:type="paragraph" w:styleId="836">
    <w:name w:val="Caption"/>
    <w:basedOn w:val="982"/>
    <w:next w:val="982"/>
    <w:uiPriority w:val="35"/>
    <w:semiHidden/>
    <w:unhideWhenUsed/>
    <w:qFormat/>
    <w:pPr>
      <w:spacing w:line="276" w:lineRule="auto"/>
    </w:pPr>
    <w:rPr>
      <w:b/>
      <w:bCs/>
      <w:color w:val="4f81bd" w:themeColor="accent1"/>
      <w:sz w:val="18"/>
      <w:szCs w:val="18"/>
    </w:rPr>
  </w:style>
  <w:style w:type="character" w:styleId="837">
    <w:name w:val="Caption Char"/>
    <w:basedOn w:val="836"/>
    <w:link w:val="834"/>
    <w:uiPriority w:val="99"/>
  </w:style>
  <w:style w:type="table" w:styleId="8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4">
    <w:name w:val="Hyperlink"/>
    <w:uiPriority w:val="99"/>
    <w:unhideWhenUsed/>
    <w:rPr>
      <w:color w:val="0000ff" w:themeColor="hyperlink"/>
      <w:u w:val="single"/>
    </w:rPr>
  </w:style>
  <w:style w:type="paragraph" w:styleId="965">
    <w:name w:val="footnote text"/>
    <w:basedOn w:val="982"/>
    <w:link w:val="966"/>
    <w:uiPriority w:val="99"/>
    <w:semiHidden/>
    <w:unhideWhenUsed/>
    <w:pPr>
      <w:spacing w:after="40" w:line="240" w:lineRule="auto"/>
    </w:pPr>
    <w:rPr>
      <w:sz w:val="18"/>
    </w:rPr>
  </w:style>
  <w:style w:type="character" w:styleId="966">
    <w:name w:val="Footnote Text Char"/>
    <w:link w:val="965"/>
    <w:uiPriority w:val="99"/>
    <w:rPr>
      <w:sz w:val="18"/>
    </w:rPr>
  </w:style>
  <w:style w:type="character" w:styleId="967">
    <w:name w:val="footnote reference"/>
    <w:uiPriority w:val="99"/>
    <w:unhideWhenUsed/>
    <w:rPr>
      <w:vertAlign w:val="superscript"/>
    </w:rPr>
  </w:style>
  <w:style w:type="paragraph" w:styleId="968">
    <w:name w:val="endnote text"/>
    <w:basedOn w:val="982"/>
    <w:link w:val="969"/>
    <w:uiPriority w:val="99"/>
    <w:semiHidden/>
    <w:unhideWhenUsed/>
    <w:pPr>
      <w:spacing w:after="0" w:line="240" w:lineRule="auto"/>
    </w:pPr>
    <w:rPr>
      <w:sz w:val="20"/>
    </w:rPr>
  </w:style>
  <w:style w:type="character" w:styleId="969">
    <w:name w:val="Endnote Text Char"/>
    <w:link w:val="968"/>
    <w:uiPriority w:val="99"/>
    <w:rPr>
      <w:sz w:val="20"/>
    </w:rPr>
  </w:style>
  <w:style w:type="character" w:styleId="970">
    <w:name w:val="endnote reference"/>
    <w:uiPriority w:val="99"/>
    <w:semiHidden/>
    <w:unhideWhenUsed/>
    <w:rPr>
      <w:vertAlign w:val="superscript"/>
    </w:rPr>
  </w:style>
  <w:style w:type="paragraph" w:styleId="971">
    <w:name w:val="toc 1"/>
    <w:basedOn w:val="982"/>
    <w:next w:val="982"/>
    <w:uiPriority w:val="39"/>
    <w:unhideWhenUsed/>
    <w:pPr>
      <w:ind w:left="0" w:right="0" w:firstLine="0"/>
      <w:spacing w:after="57"/>
    </w:pPr>
  </w:style>
  <w:style w:type="paragraph" w:styleId="972">
    <w:name w:val="toc 2"/>
    <w:basedOn w:val="982"/>
    <w:next w:val="982"/>
    <w:uiPriority w:val="39"/>
    <w:unhideWhenUsed/>
    <w:pPr>
      <w:ind w:left="283" w:right="0" w:firstLine="0"/>
      <w:spacing w:after="57"/>
    </w:p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next w:val="982"/>
    <w:link w:val="982"/>
    <w:qFormat/>
    <w:pPr>
      <w:jc w:val="both"/>
      <w:widowControl w:val="off"/>
    </w:pPr>
    <w:rPr>
      <w:sz w:val="21"/>
      <w:lang w:val="en-US" w:eastAsia="zh-CN" w:bidi="ar-SA"/>
    </w:rPr>
  </w:style>
  <w:style w:type="paragraph" w:styleId="983">
    <w:name w:val="标题 1"/>
    <w:basedOn w:val="982"/>
    <w:next w:val="995"/>
    <w:link w:val="994"/>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4">
    <w:name w:val="标题 2"/>
    <w:basedOn w:val="982"/>
    <w:next w:val="982"/>
    <w:link w:val="997"/>
    <w:uiPriority w:val="99"/>
    <w:qFormat/>
    <w:pPr>
      <w:numPr>
        <w:ilvl w:val="1"/>
        <w:numId w:val="1"/>
      </w:numPr>
      <w:jc w:val="left"/>
      <w:keepLines/>
      <w:keepNext/>
      <w:spacing w:before="120" w:after="120"/>
      <w:outlineLvl w:val="1"/>
    </w:pPr>
    <w:rPr>
      <w:rFonts w:ascii="Cambria" w:hAnsi="Cambria"/>
      <w:b/>
      <w:bCs/>
      <w:sz w:val="32"/>
      <w:szCs w:val="32"/>
    </w:rPr>
  </w:style>
  <w:style w:type="paragraph" w:styleId="985">
    <w:name w:val="标题 3"/>
    <w:basedOn w:val="982"/>
    <w:next w:val="999"/>
    <w:link w:val="998"/>
    <w:uiPriority w:val="99"/>
    <w:qFormat/>
    <w:pPr>
      <w:numPr>
        <w:ilvl w:val="2"/>
        <w:numId w:val="1"/>
      </w:numPr>
      <w:keepLines/>
      <w:keepNext/>
      <w:spacing w:before="120" w:after="120"/>
      <w:outlineLvl w:val="2"/>
    </w:pPr>
    <w:rPr>
      <w:b/>
      <w:bCs/>
      <w:sz w:val="32"/>
      <w:szCs w:val="32"/>
    </w:rPr>
  </w:style>
  <w:style w:type="paragraph" w:styleId="986">
    <w:name w:val="标题 4"/>
    <w:basedOn w:val="982"/>
    <w:next w:val="999"/>
    <w:link w:val="1001"/>
    <w:uiPriority w:val="99"/>
    <w:qFormat/>
    <w:pPr>
      <w:numPr>
        <w:ilvl w:val="3"/>
        <w:numId w:val="1"/>
      </w:numPr>
      <w:keepLines/>
      <w:keepNext/>
      <w:spacing w:before="120" w:after="120"/>
      <w:outlineLvl w:val="3"/>
    </w:pPr>
    <w:rPr>
      <w:rFonts w:ascii="Cambria" w:hAnsi="Cambria"/>
      <w:b/>
      <w:bCs/>
      <w:sz w:val="28"/>
      <w:szCs w:val="28"/>
    </w:rPr>
  </w:style>
  <w:style w:type="paragraph" w:styleId="987">
    <w:name w:val="标题 5"/>
    <w:basedOn w:val="982"/>
    <w:next w:val="999"/>
    <w:link w:val="1002"/>
    <w:uiPriority w:val="99"/>
    <w:qFormat/>
    <w:pPr>
      <w:numPr>
        <w:ilvl w:val="4"/>
        <w:numId w:val="1"/>
      </w:numPr>
      <w:keepNext/>
      <w:spacing w:before="156" w:after="156"/>
      <w:outlineLvl w:val="4"/>
    </w:pPr>
    <w:rPr>
      <w:b/>
      <w:bCs/>
      <w:sz w:val="28"/>
      <w:szCs w:val="28"/>
    </w:rPr>
  </w:style>
  <w:style w:type="paragraph" w:styleId="988">
    <w:name w:val="标题 6"/>
    <w:basedOn w:val="982"/>
    <w:next w:val="982"/>
    <w:link w:val="100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89">
    <w:name w:val="标题 7"/>
    <w:basedOn w:val="982"/>
    <w:next w:val="982"/>
    <w:link w:val="1004"/>
    <w:uiPriority w:val="99"/>
    <w:qFormat/>
    <w:pPr>
      <w:numPr>
        <w:ilvl w:val="6"/>
        <w:numId w:val="1"/>
      </w:numPr>
      <w:keepLines/>
      <w:keepNext/>
      <w:spacing w:before="240" w:after="64" w:line="320" w:lineRule="auto"/>
      <w:outlineLvl w:val="6"/>
    </w:pPr>
    <w:rPr>
      <w:b/>
      <w:bCs/>
      <w:sz w:val="24"/>
      <w:szCs w:val="24"/>
    </w:rPr>
  </w:style>
  <w:style w:type="paragraph" w:styleId="990">
    <w:name w:val="标题 8"/>
    <w:basedOn w:val="982"/>
    <w:next w:val="982"/>
    <w:link w:val="1005"/>
    <w:uiPriority w:val="99"/>
    <w:qFormat/>
    <w:pPr>
      <w:numPr>
        <w:ilvl w:val="7"/>
        <w:numId w:val="1"/>
      </w:numPr>
      <w:keepLines/>
      <w:keepNext/>
      <w:spacing w:before="240" w:after="64" w:line="320" w:lineRule="auto"/>
      <w:outlineLvl w:val="7"/>
    </w:pPr>
    <w:rPr>
      <w:rFonts w:ascii="Cambria" w:hAnsi="Cambria"/>
      <w:sz w:val="24"/>
      <w:szCs w:val="24"/>
    </w:rPr>
  </w:style>
  <w:style w:type="paragraph" w:styleId="991">
    <w:name w:val="标题 9"/>
    <w:basedOn w:val="982"/>
    <w:next w:val="982"/>
    <w:link w:val="1006"/>
    <w:uiPriority w:val="99"/>
    <w:qFormat/>
    <w:pPr>
      <w:numPr>
        <w:ilvl w:val="8"/>
        <w:numId w:val="1"/>
      </w:numPr>
      <w:keepLines/>
      <w:keepNext/>
      <w:spacing w:before="240" w:after="64" w:line="320" w:lineRule="auto"/>
      <w:outlineLvl w:val="8"/>
    </w:pPr>
    <w:rPr>
      <w:rFonts w:ascii="Cambria" w:hAnsi="Cambria"/>
      <w:szCs w:val="21"/>
    </w:rPr>
  </w:style>
  <w:style w:type="character" w:styleId="992">
    <w:name w:val="默认段落字体"/>
    <w:next w:val="992"/>
    <w:link w:val="982"/>
    <w:uiPriority w:val="1"/>
    <w:unhideWhenUsed/>
  </w:style>
  <w:style w:type="table" w:styleId="993">
    <w:name w:val="普通表格"/>
    <w:next w:val="993"/>
    <w:link w:val="982"/>
    <w:uiPriority w:val="99"/>
    <w:unhideWhenUsed/>
    <w:tblPr/>
  </w:style>
  <w:style w:type="character" w:styleId="994">
    <w:name w:val="标题 1 字符"/>
    <w:next w:val="994"/>
    <w:link w:val="983"/>
    <w:rPr>
      <w:rFonts w:ascii="黑体" w:eastAsia="黑体"/>
      <w:b/>
      <w:sz w:val="28"/>
    </w:rPr>
  </w:style>
  <w:style w:type="paragraph" w:styleId="995">
    <w:name w:val="正文文本"/>
    <w:basedOn w:val="982"/>
    <w:next w:val="982"/>
    <w:link w:val="996"/>
    <w:uiPriority w:val="99"/>
    <w:rPr>
      <w:sz w:val="20"/>
    </w:rPr>
  </w:style>
  <w:style w:type="character" w:styleId="996">
    <w:name w:val="正文文本 字符"/>
    <w:next w:val="996"/>
    <w:link w:val="995"/>
    <w:uiPriority w:val="99"/>
    <w:semiHidden/>
    <w:rPr>
      <w:rFonts w:cs="Times New Roman"/>
      <w:sz w:val="20"/>
      <w:szCs w:val="20"/>
    </w:rPr>
  </w:style>
  <w:style w:type="character" w:styleId="997">
    <w:name w:val="标题 2 字符"/>
    <w:next w:val="997"/>
    <w:link w:val="984"/>
    <w:uiPriority w:val="99"/>
    <w:rPr>
      <w:rFonts w:ascii="Cambria" w:hAnsi="Cambria"/>
      <w:b/>
      <w:bCs/>
      <w:sz w:val="32"/>
      <w:szCs w:val="32"/>
    </w:rPr>
  </w:style>
  <w:style w:type="character" w:styleId="998">
    <w:name w:val="标题 3 字符"/>
    <w:next w:val="998"/>
    <w:link w:val="985"/>
    <w:uiPriority w:val="99"/>
    <w:rPr>
      <w:b/>
      <w:bCs/>
      <w:sz w:val="32"/>
      <w:szCs w:val="32"/>
    </w:rPr>
  </w:style>
  <w:style w:type="paragraph" w:styleId="999">
    <w:name w:val="正文缩进"/>
    <w:basedOn w:val="982"/>
    <w:next w:val="999"/>
    <w:link w:val="1000"/>
    <w:qFormat/>
    <w:pPr>
      <w:ind w:firstLine="420"/>
    </w:pPr>
  </w:style>
  <w:style w:type="character" w:styleId="1000">
    <w:name w:val="正文缩进 字符"/>
    <w:next w:val="1000"/>
    <w:link w:val="999"/>
    <w:rPr>
      <w:rFonts w:eastAsia="宋体" w:cs="Times New Roman"/>
      <w:sz w:val="21"/>
      <w:lang w:val="en-US" w:eastAsia="zh-CN" w:bidi="ar-SA"/>
    </w:rPr>
  </w:style>
  <w:style w:type="character" w:styleId="1001">
    <w:name w:val="标题 4 字符"/>
    <w:next w:val="1001"/>
    <w:link w:val="986"/>
    <w:uiPriority w:val="99"/>
    <w:rPr>
      <w:rFonts w:ascii="Cambria" w:hAnsi="Cambria"/>
      <w:b/>
      <w:bCs/>
      <w:sz w:val="28"/>
      <w:szCs w:val="28"/>
    </w:rPr>
  </w:style>
  <w:style w:type="character" w:styleId="1002">
    <w:name w:val="标题 5 字符"/>
    <w:next w:val="1002"/>
    <w:link w:val="987"/>
    <w:uiPriority w:val="99"/>
    <w:rPr>
      <w:b/>
      <w:bCs/>
      <w:sz w:val="28"/>
      <w:szCs w:val="28"/>
    </w:rPr>
  </w:style>
  <w:style w:type="character" w:styleId="1003">
    <w:name w:val="标题 6 字符"/>
    <w:next w:val="1003"/>
    <w:link w:val="988"/>
    <w:uiPriority w:val="99"/>
    <w:rPr>
      <w:rFonts w:ascii="Cambria" w:hAnsi="Cambria"/>
      <w:b/>
      <w:bCs/>
      <w:sz w:val="24"/>
      <w:szCs w:val="24"/>
    </w:rPr>
  </w:style>
  <w:style w:type="character" w:styleId="1004">
    <w:name w:val="标题 7 字符"/>
    <w:next w:val="1004"/>
    <w:link w:val="989"/>
    <w:uiPriority w:val="99"/>
    <w:rPr>
      <w:b/>
      <w:bCs/>
      <w:sz w:val="24"/>
      <w:szCs w:val="24"/>
    </w:rPr>
  </w:style>
  <w:style w:type="character" w:styleId="1005">
    <w:name w:val="标题 8 字符"/>
    <w:next w:val="1005"/>
    <w:link w:val="990"/>
    <w:uiPriority w:val="99"/>
    <w:rPr>
      <w:rFonts w:ascii="Cambria" w:hAnsi="Cambria"/>
      <w:sz w:val="24"/>
      <w:szCs w:val="24"/>
    </w:rPr>
  </w:style>
  <w:style w:type="character" w:styleId="1006">
    <w:name w:val="标题 9 字符"/>
    <w:next w:val="1006"/>
    <w:link w:val="991"/>
    <w:uiPriority w:val="99"/>
    <w:rPr>
      <w:rFonts w:ascii="Cambria" w:hAnsi="Cambria"/>
      <w:sz w:val="21"/>
      <w:szCs w:val="21"/>
    </w:rPr>
  </w:style>
  <w:style w:type="paragraph" w:styleId="1007">
    <w:name w:val="列表 3"/>
    <w:basedOn w:val="982"/>
    <w:next w:val="1007"/>
    <w:link w:val="982"/>
    <w:uiPriority w:val="99"/>
    <w:pPr>
      <w:ind w:left="1260" w:hanging="420"/>
    </w:pPr>
  </w:style>
  <w:style w:type="paragraph" w:styleId="1008">
    <w:name w:val="目录 7"/>
    <w:basedOn w:val="982"/>
    <w:next w:val="982"/>
    <w:link w:val="982"/>
    <w:uiPriority w:val="99"/>
    <w:semiHidden/>
    <w:pPr>
      <w:ind w:left="1260"/>
      <w:jc w:val="left"/>
    </w:pPr>
    <w:rPr>
      <w:sz w:val="18"/>
    </w:rPr>
  </w:style>
  <w:style w:type="paragraph" w:styleId="1009">
    <w:name w:val="索引 8"/>
    <w:basedOn w:val="982"/>
    <w:next w:val="982"/>
    <w:link w:val="982"/>
    <w:uiPriority w:val="99"/>
    <w:semiHidden/>
    <w:pPr>
      <w:ind w:left="2940"/>
    </w:pPr>
  </w:style>
  <w:style w:type="paragraph" w:styleId="1010">
    <w:name w:val="索引 5"/>
    <w:basedOn w:val="982"/>
    <w:next w:val="982"/>
    <w:link w:val="982"/>
    <w:uiPriority w:val="99"/>
    <w:semiHidden/>
    <w:pPr>
      <w:ind w:left="1680"/>
    </w:pPr>
  </w:style>
  <w:style w:type="paragraph" w:styleId="1011">
    <w:name w:val="文档结构图"/>
    <w:basedOn w:val="982"/>
    <w:next w:val="1011"/>
    <w:link w:val="1012"/>
    <w:uiPriority w:val="99"/>
    <w:semiHidden/>
    <w:pPr>
      <w:shd w:val="clear" w:color="auto" w:fill="000080"/>
    </w:pPr>
    <w:rPr>
      <w:sz w:val="2"/>
    </w:rPr>
  </w:style>
  <w:style w:type="character" w:styleId="1012">
    <w:name w:val="文档结构图 字符"/>
    <w:next w:val="1012"/>
    <w:link w:val="1011"/>
    <w:uiPriority w:val="99"/>
    <w:semiHidden/>
    <w:rPr>
      <w:rFonts w:cs="Times New Roman"/>
      <w:sz w:val="2"/>
    </w:rPr>
  </w:style>
  <w:style w:type="paragraph" w:styleId="1013">
    <w:name w:val="批注文字"/>
    <w:basedOn w:val="982"/>
    <w:next w:val="1013"/>
    <w:link w:val="1014"/>
    <w:pPr>
      <w:jc w:val="left"/>
    </w:pPr>
    <w:rPr>
      <w:sz w:val="20"/>
    </w:rPr>
  </w:style>
  <w:style w:type="character" w:styleId="1014">
    <w:name w:val="批注文字 字符"/>
    <w:next w:val="1014"/>
    <w:link w:val="1013"/>
    <w:rPr>
      <w:rFonts w:cs="Times New Roman"/>
      <w:sz w:val="20"/>
      <w:szCs w:val="20"/>
    </w:rPr>
  </w:style>
  <w:style w:type="paragraph" w:styleId="1015">
    <w:name w:val="索引 6"/>
    <w:basedOn w:val="982"/>
    <w:next w:val="982"/>
    <w:link w:val="982"/>
    <w:uiPriority w:val="99"/>
    <w:semiHidden/>
    <w:pPr>
      <w:ind w:left="2100"/>
    </w:pPr>
  </w:style>
  <w:style w:type="paragraph" w:styleId="1016">
    <w:name w:val="正文文本 3"/>
    <w:basedOn w:val="982"/>
    <w:next w:val="1016"/>
    <w:link w:val="1017"/>
    <w:uiPriority w:val="99"/>
    <w:rPr>
      <w:sz w:val="16"/>
      <w:szCs w:val="16"/>
    </w:rPr>
  </w:style>
  <w:style w:type="character" w:styleId="1017">
    <w:name w:val="正文文本 3 字符"/>
    <w:next w:val="1017"/>
    <w:link w:val="1016"/>
    <w:uiPriority w:val="99"/>
    <w:semiHidden/>
    <w:rPr>
      <w:rFonts w:cs="Times New Roman"/>
      <w:sz w:val="16"/>
      <w:szCs w:val="16"/>
    </w:rPr>
  </w:style>
  <w:style w:type="paragraph" w:styleId="1018">
    <w:name w:val="正文文本缩进"/>
    <w:basedOn w:val="982"/>
    <w:next w:val="1020"/>
    <w:link w:val="1019"/>
    <w:uiPriority w:val="99"/>
    <w:pPr>
      <w:ind w:firstLine="645"/>
    </w:pPr>
    <w:rPr>
      <w:sz w:val="20"/>
    </w:rPr>
  </w:style>
  <w:style w:type="character" w:styleId="1019">
    <w:name w:val="正文文本缩进 字符"/>
    <w:next w:val="1019"/>
    <w:link w:val="1018"/>
    <w:uiPriority w:val="99"/>
    <w:semiHidden/>
    <w:rPr>
      <w:rFonts w:cs="Times New Roman"/>
      <w:sz w:val="20"/>
      <w:szCs w:val="20"/>
    </w:rPr>
  </w:style>
  <w:style w:type="paragraph" w:styleId="1020">
    <w:name w:val="寄信人地址"/>
    <w:basedOn w:val="982"/>
    <w:next w:val="1020"/>
    <w:link w:val="982"/>
    <w:qFormat/>
    <w:pPr>
      <w:spacing w:line="560" w:lineRule="exact"/>
    </w:pPr>
    <w:rPr>
      <w:rFonts w:ascii="Arial" w:hAnsi="Arial" w:eastAsia="仿宋_GB2312" w:cs="Arial"/>
      <w:sz w:val="32"/>
    </w:rPr>
  </w:style>
  <w:style w:type="paragraph" w:styleId="1021">
    <w:name w:val="索引 4"/>
    <w:basedOn w:val="982"/>
    <w:next w:val="982"/>
    <w:link w:val="982"/>
    <w:uiPriority w:val="99"/>
    <w:semiHidden/>
    <w:pPr>
      <w:ind w:left="1260"/>
    </w:pPr>
  </w:style>
  <w:style w:type="paragraph" w:styleId="1022">
    <w:name w:val="目录 5"/>
    <w:basedOn w:val="982"/>
    <w:next w:val="982"/>
    <w:link w:val="982"/>
    <w:uiPriority w:val="99"/>
    <w:semiHidden/>
    <w:pPr>
      <w:ind w:left="840"/>
      <w:jc w:val="left"/>
    </w:pPr>
    <w:rPr>
      <w:sz w:val="18"/>
    </w:rPr>
  </w:style>
  <w:style w:type="paragraph" w:styleId="1023">
    <w:name w:val="目录 3"/>
    <w:basedOn w:val="982"/>
    <w:next w:val="982"/>
    <w:link w:val="982"/>
    <w:uiPriority w:val="99"/>
    <w:semiHidden/>
    <w:pPr>
      <w:ind w:left="420"/>
      <w:jc w:val="left"/>
    </w:pPr>
    <w:rPr>
      <w:i/>
      <w:sz w:val="20"/>
    </w:rPr>
  </w:style>
  <w:style w:type="paragraph" w:styleId="1024">
    <w:name w:val="纯文本"/>
    <w:basedOn w:val="982"/>
    <w:next w:val="1024"/>
    <w:link w:val="1025"/>
    <w:rPr>
      <w:rFonts w:ascii="宋体" w:hAnsi="Courier New"/>
      <w:szCs w:val="21"/>
    </w:rPr>
  </w:style>
  <w:style w:type="character" w:styleId="1025">
    <w:name w:val="纯文本 字符"/>
    <w:next w:val="1025"/>
    <w:link w:val="1024"/>
    <w:rPr>
      <w:rFonts w:ascii="宋体" w:hAnsi="Courier New" w:cs="Courier New"/>
      <w:sz w:val="21"/>
      <w:szCs w:val="21"/>
    </w:rPr>
  </w:style>
  <w:style w:type="paragraph" w:styleId="1026">
    <w:name w:val="目录 8"/>
    <w:basedOn w:val="982"/>
    <w:next w:val="982"/>
    <w:link w:val="982"/>
    <w:uiPriority w:val="99"/>
    <w:semiHidden/>
    <w:pPr>
      <w:ind w:left="1470"/>
      <w:jc w:val="left"/>
    </w:pPr>
    <w:rPr>
      <w:sz w:val="18"/>
    </w:rPr>
  </w:style>
  <w:style w:type="paragraph" w:styleId="1027">
    <w:name w:val="索引 3"/>
    <w:basedOn w:val="982"/>
    <w:next w:val="982"/>
    <w:link w:val="982"/>
    <w:uiPriority w:val="99"/>
    <w:semiHidden/>
    <w:pPr>
      <w:ind w:left="840"/>
    </w:pPr>
  </w:style>
  <w:style w:type="paragraph" w:styleId="1028">
    <w:name w:val="日期"/>
    <w:basedOn w:val="982"/>
    <w:next w:val="982"/>
    <w:link w:val="1029"/>
    <w:uiPriority w:val="99"/>
    <w:pPr>
      <w:ind w:left="100"/>
    </w:pPr>
    <w:rPr>
      <w:sz w:val="20"/>
    </w:rPr>
  </w:style>
  <w:style w:type="character" w:styleId="1029">
    <w:name w:val="日期 字符"/>
    <w:next w:val="1029"/>
    <w:link w:val="1028"/>
    <w:uiPriority w:val="99"/>
    <w:semiHidden/>
    <w:rPr>
      <w:rFonts w:cs="Times New Roman"/>
      <w:sz w:val="20"/>
      <w:szCs w:val="20"/>
    </w:rPr>
  </w:style>
  <w:style w:type="paragraph" w:styleId="1030">
    <w:name w:val="正文文本缩进 2"/>
    <w:basedOn w:val="982"/>
    <w:next w:val="1030"/>
    <w:link w:val="1031"/>
    <w:uiPriority w:val="99"/>
    <w:pPr>
      <w:ind w:left="630" w:firstLine="645"/>
    </w:pPr>
    <w:rPr>
      <w:sz w:val="20"/>
    </w:rPr>
  </w:style>
  <w:style w:type="character" w:styleId="1031">
    <w:name w:val="正文文本缩进 2 字符"/>
    <w:next w:val="1031"/>
    <w:link w:val="1030"/>
    <w:uiPriority w:val="99"/>
    <w:semiHidden/>
    <w:rPr>
      <w:rFonts w:cs="Times New Roman"/>
      <w:sz w:val="20"/>
      <w:szCs w:val="20"/>
    </w:rPr>
  </w:style>
  <w:style w:type="paragraph" w:styleId="1032">
    <w:name w:val="批注框文本"/>
    <w:basedOn w:val="982"/>
    <w:next w:val="1032"/>
    <w:link w:val="1033"/>
    <w:uiPriority w:val="99"/>
    <w:semiHidden/>
    <w:rPr>
      <w:sz w:val="18"/>
      <w:szCs w:val="18"/>
    </w:rPr>
  </w:style>
  <w:style w:type="character" w:styleId="1033">
    <w:name w:val="批注框文本 字符"/>
    <w:next w:val="1033"/>
    <w:link w:val="1032"/>
    <w:uiPriority w:val="99"/>
    <w:semiHidden/>
    <w:rPr>
      <w:sz w:val="18"/>
      <w:szCs w:val="18"/>
    </w:rPr>
  </w:style>
  <w:style w:type="paragraph" w:styleId="1034">
    <w:name w:val="页脚"/>
    <w:basedOn w:val="982"/>
    <w:next w:val="1034"/>
    <w:link w:val="1035"/>
    <w:uiPriority w:val="99"/>
    <w:pPr>
      <w:jc w:val="left"/>
      <w:tabs>
        <w:tab w:val="center" w:pos="4153" w:leader="none"/>
        <w:tab w:val="right" w:pos="8306" w:leader="none"/>
      </w:tabs>
    </w:pPr>
    <w:rPr>
      <w:sz w:val="18"/>
    </w:rPr>
  </w:style>
  <w:style w:type="character" w:styleId="1035">
    <w:name w:val="页脚 字符"/>
    <w:next w:val="1035"/>
    <w:link w:val="1034"/>
    <w:uiPriority w:val="99"/>
    <w:rPr>
      <w:rFonts w:eastAsia="宋体" w:cs="Times New Roman"/>
      <w:sz w:val="18"/>
      <w:lang w:val="en-US" w:eastAsia="zh-CN" w:bidi="ar-SA"/>
    </w:rPr>
  </w:style>
  <w:style w:type="paragraph" w:styleId="1036">
    <w:name w:val="页眉"/>
    <w:basedOn w:val="982"/>
    <w:next w:val="1036"/>
    <w:link w:val="1037"/>
    <w:uiPriority w:val="99"/>
    <w:pPr>
      <w:jc w:val="center"/>
      <w:tabs>
        <w:tab w:val="center" w:pos="4153" w:leader="none"/>
        <w:tab w:val="right" w:pos="8306" w:leader="none"/>
      </w:tabs>
      <w:pBdr>
        <w:bottom w:val="single" w:color="000000" w:sz="6" w:space="1"/>
      </w:pBdr>
    </w:pPr>
    <w:rPr>
      <w:sz w:val="18"/>
    </w:rPr>
  </w:style>
  <w:style w:type="character" w:styleId="1037">
    <w:name w:val="页眉 字符"/>
    <w:next w:val="1037"/>
    <w:link w:val="1036"/>
    <w:uiPriority w:val="99"/>
    <w:semiHidden/>
    <w:rPr>
      <w:rFonts w:eastAsia="宋体" w:cs="Times New Roman"/>
      <w:sz w:val="18"/>
      <w:lang w:val="en-US" w:eastAsia="zh-CN" w:bidi="ar-SA"/>
    </w:rPr>
  </w:style>
  <w:style w:type="paragraph" w:styleId="1038">
    <w:name w:val="目录 1"/>
    <w:basedOn w:val="982"/>
    <w:next w:val="982"/>
    <w:link w:val="982"/>
    <w:uiPriority w:val="39"/>
    <w:pPr>
      <w:jc w:val="left"/>
      <w:spacing w:before="120" w:after="120"/>
    </w:pPr>
    <w:rPr>
      <w:b/>
      <w:caps/>
      <w:sz w:val="20"/>
    </w:rPr>
  </w:style>
  <w:style w:type="paragraph" w:styleId="1039">
    <w:name w:val="目录 4"/>
    <w:basedOn w:val="982"/>
    <w:next w:val="982"/>
    <w:link w:val="982"/>
    <w:uiPriority w:val="99"/>
    <w:semiHidden/>
    <w:pPr>
      <w:ind w:left="630"/>
      <w:jc w:val="left"/>
    </w:pPr>
    <w:rPr>
      <w:sz w:val="18"/>
    </w:rPr>
  </w:style>
  <w:style w:type="paragraph" w:styleId="1040">
    <w:name w:val="索引标题"/>
    <w:basedOn w:val="982"/>
    <w:next w:val="1041"/>
    <w:link w:val="982"/>
    <w:uiPriority w:val="99"/>
    <w:semiHidden/>
  </w:style>
  <w:style w:type="paragraph" w:styleId="1041">
    <w:name w:val="索引 1"/>
    <w:basedOn w:val="982"/>
    <w:next w:val="982"/>
    <w:link w:val="982"/>
    <w:uiPriority w:val="99"/>
    <w:semiHidden/>
    <w:pPr>
      <w:jc w:val="center"/>
    </w:pPr>
    <w:rPr>
      <w:rFonts w:ascii="仿宋_GB2312" w:hAnsi="宋体" w:eastAsia="仿宋_GB2312"/>
      <w:sz w:val="30"/>
      <w:szCs w:val="24"/>
    </w:rPr>
  </w:style>
  <w:style w:type="paragraph" w:styleId="1042">
    <w:name w:val="目录 6"/>
    <w:basedOn w:val="982"/>
    <w:next w:val="982"/>
    <w:link w:val="982"/>
    <w:uiPriority w:val="99"/>
    <w:semiHidden/>
    <w:pPr>
      <w:ind w:left="1050"/>
      <w:jc w:val="left"/>
    </w:pPr>
    <w:rPr>
      <w:sz w:val="18"/>
    </w:rPr>
  </w:style>
  <w:style w:type="paragraph" w:styleId="1043">
    <w:name w:val="正文文本缩进 3"/>
    <w:basedOn w:val="982"/>
    <w:next w:val="1043"/>
    <w:link w:val="1044"/>
    <w:uiPriority w:val="99"/>
    <w:pPr>
      <w:ind w:left="645" w:firstLine="645"/>
    </w:pPr>
    <w:rPr>
      <w:sz w:val="16"/>
      <w:szCs w:val="16"/>
    </w:rPr>
  </w:style>
  <w:style w:type="character" w:styleId="1044">
    <w:name w:val="正文文本缩进 3 字符"/>
    <w:next w:val="1044"/>
    <w:link w:val="1043"/>
    <w:uiPriority w:val="99"/>
    <w:semiHidden/>
    <w:rPr>
      <w:rFonts w:cs="Times New Roman"/>
      <w:sz w:val="16"/>
      <w:szCs w:val="16"/>
    </w:rPr>
  </w:style>
  <w:style w:type="paragraph" w:styleId="1045">
    <w:name w:val="索引 7"/>
    <w:basedOn w:val="982"/>
    <w:next w:val="982"/>
    <w:link w:val="982"/>
    <w:uiPriority w:val="99"/>
    <w:semiHidden/>
    <w:pPr>
      <w:ind w:left="2520"/>
    </w:pPr>
  </w:style>
  <w:style w:type="paragraph" w:styleId="1046">
    <w:name w:val="索引 9"/>
    <w:basedOn w:val="982"/>
    <w:next w:val="982"/>
    <w:link w:val="982"/>
    <w:uiPriority w:val="99"/>
    <w:semiHidden/>
    <w:pPr>
      <w:ind w:left="3360"/>
    </w:pPr>
  </w:style>
  <w:style w:type="paragraph" w:styleId="1047">
    <w:name w:val="图表目录"/>
    <w:basedOn w:val="982"/>
    <w:next w:val="982"/>
    <w:link w:val="982"/>
    <w:uiPriority w:val="99"/>
    <w:semiHidden/>
    <w:pPr>
      <w:ind w:left="840" w:hanging="420"/>
    </w:pPr>
  </w:style>
  <w:style w:type="paragraph" w:styleId="1048">
    <w:name w:val="目录 2"/>
    <w:basedOn w:val="982"/>
    <w:next w:val="982"/>
    <w:link w:val="982"/>
    <w:uiPriority w:val="39"/>
    <w:pPr>
      <w:ind w:left="210"/>
      <w:jc w:val="left"/>
    </w:pPr>
    <w:rPr>
      <w:smallCaps/>
      <w:sz w:val="20"/>
    </w:rPr>
  </w:style>
  <w:style w:type="paragraph" w:styleId="1049">
    <w:name w:val="目录 9"/>
    <w:basedOn w:val="982"/>
    <w:next w:val="982"/>
    <w:link w:val="982"/>
    <w:uiPriority w:val="99"/>
    <w:semiHidden/>
    <w:pPr>
      <w:ind w:left="1680"/>
      <w:jc w:val="left"/>
    </w:pPr>
    <w:rPr>
      <w:sz w:val="18"/>
    </w:rPr>
  </w:style>
  <w:style w:type="paragraph" w:styleId="1050">
    <w:name w:val="正文文本 2"/>
    <w:basedOn w:val="982"/>
    <w:next w:val="1050"/>
    <w:link w:val="1051"/>
    <w:uiPriority w:val="99"/>
    <w:pPr>
      <w:jc w:val="center"/>
      <w:widowControl/>
    </w:pPr>
    <w:rPr>
      <w:sz w:val="20"/>
    </w:rPr>
  </w:style>
  <w:style w:type="character" w:styleId="1051">
    <w:name w:val="正文文本 2 字符"/>
    <w:next w:val="1051"/>
    <w:link w:val="1050"/>
    <w:uiPriority w:val="99"/>
    <w:semiHidden/>
    <w:rPr>
      <w:rFonts w:cs="Times New Roman"/>
      <w:sz w:val="20"/>
      <w:szCs w:val="20"/>
    </w:rPr>
  </w:style>
  <w:style w:type="paragraph" w:styleId="1052">
    <w:name w:val="HTML 预设格式"/>
    <w:basedOn w:val="982"/>
    <w:next w:val="1052"/>
    <w:link w:val="105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3">
    <w:name w:val="HTML 预设格式 字符"/>
    <w:next w:val="1053"/>
    <w:link w:val="1052"/>
    <w:uiPriority w:val="99"/>
    <w:semiHidden/>
    <w:rPr>
      <w:rFonts w:ascii="Courier New" w:hAnsi="Courier New" w:cs="Courier New"/>
      <w:sz w:val="20"/>
      <w:szCs w:val="20"/>
    </w:rPr>
  </w:style>
  <w:style w:type="paragraph" w:styleId="1054">
    <w:name w:val="普通(网站)"/>
    <w:basedOn w:val="982"/>
    <w:next w:val="1054"/>
    <w:link w:val="982"/>
    <w:uiPriority w:val="99"/>
    <w:pPr>
      <w:jc w:val="left"/>
      <w:spacing w:before="100" w:beforeAutospacing="1" w:after="100" w:afterAutospacing="1"/>
      <w:widowControl/>
    </w:pPr>
    <w:rPr>
      <w:rFonts w:ascii="Arial" w:hAnsi="Arial" w:cs="Arial"/>
      <w:sz w:val="24"/>
      <w:szCs w:val="24"/>
    </w:rPr>
  </w:style>
  <w:style w:type="paragraph" w:styleId="1055">
    <w:name w:val="索引 2"/>
    <w:basedOn w:val="982"/>
    <w:next w:val="982"/>
    <w:link w:val="982"/>
    <w:uiPriority w:val="99"/>
    <w:semiHidden/>
    <w:pPr>
      <w:ind w:left="420"/>
    </w:pPr>
  </w:style>
  <w:style w:type="paragraph" w:styleId="1056">
    <w:name w:val="标题"/>
    <w:basedOn w:val="982"/>
    <w:next w:val="982"/>
    <w:link w:val="1057"/>
    <w:uiPriority w:val="10"/>
    <w:qFormat/>
    <w:pPr>
      <w:jc w:val="center"/>
      <w:spacing w:before="240" w:after="60"/>
      <w:outlineLvl w:val="0"/>
    </w:pPr>
    <w:rPr>
      <w:rFonts w:ascii="Cambria" w:hAnsi="Cambria"/>
      <w:b/>
      <w:bCs/>
      <w:sz w:val="32"/>
      <w:szCs w:val="32"/>
    </w:rPr>
  </w:style>
  <w:style w:type="character" w:styleId="1057">
    <w:name w:val="标题 字符"/>
    <w:next w:val="1057"/>
    <w:link w:val="1056"/>
    <w:uiPriority w:val="10"/>
    <w:rPr>
      <w:rFonts w:ascii="Cambria" w:hAnsi="Cambria" w:cs="Times New Roman"/>
      <w:b/>
      <w:bCs/>
      <w:sz w:val="32"/>
      <w:szCs w:val="32"/>
    </w:rPr>
  </w:style>
  <w:style w:type="paragraph" w:styleId="1058">
    <w:name w:val="批注主题"/>
    <w:basedOn w:val="1013"/>
    <w:next w:val="1013"/>
    <w:link w:val="1059"/>
    <w:uiPriority w:val="99"/>
    <w:semiHidden/>
    <w:rPr>
      <w:b/>
      <w:bCs/>
    </w:rPr>
  </w:style>
  <w:style w:type="character" w:styleId="1059">
    <w:name w:val="批注主题 字符"/>
    <w:next w:val="1059"/>
    <w:link w:val="1058"/>
    <w:uiPriority w:val="99"/>
    <w:semiHidden/>
    <w:rPr>
      <w:rFonts w:cs="Times New Roman"/>
      <w:b/>
      <w:bCs/>
      <w:sz w:val="20"/>
      <w:szCs w:val="20"/>
    </w:rPr>
  </w:style>
  <w:style w:type="paragraph" w:styleId="1060">
    <w:name w:val="正文首行缩进"/>
    <w:basedOn w:val="995"/>
    <w:next w:val="1060"/>
    <w:link w:val="1061"/>
    <w:uiPriority w:val="99"/>
    <w:pPr>
      <w:ind w:firstLine="420"/>
      <w:spacing w:after="120"/>
    </w:pPr>
    <w:rPr>
      <w:rFonts w:ascii="Times New Roman" w:hAnsi="Times New Roman" w:eastAsia="宋体"/>
      <w:sz w:val="21"/>
      <w:szCs w:val="24"/>
    </w:rPr>
  </w:style>
  <w:style w:type="character" w:styleId="1061">
    <w:name w:val="正文首行缩进 字符"/>
    <w:next w:val="1061"/>
    <w:link w:val="1060"/>
    <w:uiPriority w:val="99"/>
    <w:semiHidden/>
  </w:style>
  <w:style w:type="paragraph" w:styleId="1062">
    <w:name w:val="正文首行缩进 2"/>
    <w:basedOn w:val="1018"/>
    <w:next w:val="1062"/>
    <w:link w:val="982"/>
    <w:unhideWhenUsed/>
    <w:qFormat/>
    <w:pPr>
      <w:ind w:left="200" w:firstLine="420"/>
    </w:pPr>
  </w:style>
  <w:style w:type="table" w:styleId="1063">
    <w:name w:val="网格型"/>
    <w:next w:val="1063"/>
    <w:link w:val="982"/>
    <w:uiPriority w:val="59"/>
    <w:qFormat/>
    <w:rPr>
      <w:lang w:val="en-US" w:eastAsia="zh-CN" w:bidi="ar-SA"/>
    </w:rPr>
    <w:tblPr/>
  </w:style>
  <w:style w:type="character" w:styleId="1064">
    <w:name w:val="页码"/>
    <w:next w:val="1064"/>
    <w:link w:val="982"/>
    <w:rPr>
      <w:rFonts w:cs="Times New Roman"/>
    </w:rPr>
  </w:style>
  <w:style w:type="character" w:styleId="1065">
    <w:name w:val="已访问的超链接"/>
    <w:next w:val="1065"/>
    <w:link w:val="982"/>
    <w:uiPriority w:val="99"/>
    <w:rPr>
      <w:rFonts w:cs="Times New Roman"/>
      <w:color w:val="800080"/>
      <w:u w:val="single"/>
    </w:rPr>
  </w:style>
  <w:style w:type="character" w:styleId="1066">
    <w:name w:val="强调"/>
    <w:next w:val="1066"/>
    <w:link w:val="982"/>
    <w:qFormat/>
    <w:rPr>
      <w:b/>
      <w:i/>
      <w:spacing w:val="10"/>
      <w:shd w:val="clear" w:color="auto" w:fill="auto"/>
    </w:rPr>
  </w:style>
  <w:style w:type="character" w:styleId="1067">
    <w:name w:val="HTML 打字机"/>
    <w:next w:val="1067"/>
    <w:link w:val="982"/>
    <w:unhideWhenUsed/>
    <w:rPr>
      <w:rFonts w:ascii="monospace" w:hAnsi="monospace" w:eastAsia="monospace" w:cs="monospace"/>
      <w:sz w:val="20"/>
    </w:rPr>
  </w:style>
  <w:style w:type="character" w:styleId="1068">
    <w:name w:val="HTML 缩写"/>
    <w:next w:val="1068"/>
    <w:link w:val="982"/>
    <w:unhideWhenUsed/>
  </w:style>
  <w:style w:type="character" w:styleId="1069">
    <w:name w:val="超链接"/>
    <w:next w:val="1069"/>
    <w:link w:val="982"/>
    <w:uiPriority w:val="99"/>
    <w:rPr>
      <w:rFonts w:cs="Times New Roman"/>
      <w:color w:val="0000ff"/>
      <w:u w:val="single"/>
    </w:rPr>
  </w:style>
  <w:style w:type="character" w:styleId="1070">
    <w:name w:val="HTML 代码"/>
    <w:next w:val="1070"/>
    <w:link w:val="982"/>
    <w:unhideWhenUsed/>
    <w:rPr>
      <w:rFonts w:ascii="monospace" w:hAnsi="monospace" w:eastAsia="monospace" w:cs="monospace"/>
      <w:sz w:val="20"/>
    </w:rPr>
  </w:style>
  <w:style w:type="character" w:styleId="1071">
    <w:name w:val="批注引用"/>
    <w:next w:val="1071"/>
    <w:link w:val="982"/>
    <w:rPr>
      <w:rFonts w:cs="Times New Roman"/>
      <w:sz w:val="21"/>
    </w:rPr>
  </w:style>
  <w:style w:type="character" w:styleId="1072">
    <w:name w:val="HTML 键盘"/>
    <w:next w:val="1072"/>
    <w:link w:val="982"/>
    <w:unhideWhenUsed/>
    <w:rPr>
      <w:rFonts w:ascii="monospace" w:hAnsi="monospace" w:eastAsia="monospace" w:cs="monospace"/>
      <w:sz w:val="20"/>
      <w:shd w:val="clear" w:color="auto" w:fill="fcf8f5"/>
    </w:rPr>
  </w:style>
  <w:style w:type="character" w:styleId="1073">
    <w:name w:val="HTML 样本"/>
    <w:next w:val="1073"/>
    <w:link w:val="982"/>
    <w:unhideWhenUsed/>
    <w:rPr>
      <w:rFonts w:ascii="monospace" w:hAnsi="monospace" w:eastAsia="monospace" w:cs="monospace"/>
    </w:rPr>
  </w:style>
  <w:style w:type="character" w:styleId="1074">
    <w:name w:val="标题 3 Char,h3 Char,3rd level Char,3 Char,标题4 Char,Heading 3 - old Char"/>
    <w:next w:val="1074"/>
    <w:link w:val="982"/>
    <w:uiPriority w:val="99"/>
    <w:rPr>
      <w:rFonts w:ascii="宋体" w:hAnsi="宋体" w:eastAsia="宋体" w:cs="Times New Roman"/>
      <w:b/>
      <w:bCs/>
      <w:sz w:val="32"/>
      <w:szCs w:val="32"/>
      <w:lang w:val="en-US" w:eastAsia="zh-CN" w:bidi="ar-SA"/>
    </w:rPr>
  </w:style>
  <w:style w:type="character" w:styleId="1075">
    <w:name w:val="para_small"/>
    <w:next w:val="1075"/>
    <w:link w:val="982"/>
    <w:uiPriority w:val="99"/>
    <w:rPr>
      <w:rFonts w:cs="Times New Roman"/>
    </w:rPr>
  </w:style>
  <w:style w:type="character" w:styleId="1076">
    <w:name w:val="point_normal1"/>
    <w:next w:val="1076"/>
    <w:link w:val="982"/>
    <w:uiPriority w:val="99"/>
    <w:rPr>
      <w:rFonts w:ascii="Arial" w:hAnsi="Arial" w:cs="Arial"/>
      <w:sz w:val="18"/>
      <w:szCs w:val="18"/>
    </w:rPr>
  </w:style>
  <w:style w:type="character" w:styleId="1077">
    <w:name w:val="正文2 Char"/>
    <w:next w:val="1077"/>
    <w:link w:val="1078"/>
    <w:rPr>
      <w:sz w:val="24"/>
    </w:rPr>
  </w:style>
  <w:style w:type="paragraph" w:styleId="1078">
    <w:name w:val="正文2"/>
    <w:basedOn w:val="982"/>
    <w:next w:val="1078"/>
    <w:link w:val="1077"/>
    <w:pPr>
      <w:ind w:firstLine="510"/>
      <w:spacing w:before="156" w:line="360" w:lineRule="auto"/>
    </w:pPr>
    <w:rPr>
      <w:sz w:val="24"/>
    </w:rPr>
  </w:style>
  <w:style w:type="character" w:styleId="1079">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79"/>
    <w:link w:val="982"/>
    <w:rPr>
      <w:rFonts w:ascii="宋体" w:hAnsi="Courier New" w:eastAsia="宋体"/>
      <w:sz w:val="21"/>
      <w:lang w:val="en-US" w:eastAsia="zh-CN" w:bidi="ar-SA"/>
    </w:rPr>
  </w:style>
  <w:style w:type="character" w:styleId="1080">
    <w:name w:val="二级目录 Char"/>
    <w:next w:val="1080"/>
    <w:link w:val="1081"/>
    <w:uiPriority w:val="99"/>
    <w:rPr>
      <w:b/>
      <w:sz w:val="30"/>
      <w:szCs w:val="28"/>
      <w:lang w:val="en-US" w:eastAsia="zh-CN" w:bidi="ar-SA"/>
    </w:rPr>
  </w:style>
  <w:style w:type="paragraph" w:styleId="1081">
    <w:name w:val="二级目录"/>
    <w:next w:val="982"/>
    <w:link w:val="1080"/>
    <w:uiPriority w:val="99"/>
    <w:pPr>
      <w:numPr>
        <w:ilvl w:val="0"/>
        <w:numId w:val="2"/>
      </w:numPr>
      <w:tabs>
        <w:tab w:val="left" w:pos="720" w:leader="none"/>
      </w:tabs>
      <w:outlineLvl w:val="1"/>
    </w:pPr>
    <w:rPr>
      <w:b/>
      <w:sz w:val="30"/>
      <w:szCs w:val="28"/>
      <w:lang w:val="en-US" w:eastAsia="zh-CN" w:bidi="ar-SA"/>
    </w:rPr>
  </w:style>
  <w:style w:type="paragraph" w:styleId="1082">
    <w:name w:val="列表段落1"/>
    <w:basedOn w:val="982"/>
    <w:next w:val="1082"/>
    <w:link w:val="982"/>
    <w:uiPriority w:val="99"/>
    <w:qFormat/>
    <w:pPr>
      <w:ind w:firstLine="420"/>
    </w:pPr>
    <w:rPr>
      <w:rFonts w:ascii="Times New Roman" w:hAnsi="Times New Roman" w:eastAsia="宋体" w:cs="Times New Roman"/>
      <w:szCs w:val="20"/>
    </w:rPr>
  </w:style>
  <w:style w:type="paragraph" w:styleId="1083">
    <w:name w:val="font6"/>
    <w:basedOn w:val="982"/>
    <w:next w:val="1083"/>
    <w:link w:val="982"/>
    <w:pPr>
      <w:jc w:val="left"/>
      <w:spacing w:before="100" w:beforeAutospacing="1" w:after="100" w:afterAutospacing="1"/>
      <w:widowControl/>
    </w:pPr>
    <w:rPr>
      <w:rFonts w:ascii="宋体" w:hAnsi="宋体" w:cs="宋体"/>
      <w:color w:val="000000"/>
      <w:sz w:val="20"/>
    </w:rPr>
  </w:style>
  <w:style w:type="paragraph" w:styleId="1084">
    <w:name w:val="Char"/>
    <w:basedOn w:val="982"/>
    <w:next w:val="1084"/>
    <w:link w:val="982"/>
    <w:rPr>
      <w:rFonts w:ascii="Tahoma" w:hAnsi="Tahoma" w:cs="仿宋_GB2312"/>
      <w:sz w:val="24"/>
      <w:szCs w:val="28"/>
    </w:rPr>
  </w:style>
  <w:style w:type="paragraph" w:styleId="1085">
    <w:name w:val="xl113"/>
    <w:basedOn w:val="982"/>
    <w:next w:val="1085"/>
    <w:link w:val="9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6">
    <w:name w:val="tableau"/>
    <w:basedOn w:val="982"/>
    <w:next w:val="1086"/>
    <w:link w:val="982"/>
    <w:uiPriority w:val="99"/>
    <w:pPr>
      <w:jc w:val="center"/>
      <w:spacing w:before="20" w:after="20"/>
      <w:widowControl/>
    </w:pPr>
    <w:rPr>
      <w:rFonts w:ascii="Arial" w:hAnsi="Arial"/>
      <w:sz w:val="16"/>
      <w:lang w:eastAsia="en-US"/>
    </w:rPr>
  </w:style>
  <w:style w:type="paragraph" w:styleId="1087">
    <w:name w:val="Char Char2 Char Char"/>
    <w:basedOn w:val="1011"/>
    <w:next w:val="1087"/>
    <w:link w:val="982"/>
    <w:uiPriority w:val="99"/>
    <w:pPr>
      <w:spacing w:line="436" w:lineRule="exact"/>
    </w:pPr>
    <w:rPr>
      <w:rFonts w:ascii="Tahoma" w:hAnsi="Tahoma"/>
      <w:sz w:val="24"/>
    </w:rPr>
  </w:style>
  <w:style w:type="paragraph" w:styleId="1088">
    <w:name w:val="默认段落字体 Para Char"/>
    <w:basedOn w:val="982"/>
    <w:next w:val="1088"/>
    <w:link w:val="982"/>
    <w:uiPriority w:val="99"/>
    <w:rPr>
      <w:sz w:val="24"/>
      <w:szCs w:val="24"/>
    </w:rPr>
  </w:style>
  <w:style w:type="paragraph" w:styleId="1089">
    <w:name w:val="丁华正文"/>
    <w:basedOn w:val="1043"/>
    <w:next w:val="1089"/>
    <w:link w:val="982"/>
    <w:uiPriority w:val="99"/>
    <w:pPr>
      <w:ind w:left="0" w:firstLine="510"/>
      <w:spacing w:line="360" w:lineRule="auto"/>
    </w:pPr>
    <w:rPr>
      <w:rFonts w:ascii="Times New Roman" w:hAnsi="Times New Roman" w:eastAsia="宋体"/>
      <w:color w:val="000000"/>
      <w:sz w:val="24"/>
      <w:szCs w:val="16"/>
    </w:rPr>
  </w:style>
  <w:style w:type="paragraph" w:styleId="1090">
    <w:name w:val="xl117"/>
    <w:basedOn w:val="982"/>
    <w:next w:val="1090"/>
    <w:link w:val="98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1">
    <w:name w:val="xl109"/>
    <w:basedOn w:val="982"/>
    <w:next w:val="1091"/>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2">
    <w:name w:val="msolistparagraph"/>
    <w:basedOn w:val="982"/>
    <w:next w:val="1092"/>
    <w:link w:val="982"/>
    <w:uiPriority w:val="99"/>
    <w:pPr>
      <w:ind w:firstLine="420"/>
    </w:pPr>
    <w:rPr>
      <w:rFonts w:ascii="Calibri" w:hAnsi="Calibri"/>
      <w:szCs w:val="22"/>
    </w:rPr>
  </w:style>
  <w:style w:type="paragraph" w:styleId="1093">
    <w:name w:val="retrait3"/>
    <w:basedOn w:val="982"/>
    <w:next w:val="1093"/>
    <w:link w:val="982"/>
    <w:uiPriority w:val="99"/>
    <w:pPr>
      <w:ind w:left="851"/>
      <w:jc w:val="left"/>
      <w:spacing w:before="20" w:after="20"/>
      <w:widowControl/>
    </w:pPr>
    <w:rPr>
      <w:rFonts w:ascii="Arial" w:hAnsi="Arial"/>
      <w:sz w:val="24"/>
    </w:rPr>
  </w:style>
  <w:style w:type="paragraph" w:styleId="1094">
    <w:name w:val="xl107"/>
    <w:basedOn w:val="982"/>
    <w:next w:val="1094"/>
    <w:link w:val="982"/>
    <w:pPr>
      <w:jc w:val="left"/>
      <w:spacing w:before="100" w:beforeAutospacing="1" w:after="100" w:afterAutospacing="1"/>
      <w:widowControl/>
    </w:pPr>
    <w:rPr>
      <w:rFonts w:ascii="Arial" w:hAnsi="Arial" w:cs="Arial"/>
      <w:sz w:val="20"/>
    </w:rPr>
  </w:style>
  <w:style w:type="paragraph" w:styleId="1095">
    <w:name w:val="Char Char Char Char"/>
    <w:basedOn w:val="1011"/>
    <w:next w:val="1095"/>
    <w:link w:val="982"/>
    <w:uiPriority w:val="99"/>
    <w:pPr>
      <w:spacing w:line="360" w:lineRule="auto"/>
    </w:pPr>
    <w:rPr>
      <w:rFonts w:ascii="Tahoma" w:hAnsi="Tahoma"/>
      <w:sz w:val="24"/>
      <w:szCs w:val="24"/>
    </w:rPr>
  </w:style>
  <w:style w:type="paragraph" w:styleId="1096">
    <w:name w:val="表格1"/>
    <w:basedOn w:val="982"/>
    <w:next w:val="1096"/>
    <w:link w:val="982"/>
    <w:uiPriority w:val="99"/>
    <w:rPr>
      <w:rFonts w:ascii="宋体"/>
      <w:szCs w:val="21"/>
    </w:rPr>
  </w:style>
  <w:style w:type="paragraph" w:styleId="1097">
    <w:name w:val="丁华标题2"/>
    <w:basedOn w:val="984"/>
    <w:next w:val="1089"/>
    <w:link w:val="982"/>
    <w:uiPriority w:val="99"/>
    <w:pPr>
      <w:numPr>
        <w:ilvl w:val="1"/>
        <w:numId w:val="2"/>
      </w:numPr>
      <w:spacing w:line="415" w:lineRule="auto"/>
      <w:tabs>
        <w:tab w:val="left" w:pos="567" w:leader="none"/>
      </w:tabs>
    </w:pPr>
    <w:rPr>
      <w:rFonts w:ascii="Arial" w:hAnsi="Arial" w:eastAsia="黑体"/>
      <w:b w:val="0"/>
      <w:sz w:val="28"/>
      <w:szCs w:val="20"/>
    </w:rPr>
  </w:style>
  <w:style w:type="paragraph" w:styleId="1098">
    <w:name w:val="段落"/>
    <w:basedOn w:val="982"/>
    <w:next w:val="1098"/>
    <w:link w:val="982"/>
    <w:uiPriority w:val="99"/>
    <w:pPr>
      <w:ind w:firstLine="480"/>
      <w:spacing w:line="460" w:lineRule="exact"/>
    </w:pPr>
    <w:rPr>
      <w:sz w:val="24"/>
    </w:rPr>
  </w:style>
  <w:style w:type="paragraph" w:styleId="1099">
    <w:name w:val="xl111"/>
    <w:basedOn w:val="982"/>
    <w:next w:val="1099"/>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0">
    <w:name w:val="font7"/>
    <w:basedOn w:val="982"/>
    <w:next w:val="1100"/>
    <w:link w:val="982"/>
    <w:pPr>
      <w:jc w:val="left"/>
      <w:spacing w:before="100" w:beforeAutospacing="1" w:after="100" w:afterAutospacing="1"/>
      <w:widowControl/>
    </w:pPr>
    <w:rPr>
      <w:rFonts w:ascii="Arial" w:hAnsi="Arial" w:cs="Arial"/>
      <w:color w:val="000000"/>
      <w:sz w:val="20"/>
    </w:rPr>
  </w:style>
  <w:style w:type="paragraph" w:styleId="1101">
    <w:name w:val="Char Char Char"/>
    <w:basedOn w:val="1011"/>
    <w:next w:val="1101"/>
    <w:link w:val="982"/>
    <w:uiPriority w:val="99"/>
    <w:pPr>
      <w:spacing w:line="436" w:lineRule="exact"/>
    </w:pPr>
    <w:rPr>
      <w:szCs w:val="24"/>
    </w:rPr>
  </w:style>
  <w:style w:type="paragraph" w:styleId="1102">
    <w:name w:val="Char1"/>
    <w:basedOn w:val="982"/>
    <w:next w:val="1102"/>
    <w:link w:val="982"/>
    <w:uiPriority w:val="99"/>
    <w:pPr>
      <w:jc w:val="left"/>
      <w:spacing w:after="160" w:line="240" w:lineRule="exact"/>
      <w:widowControl/>
    </w:pPr>
    <w:rPr>
      <w:rFonts w:ascii="Verdana" w:hAnsi="Verdana" w:eastAsia="仿宋_GB2312"/>
      <w:sz w:val="24"/>
      <w:lang w:eastAsia="en-US"/>
    </w:rPr>
  </w:style>
  <w:style w:type="paragraph" w:styleId="1103">
    <w:name w:val="默认段落字体 Para Char Char Char Char Char Char Char"/>
    <w:basedOn w:val="982"/>
    <w:next w:val="1103"/>
    <w:link w:val="982"/>
    <w:uiPriority w:val="99"/>
  </w:style>
  <w:style w:type="paragraph" w:styleId="1104">
    <w:name w:val="列出段落"/>
    <w:basedOn w:val="982"/>
    <w:next w:val="1104"/>
    <w:link w:val="982"/>
    <w:uiPriority w:val="99"/>
    <w:qFormat/>
    <w:pPr>
      <w:ind w:firstLine="420"/>
    </w:pPr>
    <w:rPr>
      <w:rFonts w:ascii="Calibri" w:hAnsi="Calibri"/>
      <w:szCs w:val="22"/>
    </w:rPr>
  </w:style>
  <w:style w:type="paragraph" w:styleId="1105">
    <w:name w:val="xl112"/>
    <w:basedOn w:val="982"/>
    <w:next w:val="1105"/>
    <w:link w:val="98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6">
    <w:name w:val="xl25"/>
    <w:basedOn w:val="982"/>
    <w:next w:val="1106"/>
    <w:link w:val="982"/>
    <w:uiPriority w:val="99"/>
    <w:pPr>
      <w:jc w:val="center"/>
      <w:spacing w:before="100" w:beforeAutospacing="1" w:after="100" w:afterAutospacing="1"/>
      <w:widowControl/>
      <w:pBdr>
        <w:right w:val="single" w:color="000000" w:sz="4" w:space="0"/>
      </w:pBdr>
    </w:pPr>
    <w:rPr>
      <w:szCs w:val="21"/>
    </w:rPr>
  </w:style>
  <w:style w:type="paragraph" w:styleId="1107">
    <w:name w:val="无间隔"/>
    <w:next w:val="1107"/>
    <w:link w:val="982"/>
    <w:uiPriority w:val="1"/>
    <w:qFormat/>
    <w:pPr>
      <w:jc w:val="both"/>
      <w:widowControl w:val="off"/>
    </w:pPr>
    <w:rPr>
      <w:sz w:val="21"/>
      <w:lang w:val="en-US" w:eastAsia="zh-CN" w:bidi="ar-SA"/>
    </w:rPr>
  </w:style>
  <w:style w:type="paragraph" w:styleId="1108">
    <w:name w:val="xl108"/>
    <w:basedOn w:val="982"/>
    <w:next w:val="1108"/>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9">
    <w:name w:val="列出段落1"/>
    <w:basedOn w:val="982"/>
    <w:next w:val="1109"/>
    <w:link w:val="982"/>
    <w:uiPriority w:val="99"/>
    <w:pPr>
      <w:contextualSpacing/>
      <w:ind w:left="720"/>
      <w:jc w:val="left"/>
      <w:widowControl/>
    </w:pPr>
    <w:rPr>
      <w:rFonts w:ascii="Arial" w:hAnsi="Arial" w:eastAsia="黑体"/>
      <w:sz w:val="24"/>
      <w:szCs w:val="24"/>
      <w:lang w:eastAsia="en-US"/>
    </w:rPr>
  </w:style>
  <w:style w:type="paragraph" w:styleId="1110">
    <w:name w:val="p0"/>
    <w:basedOn w:val="982"/>
    <w:next w:val="1110"/>
    <w:link w:val="982"/>
    <w:uiPriority w:val="99"/>
    <w:pPr>
      <w:widowControl/>
    </w:pPr>
    <w:rPr>
      <w:szCs w:val="21"/>
    </w:rPr>
  </w:style>
  <w:style w:type="paragraph" w:styleId="1111">
    <w:name w:val="xl115"/>
    <w:basedOn w:val="982"/>
    <w:next w:val="1111"/>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12">
    <w:name w:val="xl116"/>
    <w:basedOn w:val="982"/>
    <w:next w:val="1112"/>
    <w:link w:val="982"/>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3">
    <w:name w:val="模板正文"/>
    <w:basedOn w:val="982"/>
    <w:next w:val="1113"/>
    <w:link w:val="982"/>
    <w:qFormat/>
    <w:pPr>
      <w:ind w:firstLine="200"/>
      <w:spacing w:before="120" w:line="360" w:lineRule="auto"/>
    </w:pPr>
    <w:rPr>
      <w:rFonts w:eastAsia="仿宋_GB2312"/>
      <w:sz w:val="24"/>
      <w:szCs w:val="21"/>
    </w:rPr>
  </w:style>
  <w:style w:type="paragraph" w:styleId="1114">
    <w:name w:val="Item Step in Table"/>
    <w:next w:val="1114"/>
    <w:link w:val="982"/>
    <w:uiPriority w:val="99"/>
    <w:pPr>
      <w:numPr>
        <w:ilvl w:val="0"/>
        <w:numId w:val="3"/>
      </w:numPr>
      <w:jc w:val="both"/>
      <w:spacing w:before="40" w:after="40"/>
      <w:tabs>
        <w:tab w:val="left" w:pos="397" w:leader="none"/>
      </w:tabs>
    </w:pPr>
    <w:rPr>
      <w:rFonts w:ascii="Arial" w:hAnsi="Arial" w:cs="Arial"/>
      <w:sz w:val="18"/>
      <w:szCs w:val="18"/>
      <w:lang w:val="en-US" w:eastAsia="zh-CN" w:bidi="ar-SA"/>
    </w:rPr>
  </w:style>
  <w:style w:type="paragraph" w:styleId="1115">
    <w:name w:val="丁华标题3"/>
    <w:basedOn w:val="1097"/>
    <w:next w:val="1089"/>
    <w:link w:val="982"/>
    <w:uiPriority w:val="99"/>
    <w:pPr>
      <w:numPr>
        <w:ilvl w:val="1"/>
        <w:numId w:val="0"/>
      </w:numPr>
      <w:ind w:left="1980" w:hanging="420"/>
      <w:spacing w:after="0"/>
      <w:tabs>
        <w:tab w:val="left" w:pos="1470" w:leader="none"/>
        <w:tab w:val="left" w:pos="1980" w:leader="none"/>
      </w:tabs>
      <w:outlineLvl w:val="2"/>
    </w:pPr>
    <w:rPr>
      <w:sz w:val="24"/>
    </w:rPr>
  </w:style>
  <w:style w:type="paragraph" w:styleId="1116">
    <w:name w:val="丁华标题1"/>
    <w:basedOn w:val="983"/>
    <w:next w:val="1089"/>
    <w:link w:val="982"/>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17">
    <w:name w:val="Char Char Char Char Char Char Char Char Char Char Char1 Char Char Char1"/>
    <w:basedOn w:val="982"/>
    <w:next w:val="1117"/>
    <w:link w:val="982"/>
    <w:uiPriority w:val="99"/>
    <w:semiHidden/>
    <w:pPr>
      <w:ind w:firstLine="200"/>
      <w:jc w:val="left"/>
    </w:pPr>
    <w:rPr>
      <w:rFonts w:ascii="Tahoma" w:hAnsi="Tahoma"/>
      <w:sz w:val="24"/>
      <w:szCs w:val="24"/>
    </w:rPr>
  </w:style>
  <w:style w:type="paragraph" w:styleId="1118">
    <w:name w:val="xl114"/>
    <w:basedOn w:val="982"/>
    <w:next w:val="1118"/>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9">
    <w:name w:val="论文正文"/>
    <w:basedOn w:val="1030"/>
    <w:next w:val="1119"/>
    <w:link w:val="982"/>
    <w:uiPriority w:val="99"/>
    <w:pPr>
      <w:ind w:left="0" w:firstLine="200"/>
      <w:jc w:val="left"/>
      <w:spacing w:line="360" w:lineRule="auto"/>
    </w:pPr>
    <w:rPr>
      <w:rFonts w:ascii="Times New Roman" w:hAnsi="Times New Roman"/>
      <w:sz w:val="28"/>
      <w:szCs w:val="24"/>
    </w:rPr>
  </w:style>
  <w:style w:type="paragraph" w:styleId="1120">
    <w:name w:val="Char Char Char Char Char Char Char Char Char Char Char Char Char"/>
    <w:basedOn w:val="1011"/>
    <w:next w:val="1120"/>
    <w:link w:val="982"/>
    <w:uiPriority w:val="99"/>
    <w:rPr>
      <w:rFonts w:ascii="Tahoma" w:hAnsi="Tahoma"/>
      <w:sz w:val="24"/>
      <w:szCs w:val="24"/>
    </w:rPr>
  </w:style>
  <w:style w:type="paragraph" w:styleId="1121">
    <w:name w:val="样式"/>
    <w:basedOn w:val="982"/>
    <w:next w:val="995"/>
    <w:link w:val="982"/>
    <w:uiPriority w:val="99"/>
    <w:rPr>
      <w:rFonts w:ascii="楷体_GB2312" w:hAnsi="Arial" w:eastAsia="楷体_GB2312"/>
      <w:sz w:val="28"/>
    </w:rPr>
  </w:style>
  <w:style w:type="paragraph" w:styleId="1122">
    <w:name w:val="List Paragraph1"/>
    <w:basedOn w:val="982"/>
    <w:next w:val="1122"/>
    <w:link w:val="982"/>
    <w:uiPriority w:val="99"/>
    <w:pPr>
      <w:ind w:firstLine="420"/>
    </w:pPr>
    <w:rPr>
      <w:szCs w:val="24"/>
    </w:rPr>
  </w:style>
  <w:style w:type="paragraph" w:styleId="1123">
    <w:name w:val="xl110"/>
    <w:basedOn w:val="982"/>
    <w:next w:val="1123"/>
    <w:link w:val="98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4">
    <w:name w:val="Bullets L1"/>
    <w:basedOn w:val="982"/>
    <w:next w:val="1124"/>
    <w:link w:val="982"/>
    <w:uiPriority w:val="99"/>
    <w:pPr>
      <w:numPr>
        <w:ilvl w:val="0"/>
        <w:numId w:val="4"/>
      </w:numPr>
      <w:jc w:val="left"/>
      <w:spacing w:before="60" w:after="60"/>
      <w:widowControl/>
      <w:tabs>
        <w:tab w:val="left" w:pos="360" w:leader="none"/>
      </w:tabs>
    </w:pPr>
    <w:rPr>
      <w:rFonts w:ascii="Arial" w:hAnsi="Arial"/>
      <w:sz w:val="20"/>
    </w:rPr>
  </w:style>
  <w:style w:type="paragraph" w:styleId="1125">
    <w:name w:val="列出段落2"/>
    <w:basedOn w:val="982"/>
    <w:next w:val="1125"/>
    <w:link w:val="982"/>
    <w:uiPriority w:val="34"/>
    <w:qFormat/>
    <w:pPr>
      <w:ind w:firstLine="420"/>
    </w:pPr>
  </w:style>
  <w:style w:type="paragraph" w:styleId="1126">
    <w:name w:val="标题6"/>
    <w:basedOn w:val="987"/>
    <w:next w:val="1126"/>
    <w:link w:val="982"/>
    <w:uiPriority w:val="99"/>
    <w:pPr>
      <w:numPr>
        <w:ilvl w:val="0"/>
        <w:numId w:val="5"/>
      </w:numPr>
      <w:keepLines/>
      <w:tabs>
        <w:tab w:val="left" w:pos="420" w:leader="none"/>
      </w:tabs>
    </w:pPr>
    <w:rPr>
      <w:rFonts w:ascii="Times New Roman"/>
      <w:b w:val="0"/>
      <w:bCs/>
      <w:color w:val="000000"/>
      <w:sz w:val="24"/>
      <w:szCs w:val="28"/>
    </w:rPr>
  </w:style>
  <w:style w:type="paragraph" w:styleId="1127">
    <w:name w:val="TOC 标题"/>
    <w:basedOn w:val="983"/>
    <w:next w:val="982"/>
    <w:link w:val="982"/>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28">
    <w:name w:val="List Paragraph"/>
    <w:basedOn w:val="982"/>
    <w:next w:val="1128"/>
    <w:link w:val="982"/>
    <w:uiPriority w:val="34"/>
    <w:qFormat/>
    <w:pPr>
      <w:ind w:firstLine="420"/>
    </w:pPr>
  </w:style>
  <w:style w:type="paragraph" w:styleId="1129">
    <w:name w:val="font5"/>
    <w:basedOn w:val="982"/>
    <w:next w:val="1129"/>
    <w:link w:val="982"/>
    <w:pPr>
      <w:jc w:val="left"/>
      <w:spacing w:before="100" w:beforeAutospacing="1" w:after="100" w:afterAutospacing="1"/>
      <w:widowControl/>
    </w:pPr>
    <w:rPr>
      <w:rFonts w:ascii="宋体" w:hAnsi="宋体" w:cs="宋体"/>
      <w:sz w:val="18"/>
      <w:szCs w:val="18"/>
    </w:rPr>
  </w:style>
  <w:style w:type="paragraph" w:styleId="1130">
    <w:name w:val="普通正文"/>
    <w:basedOn w:val="982"/>
    <w:next w:val="1130"/>
    <w:link w:val="982"/>
    <w:pPr>
      <w:ind w:firstLine="480"/>
      <w:jc w:val="left"/>
      <w:spacing w:before="120" w:after="120" w:line="360" w:lineRule="auto"/>
    </w:pPr>
    <w:rPr>
      <w:rFonts w:ascii="Arial" w:hAnsi="Arial" w:cs="Arial"/>
      <w:sz w:val="24"/>
      <w:szCs w:val="24"/>
    </w:rPr>
  </w:style>
  <w:style w:type="paragraph" w:styleId="1131">
    <w:name w:val="列出段落3"/>
    <w:basedOn w:val="982"/>
    <w:next w:val="1131"/>
    <w:link w:val="982"/>
    <w:uiPriority w:val="34"/>
    <w:qFormat/>
    <w:pPr>
      <w:ind w:firstLine="420"/>
    </w:pPr>
  </w:style>
  <w:style w:type="paragraph" w:styleId="1132">
    <w:name w:val="样式 标题 2 + Times New Roman 四号 非加粗 段前: 5 磅 段后: 0 磅 行距: 固定值 20..."/>
    <w:basedOn w:val="984"/>
    <w:next w:val="1132"/>
    <w:link w:val="982"/>
    <w:uiPriority w:val="99"/>
    <w:qFormat/>
    <w:pPr>
      <w:spacing w:before="100" w:after="0" w:line="400" w:lineRule="exact"/>
    </w:pPr>
    <w:rPr>
      <w:rFonts w:ascii="Times New Roman" w:hAnsi="Times New Roman"/>
      <w:b w:val="0"/>
      <w:bCs w:val="0"/>
      <w:sz w:val="28"/>
      <w:szCs w:val="20"/>
    </w:rPr>
  </w:style>
  <w:style w:type="paragraph" w:styleId="1133">
    <w:name w:val="Blockquote"/>
    <w:basedOn w:val="982"/>
    <w:next w:val="1133"/>
    <w:link w:val="982"/>
    <w:uiPriority w:val="99"/>
    <w:qFormat/>
    <w:pPr>
      <w:ind w:left="360" w:right="360"/>
      <w:jc w:val="left"/>
      <w:spacing w:before="100" w:after="100"/>
    </w:pPr>
    <w:rPr>
      <w:sz w:val="24"/>
    </w:rPr>
  </w:style>
  <w:style w:type="paragraph" w:styleId="1134">
    <w:name w:val="段"/>
    <w:next w:val="1134"/>
    <w:link w:val="982"/>
    <w:qFormat/>
    <w:pPr>
      <w:ind w:firstLine="200"/>
      <w:jc w:val="both"/>
    </w:pPr>
    <w:rPr>
      <w:rFonts w:ascii="宋体"/>
      <w:sz w:val="21"/>
      <w:lang w:val="en-US" w:eastAsia="zh-CN" w:bidi="ar-SA"/>
    </w:rPr>
  </w:style>
  <w:style w:type="paragraph" w:styleId="1135">
    <w:name w:val="正文_5"/>
    <w:next w:val="1135"/>
    <w:link w:val="982"/>
    <w:uiPriority w:val="99"/>
    <w:qFormat/>
    <w:pPr>
      <w:jc w:val="both"/>
      <w:widowControl w:val="off"/>
    </w:pPr>
    <w:rPr>
      <w:sz w:val="21"/>
      <w:szCs w:val="24"/>
      <w:lang w:val="en-US" w:eastAsia="zh-CN" w:bidi="ar-SA"/>
    </w:rPr>
  </w:style>
  <w:style w:type="paragraph" w:styleId="1136">
    <w:name w:val="索引 41"/>
    <w:basedOn w:val="982"/>
    <w:next w:val="982"/>
    <w:link w:val="982"/>
    <w:unhideWhenUsed/>
    <w:qFormat/>
    <w:pPr>
      <w:ind w:left="600"/>
    </w:pPr>
    <w:rPr>
      <w:rFonts w:ascii="Verdana" w:hAnsi="Verdana" w:eastAsia="微软雅黑" w:cs="Times New Roman"/>
      <w:szCs w:val="20"/>
    </w:rPr>
  </w:style>
  <w:style w:type="paragraph" w:styleId="1137">
    <w:name w:val="标题一级"/>
    <w:basedOn w:val="982"/>
    <w:next w:val="1137"/>
    <w:link w:val="982"/>
    <w:qFormat/>
    <w:pPr>
      <w:ind w:left="422"/>
    </w:pPr>
    <w:rPr>
      <w:rFonts w:ascii="宋体" w:hAnsi="宋体"/>
      <w:b/>
      <w:szCs w:val="21"/>
    </w:rPr>
  </w:style>
  <w:style w:type="paragraph" w:styleId="1138">
    <w:name w:val="批注文字12"/>
    <w:basedOn w:val="982"/>
    <w:next w:val="1138"/>
    <w:link w:val="982"/>
    <w:qFormat/>
    <w:pPr>
      <w:jc w:val="left"/>
    </w:pPr>
  </w:style>
  <w:style w:type="table" w:styleId="1139">
    <w:name w:val="table"/>
    <w:basedOn w:val="993"/>
    <w:next w:val="1139"/>
    <w:link w:val="982"/>
    <w:qFormat/>
    <w:tblPr/>
  </w:style>
  <w:style w:type="table" w:styleId="1140">
    <w:name w:val="网格型2"/>
    <w:basedOn w:val="993"/>
    <w:next w:val="1140"/>
    <w:link w:val="982"/>
    <w:uiPriority w:val="59"/>
    <w:qFormat/>
    <w:tblPr/>
  </w:style>
  <w:style w:type="character" w:styleId="1141" w:default="1">
    <w:name w:val="Default Paragraph Font"/>
    <w:uiPriority w:val="1"/>
    <w:semiHidden/>
    <w:unhideWhenUsed/>
  </w:style>
  <w:style w:type="numbering" w:styleId="1142" w:default="1">
    <w:name w:val="No List"/>
    <w:uiPriority w:val="99"/>
    <w:semiHidden/>
    <w:unhideWhenUsed/>
  </w:style>
  <w:style w:type="table" w:styleId="1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吴岢非</cp:lastModifiedBy>
  <cp:revision>5</cp:revision>
  <dcterms:created xsi:type="dcterms:W3CDTF">2026-10-28T01:23:00Z</dcterms:created>
  <dcterms:modified xsi:type="dcterms:W3CDTF">2026-10-28T08:31:59Z</dcterms:modified>
</cp:coreProperties>
</file>