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苏州工业园区政府采购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采购文件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采购编号：JSZC-320591-PMJS-G2026-0030 </w:t>
      </w:r>
      <w:r/>
    </w:p>
    <w:p>
      <w:pPr>
        <w:ind w:left="2566" w:right="0" w:hanging="160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采购名称：阳澄湖半岛治安联防队社区监控维护</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采购人：苏州工业园区唯亭街道办事处</w:t>
      </w:r>
      <w:r/>
    </w:p>
    <w:p>
      <w:pPr>
        <w:ind w:left="0" w:right="0" w:firstLine="9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采购类别：服务类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562100" cy="12001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373071" name=""/>
                        <pic:cNvPicPr>
                          <a:picLocks noChangeAspect="1"/>
                        </pic:cNvPicPr>
                        <pic:nvPr/>
                      </pic:nvPicPr>
                      <pic:blipFill>
                        <a:blip/>
                        <a:stretch/>
                      </pic:blipFill>
                      <pic:spPr bwMode="auto">
                        <a:xfrm>
                          <a:off x="0" y="0"/>
                          <a:ext cx="1562099" cy="120015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3.0pt;height:94.5pt;mso-wrap-distance-left:0.0pt;mso-wrap-distance-top:0.0pt;mso-wrap-distance-right:0.0pt;mso-wrap-distance-bottom:0.0pt;" stroked="false">
                <v:path textboxrect="0,0,0,0"/>
              </v:shape>
            </w:pict>
          </mc:Fallback>
        </mc:AlternateContent>
      </w: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
      <w:r/>
      <w:r/>
      <w:r>
        <w:rPr>
          <w:sz w:val="24"/>
        </w:rPr>
      </w:r>
      <w:r>
        <w:rPr>
          <w:rFonts w:ascii="SimSun" w:hAnsi="SimSun" w:eastAsia="SimSun" w:cs="SimSun"/>
          <w:color w:val="000000"/>
          <w:sz w:val="24"/>
        </w:rPr>
        <w:t xml:space="preserve"> </w:t>
      </w:r>
      <w:r/>
      <w:r>
        <w:rPr>
          <w:sz w:val="24"/>
        </w:rP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江苏京苏项目管理咨询有限公司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2026年10月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目录</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30543" w:history="1">
        <w:r>
          <w:rPr>
            <w:rStyle w:val="869"/>
            <w:rFonts w:ascii="SimHei" w:hAnsi="SimHei" w:eastAsia="SimHei" w:cs="SimHei"/>
            <w:color w:val="0000ee"/>
            <w:sz w:val="28"/>
            <w:u w:val="single"/>
          </w:rPr>
          <w:t xml:space="preserve">前附表</w:t>
        </w:r>
        <w:r>
          <w:rPr>
            <w:rStyle w:val="869"/>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3103" w:history="1">
        <w:r>
          <w:rPr>
            <w:rStyle w:val="869"/>
            <w:rFonts w:ascii="SimHei" w:hAnsi="SimHei" w:eastAsia="SimHei" w:cs="SimHei"/>
            <w:color w:val="0000ee"/>
            <w:sz w:val="28"/>
            <w:u w:val="single"/>
          </w:rPr>
          <w:t xml:space="preserve">招标公告</w:t>
        </w:r>
        <w:r>
          <w:rPr>
            <w:rStyle w:val="869"/>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13879" w:history="1">
        <w:r>
          <w:rPr>
            <w:rStyle w:val="869"/>
            <w:rFonts w:ascii="SimHei" w:hAnsi="SimHei" w:eastAsia="SimHei" w:cs="SimHei"/>
            <w:color w:val="0000ee"/>
            <w:sz w:val="28"/>
            <w:u w:val="single"/>
          </w:rPr>
          <w:t xml:space="preserve">第一章</w:t>
        </w:r>
        <w:r>
          <w:rPr>
            <w:rStyle w:val="869"/>
            <w:rFonts w:ascii="SimHei" w:hAnsi="SimHei" w:eastAsia="SimHei" w:cs="SimHei"/>
            <w:color w:val="0000ee"/>
            <w:sz w:val="28"/>
            <w:u w:val="none"/>
          </w:rPr>
          <w:t xml:space="preserve">  </w:t>
        </w:r>
        <w:r>
          <w:rPr>
            <w:rStyle w:val="869"/>
            <w:rFonts w:ascii="SimHei" w:hAnsi="SimHei" w:eastAsia="SimHei" w:cs="SimHei"/>
            <w:color w:val="0000ee"/>
            <w:sz w:val="28"/>
            <w:u w:val="single"/>
          </w:rPr>
          <w:t xml:space="preserve">投标邀请函</w:t>
        </w:r>
        <w:r>
          <w:rPr>
            <w:rStyle w:val="869"/>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9316" w:history="1">
        <w:r>
          <w:rPr>
            <w:rStyle w:val="869"/>
            <w:rFonts w:ascii="SimHei" w:hAnsi="SimHei" w:eastAsia="SimHei" w:cs="SimHei"/>
            <w:color w:val="0000ee"/>
            <w:sz w:val="28"/>
            <w:u w:val="single"/>
          </w:rPr>
          <w:t xml:space="preserve">第二章</w:t>
        </w:r>
        <w:r>
          <w:rPr>
            <w:rStyle w:val="869"/>
            <w:rFonts w:ascii="SimHei" w:hAnsi="SimHei" w:eastAsia="SimHei" w:cs="SimHei"/>
            <w:color w:val="0000ee"/>
            <w:sz w:val="28"/>
            <w:u w:val="none"/>
          </w:rPr>
          <w:t xml:space="preserve">  </w:t>
        </w:r>
        <w:r>
          <w:rPr>
            <w:rStyle w:val="869"/>
            <w:rFonts w:ascii="SimHei" w:hAnsi="SimHei" w:eastAsia="SimHei" w:cs="SimHei"/>
            <w:color w:val="0000ee"/>
            <w:sz w:val="28"/>
            <w:u w:val="single"/>
          </w:rPr>
          <w:t xml:space="preserve">投标人须知</w:t>
        </w:r>
        <w:r>
          <w:rPr>
            <w:rStyle w:val="869"/>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25170" w:history="1">
        <w:r>
          <w:rPr>
            <w:rStyle w:val="869"/>
            <w:rFonts w:ascii="SimHei" w:hAnsi="SimHei" w:eastAsia="SimHei" w:cs="SimHei"/>
            <w:color w:val="0000ee"/>
            <w:sz w:val="28"/>
            <w:u w:val="single"/>
          </w:rPr>
          <w:t xml:space="preserve">第三章</w:t>
        </w:r>
        <w:r>
          <w:rPr>
            <w:rStyle w:val="869"/>
            <w:rFonts w:ascii="SimHei" w:hAnsi="SimHei" w:eastAsia="SimHei" w:cs="SimHei"/>
            <w:color w:val="0000ee"/>
            <w:sz w:val="28"/>
            <w:u w:val="none"/>
          </w:rPr>
          <w:t xml:space="preserve">  </w:t>
        </w:r>
        <w:r>
          <w:rPr>
            <w:rStyle w:val="869"/>
            <w:rFonts w:ascii="SimHei" w:hAnsi="SimHei" w:eastAsia="SimHei" w:cs="SimHei"/>
            <w:color w:val="0000ee"/>
            <w:sz w:val="28"/>
            <w:u w:val="single"/>
          </w:rPr>
          <w:t xml:space="preserve">投标文件格式</w:t>
        </w:r>
        <w:r>
          <w:rPr>
            <w:rStyle w:val="869"/>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8987" w:history="1">
        <w:r>
          <w:rPr>
            <w:rStyle w:val="869"/>
            <w:rFonts w:ascii="SimHei" w:hAnsi="SimHei" w:eastAsia="SimHei" w:cs="SimHei"/>
            <w:color w:val="0000ee"/>
            <w:sz w:val="28"/>
            <w:u w:val="single"/>
          </w:rPr>
          <w:t xml:space="preserve">第四章</w:t>
        </w:r>
        <w:r>
          <w:rPr>
            <w:rStyle w:val="869"/>
            <w:rFonts w:ascii="SimHei" w:hAnsi="SimHei" w:eastAsia="SimHei" w:cs="SimHei"/>
            <w:color w:val="0000ee"/>
            <w:sz w:val="28"/>
            <w:u w:val="none"/>
          </w:rPr>
          <w:t xml:space="preserve"> </w:t>
        </w:r>
        <w:r>
          <w:rPr>
            <w:rStyle w:val="869"/>
            <w:rFonts w:ascii="SimHei" w:hAnsi="SimHei" w:eastAsia="SimHei" w:cs="SimHei"/>
            <w:color w:val="0000ee"/>
            <w:sz w:val="28"/>
            <w:u w:val="single"/>
          </w:rPr>
          <w:t xml:space="preserve">招标书</w:t>
        </w:r>
        <w:r>
          <w:rPr>
            <w:rStyle w:val="869"/>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19" w:tooltip="https://jszfcg.jsczt.cn/jszc/onlyoffice/7.2.1-34/web-apps/apps/documenteditor/main/index_loader.html?_dc=7.2.1-34&amp;lang=zh&amp;customer=%20&amp;logo=%20&amp;headerlogo=%2Ffavicon.ico&amp;frameEditorId=iframePage&amp;compact=true&amp;parentOrigin=https://jszfcg.jsczt.cn#_Toc30006" w:history="1">
        <w:r>
          <w:rPr>
            <w:rStyle w:val="869"/>
            <w:rFonts w:ascii="SimHei" w:hAnsi="SimHei" w:eastAsia="SimHei" w:cs="SimHei"/>
            <w:color w:val="0000ee"/>
            <w:sz w:val="28"/>
            <w:u w:val="single"/>
          </w:rPr>
          <w:t xml:space="preserve">第五章</w:t>
        </w:r>
        <w:r>
          <w:rPr>
            <w:rStyle w:val="869"/>
            <w:rFonts w:ascii="SimHei" w:hAnsi="SimHei" w:eastAsia="SimHei" w:cs="SimHei"/>
            <w:color w:val="0000ee"/>
            <w:sz w:val="28"/>
            <w:u w:val="none"/>
          </w:rPr>
          <w:t xml:space="preserve"> </w:t>
        </w:r>
        <w:r>
          <w:rPr>
            <w:rStyle w:val="869"/>
            <w:rFonts w:ascii="SimHei" w:hAnsi="SimHei" w:eastAsia="SimHei" w:cs="SimHei"/>
            <w:color w:val="0000ee"/>
            <w:sz w:val="28"/>
            <w:u w:val="single"/>
          </w:rPr>
          <w:t xml:space="preserve">合同主要条款</w:t>
        </w:r>
        <w:r>
          <w:rPr>
            <w:rStyle w:val="869"/>
            <w:rFonts w:ascii="Times New Roman" w:hAnsi="Times New Roman" w:eastAsia="Times New Roman" w:cs="Times New Roman"/>
            <w:color w:val="0000ee"/>
            <w:sz w:val="28"/>
            <w:u w:val="single"/>
          </w:rPr>
          <w:tab/>
        </w:r>
      </w:hyperlink>
      <w:r/>
      <w:r/>
    </w:p>
    <w:p>
      <w:pPr>
        <w:ind w:left="0" w:right="0" w:firstLine="0"/>
        <w:spacing w:before="0" w:after="0" w:line="85" w:lineRule="atLeast"/>
        <w:tabs>
          <w:tab w:val="left" w:pos="9072" w:leader="none"/>
        </w:tabs>
        <w:pBdr>
          <w:top w:val="none" w:color="000000" w:sz="4" w:space="0"/>
          <w:left w:val="none" w:color="000000" w:sz="4" w:space="0"/>
          <w:bottom w:val="none" w:color="000000" w:sz="4" w:space="0"/>
          <w:right w:val="none" w:color="000000" w:sz="4" w:space="0"/>
        </w:pBdr>
      </w:pPr>
      <w:r/>
      <w:hyperlink r:id="rId20" w:tooltip="https://jszfcg.jsczt.cn/jszc/onlyoffice/7.2.1-34/web-apps/apps/documenteditor/main/index_loader.html?_dc=7.2.1-34&amp;lang=zh&amp;customer=%20&amp;logo=%20&amp;headerlogo=%2Ffavicon.ico&amp;frameEditorId=iframePage&amp;compact=true&amp;parentOrigin=https://jszfcg.jsczt.cn#_Toc29939" w:history="1">
        <w:r>
          <w:rPr>
            <w:rStyle w:val="869"/>
            <w:rFonts w:ascii="SimHei" w:hAnsi="SimHei" w:eastAsia="SimHei" w:cs="SimHei"/>
            <w:color w:val="0000ee"/>
            <w:sz w:val="28"/>
            <w:u w:val="single"/>
          </w:rPr>
          <w:t xml:space="preserve">第六章</w:t>
        </w:r>
        <w:r>
          <w:rPr>
            <w:rStyle w:val="869"/>
            <w:rFonts w:ascii="SimHei" w:hAnsi="SimHei" w:eastAsia="SimHei" w:cs="SimHei"/>
            <w:color w:val="0000ee"/>
            <w:sz w:val="28"/>
            <w:u w:val="none"/>
          </w:rPr>
          <w:t xml:space="preserve"> </w:t>
        </w:r>
        <w:r>
          <w:rPr>
            <w:rStyle w:val="869"/>
            <w:rFonts w:ascii="SimHei" w:hAnsi="SimHei" w:eastAsia="SimHei" w:cs="SimHei"/>
            <w:color w:val="0000ee"/>
            <w:sz w:val="28"/>
            <w:u w:val="single"/>
          </w:rPr>
          <w:t xml:space="preserve">评分标准</w:t>
        </w:r>
        <w:r>
          <w:rPr>
            <w:rStyle w:val="869"/>
            <w:rFonts w:ascii="Times New Roman" w:hAnsi="Times New Roman" w:eastAsia="Times New Roman" w:cs="Times New Roman"/>
            <w:color w:val="0000ee"/>
            <w:sz w:val="28"/>
            <w:u w:val="single"/>
          </w:rPr>
          <w:tab/>
          <w:t xml:space="preserve">7</w:t>
        </w:r>
      </w:hyperlink>
      <w:r>
        <w:rPr>
          <w:rFonts w:ascii="Times New Roman" w:hAnsi="Times New Roman" w:eastAsia="Times New Roman" w:cs="Times New Roman"/>
          <w:color w:val="000000"/>
          <w:sz w:val="28"/>
        </w:rPr>
        <w:t xml:space="preserve">0</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前附表</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51"/>
        <w:gridCol w:w="8221"/>
      </w:tblGrid>
      <w:tr>
        <w:trPr>
          <w:trHeight w:val="52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内容规定</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采购内容：阳澄湖半岛治安联防队社区监控维护</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标段数：1个标段</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采购内容：见第四章采购需求</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投标有效期：90日历天</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投标保证金：不提交，本项目招标文件内关于投标保证金的相关规定均不适用。</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签订合同：中标通知书发出之日起30日内</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不组织。因采购项目种类较为复杂，为达到准确报价要求，投标报价前请投标单位自行做好现场踏勘工作（可自行联系采购方现场人员踏勘现场）。开标后，投标单位不得以不了解现场情况为由提出费用调整。</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投标文件：应使用“苏采云”系统制作并提交电子版投标文件，未按要求线上递交电子投标文件将被拒收。供应商中标后须提供4套投标文件。</w:t>
            </w:r>
            <w:r/>
          </w:p>
        </w:tc>
      </w:tr>
      <w:tr>
        <w:trPr>
          <w:trHeight w:val="4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履约保证金：本项目无需缴纳履约保证金，涉及的相关条款均不适用。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电子投标文件上传截止时间：2026年11月17日09:30（北京时间）</w:t>
            </w:r>
            <w:r/>
          </w:p>
          <w:p>
            <w:pPr>
              <w:ind w:left="0" w:right="0" w:firstLine="0"/>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上传地点：苏采云政府采购一体化平台</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本项目为不见面开标项目，开标阶段供应商在【供应商解密】环节必须使用 CA 证书解密电子投标文件，如在系统规定的解密时间内未能完成解密的，视为放弃投标（响应）。</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询问：获取招标文件成功的投标供应商在下载招标文件后，若对招标文件有疑问，可通过邮件（1214506206@qq.com）进行询问。采购代理机构通过邮件予以解答，询问人自行在邮件中查看解答信息。</w:t>
            </w:r>
            <w:r/>
          </w:p>
        </w:tc>
      </w:tr>
      <w:tr>
        <w:trPr>
          <w:trHeight w:val="9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认为招标文件、采购过程、中标结果使自己的权益受到损害的，可以在知道或者应知其权益受到损害之日起7个工作日内，以书面形式向采购人提出质疑。投标人须在法定质疑期内一次性提出针对同一采购程序环节的质疑。投标人若质疑，应符合《政府采购质疑和投诉办法》（中华人民共和国财政部令第94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未依照采购公告要求依法获取招标文件的投标人，视为未参加该项政府采购活动，不具备对该政府采购项目提出质疑的法定权利。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接受质疑函的方式：当场送达或邮寄。</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代理服务费收费标准：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 100 万元以下部分，费率为该部分预算金额的 1.5%；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 100 万元（含）－ 500 万元部分，费率为该部分预算金额的 1.1%；</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代理服务费以采购预算金额为基数依据，按以上规定的标准和差额定率累进法进行计算收取。例：如预算金额为150万元，则代理服务费＝100万元×1.5%＋（150万元－100万元）×1.1%。如按上述方法计算的金额低于人民币 3000 元整，则本项目代理服务费按人民币 3000 元整计收。该费用由中标单位在领取中标通知书时一次性付清。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本项目招标代理费金额：37857.00元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中标原则：采用综合评分法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评标办法：详见第六章。</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招标公告</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阳澄湖半岛治安联防队社区监控维护项目的潜在投标人应在“苏采云政府采购一体化平台”网站自行免费下载招标文件，并于2026年11月17日09点30分（北京时间）前提交投标文件。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一、项目基本情况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采购编号：JSZC-320591-PMJS-G2026-0030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采购内容：阳澄湖半岛治安联防队社区监控维护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预算金额：307.7925万元（含代理费）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ind w:left="0" w:right="0" w:firstLine="46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（一）</w:t>
      </w:r>
      <w:r>
        <w:rPr>
          <w:rFonts w:ascii="SimSun" w:hAnsi="SimSun" w:eastAsia="SimSun" w:cs="SimSun"/>
          <w:b/>
          <w:color w:val="000000"/>
          <w:sz w:val="24"/>
        </w:rPr>
        <w:t xml:space="preserve">项目概述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对唯亭街道东区社区监控系统进行维保，包括模拟监控点、高清监控点、机房设备、存储设备、社区监控室屏幕墙显示器等。主要包括唯亭街道东区东亭、夏亭、亭南、怡邻花园一区、怡邻花园二区、怡邻花园四区、怡邻花园五区、唯锦苑小区及地下车库、青苑一区、青苑二区、青苑三区、青苑四区、青苑五区、青苑六区、畅苑一区、畅苑二区、畅苑三区、畅苑四区、青灯新村、青灯北八、青灯北九、亭苑A区、亭苑B区、悬珠东区、悬珠西区、青苑新六区、亭苑及新镇地下车库、阳澄人家东区、阳澄人家西区、厦亭家园电动车棚、亭苑社区电动车棚、青苑新二区、唯</w:t>
      </w:r>
      <w:r>
        <w:rPr>
          <w:rFonts w:ascii="SimSun" w:hAnsi="SimSun" w:eastAsia="SimSun" w:cs="SimSun"/>
          <w:color w:val="000000"/>
          <w:sz w:val="24"/>
        </w:rPr>
        <w:t xml:space="preserve">亭苑、施家浜社区等，约5553个监控点位，涉及高清、模拟监控系统、小区出入口人像及车辆抓拍系统维保；2027年1月份起增加唯亭街道东区电动车棚监控维护，包括13个社区共计1924个监控点位进行维保。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合同履行期限：一年，具体以合同签订时间为准</w:t>
      </w:r>
      <w:r>
        <w:rPr>
          <w:rFonts w:ascii="Segoe UI" w:hAnsi="Segoe UI" w:eastAsia="Segoe UI" w:cs="Segoe UI"/>
          <w:color w:val="000000"/>
          <w:sz w:val="24"/>
          <w:highlight w:val="white"/>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本项目（是/否）接受联合体投标：否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3.本项目的特定资格要求：无。</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（1）根据政府采购法及相关法规，招标代理人将对供应商进行信用查询。对列入失信被执行人、重大税收违法案件当事人名单、政府采购严重违法失信行为记录名单的供应商，拒绝其参与政府采购活动。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（2）单位负责人为同一人或者存在直接控股、管理关系的不同供应商，不得参加同一合同项下的政府采购活动。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（3）为本采购项目提供整体设计、规范编制或者项目管理、监理、检测等服务的供应商，不得再参加本采购项目的其他采购活动。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三、获取招标文件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地点：供应商登录苏州市政府采购网站首页下侧“苏采云—已参与项目”，根据提示下载招标（采购）文件。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方式：网上报名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四、提交投标文件截止时间、开标时间和地点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2026年11月17日09:30（北京时间）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地点：苏州市政府采购网站-苏采云系统</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五、公告期限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自本公告发布之日起5个工作日。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w:t>
      </w:r>
      <w:r>
        <w:rPr>
          <w:rFonts w:ascii="SimSun" w:hAnsi="SimSun" w:eastAsia="SimSun" w:cs="SimSun"/>
          <w:b/>
          <w:color w:val="000000"/>
          <w:sz w:val="24"/>
          <w:u w:val="none"/>
        </w:rPr>
        <w:t xml:space="preserve">其他补充事宜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网上招投标项目，供应商应在“苏州市政府采购网－苏采云－项目参与－采购项目”页面，点击“我要参与”并签章提交《投标供应商确认函》，提交《投标供应商确认函》的日期视同为依法获取招标文件的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2.本项目支持网上不见面开标，</w:t>
      </w:r>
      <w:r>
        <w:rPr>
          <w:rFonts w:ascii="SimSun" w:hAnsi="SimSun" w:eastAsia="SimSun" w:cs="SimSun"/>
          <w:b/>
          <w:color w:val="000000"/>
          <w:sz w:val="24"/>
        </w:rPr>
        <w:t xml:space="preserve">供应商不需到现场参加开标会，开标阶段供应商在【供应商解密】环节必须使用 CA证书解密电子投标（响应）文件，如在系统规定的解密时间内未能完成解密的视为放弃投标（响应）。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5.请供应商确保电脑、系统及其他设备（视频输入输出设备等）无误，且开标直至项目结束始终保持系统在线状态。</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 CA办理及使用指南：根据省财政厅《关于更换全省政府采购交易系统C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录页面右下角“【新CA办理指南】--江苏省政府采购数字证书（供应商）CA及电子签章办理指南”。苏州现场办理地址：苏州高新区邓尉路105号狮山科技馆1楼服务大厅，咨询电话：0512-65737</w:t>
      </w:r>
      <w:r>
        <w:rPr>
          <w:rFonts w:ascii="SimSun" w:hAnsi="SimSun" w:eastAsia="SimSun" w:cs="SimSun"/>
          <w:color w:val="000000"/>
          <w:sz w:val="24"/>
        </w:rPr>
        <w:t xml:space="preserve">699。</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7.考虑到熟悉苏采云系统操作需要一定的时间，请提早准备以免耽误采购活动。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9.投标人（供应商）应自行在苏采云政府采购一体化平台上下载/获取招标（采购）文件及其澄清（答疑）、工程量清单（如有）、图纸等相关招标（采购）资料（如有），恕不另行通知。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10.采购项目需要落实的政府采购政策：</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（1）财政部、工业和信息化部《政府采购促进中小企业发展管理办法》财库〔2020〕46号。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关于促进残疾人就业政府采购政策的通知》（财库〔2017〕141号）；《关于政府采购支持监狱企业发展有关问题的通知》（财库〔2014〕68号）；苏州市财政局《关于贯彻执行绿色采购、促进残疾人就业和支持监狱企业发展有关政策的通知》（苏财购〔2020〕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（3）财库〔2022〕19号《关于进一步加大政府采购支持中小企业力度的通知》。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（4）苏财购〔2022〕16号关于印发《苏州市政府采购促进中小企业发展实施意见》的通知。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（5）国办发〔2025〕34号《国务院办公厅关于在政府采购中实施本国产品标准及相关政策的通知》。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11.成交供应商可凭政府采购合同办理融资贷款，详情请见江苏政府采购网“政采贷”专栏。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12.请贵单位领取本次采购文件后，认真阅读各项内容，进行必要的投标准备，按文件的要求详细填写和编制投标文件。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13.苏州工业园区政府采购监督电话：0512-66681110。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14.本次采购的有关信息将在苏州市政府采购网、江苏政府采购网、中国政府采购网</w:t>
      </w:r>
      <w:hyperlink r:id="rId21" w:tooltip="http://www.szweikang.xn--com-6y3ba7cbgc4097e4kax19cqoerohxod7w1bva254sga6035lg4sc/" w:history="1">
        <w:r>
          <w:rPr>
            <w:rStyle w:val="869"/>
            <w:rFonts w:ascii="SimSun" w:hAnsi="SimSun" w:eastAsia="SimSun" w:cs="SimSun"/>
            <w:color w:val="0000ee"/>
            <w:sz w:val="24"/>
            <w:u w:val="single"/>
          </w:rPr>
          <w:t xml:space="preserve">上发布</w:t>
        </w:r>
      </w:hyperlink>
      <w:r>
        <w:rPr>
          <w:rFonts w:ascii="SimSun" w:hAnsi="SimSun" w:eastAsia="SimSun" w:cs="SimSun"/>
          <w:color w:val="000000"/>
          <w:sz w:val="24"/>
        </w:rPr>
        <w:t xml:space="preserve">，敬请留意。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系统使用指导与咨询：联系电话：13914088964、18261002950；QQ：3048755361、1315179389、895706745。智能客服：登录苏采云系统后，联系系统右下方智能客服图标进行咨询。</w:t>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七、凡对本次采购提出询问，请按以下方式联系。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名称：苏州工业园区唯亭街道办事处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单位地址：苏州工业园区展业路18号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王华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电话：0512-65078110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名称：江苏京苏项目管理咨询有限公司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地址：苏州工业园区东环路1400号综艺开元大厦1幢15楼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电话：0512-67256848-1647</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项目联系人：周东星、顾苏芯、俞莉、刘金华（项目负责人）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0512-67256848-1647</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u w:val="none"/>
        </w:rPr>
        <w:t xml:space="preserve">第一章</w:t>
      </w:r>
      <w:r>
        <w:rPr>
          <w:rFonts w:ascii="SimHei" w:hAnsi="SimHei" w:eastAsia="SimHei" w:cs="SimHei"/>
          <w:b/>
          <w:color w:val="000000"/>
          <w:sz w:val="48"/>
        </w:rPr>
        <w:t xml:space="preserve">  投标邀请函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江苏京苏项目管理咨询有限公司受苏州工业园区唯亭街道办事处的委托，就其所需的阳澄湖半岛治安联防队社区监控维护项目进行国内公开招标。欢迎有条件的单位前来参加投标。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1.采购编号：</w:t>
      </w:r>
      <w:r>
        <w:rPr>
          <w:rFonts w:ascii="SimSun" w:hAnsi="SimSun" w:eastAsia="SimSun" w:cs="SimSun"/>
          <w:color w:val="000000"/>
          <w:sz w:val="24"/>
        </w:rPr>
        <w:t xml:space="preserve">JSZC-320591-PMJS-G2026-0030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2.招标内容：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2.1项目名称：阳澄湖半岛治安联防队社区监控维护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2.2预算金额：307.7925万元（含代理费）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2.3服务范围：详见招标文件第四章《招标书》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2.4采购需求：详见招标文件第四章《招标书》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2.5服务期限：</w:t>
      </w:r>
      <w:r>
        <w:rPr>
          <w:rFonts w:ascii="SimSun" w:hAnsi="SimSun" w:eastAsia="SimSun" w:cs="SimSun"/>
          <w:color w:val="000000"/>
          <w:sz w:val="24"/>
          <w:highlight w:val="white"/>
        </w:rPr>
        <w:t xml:space="preserve">一年，具体以合同签订时间为准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3.开标信息：</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3.1投标文件上传截止时间：2026年11月17日09:30（北京时间）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3.2投标文件递交地点：苏州市政府采购网站-苏采云系统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3.3时间：2026年11月17日09:30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3.4本项目支持网上不见面开标，</w:t>
      </w:r>
      <w:r>
        <w:rPr>
          <w:rFonts w:ascii="SimSun" w:hAnsi="SimSun" w:eastAsia="SimSun" w:cs="SimSun"/>
          <w:b/>
          <w:color w:val="000000"/>
          <w:sz w:val="24"/>
        </w:rPr>
        <w:t xml:space="preserve">供应商不需到现场参加开标会。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3.5本项目为不见面开标项目，开标阶段供应商在【供应商解密】环节必须使用 CA证书解密电子投标（响应）文件，如在系统规定的解密时间内未能完成解密的视为放弃投标（响应）。</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3.6请供应商确保电脑、系统及其他设备（视频输入输出设备等）无误，且开标直至项目结束始终保持系统在线状态。</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4.联系单位：</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4.1采购人信息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名称：苏州工业园区唯亭街道办事处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地址：苏州工业园区展业路18号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联系人:王华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电话：0512-65078110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4.2采购代理机构信息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地址：苏州工业园区东环路1400号综艺开元大厦1幢15楼</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电话：0512-67256848-1647</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4.3项目联系方式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项目联系人：顾梦飞、俞莉、顾苏芯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 0512-67256848-1647</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 </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2026年10月26日</w:t>
      </w:r>
      <w:r/>
    </w:p>
    <w:p>
      <w:pPr>
        <w:ind w:left="0" w:right="0" w:firstLine="40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964"/>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964"/>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第二章  投标人须知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A 说明和释义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 说明</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1.1本招标文件仅适用于江苏京苏项目管理咨询有限公司组织的招标活动。</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1.2本次招标活动及因本次招标产生的合同受中国法律制约和保护。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1.3本招标文件的解释权属于江苏京苏项目管理咨询有限公司。</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 词语释义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2.1采购人：依法进行政府采购的各级国家机关、事业单位、团体组织。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2.2投标人：指向采购人提供货物、工程或服务的法人、其他组织或者自然人。</w:t>
      </w:r>
      <w:r/>
    </w:p>
    <w:p>
      <w:pPr>
        <w:ind w:left="0" w:right="0" w:firstLine="50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2.3采购代理机构：指依法接受采购人委托，从事货物、工程和服务等政府采购代理业务的社会中介机构。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2.4响应：投标人根据采购人或采购代理机构发布的招标文件，编制投标文件并按规定投标的行为。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2.5合同：采供双方根据招标文件和中标的投标文件及中标通知书规定的内容签署的以书面形式所达成的协议，包括所有的附件、附录和构成协议的所有文件。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2.6甲方（采购人）：合同中明确规定的实际购买货物和服务的法人或其他组织和自然人。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2.7乙方（投标人）：合同中规定的向采购人提供货物和服务的法人或其他组织和自然人。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2.8知识产权：指专利权、商标权、著作权等无形财产专有权的统称。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2.9天：日历日。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2.10服务地点：合同中明确约定的乙方服务的最终地点。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2.11不可抗力：不能预见、不能避免并且不能克服的客观情况。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2.12实质性响应：满足有关本次采购标的、数量、质量、价款或者报酬、服务要求、履行期限、履行地点和方式、违约责任和解决争议方法等要求。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2.13进口产品：通过中国海关报关验放进入中国境内且产自关境外的产品。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2.14书面形式：指书面文字、合同书、信件和传真等可以有形地表现所载内容的形式。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2.15扫描件：指原件的各种彩色复制件，包括扫描、照片等。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B 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 合格投标人的一般条件</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4.合格投标人的特殊条件</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按招标公告</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 投标人代表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5.1指全权代表投标人参加投标活动并签署投标文件的人，如果投标人代表不是法定代表人，须持有《法定代表人授权委托书》（详见统一格式）。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 投标费用</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6.1无论投标过程中的做法和结果如何，投标人自行承担所有与参加投标有关的全部费用。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 联合体</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7.1如接受联合体参加投标的，由两个或两个以上法人组成一个联合体以一个投标人的身份共同响应时，联合体各方均应当符合政府采购法第二十二条规定的条件。同时还应符合以下要求：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7.1.1 联合体各方中至少应当有一方应具备承担本项目的相应资格条件。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7.1.2 联合体各方应签订联合投标协议，明确联合体的牵头人，明确约定各方拟承担的工作和责任，并将该联合投标协议随投标文件一并提交。联合体牵头人应被授权作为联合体所有成员的代表承担责任和接受指令，并负责整个合同的全面履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7.1.3以联合体形式参加政府采购活动的，联合体各方不得再单独参加或者与其他投标人另外组成联合体参加同一合同项下的政府采购活动。出现上述情况者，其投标和与其有关的联合体的投标均作无效投标处理。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7.1.4联合体中标的，联合体各方应当共同与采购人签订合同，就中标项目向采购人承担连带责任。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7.2除非另有规定或说明，本采购文件中“投标人”一词亦指联合体各成员。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 招标文件</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招标文件由招标文件总目录所列内容组成，投标人获取招标文件后，应仔细检查招标文件的所有内容，如有残缺等问题应在获取招标文件后及时向采购代理机构提出，否则，由此产生的影响由投标人自己承担，投标人同时应认真阅读招标文件中所有的事项、格式、条款和规范要求等，若投标人的投标文件没有按招标文件要求提交全部资料，或投标文件没有对招标文件做出实质性响应，其风险由投标人自行承担，并根据有关条款规定，该电子投标文件将被拒绝。</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招标文件及其更正（补充）文件不是直接从苏采云系统获得的，采购代理机构对招标文件及其更正（补充）文件的真实性、完整性不承担任何责任。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 招标文件的询问</w:t>
      </w:r>
      <w:r/>
    </w:p>
    <w:p>
      <w:pPr>
        <w:ind w:left="0" w:right="0" w:firstLine="3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9.1投标人在收到招标文件后，若有问题需要询问，应按照前附表要求及时提出，采购代理机构将予以解答，但答复内容不得涉及商业秘密。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 招标文件的澄清、修改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在投标截止时间前，采购人、采购代理机构无论出于自己的考虑，还是出于对投标人提问的澄清，均可对招标文件用更正（补充）文件的方式在原公告发布媒体上对招标文件进行澄清或修改，澄清或修改不得改变采购标的和资格条件。更正（补充）文件将作为招标文件的组成部分，对所有投标人有约束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10.2为使投标人有足够的时间按招标文件的修改要求考虑修正投标文件，或出于其他原因，采购人、采购代理机构有权推迟投标截止日期和开标日期。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10.3投标人应及时关注采购信息发布媒体上发布的更正（补充）公告，如有遗漏（包括但不限于文件未下载或下载不完整），所造成的投标失败或损失由投标人自行负责。</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10.4招标文件的澄清、修改、补充等内容均以原公告发布媒体上发布的内容为准。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11.现场考察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11.1根据自身投标需要，投标人对有关现场和周围环境进行考察，以获取编制投标文件和签署合同所需的信息。考察现场所发生的费用由投标人自己承担。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经采购人允许，投标人可为考察目的进入采购人的项目现场，但投标人不得因此使采购人承担有关的责任和蒙受损失。投标人应承担考察现场的责任和风险。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投标人应在现场考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12.提示与要求</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12.1投标人应仔细阅读招标文件的所有内容，按招标文件的要求提供投标文件，并保证所提供的全部数据的真实性，以使其投标对招标文件作出实质性响应，否则，其投标可能被拒绝。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12.2无论是否提交投标文件，投标人都应将招标文件及以后的所有通知、文件等视为保密文件。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13. 投标文件计量单位和使用文字</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13.1投标文件中所使用的计量单位，除招标文件中有特殊要求外，均应使用中华人民共和国法定计量单位。</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投标文件应使用中文编制，递交中文证明资料，投标文件中必须使用其它文字的，必须附有中文译本。对于未附有中文译本和中文译本不准确的投标文件可能引起的对投标人不利的后果，采购人或采购代理机构概不负责。</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 投标文件的组成</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14.1投标书一（报价部分）：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14.1.1投标函 （格式见第三章）；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14.1.2法定代表人授权委托书（如有授权）；</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14.1.3《开标一览表》；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14.1.4《投标报价明细表》（格式见第三章）；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投标书二（技术及资格证明部分）：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14.2.1关于资格文件的声明函（格式见第三章）；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14.2.2投标人情况表（格式见第三章）；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14.2.3供应商与其他单位存在控股、管理关系情况表（格式见第三章）；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14.2.4投标人企业法定代表人身份证扫描件；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14.2.5代理人身份证扫描件（如有授权）；</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14.2.6投标人证明其满足合格投标人资格基本条件的证明材料：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（1）具有独立承担民事责任的能力证明：包括法人或者其他组织的营业执照等证明文件，自然人身份证明；</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（2）具有良好的商业信誉和健全的财务会计制度证明：包括但不限于最近一期财务报表，其他组织、自然人及成立未满一年的法人应提供银行出具的资信证明；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（3）履行合同所必备的设备和专业技术能力的证明材料或承诺函；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投标人参加本次政府采购活动前半年（至少一个月）依法缴纳税收和社会保障资金（专用收据或社会保险缴纳清单）的证明材料；如为依法免税或不需要缴纳的，投标人则须提供对应证明资料，否则不予认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（5）参加政府采购活动前三年内在经营活动中没有重大违法记录的书面声明函；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14.2.7服务要求对照偏离表（见格式）；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14.2.8商务条款偏离表（见格式）；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14.2.9中小企业声明函（格式见第三章）或残疾人福利性单位声明函（格式见第三章）或监狱企业证明文件；</w:t>
      </w:r>
      <w:r>
        <w:rPr>
          <w:rFonts w:ascii="SimSun" w:hAnsi="SimSun" w:eastAsia="SimSun" w:cs="SimSun"/>
          <w:b/>
          <w:color w:val="000000"/>
          <w:sz w:val="24"/>
          <w:u w:val="single"/>
        </w:rPr>
        <w:t xml:space="preserve">(注：未提供或者提供的中小企业声明函或残疾人福利性单位声明函、监狱企业证明文件未加盖有公章的彩色扫描件上传至电子投标文件中的均不享受相关政策。）</w:t>
      </w:r>
      <w:r/>
    </w:p>
    <w:p>
      <w:pPr>
        <w:ind w:left="0" w:right="0" w:firstLine="46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14.2.10《关于符合本国产品标准的声明函》（注：如供应商提供的货物中涉及本国产品标准，提供声明函）；</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14.2.11针对本项目的人员配置表（见格式）；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14.2.12拟投入本项目的负责人简历表；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14.2.13投标人针对本项目人员配备方案，服务团队人员详细介绍；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14.2.14投标人针对本项目的详细服务方案；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14.2.15服务承诺说明；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14.2.16《类似业绩一览表》（格式见第三章）；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14.2.17其他可以证明投标人资信、资质和货物、服务质量的证书、文件、推荐信等资料；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14.2.18招标文件及评分标准中所涉及需提供的其他资料。</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注：1、投标书二（技术及资格证明部分）中不得出现价格。</w:t>
      </w:r>
      <w:r/>
    </w:p>
    <w:p>
      <w:pPr>
        <w:ind w:left="0" w:right="0" w:firstLine="985"/>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2.投标人必须提交上述14.1.1—14.2.8款规定的资料。否则，投标文件将因未实质响应招标文件而被拒绝。</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14.3投标文件由14.1、14.2款规定的内容共同组成。</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 电子投标文件编制及提交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本项目为网上招投标项目，供应商应登录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sz w:val="24"/>
        </w:rPr>
        <w:t xml:space="preserve">电子投标（响应）文件制作完成后请于上传截止前成功上传，未按要求线上递交电子投标（响应）文件将被拒收，供应商参与多个标段投标的，应分别单独上传。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15.2电子投标（响应）文件制作工具下载：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电子投标文件制作工具下载：详见苏州市政府采购网-苏采云登陆页面右下角点击驱动下载。使用指南见《苏采云系统供应商操作手册》。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15.3电子投标（响应）文件制作与提交：</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sz w:val="24"/>
        </w:rPr>
        <w:t xml:space="preserve">需对投标（响应）文件中涉及的扫描件（复印件）及需要加盖公章的部分进行签章，否则视为未提供相对应项。</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15.4投标（响应）文件制作完成后导出投标（响应）文件，在“参与详情”页面上传已制作完成的投标（响应）文件。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15.5投标（响应）文件提交后，供应商可通过模拟解密操作检测投标（响应）文件是否可以正常解密。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15.6</w:t>
      </w:r>
      <w:r>
        <w:rPr>
          <w:rFonts w:ascii="SimSun" w:hAnsi="SimSun" w:eastAsia="SimSun" w:cs="SimSun"/>
          <w:b/>
          <w:color w:val="000000"/>
          <w:sz w:val="24"/>
          <w:u w:val="single"/>
        </w:rPr>
        <w:t xml:space="preserve">因本章“14.投标文件的组成”要求的中小企业声明函、残疾人福利性单位声明函要求的文件需在中标公告时对外公示，故投标供应商如涉及需要提供“14.投标文件的组成”要求的中小企业声明函、残疾人福利性单位声明函的文件时，必须将签章上传至电子投标文件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15.7供应商应在采购系统中选择已制作好的投标文件进行上传，上传必须在投标（响应）截止时间前完成。</w:t>
      </w:r>
      <w:r>
        <w:rPr>
          <w:rFonts w:ascii="SimSun" w:hAnsi="SimSun" w:eastAsia="SimSun" w:cs="SimSun"/>
          <w:b/>
          <w:color w:val="000000"/>
          <w:sz w:val="24"/>
        </w:rPr>
        <w:t xml:space="preserve">未按要求成功上传的投标（响应）文件视为未递交。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15.8在投标文件递交截止时间止采购人收到的投标文件递交份数少于三份，采购人有权宣布本次采购失败。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15.9联合体投标：本项目不涉及。</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如招标（采购）公告中允许联合体投标，联合体投标的投标（响应）文件制作上传操作如下：</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第一步：在投标（响应）文件中上传联合体投标协议书。</w:t>
      </w:r>
      <w:r/>
    </w:p>
    <w:p>
      <w:pPr>
        <w:ind w:left="0" w:right="0" w:firstLine="480"/>
        <w:spacing w:before="0" w:after="0" w:line="85" w:lineRule="atLeast"/>
        <w:tabs>
          <w:tab w:val="left" w:pos="142" w:leader="none"/>
          <w:tab w:val="left" w:pos="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第二步：在投标（响应）文件中，由联合体中的牵头人制作投标（响应）文件。</w:t>
      </w:r>
      <w:r/>
    </w:p>
    <w:p>
      <w:pPr>
        <w:ind w:left="0" w:right="0" w:firstLine="482"/>
        <w:spacing w:before="0" w:after="0" w:line="85" w:lineRule="atLeast"/>
        <w:tabs>
          <w:tab w:val="left" w:pos="50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备注：投标文件中的CA证书签章为有效签名章。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16. 报价（编制）要求的说明</w:t>
      </w:r>
      <w:r/>
    </w:p>
    <w:p>
      <w:pPr>
        <w:ind w:left="0" w:right="0" w:firstLine="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除非合同中另有规定，投标人对《分项报价表》中的报价应包括但不限于完成本项目所需全部人工费、材料、机械、消耗品、管理、维护、保险、利润、税金、通讯器材、办公设备、国家规定的社会保障基金、各种税费、保险、劳保、政策性文件规定及合同包含的所有风险、责任等各项应有费用。同时，除非合同条款中另有规定，否则，响应单位所报价格在合同实施期间不因市场变化因素而变动。投标人应对所投项目的全部内容进行报价，只投其中部分内容者，其标书将被拒绝。投标报价为最终报价，除非因特殊原因并经双方协商同意，投标人不得再要求追加任何费</w:t>
      </w:r>
      <w:r>
        <w:rPr>
          <w:rFonts w:ascii="SimSun" w:hAnsi="SimSun" w:eastAsia="SimSun" w:cs="SimSun"/>
          <w:color w:val="000000"/>
          <w:sz w:val="24"/>
        </w:rPr>
        <w:t xml:space="preserve">用。同时，除非合同条款中另有规定，否则，投标人所报价格在合同实施期间不因市场变化因素而变动，政策性条款例外。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16.2投标报价编制要求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16.2.1根据提供的投标文件及有关资料单独编制相关的投标报价并汇总填入《分项报价表》；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16.3投标人应按《分项报价表》中的全部服务计算单价和总价。《分项报价表》中的每一单项均应计算并填写单价和总价。如发现投标报价中有错算、漏算现象，一旦中标，投标人自行承担错算、漏算这部分的经济损失，视为包含在总报价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16.4投标人应对招标文件内所要采购的全部内容进行报价，只投其中部分内容者，其投标文件将被拒绝。但如果采购文件要求分标段投标的，则投标人可以有选择地只投其中一个或几个标段，也可以投全部标段，但各标段应分别计算填写单价和总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16.5一项内容只允许一个报价，采购人不接受任何有选择性的报价。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16.6投标文件报价中的单价和总价全部采用人民币表示，除非合同的特殊条款另有规定。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17. 投标保证金（本项目无需提交投标保证金，本招标文件内投标保证金相关规定均不适用）。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18. 投标文件的有效期</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18.1投标文件的有效期见前附表，在此期间内，投标文件应保持有效。有效期短于这个规定期限的响应，将被拒绝。</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18.2在特殊情况下，采购单位可与投标人协商延长投标文件的有效期。这种要求和答复都应以书面的形式进行。同意延长有效期的投标人不能修改投标文件。拒绝接受延期要求的投标人的投标将被拒绝。</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19. 投标文件的修改和撤回</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19.1投标人在提交投标文件后开启前可在系统中对其投标文件进行修改或撤销。</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开启后投标人不得撤回投标文件。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20. 开标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20.1本项目支持网上不见面开标，</w:t>
      </w:r>
      <w:r>
        <w:rPr>
          <w:rFonts w:ascii="SimSun" w:hAnsi="SimSun" w:eastAsia="SimSun" w:cs="SimSun"/>
          <w:b/>
          <w:color w:val="000000"/>
          <w:sz w:val="24"/>
        </w:rPr>
        <w:t xml:space="preserve">供应商不需到现场参加开标会</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20.2线上参加（观看）开标会方式：苏州市政府采购网点击“苏采云”进入交易系统，点击“开标大厅－我的项目”，找到对应项目</w:t>
      </w:r>
      <w:r>
        <w:rPr>
          <w:rFonts w:ascii="SimSun" w:hAnsi="SimSun" w:eastAsia="SimSun" w:cs="SimSun"/>
          <w:color w:val="000000"/>
          <w:sz w:val="24"/>
          <w:highlight w:val="white"/>
        </w:rPr>
        <w:t xml:space="preserve">进入不见面开标系统</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20.3</w:t>
      </w:r>
      <w:r>
        <w:rPr>
          <w:rFonts w:ascii="SimSun" w:hAnsi="SimSun" w:eastAsia="SimSun" w:cs="SimSun"/>
          <w:b/>
          <w:color w:val="000000"/>
          <w:sz w:val="24"/>
        </w:rPr>
        <w:t xml:space="preserve">开标阶段供应商在【供应商解密】环节必须使用 CA证书解密电子投标（响应）文件，如在系统规定的解密时间内未能完成解密的视为放弃投标（响应）。</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20.4开评审结果会在评标结束后通过采购系统告知投标人，请投标人及时查看，否则导致对投标人不利的后果由投标人自行承担。</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20.5开标过程中，投标人应当通过苏采云系统的开标大厅进入开标系统，采购人或采购代理机构会在留言栏目作出答复，请投标人及时关注。为了保证开标秩序，请不要在互动交流中发表与开标无关的言论。开标中出现异常情况时，将通过留言栏目发布相关信息，请投标人及时关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20.6</w:t>
      </w:r>
      <w:r>
        <w:rPr>
          <w:rFonts w:ascii="SimSun" w:hAnsi="SimSun" w:eastAsia="SimSun" w:cs="SimSun"/>
          <w:b/>
          <w:color w:val="000000"/>
          <w:sz w:val="24"/>
        </w:rPr>
        <w:t xml:space="preserve">请供应商确保电脑、系统及其他设备（视频输入输出设备等）无误，且开标直至项目结束始终保持系统在线状态。</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20.7本项目采用线上澄清：</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对投标文件的有效性、完整性和响应程度进行审查时，可以要求投标人对投标文件中含义不明确、同类问题表述不一致或者有明显文字和计算错误的内容等作出必要的澄清、说明或者更正。投标人的澄清、说明或者更正不得超出投标文件的范围或者改变投标文件的实质性内容。</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评审中需要投标人进行澄清的通知会通过苏采云系统发出，投标人应及时登录采购系统查看澄清要求并在规定的时间内按要求进行线上答复。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有关澄清的答复应在系统内采用书面形式，该书面答复应有投标人签（盖）章，并将作为投标内容的一部分。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评审结束后系统公告中会提示评审流程结束，投标人可离开电脑。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20.8由于开标现场监控传输路径与开标信息传输路径不同，会造成网页显示时间与监控图像显示时间不同。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20.9技术支持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注册咨询：18261002950；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CA技术咨询电话：400-608-6099；</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签章使用问题：025-83633811、025-83633812、15380932027、15371015030；</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系统使用指导与咨询：联系电话：13914088964、18261002950；QQ：3048755361、1315179389、895706745。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21.资格审查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21.1公开招标采购项目开标结束后，采购人或者采购代理机构应当依法对投标人的资格进行审查，</w:t>
      </w:r>
      <w:r>
        <w:rPr>
          <w:rFonts w:ascii="SimSun" w:hAnsi="SimSun" w:eastAsia="SimSun" w:cs="SimSun"/>
          <w:b/>
          <w:color w:val="000000"/>
          <w:sz w:val="24"/>
        </w:rPr>
        <w:t xml:space="preserve">未通过资格审查的投标无效。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21.2根据政府采购法及相关法规，以及苏州市财政局《关于印发苏州市市级政府采购信用记录查询和使用工作试行办法的通知》（苏财购〔2017〕11号）的规定，将对投标人进行信用查询。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21.2.1查询时间：投标文件递交截止时间。</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21.2.2查询渠道：在中国政府采购网（http://www.ccgp.gov.cn）、信用中国（www.creditchina.gov.cn）的网站输入投标人全称或统一社会信用代码查询信用记录，并将查询结果递交评审小组。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21.3经采购人或者采购代理机构审查供应商存在失信行为的，投标无效。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21.4合格投标人不足3家的，不得评标。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22. 评标委员会或评标小组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22.1评标委员会或评标小组（以下简称评委会）成员依法组建，负责具体评标事务，并独立履行职责；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22.2评标委员会或评标小组与参加采购活动的投标人存在下列利害关系之一的，应当回避：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（一）参加采购活动前三年内，与投标人存在劳动关系，或者担任过投标人的董事、监事，或者是投标人的控股股东或实际控制人；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（二）与投标人的法定代表人或者负责人有夫妻、直系血亲、三代以内旁系血亲或者近姻亲关系；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（三）与投标人有其他影响政府采购活动公平、公正进行的关系。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评标委员会或评标小组发现本人与参加采购活动的投标人有利害关系的，应当主动提出回避。采购人或采购代理机构发现评审专家与参加采购活动的投标人有利害关系的，应当要求其回避。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22.3评标委员会将对符合资格的投标人的投标文件进行符合性审查，以确定其是否满足招标文件的实质性要求。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22.4评委会组负责具体的评标事务，并独立履行以下职责：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22.4.1审查、评价投标文件是否符合招标文件的商务、技术等实质性要求；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22.4.2要求投标人对投标文件有关事项作出澄清或者说明；</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22.4.3对投标文件进行比较和评价；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22.4.4确定中标候选人名单，以及根据采购人委托直接确定中标人；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22.4.5向采购人、采购代理机构或者有关部门报告评标中发现的违法行为。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22.5评委会成员应当履行下列义务：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22.5.1遵纪守法，客观、公正、廉洁地履行职责；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22.5.2按照招标文件规定的评标办法和评标标准进行评标，对评审意见承担个人责任；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22.5.3对评标过程和结果，以及投标人的商业秘密保密；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22.5.4参与评标报告的起草；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22.5.5配合采购人、采购代理机构答复投标人提出的质疑；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22.5.6配合有关部门的投诉处理工作。</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23. 评标内容的保密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23.1公开开标后，直到宣布授予中标单位合同为止，凡属于审查、澄清、评价和比较投标的所有数据，有关授予合同的信息都不应向投标人或与评标无关的其他人泄露。</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23.2在投标文件的审查、澄清、评价和比较以及授予合同的过程中，投标人对采购人、采购代理机构和评标委员会成员施加影响的任何行为，都将取消其中标资格。</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23.3在评标期间，采购人、采购代理机构将通过指定联络人与投标人进行联系。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24. 对投标文件初审</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评委会将对资格符合的投标文件进行符合性审查。即依据招标文件规定，从投标文件的有效性、完整性和对招标文件的响应程度进行审查，以确定是否对招标文件的实质性要求作出响应。投标文件有下列情况之一者将被认定为无效投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24.1.1投标文件未按照本招标文件规定对投标文件进行签章；</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24.1.2投标人拒绝修正错误；</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24.1.3投标人的报价是选择性的；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24.1.4投标人的报价只投了同一标段中部分内容；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24.1.5投标人的投标文件中出现评委会认为不应雷同的；</w:t>
      </w:r>
      <w:r/>
    </w:p>
    <w:p>
      <w:pPr>
        <w:ind w:left="0" w:right="0" w:firstLine="50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24.1.6不同投标人的“机器码一致”的情形；</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24.1.7其他被评委会认定无效的情况。</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实质性响应的投标应该是与招标文件要求的标的、数量、质量、价款或者报酬、履行期限、履行地点和方式、违约责任和解决争议方法等条款相符。不得限制合同中买方的权利或投标人的义务，也不得对其他实质性回应的投标人的竞争地位产生不公正影响。</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招标文件提供的工艺、材料、设备、参考的商标或样本目录号码等仅作为说明并没有限制性，投标人在投标中可以选用替代标准，但这些替代标准要优于或相当于技术规格中要求的标准，以满足采购人的需要。</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对于投标文件中含义不明确、同类问题表述不一致或者有明显文字和计算错误的内容，评标委员会应当以书面形式要求投标人作出必要的澄清、说明或者补正。投标人的澄清、说明或者补正不得超出投标文件的范围或者改变投标文件的实质性内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24.5投标文件报价出现前后不一致的，除招标文件另有规定外，按照下列规定修正：</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24.5.1投标文件中开标一览表（报价表）内容与投标文件中相应内容不一致的，以开标一览表（报价表）为准；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24.5.2大写金额和小写金额不一致的，以大写金额为准；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24.5.3单价金额小数点或者百分比有明显错位的，以开标一览表的总价为准，并修改单价；</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24.5.4总价金额与按单价汇总金额不一致的，以单价金额计算结果为准。</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同时出现两种以上不一致的，按照前款规定的顺序修正。修正后的报价按照《中华人民共和国财政部令第87号》第五十一条第二款的规定经投标人确认后产生约束力，投标人不确认的，其投标无效。</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24.6除上述情形外，对投标文件的判定，只依据投标文件本身，不依靠开标后的任何外来证明。</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24.7采购代理机构将拒绝被确定为非实质性响应的投标，投标人不能通过修正或撤销不符之处而使其投标成为实质性响应的投标。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24.8对不同文字文本投标文件的解释发生异议的，以中文文本为准。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25. 投标的澄清、说明或纠正</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25.2投标人对投标文件的澄清不得改变投标的价格（校核时发现的算术错误除外）及实质内容。</w:t>
      </w:r>
      <w:r/>
    </w:p>
    <w:p>
      <w:pPr>
        <w:ind w:left="0" w:right="0" w:firstLine="6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25.3评审中需要供应商进行澄清的通知会通过苏采云系统发出，供应商应及时登录采购系统查看澄清要求并在规定的时间内按要求进行线上答复，否则视为未实质性响应。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有关澄清的答复应在系统内采用书面形式，该书面答复应有投标人签（盖）章，并将作为投标内容的一部分。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线上澄清答复的方式：当发起答疑澄清时，页面弹出处理答疑澄清消息菜单，点击反馈进入－点击【响应】－填写询问响应内容后，进行询问响应函签章。</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26.异常低价投标审查</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26.1 评标过程中出现下列情形之一的，评标委员会应当启动异常低价投标审查程序：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（1）投标（响应）报价低于全部通过符合性审查供应商投标（响应）报价平均值50%的，即投标（响应）报价（全部通过符合性审查供应商投标（响应）报价平均值×50%；）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（2）投标（响应）报价低于通过符合性审查的次低报价供应商投标（响应）报价50%的，即投标（响应）报价（通过符合性审查的次低报价供应商投标（响应）报价×50%；）</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（3）投标报价低于采购项目最高限价45%的，即投标报价＜采购项目最高限价×45%；</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26.2评标委员会认定的供应商报价过低、有可能影响产品质量或者不能诚信履约的其他情形。</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26.3启动异常低价投标审查后，评标委员会应当要求相关供应商在评标现场合理的时间内，提供项目具体成本测算等与报价合理性相关的书面说明材料及相关证明材料，对投标价格作出解释，包括但不限于原材料成本、人工成本、制造费用等；评审委员会依据投标（响应）供应商不能提供书面说明、证明材料，或者提供的书面说明、证明材料不能证明其报价合理性的，评审委员会应当将其作为无效投标（响应）处理。由评标委员会根据专业经验，参考同类项目中标（成交）价格、类似产品市场价格水平、行业人工费用标准、国家有关部门指导行业协会发布的行业平均成本</w:t>
      </w:r>
      <w:r>
        <w:rPr>
          <w:rFonts w:ascii="SimSun" w:hAnsi="SimSun" w:eastAsia="SimSun" w:cs="SimSun"/>
          <w:b/>
          <w:color w:val="000000"/>
          <w:sz w:val="24"/>
        </w:rPr>
        <w:t xml:space="preserve">等情况，对报价合理性进行判断。投标供应商不提供书面说明、证明材料，或者提供的书面说明、证明材料不能证明其报价合理性的，评标委员会应当将其作为无效投标处理。审查相关情况应当在评标报告中进行记录。</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 在招标过程中，出现下列情况之一的，应予废标：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27.1.1进入评审的实质响应的供应商不足三家的；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27.1.2出现影响采购公正的违法、违规行为的；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27.1.3投标人的报价均超过了采购预算的，采购方不能支付的；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27.1.4因重大变故，采购任务取消的；</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27.2 废标后，采购人将把废标的理由通知所有投标人。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28. 投标文件的评价和比较</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28.1评标委员会将仅对按照本须知有关规定确定为实质性响应招标文件要求的投标文件进行评价和比较。</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 评价和比较采用综合评分法，评委会严格按照招标文件的规定要求、条件、评分标准，对投标人所提供货物或服务的先进性、可靠性、售后服务承诺、质量保证承诺等实质性响应内容进行比较评价。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29. 中标单位的确认</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29.1中标人的数量：1个。</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29.2评标委员会根据投标人资格审查情况，对投标文件进行评价和比较，按照评标办法和标准进行评标推荐中标候选人。评标委员会有权评定中标人，同时也有权拒绝任何或所有投标人中标。</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评标结果按评审后得分由高到低顺序排列。得分相同的，按投标报价由低到高顺序排列。得分且投标报价相同的并列，则由评标委员会以抽签方式确定中标候选人。投标文件满足招标文件全部实质性要求，且按照评审因素的量化指标评审得分最高的投标人为排名第一的中标候选人。</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29.4采购人或者采购代理机构应当自中标人确定之日起2个工作日内，在政府采购信息媒体上发布中标公告，中标公告期限为1个工作日。</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在公告中标结果的同时，采购人或者采购代理机构应当向中标人发出中标通知书；对未通过资格审查的投标人，应当告知其未通过的原因；采用综合评分法评审的，还应当告知未中标人本人的评审得分与排序。未中标人须在中标公告发出之日起2个工作日内向采购代理机构另行提供用以接收《未中标通知书》和“评审得分与排序”的电子邮件地址，未按时提供电子邮件地址或提供信息有误的，视为自动放弃并自行承担相应后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 中标通知书</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30.1中标通知书将成为合同的组成部分。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31.履约保证金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详见前附表。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31.1乙方履约保证金在签订本合同前缴纳，履约保证金可采用支票、本票、汇票、电子履约保函，或者金融机构、担保机构出具的银行保函等非现金形式。如递交电子履约保函的，中标单位在江苏政府采购电子履约保函（保险）平台开具履约保函，按履约要求准时提供有关材料。开具电子保函路径：1、苏采云（江苏政府采购一体化平台）--政策支持--保险保函；2、江苏政府采购网-－保险保函；3、PC端登录 https://www.jsdzbh.com 直接开具。咨询电话：4006800040。</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31.2如果乙方未能履行合同规定的任何义务，或因乙方责任应由乙方承担的赔偿或违约金支付未完成，甲方有权从履约保证金中取得补偿。</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31.3履约保证金（无息）将在乙方履行完合同义务一个月内，凭乙方的收款收据退还余款给乙方。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31.4甲方逾期退还履约保证金的，乙方有权要求甲方自约定的退还期限届满次日起，每逾期一日，按应退还的履约保证金款项的0.03%支付违约金，直至实际退还之日为止。</w:t>
      </w:r>
      <w:r/>
    </w:p>
    <w:p>
      <w:pPr>
        <w:ind w:left="0" w:right="0" w:firstLine="480"/>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31.5乙方擅自解除合同，或因乙方违约导致甲方解除合同，或因乙方违约给甲方造成重大损失时，履约保证金不予退还。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32.合同</w:t>
      </w:r>
      <w:r/>
    </w:p>
    <w:p>
      <w:pPr>
        <w:ind w:left="0" w:right="0" w:firstLine="3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32.1采购人应当自中标通知书发出之日起15日内，按照招标文件和中标人投标文件的规定，与中标人签订书面合同。</w:t>
      </w:r>
      <w:r/>
    </w:p>
    <w:p>
      <w:pPr>
        <w:ind w:left="40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32.2 政府采购合同的双方当事人不得擅自变更、中止或者终止合同。</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32.3政府采购合同继续履行将损害国家利益和社会公共利益的，双方当事人应当变更、中止或者终止合同。有过错的一方应当承担赔偿责任，双方都有过错的，各自承担相应的责任。</w:t>
      </w:r>
      <w:r/>
    </w:p>
    <w:p>
      <w:pPr>
        <w:ind w:left="0" w:right="0" w:firstLine="36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32.4采购人在合同签订后，可以增加与合同标的相同的服务，在不改变合同其他条款的前提下，可以与投标人协商签订补充合同，但所有补充合同的采购金额不得超过原合同采购金额的百分之十。</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33.质疑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根据《政府采购质疑和投诉办法》财政部第94号令，供应商认为采购文件、采购过程、中标（成交）结果使自己的权益受到损害的，可以在知道或者应知其权益受到损害之日起7个工作日内，以书面形式向采购人、采购代理机构提出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33.2本次采购文件要求供应商在法定质疑期内一次性提出针对同一采购程序环节的质疑。</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33.3采购人、采购代理机构收到质疑供应商在法定质疑期内发出的质疑函，应当在收到质疑函后7个工作日内作出答复，并以书面形式通知质疑供应商和其他有关供应商。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33.4供应商提出质疑应当提交质疑函、交易文件下载确认单和必要的证明材料。质疑函应当包括下列内容：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33.5供应商的姓名或者名称、地址、邮编、联系人及联系电话；</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33.6质疑项目的名称、编号；</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33.7具体、明确的质疑事项和与质疑事项相关的请求；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33.8事实依据；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33.9必要的法律依据；</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33.10提出质疑的日期。</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33.11质疑联系方式详见采购公告。</w:t>
      </w:r>
      <w:r/>
    </w:p>
    <w:p>
      <w:pPr>
        <w:ind w:left="171"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34.政府采购政策</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34.1关于节能环保产品政府采购要求：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p>
    <w:p>
      <w:pPr>
        <w:ind w:left="0" w:right="0" w:firstLine="72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34.2针对中小型企业的评审：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（1）针对中小型企业的评审：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促进中小企业发展管理办法》（财库〔2020〕46号）的相关规定，供应商认定本企业提供的货物、工程或服务符合上述文件规定情形，供应商需根据《中小企业划型标准规定》（工信部联企业〔2011〕300号）提交《中小企业声明函》并加盖公章，</w:t>
      </w:r>
      <w:r>
        <w:rPr>
          <w:rFonts w:ascii="SimSun" w:hAnsi="SimSun" w:eastAsia="SimSun" w:cs="SimSun"/>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的不享受相关扶持政策。服务类项目中供应商若使用退休人员，将不享受相关扶持政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政府采购活动中，供应商提供的服务符合下列情形的，享受《政府采购促进中小企业发展管理办法》规定的中小企业扶持政策：在服务项目中，服务由中小企业承接。如供应商属于小型或微型企业，对小型和微型企业的价格给予20%的扣除，用扣除后的价格参与评审。</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根据《政府采购促进中小企业发展管理办法》（财库〔2020〕46号）及《中小企业划型标准规定》（工信部联企业〔2011〕300号），本采购项目对应的中小企业划分标准所属行业为：软件和信息技术服务业。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若中小微企业提供的 “中小企业声明函” 或认定证明为虚假声明则视同提供虚假材料，按政府采购相关规定处理并报请政府监管部门给予行政处罚。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未尽事宜按照《苏州市政府采购促进中小企业发展实施意见》执行。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（2）残疾人福利性单位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（3）监狱企业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34.3实施本国产品标准及相关政策</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本项目为服务类项目，如提供服务中需提供货物，</w:t>
      </w:r>
      <w:r>
        <w:rPr>
          <w:rFonts w:ascii="SimSun" w:hAnsi="SimSun" w:eastAsia="SimSun" w:cs="SimSun"/>
          <w:b/>
          <w:color w:val="000000"/>
          <w:sz w:val="24"/>
        </w:rPr>
        <w:t xml:space="preserve">根据《国务院办公厅关于在政府采购中实施本国产品标准及相关政策的通知》（国办发</w:t>
      </w:r>
      <w:r>
        <w:rPr>
          <w:rFonts w:ascii="SimSun" w:hAnsi="SimSun" w:eastAsia="SimSun" w:cs="SimSun"/>
          <w:color w:val="000000"/>
          <w:sz w:val="24"/>
        </w:rPr>
        <w:t xml:space="preserve">〔</w:t>
      </w:r>
      <w:r>
        <w:rPr>
          <w:rFonts w:ascii="SimSun" w:hAnsi="SimSun" w:eastAsia="SimSun" w:cs="SimSun"/>
          <w:b/>
          <w:color w:val="000000"/>
          <w:sz w:val="24"/>
        </w:rPr>
        <w:t xml:space="preserve">2025</w:t>
      </w:r>
      <w:r>
        <w:rPr>
          <w:rFonts w:ascii="SimSun" w:hAnsi="SimSun" w:eastAsia="SimSun" w:cs="SimSun"/>
          <w:color w:val="000000"/>
          <w:sz w:val="24"/>
        </w:rPr>
        <w:t xml:space="preserve">〕</w:t>
      </w:r>
      <w:r>
        <w:rPr>
          <w:rFonts w:ascii="SimSun" w:hAnsi="SimSun" w:eastAsia="SimSun" w:cs="SimSun"/>
          <w:b/>
          <w:color w:val="000000"/>
          <w:sz w:val="24"/>
        </w:rPr>
        <w:t xml:space="preserve">34号）的规定，本项目对采购本国产品给予政策支持</w:t>
      </w:r>
      <w:r>
        <w:rPr>
          <w:rFonts w:ascii="SimSun" w:hAnsi="SimSun" w:eastAsia="SimSun" w:cs="SimSun"/>
          <w:color w:val="000000"/>
          <w:sz w:val="24"/>
        </w:rPr>
        <w:t xml:space="preserve">。</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34.3.3本项目政府采购活动中既有本国产品又有非本国产品参与竞争的，依法对本国产品给予价格评审优惠，对本国产品的报价给予20%的价格扣除，用扣除后的价格参与评审。</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34.3.4供应商需按照招标文件的要求提供《关于符合本国产品标准的声明函》（以下简称《声明函》）或财政部会同有关部门规定的有关证明文件的，如不提供或提供不符合要求的将不享受本国产品价格评审优惠。</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34.3.5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0"/>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34.3.6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82"/>
        <w:spacing w:before="240" w:after="3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34.4信用记录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34.4.1查询截止时点：响应文件递交截止时间。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34.4.2查询渠道：</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采购代理机构将通过，在中国政府采购网（http://www.ccgp.gov.cn）、信用中国（www.creditchina.gov.cn）的网站输入供应商全称或统一社会信用代码查询信用记录，并将查询结果递交评审小组。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34.4.3信用记录使用规则：对响应单位进行资格性审查时，应根据查询结果对供应商的不良信用记录逐项甄别确认。按照《中华人民共和国政府采购法》第二十二条规定，下列信用记录属于应依法拒绝供应商参加政府采购的失信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（一）政府采购严重违法记录，即供应商被全国各级财政部门列入“政府采购严重违法失信行为记录名单”，且在处罚有效期内的。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（二）财政部门与法院、工商、税务等部门联合惩戒的失信信息，包括：</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（1）被列入失信被执行人名单；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（2）被列入重大税收违法案件当事人名单；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35. 代理服务费</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35.1中标单位须按前附表的规定计算并支付代理服务费，该费用应在中标通知书发出时付清。</w:t>
      </w:r>
      <w:r/>
    </w:p>
    <w:p>
      <w:pPr>
        <w:ind w:left="0" w:right="0" w:firstLine="502"/>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35.2中标单位如果未按规定缴纳代理服务费，采购人或采购代理机构保留诉讼的权利。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36. 未尽事宜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按《中华人民共和国政府采购法》及其他有关的法律法规的规定执行。</w:t>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第三章  投标文件格式</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说明：</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对本章所有的投标书格式 ，投标方可根据自身情况进行补充和修改，但补充和修改不得造成与本格式内容有实质性的违背。</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格式一、投标函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江苏京苏项目管理咨询有限公司：</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我们收到贵公司</w:t>
      </w:r>
      <w:r>
        <w:rPr>
          <w:rFonts w:ascii="SimSun" w:hAnsi="SimSun" w:eastAsia="SimSun" w:cs="SimSun"/>
          <w:color w:val="000000"/>
          <w:sz w:val="24"/>
          <w:u w:val="single"/>
        </w:rPr>
        <w:t xml:space="preserve">            </w:t>
      </w:r>
      <w:r>
        <w:rPr>
          <w:rFonts w:ascii="SimSun" w:hAnsi="SimSun" w:eastAsia="SimSun" w:cs="SimSun"/>
          <w:color w:val="000000"/>
          <w:sz w:val="24"/>
        </w:rPr>
        <w:t xml:space="preserve">号采购文件，经仔细阅读和研究，我们决定参加投标，并承诺如下：</w:t>
      </w:r>
      <w:r/>
    </w:p>
    <w:p>
      <w:pPr>
        <w:ind w:left="0" w:right="0" w:firstLine="50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愿意按照招标文件的一切要求，提供招标项目的所有内容，我们的投标报价包括但不限于完成本项目所需全部人工费、材料、机械、消耗品、管理、维护、保险、利润、税金、通讯器材、办公设备、国家规定的社会保障基金、各种税费、保险、劳保、政策性文件规定及合同包含的所有风险、责任等各项应有费用。我单位的投标报价为最终报价，除非因特殊原因并经双方协商同意，我单位不再要求追加任何费用。我单位所报价格在合同实施期间不因市场变化因素而变动，政策性条款例外。</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2.如果我们的投标书被接受，我们将严格履行招标文件中规定的每一项要求，严格履行合同的责任和义务，保证按期、按质履行合同，完成服务的全部工作。</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3.我们同意按招标文件中的规定，本投标书的有效期限为开标后</w:t>
      </w:r>
      <w:r>
        <w:rPr>
          <w:rFonts w:ascii="SimSun" w:hAnsi="SimSun" w:eastAsia="SimSun" w:cs="SimSun"/>
          <w:color w:val="000000"/>
          <w:sz w:val="24"/>
          <w:u w:val="single"/>
        </w:rPr>
        <w:t xml:space="preserve">   </w:t>
      </w:r>
      <w:r>
        <w:rPr>
          <w:rFonts w:ascii="SimSun" w:hAnsi="SimSun" w:eastAsia="SimSun" w:cs="SimSun"/>
          <w:color w:val="000000"/>
          <w:sz w:val="24"/>
        </w:rPr>
        <w:t xml:space="preserve">天。</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4.我们愿意提供招标方在招标文件中要求的所有资料。也同意向贵方提供贵方可能另外要求的与其投标有关的任何证据或资料。</w:t>
      </w:r>
      <w:r/>
    </w:p>
    <w:p>
      <w:pPr>
        <w:ind w:left="0" w:right="0" w:firstLine="509"/>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5.我们认为你们有权决定中标者，还认为你们有权接受或拒绝所有的投标者。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6.我们愿意遵守招标公告及招标文件中所列的收费标准。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7.我们承诺该项投标在开标后的全过程中保持有效，不作任何更改和变动。我们同意中标后若不履行投标文件的内容要求和各项承诺及义务的即被视为违约，其中标资格将被取消。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8.我们同意中标方若无法按约定条款履行义务等行为，招标方有权取消我们的中标资格，并可就因我方未能履约而导致采购方损失的向我方进行索赔。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9.如果我们中标，我们愿意按前附表规定的收费标准支付中标服务费，逾期按中国人民银行公布的同期人民币贷款最高利率计付利息；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10.与本次投标有关的通讯地址：</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单位：联系人：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1"/>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40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格式二、法定代表人授权委托书</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法定代表人授权委托书</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本授权委托书声明：我</w:t>
      </w:r>
      <w:r>
        <w:rPr>
          <w:rFonts w:ascii="SimSun" w:hAnsi="SimSun" w:eastAsia="SimSun" w:cs="SimSun"/>
          <w:color w:val="000000"/>
          <w:sz w:val="24"/>
          <w:u w:val="single"/>
        </w:rPr>
        <w:t xml:space="preserve">  （姓名）</w:t>
      </w:r>
      <w:r>
        <w:rPr>
          <w:rFonts w:ascii="SimSun" w:hAnsi="SimSun" w:eastAsia="SimSun" w:cs="SimSun"/>
          <w:color w:val="000000"/>
          <w:sz w:val="24"/>
        </w:rPr>
        <w:t xml:space="preserve">系</w:t>
      </w:r>
      <w:r>
        <w:rPr>
          <w:rFonts w:ascii="SimSun" w:hAnsi="SimSun" w:eastAsia="SimSun" w:cs="SimSun"/>
          <w:color w:val="000000"/>
          <w:sz w:val="24"/>
          <w:u w:val="single"/>
        </w:rPr>
        <w:t xml:space="preserve">（供应商名称）</w:t>
      </w:r>
      <w:r>
        <w:rPr>
          <w:rFonts w:ascii="SimSun" w:hAnsi="SimSun" w:eastAsia="SimSun" w:cs="SimSun"/>
          <w:color w:val="000000"/>
          <w:sz w:val="24"/>
        </w:rPr>
        <w:t xml:space="preserve">的法定代表人，现授权委托</w:t>
      </w:r>
      <w:r>
        <w:rPr>
          <w:rFonts w:ascii="SimSun" w:hAnsi="SimSun" w:eastAsia="SimSun" w:cs="SimSun"/>
          <w:color w:val="000000"/>
          <w:sz w:val="24"/>
          <w:u w:val="single"/>
        </w:rPr>
        <w:t xml:space="preserve"> （姓名）</w:t>
      </w:r>
      <w:r>
        <w:rPr>
          <w:rFonts w:ascii="SimSun" w:hAnsi="SimSun" w:eastAsia="SimSun" w:cs="SimSun"/>
          <w:color w:val="000000"/>
          <w:sz w:val="24"/>
        </w:rPr>
        <w:t xml:space="preserve">为我公司授权代表（即代理人），以本公司的名义参加 </w:t>
      </w:r>
      <w:r>
        <w:rPr>
          <w:rFonts w:ascii="SimSun" w:hAnsi="SimSun" w:eastAsia="SimSun" w:cs="SimSun"/>
          <w:color w:val="000000"/>
          <w:sz w:val="24"/>
          <w:u w:val="single"/>
        </w:rPr>
        <w:t xml:space="preserve">       </w:t>
      </w:r>
      <w:r>
        <w:rPr>
          <w:rFonts w:ascii="SimSun" w:hAnsi="SimSun" w:eastAsia="SimSun" w:cs="SimSun"/>
          <w:color w:val="000000"/>
          <w:sz w:val="24"/>
        </w:rPr>
        <w:t xml:space="preserve">组织实施的编号为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号的投标活动。授权代表在投标活动过程中所签署的一切文件和处理与这有关的一切事务，我均予以承认。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授权代表在授权委托书有效期内签署的所有文件不因授权委托的撤销而失效，除非有撤销授权委托的书面通知，本授权委托书自投标活动开始至合同履行完毕止。</w:t>
      </w:r>
      <w:r/>
    </w:p>
    <w:p>
      <w:pPr>
        <w:ind w:left="0" w:right="0" w:firstLine="52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授权代表无转委托权。特此委托。</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格式三、开标一览表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采购编号：</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110"/>
        <w:gridCol w:w="4111"/>
        <w:gridCol w:w="1982"/>
        <w:gridCol w:w="1081"/>
      </w:tblGrid>
      <w:tr>
        <w:trPr>
          <w:trHeight w:val="6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投标报价（元）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税率%</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8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 </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26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2"/>
              </w:rPr>
              <w:t xml:space="preserve">投标总价（元）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大写：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小写：</w:t>
            </w:r>
            <w:r/>
          </w:p>
        </w:tc>
      </w:tr>
      <w:tr>
        <w:trPr>
          <w:trHeight w:val="93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□中型企业   □小型企业   □微型企业   □残疾人福利性单位   □监狱企业</w:t>
            </w:r>
            <w:r/>
          </w:p>
        </w:tc>
      </w:tr>
    </w:tbl>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570" w:right="0" w:firstLine="0"/>
        <w:spacing w:before="240" w:after="240" w:line="52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格式四、分项报价表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分项报价表</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KaiTi" w:hAnsi="KaiTi" w:eastAsia="KaiTi" w:cs="KaiTi"/>
          <w:color w:val="000000"/>
          <w:sz w:val="28"/>
        </w:rPr>
        <w:t xml:space="preserve"> </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8"/>
        <w:gridCol w:w="1874"/>
        <w:gridCol w:w="988"/>
        <w:gridCol w:w="1412"/>
        <w:gridCol w:w="1694"/>
        <w:gridCol w:w="1270"/>
        <w:gridCol w:w="1397"/>
      </w:tblGrid>
      <w:tr>
        <w:trPr>
          <w:trHeight w:val="7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类别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占总报价比例（%）</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4"/>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符合本国产品标准的产品成本之和占本项目提供的全部产品成本之和的比例：</w:t>
            </w:r>
            <w:r>
              <w:rPr>
                <w:rFonts w:ascii="SimSun" w:hAnsi="SimSun" w:eastAsia="SimSun" w:cs="SimSun"/>
                <w:color w:val="000000"/>
                <w:sz w:val="24"/>
                <w:u w:val="single"/>
              </w:rPr>
              <w:t xml:space="preserve">    %</w:t>
            </w:r>
            <w:r/>
          </w:p>
        </w:tc>
      </w:tr>
    </w:tbl>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注：本次投标报价包含代理服务费。</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格式五、人员配备一览表</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（1）人员配备一览表</w:t>
      </w:r>
      <w:r/>
    </w:p>
    <w:p>
      <w:pPr>
        <w:ind w:left="0" w:right="0" w:firstLine="211"/>
        <w:jc w:val="center"/>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9"/>
        <w:gridCol w:w="734"/>
        <w:gridCol w:w="652"/>
        <w:gridCol w:w="652"/>
        <w:gridCol w:w="803"/>
        <w:gridCol w:w="687"/>
        <w:gridCol w:w="629"/>
        <w:gridCol w:w="803"/>
        <w:gridCol w:w="931"/>
        <w:gridCol w:w="1083"/>
        <w:gridCol w:w="1328"/>
        <w:gridCol w:w="674"/>
      </w:tblGrid>
      <w:tr>
        <w:trPr>
          <w:trHeight w:val="1086"/>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学历</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毕业院校</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所学专业</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专业资格证书</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从业年限</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w:t>
            </w:r>
            <w:r/>
          </w:p>
        </w:tc>
      </w:tr>
      <w:tr>
        <w:trPr>
          <w:trHeight w:val="59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（2）拟投入本项目的负责人简历表</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0"/>
        <w:gridCol w:w="1189"/>
        <w:gridCol w:w="808"/>
        <w:gridCol w:w="1428"/>
        <w:gridCol w:w="1181"/>
        <w:gridCol w:w="1491"/>
        <w:gridCol w:w="1481"/>
      </w:tblGrid>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姓</w:t>
            </w:r>
            <w:r>
              <w:rPr>
                <w:rFonts w:ascii="SimSun" w:hAnsi="SimSun" w:eastAsia="SimSun" w:cs="SimSun"/>
                <w:color w:val="000000"/>
                <w:sz w:val="21"/>
              </w:rPr>
              <w:t xml:space="preserve"> </w:t>
            </w:r>
            <w:r>
              <w:rPr>
                <w:rFonts w:ascii="SimSun" w:hAnsi="SimSun" w:eastAsia="SimSun" w:cs="SimSun"/>
                <w:color w:val="000000"/>
                <w:sz w:val="22"/>
              </w:rPr>
              <w:t xml:space="preserve">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性</w:t>
            </w:r>
            <w:r>
              <w:rPr>
                <w:rFonts w:ascii="SimSun" w:hAnsi="SimSun" w:eastAsia="SimSun" w:cs="SimSun"/>
                <w:color w:val="000000"/>
                <w:sz w:val="21"/>
              </w:rPr>
              <w:t xml:space="preserve"> </w:t>
            </w:r>
            <w:r>
              <w:rPr>
                <w:rFonts w:ascii="SimSun" w:hAnsi="SimSun" w:eastAsia="SimSun" w:cs="SimSun"/>
                <w:color w:val="000000"/>
                <w:sz w:val="22"/>
              </w:rPr>
              <w:t xml:space="preserve">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出生日期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  月</w:t>
            </w:r>
            <w:r>
              <w:rPr>
                <w:rFonts w:ascii="SimSun" w:hAnsi="SimSun" w:eastAsia="SimSun" w:cs="SimSun"/>
                <w:color w:val="000000"/>
                <w:sz w:val="21"/>
              </w:rPr>
              <w:t xml:space="preserve"> </w:t>
            </w:r>
            <w:r>
              <w:rPr>
                <w:rFonts w:ascii="SimSun" w:hAnsi="SimSun" w:eastAsia="SimSun" w:cs="SimSun"/>
                <w:color w:val="000000"/>
                <w:sz w:val="22"/>
              </w:rPr>
              <w:t xml:space="preserve">  日</w:t>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毕业院校</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毕业时间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45"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年</w:t>
            </w:r>
            <w:r>
              <w:rPr>
                <w:rFonts w:ascii="SimSun" w:hAnsi="SimSun" w:eastAsia="SimSun" w:cs="SimSun"/>
                <w:color w:val="000000"/>
                <w:sz w:val="21"/>
              </w:rPr>
              <w:t xml:space="preserve"> </w:t>
            </w:r>
            <w:r>
              <w:rPr>
                <w:rFonts w:ascii="SimSun" w:hAnsi="SimSun" w:eastAsia="SimSun" w:cs="SimSun"/>
                <w:color w:val="000000"/>
                <w:sz w:val="22"/>
              </w:rPr>
              <w:t xml:space="preserve">  月</w:t>
            </w:r>
            <w:r>
              <w:rPr>
                <w:rFonts w:ascii="SimSun" w:hAnsi="SimSun" w:eastAsia="SimSun" w:cs="SimSun"/>
                <w:color w:val="000000"/>
                <w:sz w:val="21"/>
              </w:rPr>
              <w:t xml:space="preserve"> </w:t>
            </w:r>
            <w:r>
              <w:rPr>
                <w:rFonts w:ascii="SimSun" w:hAnsi="SimSun" w:eastAsia="SimSun" w:cs="SimSun"/>
                <w:color w:val="000000"/>
                <w:sz w:val="22"/>
              </w:rPr>
              <w:t xml:space="preserve">  日</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专业</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从事本专业时间</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职称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执业资格</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联系方式</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55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8"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主</w:t>
            </w:r>
            <w:r>
              <w:rPr>
                <w:rFonts w:ascii="SimSun" w:hAnsi="SimSun" w:eastAsia="SimSun" w:cs="SimSun"/>
                <w:color w:val="000000"/>
                <w:sz w:val="21"/>
              </w:rPr>
              <w:t xml:space="preserve"> </w:t>
            </w:r>
            <w:r>
              <w:rPr>
                <w:rFonts w:ascii="SimSun" w:hAnsi="SimSun" w:eastAsia="SimSun" w:cs="SimSun"/>
                <w:color w:val="000000"/>
                <w:sz w:val="22"/>
              </w:rPr>
              <w:t xml:space="preserve"> 要</w:t>
            </w:r>
            <w:r>
              <w:rPr>
                <w:rFonts w:ascii="SimSun" w:hAnsi="SimSun" w:eastAsia="SimSun" w:cs="SimSun"/>
                <w:color w:val="000000"/>
                <w:sz w:val="21"/>
              </w:rPr>
              <w:t xml:space="preserve"> </w:t>
            </w:r>
            <w:r>
              <w:rPr>
                <w:rFonts w:ascii="SimSun" w:hAnsi="SimSun" w:eastAsia="SimSun" w:cs="SimSun"/>
                <w:color w:val="000000"/>
                <w:sz w:val="22"/>
              </w:rPr>
              <w:t xml:space="preserve"> 经</w:t>
            </w:r>
            <w:r>
              <w:rPr>
                <w:rFonts w:ascii="SimSun" w:hAnsi="SimSun" w:eastAsia="SimSun" w:cs="SimSun"/>
                <w:color w:val="000000"/>
                <w:sz w:val="21"/>
              </w:rPr>
              <w:t xml:space="preserve"> </w:t>
            </w:r>
            <w:r>
              <w:rPr>
                <w:rFonts w:ascii="SimSun" w:hAnsi="SimSun" w:eastAsia="SimSun" w:cs="SimSun"/>
                <w:color w:val="000000"/>
                <w:sz w:val="22"/>
              </w:rPr>
              <w:t xml:space="preserve"> 历</w:t>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时</w:t>
            </w:r>
            <w:r>
              <w:rPr>
                <w:rFonts w:ascii="SimSun" w:hAnsi="SimSun" w:eastAsia="SimSun" w:cs="SimSun"/>
                <w:color w:val="000000"/>
                <w:sz w:val="21"/>
              </w:rPr>
              <w:t xml:space="preserve"> </w:t>
            </w:r>
            <w:r>
              <w:rPr>
                <w:rFonts w:ascii="SimSun" w:hAnsi="SimSun" w:eastAsia="SimSun" w:cs="SimSun"/>
                <w:color w:val="000000"/>
                <w:sz w:val="22"/>
              </w:rPr>
              <w:t xml:space="preserve">  间</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21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参加过的项目名称及规模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该项目中任职</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附件六、服务要求对照偏离表</w:t>
      </w:r>
      <w:r/>
    </w:p>
    <w:p>
      <w:pPr>
        <w:ind w:left="0" w:right="0" w:firstLine="0"/>
        <w:jc w:val="center"/>
        <w:spacing w:before="0" w:after="0" w:line="85" w:lineRule="atLeast"/>
        <w:tabs>
          <w:tab w:val="left" w:pos="8930" w:leader="none"/>
          <w:tab w:val="left" w:pos="930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服务要求对照偏离表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采购编号：</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3"/>
        <w:gridCol w:w="1961"/>
        <w:gridCol w:w="1766"/>
        <w:gridCol w:w="1569"/>
        <w:gridCol w:w="1853"/>
        <w:gridCol w:w="987"/>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服务内容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招标要求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投标要求</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偏离/响应</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90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6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569"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5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987"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格式七、商务条款偏离表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商务条款偏离表</w:t>
      </w:r>
      <w:r/>
    </w:p>
    <w:p>
      <w:pPr>
        <w:ind w:left="0" w:right="0" w:firstLine="5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采购编号：</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3"/>
        <w:gridCol w:w="3243"/>
        <w:gridCol w:w="2154"/>
        <w:gridCol w:w="2026"/>
        <w:gridCol w:w="961"/>
      </w:tblGrid>
      <w:tr>
        <w:trPr>
          <w:trHeight w:val="46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偏离说明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43"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54"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6"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1" w:type="dxa"/>
            <w:vAlign w:val="top"/>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注：1.投标单位提交的投标文件应在本表中将投标文件实际响应的服务、商务部分与招标文件的服务、商务部分进行逐项对应列出对比，并在“偏离说明”项下填写以下内容：优于的，填写“正偏离”；符合的，填写“无偏离”；低于的，填写“负偏离”。</w:t>
      </w:r>
      <w:r/>
    </w:p>
    <w:p>
      <w:pPr>
        <w:ind w:left="0" w:right="0" w:firstLine="8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2.若事项较多，投标单位可根据投标内容的实际情况另纸说明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格式八、类似业绩一览表</w:t>
      </w:r>
      <w:r/>
    </w:p>
    <w:p>
      <w:pPr>
        <w:ind w:left="0" w:right="0" w:firstLine="38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2"/>
        </w:rPr>
        <w:t xml:space="preserve">类似业绩一览表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22"/>
        </w:rPr>
        <w:t xml:space="preserve">采购编号：</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813"/>
        <w:gridCol w:w="2585"/>
        <w:gridCol w:w="1023"/>
        <w:gridCol w:w="1023"/>
        <w:gridCol w:w="1021"/>
      </w:tblGrid>
      <w:tr>
        <w:trPr>
          <w:trHeight w:val="39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采购人</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合同金额</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签订日期</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备注</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r>
        <w:trPr>
          <w:trHeight w:val="39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8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58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2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tc>
      </w:tr>
    </w:tbl>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格式九、资格证明文件</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（1）关于资格文件的声明函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关于资格文件的声明函</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19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6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本公司愿就由贵公司组织实施的采购编号为</w:t>
      </w:r>
      <w:r>
        <w:rPr>
          <w:rFonts w:ascii="SimSun" w:hAnsi="SimSun" w:eastAsia="SimSun" w:cs="SimSun"/>
          <w:color w:val="000000"/>
          <w:sz w:val="24"/>
          <w:u w:val="single"/>
        </w:rPr>
        <w:t xml:space="preserve">          </w:t>
      </w:r>
      <w:r>
        <w:rPr>
          <w:rFonts w:ascii="SimSun" w:hAnsi="SimSun" w:eastAsia="SimSun" w:cs="SimSun"/>
          <w:color w:val="000000"/>
          <w:sz w:val="24"/>
        </w:rPr>
        <w:t xml:space="preserve">号的招标活动进行投标。本公司所提交的投标文件中所有关于投标资格的文件、证明和陈述均是真实的、准确的。若与真实情况不符，本公司愿意承担由此而产生的一切后果。</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ab/>
        <w:tab/>
        <w:tab/>
        <w:tab/>
      </w:r>
      <w:r/>
    </w:p>
    <w:p>
      <w:pPr>
        <w:pStyle w:val="825"/>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投标单位：（单位公章）</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（2）投标人情况表</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投标人情况表</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67"/>
        <w:gridCol w:w="1788"/>
        <w:gridCol w:w="1446"/>
        <w:gridCol w:w="2049"/>
        <w:gridCol w:w="12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216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95"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0"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8"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6"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79"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自有面积平方米</w:t>
            </w:r>
            <w:r/>
          </w:p>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承租面积平方米</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（包括财政、工商、税务、物价、技监部门稽查情况和结果）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（包括解决方式和结果）</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67"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513" w:type="dxa"/>
            <w:vAlign w:val="top"/>
            <w:textDirection w:val="lrTb"/>
            <w:noWrap w:val="false"/>
          </w:tcPr>
          <w:p>
            <w:pPr>
              <w:ind w:left="0" w:right="0" w:firstLine="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（3）供应商与其他单位存在控股、管理关系情况表</w:t>
      </w:r>
      <w:r/>
    </w:p>
    <w:p>
      <w:pPr>
        <w:ind w:left="0" w:right="0" w:firstLine="0"/>
        <w:jc w:val="center"/>
        <w:spacing w:before="100" w:after="10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供应商与其他单位存在控股、管理关系情况表</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9"/>
        <w:gridCol w:w="3946"/>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bl>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注：投标单位应当按实填写所有与之有控股、管理关系的情况。</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（4）中小企业声明函</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中小企业声明函（工程、服务）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 </w:t>
      </w:r>
      <w:r>
        <w:rPr>
          <w:rFonts w:ascii="SimSun" w:hAnsi="SimSun" w:eastAsia="SimSun" w:cs="SimSun"/>
          <w:color w:val="000000"/>
          <w:sz w:val="24"/>
        </w:rPr>
        <w:t xml:space="preserve">号）的规定，本公司（联合体）参加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 </w:t>
      </w:r>
      <w:r>
        <w:rPr>
          <w:rFonts w:ascii="SimSun" w:hAnsi="SimSun" w:eastAsia="SimSun" w:cs="SimSun"/>
          <w:color w:val="000000"/>
          <w:sz w:val="24"/>
          <w:u w:val="single"/>
        </w:rPr>
        <w:t xml:space="preserve">                    （项目名称）</w:t>
      </w:r>
      <w:r>
        <w:rPr>
          <w:rFonts w:ascii="SimSun" w:hAnsi="SimSun" w:eastAsia="SimSun" w:cs="SimSun"/>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1. </w:t>
      </w: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软件和信息技术服务业</w:t>
      </w:r>
      <w:r>
        <w:rPr>
          <w:rFonts w:ascii="SimSun" w:hAnsi="SimSun" w:eastAsia="SimSun" w:cs="SimSun"/>
          <w:color w:val="000000"/>
          <w:sz w:val="24"/>
        </w:rPr>
        <w:t xml:space="preserve">；承建（承接）企业为  </w:t>
      </w:r>
      <w:r>
        <w:rPr>
          <w:rFonts w:ascii="SimSun" w:hAnsi="SimSun" w:eastAsia="SimSun" w:cs="SimSun"/>
          <w:color w:val="000000"/>
          <w:sz w:val="24"/>
          <w:u w:val="single"/>
        </w:rPr>
        <w:t xml:space="preserve">                                      （企业名称）</w:t>
      </w:r>
      <w:r>
        <w:rPr>
          <w:rFonts w:ascii="SimSun" w:hAnsi="SimSun" w:eastAsia="SimSun" w:cs="SimSun"/>
          <w:color w:val="000000"/>
          <w:sz w:val="24"/>
        </w:rPr>
        <w:t xml:space="preserve">，从业人员人，营业收入为万元，资产总额为万元，属于</w:t>
      </w:r>
      <w:r>
        <w:rPr>
          <w:rFonts w:ascii="SimSun" w:hAnsi="SimSun" w:eastAsia="SimSun" w:cs="SimSun"/>
          <w:color w:val="000000"/>
          <w:sz w:val="24"/>
          <w:u w:val="single"/>
        </w:rPr>
        <w:t xml:space="preserve">（中型企业、小型企业、微型企业，三者选一填写）</w:t>
      </w:r>
      <w:r>
        <w:rPr>
          <w:rFonts w:ascii="SimSun" w:hAnsi="SimSun" w:eastAsia="SimSun" w:cs="SimSun"/>
          <w:color w:val="000000"/>
          <w:sz w:val="24"/>
        </w:rPr>
        <w:t xml:space="preserve">；</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48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w:t>
      </w:r>
      <w:r/>
    </w:p>
    <w:p>
      <w:pPr>
        <w:ind w:left="0" w:right="48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1.提供的中小企业声明函须加盖有公章的彩色扫描件上传至电子投标文件中（如属于）。否则不可享受相应扶持政策。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2.如供应商认定本企业为小型或微型企业，则需根据“工信部联企业〔2011〕300号”通知中的《中小企业划型标准规定》填报“中小企业声明函”。</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3.从业人员、营业收入、资产总额填报上一年度数据，无上一年度数据的新成立企业可不填报。</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4.中小企业划分标准详见“工信部联企业〔2011〕300号通知中的《中小企业划型标准规定》”。</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5.《中小企业声明函》中所填的行业应与本采购标的对应的中小企业划分标准所属行业一致，不一致的不可享受相应政策优惠。</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6.如未对（中型企业、小型企业、微型企业）进行勾选，视同非小微企业，不可享受相应扶持政策。</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7.中标单位为中小微企业的，《中小企业声明函》将随中标结果同时公告。</w:t>
      </w:r>
      <w:r/>
    </w:p>
    <w:p>
      <w:pPr>
        <w:ind w:left="0" w:right="0" w:firstLine="482"/>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8.未尽事宜按照《苏州市政府采购促进中小企业发展实施意见》执行。</w:t>
      </w:r>
      <w:r/>
    </w:p>
    <w:p>
      <w:pPr>
        <w:ind w:left="0" w:right="0" w:firstLine="48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9.若供应商提供的“中小企业声明函”内容不实的，属于提供虚假材料谋取中标、成交，依照《中华人民共和国政府采购法》等国家有关规定追究相应责任。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（5）残疾人福利性单位声明函</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本单位对上述声明的真实性负责。如有虚假，将依法承担相应责任。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单位名称（盖章）：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241"/>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single"/>
        </w:rPr>
        <w:t xml:space="preserve">注：提供的残疾人福利性单位声明函须加盖有公章的彩色扫描件上传至电子投标文件中（如属于）。否则不可享受相应扶持政策。</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格式十、关于符合本国产品标准的声明函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96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第四章 招标书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江苏京苏项目管理咨询有限公司作为招标代理机构，受苏州工业园区唯亭街道办事处的委托，就其所需的阳澄湖半岛治安联防队社区监控维护项目进行国内公开招标。</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一、采购编号</w:t>
      </w:r>
      <w:r>
        <w:rPr>
          <w:rFonts w:ascii="SimSun" w:hAnsi="SimSun" w:eastAsia="SimSun" w:cs="SimSun"/>
          <w:color w:val="000000"/>
          <w:sz w:val="24"/>
        </w:rPr>
        <w:t xml:space="preserve">：JSZC-320591-PMJS-G2026-0030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二、招标项目：</w:t>
      </w:r>
      <w:r>
        <w:rPr>
          <w:rFonts w:ascii="SimSun" w:hAnsi="SimSun" w:eastAsia="SimSun" w:cs="SimSun"/>
          <w:color w:val="000000"/>
          <w:sz w:val="24"/>
        </w:rPr>
        <w:t xml:space="preserve">阳澄湖半岛治安联防队社区监控维护项目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三、采购预算：</w:t>
      </w:r>
      <w:r>
        <w:rPr>
          <w:rFonts w:ascii="SimSun" w:hAnsi="SimSun" w:eastAsia="SimSun" w:cs="SimSun"/>
          <w:color w:val="000000"/>
          <w:sz w:val="24"/>
        </w:rPr>
        <w:t xml:space="preserve">人民币叁佰零柒万柒仟玖佰贰拾伍元整（¥：3077925元）（含代理费）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四、采购要求：</w:t>
      </w:r>
      <w:r/>
    </w:p>
    <w:p>
      <w:pPr>
        <w:ind w:left="0" w:right="0" w:firstLine="46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（一）</w:t>
      </w:r>
      <w:r>
        <w:rPr>
          <w:rFonts w:ascii="SimSun" w:hAnsi="SimSun" w:eastAsia="SimSun" w:cs="SimSun"/>
          <w:b/>
          <w:color w:val="000000"/>
          <w:sz w:val="24"/>
        </w:rPr>
        <w:t xml:space="preserve">项目概述</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对唯亭街道东区社区监控系统进行维保，包括模拟监控点、高清监控点、机房设备、存储设备、社区监控室屏幕墙显示器等。主要包括唯亭街道东区东亭、夏亭、亭南、怡邻花园一区、怡邻花园二区、怡邻花园四区、怡邻花园五区、唯锦苑小区及地下车库、青苑一区、青苑二区、青苑三区、青苑四区、青苑五区、青苑六区、畅苑一区、畅苑二区、畅苑三区、畅苑四区、青灯新村、青灯北八、青灯北九、亭苑A区、亭苑B区、悬珠东区、悬珠西区、青苑新六区、亭苑及新镇地下车库、阳澄人家东区、阳澄人家西区、厦亭家园电动车棚、亭苑社区电动车棚、青苑新二区、唯</w:t>
      </w:r>
      <w:r>
        <w:rPr>
          <w:rFonts w:ascii="SimSun" w:hAnsi="SimSun" w:eastAsia="SimSun" w:cs="SimSun"/>
          <w:color w:val="000000"/>
          <w:sz w:val="24"/>
        </w:rPr>
        <w:t xml:space="preserve">亭苑、施家浜社区等，约5553个监控点位，涉及高清、模拟监控系统、小区出入口人像及车辆抓拍系统维保；2027年1月份起增加唯亭街道东区电动车棚监控维护，包括13个社区共计1924个监控点位进行维保。</w:t>
      </w:r>
      <w:r/>
    </w:p>
    <w:p>
      <w:pPr>
        <w:ind w:left="0" w:right="0" w:firstLine="466"/>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
          <w:sz w:val="24"/>
        </w:rPr>
        <w:t xml:space="preserve">（二）服务内容</w:t>
      </w:r>
      <w:r/>
    </w:p>
    <w:p>
      <w:pPr>
        <w:ind w:left="0" w:right="0" w:firstLine="4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1、以上社区监控系统采用模数结合的方式，前端设备主要涉及海康威视摄像机，中心端存储设备主要为海康威视等品牌的DVR、NVR，视频综合平台为海康威视和科达平台，网络传输为公安专用视频网。</w:t>
      </w:r>
      <w:r/>
    </w:p>
    <w:p>
      <w:pPr>
        <w:ind w:left="0" w:right="0" w:firstLine="464"/>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2、针对上述社区监控系统及</w:t>
      </w:r>
      <w:r>
        <w:rPr>
          <w:rFonts w:ascii="SimSun" w:hAnsi="SimSun" w:eastAsia="SimSun" w:cs="SimSun"/>
          <w:color w:val="000000"/>
          <w:sz w:val="24"/>
        </w:rPr>
        <w:t xml:space="preserve">电动车棚监控</w:t>
      </w:r>
      <w:r>
        <w:rPr>
          <w:rFonts w:ascii="SimSun" w:hAnsi="SimSun" w:eastAsia="SimSun" w:cs="SimSun"/>
          <w:color w:val="000000"/>
          <w:spacing w:val="-4"/>
          <w:sz w:val="24"/>
        </w:rPr>
        <w:t xml:space="preserve">进行维保，确保监控系统的正常运行。</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（三）维保设备清单:</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1、监控系统维护清单</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8"/>
        <w:gridCol w:w="2303"/>
        <w:gridCol w:w="1403"/>
        <w:gridCol w:w="1434"/>
        <w:gridCol w:w="1692"/>
        <w:gridCol w:w="1845"/>
      </w:tblGrid>
      <w:tr>
        <w:trPr>
          <w:trHeight w:val="6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小区名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模拟监控</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高清监控摄像机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人像抓拍摄像机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车辆抓拍摄像机</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夏亭</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亭南</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怡邻花园一区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怡邻花园二区</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怡邻花园四区</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怡邻花园五区</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唯锦苑小区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青苑一区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青苑二区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青苑三区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青苑四区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青苑五区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青苑六区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畅苑一区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畅苑二区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畅苑三区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畅苑四区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青灯新村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青灯北八</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青灯北九</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亭苑A区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亭苑B区</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悬珠东区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vMerge w:val="restart"/>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悬珠西区</w:t>
            </w:r>
            <w:r/>
          </w:p>
        </w:tc>
        <w:tc>
          <w:tcPr>
            <w:vMerge w:val="continue"/>
            <w:textDirection w:val="lrTb"/>
            <w:noWrap w:val="false"/>
          </w:tcPr>
          <w:p>
            <w:r/>
            <w:r/>
          </w:p>
        </w:tc>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青苑新六区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亭苑及新镇地下车库</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阳澄人家东区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阳澄人家西区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厦亭家园电动车棚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亭苑社区电动车棚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青苑新二区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r>
      <w:tr>
        <w:trPr>
          <w:trHeight w:val="4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唯亭苑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2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施家浜社区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r>
      <w:tr>
        <w:trPr>
          <w:trHeight w:val="4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3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2"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5"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2、电动车棚监控点位</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5"/>
        <w:gridCol w:w="3871"/>
        <w:gridCol w:w="2339"/>
        <w:gridCol w:w="2339"/>
      </w:tblGrid>
      <w:tr>
        <w:trPr>
          <w:trHeight w:val="4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社区名称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4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56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悬珠社区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泾上社区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青苑社区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戈巷社区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新镇社区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怡邻社区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浦田社区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东亭家园</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厦亭社区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阳澄社区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亭苑社区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施家浜社区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1"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亭南社区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05"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87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 1924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39"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（四）监控系统维保要求：</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1、服务目标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保障本项目维护范围内系统及设备的正常运行，要求对设备进行定期的预防性维护，做好系统运行的调优工作，及时发现系统存在的潜在隐患；当设备发生故障时，确保采购单位系统设备设施能得到及时维护。同时，中标单位可通过建立运维管理平台对维保服务进行统一管理，实现系统故障接收、人车调配、数据记录、统计分析、故障研判等功能，以提高维保效率。</w:t>
      </w:r>
      <w:r/>
    </w:p>
    <w:p>
      <w:pPr>
        <w:numPr>
          <w:ilvl w:val="0"/>
          <w:numId w:val="4"/>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服务内容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维保过程中，如前端监控设备出现无画面、画面模糊、雪花等故障且无法修复的情况，需更换前端设备，更换设备性能、参数不得低于原产品，更换数量不超过监控点总数量的5%。</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2.2针对各监控室机房，硬盘录像机与硬盘故障损坏的，要及时更换，保障监控存储正常，不低于30天存储量。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投标单位需承诺在苏州本地常驻服务机构，提供长期驻场技术服务支持。中标单位需派出项目经理1名，项目技术负责人1名，不少于2名技术人员对各小区监控中心的维保设备进行日常巡检，及时发现并迅速排除设备故障，保障系统的正常运行；不少于4名技术人员和不少于2辆专业车辆对监控系统外场进行维保服务，并配备必要的维修装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2.4中标单位对维保范围内所有设备进行定期巡检服务，及时发现设备的损坏或系统的功能异常。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2.5中标单位对维保范围内所有设备进行必要的定期保养服务。</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2.6中标单位负责监控平台软件的功能维护及软件版本升级。</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重大事件和重大活动技术支持和现场保障服务：一年一度“两会”保障、会议或群体性活动保障等，配合主办方和公安部门做好相关工作；保障活动现场监控点的正常运行、故障修复、调取录像等，确保活动的顺利进行；具体要求如下：</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2.7.1保障任务所涉及到监控点位的前端及中心端须根据规模分别安排一定数量的专业工程技术人员进行保障；同时配备技术人员在采购单位或组委会指定地点进行24小时值班，随时响应。</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2.7.2所有技术人员须做到实时响应、随时排除故障，并配合采购单位或组委会完成交办的其他紧急任务；同时必须保障所涉点位视频监控图像100%的完好率，并做好增加临时点位、点位移位、摄像机角度调整等。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2.7.3所有的保障任务涉及的费用包含在本次报价中。</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3、维修时限要求</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当设备及其承载的系统发生故障，中标单位需2小时内响应（即在接到采购单位的维修要求后，做出具体的维修安排），同时需满足下列要求：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3.1故障导致监控平台不能正常运行中标单位应在4小时内恢复系统；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3.2外场设备故障中标单位应在8小时内恢复；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3.3故障不影响平台系统运行则中标单位应在24小时内恢复系统；</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3.4特殊原因导致的故障，如停电原因、道路施工、点位迁移、不可抗力（含极端天气）等因素向采购单位报备的，则对中标单位响应时间从特殊原因解除后开始计算；</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3.5中标单位应承担因操作失误而造成故障扩大、数据损坏等的赔偿和安全责任；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3.6每次维修必须进行详细记录并经使用方确认，每月向采购单位报送维修报表。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4、日常巡检和保养要求</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4.1定期对维保范围内设备的网络、硬件设备、软件系统、存储数据进行巡检、保养；</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4.2定期对所有外场设备进行巡检、保养；</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4.3定期对所有外场设备的金属部件进行防锈保养；</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4.4每次巡检、保养必须进行详细记录并经使用方确认，每月向采购单位报送巡检、保养报表；每周报修完毕的点位须报采购单位签字确认；</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4.5平时按需进行球机清洁，对于蚊虫较多的球机点位需增加清洁次数，在重大活动和重要节日前，对所有摄像机清洁一次；</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4.6为了保证维保工作按时按质完成，采购人制定考核制度，对维保工作未达标的情况予以扣除相应比例的维保费，具体考核内容如下：</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考核内容</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02"/>
        <w:gridCol w:w="4875"/>
        <w:gridCol w:w="1973"/>
      </w:tblGrid>
      <w:tr>
        <w:trPr>
          <w:trHeight w:val="34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内容</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考核分</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02" w:type="dxa"/>
            <w:vAlign w:val="center"/>
            <w:vMerge w:val="restart"/>
            <w:textDirection w:val="lrTb"/>
            <w:noWrap w:val="false"/>
          </w:tcPr>
          <w:p>
            <w:pPr>
              <w:ind w:left="0" w:right="0" w:firstLine="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基础管理（25分）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26"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2"/>
              </w:rPr>
              <w:t xml:space="preserve">工作计划管理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28"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规章制度执行管理</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32"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故障维修、巡检、保养记录</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33"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月维护报表</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02" w:type="dxa"/>
            <w:vAlign w:val="center"/>
            <w:vMerge w:val="restart"/>
            <w:textDirection w:val="lrTb"/>
            <w:noWrap w:val="false"/>
          </w:tcPr>
          <w:p>
            <w:pPr>
              <w:ind w:left="0" w:right="0" w:firstLine="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质量管理（70分）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35"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2"/>
              </w:rPr>
              <w:t xml:space="preserve">日常维护</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36"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2"/>
              </w:rPr>
              <w:t xml:space="preserve">定期巡检、保养</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4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2"/>
              </w:rPr>
              <w:t xml:space="preserve">故障修复</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4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2"/>
              </w:rPr>
              <w:t xml:space="preserve">故障响应速度</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42"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硬件系统完好率</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43"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软件系统完好率</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47"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9"/>
                <w:sz w:val="22"/>
              </w:rPr>
              <w:t xml:space="preserve">对重大事件、活动的现场保障</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340"/>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47"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备品备件充足且完好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人员管理（5分）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0" w:right="0" w:firstLine="0"/>
              <w:spacing w:before="147"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2"/>
              </w:rPr>
              <w:t xml:space="preserve">服务质量</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340"/>
        </w:trPr>
        <w:tc>
          <w:tcPr>
            <w:gridSpan w:val="3"/>
            <w:tcBorders>
              <w:top w:val="single" w:color="000000" w:sz="8" w:space="0"/>
              <w:left w:val="single" w:color="000000" w:sz="12" w:space="0"/>
              <w:bottom w:val="single" w:color="000000" w:sz="8" w:space="0"/>
              <w:right w:val="single" w:color="000000" w:sz="12" w:space="0"/>
            </w:tcBorders>
            <w:tcMar>
              <w:left w:w="108" w:type="dxa"/>
              <w:top w:w="0" w:type="dxa"/>
              <w:right w:w="108" w:type="dxa"/>
              <w:bottom w:w="0" w:type="dxa"/>
            </w:tcMar>
            <w:tcW w:w="9050"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加分项</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软件系统无故障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108" w:right="0" w:firstLine="0"/>
              <w:spacing w:before="36"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2"/>
              </w:rPr>
              <w:t xml:space="preserve">系统平台、相关软件系统无故障</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有效投诉为0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top"/>
            <w:textDirection w:val="lrTb"/>
            <w:noWrap w:val="false"/>
          </w:tcPr>
          <w:p>
            <w:pPr>
              <w:ind w:left="103" w:right="99" w:firstLine="0"/>
              <w:spacing w:before="31"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5"/>
                <w:sz w:val="22"/>
              </w:rPr>
              <w:t xml:space="preserve">对监控运维期间的问题能够及时处理，且有效投</w:t>
            </w:r>
            <w:r>
              <w:rPr>
                <w:rFonts w:ascii="SimSun" w:hAnsi="SimSun" w:eastAsia="SimSun" w:cs="SimSun"/>
                <w:color w:val="000000"/>
                <w:spacing w:val="3"/>
                <w:sz w:val="22"/>
              </w:rPr>
              <w:t xml:space="preserve">诉为</w:t>
            </w:r>
            <w:r>
              <w:rPr>
                <w:rFonts w:ascii="SimSun" w:hAnsi="SimSun" w:eastAsia="SimSun" w:cs="SimSun"/>
                <w:color w:val="000000"/>
                <w:spacing w:val="-35"/>
                <w:sz w:val="22"/>
              </w:rPr>
              <w:t xml:space="preserve"> </w:t>
            </w:r>
            <w:r>
              <w:rPr>
                <w:rFonts w:ascii="SimSun" w:hAnsi="SimSun" w:eastAsia="SimSun" w:cs="SimSun"/>
                <w:color w:val="000000"/>
                <w:spacing w:val="3"/>
                <w:sz w:val="22"/>
              </w:rPr>
              <w:t xml:space="preserve">0</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配合采购单位完成维稳处突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参与、配合采购单位维稳处突事件处置，能按时、高效圆满完成</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r>
        <w:trPr>
          <w:trHeight w:val="34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22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配合采购单位完成大型保障任务</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487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根据完成情况打分</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97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w:t>
            </w:r>
            <w:r/>
          </w:p>
        </w:tc>
      </w:tr>
    </w:tbl>
    <w:p>
      <w:pPr>
        <w:ind w:left="0" w:right="0" w:firstLine="98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1）考评结果≥90分，实际付款金额=应付金额*100%；</w:t>
      </w:r>
      <w:r/>
    </w:p>
    <w:p>
      <w:pPr>
        <w:ind w:left="0" w:right="0" w:firstLine="98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2）90分＞考评结果≥80分，实际付款金额=应付金额*90%；</w:t>
      </w:r>
      <w:r/>
    </w:p>
    <w:p>
      <w:pPr>
        <w:ind w:left="0" w:right="0" w:firstLine="98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3）80分＞考评结果≥70分，实际付款金额=应付金额*70%；</w:t>
      </w:r>
      <w:r/>
    </w:p>
    <w:p>
      <w:pPr>
        <w:ind w:left="0" w:right="0" w:firstLine="981"/>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4）70分＞考评结果≥60分，实际付款金额=应付金额*50%；</w:t>
      </w:r>
      <w:r/>
    </w:p>
    <w:p>
      <w:pPr>
        <w:ind w:left="0" w:right="0" w:firstLine="96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5）考评结果＜60分，采购单位有权拒绝付款。</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监控点位发生故障，投标单位应在规定时间之内修复。故障点由于电力供应或光缆引起故障，从电力供应或光缆修复后开始计算。超过24小时、7天之内修复的扣款50元每个，超过7天、30天之内修复的扣款100元每个，超过30天修复的扣款500元每个。</w:t>
      </w:r>
      <w:r/>
    </w:p>
    <w:p>
      <w:pPr>
        <w:ind w:left="0" w:right="0" w:firstLine="241"/>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备品备件：</w:t>
      </w:r>
      <w:r>
        <w:rPr>
          <w:rFonts w:ascii="SimSun" w:hAnsi="SimSun" w:eastAsia="SimSun" w:cs="SimSun"/>
          <w:color w:val="000000"/>
          <w:sz w:val="24"/>
        </w:rPr>
        <w:t xml:space="preserve">配备一定数量的备品备件确保维修的及时进行，若在故障维修中用备品备件顶替原设备运行，则换下的故障设备应在最短时间内送修后作为备品备件，其中所发生的一切费用由中标单位承担。</w:t>
      </w:r>
      <w:r/>
    </w:p>
    <w:p>
      <w:pPr>
        <w:ind w:left="0" w:right="0" w:firstLine="241"/>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5、维护具体内容</w:t>
      </w:r>
      <w:r/>
    </w:p>
    <w:p>
      <w:pPr>
        <w:ind w:left="0" w:right="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中标单位可结合维护任务及要求，做好以下运维工作。</w:t>
      </w:r>
      <w:r/>
    </w:p>
    <w:p>
      <w:pPr>
        <w:ind w:left="0" w:right="0" w:firstLine="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5.1前端监控系统</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5"/>
        <w:gridCol w:w="4241"/>
        <w:gridCol w:w="2464"/>
        <w:gridCol w:w="1043"/>
      </w:tblGrid>
      <w:tr>
        <w:trPr>
          <w:trHeight w:val="34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424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检查与保养事项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摄像机、</w:t>
            </w:r>
            <w:r/>
          </w:p>
          <w:p>
            <w:pPr>
              <w:ind w:left="0" w:right="0" w:firstLine="0"/>
              <w:jc w:val="center"/>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抓拍设备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工作电压及测量、光学清洁、信号传输电缆完好性及连接状态检查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清洁无灰尘、连接正常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补光灯、</w:t>
            </w:r>
            <w:r/>
          </w:p>
          <w:p>
            <w:pPr>
              <w:ind w:left="0" w:right="0" w:firstLine="0"/>
              <w:jc w:val="center"/>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闪光灯</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灯光亮度检查、时控光控开关检查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亮度合理、控制正常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配套设施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杆件、设备箱等外观是否洁净、设备环境温度、温度检查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清洁、环境达标</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传输设备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工作状态、信号传输状态、连接状态检查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传输正常、外观整洁</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40"/>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605" w:type="dxa"/>
            <w:vAlign w:val="center"/>
            <w:textDirection w:val="lrTb"/>
            <w:noWrap w:val="false"/>
          </w:tcPr>
          <w:p>
            <w:pPr>
              <w:ind w:left="0" w:right="0" w:firstLine="0"/>
              <w:jc w:val="center"/>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取电管路</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424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电源电压电流检查、管线管路、手井检查</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46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电源供应稳定、管路无损坏</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043"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5.2中心端服务器、图形工作站、存储设备</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45"/>
        <w:gridCol w:w="1327"/>
        <w:gridCol w:w="120"/>
        <w:gridCol w:w="3454"/>
        <w:gridCol w:w="1639"/>
        <w:gridCol w:w="1369"/>
      </w:tblGrid>
      <w:tr>
        <w:trPr>
          <w:trHeight w:val="283"/>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gridSpan w:val="3"/>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检查与保养事项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2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44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 </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周围环境：确认周围温度、湿度、尘埃、油雾等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vMerge w:val="restart"/>
            <w:textDirection w:val="lrTb"/>
            <w:noWrap w:val="false"/>
          </w:tcPr>
          <w:p>
            <w:pPr>
              <w:ind w:left="0" w:right="0" w:firstLine="0"/>
              <w:jc w:val="center"/>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硬件</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电源风扇、通风过滤网、CPU风扇检查维护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无抖动，杂音</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键盘、鼠标检查保养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完好，无抖动</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内部各部件连接状况检查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完好无破损</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内外部清洁保养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清洁无灰尘</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服务器与其他设备、网络等连接状况检查，接线及连接端子紧固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牢固，无破损</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系统安全性检查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系统配置检查及系统版本</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工作正常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系统补丁程序管理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排除隐患</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系统硬盘碎片整理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速度恢复正常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系统备份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数据正确</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运行日志备份检查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数据正确</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CPU、内存使用情况、响应时间、并发用户数以及特定应用系统资源占用检查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数据库表记录检查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数据库碎片整理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速度恢复正常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数据库备份与恢复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数据正确</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数据库系统安全与性能评估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正常运行</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vMerge w:val="restart"/>
            <w:textDirection w:val="lrTb"/>
            <w:noWrap w:val="false"/>
          </w:tcPr>
          <w:p>
            <w:pPr>
              <w:ind w:left="0" w:right="0" w:firstLine="0"/>
              <w:jc w:val="center"/>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应用</w:t>
            </w:r>
            <w:r/>
          </w:p>
          <w:p>
            <w:pPr>
              <w:ind w:left="0" w:right="0" w:firstLine="0"/>
              <w:jc w:val="center"/>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程序</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应用程序源码版本检查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应用程序源码备份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查看应用程序运行故障记录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应用程序运行日志备份和清理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20"/>
              <w:jc w:val="both"/>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运行正常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420"/>
              <w:jc w:val="center"/>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应用软件性能评估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420"/>
              <w:jc w:val="both"/>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功能正常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420"/>
              <w:jc w:val="center"/>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热备功能切换测试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数据正确/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测试报告</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44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存储设备</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周围环境：确认周围温度、湿度、尘埃、油雾等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无灰尘</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电源风扇、通风过滤网检查维护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牢固，无破损</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磁盘碎片整理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内外部清洁保养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与服务器连接状况检查，接线及连接端子紧固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牢固，无破损</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44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图形工作站</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周围环境：确认周围温度、湿度、尘埃、油雾等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清洁无灰尘</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vMerge w:val="restart"/>
            <w:textDirection w:val="lrTb"/>
            <w:noWrap w:val="false"/>
          </w:tcPr>
          <w:p>
            <w:pPr>
              <w:ind w:left="0" w:right="0" w:firstLine="0"/>
              <w:jc w:val="center"/>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硬件</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电源风扇、通风过滤网、CPU风扇检查维护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清洁无灰尘</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CRT、键盘、鼠标检查保养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清洁无灰尘</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420"/>
              <w:jc w:val="center"/>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与网络连接状态检查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牢固，无破损</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系统安全性检查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系统配置检查及系统版本</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系统补丁程序管理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系统硬盘碎片整理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速度恢复正常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系统备份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监控软件</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运行日志备份和清理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正常运行</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配置参数检查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正常运行</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7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画面维护检查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4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网络传输</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设备</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901" w:type="dxa"/>
            <w:vAlign w:val="center"/>
            <w:textDirection w:val="lrTb"/>
            <w:noWrap w:val="false"/>
          </w:tcPr>
          <w:p>
            <w:pPr>
              <w:ind w:left="0" w:right="0" w:firstLine="420"/>
              <w:jc w:val="center"/>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运行状态及连接状况检查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44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UPS不间断</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输入输出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电源线连接检查并紧固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牢固，无破损</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gridSpan w:val="2"/>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电压及波形测量、谐波分析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功能试验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蓄电池放电、放电试验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功能正常/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测试报告</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gridSpan w:val="2"/>
            <w:vMerge w:val="continue"/>
            <w:textDirection w:val="lrTb"/>
            <w:noWrap w:val="false"/>
          </w:tcPr>
          <w:p>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345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逆变转自动旁路、自动旁路转手动旁路及恢复试验</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3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正常切换/</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测试报告</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36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1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5.3网络系统</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4"/>
        <w:gridCol w:w="1555"/>
        <w:gridCol w:w="3016"/>
        <w:gridCol w:w="1884"/>
        <w:gridCol w:w="1295"/>
      </w:tblGrid>
      <w:tr>
        <w:trPr>
          <w:trHeight w:val="578"/>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16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gridSpan w:val="2"/>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457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检查与保养事项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2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60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网管服务器</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周围环境：确认周围温度、湿度、尘埃、油雾等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清洁无灰尘</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vMerge w:val="restart"/>
            <w:textDirection w:val="lrTb"/>
            <w:noWrap w:val="false"/>
          </w:tcPr>
          <w:p>
            <w:pPr>
              <w:ind w:left="0" w:right="0" w:firstLine="420"/>
              <w:jc w:val="both"/>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硬件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电源风扇、通风过滤网、CPU风扇检查维护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正常清洁</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键盘、鼠标检查保养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清洁无灰尘</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系统软件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系统安全性检查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系统配置检查及系统版本</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系统补丁程序管理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系统硬盘碎片整理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速度恢复正常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3"/>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系统备份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3"/>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网管软件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检查网络状态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正常运行</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160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交换机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硬件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周围环境：确认周围温度、湿度、尘埃、油雾等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清洁无灰尘</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8"/>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运行灯状态检查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正常状态</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8"/>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电源风扇检查维护</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8"/>
        </w:trPr>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5"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系统参数检查备份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8"/>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VLAN管理参数检查备份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端口参数检查备份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48"/>
        </w:trPr>
        <w:tc>
          <w:tcPr>
            <w:vMerge w:val="continue"/>
            <w:textDirection w:val="lrTb"/>
            <w:noWrap w:val="false"/>
          </w:tcPr>
          <w:p>
            <w:r/>
            <w:r/>
          </w:p>
        </w:tc>
        <w:tc>
          <w:tcPr>
            <w:vMerge w:val="continue"/>
            <w:textDirection w:val="lrTb"/>
            <w:noWrap w:val="false"/>
          </w:tcPr>
          <w:p>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16"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冗余配置管理参数检查备份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16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光缆、双绞线</w:t>
            </w:r>
            <w:r/>
          </w:p>
        </w:tc>
        <w:tc>
          <w:tcPr>
            <w:gridSpan w:val="2"/>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4571" w:type="dxa"/>
            <w:vAlign w:val="center"/>
            <w:textDirection w:val="lrTb"/>
            <w:noWrap w:val="false"/>
          </w:tcPr>
          <w:p>
            <w:pPr>
              <w:ind w:left="0" w:right="0" w:firstLine="420"/>
              <w:jc w:val="center"/>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通讯性能测试</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8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正常通讯/</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测试报告</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1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5.4显示系统</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3"/>
        <w:gridCol w:w="3792"/>
        <w:gridCol w:w="2054"/>
        <w:gridCol w:w="1295"/>
      </w:tblGrid>
      <w:tr>
        <w:trPr>
          <w:trHeight w:val="638"/>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设备名称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检查与保养事项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rHeight w:val="2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显示单元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作为常规使用性维护，连接状态、工作状态、清洁保养、环境温湿度检测等检查；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图像处理器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功能完整性测试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9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显示管理软件</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功能完整性测试</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3"/>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vMerge w:val="restart"/>
            <w:textDirection w:val="lrTb"/>
            <w:noWrap w:val="false"/>
          </w:tcPr>
          <w:p>
            <w:pPr>
              <w:ind w:left="0" w:right="0" w:firstLine="420"/>
              <w:jc w:val="both"/>
              <w:spacing w:before="0" w:after="0" w:line="85" w:lineRule="atLeast"/>
              <w:tabs>
                <w:tab w:val="left" w:pos="420" w:leader="none"/>
              </w:tabs>
              <w:pBdr>
                <w:top w:val="none" w:color="000000" w:sz="4" w:space="0"/>
                <w:left w:val="none" w:color="000000" w:sz="4" w:space="0"/>
                <w:bottom w:val="single" w:color="000000" w:sz="8" w:space="0"/>
                <w:right w:val="none" w:color="000000" w:sz="4" w:space="0"/>
              </w:pBdr>
            </w:pPr>
            <w:r>
              <w:rPr>
                <w:rFonts w:ascii="SimSun" w:hAnsi="SimSun" w:eastAsia="SimSun" w:cs="SimSun"/>
                <w:color w:val="000000"/>
                <w:sz w:val="24"/>
              </w:rPr>
              <w:t xml:space="preserve">其他设备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作为常规使用性维护，连接状态、工作状态、清洁保养、环境温湿度检测等检查；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完好，清洁</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8"/>
        </w:trPr>
        <w:tc>
          <w:tcPr>
            <w:vMerge w:val="continue"/>
            <w:textDirection w:val="lrTb"/>
            <w:noWrap w:val="false"/>
          </w:tcPr>
          <w:p>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功能完整性测试</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05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数值显示完好</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295"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12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5.5中心应用平台</w:t>
      </w:r>
      <w:r/>
    </w:p>
    <w:tbl>
      <w:tblPr>
        <w:tblStyle w:val="86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213"/>
        <w:gridCol w:w="3792"/>
        <w:gridCol w:w="2320"/>
        <w:gridCol w:w="1029"/>
      </w:tblGrid>
      <w:tr>
        <w:trPr>
          <w:trHeight w:val="578"/>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模块名称</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检查与保养事项</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标准</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02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应用管理服务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视频应用、电子地图、查询中心、布控中心、统计中心、人脸应用、车辆应用、探针应用、视频解析、案件研判、运维应用等</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功能正常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系统内所有资源信息，组织信息，关系信息，日志信息，操作信息，运维信息，结构化信息进行数据存储备份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数据库运行正常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视频应用服务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流媒体服务、管理服务、接入服务、存储管理、大屏管理服务、视频联网服务、报警管理服务、卡口分析服务、人脸比对服务、对外接口服务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各服务功能运行正常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应用功能模块</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视频应用、电子地图、查询中心、布控功能、统计功能、人脸应用、车辆应用、视频解析应用</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各应用功能运行正常</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0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22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配置管理模块</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37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用户管理、日志管理、组织管理、卡口管理、人脸管理、结构化分析管理、报警管理、帮助中心等</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配置管理功能正常</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029" w:type="dxa"/>
            <w:vAlign w:val="top"/>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2"/>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5.6维保中信息安全保障要求</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（1）整体运维服务体系遵循信息技术服务运行维护标准，通过对系统及基础设施的高效、高安全维护来保障整个系统的稳定运行；</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（2）为了维护工作的平稳过渡，要求安排对现有设施设备较为熟悉的人员进入维护团队。服务人员应保持相对稳定，如有人员变更，应及时通知采购方；</w:t>
      </w:r>
      <w:r/>
    </w:p>
    <w:p>
      <w:pPr>
        <w:ind w:left="0" w:right="0" w:firstLine="48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严格遵循保密协议，凡涉及客户的应用系统、数据、机型配置、IP地址、软件配置等信息不得向第三方泄露，维护过程中如需涉及客户系统的数据信息，必须先通过客户方认可，维护工作的数据信息（无论是打印或介质上的数据信息）不得带离客户工作现场；</w:t>
      </w:r>
      <w:r/>
    </w:p>
    <w:p>
      <w:pPr>
        <w:ind w:left="0" w:right="0" w:firstLine="72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(4)进行维保活动时，未经采购单位允许，需保证采购单位核心网络不间断运行，不得影响采购单位相关人员业务系统的正常运行。</w:t>
      </w:r>
      <w:r/>
    </w:p>
    <w:p>
      <w:pPr>
        <w:ind w:left="0" w:right="0" w:firstLine="72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(5)进行维保活动时，涉及派出所专网操作时，未经授权不得使用U盘、移动硬盘等移动存储介质，不得违反禁止“一机两用”管理规定，否则，产生的严重后果，由中标单位自行负责。</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五、综合说明及其他：</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1、投标单位所提供的服务至少能够达到以上要求，同时明确详细的服务方案。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2、供应商必须承诺采购文件中提出的全部要求，如果其中某些条款不响应时，应在文件中逐条列出，未列出的视同响应。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3、供应商应对所投项目的全部内容进行报价，只投其中部分内容者，其投标文件将被拒绝；采购方不接受可选择性的报价方案。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4、中标后，本项目服务人员在服务期间原则上不允许更换，如确实需要更换的，必须至少提前一个月跟采购人报备，更换后的人员同样须在本单位缴纳社保，否则采购人有权终止合同。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5、本次招标报价为最终报价，投标文件中的报价</w:t>
      </w:r>
      <w:r>
        <w:rPr>
          <w:rFonts w:ascii="SimSun" w:hAnsi="SimSun" w:eastAsia="SimSun" w:cs="SimSun"/>
          <w:color w:val="000000"/>
          <w:sz w:val="24"/>
          <w:highlight w:val="white"/>
        </w:rPr>
        <w:t xml:space="preserve">包括合同期内日常维修、维护、保养、更换、人工费用、招标代理费、税费等所需全部费用；包含设备故障已无法维修或维修意义不大需更换设备的服务费用、设备费用。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6、本次采购活动不接受联合报价及分包、转包。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7、采购单位除支付本次采购项目的成交金额外不再承担其他任何费用。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8、维保期间采购单位有权不定期进行安全检查，发现重大安全隐患，经采购单位发布3次以上整改通知的，采购单位有权终止合同，如果造成损失的可以向维保单位索赔。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9、本项目服务人员按照国家劳动法规定的工作时间安排员工工作。中标单位在投标报价时应将在服务期限内最低工资标准和社保缴费标准进行调整的情况考虑在内，采购单位不再为此承担任何费用和责任。相关服务人员与采购单位无任何劳动人事关系，用工事宜由中标单位负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10、采购单位与维护人员不发生任何劳动和雇佣关系，人员由中标单位自行管理，中标单位和维保人员应遵守安全操作规章制度，若发生人身伤害等工伤事故，由中标单位自负，与采购单位无关。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11、各中标单位需根据采购单位的作息时间合理安排人员工作时间及实施方案，中标单位必须确保有专人及时到场。</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12、中标单位提供的所有服务内容都应符合已颁布的现行中华人民共和国认可的（部颁、行业）标准和国际标准化组织以及等效或更优的其他国家的权威性标准和规范的有关条文。如果这些标准内容有矛盾时，应按最高标准的条款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13、中标单位应遵守安全生产的有关管理规定，严格按照安全标准组织运营，采取必要的安全防护措施，消除隐患。由于中标单位管理或安全措施不到位造成周边环境破坏或事故的责任和因此发生的费用，由中标单位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14、中标单位必须严格按照国家法律法规相关规定，进行各项工作安排，杜绝安全事故发生（包括：人员安排、工作安排以及合法用工等）。</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知识产权：供应商应能保证所提供服务涉及到的知识产权是合法取得，并享有完整的知识产权，不会因为需方的使用而被责令停止使用、追偿或要求赔偿损失，如出现此情况，一切经济和法律责任均由供应商承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15.1中标单位因完成本项目而产生的知识产权属采购人所有，未经采购人书面同意，无论是否被采购人所采用，中标单位不得以任何方式向任何第三方提供也不得用于本项目以外的用途。</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15.2采购人提供的所有资料文件，成交供应商负有保密义务，未经采购人书面同意，不得以任何方式向任何第三方提供。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中标单位确认其设计中所使用的字体、图片、音乐等设计元素已获得权利方授权，不侵犯第三人合法权益，如因乙方使用的设计元素侵犯他人知识产权的行为而引起的索赔或诉讼，乙方应承担全部责任，并保障甲方免于承担由此造成的一切损害和损失。</w:t>
      </w:r>
      <w:r/>
    </w:p>
    <w:p>
      <w:pPr>
        <w:ind w:left="0" w:right="0" w:firstLine="480"/>
        <w:spacing w:before="240" w:after="240" w:line="85" w:lineRule="atLeast"/>
        <w:tabs>
          <w:tab w:val="left" w:pos="46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16、服务期限：一年，具体以合同签订时间为准</w:t>
      </w:r>
      <w:r>
        <w:rPr>
          <w:rFonts w:ascii="Segoe UI" w:hAnsi="Segoe UI" w:eastAsia="Segoe UI" w:cs="Segoe UI"/>
          <w:color w:val="000000"/>
          <w:sz w:val="24"/>
          <w:highlight w:val="white"/>
        </w:rPr>
        <w:t xml:space="preserve">。</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17、服务地点：采购单位指定地点。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18、付款方式：详见合同主要条款。</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19、投标单位具有质量管理、环境管理、信息安全管理、培训管理体系内控制度</w:t>
      </w:r>
      <w:r>
        <w:rPr>
          <w:rFonts w:ascii="SimSun" w:hAnsi="SimSun" w:eastAsia="SimSun" w:cs="SimSun"/>
          <w:color w:val="000000"/>
          <w:spacing w:val="-7"/>
          <w:sz w:val="24"/>
        </w:rPr>
        <w:t xml:space="preserve">。</w:t>
      </w:r>
      <w:r/>
    </w:p>
    <w:p>
      <w:pPr>
        <w:ind w:left="5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20、验收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20.1中标单位应按照采购文件的要求提供合格的服务，提供服务均为按国家规格条例的合格正规服务、符合设计规范要求。</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20.2验收标准：完全符合现行国家规范及要求，以验收通过为准。</w:t>
      </w:r>
      <w:r/>
    </w:p>
    <w:p>
      <w:pPr>
        <w:ind w:left="0" w:right="0" w:firstLine="46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4"/>
        </w:rPr>
        <w:t xml:space="preserve">20.3按照《江苏省政府采购履约验收管理办法》及《关于进一步加强履约验收管理的通知》，由采购单位及相关人员组成验收小组进行验收。</w:t>
      </w:r>
      <w:r/>
    </w:p>
    <w:p>
      <w:pPr>
        <w:numPr>
          <w:ilvl w:val="0"/>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若中标单位在服务期间，违反下列规定将被解除服务合同，并扣除剩余待支付费用。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21.1故障报修逾期不维修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合同约定抢修时效（如2/4/8小时到场），多次超时、多次故障拖延，甲方发书面整改通知逾期不改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21.2设备在线/完好率不达标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监控摄像头、NVR主机、存储设备在线率、完好率低于约定（常见≥95%/98%），整改后仍不达标。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21.3维保履约资料缺失</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拒不提交月度巡检记录、维保报告，催告15日内仍不交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人员、转包违规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擅自转包维保业务、更换维保工程师未经甲方确认、维保人员无证上岗，甲方立即解约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21.5配件造假、以次充好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更换备件为假冒伪劣产品，甲方无条件解约并追回已付维保款、索赔损失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21.6维保失职造成安全事故/行政处罚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因乙方维保缺位导致监控大面积瘫痪，发生失窃、安全事故的。</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中标单位工作人员在岗履行职责期间（包括上下班途中），发生自身的人身伤害、伤亡，均由中标单位负责处理并承担经济和道义上的责任，采购单位不承担任何责任。所有作业人员均需按照国家法律法规之规定，取得对应上岗资格证书、作业许可证书、特种作业证书等相关资格证书，方可上岗作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中标单位需严格按采购单位规定的时间完成项目的全部工作内容，如在实施的过程中出现错误、误差，需负责及时更正直至采购单位确认，并经主管部门验收合格，中标单位在项目进行过程中产生的任何安全、损坏等责任事故一律由中标单位自行承担。如遇突发情况，中标单位需协助采购单位完成需要中标单位配合的服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24、凡涉及采购文件的补充说明和修改，均以苏州政府采购网发布的内容为准。</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第五章 合同主要条款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385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政府采购合同</w:t>
      </w:r>
      <w:r/>
    </w:p>
    <w:p>
      <w:pPr>
        <w:ind w:left="0" w:right="0" w:firstLine="240"/>
        <w:spacing w:before="24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采购人（全称）：（以下简称甲方）</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供应商（全称）：（以下简称乙方）</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根据苏州工业园区唯亭街道办事处阳澄湖半岛治安联防队社区监控项目采购招标文件（编号：     ）、该项目的《中标通知书》《中华人民共和国民法典》等有关规定，为明确甲方和乙方服务过程中的权利、义务和经济责任，经双方友好协商，签订以下条款，以兹共同遵守。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一、项目名称：阳澄湖半岛治安联防队社区监控维护项目。</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二、服务期限：自合同签订生效日起1年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服务地点：甲方指定地点。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服务进度：按投标文件规定。</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服务质量要求：达到国家和省、市、区规定的技术标准。</w:t>
      </w:r>
      <w:r/>
    </w:p>
    <w:p>
      <w:pPr>
        <w:ind w:left="0" w:right="0" w:firstLine="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三、合同价款及支付方式：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1.本合同（含税）总金额为人民币</w:t>
      </w:r>
      <w:r>
        <w:rPr>
          <w:rFonts w:ascii="SimSun" w:hAnsi="SimSun" w:eastAsia="SimSun" w:cs="SimSun"/>
          <w:color w:val="000000"/>
          <w:sz w:val="24"/>
          <w:u w:val="single"/>
        </w:rPr>
        <w:t xml:space="preserve">        </w:t>
      </w:r>
      <w:r>
        <w:rPr>
          <w:rFonts w:ascii="SimSun" w:hAnsi="SimSun" w:eastAsia="SimSun" w:cs="SimSun"/>
          <w:color w:val="000000"/>
          <w:sz w:val="24"/>
        </w:rPr>
        <w:t xml:space="preserve">圆整（¥</w:t>
      </w:r>
      <w:r>
        <w:rPr>
          <w:rFonts w:ascii="SimSun" w:hAnsi="SimSun" w:eastAsia="SimSun" w:cs="SimSun"/>
          <w:color w:val="000000"/>
          <w:sz w:val="24"/>
          <w:u w:val="single"/>
        </w:rPr>
        <w:t xml:space="preserve">         </w:t>
      </w:r>
      <w:r>
        <w:rPr>
          <w:rFonts w:ascii="SimSun" w:hAnsi="SimSun" w:eastAsia="SimSun" w:cs="SimSun"/>
          <w:color w:val="000000"/>
          <w:sz w:val="24"/>
        </w:rPr>
        <w:t xml:space="preserve">）。上述金额包括所有合同期内日常维修、维护、保养、更换、人工费用、招标代理费、税费等所需全部费用；包含设备故障已无法维修或维修意义不大需更换设备的服务费用、设备费用。除非合同条款中另有规定，本合同总金额在合同实施期间不因市场变化因素而变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2.付款方式：</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2.1预付款：待合同签订生效后，甲方支付乙方合同金额的10%的预付款。</w:t>
      </w:r>
      <w:r/>
    </w:p>
    <w:p>
      <w:pPr>
        <w:ind w:left="0" w:right="0" w:firstLine="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2.2维保费用：每季度经考核后付款一次,第一次支付金额＝合同总价*25%-考核扣除费用-预付款-违约金扣款；以后支付金额=合同总价*25%-考核扣除费用-违约金扣款。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3.乙方提请甲方付款前，应提供以下资料：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3.1合格的发票。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3.2月度考核表、违约金扣款材料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3.3政府采购履约验收书。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4.支付方式：银行汇票或转账。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5.付款方式：数字人民币账户或银行转账。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5.1乙方收款账户信息如下：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账户名：</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开户行：</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5.2乙方数字人民币钱包ID：</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注：在签订合同时，乙方明确表示无需预付款或者主动要求降低预付款比例的，甲方无需支付10%的预付款。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经甲乙双方协商一致同意，在本合同签订后，若因乙方办理“园采贷”信用融资的需要，本合同第三条第5款中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7.根据现行税法对甲方征收的与本合同有关的一切税费均由甲方承担；根据现行税法对乙方征收的与本合同有关的一切税费均由乙方承担。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四、验收</w:t>
      </w:r>
      <w:r/>
    </w:p>
    <w:p>
      <w:pPr>
        <w:ind w:left="0" w:right="0" w:firstLine="0"/>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1.本采购文件适用</w:t>
      </w:r>
      <w:r>
        <w:rPr>
          <w:rFonts w:ascii="SimSun" w:hAnsi="SimSun" w:eastAsia="SimSun" w:cs="SimSun"/>
          <w:color w:val="000000"/>
          <w:spacing w:val="-3"/>
          <w:sz w:val="24"/>
        </w:rPr>
        <w:t xml:space="preserve">《关于进一步加强履约验收管理的通知》、</w:t>
      </w:r>
      <w:r>
        <w:rPr>
          <w:rFonts w:ascii="SimSun" w:hAnsi="SimSun" w:eastAsia="SimSun" w:cs="SimSun"/>
          <w:color w:val="000000"/>
          <w:sz w:val="24"/>
        </w:rPr>
        <w:t xml:space="preserve">《江苏省政府采购履约验收管理办法》的规定。</w:t>
      </w:r>
      <w:r/>
    </w:p>
    <w:p>
      <w:pPr>
        <w:ind w:left="0" w:right="0" w:firstLine="0"/>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项目验收的服务内容应通过甲方验收合格并出具验收报告。验收标准为满足采购需求的要求，在规定验收时，由甲方自行组建验收小组按照采购合同的约定对每一项技术、服务的履约情况进行确认。验收结束后,出具验收书,列明各项内容的验收情况及项目总体评价,由验收双方共同签署。验收结果与采购合同约定的资金支付挂钩。</w:t>
      </w:r>
      <w:r/>
    </w:p>
    <w:p>
      <w:pPr>
        <w:ind w:left="0" w:right="0" w:firstLine="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3.验收标准：根据招标文件中采购需求的具体要求及质量与验收相关条款进行验收，若招标文件中对验收标准的规定存在不一致之处，由甲方决定具体适用的验收标准。</w:t>
      </w:r>
      <w:r/>
    </w:p>
    <w:p>
      <w:pPr>
        <w:ind w:left="0" w:right="0" w:firstLine="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任一项验收不合格的，乙方应在甲方限定的期限内完成整改，因整改而导致的费用和损失由乙方自行承担，若因此导致项目逾期完成的，乙方应承担逾期违约责任。乙方未按甲方要求进行整改或经两次整改仍不合格的，视为乙方违约，甲方有权解除本合同，给甲方造成损失的，乙方应赔偿一切直接、间接损失。</w:t>
      </w:r>
      <w:r/>
    </w:p>
    <w:p>
      <w:pPr>
        <w:ind w:left="0" w:right="0" w:firstLine="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五、服务及售后要求</w:t>
      </w:r>
      <w:r/>
    </w:p>
    <w:p>
      <w:pPr>
        <w:ind w:left="0" w:right="0" w:firstLine="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当设备及其承载的系统发生故障，服务单位需2小时内响应（即在接到采购单位的维修要求后，做出具体的维修安排），同时需满足下列要求：</w:t>
      </w:r>
      <w:r/>
    </w:p>
    <w:p>
      <w:pPr>
        <w:ind w:left="0" w:right="0" w:firstLine="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故障导致监控平台不能正常运行服务单位应在4小时内恢复系统；</w:t>
      </w:r>
      <w:r/>
    </w:p>
    <w:p>
      <w:pPr>
        <w:ind w:left="0" w:right="0" w:firstLine="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（2）外场设备故障服务单位应在8小时内恢复；</w:t>
      </w:r>
      <w:r/>
    </w:p>
    <w:p>
      <w:pPr>
        <w:ind w:left="0" w:right="0" w:firstLine="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（3）故障不影响平台系统运行则服务单位应在24小时内恢复系统；</w:t>
      </w:r>
      <w:r/>
    </w:p>
    <w:p>
      <w:pPr>
        <w:ind w:left="0" w:right="0" w:firstLine="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（4）特殊原因导致的故障，如停电原因、道路施工、点位迁移、不可抗力（含极端天气）等因素向派出所报备的，则对服务单位响应时间从特殊原因解除后开始计算；</w:t>
      </w:r>
      <w:r/>
    </w:p>
    <w:p>
      <w:pPr>
        <w:ind w:left="0" w:right="0" w:firstLine="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（5）承担因操作失误而造成故障扩大、数据损坏、误操作等的赔偿和安全责任；</w:t>
      </w:r>
      <w:r/>
    </w:p>
    <w:p>
      <w:pPr>
        <w:ind w:left="0" w:right="0" w:firstLine="0"/>
        <w:spacing w:before="0" w:after="0" w:line="85" w:lineRule="atLeast"/>
        <w:tabs>
          <w:tab w:val="left" w:pos="180" w:leader="none"/>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（6）每次维修必须进行详细记录并经使用方确认，每月向采购单位报送维修报表。</w:t>
      </w:r>
      <w:r/>
    </w:p>
    <w:p>
      <w:pPr>
        <w:ind w:left="0" w:right="0" w:firstLine="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六、甲、乙方权利和义务</w:t>
      </w:r>
      <w:r/>
    </w:p>
    <w:p>
      <w:pPr>
        <w:ind w:left="0" w:right="0" w:firstLine="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1.甲方权利和义务</w:t>
      </w:r>
      <w:r/>
    </w:p>
    <w:p>
      <w:pPr>
        <w:ind w:left="0" w:right="0" w:firstLine="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1.1根据甲方采购要求及乙方响应文件中的承诺，对乙方提供的服务及履行本合同情况实行验收考核。</w:t>
      </w:r>
      <w:r/>
    </w:p>
    <w:p>
      <w:pPr>
        <w:ind w:left="0" w:right="0" w:firstLine="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1.2.甲方必须满足本采购文件相关要求。</w:t>
      </w:r>
      <w:r/>
    </w:p>
    <w:p>
      <w:pPr>
        <w:ind w:left="0" w:right="0" w:firstLine="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2.乙方权利和义务</w:t>
      </w:r>
      <w:r/>
    </w:p>
    <w:p>
      <w:pPr>
        <w:ind w:left="0" w:right="0" w:firstLine="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2.1.乙方根据甲方有关要求，积极主动保质保量地完成此项目。</w:t>
      </w:r>
      <w:r/>
    </w:p>
    <w:p>
      <w:pPr>
        <w:ind w:left="0" w:right="0" w:firstLine="0"/>
        <w:spacing w:before="0" w:after="0" w:line="85" w:lineRule="atLeast"/>
        <w:tabs>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2.2.乙方必须满足本采购文件要求。</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七、违约责任：合同一方不履行合同义务或者履行合同义务不符合约定的，应当承担继续履行、采取补救措施或者赔偿损失等违约责任。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1.甲方违约责任及违约金支付：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1.1在合同生效后，甲方无理由要求终止服务的，应向乙方偿付合同总价款的5%作为违约金，违约金不足以补偿损失的，乙方有权要求甲方补足。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1.2甲方逾期付款的应按照逾期付款金额的每天万分之四支付逾期付款违约金，但此项违约金不超过逾期付款金额的5%。</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1.3甲方违反合同规定，拒绝接受乙方提供服务，应当承担乙方由此造成的损失。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2.乙方违约责任及违约金支付：</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2.1乙方不能提供服务的，或交付的服务不合格从而影响甲方正常使用的，应向甲方偿付合同总价款5%的违约金，同时赔偿甲方因此产生的损失。</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乙方逾期完成的，应与甲方协商，甲方仍需求的，乙方应按照逾期合同总价款的每天万分之四支付逾期违约金，同时承担甲方因此遭致的损失费用。如乙方无正当理由，逾期超过15日未交付的，视为乙方不能履行本合同，甲方有权单方解除本合同，并要求乙方支付合同总价款10%的违约金，同时赔偿甲方相应损失。</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2.3乙方提供的服务不符合约定要求的，首次甲方有权责令乙方改正，之后每发生一次，乙方应向甲方支付合同总价款1%的违约金。</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2.4乙方如有其他违反合同约定行为的，甲方有权视其违约严重程度及自身损失情况，要求乙方支付不超过合同总价款10%的违约金，并赔偿甲方相应的损失。</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2.5乙方应赔偿甲方的损失、支付给甲方的违约金以及其他根据本合同应支付给甲方的费用，甲方有权直接从未支付款项中予以折抵，不足部分有权要求乙方补足。</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2.6甲方因处理乙方违约所产生的费用应当由乙方予以承担，该费用包括但不限于诉讼费、保全费、鉴定费、执行费、律师费、车旅费等。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八、不可抗力：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1.因不可抗力（或甲、乙双方）不能控制的原因不能履行合同的，根据不可抗力的影响，部分或者全部免除责任。但合同一方迟延履行后发生不可抗力的，不能免除责任。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九、合同修改：乙方不得擅自变更本合同，但合同继续履行将损害国家和社会公共利益的除外。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十、转让和分包：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1.政府采购合同的部分和全部都不得转让。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十一、争议解决办法：</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因本合同或与本合同有关的一切事项发生争议，由双方友好协商解决。协商不成的，任何一方均可向甲方所在地的人民法院起诉。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十二、合同的解除：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1.除《中华人民共和国政府采购法》第49条、第50条第二款规定的情形及本合同约定的情形外，本合同签订后，甲乙双方不得擅自变更、解除或终止本合同。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2.有下列情形之一，合同一方可以解除合同：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2.1因不可抗力致使不能实现合同目的，未受不可抗力影响的一方有权解除合同；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2.2因合同一方违约导致合同不能履行，另一方有权解除合同。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3.有权解除合同的一方，应当在违约事实或不可抗力发生之后三十天内书面通知对方提出解除合同，合同在书面通知到达对方时解除。</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十三、其他约定事项：</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1.下列文件为本合同不可分割部分：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1.1中标通知书；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1.2乙方的投标文件；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1.3乙方在投标中所作的其他承诺、声明、书面澄清等；</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1.4投标文件及其附件；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1.5合同附件；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以上与本合同具有同等法律效力。</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十四、合同的生效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1.本合同经甲乙双方签字并加盖公章（或合同章）后即生效。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十五、附则：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1.本合同在甲乙双方签字盖章后生效，生效合同需在合同签订后2个工作日内上传苏采云系统网上公示。</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2.合同份数：本合同一式伍份，甲方贰份，乙方壹份，采购代理机构壹份，政府采购管理部门壹份。</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3.未尽事宜：本合同未尽事宜应按《中华人民共和国民法典》《中华人民共和国政府采购法》以及其他相关法律、法规之规定解释。</w:t>
      </w:r>
      <w:r/>
    </w:p>
    <w:p>
      <w:pPr>
        <w:ind w:left="0" w:right="0" w:firstLine="21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57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甲方签章：乙方签章：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法定代表人或代理人：法定代表人或代理人：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年月日               年月日 </w:t>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 </w:t>
      </w:r>
      <w:r/>
    </w:p>
    <w:p>
      <w:pPr>
        <w:pStyle w:val="823"/>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第六章 评分标准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评标办法：</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1、评标采用综合评分法，即指投标文件满足采购文件全部实质性要求，且按照评审因素的量化指标评审得分最高的供应商为排名第一的中标候选人的评审方法。</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2、评标小组各成员独立对每个进入打分程序的有效投标供应商的投标文件技术和资质部分以打分的形式进行评审和评价。</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对评委的评分(除价格分外)进行统计汇总，直接算术平均，计算出每个投标单位的得分，加上价格得分即为每个投标单位的综合得分。评审结果按评审后得分由高到低顺序排列。得分相同的，按投标报价由低到高顺序排列。得分且投标报价相同的并列。投标文件满足采购文件全部实质性要求，且按照前述综合评审得分由高到低的排序选择前三名供应商作为中标候选人。如选取中标候选人时出现评审得分相同，且投标报价也相同的并列情况的，则由采购人组织以抽签方式确定优先选取顺序。</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4、评审小组根据采购人的授权，按照中标候选人的顺序在中标候选人中直接确定中标单位。</w:t>
      </w:r>
      <w:r/>
    </w:p>
    <w:p>
      <w:pPr>
        <w:ind w:left="0" w:right="0" w:firstLine="24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(一）价格分（30分）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第一步：投标报价低于或等于采购预算的，为有效投标报价；超采购预算为无效投标报价。无效投标报价的投标文件不进行评审，也不得中标。</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第二步：在所有有效投标报价中满足招标文件要求，且评审价格最低的评审报价为评标基准价，其价格分为30分，其他投标单位的价格分按照下列公式计算（计算结果四舍五入保留两位小数）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投标报价得分＝（评标基准价/投标报价）×30×100％</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（二）技术方案：（30 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1、对本次维保涉及项目的理解和分析（5分）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投标人可通过勘察，提出对本次维保涉及项目的理解和分析， 包括针对本维保项目系统拓扑架构、视频传输方式、与派出所、分局各级平台(高清监控、人像抓拍等)功能及联网对接情况等的熟悉程度的分析比较（画出各架构系统功能及联网的拓扑图）。理解全面，分析透彻得 5分；理解具有可行性，有分析得3分；理解分析差的得 1分；未提供不得分。</w:t>
      </w:r>
      <w:r/>
    </w:p>
    <w:p>
      <w:pPr>
        <w:ind w:left="532"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2、巡检方案：（5分）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定期巡检服务内容、巡检频次、巡检维护台账、巡检专用工具和专用车辆、依托于数字运维系统等相关内容。方案内容完整详细、针对性适用性较强的得5分；方案内容较完整、针对性适用性一般的得3分；方案内容基本完整、针对性适用性较差的得1分；未提供的不得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3、应急事件处理方案(5分)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应急事件处理方案内容描述详细全面、切合实际、可操作性强的得5分；内容描述较详细、符合实际、可操作性较强的得3分；内容描述简略、可操作性差的得1分；内容明显与本项目内容无关或基本不具备可行性不得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color w:val="000000"/>
          <w:sz w:val="24"/>
          <w:u w:val="none"/>
        </w:rPr>
        <w:t xml:space="preserve">维护</w:t>
      </w:r>
      <w:r>
        <w:rPr>
          <w:rFonts w:ascii="SimSun" w:hAnsi="SimSun" w:eastAsia="SimSun" w:cs="SimSun"/>
          <w:color w:val="000000"/>
          <w:sz w:val="24"/>
        </w:rPr>
        <w:t xml:space="preserve">服务框架：（5分）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提供为保障本项目顺利实施的维护服务框架流程图，包括但不限于运维服务中的用户方、设备厂商、维护服务方的闭环故障处理服务流程，用户的报修流程、事故分析、故障确认、一般事故、较大事故与重大事故的处理流程、事故处理后的归档、用户建议维护服务动态调整等的描述和说明。方案内容完整详细、针对性适用性较强的得5分；方案内容较完整、针对性适用性一般的得3分；方案内容基本完整、针对性适用性较差的得1分；未提供的不得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5、针对本项目提出的管理制度：（5分）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括但不限于针对本项目的管理规范、业务管理制度、安全和文明服务措施、保密管理制度等内容。方案内容完整详细、针对性适用性较强的得5分；方案内容较完整、针对性适用性一般的得3分；方案内容基本完整、针对性适用性较差的得1分；未提供的不得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6、视频设备及专用网络安全管理服务措施：（5分）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采购单位办公场所的特殊性，对专网内设备及网络的安全性需严格管理，防止因人为管理的疏漏及设备安全等级的低下引起网络安全问题，投标单位需提供相关的安全管理服务措施。安全管理服务措施全面有效的得5分；安全管理服务措施较全面且有效的得3分；安全管理服务措施描述基本全面、有效性较差的得1分；未提供的不得分。</w:t>
      </w:r>
      <w:r/>
    </w:p>
    <w:p>
      <w:pPr>
        <w:ind w:left="0" w:right="55"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（三）项目人员配备：（20分） </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经理具有注册信息安全管理人员（CISO）证书的得2分，具有网络工程师证书的得2分，具有信息安全保障人员（CISAW）认证证书（安全集成）的得2分，具有信息安全保障人员（CISAW）认证证书（安全运维）的得2分，每提供一个证书的得2分，最高得8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技术负责人具有系统规划与管理师证书的得2分，具有信息安全保障人员（CISAW）认证证书（安全运维）的得2分，具有注册信息安全工程师（CISE）证书的得2分，具有信息安全保障人员（CISAW）认证证书（风险管理）每提供一个证书的得2分，最高得8分。（项目技术负责人与项目经理不为同一人）</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3、拟配备项目组人员（项目经理和项目技术负责人除外）（4分） </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具有注册信息安全专业人员（CISP）认证证书，每提供一个证书得1分，最高得2分； </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具有CISAW信息安全保障人员认证证书 （安全运维或应急服务）的，每提供一个证书得1分，最高得2分；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注：投标文件中须提供1-3项相关人员证书复印件及投标单位为其缴纳的最近一期社保证明复印件（相关社保部门盖章），未按要求提供或未提供不得分。</w:t>
      </w:r>
      <w:r/>
    </w:p>
    <w:p>
      <w:pPr>
        <w:ind w:left="0" w:right="55"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（四）投标单位综合履约能力：20分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单位具有质量管理体系认证证书、信息安全管理体系认证证书、环境管理体系认证证书的，每提供一个得3分，最高得9分（投标文件中需提供相关证书复印件或提供有效的官方网络查询链接及查询的具有网站标志的完整页面截图，未按要求提供或未提供不得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2、投标单位具有有效期内信息系统安全运维服务资质的得3分（投标文件中提供上述证书的扫描件，未提供的不得分）。</w:t>
      </w:r>
      <w:r/>
    </w:p>
    <w:p>
      <w:pPr>
        <w:ind w:left="106" w:right="55" w:firstLine="418"/>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3、投标单位自2022年1月1日（以签订之日为准）至今承担的类似项目业绩案例，每提供一份得2分，最高得8分（投标文件中需提供相关合同复印件，未按要求提供或未提供不得分）。</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1、以上评分标准中的得分要素，均须由投标单位在投标文件中提供相应的证明资料，否则视为其不具备该条得分条件。</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2、报价超过采购预算的将不进入综合评审程序，也不得中标。</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3、付款方式、服务期如有负偏离的不得成交。</w:t>
      </w:r>
      <w:r/>
    </w:p>
    <w:p>
      <w:pPr>
        <w:ind w:left="502"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4、所有扫描件必须字迹清晰可见，字迹不清晰不得分。扫描件：指原件或者复印件的复制件，包括扫描、照片等。</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（全文完）</w:t>
      </w:r>
      <w:r/>
    </w:p>
    <w:p>
      <w:r/>
      <w:r/>
    </w:p>
    <w:sectPr>
      <w:headerReference w:type="default" r:id="rId9"/>
      <w:footerReference w:type="default" r:id="rId10"/>
      <w:footnotePr/>
      <w:endnotePr/>
      <w:type w:val="nextPage"/>
      <w:pgSz w:w="11906" w:h="16838" w:orient="portrait"/>
      <w:pgMar w:top="1134" w:right="1366" w:bottom="1134" w:left="141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ambria">
    <w:panose1 w:val="02040503050406030204"/>
  </w:font>
  <w:font w:name="Calibri">
    <w:panose1 w:val="020F0502020204030204"/>
  </w:font>
  <w:font w:name="Courier New">
    <w:panose1 w:val="02070309020205020404"/>
  </w:font>
  <w:font w:name="方正仿宋简体">
    <w:panose1 w:val="020B0503020202020204"/>
  </w:font>
  <w:font w:name="Tahoma">
    <w:panose1 w:val="020B0604030504040204"/>
  </w:font>
  <w:font w:name="楷体_GB2312">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创艺简仿宋">
    <w:panose1 w:val="020B0503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6"/>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bevel/>
                      </a:ln>
                    </wps:spPr>
                    <wps:txbx>
                      <w:txbxContent>
                        <w:p>
                          <w:pPr>
                            <w:pStyle w:val="846"/>
                          </w:pPr>
                          <w:r>
                            <w:fldChar w:fldCharType="begin"/>
                          </w:r>
                          <w:r>
                            <w:instrText xml:space="preserve"> PAGE  \* MERGEFORMAT </w:instrText>
                          </w:r>
                          <w:r>
                            <w:fldChar w:fldCharType="separate"/>
                          </w:r>
                          <w:r>
                            <w:t xml:space="preserve">72</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46"/>
                    </w:pPr>
                    <w:r>
                      <w:fldChar w:fldCharType="begin"/>
                    </w:r>
                    <w:r>
                      <w:instrText xml:space="preserve"> PAGE  \* MERGEFORMAT </w:instrText>
                    </w:r>
                    <w:r>
                      <w:fldChar w:fldCharType="separate"/>
                    </w:r>
                    <w:r>
                      <w:t xml:space="preserve">72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5"/>
      <w:ind w:left="412"/>
      <w:spacing w:before="16" w:line="191" w:lineRule="auto"/>
      <w:rPr>
        <w:rFonts w:ascii="宋体" w:hAnsi="宋体" w:cs="宋体"/>
        <w:bCs/>
        <w:sz w:val="18"/>
        <w:szCs w:val="18"/>
      </w:rPr>
    </w:pPr>
    <w:r>
      <w:rPr>
        <w:rFonts w:hint="eastAsia" w:ascii="宋体" w:hAnsi="宋体" w:cs="宋体"/>
        <w:bCs/>
        <w:sz w:val="18"/>
        <w:szCs w:val="18"/>
      </w:rPr>
      <w:t xml:space="preserve">江苏京苏项目管理咨询有限公司</w:t>
    </w:r>
    <w:r>
      <w:rPr>
        <w:rFonts w:ascii="宋体" w:hAnsi="宋体" w:cs="宋体"/>
        <w:bCs/>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257810</wp:posOffset>
              </wp:positionH>
              <wp:positionV relativeFrom="paragraph">
                <wp:posOffset>117475</wp:posOffset>
              </wp:positionV>
              <wp:extent cx="5542280" cy="508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5542280" cy="5080"/>
                      </a:xfrm>
                      <a:custGeom>
                        <a:avLst/>
                        <a:gdLst>
                          <a:gd name="gd0" fmla="val 65536"/>
                          <a:gd name="gd1" fmla="val 0"/>
                          <a:gd name="gd2" fmla="val 3"/>
                          <a:gd name="gd3" fmla="val 8727"/>
                          <a:gd name="gd4" fmla="val 3"/>
                          <a:gd name="gd5" fmla="*/ w 0 8727"/>
                          <a:gd name="gd6" fmla="*/ h 0 8"/>
                          <a:gd name="gd7" fmla="*/ w 8727 8727"/>
                          <a:gd name="gd8" fmla="*/ h 8 8"/>
                        </a:gdLst>
                        <a:ahLst/>
                        <a:cxnLst/>
                        <a:rect l="gd5" t="gd6" r="gd7" b="gd8"/>
                        <a:pathLst>
                          <a:path w="8727" h="8" fill="norm" stroke="1" extrusionOk="0">
                            <a:moveTo>
                              <a:pt x="gd1" y="gd2"/>
                            </a:moveTo>
                            <a:lnTo>
                              <a:pt x="gd3" y="gd4"/>
                            </a:lnTo>
                          </a:path>
                          <a:path w="8727" h="8"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0" o:spid="_x0000_s0" style="position:absolute;z-index:251661312;o:allowoverlap:true;o:allowincell:true;mso-position-horizontal-relative:text;margin-left:20.3pt;mso-position-horizontal:absolute;mso-position-vertical-relative:text;margin-top:9.2pt;mso-position-vertical:absolute;width:436.4pt;height:0.4pt;mso-wrap-distance-left:9.0pt;mso-wrap-distance-top:0.0pt;mso-wrap-distance-right:9.0pt;mso-wrap-distance-bottom:0.0pt;visibility:visible;" path="m0,37500l100000,37500ee" coordsize="100000,100000" filled="f" strokecolor="#000000">
              <v:path textboxrect="0,0,100000,100000"/>
            </v:shape>
          </w:pict>
        </mc:Fallback>
      </mc:AlternateContent>
    </w:r>
    <w:r>
      <w:rPr>
        <w:rFonts w:hint="eastAsia" w:ascii="宋体" w:hAnsi="宋体" w:cs="宋体"/>
        <w:bCs/>
        <w:sz w:val="18"/>
        <w:szCs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EnclosedCircle"/>
      <w:pStyle w:val="1058"/>
      <w:isLgl w:val="false"/>
      <w:suff w:val="tab"/>
      <w:lvlText w:val="%1"/>
      <w:lvlJc w:val="left"/>
      <w:pPr>
        <w:ind w:left="961" w:hanging="360"/>
        <w:tabs>
          <w:tab w:val="left" w:pos="961" w:leader="none"/>
        </w:tabs>
      </w:pPr>
    </w:lvl>
    <w:lvl w:ilvl="1">
      <w:start w:val="1"/>
      <w:numFmt w:val="lowerLetter"/>
      <w:isLgl w:val="false"/>
      <w:suff w:val="tab"/>
      <w:lvlText w:val="%2)"/>
      <w:lvlJc w:val="left"/>
      <w:pPr>
        <w:ind w:left="1441" w:hanging="420"/>
        <w:tabs>
          <w:tab w:val="left" w:pos="1441" w:leader="none"/>
        </w:tabs>
      </w:pPr>
    </w:lvl>
    <w:lvl w:ilvl="2">
      <w:start w:val="1"/>
      <w:numFmt w:val="lowerRoman"/>
      <w:isLgl w:val="false"/>
      <w:suff w:val="tab"/>
      <w:lvlText w:val="%3."/>
      <w:lvlJc w:val="right"/>
      <w:pPr>
        <w:ind w:left="1861" w:hanging="420"/>
        <w:tabs>
          <w:tab w:val="left" w:pos="1861" w:leader="none"/>
        </w:tabs>
      </w:pPr>
    </w:lvl>
    <w:lvl w:ilvl="3">
      <w:start w:val="1"/>
      <w:numFmt w:val="decimal"/>
      <w:isLgl w:val="false"/>
      <w:suff w:val="tab"/>
      <w:lvlText w:val="%4."/>
      <w:lvlJc w:val="left"/>
      <w:pPr>
        <w:ind w:left="2281" w:hanging="420"/>
        <w:tabs>
          <w:tab w:val="left" w:pos="2281" w:leader="none"/>
        </w:tabs>
      </w:pPr>
    </w:lvl>
    <w:lvl w:ilvl="4">
      <w:start w:val="1"/>
      <w:numFmt w:val="lowerLetter"/>
      <w:isLgl w:val="false"/>
      <w:suff w:val="tab"/>
      <w:lvlText w:val="%5)"/>
      <w:lvlJc w:val="left"/>
      <w:pPr>
        <w:ind w:left="2701" w:hanging="420"/>
        <w:tabs>
          <w:tab w:val="left" w:pos="2701" w:leader="none"/>
        </w:tabs>
      </w:pPr>
    </w:lvl>
    <w:lvl w:ilvl="5">
      <w:start w:val="1"/>
      <w:numFmt w:val="lowerRoman"/>
      <w:isLgl w:val="false"/>
      <w:suff w:val="tab"/>
      <w:lvlText w:val="%6."/>
      <w:lvlJc w:val="right"/>
      <w:pPr>
        <w:ind w:left="3121" w:hanging="420"/>
        <w:tabs>
          <w:tab w:val="left" w:pos="3121" w:leader="none"/>
        </w:tabs>
      </w:pPr>
    </w:lvl>
    <w:lvl w:ilvl="6">
      <w:start w:val="1"/>
      <w:numFmt w:val="decimal"/>
      <w:isLgl w:val="false"/>
      <w:suff w:val="tab"/>
      <w:lvlText w:val="%7."/>
      <w:lvlJc w:val="left"/>
      <w:pPr>
        <w:ind w:left="3541" w:hanging="420"/>
        <w:tabs>
          <w:tab w:val="left" w:pos="3541" w:leader="none"/>
        </w:tabs>
      </w:pPr>
    </w:lvl>
    <w:lvl w:ilvl="7">
      <w:start w:val="1"/>
      <w:numFmt w:val="lowerLetter"/>
      <w:isLgl w:val="false"/>
      <w:suff w:val="tab"/>
      <w:lvlText w:val="%8)"/>
      <w:lvlJc w:val="left"/>
      <w:pPr>
        <w:ind w:left="3961" w:hanging="420"/>
        <w:tabs>
          <w:tab w:val="left" w:pos="3961" w:leader="none"/>
        </w:tabs>
      </w:pPr>
    </w:lvl>
    <w:lvl w:ilvl="8">
      <w:start w:val="1"/>
      <w:numFmt w:val="lowerRoman"/>
      <w:isLgl w:val="false"/>
      <w:suff w:val="tab"/>
      <w:lvlText w:val="%9."/>
      <w:lvlJc w:val="right"/>
      <w:pPr>
        <w:ind w:left="4381" w:hanging="420"/>
        <w:tabs>
          <w:tab w:val="left" w:pos="4381" w:leader="none"/>
        </w:tabs>
      </w:p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8">
    <w:name w:val="Heading 7"/>
    <w:basedOn w:val="822"/>
    <w:next w:val="822"/>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789">
    <w:name w:val="Heading 8"/>
    <w:basedOn w:val="822"/>
    <w:next w:val="822"/>
    <w:link w:val="894"/>
    <w:uiPriority w:val="9"/>
    <w:unhideWhenUsed/>
    <w:qFormat/>
    <w:pPr>
      <w:keepLines/>
      <w:keepNext/>
      <w:spacing w:before="320" w:after="200"/>
      <w:outlineLvl w:val="7"/>
    </w:pPr>
    <w:rPr>
      <w:rFonts w:ascii="Arial" w:hAnsi="Arial" w:eastAsia="Arial" w:cs="Arial"/>
      <w:i/>
      <w:iCs/>
      <w:sz w:val="22"/>
      <w:szCs w:val="22"/>
    </w:rPr>
  </w:style>
  <w:style w:type="paragraph" w:styleId="790">
    <w:name w:val="Heading 9"/>
    <w:basedOn w:val="822"/>
    <w:next w:val="822"/>
    <w:link w:val="896"/>
    <w:uiPriority w:val="9"/>
    <w:unhideWhenUsed/>
    <w:qFormat/>
    <w:pPr>
      <w:keepLines/>
      <w:keepNext/>
      <w:spacing w:before="320" w:after="200"/>
      <w:outlineLvl w:val="8"/>
    </w:pPr>
    <w:rPr>
      <w:rFonts w:ascii="Arial" w:hAnsi="Arial" w:eastAsia="Arial" w:cs="Arial"/>
      <w:i/>
      <w:iCs/>
      <w:sz w:val="21"/>
      <w:szCs w:val="21"/>
    </w:rPr>
  </w:style>
  <w:style w:type="paragraph" w:styleId="791">
    <w:name w:val="No Spacing"/>
    <w:uiPriority w:val="1"/>
    <w:qFormat/>
    <w:pPr>
      <w:spacing w:before="0" w:after="0" w:line="240" w:lineRule="auto"/>
    </w:pPr>
  </w:style>
  <w:style w:type="character" w:styleId="792">
    <w:name w:val="Title Char"/>
    <w:basedOn w:val="829"/>
    <w:link w:val="860"/>
    <w:uiPriority w:val="10"/>
    <w:rPr>
      <w:sz w:val="48"/>
      <w:szCs w:val="48"/>
    </w:rPr>
  </w:style>
  <w:style w:type="character" w:styleId="793">
    <w:name w:val="Subtitle Char"/>
    <w:basedOn w:val="829"/>
    <w:link w:val="850"/>
    <w:uiPriority w:val="11"/>
    <w:rPr>
      <w:sz w:val="24"/>
      <w:szCs w:val="24"/>
    </w:rPr>
  </w:style>
  <w:style w:type="paragraph" w:styleId="794">
    <w:name w:val="Quote"/>
    <w:basedOn w:val="822"/>
    <w:next w:val="822"/>
    <w:link w:val="795"/>
    <w:uiPriority w:val="29"/>
    <w:qFormat/>
    <w:pPr>
      <w:ind w:left="720" w:right="720"/>
    </w:pPr>
    <w:rPr>
      <w:i/>
    </w:rPr>
  </w:style>
  <w:style w:type="character" w:styleId="795">
    <w:name w:val="Quote Char"/>
    <w:link w:val="794"/>
    <w:uiPriority w:val="29"/>
    <w:rPr>
      <w:i/>
    </w:rPr>
  </w:style>
  <w:style w:type="paragraph" w:styleId="796">
    <w:name w:val="Intense Quote"/>
    <w:basedOn w:val="822"/>
    <w:next w:val="822"/>
    <w:link w:val="79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name w:val="Intense Quote Char"/>
    <w:link w:val="796"/>
    <w:uiPriority w:val="30"/>
    <w:rPr>
      <w:i/>
    </w:rPr>
  </w:style>
  <w:style w:type="paragraph" w:styleId="798">
    <w:name w:val="Caption"/>
    <w:basedOn w:val="822"/>
    <w:next w:val="822"/>
    <w:uiPriority w:val="35"/>
    <w:semiHidden/>
    <w:unhideWhenUsed/>
    <w:qFormat/>
    <w:pPr>
      <w:spacing w:line="276" w:lineRule="auto"/>
    </w:pPr>
    <w:rPr>
      <w:b/>
      <w:bCs/>
      <w:color w:val="4f81bd" w:themeColor="accent1"/>
      <w:sz w:val="18"/>
      <w:szCs w:val="18"/>
    </w:rPr>
  </w:style>
  <w:style w:type="table" w:styleId="799">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1">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2">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3">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4">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5">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6">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7">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8">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0">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1">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2">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3">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5">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8">
    <w:name w:val="Footnote Text Char"/>
    <w:link w:val="851"/>
    <w:uiPriority w:val="99"/>
    <w:rPr>
      <w:sz w:val="18"/>
    </w:rPr>
  </w:style>
  <w:style w:type="character" w:styleId="819">
    <w:name w:val="Endnote Text Char"/>
    <w:link w:val="844"/>
    <w:uiPriority w:val="99"/>
    <w:rPr>
      <w:sz w:val="20"/>
    </w:rPr>
  </w:style>
  <w:style w:type="paragraph" w:styleId="820">
    <w:name w:val="TOC Heading"/>
    <w:uiPriority w:val="39"/>
    <w:unhideWhenUsed/>
  </w:style>
  <w:style w:type="paragraph" w:styleId="821">
    <w:name w:val="table of figures"/>
    <w:basedOn w:val="822"/>
    <w:next w:val="822"/>
    <w:uiPriority w:val="99"/>
    <w:unhideWhenUsed/>
    <w:pPr>
      <w:spacing w:after="0" w:afterAutospacing="0"/>
    </w:pPr>
  </w:style>
  <w:style w:type="paragraph" w:styleId="822" w:default="1">
    <w:name w:val="Normal"/>
    <w:uiPriority w:val="0"/>
    <w:qFormat/>
    <w:rPr>
      <w:rFonts w:ascii="Times New Roman" w:hAnsi="Times New Roman" w:eastAsia="宋体" w:cs="Times New Roman"/>
      <w:lang w:val="en-US" w:eastAsia="zh-CN" w:bidi="ar-SA"/>
    </w:rPr>
  </w:style>
  <w:style w:type="paragraph" w:styleId="823">
    <w:name w:val="Heading 1"/>
    <w:basedOn w:val="822"/>
    <w:next w:val="822"/>
    <w:link w:val="1069"/>
    <w:uiPriority w:val="0"/>
    <w:qFormat/>
    <w:pPr>
      <w:keepLines/>
      <w:keepNext/>
      <w:spacing w:before="340" w:after="330" w:line="578" w:lineRule="auto"/>
      <w:outlineLvl w:val="0"/>
    </w:pPr>
    <w:rPr>
      <w:b/>
      <w:sz w:val="44"/>
    </w:rPr>
  </w:style>
  <w:style w:type="paragraph" w:styleId="824">
    <w:name w:val="Heading 2"/>
    <w:basedOn w:val="822"/>
    <w:next w:val="822"/>
    <w:uiPriority w:val="0"/>
    <w:qFormat/>
    <w:pPr>
      <w:keepLines/>
      <w:keepNext/>
      <w:outlineLvl w:val="1"/>
    </w:pPr>
    <w:rPr>
      <w:rFonts w:ascii="宋体" w:hAnsi="宋体"/>
      <w:b/>
    </w:rPr>
  </w:style>
  <w:style w:type="paragraph" w:styleId="825">
    <w:name w:val="Heading 3"/>
    <w:basedOn w:val="822"/>
    <w:next w:val="822"/>
    <w:uiPriority w:val="0"/>
    <w:qFormat/>
    <w:pPr>
      <w:keepLines/>
      <w:keepNext/>
      <w:outlineLvl w:val="2"/>
    </w:pPr>
    <w:rPr>
      <w:b/>
    </w:rPr>
  </w:style>
  <w:style w:type="paragraph" w:styleId="826">
    <w:name w:val="Heading 4"/>
    <w:basedOn w:val="822"/>
    <w:next w:val="822"/>
    <w:uiPriority w:val="0"/>
    <w:qFormat/>
    <w:pPr>
      <w:keepLines/>
      <w:keepNext/>
      <w:spacing w:before="280" w:after="290" w:line="376" w:lineRule="auto"/>
      <w:outlineLvl w:val="3"/>
    </w:pPr>
    <w:rPr>
      <w:rFonts w:ascii="Arial" w:hAnsi="Arial" w:eastAsia="黑体"/>
      <w:b/>
      <w:bCs/>
      <w:sz w:val="28"/>
      <w:szCs w:val="28"/>
    </w:rPr>
  </w:style>
  <w:style w:type="paragraph" w:styleId="827">
    <w:name w:val="Heading 5"/>
    <w:basedOn w:val="822"/>
    <w:next w:val="822"/>
    <w:uiPriority w:val="0"/>
    <w:qFormat/>
    <w:pPr>
      <w:keepLines/>
      <w:keepNext/>
      <w:spacing w:before="280" w:after="290" w:line="376" w:lineRule="auto"/>
      <w:outlineLvl w:val="4"/>
    </w:pPr>
    <w:rPr>
      <w:rFonts w:eastAsia="楷体_GB2312"/>
      <w:b/>
      <w:bCs/>
      <w:sz w:val="28"/>
      <w:szCs w:val="28"/>
    </w:rPr>
  </w:style>
  <w:style w:type="paragraph" w:styleId="828">
    <w:name w:val="Heading 6"/>
    <w:basedOn w:val="822"/>
    <w:next w:val="822"/>
    <w:uiPriority w:val="0"/>
    <w:qFormat/>
    <w:pPr>
      <w:keepLines/>
      <w:keepNext/>
      <w:spacing w:before="240" w:after="64" w:line="320" w:lineRule="auto"/>
      <w:outlineLvl w:val="5"/>
    </w:pPr>
    <w:rPr>
      <w:rFonts w:ascii="Arial" w:hAnsi="Arial" w:eastAsia="黑体"/>
      <w:b/>
      <w:bCs/>
      <w:sz w:val="24"/>
      <w:szCs w:val="24"/>
    </w:rPr>
  </w:style>
  <w:style w:type="character" w:styleId="829" w:default="1">
    <w:name w:val="Default Paragraph Font"/>
    <w:uiPriority w:val="1"/>
    <w:semiHidden/>
    <w:unhideWhenUsed/>
    <w:qFormat/>
  </w:style>
  <w:style w:type="table" w:styleId="830" w:default="1">
    <w:name w:val="Normal Table"/>
    <w:uiPriority w:val="99"/>
    <w:semiHidden/>
    <w:unhideWhenUsed/>
    <w:qFormat/>
    <w:tblPr>
      <w:tblCellMar>
        <w:left w:w="108" w:type="dxa"/>
        <w:top w:w="0" w:type="dxa"/>
        <w:right w:w="108" w:type="dxa"/>
        <w:bottom w:w="0" w:type="dxa"/>
      </w:tblCellMar>
    </w:tblPr>
  </w:style>
  <w:style w:type="paragraph" w:styleId="831">
    <w:name w:val="toc 7"/>
    <w:next w:val="822"/>
    <w:uiPriority w:val="39"/>
    <w:unhideWhenUsed/>
    <w:qFormat/>
    <w:pPr>
      <w:ind w:left="1701"/>
      <w:spacing w:after="57"/>
    </w:pPr>
    <w:rPr>
      <w:rFonts w:ascii="Times New Roman" w:hAnsi="Times New Roman" w:eastAsia="宋体" w:cs="Times New Roman"/>
      <w:lang w:val="en-US" w:eastAsia="zh-CN" w:bidi="ar-SA"/>
    </w:rPr>
  </w:style>
  <w:style w:type="paragraph" w:styleId="832">
    <w:name w:val="Normal Indent"/>
    <w:basedOn w:val="822"/>
    <w:next w:val="822"/>
    <w:uiPriority w:val="99"/>
    <w:unhideWhenUsed/>
    <w:qFormat/>
    <w:pPr>
      <w:ind w:firstLine="420"/>
    </w:pPr>
  </w:style>
  <w:style w:type="paragraph" w:styleId="833">
    <w:name w:val="Document Map"/>
    <w:basedOn w:val="822"/>
    <w:uiPriority w:val="0"/>
    <w:qFormat/>
    <w:pPr>
      <w:shd w:val="clear" w:color="000080" w:fill="000080"/>
    </w:pPr>
  </w:style>
  <w:style w:type="paragraph" w:styleId="834">
    <w:name w:val="annotation text"/>
    <w:basedOn w:val="822"/>
    <w:link w:val="1048"/>
    <w:uiPriority w:val="0"/>
    <w:semiHidden/>
    <w:qFormat/>
    <w:rPr>
      <w:rFonts w:eastAsia="楷体_GB2312"/>
      <w:sz w:val="26"/>
    </w:rPr>
  </w:style>
  <w:style w:type="paragraph" w:styleId="835">
    <w:name w:val="Body Text"/>
    <w:basedOn w:val="822"/>
    <w:next w:val="822"/>
    <w:uiPriority w:val="0"/>
    <w:qFormat/>
    <w:pPr>
      <w:spacing w:line="400" w:lineRule="exact"/>
    </w:pPr>
    <w:rPr>
      <w:rFonts w:ascii="楷体_GB2312"/>
      <w:sz w:val="28"/>
    </w:rPr>
  </w:style>
  <w:style w:type="paragraph" w:styleId="836">
    <w:name w:val="Body Text Indent"/>
    <w:basedOn w:val="822"/>
    <w:next w:val="822"/>
    <w:link w:val="1045"/>
    <w:uiPriority w:val="0"/>
    <w:qFormat/>
    <w:pPr>
      <w:ind w:left="570"/>
      <w:spacing w:line="520" w:lineRule="exact"/>
    </w:pPr>
    <w:rPr>
      <w:rFonts w:ascii="方正仿宋简体" w:hAnsi="创艺简仿宋" w:eastAsia="方正仿宋简体"/>
      <w:sz w:val="24"/>
    </w:rPr>
  </w:style>
  <w:style w:type="paragraph" w:styleId="837">
    <w:name w:val="Block Text"/>
    <w:basedOn w:val="822"/>
    <w:uiPriority w:val="0"/>
    <w:qFormat/>
    <w:pPr>
      <w:ind w:left="1440" w:right="700"/>
    </w:pPr>
  </w:style>
  <w:style w:type="paragraph" w:styleId="838">
    <w:name w:val="toc 5"/>
    <w:next w:val="822"/>
    <w:uiPriority w:val="39"/>
    <w:unhideWhenUsed/>
    <w:qFormat/>
    <w:pPr>
      <w:ind w:left="1134"/>
      <w:spacing w:after="57"/>
    </w:pPr>
    <w:rPr>
      <w:rFonts w:ascii="Times New Roman" w:hAnsi="Times New Roman" w:eastAsia="宋体" w:cs="Times New Roman"/>
      <w:lang w:val="en-US" w:eastAsia="zh-CN" w:bidi="ar-SA"/>
    </w:rPr>
  </w:style>
  <w:style w:type="paragraph" w:styleId="839">
    <w:name w:val="toc 3"/>
    <w:basedOn w:val="822"/>
    <w:next w:val="822"/>
    <w:uiPriority w:val="0"/>
    <w:qFormat/>
    <w:pPr>
      <w:ind w:left="840"/>
    </w:pPr>
  </w:style>
  <w:style w:type="paragraph" w:styleId="840">
    <w:name w:val="Plain Text"/>
    <w:basedOn w:val="822"/>
    <w:link w:val="1041"/>
    <w:uiPriority w:val="0"/>
    <w:qFormat/>
    <w:rPr>
      <w:rFonts w:ascii="宋体" w:hAnsi="Courier New" w:eastAsia="楷体_GB2312"/>
      <w:sz w:val="26"/>
    </w:rPr>
  </w:style>
  <w:style w:type="paragraph" w:styleId="841">
    <w:name w:val="toc 8"/>
    <w:next w:val="822"/>
    <w:uiPriority w:val="39"/>
    <w:unhideWhenUsed/>
    <w:qFormat/>
    <w:pPr>
      <w:ind w:left="1984"/>
      <w:spacing w:after="57"/>
    </w:pPr>
    <w:rPr>
      <w:rFonts w:ascii="Times New Roman" w:hAnsi="Times New Roman" w:eastAsia="宋体" w:cs="Times New Roman"/>
      <w:lang w:val="en-US" w:eastAsia="zh-CN" w:bidi="ar-SA"/>
    </w:rPr>
  </w:style>
  <w:style w:type="paragraph" w:styleId="842">
    <w:name w:val="Date"/>
    <w:basedOn w:val="822"/>
    <w:next w:val="822"/>
    <w:link w:val="1046"/>
    <w:uiPriority w:val="0"/>
    <w:qFormat/>
    <w:rPr>
      <w:rFonts w:ascii="宋体" w:hAnsi="宋体" w:eastAsia="楷体_GB2312"/>
      <w:sz w:val="24"/>
    </w:rPr>
  </w:style>
  <w:style w:type="paragraph" w:styleId="843">
    <w:name w:val="Body Text Indent 2"/>
    <w:basedOn w:val="822"/>
    <w:uiPriority w:val="0"/>
    <w:qFormat/>
    <w:pPr>
      <w:ind w:firstLine="502"/>
      <w:spacing w:line="360" w:lineRule="auto"/>
      <w:tabs>
        <w:tab w:val="left" w:pos="0" w:leader="none"/>
      </w:tabs>
    </w:pPr>
    <w:rPr>
      <w:rFonts w:ascii="宋体"/>
      <w:b/>
      <w:bCs/>
      <w:sz w:val="24"/>
    </w:rPr>
  </w:style>
  <w:style w:type="paragraph" w:styleId="844">
    <w:name w:val="endnote text"/>
    <w:link w:val="1037"/>
    <w:uiPriority w:val="99"/>
    <w:unhideWhenUsed/>
    <w:qFormat/>
    <w:rPr>
      <w:rFonts w:ascii="Times New Roman" w:hAnsi="Times New Roman" w:eastAsia="宋体" w:cs="Times New Roman"/>
      <w:lang w:val="en-US" w:eastAsia="zh-CN" w:bidi="ar-SA"/>
    </w:rPr>
  </w:style>
  <w:style w:type="paragraph" w:styleId="845">
    <w:name w:val="Balloon Text"/>
    <w:basedOn w:val="822"/>
    <w:uiPriority w:val="0"/>
    <w:qFormat/>
    <w:rPr>
      <w:sz w:val="18"/>
      <w:szCs w:val="18"/>
    </w:rPr>
  </w:style>
  <w:style w:type="paragraph" w:styleId="846">
    <w:name w:val="Footer"/>
    <w:basedOn w:val="822"/>
    <w:link w:val="1044"/>
    <w:uiPriority w:val="0"/>
    <w:qFormat/>
    <w:pPr>
      <w:tabs>
        <w:tab w:val="center" w:pos="4153" w:leader="none"/>
        <w:tab w:val="right" w:pos="8306" w:leader="none"/>
      </w:tabs>
    </w:pPr>
    <w:rPr>
      <w:rFonts w:eastAsia="楷体_GB2312"/>
      <w:sz w:val="18"/>
    </w:rPr>
  </w:style>
  <w:style w:type="paragraph" w:styleId="847">
    <w:name w:val="Header"/>
    <w:basedOn w:val="822"/>
    <w:uiPriority w:val="0"/>
    <w:qFormat/>
    <w:pPr>
      <w:jc w:val="center"/>
      <w:tabs>
        <w:tab w:val="center" w:pos="4153" w:leader="none"/>
        <w:tab w:val="right" w:pos="8306" w:leader="none"/>
      </w:tabs>
      <w:pBdr>
        <w:bottom w:val="single" w:color="000000" w:sz="6" w:space="1"/>
      </w:pBdr>
    </w:pPr>
    <w:rPr>
      <w:sz w:val="18"/>
    </w:rPr>
  </w:style>
  <w:style w:type="paragraph" w:styleId="848">
    <w:name w:val="toc 1"/>
    <w:basedOn w:val="822"/>
    <w:next w:val="822"/>
    <w:uiPriority w:val="0"/>
    <w:qFormat/>
    <w:rPr>
      <w:sz w:val="24"/>
    </w:rPr>
  </w:style>
  <w:style w:type="paragraph" w:styleId="849">
    <w:name w:val="toc 4"/>
    <w:next w:val="822"/>
    <w:uiPriority w:val="39"/>
    <w:unhideWhenUsed/>
    <w:qFormat/>
    <w:pPr>
      <w:ind w:left="850"/>
      <w:spacing w:after="57"/>
    </w:pPr>
    <w:rPr>
      <w:rFonts w:ascii="Times New Roman" w:hAnsi="Times New Roman" w:eastAsia="宋体" w:cs="Times New Roman"/>
      <w:lang w:val="en-US" w:eastAsia="zh-CN" w:bidi="ar-SA"/>
    </w:rPr>
  </w:style>
  <w:style w:type="paragraph" w:styleId="850">
    <w:name w:val="Subtitle"/>
    <w:link w:val="900"/>
    <w:uiPriority w:val="11"/>
    <w:qFormat/>
    <w:pPr>
      <w:spacing w:before="200" w:after="200"/>
    </w:pPr>
    <w:rPr>
      <w:rFonts w:ascii="Times New Roman" w:hAnsi="Times New Roman" w:eastAsia="宋体" w:cs="Times New Roman"/>
      <w:sz w:val="24"/>
      <w:szCs w:val="24"/>
      <w:lang w:val="en-US" w:eastAsia="zh-CN" w:bidi="ar-SA"/>
    </w:rPr>
  </w:style>
  <w:style w:type="paragraph" w:styleId="851">
    <w:name w:val="footnote text"/>
    <w:link w:val="1036"/>
    <w:uiPriority w:val="99"/>
    <w:unhideWhenUsed/>
    <w:qFormat/>
    <w:pPr>
      <w:spacing w:after="40"/>
    </w:pPr>
    <w:rPr>
      <w:rFonts w:ascii="Times New Roman" w:hAnsi="Times New Roman" w:eastAsia="宋体" w:cs="Times New Roman"/>
      <w:sz w:val="18"/>
      <w:lang w:val="en-US" w:eastAsia="zh-CN" w:bidi="ar-SA"/>
    </w:rPr>
  </w:style>
  <w:style w:type="paragraph" w:styleId="852">
    <w:name w:val="toc 6"/>
    <w:next w:val="822"/>
    <w:uiPriority w:val="39"/>
    <w:unhideWhenUsed/>
    <w:qFormat/>
    <w:pPr>
      <w:ind w:left="1417"/>
      <w:spacing w:after="57"/>
    </w:pPr>
    <w:rPr>
      <w:rFonts w:ascii="Times New Roman" w:hAnsi="Times New Roman" w:eastAsia="宋体" w:cs="Times New Roman"/>
      <w:lang w:val="en-US" w:eastAsia="zh-CN" w:bidi="ar-SA"/>
    </w:rPr>
  </w:style>
  <w:style w:type="paragraph" w:styleId="853">
    <w:name w:val="Body Text Indent 3"/>
    <w:basedOn w:val="822"/>
    <w:uiPriority w:val="0"/>
    <w:qFormat/>
    <w:pPr>
      <w:ind w:firstLine="617"/>
      <w:spacing w:line="360" w:lineRule="auto"/>
    </w:pPr>
    <w:rPr>
      <w:sz w:val="24"/>
      <w:szCs w:val="24"/>
    </w:rPr>
  </w:style>
  <w:style w:type="paragraph" w:styleId="854">
    <w:name w:val="index 7"/>
    <w:basedOn w:val="822"/>
    <w:next w:val="822"/>
    <w:uiPriority w:val="0"/>
    <w:semiHidden/>
    <w:qFormat/>
    <w:pPr>
      <w:ind w:left="2520"/>
    </w:pPr>
    <w:rPr>
      <w:sz w:val="28"/>
    </w:rPr>
  </w:style>
  <w:style w:type="paragraph" w:styleId="855">
    <w:name w:val="toc 2"/>
    <w:next w:val="822"/>
    <w:uiPriority w:val="39"/>
    <w:unhideWhenUsed/>
    <w:qFormat/>
    <w:pPr>
      <w:ind w:left="283"/>
      <w:spacing w:after="57"/>
    </w:pPr>
    <w:rPr>
      <w:rFonts w:ascii="Times New Roman" w:hAnsi="Times New Roman" w:eastAsia="宋体" w:cs="Times New Roman"/>
      <w:lang w:val="en-US" w:eastAsia="zh-CN" w:bidi="ar-SA"/>
    </w:rPr>
  </w:style>
  <w:style w:type="paragraph" w:styleId="856">
    <w:name w:val="toc 9"/>
    <w:next w:val="822"/>
    <w:uiPriority w:val="39"/>
    <w:unhideWhenUsed/>
    <w:qFormat/>
    <w:pPr>
      <w:ind w:left="2268"/>
      <w:spacing w:after="57"/>
    </w:pPr>
    <w:rPr>
      <w:rFonts w:ascii="Times New Roman" w:hAnsi="Times New Roman" w:eastAsia="宋体" w:cs="Times New Roman"/>
      <w:lang w:val="en-US" w:eastAsia="zh-CN" w:bidi="ar-SA"/>
    </w:rPr>
  </w:style>
  <w:style w:type="paragraph" w:styleId="857">
    <w:name w:val="HTML Preformatted"/>
    <w:basedOn w:val="822"/>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rPr>
  </w:style>
  <w:style w:type="paragraph" w:styleId="858">
    <w:name w:val="Normal (Web)"/>
    <w:basedOn w:val="822"/>
    <w:uiPriority w:val="0"/>
    <w:qFormat/>
    <w:pPr>
      <w:spacing w:before="100" w:beforeAutospacing="1" w:after="100" w:afterAutospacing="1"/>
    </w:pPr>
    <w:rPr>
      <w:rFonts w:ascii="宋体" w:hAnsi="宋体"/>
      <w:sz w:val="24"/>
      <w:szCs w:val="24"/>
    </w:rPr>
  </w:style>
  <w:style w:type="paragraph" w:styleId="859">
    <w:name w:val="index 1"/>
    <w:basedOn w:val="822"/>
    <w:next w:val="822"/>
    <w:uiPriority w:val="0"/>
    <w:qFormat/>
  </w:style>
  <w:style w:type="paragraph" w:styleId="860">
    <w:name w:val="Title"/>
    <w:link w:val="899"/>
    <w:uiPriority w:val="10"/>
    <w:qFormat/>
    <w:pPr>
      <w:contextualSpacing/>
      <w:spacing w:before="300" w:after="200"/>
    </w:pPr>
    <w:rPr>
      <w:rFonts w:ascii="Times New Roman" w:hAnsi="Times New Roman" w:eastAsia="宋体" w:cs="Times New Roman"/>
      <w:sz w:val="48"/>
      <w:szCs w:val="48"/>
      <w:lang w:val="en-US" w:eastAsia="zh-CN" w:bidi="ar-SA"/>
    </w:rPr>
  </w:style>
  <w:style w:type="paragraph" w:styleId="861">
    <w:name w:val="annotation subject"/>
    <w:basedOn w:val="834"/>
    <w:next w:val="834"/>
    <w:uiPriority w:val="0"/>
    <w:semiHidden/>
    <w:qFormat/>
    <w:rPr>
      <w:b/>
      <w:bCs/>
    </w:rPr>
  </w:style>
  <w:style w:type="paragraph" w:styleId="862">
    <w:name w:val="Body Text First Indent 2"/>
    <w:basedOn w:val="836"/>
    <w:uiPriority w:val="99"/>
    <w:unhideWhenUsed/>
    <w:qFormat/>
    <w:pPr>
      <w:ind w:firstLine="420"/>
    </w:pPr>
  </w:style>
  <w:style w:type="table" w:styleId="863">
    <w:name w:val="Table Grid"/>
    <w:basedOn w:val="83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4">
    <w:name w:val="Strong"/>
    <w:basedOn w:val="829"/>
    <w:uiPriority w:val="22"/>
    <w:qFormat/>
    <w:rPr>
      <w:b/>
    </w:rPr>
  </w:style>
  <w:style w:type="character" w:styleId="865">
    <w:name w:val="endnote reference"/>
    <w:uiPriority w:val="99"/>
    <w:unhideWhenUsed/>
    <w:qFormat/>
    <w:rPr>
      <w:vertAlign w:val="superscript"/>
    </w:rPr>
  </w:style>
  <w:style w:type="character" w:styleId="866">
    <w:name w:val="page number"/>
    <w:basedOn w:val="829"/>
    <w:uiPriority w:val="0"/>
    <w:qFormat/>
  </w:style>
  <w:style w:type="character" w:styleId="867">
    <w:name w:val="FollowedHyperlink"/>
    <w:basedOn w:val="829"/>
    <w:uiPriority w:val="99"/>
    <w:semiHidden/>
    <w:unhideWhenUsed/>
    <w:qFormat/>
    <w:rPr>
      <w:color w:val="333333"/>
      <w:u w:val="none"/>
    </w:rPr>
  </w:style>
  <w:style w:type="character" w:styleId="868">
    <w:name w:val="Emphasis"/>
    <w:basedOn w:val="829"/>
    <w:uiPriority w:val="20"/>
    <w:qFormat/>
  </w:style>
  <w:style w:type="character" w:styleId="869">
    <w:name w:val="Hyperlink"/>
    <w:basedOn w:val="829"/>
    <w:uiPriority w:val="0"/>
    <w:qFormat/>
    <w:rPr>
      <w:color w:val="333333"/>
      <w:u w:val="none"/>
    </w:rPr>
  </w:style>
  <w:style w:type="character" w:styleId="870">
    <w:name w:val="annotation reference"/>
    <w:uiPriority w:val="99"/>
    <w:qFormat/>
    <w:rPr>
      <w:sz w:val="21"/>
      <w:szCs w:val="21"/>
    </w:rPr>
  </w:style>
  <w:style w:type="character" w:styleId="871">
    <w:name w:val="footnote reference"/>
    <w:uiPriority w:val="99"/>
    <w:unhideWhenUsed/>
    <w:qFormat/>
    <w:rPr>
      <w:vertAlign w:val="superscript"/>
    </w:rPr>
  </w:style>
  <w:style w:type="paragraph" w:styleId="872" w:customStyle="1">
    <w:name w:val="正文文本缩进1"/>
    <w:basedOn w:val="822"/>
    <w:next w:val="822"/>
    <w:uiPriority w:val="99"/>
    <w:unhideWhenUsed/>
    <w:qFormat/>
    <w:pPr>
      <w:ind w:firstLine="570"/>
    </w:pPr>
    <w:rPr>
      <w:rFonts w:ascii="宋体"/>
      <w:sz w:val="28"/>
    </w:rPr>
  </w:style>
  <w:style w:type="paragraph" w:styleId="873" w:customStyle="1">
    <w:name w:val="正文文本缩进11"/>
    <w:basedOn w:val="822"/>
    <w:next w:val="874"/>
    <w:uiPriority w:val="0"/>
    <w:qFormat/>
    <w:pPr>
      <w:ind w:firstLine="420"/>
      <w:spacing w:line="360" w:lineRule="exact"/>
    </w:pPr>
    <w:rPr>
      <w:sz w:val="24"/>
    </w:rPr>
  </w:style>
  <w:style w:type="paragraph" w:styleId="874" w:customStyle="1">
    <w:name w:val="目录 51"/>
    <w:next w:val="822"/>
    <w:uiPriority w:val="0"/>
    <w:qFormat/>
    <w:pPr>
      <w:ind w:left="1275"/>
      <w:jc w:val="both"/>
    </w:pPr>
    <w:rPr>
      <w:rFonts w:ascii="Times New Roman" w:hAnsi="Times New Roman" w:eastAsia="宋体" w:cs="Times New Roman"/>
      <w:sz w:val="21"/>
      <w:lang w:val="en-US" w:eastAsia="zh-CN" w:bidi="ar-SA"/>
    </w:rPr>
  </w:style>
  <w:style w:type="paragraph" w:styleId="875" w:customStyle="1">
    <w:name w:val="正文首行缩进 211"/>
    <w:basedOn w:val="873"/>
    <w:uiPriority w:val="0"/>
    <w:qFormat/>
    <w:pPr>
      <w:ind w:left="420"/>
      <w:spacing w:after="120" w:line="240" w:lineRule="auto"/>
    </w:pPr>
    <w:rPr>
      <w:sz w:val="21"/>
    </w:rPr>
  </w:style>
  <w:style w:type="paragraph" w:styleId="876" w:customStyle="1">
    <w:name w:val="寄信人地址1"/>
    <w:basedOn w:val="822"/>
    <w:uiPriority w:val="0"/>
    <w:qFormat/>
    <w:rPr>
      <w:rFonts w:ascii="Arial" w:hAnsi="Arial"/>
    </w:rPr>
  </w:style>
  <w:style w:type="paragraph" w:styleId="877" w:customStyle="1">
    <w:name w:val="正文1"/>
    <w:next w:val="822"/>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878" w:customStyle="1">
    <w:name w:val="首行缩进"/>
    <w:basedOn w:val="822"/>
    <w:uiPriority w:val="0"/>
    <w:qFormat/>
    <w:pPr>
      <w:ind w:firstLine="480"/>
    </w:pPr>
    <w:rPr>
      <w:lang w:val="zh-CN"/>
    </w:rPr>
  </w:style>
  <w:style w:type="paragraph" w:styleId="879" w:customStyle="1">
    <w:name w:val="标题 11"/>
    <w:link w:val="880"/>
    <w:uiPriority w:val="9"/>
    <w:qFormat/>
    <w:pPr>
      <w:keepLines/>
      <w:keepNext/>
      <w:spacing w:before="480" w:after="200"/>
      <w:outlineLvl w:val="0"/>
    </w:pPr>
    <w:rPr>
      <w:rFonts w:ascii="Arial" w:hAnsi="Arial" w:eastAsia="Arial" w:cs="Times New Roman"/>
      <w:sz w:val="40"/>
      <w:szCs w:val="40"/>
      <w:lang w:val="en-US" w:eastAsia="zh-CN" w:bidi="ar-SA"/>
    </w:rPr>
  </w:style>
  <w:style w:type="character" w:styleId="880" w:customStyle="1">
    <w:name w:val="Heading 1 Char"/>
    <w:link w:val="879"/>
    <w:uiPriority w:val="9"/>
    <w:qFormat/>
    <w:rPr>
      <w:rFonts w:ascii="Arial" w:hAnsi="Arial" w:eastAsia="Arial"/>
      <w:sz w:val="40"/>
      <w:szCs w:val="40"/>
      <w:lang w:bidi="ar-SA"/>
    </w:rPr>
  </w:style>
  <w:style w:type="paragraph" w:styleId="881" w:customStyle="1">
    <w:name w:val="标题 21"/>
    <w:link w:val="882"/>
    <w:uiPriority w:val="9"/>
    <w:unhideWhenUsed/>
    <w:qFormat/>
    <w:pPr>
      <w:keepLines/>
      <w:keepNext/>
      <w:spacing w:before="360" w:after="200"/>
      <w:outlineLvl w:val="1"/>
    </w:pPr>
    <w:rPr>
      <w:rFonts w:ascii="Arial" w:hAnsi="Arial" w:eastAsia="Arial" w:cs="Times New Roman"/>
      <w:sz w:val="34"/>
      <w:lang w:val="en-US" w:eastAsia="zh-CN" w:bidi="ar-SA"/>
    </w:rPr>
  </w:style>
  <w:style w:type="character" w:styleId="882" w:customStyle="1">
    <w:name w:val="Heading 2 Char"/>
    <w:link w:val="881"/>
    <w:uiPriority w:val="9"/>
    <w:qFormat/>
    <w:rPr>
      <w:rFonts w:ascii="Arial" w:hAnsi="Arial" w:eastAsia="Arial"/>
      <w:sz w:val="34"/>
      <w:lang w:bidi="ar-SA"/>
    </w:rPr>
  </w:style>
  <w:style w:type="paragraph" w:styleId="883" w:customStyle="1">
    <w:name w:val="标题 31"/>
    <w:link w:val="884"/>
    <w:uiPriority w:val="9"/>
    <w:unhideWhenUsed/>
    <w:qFormat/>
    <w:pPr>
      <w:keepLines/>
      <w:keepNext/>
      <w:spacing w:before="320" w:after="200"/>
      <w:outlineLvl w:val="2"/>
    </w:pPr>
    <w:rPr>
      <w:rFonts w:ascii="Arial" w:hAnsi="Arial" w:eastAsia="Arial" w:cs="Times New Roman"/>
      <w:sz w:val="30"/>
      <w:szCs w:val="30"/>
      <w:lang w:val="en-US" w:eastAsia="zh-CN" w:bidi="ar-SA"/>
    </w:rPr>
  </w:style>
  <w:style w:type="character" w:styleId="884" w:customStyle="1">
    <w:name w:val="Heading 3 Char"/>
    <w:link w:val="883"/>
    <w:uiPriority w:val="9"/>
    <w:qFormat/>
    <w:rPr>
      <w:rFonts w:ascii="Arial" w:hAnsi="Arial" w:eastAsia="Arial"/>
      <w:sz w:val="30"/>
      <w:szCs w:val="30"/>
      <w:lang w:bidi="ar-SA"/>
    </w:rPr>
  </w:style>
  <w:style w:type="paragraph" w:styleId="885" w:customStyle="1">
    <w:name w:val="标题 41"/>
    <w:link w:val="886"/>
    <w:uiPriority w:val="9"/>
    <w:unhideWhenUsed/>
    <w:qFormat/>
    <w:pPr>
      <w:keepLines/>
      <w:keepNext/>
      <w:spacing w:before="320" w:after="200"/>
      <w:outlineLvl w:val="3"/>
    </w:pPr>
    <w:rPr>
      <w:rFonts w:ascii="Arial" w:hAnsi="Arial" w:eastAsia="Arial" w:cs="Times New Roman"/>
      <w:b/>
      <w:bCs/>
      <w:sz w:val="26"/>
      <w:szCs w:val="26"/>
      <w:lang w:val="en-US" w:eastAsia="zh-CN" w:bidi="ar-SA"/>
    </w:rPr>
  </w:style>
  <w:style w:type="character" w:styleId="886" w:customStyle="1">
    <w:name w:val="Heading 4 Char"/>
    <w:link w:val="885"/>
    <w:uiPriority w:val="9"/>
    <w:qFormat/>
    <w:rPr>
      <w:rFonts w:ascii="Arial" w:hAnsi="Arial" w:eastAsia="Arial"/>
      <w:b/>
      <w:bCs/>
      <w:sz w:val="26"/>
      <w:szCs w:val="26"/>
      <w:lang w:bidi="ar-SA"/>
    </w:rPr>
  </w:style>
  <w:style w:type="paragraph" w:styleId="887" w:customStyle="1">
    <w:name w:val="标题 51"/>
    <w:link w:val="888"/>
    <w:uiPriority w:val="9"/>
    <w:unhideWhenUsed/>
    <w:qFormat/>
    <w:pPr>
      <w:keepLines/>
      <w:keepNext/>
      <w:spacing w:before="320" w:after="200"/>
      <w:outlineLvl w:val="4"/>
    </w:pPr>
    <w:rPr>
      <w:rFonts w:ascii="Arial" w:hAnsi="Arial" w:eastAsia="Arial" w:cs="Times New Roman"/>
      <w:b/>
      <w:bCs/>
      <w:sz w:val="24"/>
      <w:szCs w:val="24"/>
      <w:lang w:val="en-US" w:eastAsia="zh-CN" w:bidi="ar-SA"/>
    </w:rPr>
  </w:style>
  <w:style w:type="character" w:styleId="888" w:customStyle="1">
    <w:name w:val="Heading 5 Char"/>
    <w:link w:val="887"/>
    <w:uiPriority w:val="9"/>
    <w:qFormat/>
    <w:rPr>
      <w:rFonts w:ascii="Arial" w:hAnsi="Arial" w:eastAsia="Arial"/>
      <w:b/>
      <w:bCs/>
      <w:sz w:val="24"/>
      <w:szCs w:val="24"/>
      <w:lang w:bidi="ar-SA"/>
    </w:rPr>
  </w:style>
  <w:style w:type="paragraph" w:styleId="889" w:customStyle="1">
    <w:name w:val="标题 61"/>
    <w:link w:val="890"/>
    <w:uiPriority w:val="9"/>
    <w:unhideWhenUsed/>
    <w:qFormat/>
    <w:pPr>
      <w:keepLines/>
      <w:keepNext/>
      <w:spacing w:before="320" w:after="200"/>
      <w:outlineLvl w:val="5"/>
    </w:pPr>
    <w:rPr>
      <w:rFonts w:ascii="Arial" w:hAnsi="Arial" w:eastAsia="Arial" w:cs="Times New Roman"/>
      <w:b/>
      <w:bCs/>
      <w:sz w:val="22"/>
      <w:szCs w:val="22"/>
      <w:lang w:val="en-US" w:eastAsia="zh-CN" w:bidi="ar-SA"/>
    </w:rPr>
  </w:style>
  <w:style w:type="character" w:styleId="890" w:customStyle="1">
    <w:name w:val="Heading 6 Char"/>
    <w:link w:val="889"/>
    <w:uiPriority w:val="9"/>
    <w:qFormat/>
    <w:rPr>
      <w:rFonts w:ascii="Arial" w:hAnsi="Arial" w:eastAsia="Arial"/>
      <w:b/>
      <w:bCs/>
      <w:sz w:val="22"/>
      <w:szCs w:val="22"/>
      <w:lang w:bidi="ar-SA"/>
    </w:rPr>
  </w:style>
  <w:style w:type="paragraph" w:styleId="891" w:customStyle="1">
    <w:name w:val="标题 71"/>
    <w:link w:val="892"/>
    <w:uiPriority w:val="9"/>
    <w:unhideWhenUsed/>
    <w:qFormat/>
    <w:pPr>
      <w:keepLines/>
      <w:keepNext/>
      <w:spacing w:before="320" w:after="200"/>
      <w:outlineLvl w:val="6"/>
    </w:pPr>
    <w:rPr>
      <w:rFonts w:ascii="Arial" w:hAnsi="Arial" w:eastAsia="Arial" w:cs="Times New Roman"/>
      <w:b/>
      <w:bCs/>
      <w:i/>
      <w:iCs/>
      <w:sz w:val="22"/>
      <w:szCs w:val="22"/>
      <w:lang w:val="en-US" w:eastAsia="zh-CN" w:bidi="ar-SA"/>
    </w:rPr>
  </w:style>
  <w:style w:type="character" w:styleId="892" w:customStyle="1">
    <w:name w:val="Heading 7 Char"/>
    <w:link w:val="891"/>
    <w:uiPriority w:val="9"/>
    <w:qFormat/>
    <w:rPr>
      <w:rFonts w:ascii="Arial" w:hAnsi="Arial" w:eastAsia="Arial"/>
      <w:b/>
      <w:bCs/>
      <w:i/>
      <w:iCs/>
      <w:sz w:val="22"/>
      <w:szCs w:val="22"/>
      <w:lang w:bidi="ar-SA"/>
    </w:rPr>
  </w:style>
  <w:style w:type="paragraph" w:styleId="893" w:customStyle="1">
    <w:name w:val="标题 81"/>
    <w:link w:val="894"/>
    <w:uiPriority w:val="9"/>
    <w:unhideWhenUsed/>
    <w:qFormat/>
    <w:pPr>
      <w:keepLines/>
      <w:keepNext/>
      <w:spacing w:before="320" w:after="200"/>
      <w:outlineLvl w:val="7"/>
    </w:pPr>
    <w:rPr>
      <w:rFonts w:ascii="Arial" w:hAnsi="Arial" w:eastAsia="Arial" w:cs="Times New Roman"/>
      <w:i/>
      <w:iCs/>
      <w:sz w:val="22"/>
      <w:szCs w:val="22"/>
      <w:lang w:val="en-US" w:eastAsia="zh-CN" w:bidi="ar-SA"/>
    </w:rPr>
  </w:style>
  <w:style w:type="character" w:styleId="894" w:customStyle="1">
    <w:name w:val="Heading 8 Char"/>
    <w:link w:val="893"/>
    <w:uiPriority w:val="9"/>
    <w:qFormat/>
    <w:rPr>
      <w:rFonts w:ascii="Arial" w:hAnsi="Arial" w:eastAsia="Arial"/>
      <w:i/>
      <w:iCs/>
      <w:sz w:val="22"/>
      <w:szCs w:val="22"/>
      <w:lang w:bidi="ar-SA"/>
    </w:rPr>
  </w:style>
  <w:style w:type="paragraph" w:styleId="895" w:customStyle="1">
    <w:name w:val="标题 91"/>
    <w:link w:val="896"/>
    <w:uiPriority w:val="9"/>
    <w:unhideWhenUsed/>
    <w:qFormat/>
    <w:pPr>
      <w:keepLines/>
      <w:keepNext/>
      <w:spacing w:before="320" w:after="200"/>
      <w:outlineLvl w:val="8"/>
    </w:pPr>
    <w:rPr>
      <w:rFonts w:ascii="Arial" w:hAnsi="Arial" w:eastAsia="Arial" w:cs="Times New Roman"/>
      <w:i/>
      <w:iCs/>
      <w:sz w:val="21"/>
      <w:szCs w:val="21"/>
      <w:lang w:val="en-US" w:eastAsia="zh-CN" w:bidi="ar-SA"/>
    </w:rPr>
  </w:style>
  <w:style w:type="character" w:styleId="896" w:customStyle="1">
    <w:name w:val="Heading 9 Char"/>
    <w:link w:val="895"/>
    <w:uiPriority w:val="9"/>
    <w:qFormat/>
    <w:rPr>
      <w:rFonts w:ascii="Arial" w:hAnsi="Arial" w:eastAsia="Arial"/>
      <w:i/>
      <w:iCs/>
      <w:sz w:val="21"/>
      <w:szCs w:val="21"/>
      <w:lang w:bidi="ar-SA"/>
    </w:rPr>
  </w:style>
  <w:style w:type="paragraph" w:styleId="897" w:customStyle="1">
    <w:name w:val="列表段落1"/>
    <w:basedOn w:val="822"/>
    <w:uiPriority w:val="0"/>
    <w:qFormat/>
    <w:pPr>
      <w:ind w:firstLine="420"/>
    </w:pPr>
  </w:style>
  <w:style w:type="paragraph" w:styleId="898" w:customStyle="1">
    <w:name w:val="无间隔1"/>
    <w:uiPriority w:val="1"/>
    <w:qFormat/>
    <w:rPr>
      <w:rFonts w:ascii="Times New Roman" w:hAnsi="Times New Roman" w:eastAsia="宋体" w:cs="Times New Roman"/>
      <w:lang w:val="en-US" w:eastAsia="zh-CN" w:bidi="ar-SA"/>
    </w:rPr>
  </w:style>
  <w:style w:type="character" w:styleId="899" w:customStyle="1">
    <w:name w:val="标题 Char"/>
    <w:link w:val="860"/>
    <w:uiPriority w:val="10"/>
    <w:qFormat/>
    <w:rPr>
      <w:sz w:val="48"/>
      <w:szCs w:val="48"/>
      <w:lang w:bidi="ar-SA"/>
    </w:rPr>
  </w:style>
  <w:style w:type="character" w:styleId="900" w:customStyle="1">
    <w:name w:val="副标题 Char"/>
    <w:link w:val="850"/>
    <w:uiPriority w:val="11"/>
    <w:qFormat/>
    <w:rPr>
      <w:sz w:val="24"/>
      <w:szCs w:val="24"/>
      <w:lang w:bidi="ar-SA"/>
    </w:rPr>
  </w:style>
  <w:style w:type="paragraph" w:styleId="901" w:customStyle="1">
    <w:name w:val="引用1"/>
    <w:link w:val="902"/>
    <w:uiPriority w:val="29"/>
    <w:qFormat/>
    <w:pPr>
      <w:ind w:left="720" w:right="720"/>
    </w:pPr>
    <w:rPr>
      <w:rFonts w:ascii="Times New Roman" w:hAnsi="Times New Roman" w:eastAsia="宋体" w:cs="Times New Roman"/>
      <w:i/>
      <w:lang w:val="en-US" w:eastAsia="zh-CN" w:bidi="ar-SA"/>
    </w:rPr>
  </w:style>
  <w:style w:type="character" w:styleId="902" w:customStyle="1">
    <w:name w:val="引用 Char"/>
    <w:link w:val="901"/>
    <w:uiPriority w:val="29"/>
    <w:qFormat/>
    <w:rPr>
      <w:i/>
      <w:lang w:val="en-US" w:eastAsia="zh-CN" w:bidi="ar-SA"/>
    </w:rPr>
  </w:style>
  <w:style w:type="paragraph" w:styleId="903" w:customStyle="1">
    <w:name w:val="明显引用1"/>
    <w:link w:val="904"/>
    <w:uiPriority w:val="30"/>
    <w:qFormat/>
    <w:pPr>
      <w:ind w:left="720" w:right="720"/>
      <w:shd w:val="clear" w:color="f2f2f2"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04" w:customStyle="1">
    <w:name w:val="明显引用 Char"/>
    <w:link w:val="903"/>
    <w:uiPriority w:val="30"/>
    <w:qFormat/>
    <w:rPr>
      <w:i/>
      <w:shd w:val="clear" w:color="f2f2f2" w:fill="f2f2f2"/>
      <w:lang w:val="en-US" w:eastAsia="zh-CN" w:bidi="ar-SA"/>
    </w:rPr>
  </w:style>
  <w:style w:type="paragraph" w:styleId="905" w:customStyle="1">
    <w:name w:val="页眉1"/>
    <w:link w:val="906"/>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906" w:customStyle="1">
    <w:name w:val="Header Char"/>
    <w:link w:val="905"/>
    <w:uiPriority w:val="99"/>
    <w:qFormat/>
    <w:rPr>
      <w:lang w:val="en-US" w:eastAsia="zh-CN" w:bidi="ar-SA"/>
    </w:rPr>
  </w:style>
  <w:style w:type="paragraph" w:styleId="907" w:customStyle="1">
    <w:name w:val="页脚1"/>
    <w:link w:val="910"/>
    <w:uiPriority w:val="99"/>
    <w:unhideWhenUsed/>
    <w:qFormat/>
    <w:pPr>
      <w:tabs>
        <w:tab w:val="center" w:pos="7143" w:leader="none"/>
        <w:tab w:val="right" w:pos="14287" w:leader="none"/>
      </w:tabs>
    </w:pPr>
    <w:rPr>
      <w:rFonts w:ascii="Times New Roman" w:hAnsi="Times New Roman" w:eastAsia="宋体" w:cs="Times New Roman"/>
      <w:lang w:val="en-US" w:eastAsia="zh-CN" w:bidi="ar-SA"/>
    </w:rPr>
  </w:style>
  <w:style w:type="character" w:styleId="908" w:customStyle="1">
    <w:name w:val="Footer Char"/>
    <w:uiPriority w:val="99"/>
    <w:qFormat/>
  </w:style>
  <w:style w:type="paragraph" w:styleId="909" w:customStyle="1">
    <w:name w:val="题注1"/>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character" w:styleId="910" w:customStyle="1">
    <w:name w:val="Caption Char"/>
    <w:link w:val="907"/>
    <w:uiPriority w:val="99"/>
    <w:qFormat/>
    <w:rPr>
      <w:lang w:val="en-US" w:eastAsia="zh-CN" w:bidi="ar-SA"/>
    </w:rPr>
  </w:style>
  <w:style w:type="table" w:styleId="91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14" w:customStyle="1">
    <w:name w:val="无格式表格 31"/>
    <w:uiPriority w:val="99"/>
    <w:qFormat/>
    <w:tblPr>
      <w:tblCellMar>
        <w:left w:w="0" w:type="dxa"/>
        <w:top w:w="0" w:type="dxa"/>
        <w:right w:w="0" w:type="dxa"/>
        <w:bottom w:w="0" w:type="dxa"/>
      </w:tblCellMar>
    </w:tblPr>
  </w:style>
  <w:style w:type="table" w:styleId="915" w:customStyle="1">
    <w:name w:val="无格式表格 41"/>
    <w:uiPriority w:val="99"/>
    <w:qFormat/>
    <w:tblPr>
      <w:tblCellMar>
        <w:left w:w="0" w:type="dxa"/>
        <w:top w:w="0" w:type="dxa"/>
        <w:right w:w="0" w:type="dxa"/>
        <w:bottom w:w="0" w:type="dxa"/>
      </w:tblCellMar>
    </w:tblPr>
  </w:style>
  <w:style w:type="table" w:styleId="916" w:customStyle="1">
    <w:name w:val="无格式表格 51"/>
    <w:uiPriority w:val="99"/>
    <w:qFormat/>
    <w:tblPr>
      <w:tblCellMar>
        <w:left w:w="0" w:type="dxa"/>
        <w:top w:w="0" w:type="dxa"/>
        <w:right w:w="0" w:type="dxa"/>
        <w:bottom w:w="0" w:type="dxa"/>
      </w:tblCellMar>
    </w:tblPr>
  </w:style>
  <w:style w:type="table" w:styleId="91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2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2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2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2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2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3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3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3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4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4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4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4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5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6" w:customStyle="1">
    <w:name w:val="清单表 1 浅色1"/>
    <w:uiPriority w:val="99"/>
    <w:qFormat/>
    <w:tblPr>
      <w:tblCellMar>
        <w:left w:w="0" w:type="dxa"/>
        <w:top w:w="0" w:type="dxa"/>
        <w:right w:w="0" w:type="dxa"/>
        <w:bottom w:w="0" w:type="dxa"/>
      </w:tblCellMar>
    </w:tblPr>
  </w:style>
  <w:style w:type="table" w:styleId="967" w:customStyle="1">
    <w:name w:val="List Table 1 Light - Accent 1"/>
    <w:uiPriority w:val="99"/>
    <w:qFormat/>
    <w:tblPr>
      <w:tblCellMar>
        <w:left w:w="0" w:type="dxa"/>
        <w:top w:w="0" w:type="dxa"/>
        <w:right w:w="0" w:type="dxa"/>
        <w:bottom w:w="0" w:type="dxa"/>
      </w:tblCellMar>
    </w:tblPr>
  </w:style>
  <w:style w:type="table" w:styleId="968" w:customStyle="1">
    <w:name w:val="List Table 1 Light - Accent 2"/>
    <w:uiPriority w:val="99"/>
    <w:qFormat/>
    <w:tblPr>
      <w:tblCellMar>
        <w:left w:w="0" w:type="dxa"/>
        <w:top w:w="0" w:type="dxa"/>
        <w:right w:w="0" w:type="dxa"/>
        <w:bottom w:w="0" w:type="dxa"/>
      </w:tblCellMar>
    </w:tblPr>
  </w:style>
  <w:style w:type="table" w:styleId="969" w:customStyle="1">
    <w:name w:val="List Table 1 Light - Accent 3"/>
    <w:uiPriority w:val="99"/>
    <w:qFormat/>
    <w:tblPr>
      <w:tblCellMar>
        <w:left w:w="0" w:type="dxa"/>
        <w:top w:w="0" w:type="dxa"/>
        <w:right w:w="0" w:type="dxa"/>
        <w:bottom w:w="0" w:type="dxa"/>
      </w:tblCellMar>
    </w:tblPr>
  </w:style>
  <w:style w:type="table" w:styleId="970" w:customStyle="1">
    <w:name w:val="List Table 1 Light - Accent 4"/>
    <w:uiPriority w:val="99"/>
    <w:qFormat/>
    <w:tblPr>
      <w:tblCellMar>
        <w:left w:w="0" w:type="dxa"/>
        <w:top w:w="0" w:type="dxa"/>
        <w:right w:w="0" w:type="dxa"/>
        <w:bottom w:w="0" w:type="dxa"/>
      </w:tblCellMar>
    </w:tblPr>
  </w:style>
  <w:style w:type="table" w:styleId="971" w:customStyle="1">
    <w:name w:val="List Table 1 Light - Accent 5"/>
    <w:uiPriority w:val="99"/>
    <w:qFormat/>
    <w:tblPr>
      <w:tblCellMar>
        <w:left w:w="0" w:type="dxa"/>
        <w:top w:w="0" w:type="dxa"/>
        <w:right w:w="0" w:type="dxa"/>
        <w:bottom w:w="0" w:type="dxa"/>
      </w:tblCellMar>
    </w:tblPr>
  </w:style>
  <w:style w:type="table" w:styleId="972" w:customStyle="1">
    <w:name w:val="List Table 1 Light - Accent 6"/>
    <w:uiPriority w:val="99"/>
    <w:qFormat/>
    <w:tblPr>
      <w:tblCellMar>
        <w:left w:w="0" w:type="dxa"/>
        <w:top w:w="0" w:type="dxa"/>
        <w:right w:w="0" w:type="dxa"/>
        <w:bottom w:w="0" w:type="dxa"/>
      </w:tblCellMar>
    </w:tblPr>
  </w:style>
  <w:style w:type="table" w:styleId="97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7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8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9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9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9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9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9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9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0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0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0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0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0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0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1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1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1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1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1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15" w:customStyle="1">
    <w:name w:val="Lined - Accent"/>
    <w:uiPriority w:val="99"/>
    <w:qFormat/>
    <w:rPr>
      <w:color w:val="404040"/>
    </w:rPr>
    <w:tblPr>
      <w:tblCellMar>
        <w:left w:w="0" w:type="dxa"/>
        <w:top w:w="0" w:type="dxa"/>
        <w:right w:w="0" w:type="dxa"/>
        <w:bottom w:w="0" w:type="dxa"/>
      </w:tblCellMar>
    </w:tblPr>
  </w:style>
  <w:style w:type="table" w:styleId="1016" w:customStyle="1">
    <w:name w:val="Lined - Accent 1"/>
    <w:uiPriority w:val="99"/>
    <w:qFormat/>
    <w:rPr>
      <w:color w:val="404040"/>
    </w:rPr>
    <w:tblPr>
      <w:tblCellMar>
        <w:left w:w="0" w:type="dxa"/>
        <w:top w:w="0" w:type="dxa"/>
        <w:right w:w="0" w:type="dxa"/>
        <w:bottom w:w="0" w:type="dxa"/>
      </w:tblCellMar>
    </w:tblPr>
  </w:style>
  <w:style w:type="table" w:styleId="1017" w:customStyle="1">
    <w:name w:val="Lined - Accent 2"/>
    <w:uiPriority w:val="99"/>
    <w:qFormat/>
    <w:rPr>
      <w:color w:val="404040"/>
    </w:rPr>
    <w:tblPr>
      <w:tblCellMar>
        <w:left w:w="0" w:type="dxa"/>
        <w:top w:w="0" w:type="dxa"/>
        <w:right w:w="0" w:type="dxa"/>
        <w:bottom w:w="0" w:type="dxa"/>
      </w:tblCellMar>
    </w:tblPr>
  </w:style>
  <w:style w:type="table" w:styleId="1018" w:customStyle="1">
    <w:name w:val="Lined - Accent 3"/>
    <w:uiPriority w:val="99"/>
    <w:qFormat/>
    <w:rPr>
      <w:color w:val="404040"/>
    </w:rPr>
    <w:tblPr>
      <w:tblCellMar>
        <w:left w:w="0" w:type="dxa"/>
        <w:top w:w="0" w:type="dxa"/>
        <w:right w:w="0" w:type="dxa"/>
        <w:bottom w:w="0" w:type="dxa"/>
      </w:tblCellMar>
    </w:tblPr>
  </w:style>
  <w:style w:type="table" w:styleId="1019" w:customStyle="1">
    <w:name w:val="Lined - Accent 4"/>
    <w:uiPriority w:val="99"/>
    <w:qFormat/>
    <w:rPr>
      <w:color w:val="404040"/>
    </w:rPr>
    <w:tblPr>
      <w:tblCellMar>
        <w:left w:w="0" w:type="dxa"/>
        <w:top w:w="0" w:type="dxa"/>
        <w:right w:w="0" w:type="dxa"/>
        <w:bottom w:w="0" w:type="dxa"/>
      </w:tblCellMar>
    </w:tblPr>
  </w:style>
  <w:style w:type="table" w:styleId="1020" w:customStyle="1">
    <w:name w:val="Lined - Accent 5"/>
    <w:uiPriority w:val="99"/>
    <w:qFormat/>
    <w:rPr>
      <w:color w:val="404040"/>
    </w:rPr>
    <w:tblPr>
      <w:tblCellMar>
        <w:left w:w="0" w:type="dxa"/>
        <w:top w:w="0" w:type="dxa"/>
        <w:right w:w="0" w:type="dxa"/>
        <w:bottom w:w="0" w:type="dxa"/>
      </w:tblCellMar>
    </w:tblPr>
  </w:style>
  <w:style w:type="table" w:styleId="1021" w:customStyle="1">
    <w:name w:val="Lined - Accent 6"/>
    <w:uiPriority w:val="99"/>
    <w:qFormat/>
    <w:rPr>
      <w:color w:val="404040"/>
    </w:rPr>
    <w:tblPr>
      <w:tblCellMar>
        <w:left w:w="0" w:type="dxa"/>
        <w:top w:w="0" w:type="dxa"/>
        <w:right w:w="0" w:type="dxa"/>
        <w:bottom w:w="0" w:type="dxa"/>
      </w:tblCellMar>
    </w:tblPr>
  </w:style>
  <w:style w:type="table" w:styleId="102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2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2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2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3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6" w:customStyle="1">
    <w:name w:val="脚注文本 Char"/>
    <w:link w:val="851"/>
    <w:uiPriority w:val="99"/>
    <w:semiHidden/>
    <w:qFormat/>
    <w:rPr>
      <w:sz w:val="18"/>
      <w:lang w:bidi="ar-SA"/>
    </w:rPr>
  </w:style>
  <w:style w:type="character" w:styleId="1037" w:customStyle="1">
    <w:name w:val="尾注文本 Char"/>
    <w:link w:val="844"/>
    <w:uiPriority w:val="99"/>
    <w:semiHidden/>
    <w:qFormat/>
    <w:rPr>
      <w:lang w:val="en-US" w:eastAsia="zh-CN" w:bidi="ar-SA"/>
    </w:rPr>
  </w:style>
  <w:style w:type="paragraph" w:styleId="1038" w:customStyle="1">
    <w:name w:val="TOC 标题1"/>
    <w:basedOn w:val="823"/>
    <w:next w:val="822"/>
    <w:uiPriority w:val="0"/>
    <w:qFormat/>
    <w:pPr>
      <w:spacing w:before="480" w:after="0" w:line="276" w:lineRule="auto"/>
      <w:outlineLvl w:val="9"/>
    </w:pPr>
    <w:rPr>
      <w:rFonts w:ascii="Cambria" w:hAnsi="Cambria"/>
      <w:bCs/>
      <w:color w:val="365f91"/>
      <w:sz w:val="28"/>
      <w:szCs w:val="28"/>
    </w:rPr>
  </w:style>
  <w:style w:type="character" w:styleId="1039" w:customStyle="1">
    <w:name w:val="Plain Text Char Char"/>
    <w:uiPriority w:val="0"/>
    <w:qFormat/>
    <w:rPr>
      <w:rFonts w:ascii="宋体" w:hAnsi="Courier New" w:eastAsia="楷体_GB2312"/>
      <w:sz w:val="26"/>
      <w:lang w:val="en-US" w:eastAsia="zh-CN" w:bidi="ar-SA"/>
    </w:rPr>
  </w:style>
  <w:style w:type="character" w:styleId="1040" w:customStyle="1">
    <w:name w:val="s2"/>
    <w:basedOn w:val="829"/>
    <w:uiPriority w:val="0"/>
    <w:qFormat/>
  </w:style>
  <w:style w:type="character" w:styleId="1041" w:customStyle="1">
    <w:name w:val="纯文本 Char"/>
    <w:link w:val="840"/>
    <w:uiPriority w:val="0"/>
    <w:qFormat/>
    <w:rPr>
      <w:rFonts w:ascii="宋体" w:hAnsi="Courier New" w:eastAsia="楷体_GB2312"/>
      <w:sz w:val="26"/>
      <w:lang w:val="en-US" w:eastAsia="zh-CN" w:bidi="ar-SA"/>
    </w:rPr>
  </w:style>
  <w:style w:type="character" w:styleId="1042" w:customStyle="1">
    <w:name w:val="正文缩进 Char"/>
    <w:link w:val="1043"/>
    <w:uiPriority w:val="0"/>
    <w:qFormat/>
    <w:rPr>
      <w:rFonts w:eastAsia="楷体_GB2312"/>
      <w:sz w:val="24"/>
      <w:lang w:val="en-US" w:eastAsia="zh-CN" w:bidi="ar-SA"/>
    </w:rPr>
  </w:style>
  <w:style w:type="paragraph" w:styleId="1043" w:customStyle="1">
    <w:name w:val="正文缩进1"/>
    <w:basedOn w:val="822"/>
    <w:link w:val="1042"/>
    <w:uiPriority w:val="0"/>
    <w:qFormat/>
    <w:pPr>
      <w:ind w:firstLine="420"/>
    </w:pPr>
    <w:rPr>
      <w:rFonts w:eastAsia="楷体_GB2312"/>
      <w:sz w:val="24"/>
    </w:rPr>
  </w:style>
  <w:style w:type="character" w:styleId="1044" w:customStyle="1">
    <w:name w:val="页脚 Char"/>
    <w:link w:val="846"/>
    <w:uiPriority w:val="0"/>
    <w:qFormat/>
    <w:rPr>
      <w:rFonts w:eastAsia="楷体_GB2312"/>
      <w:sz w:val="18"/>
    </w:rPr>
  </w:style>
  <w:style w:type="character" w:styleId="1045" w:customStyle="1">
    <w:name w:val="正文文本缩进 Char"/>
    <w:link w:val="836"/>
    <w:uiPriority w:val="0"/>
    <w:qFormat/>
    <w:rPr>
      <w:rFonts w:ascii="方正仿宋简体" w:hAnsi="创艺简仿宋" w:eastAsia="方正仿宋简体"/>
      <w:sz w:val="24"/>
    </w:rPr>
  </w:style>
  <w:style w:type="character" w:styleId="1046" w:customStyle="1">
    <w:name w:val="日期 Char"/>
    <w:link w:val="842"/>
    <w:uiPriority w:val="0"/>
    <w:qFormat/>
    <w:rPr>
      <w:rFonts w:ascii="宋体" w:hAnsi="宋体" w:eastAsia="楷体_GB2312"/>
      <w:sz w:val="24"/>
    </w:rPr>
  </w:style>
  <w:style w:type="character" w:styleId="1047" w:customStyle="1">
    <w:name w:val="普通文字 Char Char"/>
    <w:uiPriority w:val="0"/>
    <w:qFormat/>
    <w:rPr>
      <w:rFonts w:ascii="宋体" w:hAnsi="Courier New" w:eastAsia="楷体_GB2312"/>
      <w:sz w:val="26"/>
      <w:lang w:val="en-US" w:eastAsia="zh-CN" w:bidi="ar-SA"/>
    </w:rPr>
  </w:style>
  <w:style w:type="character" w:styleId="1048" w:customStyle="1">
    <w:name w:val="批注文字 Char"/>
    <w:link w:val="834"/>
    <w:uiPriority w:val="0"/>
    <w:semiHidden/>
    <w:qFormat/>
    <w:rPr>
      <w:rFonts w:eastAsia="楷体_GB2312"/>
      <w:sz w:val="26"/>
    </w:rPr>
  </w:style>
  <w:style w:type="paragraph" w:styleId="1049" w:customStyle="1">
    <w:name w:val="样式2"/>
    <w:basedOn w:val="848"/>
    <w:uiPriority w:val="0"/>
    <w:qFormat/>
    <w:pPr>
      <w:jc w:val="both"/>
      <w:tabs>
        <w:tab w:val="right" w:pos="9026" w:leader="dot"/>
      </w:tabs>
    </w:pPr>
    <w:rPr>
      <w:rFonts w:ascii="宋体" w:hAnsi="宋体"/>
      <w:b/>
      <w:bCs/>
      <w:sz w:val="30"/>
    </w:rPr>
  </w:style>
  <w:style w:type="paragraph" w:styleId="1050" w:customStyle="1">
    <w:name w:val="p2"/>
    <w:basedOn w:val="822"/>
    <w:uiPriority w:val="0"/>
    <w:qFormat/>
    <w:pPr>
      <w:spacing w:before="100" w:beforeAutospacing="1" w:after="100" w:afterAutospacing="1"/>
    </w:pPr>
    <w:rPr>
      <w:rFonts w:ascii="宋体" w:hAnsi="宋体"/>
      <w:sz w:val="24"/>
      <w:szCs w:val="24"/>
    </w:rPr>
  </w:style>
  <w:style w:type="paragraph" w:styleId="1051" w:customStyle="1">
    <w:name w:val="Plain Text1"/>
    <w:basedOn w:val="822"/>
    <w:uiPriority w:val="0"/>
    <w:qFormat/>
    <w:rPr>
      <w:rFonts w:ascii="宋体" w:hAnsi="Courier New"/>
      <w:sz w:val="28"/>
    </w:rPr>
  </w:style>
  <w:style w:type="paragraph" w:styleId="1052" w:customStyle="1">
    <w:name w:val="_Style 12"/>
    <w:basedOn w:val="833"/>
    <w:uiPriority w:val="0"/>
    <w:qFormat/>
    <w:pPr>
      <w:spacing w:line="360" w:lineRule="auto"/>
    </w:pPr>
    <w:rPr>
      <w:sz w:val="21"/>
      <w:szCs w:val="24"/>
    </w:rPr>
  </w:style>
  <w:style w:type="paragraph" w:styleId="1053" w:customStyle="1">
    <w:name w:val="Char1"/>
    <w:basedOn w:val="822"/>
    <w:uiPriority w:val="0"/>
    <w:qFormat/>
    <w:rPr>
      <w:rFonts w:ascii="Tahoma" w:hAnsi="Tahoma"/>
      <w:sz w:val="24"/>
    </w:rPr>
  </w:style>
  <w:style w:type="paragraph" w:styleId="1054" w:customStyle="1">
    <w:name w:val="Char"/>
    <w:basedOn w:val="822"/>
    <w:uiPriority w:val="0"/>
    <w:qFormat/>
    <w:rPr>
      <w:sz w:val="21"/>
      <w:szCs w:val="24"/>
    </w:rPr>
  </w:style>
  <w:style w:type="paragraph" w:styleId="1055" w:customStyle="1">
    <w:name w:val="纯文本1"/>
    <w:basedOn w:val="822"/>
    <w:uiPriority w:val="0"/>
    <w:qFormat/>
    <w:rPr>
      <w:rFonts w:ascii="宋体" w:hAnsi="Courier New"/>
      <w:sz w:val="24"/>
      <w:szCs w:val="24"/>
    </w:rPr>
  </w:style>
  <w:style w:type="paragraph" w:styleId="1056" w:customStyle="1">
    <w:name w:val="正文 A"/>
    <w:uiPriority w:val="0"/>
    <w:qFormat/>
    <w:pPr>
      <w:jc w:val="both"/>
      <w:widowControl w:val="off"/>
      <w:framePr w:wrap="around" w:vAnchor="margin" w:hAnchor="text" w:y="1"/>
    </w:pPr>
    <w:rPr>
      <w:rFonts w:ascii="Times New Roman" w:hAnsi="Arial Unicode MS" w:eastAsia="Times New Roman" w:cs="Times New Roman"/>
      <w:color w:val="000000"/>
      <w:sz w:val="21"/>
      <w:szCs w:val="21"/>
      <w:lang w:val="en-US" w:eastAsia="zh-CN" w:bidi="ar-SA"/>
    </w:rPr>
  </w:style>
  <w:style w:type="paragraph" w:styleId="1057" w:customStyle="1">
    <w:name w:val="font7"/>
    <w:basedOn w:val="822"/>
    <w:uiPriority w:val="0"/>
    <w:qFormat/>
    <w:pPr>
      <w:spacing w:before="100" w:beforeAutospacing="1" w:after="100" w:afterAutospacing="1"/>
    </w:pPr>
  </w:style>
  <w:style w:type="paragraph" w:styleId="1058" w:customStyle="1">
    <w:name w:val="Char Char Char"/>
    <w:basedOn w:val="822"/>
    <w:uiPriority w:val="0"/>
    <w:qFormat/>
    <w:pPr>
      <w:numPr>
        <w:ilvl w:val="0"/>
        <w:numId w:val="1"/>
      </w:numPr>
      <w:tabs>
        <w:tab w:val="left" w:pos="840" w:leader="none"/>
      </w:tabs>
    </w:pPr>
  </w:style>
  <w:style w:type="paragraph" w:styleId="1059" w:customStyle="1">
    <w:name w:val="Char2"/>
    <w:basedOn w:val="822"/>
    <w:uiPriority w:val="0"/>
    <w:qFormat/>
    <w:rPr>
      <w:rFonts w:ascii="Tahoma" w:hAnsi="Tahoma"/>
      <w:sz w:val="24"/>
    </w:rPr>
  </w:style>
  <w:style w:type="paragraph" w:styleId="1060" w:customStyle="1">
    <w:name w:val="默认段落字体 Para Char Char Char Char Char Char Char"/>
    <w:basedOn w:val="822"/>
    <w:uiPriority w:val="0"/>
    <w:qFormat/>
    <w:rPr>
      <w:sz w:val="21"/>
      <w:szCs w:val="24"/>
    </w:rPr>
  </w:style>
  <w:style w:type="paragraph" w:styleId="1061" w:customStyle="1">
    <w:name w:val="样式1"/>
    <w:basedOn w:val="848"/>
    <w:uiPriority w:val="0"/>
    <w:qFormat/>
    <w:pPr>
      <w:jc w:val="both"/>
      <w:tabs>
        <w:tab w:val="right" w:pos="9026" w:leader="dot"/>
      </w:tabs>
    </w:pPr>
    <w:rPr>
      <w:rFonts w:ascii="宋体" w:hAnsi="宋体"/>
      <w:b/>
      <w:bCs/>
      <w:sz w:val="30"/>
    </w:rPr>
  </w:style>
  <w:style w:type="paragraph" w:styleId="1062" w:customStyle="1">
    <w:name w:val="hidinshow"/>
    <w:basedOn w:val="822"/>
    <w:uiPriority w:val="0"/>
    <w:qFormat/>
    <w:pPr>
      <w:spacing w:before="100" w:beforeAutospacing="1" w:after="100" w:afterAutospacing="1"/>
    </w:pPr>
    <w:rPr>
      <w:rFonts w:ascii="宋体" w:hAnsi="宋体"/>
      <w:sz w:val="24"/>
      <w:szCs w:val="24"/>
    </w:rPr>
  </w:style>
  <w:style w:type="character" w:styleId="1063" w:customStyle="1">
    <w:name w:val="正文缩进 Char1"/>
    <w:uiPriority w:val="0"/>
    <w:qFormat/>
    <w:rPr>
      <w:rFonts w:ascii="Times New Roman" w:hAnsi="Times New Roman" w:eastAsia="楷体_GB2312"/>
      <w:sz w:val="24"/>
      <w:szCs w:val="20"/>
    </w:rPr>
  </w:style>
  <w:style w:type="paragraph" w:styleId="1064" w:customStyle="1">
    <w:name w:val="修订1"/>
    <w:hidden/>
    <w:uiPriority w:val="99"/>
    <w:semiHidden/>
    <w:qFormat/>
    <w:rPr>
      <w:rFonts w:ascii="Times New Roman" w:hAnsi="Times New Roman" w:eastAsia="宋体" w:cs="Times New Roman"/>
      <w:lang w:val="en-US" w:eastAsia="zh-CN" w:bidi="ar-SA"/>
    </w:rPr>
  </w:style>
  <w:style w:type="table" w:styleId="1065" w:customStyle="1">
    <w:name w:val="Table Normal"/>
    <w:uiPriority w:val="0"/>
    <w:unhideWhenUsed/>
    <w:qFormat/>
    <w:tblPr>
      <w:tblCellMar>
        <w:left w:w="0" w:type="dxa"/>
        <w:top w:w="0" w:type="dxa"/>
        <w:right w:w="0" w:type="dxa"/>
        <w:bottom w:w="0" w:type="dxa"/>
      </w:tblCellMar>
    </w:tblPr>
  </w:style>
  <w:style w:type="paragraph" w:styleId="1066" w:customStyle="1">
    <w:name w:val="纯文本2"/>
    <w:basedOn w:val="822"/>
    <w:uiPriority w:val="0"/>
    <w:qFormat/>
    <w:rPr>
      <w:rFonts w:ascii="宋体" w:hAnsi="Courier New" w:eastAsia="楷体_GB2312"/>
      <w:sz w:val="28"/>
    </w:rPr>
  </w:style>
  <w:style w:type="paragraph" w:styleId="1067" w:customStyle="1">
    <w:name w:val="纯文本21"/>
    <w:basedOn w:val="822"/>
    <w:uiPriority w:val="0"/>
    <w:qFormat/>
    <w:rPr>
      <w:rFonts w:ascii="宋体" w:hAnsi="Courier New"/>
      <w:sz w:val="28"/>
    </w:rPr>
  </w:style>
  <w:style w:type="paragraph" w:styleId="1068" w:customStyle="1">
    <w:name w:val="纯文本3"/>
    <w:basedOn w:val="822"/>
    <w:uiPriority w:val="0"/>
    <w:qFormat/>
    <w:rPr>
      <w:rFonts w:ascii="宋体" w:hAnsi="Courier New"/>
      <w:sz w:val="28"/>
    </w:rPr>
  </w:style>
  <w:style w:type="character" w:styleId="1069" w:customStyle="1">
    <w:name w:val="标题 1 Char"/>
    <w:link w:val="823"/>
    <w:uiPriority w:val="0"/>
    <w:qFormat/>
    <w:rPr>
      <w:b/>
      <w:sz w:val="44"/>
    </w:rPr>
  </w:style>
  <w:style w:type="paragraph" w:styleId="1070" w:customStyle="1">
    <w:name w:val="Default"/>
    <w:uiPriority w:val="99"/>
    <w:unhideWhenUsed/>
    <w:qFormat/>
    <w:pPr>
      <w:widowControl w:val="off"/>
    </w:pPr>
    <w:rPr>
      <w:rFonts w:ascii="宋体" w:hAnsi="宋体" w:eastAsia="宋体" w:cs="Times New Roman"/>
      <w:color w:val="000000"/>
      <w:sz w:val="24"/>
      <w:szCs w:val="24"/>
      <w:lang w:val="en-US" w:eastAsia="zh-CN" w:bidi="ar-SA"/>
    </w:rPr>
  </w:style>
  <w:style w:type="paragraph" w:styleId="1071" w:customStyle="1">
    <w:name w:val="段"/>
    <w:next w:val="822"/>
    <w:uiPriority w:val="0"/>
    <w:qFormat/>
    <w:pPr>
      <w:ind w:firstLine="200"/>
      <w:jc w:val="both"/>
    </w:pPr>
    <w:rPr>
      <w:rFonts w:ascii="宋体" w:hAnsi="Times New Roman" w:eastAsia="宋体" w:cs="Times New Roman"/>
      <w:sz w:val="21"/>
      <w:lang w:val="en-US" w:eastAsia="zh-CN" w:bidi="ar-SA"/>
    </w:rPr>
  </w:style>
  <w:style w:type="paragraph" w:styleId="1072" w:customStyle="1">
    <w:name w:val="_正文段落"/>
    <w:basedOn w:val="822"/>
    <w:uiPriority w:val="0"/>
    <w:qFormat/>
    <w:pPr>
      <w:ind w:firstLine="480"/>
      <w:spacing w:line="360" w:lineRule="auto"/>
    </w:pPr>
    <w:rPr>
      <w:rFonts w:ascii="宋体" w:hAnsi="宋体"/>
      <w:sz w:val="24"/>
      <w:szCs w:val="24"/>
    </w:rPr>
  </w:style>
  <w:style w:type="paragraph" w:styleId="1073" w:customStyle="1">
    <w:name w:val="纯文本4"/>
    <w:basedOn w:val="822"/>
    <w:uiPriority w:val="0"/>
    <w:qFormat/>
    <w:rPr>
      <w:rFonts w:ascii="宋体" w:hAnsi="Courier New" w:eastAsia="楷体_GB2312"/>
      <w:sz w:val="28"/>
    </w:rPr>
  </w:style>
  <w:style w:type="paragraph" w:styleId="1074" w:customStyle="1">
    <w:name w:val="文档结构图1"/>
    <w:basedOn w:val="822"/>
    <w:uiPriority w:val="99"/>
    <w:qFormat/>
    <w:pPr>
      <w:shd w:val="clear" w:color="auto" w:fill="000080"/>
    </w:pPr>
  </w:style>
  <w:style w:type="paragraph" w:styleId="1075" w:customStyle="1">
    <w:name w:val="Table Text"/>
    <w:basedOn w:val="822"/>
    <w:uiPriority w:val="0"/>
    <w:semiHidden/>
    <w:qFormat/>
    <w:rPr>
      <w:rFonts w:ascii="宋体" w:hAnsi="宋体" w:cs="宋体"/>
    </w:rPr>
  </w:style>
  <w:style w:type="paragraph" w:styleId="1076" w:customStyle="1">
    <w:name w:val="msolistparagraph"/>
    <w:basedOn w:val="822"/>
    <w:uiPriority w:val="0"/>
    <w:qFormat/>
    <w:pPr>
      <w:ind w:firstLine="420"/>
      <w:jc w:val="both"/>
      <w:widowControl w:val="off"/>
    </w:pPr>
    <w:rPr>
      <w:rFonts w:ascii="Calibri" w:hAnsi="Calibri"/>
      <w:sz w:val="21"/>
      <w:szCs w:val="22"/>
    </w:rPr>
  </w:style>
  <w:style w:type="character" w:styleId="1077" w:customStyle="1">
    <w:name w:val="NormalCharacter"/>
    <w:uiPriority w:val="0"/>
    <w:semiHidden/>
    <w:qFormat/>
  </w:style>
  <w:style w:type="paragraph" w:styleId="1078" w:customStyle="1">
    <w:name w:val="_Style 5"/>
    <w:basedOn w:val="822"/>
    <w:uiPriority w:val="34"/>
    <w:qFormat/>
    <w:pPr>
      <w:ind w:firstLine="420"/>
    </w:pPr>
    <w:rPr>
      <w:sz w:val="24"/>
    </w:rPr>
  </w:style>
  <w:style w:type="paragraph" w:styleId="1079">
    <w:name w:val="List Paragraph"/>
    <w:basedOn w:val="822"/>
    <w:uiPriority w:val="34"/>
    <w:qFormat/>
    <w:pPr>
      <w:ind w:firstLine="420"/>
    </w:pPr>
    <w:rPr>
      <w:sz w:val="21"/>
      <w:szCs w:val="24"/>
    </w:rPr>
  </w:style>
  <w:style w:type="numbering" w:styleId="10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543"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3103"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3879"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9316"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5170"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8987" TargetMode="External"/><Relationship Id="rId19"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0006" TargetMode="External"/><Relationship Id="rId20"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939" TargetMode="External"/><Relationship Id="rId21" Type="http://schemas.openxmlformats.org/officeDocument/2006/relationships/hyperlink" Target="http://www.szweikang.xn--com-6y3ba7cbgc4097e4kax19cqoerohxod7w1bva254sga6035lg4sc/"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4286af19-c2de-4d9c-875e-865e31364c10</errorID>
      <errorWord>招标（采购）</errorWord>
      <group>L1_AI</group>
      <groupName>深度校对</groupName>
      <ability>L2_AI_Grammar</ability>
      <abilityName>语法纠错</abilityName>
      <candidateList>
        <item>招标</item>
      </candidateList>
      <explain/>
      <paraID>5B3AD1DB</paraID>
      <start>39</start>
      <end>45</end>
      <status>unmodified</status>
      <modifiedWord/>
      <trackRevisions>false</trackRevisions>
    </reviewItem>
    <reviewItem>
      <errorID>64246483-9e2e-4777-b167-2d71d808c8f1</errorID>
      <errorWord>。</errorWord>
      <group>L1_AI</group>
      <groupName>深度校对</groupName>
      <ability>L2_AI_Punc</ability>
      <abilityName>标点纠错</abilityName>
      <candidateList>
        <item>，</item>
      </candidateList>
      <explain/>
      <paraID>34A00248</paraID>
      <start>51</start>
      <end>52</end>
      <status>unmodified</status>
      <modifiedWord/>
      <trackRevisions>false</trackRevisions>
    </reviewItem>
    <reviewItem>
      <errorID>eca409db-5992-4f9b-9c5b-832dc3a8d1a7</errorID>
      <errorWord>：</errorWord>
      <group>L1_Punc</group>
      <groupName>标点问题</groupName>
      <ability>L2_Punc</ability>
      <abilityName>标点符号检查</abilityName>
      <candidateList/>
      <explain/>
      <paraID>25DFEB8F</paraID>
      <start>44</start>
      <end>45</end>
      <status>unmodified</status>
      <modifiedWord/>
      <trackRevisions>false</trackRevisions>
    </reviewItem>
    <reviewItem>
      <errorID>70fdb0b0-e81d-46fc-a2b9-b93db5d9f7c7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EE4960</paraID>
      <start>51</start>
      <end>52</end>
      <status>unmodified</status>
      <modifiedWord/>
      <trackRevisions>false</trackRevisions>
    </reviewItem>
    <reviewItem>
      <errorID>3ca02b16-6ff8-4ee5-a9e6-8f778cd80be7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6D6B2C37</paraID>
      <start>50</start>
      <end>51</end>
      <status>unmodified</status>
      <modifiedWord/>
      <trackRevisions>false</trackRevisions>
    </reviewItem>
    <reviewItem>
      <errorID>c3aa243b-f292-4281-9bf6-efca17d71c71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3EFD8564</paraID>
      <start>50</start>
      <end>51</end>
      <status>unmodified</status>
      <modifiedWord/>
      <trackRevisions>false</trackRevisions>
    </reviewItem>
    <reviewItem>
      <errorID>a8a8d144-8dc1-4353-a04e-9f4849095868</errorID>
      <errorWord>：</errorWord>
      <group>L1_Punc</group>
      <groupName>标点问题</groupName>
      <ability>L2_Punc</ability>
      <abilityName>标点符号检查</abilityName>
      <candidateList/>
      <explain/>
      <paraID>42B4EEF2</paraID>
      <start>0</start>
      <end>1</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2052"/>
    <customShpInfo spid="_x0000_s2051"/>
    <customShpInfo spid="_x0000_s2053" textRotate="1"/>
    <customShpInfo spid="_x0000_s2050"/>
    <customShpInfo spid="_x0000_s2049"/>
  </customShpExts>
</s:customData>
</file>

<file path=customXml/itemProps1.xml><?xml version="1.0" encoding="utf-8"?>
<ds:datastoreItem xmlns:ds="http://schemas.openxmlformats.org/officeDocument/2006/customXml" ds:itemID="{9D7F5961-B511-4297-9E0B-9226C0D64A0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ruyi</dc:creator>
  <cp:lastModifiedBy>俞莉</cp:lastModifiedBy>
  <cp:revision>42</cp:revision>
  <dcterms:created xsi:type="dcterms:W3CDTF">2023-04-06T13:23:00Z</dcterms:created>
  <dcterms:modified xsi:type="dcterms:W3CDTF">2026-10-26T08:38:16Z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63093EEC35E44CF3B56F89FA09CD583F_13</vt:lpwstr>
  </property>
  <property fmtid="{D5CDD505-2E9C-101B-9397-08002B2CF9AE}" pid="4" name="KSOTemplateDocerSaveRecord">
    <vt:lpwstr>eyJoZGlkIjoiZTljYzUxZDIxMjIyOTQ5MTdiMjczMzEzYTBjYzFjZGEiLCJ1c2VySWQiOiIyOTQ1NzYwNTUifQ==</vt:lpwstr>
  </property>
</Properties>
</file>