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spacing w:before="240" w:after="240"/>
        <w:rPr>
          <w:rFonts w:hint="eastAsia" w:ascii="宋体" w:hAnsi="宋体" w:cs="宋体"/>
          <w:b/>
          <w:color w:val="000000"/>
          <w:sz w:val="44"/>
          <w:szCs w:val="4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 </w:t>
      </w:r>
      <w:r>
        <w:rPr>
          <w:rFonts w:hint="eastAsia" w:ascii="宋体" w:hAnsi="宋体" w:cs="宋体"/>
          <w:b/>
          <w:color w:val="000000"/>
          <w:sz w:val="32"/>
          <w:highlight w:val="none"/>
          <w:lang w:val="en-US" w:eastAsia="zh-CN"/>
        </w:rPr>
        <w:t xml:space="preserve">                                </w:t>
      </w:r>
      <w:r>
        <w:rPr>
          <w:rFonts w:hint="eastAsia" w:ascii="宋体" w:hAnsi="宋体" w:cs="宋体"/>
          <w:b/>
          <w:color w:val="000000"/>
          <w:sz w:val="44"/>
          <w:szCs w:val="44"/>
          <w:highlight w:val="none"/>
          <w:lang w:val="en-US" w:eastAsia="zh-CN"/>
        </w:rPr>
        <w:t xml:space="preserve"> </w:t>
      </w:r>
      <w:r/>
    </w:p>
    <w:p>
      <w:pPr>
        <w:ind w:firstLine="0"/>
        <w:jc w:val="right"/>
        <w:spacing w:before="240" w:after="240"/>
        <w:rPr>
          <w:rFonts w:hint="eastAsia" w:ascii="宋体" w:hAnsi="宋体" w:cs="宋体"/>
          <w:b/>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bookmarkStart w:id="0" w:name="_GoBack"/>
      <w:r>
        <w:rPr>
          <w:rFonts w:ascii="宋体" w:hAnsi="宋体" w:cs="宋体"/>
          <w:b/>
          <w:color w:val="auto"/>
          <w:sz w:val="24"/>
          <w:szCs w:val="24"/>
          <w:highlight w:val="none"/>
        </w:rPr>
        <w:t xml:space="preserve">项目编号：</w:t>
      </w:r>
      <w:r>
        <w:rPr>
          <w:rFonts w:ascii="SimSun" w:hAnsi="SimSun" w:eastAsia="SimSun" w:cs="SimSun"/>
          <w:b/>
          <w:color w:val="000000"/>
          <w:sz w:val="24"/>
          <w:szCs w:val="24"/>
        </w:rPr>
        <w:t xml:space="preserve">JSZC-321092-YZSJ-G2026-0009</w:t>
      </w:r>
      <w:r>
        <w:rPr>
          <w:rFonts w:hint="eastAsia" w:ascii="宋体" w:hAnsi="宋体" w:cs="宋体"/>
          <w:b/>
          <w:color w:val="auto"/>
          <w:sz w:val="44"/>
          <w:szCs w:val="44"/>
          <w:highlight w:val="none"/>
          <w:lang w:val="en-US" w:eastAsia="zh-CN"/>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1285"/>
        <w:spacing w:before="240" w:after="240"/>
        <w:rPr>
          <w:rFonts w:hint="eastAsia" w:ascii="宋体" w:hAnsi="宋体" w:cs="宋体"/>
          <w:b/>
          <w:bCs/>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lang w:eastAsia="zh-CN"/>
        </w:rPr>
      </w:r>
      <w:r>
        <w:rPr>
          <w:rFonts w:hint="eastAsia" w:ascii="宋体" w:hAnsi="宋体" w:cs="宋体"/>
          <w:b/>
          <w:color w:val="auto"/>
          <w:sz w:val="36"/>
          <w:szCs w:val="36"/>
          <w:highlight w:val="none"/>
          <w:lang w:eastAsia="zh-CN"/>
        </w:rPr>
      </w:r>
      <w:r/>
    </w:p>
    <w:p>
      <w:pPr>
        <w:ind w:firstLine="1285"/>
        <w:spacing w:before="240" w:after="240"/>
        <w:rPr>
          <w:rFonts w:hint="eastAsia" w:ascii="宋体" w:hAnsi="宋体" w:cs="宋体"/>
          <w:b/>
          <w:bCs/>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6"/>
          <w:szCs w:val="36"/>
          <w:highlight w:val="none"/>
          <w:lang w:eastAsia="zh-CN"/>
        </w:rPr>
      </w:r>
      <w:r>
        <w:rPr>
          <w:rFonts w:hint="eastAsia" w:ascii="宋体" w:hAnsi="宋体" w:cs="宋体"/>
          <w:b/>
          <w:bCs/>
          <w:color w:val="auto"/>
          <w:sz w:val="36"/>
          <w:szCs w:val="36"/>
          <w:highlight w:val="none"/>
          <w:lang w:eastAsia="zh-CN"/>
        </w:rPr>
      </w:r>
      <w:r/>
    </w:p>
    <w:p>
      <w:pPr>
        <w:ind w:firstLine="1285"/>
        <w:spacing w:before="240" w:after="240"/>
        <w:rPr>
          <w:rFonts w:hint="eastAsia" w:ascii="宋体" w:hAnsi="宋体" w:cs="宋体"/>
          <w:b/>
          <w:bCs/>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lang w:eastAsia="zh-CN"/>
        </w:rPr>
      </w:r>
      <w:r/>
    </w:p>
    <w:p>
      <w:pPr>
        <w:jc w:val="center"/>
        <w:spacing w:before="240" w:after="240"/>
        <w:rPr>
          <w:rFonts w:hint="eastAsia" w:ascii="宋体" w:hAnsi="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景区2026−</w:t>
      </w:r>
      <w:r>
        <w:rPr>
          <w:rFonts w:hint="eastAsia" w:ascii="宋体" w:hAnsi="宋体" w:cs="宋体"/>
          <w:b w:val="0"/>
          <w:bCs w:val="0"/>
          <w:color w:val="auto"/>
          <w:sz w:val="44"/>
          <w:szCs w:val="44"/>
          <w:highlight w:val="none"/>
          <w:lang w:eastAsia="zh-CN"/>
        </w:rPr>
        <w:t xml:space="preserve">2</w:t>
      </w:r>
      <w:r>
        <w:rPr>
          <w:rFonts w:hint="eastAsia" w:ascii="宋体" w:hAnsi="宋体" w:cs="宋体"/>
          <w:b w:val="0"/>
          <w:bCs w:val="0"/>
          <w:color w:val="auto"/>
          <w:sz w:val="44"/>
          <w:szCs w:val="44"/>
          <w:highlight w:val="none"/>
          <w:lang w:eastAsia="zh-CN"/>
        </w:rPr>
        <w:t xml:space="preserve">0</w:t>
      </w:r>
      <w:r>
        <w:rPr>
          <w:rFonts w:hint="eastAsia" w:ascii="宋体" w:hAnsi="宋体" w:cs="宋体"/>
          <w:b w:val="0"/>
          <w:bCs w:val="0"/>
          <w:color w:val="auto"/>
          <w:sz w:val="44"/>
          <w:szCs w:val="44"/>
          <w:highlight w:val="none"/>
          <w:lang w:eastAsia="zh-CN"/>
        </w:rPr>
        <w:t xml:space="preserve">27</w:t>
      </w:r>
      <w:r>
        <w:rPr>
          <w:rFonts w:hint="eastAsia" w:ascii="宋体" w:hAnsi="宋体" w:cs="宋体"/>
          <w:b/>
          <w:color w:val="auto"/>
          <w:sz w:val="44"/>
          <w:szCs w:val="44"/>
          <w:highlight w:val="none"/>
          <w:lang w:eastAsia="zh-CN"/>
        </w:rPr>
        <w:t xml:space="preserve">年装修垃圾处置服务项目</w:t>
      </w:r>
      <w:r/>
    </w:p>
    <w:p>
      <w:pPr>
        <w:jc w:val="center"/>
        <w:spacing w:before="240" w:after="240"/>
        <w:rPr>
          <w:rFonts w:hint="eastAsia" w:ascii="宋体" w:hAnsi="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招标文件</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ind w:firstLine="128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128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128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rFonts w:ascii="宋体" w:hAnsi="宋体" w:cs="宋体"/>
          <w:color w:val="auto"/>
          <w:highlight w:val="none"/>
        </w:rPr>
        <w:t xml:space="preserve">     </w:t>
      </w:r>
      <w:r>
        <w:rPr>
          <w:rFonts w:ascii="宋体" w:hAnsi="宋体" w:cs="宋体"/>
          <w:b/>
          <w:color w:val="auto"/>
          <w:sz w:val="30"/>
          <w:highlight w:val="none"/>
        </w:rPr>
        <w:t xml:space="preserve">   </w:t>
      </w:r>
      <w:r>
        <w:rPr>
          <w:rFonts w:eastAsia="Times New Roman"/>
          <w:color w:val="auto"/>
          <w:highlight w:val="none"/>
        </w:rPr>
        <w:t xml:space="preserve">  </w:t>
      </w:r>
      <w:r>
        <w:rPr>
          <w:rFonts w:eastAsia="Times New Roman"/>
          <w:b/>
          <w:color w:val="auto"/>
          <w:sz w:val="3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highlight w:val="none"/>
        </w:rPr>
      </w:r>
      <w:r/>
    </w:p>
    <w:p>
      <w:pPr>
        <w:ind w:firstLine="602"/>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采   购   人：扬州市蜀冈-瘦西湖风景名胜区综合行政执法局</w:t>
      </w:r>
      <w:r/>
    </w:p>
    <w:p>
      <w:pPr>
        <w:ind w:firstLine="602"/>
        <w:jc w:val="left"/>
        <w:spacing w:before="240" w:after="240"/>
        <w:rPr>
          <w:rFonts w:hint="eastAsia" w:ascii="宋体" w:hAnsi="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采购代理机构：</w:t>
      </w:r>
      <w:r>
        <w:rPr>
          <w:rFonts w:hint="eastAsia" w:ascii="宋体" w:hAnsi="宋体" w:cs="宋体"/>
          <w:b/>
          <w:color w:val="auto"/>
          <w:sz w:val="30"/>
          <w:szCs w:val="30"/>
          <w:highlight w:val="none"/>
          <w:lang w:eastAsia="zh-CN"/>
        </w:rPr>
        <w:t xml:space="preserve">扬州市建苑工程监理有限责任公司</w:t>
      </w:r>
      <w:r/>
    </w:p>
    <w:p>
      <w:pPr>
        <w:jc w:val="center"/>
        <w:spacing w:before="240" w:after="240"/>
        <w:rPr>
          <w:color w:val="auto"/>
          <w:sz w:val="30"/>
          <w:szCs w:val="30"/>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u w:val="none"/>
        </w:rPr>
        <w:t xml:space="preserve">2026年</w:t>
      </w:r>
      <w:r>
        <w:rPr>
          <w:rFonts w:hint="eastAsia" w:ascii="宋体" w:hAnsi="宋体" w:cs="宋体"/>
          <w:b/>
          <w:color w:val="auto"/>
          <w:sz w:val="30"/>
          <w:szCs w:val="30"/>
          <w:highlight w:val="none"/>
          <w:u w:val="none"/>
          <w:lang w:val="en-US" w:eastAsia="zh-CN"/>
        </w:rPr>
        <w:t xml:space="preserve">10</w:t>
      </w:r>
      <w:r>
        <w:rPr>
          <w:rFonts w:hint="eastAsia" w:ascii="宋体" w:hAnsi="宋体" w:cs="宋体"/>
          <w:b/>
          <w:color w:val="auto"/>
          <w:sz w:val="30"/>
          <w:szCs w:val="30"/>
          <w:highlight w:val="none"/>
          <w:u w:val="none"/>
        </w:rPr>
        <w:t xml:space="preserve">月</w:t>
      </w:r>
      <w:r>
        <w:rPr>
          <w:rFonts w:hint="eastAsia" w:ascii="宋体" w:hAnsi="宋体" w:cs="宋体"/>
          <w:b/>
          <w:color w:val="auto"/>
          <w:sz w:val="30"/>
          <w:szCs w:val="30"/>
          <w:highlight w:val="none"/>
          <w:u w:val="none"/>
          <w:lang w:val="en-US" w:eastAsia="zh-CN"/>
        </w:rPr>
        <w:t xml:space="preserve">27</w:t>
      </w:r>
      <w:r>
        <w:rPr>
          <w:rFonts w:hint="eastAsia" w:ascii="宋体" w:hAnsi="宋体" w:cs="宋体"/>
          <w:b/>
          <w:color w:val="auto"/>
          <w:sz w:val="30"/>
          <w:szCs w:val="30"/>
          <w:highlight w:val="none"/>
          <w:u w:val="none"/>
        </w:rPr>
        <w:t xml:space="preserve">日</w:t>
      </w:r>
      <w:r>
        <w:rPr>
          <w:color w:val="auto"/>
          <w:sz w:val="30"/>
          <w:szCs w:val="30"/>
          <w:highlight w:val="none"/>
          <w:u w:val="none"/>
        </w:rPr>
      </w:r>
      <w:r/>
    </w:p>
    <w:p>
      <w:pPr>
        <w:rPr>
          <w:color w:val="auto"/>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color w:val="auto"/>
          <w:highlight w:val="none"/>
        </w:rPr>
      </w:r>
      <w:r/>
    </w:p>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目录</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投标邀请……………………………………</w:t>
      </w:r>
      <w:r>
        <w:rPr>
          <w:rFonts w:hint="eastAsia" w:ascii="宋体" w:hAnsi="宋体" w:eastAsia="宋体" w:cs="宋体"/>
          <w:color w:val="auto"/>
          <w:sz w:val="28"/>
          <w:szCs w:val="28"/>
          <w:highlight w:val="none"/>
          <w:lang w:val="en-US" w:eastAsia="zh-CN"/>
        </w:rPr>
        <w:t xml:space="preserve">2</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投标人须知…………………………………</w:t>
      </w:r>
      <w:r>
        <w:rPr>
          <w:rFonts w:hint="eastAsia" w:ascii="宋体" w:hAnsi="宋体" w:eastAsia="宋体" w:cs="宋体"/>
          <w:color w:val="auto"/>
          <w:sz w:val="28"/>
          <w:szCs w:val="28"/>
          <w:highlight w:val="none"/>
          <w:lang w:val="en-US" w:eastAsia="zh-CN"/>
        </w:rPr>
        <w:t xml:space="preserve">5</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合同文本……………………………………15</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采购需求……………………………………19</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评标方法与评标标准………………………</w:t>
      </w:r>
      <w:r>
        <w:rPr>
          <w:rFonts w:hint="eastAsia" w:ascii="宋体" w:hAnsi="宋体" w:eastAsia="宋体" w:cs="宋体"/>
          <w:color w:val="auto"/>
          <w:sz w:val="28"/>
          <w:szCs w:val="28"/>
          <w:highlight w:val="none"/>
          <w:lang w:val="en-US" w:eastAsia="zh-CN"/>
        </w:rPr>
        <w:t xml:space="preserve">78</w:t>
      </w:r>
      <w:r/>
    </w:p>
    <w:p>
      <w:pPr>
        <w:numPr>
          <w:ilvl w:val="0"/>
          <w:numId w:val="2"/>
        </w:num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投标文件格式………………………………</w:t>
      </w:r>
      <w:r>
        <w:rPr>
          <w:rFonts w:hint="eastAsia" w:ascii="宋体" w:hAnsi="宋体" w:eastAsia="宋体" w:cs="宋体"/>
          <w:color w:val="auto"/>
          <w:sz w:val="28"/>
          <w:szCs w:val="28"/>
          <w:highlight w:val="none"/>
          <w:lang w:val="en-US" w:eastAsia="zh-CN"/>
        </w:rPr>
        <w:t xml:space="preserve">86</w:t>
      </w:r>
      <w:r/>
    </w:p>
    <w:p>
      <w:pPr>
        <w:spacing w:before="210" w:after="57"/>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before="240" w:after="240"/>
        <w:tabs>
          <w:tab w:val="center" w:pos="4476" w:leader="none"/>
        </w:tabs>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rPr>
          <w:color w:val="auto"/>
          <w:highlight w:val="none"/>
        </w:rPr>
        <w:tab/>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pStyle w:val="953"/>
        <w:rPr>
          <w:color w:val="auto"/>
          <w:highlight w:val="none"/>
        </w:rPr>
      </w:pPr>
      <w:r>
        <w:rPr>
          <w:rStyle w:val="954"/>
          <w:rFonts w:ascii="黑体" w:hAnsi="黑体" w:cs="黑体"/>
          <w:color w:val="auto"/>
          <w:highlight w:val="none"/>
        </w:rPr>
        <w:t xml:space="preserve">第一章 投标邀请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受[</w:t>
      </w:r>
      <w:r>
        <w:rPr>
          <w:rFonts w:hint="eastAsia" w:ascii="宋体" w:hAnsi="宋体" w:cs="宋体"/>
          <w:color w:val="auto"/>
          <w:sz w:val="24"/>
          <w:highlight w:val="none"/>
        </w:rPr>
        <w:t xml:space="preserve">扬州市蜀冈-瘦西湖风景名胜区综合行政执法局</w:t>
      </w:r>
      <w:r>
        <w:rPr>
          <w:rFonts w:ascii="宋体" w:hAnsi="宋体" w:cs="宋体"/>
          <w:color w:val="auto"/>
          <w:sz w:val="24"/>
          <w:highlight w:val="none"/>
        </w:rPr>
        <w:t xml:space="preserve">]的委托，</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rPr>
        <w:t xml:space="preserve">就[</w:t>
      </w:r>
      <w:r>
        <w:rPr>
          <w:rFonts w:hint="eastAsia" w:ascii="宋体" w:hAnsi="宋体" w:cs="宋体"/>
          <w:color w:val="auto"/>
          <w:sz w:val="24"/>
          <w:highlight w:val="none"/>
          <w:lang w:eastAsia="zh-CN"/>
        </w:rPr>
        <w:t xml:space="preserve">景区2026</w:t>
      </w:r>
      <w:r>
        <w:rPr>
          <w:rFonts w:hint="eastAsia" w:ascii="宋体" w:hAnsi="宋体" w:cs="宋体"/>
          <w:b w:val="0"/>
          <w:bCs w:val="0"/>
          <w:color w:val="auto"/>
          <w:sz w:val="24"/>
          <w:highlight w:val="none"/>
          <w:lang w:eastAsia="zh-CN"/>
        </w:rPr>
        <w:t xml:space="preserve">−2027</w:t>
      </w:r>
      <w:r>
        <w:rPr>
          <w:rFonts w:hint="eastAsia" w:ascii="宋体" w:hAnsi="宋体" w:cs="宋体"/>
          <w:color w:val="auto"/>
          <w:sz w:val="24"/>
          <w:highlight w:val="none"/>
          <w:lang w:eastAsia="zh-CN"/>
        </w:rPr>
        <w:t xml:space="preserve">年装修垃圾处置服务项目</w:t>
      </w:r>
      <w:r>
        <w:rPr>
          <w:rFonts w:ascii="宋体" w:hAnsi="宋体" w:cs="宋体"/>
          <w:color w:val="auto"/>
          <w:sz w:val="24"/>
          <w:highlight w:val="none"/>
        </w:rPr>
        <w:t xml:space="preserve">]进行公开招标采购，欢迎符合条件的供应商投标。</w:t>
      </w:r>
      <w:r/>
    </w:p>
    <w:p>
      <w:pPr>
        <w:ind w:firstLine="480"/>
        <w:spacing w:line="400" w:lineRule="atLeast"/>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rPr>
        <w:t xml:space="preserve">项目概况</w:t>
      </w:r>
      <w:r/>
    </w:p>
    <w:p>
      <w:pPr>
        <w:ind w:firstLine="480"/>
        <w:spacing w:line="400" w:lineRule="atLeast"/>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景区2026−2027年装修垃圾处置服务项目</w:t>
      </w:r>
      <w:r>
        <w:rPr>
          <w:rFonts w:ascii="宋体" w:hAnsi="宋体" w:cs="宋体"/>
          <w:color w:val="auto"/>
          <w:sz w:val="24"/>
          <w:highlight w:val="none"/>
          <w:u w:val="single"/>
        </w:rPr>
        <w:t xml:space="preserve">）</w:t>
      </w:r>
      <w:r>
        <w:rPr>
          <w:rFonts w:ascii="宋体" w:hAnsi="宋体" w:cs="宋体"/>
          <w:color w:val="auto"/>
          <w:sz w:val="24"/>
          <w:highlight w:val="none"/>
        </w:rPr>
        <w:t xml:space="preserve">招标项目的潜在投标人可在</w:t>
      </w:r>
      <w:r>
        <w:rPr>
          <w:rFonts w:ascii="宋体" w:hAnsi="宋体" w:cs="宋体"/>
          <w:color w:val="auto"/>
          <w:sz w:val="24"/>
          <w:highlight w:val="none"/>
          <w:u w:val="single"/>
        </w:rPr>
        <w:t xml:space="preserve">“江苏政府采购网”“扬州市政府采购网”</w:t>
      </w:r>
      <w:r>
        <w:rPr>
          <w:rFonts w:ascii="宋体" w:hAnsi="宋体" w:cs="宋体"/>
          <w:color w:val="auto"/>
          <w:sz w:val="24"/>
          <w:highlight w:val="none"/>
        </w:rPr>
        <w:t xml:space="preserve">自行免费下载招标文件，并于</w:t>
      </w:r>
      <w:r>
        <w:rPr>
          <w:rFonts w:hint="eastAsia" w:ascii="宋体" w:hAnsi="宋体" w:cs="宋体"/>
          <w:color w:val="auto"/>
          <w:sz w:val="24"/>
          <w:highlight w:val="none"/>
          <w:u w:val="single"/>
        </w:rPr>
        <w:t xml:space="preserve">2026</w:t>
      </w:r>
      <w:r>
        <w:rPr>
          <w:rFonts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11</w:t>
      </w:r>
      <w:r>
        <w:rPr>
          <w:rFonts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17</w:t>
      </w:r>
      <w:r>
        <w:rPr>
          <w:rFonts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14</w:t>
      </w:r>
      <w:r>
        <w:rPr>
          <w:rFonts w:ascii="宋体" w:hAnsi="宋体" w:cs="宋体"/>
          <w:color w:val="auto"/>
          <w:sz w:val="24"/>
          <w:highlight w:val="none"/>
          <w:u w:val="single"/>
        </w:rPr>
        <w:t xml:space="preserve">点30分（</w:t>
      </w:r>
      <w:r>
        <w:rPr>
          <w:rFonts w:ascii="宋体" w:hAnsi="宋体" w:cs="宋体"/>
          <w:color w:val="auto"/>
          <w:sz w:val="24"/>
          <w:highlight w:val="none"/>
        </w:rPr>
        <w:t xml:space="preserve">北京时间）前递交投标文件。</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一、项目基本情况</w:t>
      </w:r>
      <w:r/>
    </w:p>
    <w:p>
      <w:pPr>
        <w:ind w:firstLine="480"/>
        <w:spacing w:line="400"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1.项目编号：</w:t>
      </w:r>
      <w:r>
        <w:rPr>
          <w:rFonts w:hint="eastAsia" w:ascii="宋体" w:hAnsi="宋体" w:cs="宋体"/>
          <w:color w:val="auto"/>
          <w:sz w:val="24"/>
          <w:highlight w:val="none"/>
          <w:lang w:val="en-US" w:eastAsia="zh-CN"/>
        </w:rPr>
        <w:t xml:space="preserve"> </w:t>
      </w:r>
      <w:r/>
    </w:p>
    <w:p>
      <w:pPr>
        <w:ind w:firstLine="480"/>
        <w:spacing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景区2026−2027年装修垃圾处置服务项目</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3.预算金额：</w:t>
      </w:r>
      <w:r/>
    </w:p>
    <w:tbl>
      <w:tblPr>
        <w:tblStyle w:val="801"/>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765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预算金额（人民币：万元）</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5" w:type="dxa"/>
            <w:textDirection w:val="lrTb"/>
            <w:noWrap w:val="false"/>
          </w:tcPr>
          <w:p>
            <w:pPr>
              <w:jc w:val="center"/>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240</w:t>
            </w:r>
            <w:r/>
          </w:p>
        </w:tc>
      </w:tr>
    </w:tbl>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4.最高限价：</w:t>
      </w:r>
      <w:r/>
    </w:p>
    <w:tbl>
      <w:tblPr>
        <w:tblStyle w:val="801"/>
        <w:tblW w:w="89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3260"/>
        <w:gridCol w:w="4395"/>
      </w:tblGrid>
      <w:tr>
        <w:trPr>
          <w:jc w:val="center"/>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采购包号</w:t>
            </w:r>
            <w:r/>
          </w:p>
        </w:tc>
        <w:tc>
          <w:tcPr>
            <w:tcMar>
              <w:left w:w="108" w:type="dxa"/>
              <w:top w:w="0" w:type="dxa"/>
              <w:right w:w="108" w:type="dxa"/>
              <w:bottom w:w="0" w:type="dxa"/>
            </w:tcMar>
            <w:tcW w:w="3260"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是否设定最高限价（是/否）</w:t>
            </w:r>
            <w:r/>
          </w:p>
        </w:tc>
        <w:tc>
          <w:tcPr>
            <w:tcMar>
              <w:left w:w="108" w:type="dxa"/>
              <w:top w:w="0" w:type="dxa"/>
              <w:right w:w="108" w:type="dxa"/>
              <w:bottom w:w="0" w:type="dxa"/>
            </w:tcMar>
            <w:tcW w:w="439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最高限价（人民币：元/吨）</w:t>
            </w:r>
            <w:r/>
          </w:p>
        </w:tc>
      </w:tr>
      <w:tr>
        <w:trPr>
          <w:jc w:val="center"/>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3260"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是</w:t>
            </w:r>
            <w:r/>
          </w:p>
        </w:tc>
        <w:tc>
          <w:tcPr>
            <w:tcMar>
              <w:left w:w="108" w:type="dxa"/>
              <w:top w:w="0" w:type="dxa"/>
              <w:right w:w="108" w:type="dxa"/>
              <w:bottom w:w="0" w:type="dxa"/>
            </w:tcMar>
            <w:tcW w:w="439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98</w:t>
            </w:r>
            <w:r/>
          </w:p>
        </w:tc>
      </w:tr>
    </w:tbl>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5.采购需求（简介）：为规范辖区装修垃圾处置工作,拟招标有资质企业从事相关装修垃圾处置服务</w:t>
      </w:r>
      <w:r>
        <w:rPr>
          <w:rFonts w:hint="eastAsia" w:ascii="宋体" w:hAnsi="宋体" w:cs="宋体"/>
          <w:color w:val="auto"/>
          <w:sz w:val="24"/>
          <w:highlight w:val="none"/>
          <w:lang w:eastAsia="zh-CN"/>
        </w:rPr>
        <w:t xml:space="preserve">，详见第四章项目需求</w:t>
      </w:r>
      <w:r>
        <w:rPr>
          <w:rFonts w:ascii="宋体" w:hAnsi="宋体" w:cs="宋体"/>
          <w:color w:val="auto"/>
          <w:sz w:val="24"/>
          <w:highlight w:val="none"/>
        </w:rPr>
        <w:t xml:space="preserve">。</w:t>
      </w:r>
      <w:r/>
    </w:p>
    <w:p>
      <w:pPr>
        <w:ind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6.合同履行期限：自合同签订之日起</w:t>
      </w:r>
      <w:r>
        <w:rPr>
          <w:rFonts w:hint="eastAsia" w:ascii="宋体" w:hAnsi="宋体"/>
          <w:color w:val="auto"/>
          <w:sz w:val="24"/>
          <w:szCs w:val="24"/>
          <w:highlight w:val="none"/>
          <w:lang w:eastAsia="zh-CN"/>
        </w:rPr>
        <w:t xml:space="preserve">至</w:t>
      </w:r>
      <w:r>
        <w:rPr>
          <w:rFonts w:hint="eastAsia" w:ascii="宋体" w:hAnsi="宋体"/>
          <w:color w:val="auto"/>
          <w:sz w:val="24"/>
          <w:szCs w:val="24"/>
          <w:highlight w:val="none"/>
          <w:lang w:val="en-US" w:eastAsia="zh-CN"/>
        </w:rPr>
        <w:t xml:space="preserve">2027年12月31日</w:t>
      </w:r>
      <w:r>
        <w:rPr>
          <w:rFonts w:hint="eastAsia" w:ascii="宋体" w:hAnsi="宋体"/>
          <w:color w:val="auto"/>
          <w:sz w:val="24"/>
          <w:szCs w:val="24"/>
          <w:highlight w:val="none"/>
        </w:rPr>
        <w:t xml:space="preserve">。</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二、申请人的资格要求：</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（一）通用资格要求</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1.满足《中华人民共和国政府采购法》第二十二条规定，并提供下列材料：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法人或者其他组织的营业执照等证明文件，自然人的身份证明；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上一年度的财务状况报告（成立不满一年无需提供）；</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1.4具备履行合同所必需的设备和专业技术能力的书面声明；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1.5参加政府采购活动前3年内在经营活动中没有重大违法记录的书面声明。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供应商信用承诺函。</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4.联合体投标</w:t>
      </w:r>
      <w:r/>
    </w:p>
    <w:tbl>
      <w:tblPr>
        <w:tblStyle w:val="801"/>
        <w:tblW w:w="89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3544"/>
        <w:gridCol w:w="4111"/>
      </w:tblGrid>
      <w:tr>
        <w:trPr>
          <w:jc w:val="center"/>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Mar>
              <w:left w:w="108" w:type="dxa"/>
              <w:top w:w="0" w:type="dxa"/>
              <w:right w:w="108" w:type="dxa"/>
              <w:bottom w:w="0" w:type="dxa"/>
            </w:tcMar>
            <w:tcW w:w="3544"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是否接受联合体投标（是/否）</w:t>
            </w:r>
            <w:r/>
          </w:p>
        </w:tc>
        <w:tc>
          <w:tcPr>
            <w:tcMar>
              <w:left w:w="108" w:type="dxa"/>
              <w:top w:w="0" w:type="dxa"/>
              <w:right w:w="108" w:type="dxa"/>
              <w:bottom w:w="0" w:type="dxa"/>
            </w:tcMar>
            <w:tcW w:w="411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该采购包中联合体成员数量上限</w:t>
            </w:r>
            <w:r/>
          </w:p>
        </w:tc>
      </w:tr>
      <w:tr>
        <w:trPr>
          <w:jc w:val="center"/>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Mar>
              <w:left w:w="108" w:type="dxa"/>
              <w:top w:w="0" w:type="dxa"/>
              <w:right w:w="108" w:type="dxa"/>
              <w:bottom w:w="0" w:type="dxa"/>
            </w:tcMar>
            <w:tcW w:w="3544"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否</w:t>
            </w:r>
            <w:r/>
          </w:p>
        </w:tc>
        <w:tc>
          <w:tcPr>
            <w:tcMar>
              <w:left w:w="108" w:type="dxa"/>
              <w:top w:w="0" w:type="dxa"/>
              <w:right w:w="108" w:type="dxa"/>
              <w:bottom w:w="0" w:type="dxa"/>
            </w:tcMar>
            <w:tcW w:w="411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r>
    </w:tbl>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5.进口产品投标</w:t>
      </w:r>
      <w:r/>
    </w:p>
    <w:tbl>
      <w:tblPr>
        <w:tblStyle w:val="801"/>
        <w:tblW w:w="89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7655"/>
      </w:tblGrid>
      <w:tr>
        <w:trPr>
          <w:jc w:val="center"/>
          <w:trHeight w:val="372"/>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Mar>
              <w:left w:w="108" w:type="dxa"/>
              <w:top w:w="0" w:type="dxa"/>
              <w:right w:w="108" w:type="dxa"/>
              <w:bottom w:w="0" w:type="dxa"/>
            </w:tcMar>
            <w:tcW w:w="765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是否接受进口产品投标（是/否）</w:t>
            </w:r>
            <w:r/>
          </w:p>
        </w:tc>
      </w:tr>
      <w:tr>
        <w:trPr>
          <w:jc w:val="center"/>
        </w:trPr>
        <w:tc>
          <w:tcPr>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Mar>
              <w:left w:w="108" w:type="dxa"/>
              <w:top w:w="0" w:type="dxa"/>
              <w:right w:w="108" w:type="dxa"/>
              <w:bottom w:w="0" w:type="dxa"/>
            </w:tcMar>
            <w:tcW w:w="765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否</w:t>
            </w:r>
            <w:r/>
          </w:p>
        </w:tc>
      </w:tr>
    </w:tbl>
    <w:p>
      <w:pPr>
        <w:ind w:firstLine="2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（二）本项目的特定资格要求</w:t>
      </w:r>
      <w:r/>
    </w:p>
    <w:tbl>
      <w:tblPr>
        <w:tblStyle w:val="801"/>
        <w:tblW w:w="892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08"/>
        <w:gridCol w:w="7513"/>
      </w:tblGrid>
      <w:tr>
        <w:trPr>
          <w:jc w:val="center"/>
        </w:trPr>
        <w:tc>
          <w:tcPr>
            <w:tcMar>
              <w:left w:w="108" w:type="dxa"/>
              <w:top w:w="0" w:type="dxa"/>
              <w:right w:w="108" w:type="dxa"/>
              <w:bottom w:w="0" w:type="dxa"/>
            </w:tcMar>
            <w:tcW w:w="1408"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Mar>
              <w:left w:w="108" w:type="dxa"/>
              <w:top w:w="0" w:type="dxa"/>
              <w:right w:w="108" w:type="dxa"/>
              <w:bottom w:w="0" w:type="dxa"/>
            </w:tcMar>
            <w:tcW w:w="7513"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特定资格要求</w:t>
            </w:r>
            <w:r/>
          </w:p>
        </w:tc>
      </w:tr>
      <w:tr>
        <w:trPr>
          <w:jc w:val="center"/>
        </w:trPr>
        <w:tc>
          <w:tcPr>
            <w:tcMar>
              <w:left w:w="108" w:type="dxa"/>
              <w:top w:w="0" w:type="dxa"/>
              <w:right w:w="108" w:type="dxa"/>
              <w:bottom w:w="0" w:type="dxa"/>
            </w:tcMar>
            <w:tcW w:w="1408"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Mar>
              <w:left w:w="108" w:type="dxa"/>
              <w:top w:w="0" w:type="dxa"/>
              <w:right w:w="108" w:type="dxa"/>
              <w:bottom w:w="0" w:type="dxa"/>
            </w:tcMar>
            <w:tcW w:w="7513"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无</w:t>
            </w:r>
            <w:r/>
          </w:p>
        </w:tc>
      </w:tr>
    </w:tbl>
    <w:p>
      <w:pPr>
        <w:ind w:firstLine="498"/>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三、获取招标文件</w:t>
      </w:r>
      <w:r/>
    </w:p>
    <w:p>
      <w:pPr>
        <w:ind w:firstLine="5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1.时间：自招标文件公告发布之日起5个工作日。</w:t>
      </w:r>
      <w:r/>
    </w:p>
    <w:p>
      <w:pPr>
        <w:ind w:firstLine="5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2.方式：在“江苏政府采购网、扬州市政府采购网”自行免费下载招标文件。</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四、提交投标文件截止时间、开标时间和地点</w:t>
      </w:r>
      <w:r/>
    </w:p>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2026年11月17日14点30分</w:t>
      </w:r>
      <w:r>
        <w:rPr>
          <w:rFonts w:ascii="宋体" w:hAnsi="宋体" w:cs="宋体"/>
          <w:color w:val="auto"/>
          <w:sz w:val="24"/>
          <w:highlight w:val="none"/>
        </w:rPr>
        <w:t xml:space="preserve">（北京时间）</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2.地点：“苏采云”政府采购交易系统。</w:t>
      </w:r>
      <w:r/>
    </w:p>
    <w:p>
      <w:pPr>
        <w:ind w:firstLine="498"/>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五、公告期限</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自本公告发布之日起5个工作日。</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六、其他补充事宜</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无</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七、本次招标联系方式</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1.采购人信息</w:t>
      </w:r>
      <w:r/>
    </w:p>
    <w:p>
      <w:pPr>
        <w:ind w:left="709"/>
        <w:spacing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名 称：</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扬州市蜀冈-瘦西湖风景名胜区综合行政执法局</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地 址：</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扬州市瘦西湖路316号</w:t>
      </w:r>
      <w:r>
        <w:rPr>
          <w:rFonts w:ascii="宋体" w:hAnsi="宋体" w:cs="宋体"/>
          <w:color w:val="auto"/>
          <w:sz w:val="24"/>
          <w:highlight w:val="none"/>
          <w:u w:val="single"/>
        </w:rPr>
        <w:t xml:space="preserve"> </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联系人：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孙威</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联系方式：</w:t>
      </w:r>
      <w:r>
        <w:rPr>
          <w:rFonts w:hint="eastAsia" w:ascii="宋体" w:hAnsi="宋体" w:cs="宋体"/>
          <w:color w:val="auto"/>
          <w:sz w:val="24"/>
          <w:highlight w:val="none"/>
          <w:u w:val="single"/>
        </w:rPr>
        <w:t xml:space="preserve">18021715975</w:t>
      </w:r>
      <w:r>
        <w:rPr>
          <w:rFonts w:ascii="宋体" w:hAnsi="宋体" w:cs="宋体"/>
          <w:color w:val="auto"/>
          <w:sz w:val="24"/>
          <w:highlight w:val="none"/>
          <w:u w:val="single"/>
        </w:rPr>
        <w:t xml:space="preserve">    </w:t>
      </w:r>
      <w:r/>
    </w:p>
    <w:p>
      <w:pPr>
        <w:spacing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2.</w:t>
      </w:r>
      <w:r>
        <w:rPr>
          <w:rFonts w:hint="eastAsia" w:ascii="宋体" w:hAnsi="宋体" w:cs="宋体"/>
          <w:color w:val="auto"/>
          <w:sz w:val="24"/>
          <w:highlight w:val="none"/>
          <w:lang w:eastAsia="zh-CN"/>
        </w:rPr>
        <w:t xml:space="preserve">扬州市建苑工程监理有限责任公司</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地　址：</w:t>
      </w:r>
      <w:r>
        <w:rPr>
          <w:rFonts w:hint="eastAsia" w:ascii="宋体" w:hAnsi="宋体" w:cs="宋体"/>
          <w:color w:val="auto"/>
          <w:sz w:val="24"/>
          <w:highlight w:val="none"/>
          <w:u w:val="single"/>
          <w:lang w:eastAsia="zh-CN"/>
        </w:rPr>
        <w:t xml:space="preserve">扬州市运河城市广场C座25楼</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联系人：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李健</w:t>
      </w:r>
      <w:r>
        <w:rPr>
          <w:rFonts w:ascii="宋体" w:hAnsi="宋体" w:cs="宋体"/>
          <w:color w:val="auto"/>
          <w:sz w:val="24"/>
          <w:highlight w:val="none"/>
          <w:u w:val="single"/>
        </w:rPr>
        <w:t xml:space="preserve">          </w:t>
      </w:r>
      <w:r/>
    </w:p>
    <w:p>
      <w:pPr>
        <w:ind w:left="70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联系方式：</w:t>
      </w:r>
      <w:r>
        <w:rPr>
          <w:rFonts w:hint="eastAsia" w:ascii="宋体" w:hAnsi="宋体" w:cs="宋体"/>
          <w:color w:val="auto"/>
          <w:sz w:val="24"/>
          <w:highlight w:val="none"/>
          <w:u w:val="single"/>
          <w:lang w:eastAsia="zh-CN"/>
        </w:rPr>
        <w:t xml:space="preserve">0514-80999116</w:t>
      </w:r>
      <w:r>
        <w:rPr>
          <w:rFonts w:ascii="宋体" w:hAnsi="宋体" w:cs="宋体"/>
          <w:color w:val="auto"/>
          <w:sz w:val="24"/>
          <w:highlight w:val="none"/>
          <w:u w:val="single"/>
        </w:rPr>
        <w:t xml:space="preserve">  </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八、其他</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auto"/>
          <w:sz w:val="24"/>
          <w:highlight w:val="none"/>
        </w:rPr>
        <w:t xml:space="preserve">具体办理指南和操作手册见链接：http://zfcg.yangzhou.gov.cn/xzzx/art/2023/art_4d7de1f7865f4a2894fc22bc452f94d8.html，请按《操作手册》要求制作、上传电子投标文件。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领取CA和办理电子签章（请至</w:t>
      </w:r>
      <w:r>
        <w:rPr>
          <w:rFonts w:hint="eastAsia" w:ascii="宋体" w:hAnsi="宋体" w:cs="宋体"/>
          <w:color w:val="auto"/>
          <w:sz w:val="24"/>
          <w:highlight w:val="none"/>
          <w:lang w:eastAsia="zh-CN"/>
        </w:rPr>
        <w:t xml:space="preserve">扬州市运河城市广场C座25楼</w:t>
      </w:r>
      <w:r>
        <w:rPr>
          <w:rFonts w:ascii="宋体" w:hAnsi="宋体" w:cs="宋体"/>
          <w:color w:val="auto"/>
          <w:sz w:val="24"/>
          <w:highlight w:val="none"/>
        </w:rPr>
        <w:t xml:space="preserve">广陵新城市民中心1号楼5楼办理，具体联系方式：18952716110）。</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有关本次招标的事项若存在变动或修改，敬请及时关注</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rPr>
        <w:t xml:space="preserve">在“江苏政府采购网”、“扬州市政府采购网”发布的更正公告。</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 本次招标不收取投标保证金。</w:t>
      </w:r>
      <w:r/>
    </w:p>
    <w:p>
      <w:pPr>
        <w:ind w:right="8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0"/>
        <w:spacing w:before="48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b/>
          <w:color w:val="auto"/>
          <w:highlight w:val="none"/>
        </w:rPr>
        <w:t xml:space="preserve">第二章 投标人须知</w:t>
      </w:r>
      <w:r/>
    </w:p>
    <w:p>
      <w:pPr>
        <w:ind w:firstLine="498"/>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一、总则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1、招标方式</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本次招标采取公开招标方式，本招标文件仅适用于招标公告中所述项目。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2、合格的投标人</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2.1满足招标公告中供应商的资格要求的规定。</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满足本文件实质性要求的规定。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3、适用法律</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本次招标及由此产生的合同受中华人民共和国有关的法律法规制约和保护。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4、投标费用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rPr>
        <w:t xml:space="preserve">（以下简称</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）在任何情况下均无义务和责任承担这些费用。</w:t>
      </w:r>
      <w:r/>
    </w:p>
    <w:p>
      <w:pPr>
        <w:ind w:firstLine="480"/>
        <w:spacing w:line="40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w:t>
      </w:r>
      <w:r>
        <w:rPr>
          <w:rFonts w:hint="eastAsia" w:ascii="宋体" w:hAnsi="宋体" w:cs="宋体"/>
          <w:color w:val="auto"/>
          <w:sz w:val="24"/>
          <w:highlight w:val="none"/>
        </w:rPr>
        <w:t xml:space="preserve">本次采购预算中已包含</w:t>
      </w:r>
      <w:r>
        <w:rPr>
          <w:rFonts w:hint="eastAsia" w:ascii="宋体" w:hAnsi="宋体" w:cs="宋体"/>
          <w:color w:val="auto"/>
          <w:sz w:val="24"/>
          <w:highlight w:val="none"/>
          <w:lang w:eastAsia="zh-CN"/>
        </w:rPr>
        <w:t xml:space="preserve">招标</w:t>
      </w:r>
      <w:r>
        <w:rPr>
          <w:rFonts w:hint="eastAsia" w:ascii="宋体" w:hAnsi="宋体" w:cs="宋体"/>
          <w:color w:val="auto"/>
          <w:sz w:val="24"/>
          <w:highlight w:val="none"/>
          <w:lang w:val="en-US" w:eastAsia="zh-CN"/>
        </w:rPr>
        <w:t xml:space="preserve">代理服务费。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收费标准</w:t>
      </w:r>
      <w:r>
        <w:rPr>
          <w:rFonts w:hint="eastAsia" w:ascii="宋体" w:hAnsi="宋体" w:cs="宋体"/>
          <w:color w:val="auto"/>
          <w:sz w:val="24"/>
          <w:highlight w:val="none"/>
        </w:rPr>
        <w:t xml:space="preserve">参照《招标代理服务收费管理暂行办法》(计价格【2002】1980号文)</w:t>
      </w:r>
      <w:r>
        <w:rPr>
          <w:rFonts w:hint="eastAsia" w:ascii="宋体" w:hAnsi="宋体" w:cs="宋体"/>
          <w:color w:val="auto"/>
          <w:sz w:val="24"/>
          <w:highlight w:val="none"/>
          <w:lang w:eastAsia="zh-CN"/>
        </w:rPr>
        <w:t xml:space="preserve">服务</w:t>
      </w:r>
      <w:r>
        <w:rPr>
          <w:rFonts w:hint="eastAsia" w:ascii="宋体" w:hAnsi="宋体" w:cs="宋体"/>
          <w:color w:val="auto"/>
          <w:sz w:val="24"/>
          <w:highlight w:val="none"/>
        </w:rPr>
        <w:t xml:space="preserve">类标准计取，投标报价应包含代理服务费，由中标人支付给代理机构。</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2687"/>
        <w:gridCol w:w="2238"/>
      </w:tblGrid>
      <w:tr>
        <w:trPr>
          <w:jc w:val="center"/>
          <w:trHeight w:val="317"/>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中标</w:t>
            </w:r>
            <w:r>
              <w:rPr>
                <w:rFonts w:ascii="宋体" w:hAnsi="宋体" w:cs="宋体"/>
                <w:color w:val="auto"/>
                <w:sz w:val="24"/>
                <w:highlight w:val="none"/>
              </w:rPr>
              <w:t xml:space="preserve">价</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标准费率</w:t>
            </w:r>
            <w:r/>
          </w:p>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（差额</w:t>
            </w:r>
            <w:r>
              <w:rPr>
                <w:rFonts w:hint="eastAsia" w:ascii="宋体" w:hAnsi="宋体" w:cs="宋体"/>
                <w:color w:val="auto"/>
                <w:sz w:val="24"/>
                <w:highlight w:val="none"/>
              </w:rPr>
              <w:t xml:space="preserve">累进</w:t>
            </w:r>
            <w:r>
              <w:rPr>
                <w:rFonts w:ascii="宋体" w:hAnsi="宋体" w:cs="宋体"/>
                <w:color w:val="auto"/>
                <w:sz w:val="24"/>
                <w:highlight w:val="none"/>
              </w:rPr>
              <w:t xml:space="preserve">计算）</w:t>
            </w:r>
            <w:r/>
          </w:p>
        </w:tc>
        <w:tc>
          <w:tcPr>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服务费金额</w:t>
            </w:r>
            <w:r/>
          </w:p>
        </w:tc>
      </w:tr>
      <w:tr>
        <w:trPr>
          <w:jc w:val="center"/>
          <w:trHeight w:val="330"/>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100万元以下</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w:t>
            </w:r>
            <w:r/>
          </w:p>
        </w:tc>
        <w:tc>
          <w:tcPr>
            <w:tcBorders>
              <w:top w:val="single" w:color="auto" w:sz="4" w:space="0"/>
              <w:left w:val="single" w:color="auto" w:sz="4" w:space="0"/>
              <w:right w:val="single" w:color="auto" w:sz="4" w:space="0"/>
            </w:tcBorders>
            <w:tcW w:w="2238" w:type="dxa"/>
            <w:vAlign w:val="center"/>
            <w:vMerge w:val="restart"/>
            <w:textDirection w:val="lrTb"/>
            <w:noWrap w:val="false"/>
          </w:tcPr>
          <w:p>
            <w:pP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代理服务费金额为</w:t>
            </w:r>
            <w:r>
              <w:rPr>
                <w:rFonts w:ascii="宋体" w:hAnsi="宋体" w:cs="宋体"/>
                <w:color w:val="auto"/>
                <w:sz w:val="24"/>
                <w:highlight w:val="none"/>
              </w:rPr>
              <w:t xml:space="preserve">标准收费</w:t>
            </w:r>
            <w:r>
              <w:rPr>
                <w:rFonts w:hint="eastAsia" w:ascii="宋体" w:hAnsi="宋体" w:cs="宋体"/>
                <w:color w:val="auto"/>
                <w:sz w:val="24"/>
                <w:highlight w:val="none"/>
              </w:rPr>
              <w:t xml:space="preserve">，不满叁仟元按叁仟元计取。</w:t>
            </w:r>
            <w:r/>
          </w:p>
        </w:tc>
      </w:tr>
      <w:tr>
        <w:trPr>
          <w:jc w:val="center"/>
          <w:trHeight w:val="266"/>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100～500万元</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0.8</w:t>
            </w:r>
            <w:r>
              <w:rPr>
                <w:rFonts w:ascii="宋体" w:hAnsi="宋体" w:cs="宋体"/>
                <w:color w:val="auto"/>
                <w:sz w:val="24"/>
                <w:highlight w:val="none"/>
              </w:rPr>
              <w:t xml:space="preserve">%</w:t>
            </w:r>
            <w:r/>
          </w:p>
        </w:tc>
        <w:tc>
          <w:tcPr>
            <w:tcBorders>
              <w:left w:val="single" w:color="auto" w:sz="4" w:space="0"/>
              <w:right w:val="single" w:color="auto" w:sz="4" w:space="0"/>
            </w:tcBorders>
            <w:tcW w:w="2238" w:type="dxa"/>
            <w:vAlign w:val="center"/>
            <w:vMerge w:val="continue"/>
            <w:textDirection w:val="lrTb"/>
            <w:noWrap w:val="false"/>
          </w:tcPr>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500～1000万元</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jc w:val="cente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45</w:t>
            </w:r>
            <w:r>
              <w:rPr>
                <w:rFonts w:ascii="宋体" w:hAnsi="宋体" w:cs="宋体"/>
                <w:color w:val="auto"/>
                <w:sz w:val="24"/>
                <w:highlight w:val="none"/>
              </w:rPr>
              <w:t xml:space="preserve">%</w:t>
            </w:r>
            <w:r/>
          </w:p>
        </w:tc>
        <w:tc>
          <w:tcPr>
            <w:tcBorders>
              <w:left w:val="single" w:color="auto" w:sz="4" w:space="0"/>
              <w:right w:val="single" w:color="auto" w:sz="4" w:space="0"/>
            </w:tcBorders>
            <w:tcW w:w="2238" w:type="dxa"/>
            <w:vAlign w:val="center"/>
            <w:vMerge w:val="continue"/>
            <w:textDirection w:val="lrTb"/>
            <w:noWrap w:val="false"/>
          </w:tcPr>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（1）代理服务费以人民币支付；</w:t>
      </w:r>
      <w:r/>
    </w:p>
    <w:p>
      <w:pPr>
        <w:ind w:firstLine="48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（2）代理服务费一次性以电汇或转账等非现金形式支付。</w:t>
      </w:r>
      <w:r/>
    </w:p>
    <w:p>
      <w:pPr>
        <w:ind w:firstLine="480"/>
        <w:spacing w:line="40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（3）代理服务费不在报价中单列，由</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人支付给代理机构。</w:t>
      </w:r>
      <w:r/>
    </w:p>
    <w:p>
      <w:pPr>
        <w:ind w:firstLine="602"/>
        <w:spacing w:line="40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4.3专家评审费按照《扬州市财政局关于进一步规范扬州市政府采购专家评审费标准的通知》（扬财购〔2020〕40号）执行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由采购人支付</w:t>
      </w:r>
      <w:r>
        <w:rPr>
          <w:rFonts w:hint="eastAsia" w:ascii="宋体" w:hAnsi="宋体" w:cs="宋体"/>
          <w:color w:val="auto"/>
          <w:sz w:val="24"/>
          <w:highlight w:val="none"/>
        </w:rPr>
        <w:t xml:space="preserve">。</w:t>
      </w:r>
      <w:r/>
    </w:p>
    <w:p>
      <w:pPr>
        <w:ind w:firstLine="60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0"/>
          <w:highlight w:val="none"/>
        </w:rPr>
        <w:t xml:space="preserve">5、</w:t>
      </w:r>
      <w:r>
        <w:rPr>
          <w:rFonts w:ascii="黑体" w:hAnsi="黑体" w:eastAsia="黑体" w:cs="黑体"/>
          <w:color w:val="auto"/>
          <w:sz w:val="28"/>
          <w:highlight w:val="none"/>
        </w:rPr>
        <w:t xml:space="preserve">招标文件的约束力</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投标人一旦参加本项目采购活动，即被认为接受了本招标文件的规定和约束。</w:t>
      </w:r>
      <w:r/>
    </w:p>
    <w:p>
      <w:pPr>
        <w:ind w:firstLine="321"/>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二、招标文件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6、招标文件构成</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招标文件由以下部分组成：</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（1）投标邀请</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（2）投标人须知</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（3）合同文本</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（4）采购需求</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（5）评标方法与评标标准</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（6）投标文件格式</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联系解决。</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7</w:t>
      </w:r>
      <w:r>
        <w:rPr>
          <w:rFonts w:ascii="黑体" w:hAnsi="黑体" w:eastAsia="黑体" w:cs="黑体"/>
          <w:color w:val="auto"/>
          <w:sz w:val="28"/>
          <w:highlight w:val="none"/>
        </w:rPr>
        <w:t xml:space="preserve">、招标文件的修改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在投标截止时间前，</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可以对招标文件进行修改。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 </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有权按照法定的要求推迟投标截止日期和开标日期。</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三、投标文件的编制</w:t>
      </w:r>
      <w:r/>
    </w:p>
    <w:p>
      <w:pPr>
        <w:ind w:firstLine="5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8</w:t>
      </w:r>
      <w:r>
        <w:rPr>
          <w:rFonts w:ascii="黑体" w:hAnsi="黑体" w:eastAsia="黑体" w:cs="黑体"/>
          <w:color w:val="auto"/>
          <w:sz w:val="28"/>
          <w:highlight w:val="none"/>
        </w:rPr>
        <w:t xml:space="preserve">、投标文件的语言及度量衡单位</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 投标人提交的投标文件以及投标人与</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就有关投标的所有来往通知、函件和文件均应使用</w:t>
      </w:r>
      <w:r>
        <w:rPr>
          <w:rFonts w:ascii="宋体" w:hAnsi="宋体" w:cs="宋体"/>
          <w:b/>
          <w:color w:val="auto"/>
          <w:sz w:val="24"/>
          <w:highlight w:val="none"/>
        </w:rPr>
        <w:t xml:space="preserve">简体中文</w:t>
      </w:r>
      <w:r>
        <w:rPr>
          <w:rFonts w:ascii="宋体" w:hAnsi="宋体" w:cs="宋体"/>
          <w:color w:val="auto"/>
          <w:sz w:val="24"/>
          <w:highlight w:val="none"/>
        </w:rPr>
        <w:t xml:space="preserve">。</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 除技术性能另有规定外，投标文件所使用的度量衡单位，均须采用国家法定计量单位。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9</w:t>
      </w:r>
      <w:r>
        <w:rPr>
          <w:rFonts w:ascii="黑体" w:hAnsi="黑体" w:eastAsia="黑体" w:cs="黑体"/>
          <w:color w:val="auto"/>
          <w:sz w:val="28"/>
          <w:highlight w:val="none"/>
        </w:rPr>
        <w:t xml:space="preserve">、投标文件构成</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 投标人编写的投标文件应包括基本目录、资格审查内容、符合性审查内容、价格扣除证明文件等部分。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0</w:t>
      </w:r>
      <w:r>
        <w:rPr>
          <w:rFonts w:ascii="黑体" w:hAnsi="黑体" w:eastAsia="黑体" w:cs="黑体"/>
          <w:color w:val="auto"/>
          <w:sz w:val="28"/>
          <w:highlight w:val="none"/>
        </w:rPr>
        <w:t xml:space="preserve">、证明投标人及投标标的符合招标文件规定的文件</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10.1 投标人应按照招标文件要求提交证明文件，证明其投标标的符合招标文件规定。</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10.2招标文件对证明文件无明确形式要求的，证明文件可以以文字资料、图纸和数据等形式提交。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1</w:t>
      </w:r>
      <w:r>
        <w:rPr>
          <w:rFonts w:ascii="黑体" w:hAnsi="黑体" w:eastAsia="黑体" w:cs="黑体"/>
          <w:color w:val="auto"/>
          <w:sz w:val="28"/>
          <w:highlight w:val="none"/>
        </w:rPr>
        <w:t xml:space="preserve">、投标分项报价表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11.1 投标人按照招标文件规定格式填报投标分项报价表。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11.2投标货币。投标文件中的单价和总价无特殊规定的采用人民币报价，以元为单位标注。招标文件中另有规定的按规定执行。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2</w:t>
      </w:r>
      <w:r>
        <w:rPr>
          <w:rFonts w:ascii="黑体" w:hAnsi="黑体" w:eastAsia="黑体" w:cs="黑体"/>
          <w:color w:val="auto"/>
          <w:sz w:val="28"/>
          <w:highlight w:val="none"/>
        </w:rPr>
        <w:t xml:space="preserve">、技术要求响应及偏离表、商务要求响应及偏离表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 投标人需对招标文件中的技术要求与商务要求逐项作出响应或偏离，并说明原因。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 投标人需按照招标文件要求，在投标文件中提供与技术要求和商务要求相关的证明材料。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3</w:t>
      </w:r>
      <w:r>
        <w:rPr>
          <w:rFonts w:ascii="黑体" w:hAnsi="黑体" w:eastAsia="黑体" w:cs="黑体"/>
          <w:color w:val="auto"/>
          <w:sz w:val="28"/>
          <w:highlight w:val="none"/>
        </w:rPr>
        <w:t xml:space="preserve">、投标函和开标一览表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 投标人应按照招标文件中提供的格式完整、正确填写投标函、开标一览表。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auto"/>
          <w:sz w:val="24"/>
          <w:highlight w:val="non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4</w:t>
      </w:r>
      <w:r>
        <w:rPr>
          <w:rFonts w:ascii="黑体" w:hAnsi="黑体" w:eastAsia="黑体" w:cs="黑体"/>
          <w:color w:val="auto"/>
          <w:sz w:val="28"/>
          <w:highlight w:val="none"/>
        </w:rPr>
        <w:t xml:space="preserve">、投标有效期</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 投标有效期为</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规定的开标之日后</w:t>
      </w:r>
      <w:r>
        <w:rPr>
          <w:rFonts w:ascii="宋体" w:hAnsi="宋体" w:cs="宋体"/>
          <w:b/>
          <w:color w:val="auto"/>
          <w:sz w:val="24"/>
          <w:highlight w:val="none"/>
          <w:u w:val="single"/>
        </w:rPr>
        <w:t xml:space="preserve">六十（60）天</w:t>
      </w:r>
      <w:r>
        <w:rPr>
          <w:rFonts w:ascii="宋体" w:hAnsi="宋体" w:cs="宋体"/>
          <w:color w:val="auto"/>
          <w:sz w:val="24"/>
          <w:highlight w:val="none"/>
        </w:rPr>
        <w:t xml:space="preserve">。投标有效期比规定短的将被视为未实质性响应招标文件而予以拒绝。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5</w:t>
      </w:r>
      <w:r>
        <w:rPr>
          <w:rFonts w:ascii="黑体" w:hAnsi="黑体" w:eastAsia="黑体" w:cs="黑体"/>
          <w:color w:val="auto"/>
          <w:sz w:val="28"/>
          <w:highlight w:val="none"/>
        </w:rPr>
        <w:t xml:space="preserve">、投标有效期的延长</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 在特殊情况下，</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四、投标文件的递交</w:t>
      </w:r>
      <w:r/>
    </w:p>
    <w:p>
      <w:pPr>
        <w:ind w:firstLine="5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6</w:t>
      </w:r>
      <w:r>
        <w:rPr>
          <w:rFonts w:ascii="黑体" w:hAnsi="黑体" w:eastAsia="黑体" w:cs="黑体"/>
          <w:color w:val="auto"/>
          <w:sz w:val="28"/>
          <w:highlight w:val="none"/>
        </w:rPr>
        <w:t xml:space="preserve">、电子投标文件的递交</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 投标人应当按照《操作手册》规定，在投标截止时间前制作并上传电子投标文件。</w:t>
      </w:r>
      <w:r/>
    </w:p>
    <w:p>
      <w:pPr>
        <w:ind w:firstLine="42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7</w:t>
      </w:r>
      <w:r>
        <w:rPr>
          <w:rFonts w:ascii="黑体" w:hAnsi="黑体" w:eastAsia="黑体" w:cs="黑体"/>
          <w:color w:val="auto"/>
          <w:sz w:val="28"/>
          <w:highlight w:val="none"/>
        </w:rPr>
        <w:t xml:space="preserve">、投标截止时间</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 投标人上传电子投标文件的时间不得迟于招标公告中规定的投标截止时间。</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17.2 </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1</w:t>
      </w:r>
      <w:r>
        <w:rPr>
          <w:rFonts w:ascii="Arial" w:hAnsi="Arial" w:eastAsia="Arial" w:cs="Arial"/>
          <w:color w:val="auto"/>
          <w:sz w:val="28"/>
          <w:highlight w:val="none"/>
        </w:rPr>
        <w:t xml:space="preserve">8</w:t>
      </w:r>
      <w:r>
        <w:rPr>
          <w:rFonts w:ascii="黑体" w:hAnsi="黑体" w:eastAsia="黑体" w:cs="黑体"/>
          <w:color w:val="auto"/>
          <w:sz w:val="28"/>
          <w:highlight w:val="none"/>
        </w:rPr>
        <w:t xml:space="preserve">、投标文件的拒收</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拒绝接收在其规定的投标截止时间后上传的任何投标文件。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19</w:t>
      </w:r>
      <w:r>
        <w:rPr>
          <w:rFonts w:ascii="黑体" w:hAnsi="黑体" w:eastAsia="黑体" w:cs="黑体"/>
          <w:color w:val="auto"/>
          <w:sz w:val="28"/>
          <w:highlight w:val="none"/>
        </w:rPr>
        <w:t xml:space="preserve">、投标文件的撤回和修改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 投标文件的撤回</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19.1.1 电子投标文件的撤回</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投标人可在投标截止时间前，撤回其电子投标文件，具体操作方法见《操作手册》。</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19.1.2 投标人撤回电子投标文件，则认为其不再参与本项目投标活动。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 投标文件的修改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19.2.1投标人可在投标截止时间前，对其电子投标文件进行修改，具体操作方法见《操作手册》。</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19.2.2 在投标截止时间之后，投标人不得对其电子投标文件作任何修改。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19.3 在投标截止时间至招标文件中规定的投标有效期满之间的这段时间内，投标人不得撤回其投标。</w:t>
      </w:r>
      <w:r/>
    </w:p>
    <w:p>
      <w:pPr>
        <w:ind w:firstLine="482"/>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五、开标与评标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w:t>
      </w:r>
      <w:r>
        <w:rPr>
          <w:rFonts w:ascii="Arial" w:hAnsi="Arial" w:eastAsia="Arial" w:cs="Arial"/>
          <w:color w:val="auto"/>
          <w:sz w:val="28"/>
          <w:highlight w:val="none"/>
        </w:rPr>
        <w:t xml:space="preserve">0</w:t>
      </w:r>
      <w:r>
        <w:rPr>
          <w:rFonts w:ascii="黑体" w:hAnsi="黑体" w:eastAsia="黑体" w:cs="黑体"/>
          <w:color w:val="auto"/>
          <w:sz w:val="28"/>
          <w:highlight w:val="none"/>
        </w:rPr>
        <w:t xml:space="preserve">、开标</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20.1 </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20.2开标仪式由</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组织。苏采云系统将自动对项目进行开标，并展示各投标人名称和投标价格。</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20.3投标人在开标过程中涉及到的投标文件解密、开标结果确认等工作，应按照《操作手册》规定执行。</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w:t>
      </w:r>
      <w:r>
        <w:rPr>
          <w:rFonts w:ascii="Arial" w:hAnsi="Arial" w:eastAsia="Arial" w:cs="Arial"/>
          <w:color w:val="auto"/>
          <w:sz w:val="28"/>
          <w:highlight w:val="none"/>
        </w:rPr>
        <w:t xml:space="preserve">1</w:t>
      </w:r>
      <w:r>
        <w:rPr>
          <w:rFonts w:ascii="黑体" w:hAnsi="黑体" w:eastAsia="黑体" w:cs="黑体"/>
          <w:color w:val="auto"/>
          <w:sz w:val="28"/>
          <w:highlight w:val="none"/>
        </w:rPr>
        <w:t xml:space="preserve">、评标委员会</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21.1开标后，</w:t>
      </w:r>
      <w:r>
        <w:rPr>
          <w:rFonts w:hint="eastAsia" w:ascii="宋体" w:hAnsi="宋体" w:cs="宋体"/>
          <w:color w:val="auto"/>
          <w:sz w:val="24"/>
          <w:szCs w:val="24"/>
          <w:highlight w:val="none"/>
          <w:lang w:eastAsia="zh-CN"/>
        </w:rPr>
        <w:t xml:space="preserve">代理机构</w:t>
      </w:r>
      <w:r>
        <w:rPr>
          <w:rFonts w:ascii="宋体" w:hAnsi="宋体" w:cs="宋体"/>
          <w:color w:val="auto"/>
          <w:sz w:val="24"/>
          <w:szCs w:val="24"/>
          <w:highlight w:val="none"/>
        </w:rPr>
        <w:t xml:space="preserve">将立即组织评标委员会（以下简称评委会）进行评标。</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21.3评委会独立工作，负责评审所有投标文件并确定中标候选人。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22、评标过程的保密与公正</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22.1凡是与审查、澄清、评价和比较投标的有关资料以及授标建议等，采购人、评委、</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均不得向投标人或与评标无关的其他人员透露。</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22.2在评标过程中，投标人不得以任何行为影响评标过程，否则其投标文件将被作为无效投标文件。</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22.3 </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和评委会不向未中标的投标人解释未中标原因，也不公布评标过程中的相关细节。</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22.4 采用综合评分法的项目，未中标的投标人可于中标结果公告期限届满之日起通过苏采云系统查看自己的评审得分及排序情况。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w:t>
      </w:r>
      <w:r>
        <w:rPr>
          <w:rFonts w:ascii="Arial" w:hAnsi="Arial" w:eastAsia="Arial" w:cs="Arial"/>
          <w:color w:val="auto"/>
          <w:sz w:val="28"/>
          <w:highlight w:val="none"/>
        </w:rPr>
        <w:t xml:space="preserve">3</w:t>
      </w:r>
      <w:r>
        <w:rPr>
          <w:rFonts w:ascii="黑体" w:hAnsi="黑体" w:eastAsia="黑体" w:cs="黑体"/>
          <w:color w:val="auto"/>
          <w:sz w:val="28"/>
          <w:highlight w:val="none"/>
        </w:rPr>
        <w:t xml:space="preserve">、投标文件的澄清</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评委会并非对每个投标人都做澄清要求。</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23.3接到评委会澄清、说明和补正要求的投标人如未按规定做出澄清、说明和补正，其风险由投标人自行承担。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w:t>
      </w:r>
      <w:r>
        <w:rPr>
          <w:rFonts w:ascii="Arial" w:hAnsi="Arial" w:eastAsia="Arial" w:cs="Arial"/>
          <w:color w:val="auto"/>
          <w:sz w:val="28"/>
          <w:highlight w:val="none"/>
        </w:rPr>
        <w:t xml:space="preserve">4</w:t>
      </w:r>
      <w:r>
        <w:rPr>
          <w:rFonts w:ascii="黑体" w:hAnsi="黑体" w:eastAsia="黑体" w:cs="黑体"/>
          <w:color w:val="auto"/>
          <w:sz w:val="28"/>
          <w:highlight w:val="none"/>
        </w:rPr>
        <w:t xml:space="preserve">、对投标文件的初审</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24.1投标文件初审分为资格审查和符合性审查。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24.1.3 未通过资格审查或符合性审查的投标人，</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将在苏采云系统中告知未通过资格审查或符合性审查的原因，评审结束后，</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将不再告知未通过资格审查或符合性审查的原因。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24.4评委会将对确定为实质性响应的投标进行进一步审核，是否有计算上或累加上的算术错误，修正错误的原则如下：</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（1）投标文件中开标一览表内容与投标文件中相应内容不一致的，以开标一览表为准。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（2）大写金额和小写金额不一致的，以大写金额为准。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（3）单价金额小数点或者百分比有明显错位的，以开标一览表的总价为准，并修改单价。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（4）总价金额与按单价汇总金额不一致的，以单价金额计算结果为准。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同时出现两种以上错误的，按照前款规定的顺序修正。</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24.6投标人在开、评标全过程中应保持通讯畅通，及时登录苏采云系统查阅、答复相关信息，并安排专人与</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及评委会联系。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w:t>
      </w:r>
      <w:r>
        <w:rPr>
          <w:rFonts w:ascii="Arial" w:hAnsi="Arial" w:eastAsia="Arial" w:cs="Arial"/>
          <w:color w:val="auto"/>
          <w:sz w:val="28"/>
          <w:highlight w:val="none"/>
        </w:rPr>
        <w:t xml:space="preserve">5</w:t>
      </w:r>
      <w:r>
        <w:rPr>
          <w:rFonts w:ascii="黑体" w:hAnsi="黑体" w:eastAsia="黑体" w:cs="黑体"/>
          <w:color w:val="auto"/>
          <w:sz w:val="28"/>
          <w:highlight w:val="none"/>
        </w:rPr>
        <w:t xml:space="preserve">、无效投标条款和废标条款</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25.1无效投标条款</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 投标人在苏采云系统规定的时间内未成功解密电子投标文件的。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25.1.2 投标人未按照招标文件要求上传电子投标文件的。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25.1.3 投标人同一采购包提交两个（含两个）以上不同的投标报价的。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25.1.4投标人不具备招标文件中规定资格要求的。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25.1.5投标人的报价超过了采购预算或最高限价的。</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25.1.6未通过符合性审查的。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25.1.7不符合招标文件中规定的实质性要求的（本招标文件中斜体且有下划线部分为实质性要求）</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25.1.9 投标文件含有采购人不能接受的附加条件的。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 异常低价投标（响应）</w:t>
      </w:r>
      <w:r/>
    </w:p>
    <w:p>
      <w:pPr>
        <w:ind w:firstLine="480"/>
        <w:spacing w:line="47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25.1.10.1投标（响应）报价低于全部通过符合性审查供应商投标（响应）报价平均值50%的，即投标（响应）报价&lt;全部通过符合性审查供应商投标（响应）报价平均值×50%；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25.1.10.2投标（响应）报价低于通过符合性审查的次低报价供应商投标（响应）报价50%的，即投标（响应）报价&lt;通过符合性审查的次低报价供应商投标（响应）报价×50%；</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25.1.10.3投标（响应）报价低于采购项目最高限价 45% 的，即投标（响应）报价&lt;采购项目最高限价×45%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25.1.10.4评审委员会认定的供应商报价过低、有可能影响产品质量或者不能诚信履约的其他情形。</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25.1.11 投标文件未按照招标文件要求加盖CA电子公章的。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25.1.12其他法律、法规及本招标文件规定的属无效投标的情形。</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25.2废标条款</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25.2.1符合专业条件的供应商或者对招标文件作实质响应的供应商不足三家的。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25.2.2出现影响采购公正的违法、违规行为的。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25.2.3因重大变故，采购任务取消的。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25.2.4评委会认定招标文件存在歧义、重大缺陷导致评审工作无法进行。</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25.2.5 因苏采云系统系统故障原因造成开标不成功的。</w:t>
      </w:r>
      <w:r/>
    </w:p>
    <w:p>
      <w:pPr>
        <w:ind w:left="479"/>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25.3 投标截止时间结束后参加投标的供应商不足三家的处理：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六、定标</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   26、确定中标单位</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26.1中标候选人的选取原则和数量见招标文件第五章规定。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 采购人应根据评委会推荐的中标候选人确定中标供应商。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26.3 </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将在“江苏政府采购网、扬州市政府采购网”发布中标公告，公告期限为1个工作日。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  若有充分证据证明，中标供应商出现下列情况之一的，一经查实，将被取消中标资格：</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26.4.1提供虚假材料谋取中标的。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26.4.2向采购人、</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行贿或者提供其他不正当利益的。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26.4.3属于本文件规定的无效条件，但在评标过程中又未被评委会发现的。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26.4.4与采购人或者其他供应商恶意串通的。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26.4.5采取不正当手段诋毁、排挤其他供应商的。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26.5 有下列情形之一的，视为投标人串通投标，投标无效：</w:t>
      </w:r>
      <w:r/>
    </w:p>
    <w:p>
      <w:pPr>
        <w:ind w:firstLine="48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26.5.1不同投标人的投标文件由同一单位或者个人编制。</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26.5.2不同投标人委托同一单位或者个人办理投标事宜。</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26.5.3 不同投标人的投标文件载明的项目管理成员或者联系人员为同一人。</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26.5.4不同投标人的投标文件异常一致或者投标报价呈规律性差异。</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   27、质疑处理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27.1 提出质疑的供应商应当是参与所质疑项目采购活动的供应商。潜在供应商依法获取其可质疑的采购文件的，可以对采购文件提出质疑。</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27.2供应商认为采购文件、采购过程和采购结果使自己的权益受到损害的，可以在知道或应知其权益受到损害之日起七个工作日内，以书面形式根据下述27.4条款的规定向</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或采购人提出质疑。上述应知其权益受到损害之日，是指：</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27.2.1对可以质疑的采购文件提出质疑的，为收到采购文件之日或者采购文件公告期限届满之日；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27.2.2对采购过程提出质疑的，为各采购程序环节结束之日；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27.2.3对中标或者成交结果提出质疑的，为中标或者成交结果公告期限届满之日。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、采购人将只对供应商第一次质疑作出答复。</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提出，由</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负责答复。</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采购人及</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只接收以纸质原件形式送达的质疑,建议供应商尽量通过邮寄方式提交质疑（采购人和</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不接受无快递运单号的快递）。</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质疑接收人及联系方式见招标文件第一章。</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 以下情形的质疑不予受理</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27.5.1 内容不符合《政府采购质疑和投诉办法》第十二条规定的质疑。</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27.5.2 超出政府采购法定期限的质疑。</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27.5.3 以传真、电子邮件等方式递交的非原件形式的质疑。</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27.5.4未参加投标活动的供应商或在投标活动中自身权益未受到损害的供应商所提出的质疑。</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27.5.5供应商组成联合体参加投标，联合体中任何一方或多方未按要求签字、盖章、加盖公章的质疑。</w:t>
      </w:r>
      <w:r/>
    </w:p>
    <w:p>
      <w:pPr>
        <w:ind w:firstLine="46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27.6供应商提出书面质疑必须有理、有据，不得捏造事实、提供虚假材料进行恶意质疑。否则，一经查实，</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有权依据政府采购的有关规定，报请政府采购监管部门对该供应商进行相应的行政处罚和记录该供应商的失信信息。</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28、中标通知书</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28.l中标结果确定后，</w:t>
      </w:r>
      <w:r>
        <w:rPr>
          <w:rFonts w:hint="eastAsia" w:ascii="宋体" w:hAnsi="宋体" w:cs="宋体"/>
          <w:color w:val="auto"/>
          <w:sz w:val="24"/>
          <w:highlight w:val="none"/>
          <w:lang w:eastAsia="zh-CN"/>
        </w:rPr>
        <w:t xml:space="preserve">代理机构</w:t>
      </w:r>
      <w:r>
        <w:rPr>
          <w:rFonts w:ascii="宋体" w:hAnsi="宋体" w:cs="宋体"/>
          <w:color w:val="auto"/>
          <w:sz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七、授予合同</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29、签订合同</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29.l中标供应商应当在中标通知书发出之日起三十日内，按照招标文件确定的事项与采购人签订政府采购合同。</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29.2招标文件、中标供应商的投标文件及招标过程中有关澄清、承诺文件均应作为合同附件。</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30、政府采购履约资金扶持政策</w:t>
      </w:r>
      <w:r/>
    </w:p>
    <w:p>
      <w:pPr>
        <w:ind w:firstLine="6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中标供应商可凭政府采购合同办理融资贷款，详情请见江苏政府采购网“政采贷”专栏。</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jc w:val="left"/>
        <w:widowControl/>
        <w:rPr>
          <w:color w:val="auto"/>
          <w:highlight w:val="none"/>
        </w:rP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70"/>
        <w:spacing w:before="48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b/>
          <w:color w:val="auto"/>
          <w:highlight w:val="none"/>
        </w:rPr>
        <w:t xml:space="preserve">第三章 合同文本</w:t>
      </w:r>
      <w:r/>
    </w:p>
    <w:p>
      <w:pPr>
        <w:jc w:val="cente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江苏省政府采购合同（服务）（合同编号）</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                   </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             </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甲方：（买方/采购人）_________</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乙方：（卖方/中标供应商）_________</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甲、乙双方根据</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u w:val="single"/>
        </w:rPr>
        <w:t xml:space="preserve">         </w:t>
      </w:r>
      <w:r>
        <w:rPr>
          <w:rFonts w:ascii="宋体" w:hAnsi="宋体" w:cs="宋体"/>
          <w:color w:val="auto"/>
          <w:sz w:val="24"/>
          <w:highlight w:val="none"/>
        </w:rPr>
        <w:t xml:space="preserve">项目公开招标的结果，签署本合同。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标的名称：</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1.2标的质量：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标的数量（规模）：</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履行时间（期限）：</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履行地点：</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1.6履行方式：</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本合同金额为（大写）：________圆</w:t>
      </w:r>
      <w:r>
        <w:rPr>
          <w:rFonts w:hint="eastAsia" w:ascii="宋体" w:hAnsi="宋体" w:cs="宋体"/>
          <w:color w:val="auto"/>
          <w:sz w:val="24"/>
          <w:highlight w:val="none"/>
          <w:lang w:val="en-US" w:eastAsia="zh-CN"/>
        </w:rPr>
        <w:t xml:space="preserve">/吨</w:t>
      </w:r>
      <w:r>
        <w:rPr>
          <w:rFonts w:ascii="宋体" w:hAnsi="宋体" w:cs="宋体"/>
          <w:color w:val="auto"/>
          <w:sz w:val="24"/>
          <w:highlight w:val="none"/>
        </w:rPr>
        <w:t xml:space="preserve">（________元</w:t>
      </w:r>
      <w:r>
        <w:rPr>
          <w:rFonts w:hint="eastAsia" w:ascii="宋体" w:hAnsi="宋体" w:cs="宋体"/>
          <w:color w:val="auto"/>
          <w:sz w:val="24"/>
          <w:highlight w:val="none"/>
          <w:lang w:val="en-US" w:eastAsia="zh-CN"/>
        </w:rPr>
        <w:t xml:space="preserve">/吨</w:t>
      </w:r>
      <w:r>
        <w:rPr>
          <w:rFonts w:ascii="宋体" w:hAnsi="宋体" w:cs="宋体"/>
          <w:color w:val="auto"/>
          <w:sz w:val="24"/>
          <w:highlight w:val="none"/>
        </w:rPr>
        <w:t xml:space="preserve">）人民币或其他币种。</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3.1乙方应按招标文件规定的时间向甲方提供服务（包含与服务相关的货物）的有关技术资料。</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4.2甲方在中华人民共和国境内使用乙方提供的服务时免受第三方提出的侵犯其专利权或其他知识产权的起诉。如果第三方提出侵权指控，乙方应承担由此而引起的一切法律责任和费用。</w:t>
      </w:r>
      <w:r/>
    </w:p>
    <w:p>
      <w:pPr>
        <w:ind w:left="408" w:hanging="408"/>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4.3本项目所产生的知识产权由项目甲方和乙方共有。</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乙方保证所交付的服务（包含与服务相关的货物）的所有权完全属于乙方且无任何抵押、查封等产权瑕疵。</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六、履约保证金</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乙方交纳人民币___</w:t>
      </w:r>
      <w:r>
        <w:rPr>
          <w:rFonts w:ascii="宋体" w:hAnsi="宋体" w:cs="宋体"/>
          <w:color w:val="auto"/>
          <w:sz w:val="24"/>
          <w:highlight w:val="none"/>
          <w:u w:val="single"/>
        </w:rPr>
        <w:t xml:space="preserve">零</w:t>
      </w:r>
      <w:r>
        <w:rPr>
          <w:rFonts w:ascii="宋体" w:hAnsi="宋体" w:cs="宋体"/>
          <w:color w:val="auto"/>
          <w:sz w:val="24"/>
          <w:highlight w:val="none"/>
        </w:rPr>
        <w:t xml:space="preserve">______元作为本合同的履约保证金。</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6.2合同履行结束后，甲方应及时退还交纳的履约保证金。</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6.2.1履约保证金退还方式：无</w:t>
      </w:r>
      <w:r/>
    </w:p>
    <w:p>
      <w:pPr>
        <w:ind w:left="408" w:hanging="408"/>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6.2.2履约保证金退还时间：无</w:t>
      </w:r>
      <w:r/>
    </w:p>
    <w:p>
      <w:pPr>
        <w:ind w:left="408" w:hanging="408"/>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6.2.3履约保证金退还条件：无</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6.2.4履约保证金不予退还的情形：无</w:t>
      </w:r>
      <w:r/>
    </w:p>
    <w:p>
      <w:pPr>
        <w:ind w:left="408" w:hanging="408"/>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6.2.5履约保证金逾期退还的违约责任：无</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八、合同款项支付</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8.1合同款项的支付方式及进度安排</w:t>
      </w:r>
      <w:r/>
    </w:p>
    <w:p>
      <w:pPr>
        <w:spacing w:before="120" w:after="120"/>
        <w:rPr>
          <w:rFonts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8.1.1合同签订后，乙方进场提供服务，甲方按考核结果确定实际支付费用，在202</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月、202</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12</w:t>
      </w:r>
      <w:r>
        <w:rPr>
          <w:rFonts w:hint="eastAsia" w:ascii="宋体" w:hAnsi="宋体" w:cs="宋体"/>
          <w:color w:val="auto"/>
          <w:sz w:val="24"/>
          <w:highlight w:val="none"/>
          <w:u w:val="single"/>
          <w:lang w:eastAsia="zh-CN"/>
        </w:rPr>
        <w:t xml:space="preserve">月底</w:t>
      </w:r>
      <w:r>
        <w:rPr>
          <w:rFonts w:hint="eastAsia" w:ascii="宋体" w:hAnsi="宋体" w:cs="宋体"/>
          <w:color w:val="auto"/>
          <w:sz w:val="24"/>
          <w:highlight w:val="none"/>
          <w:u w:val="single"/>
        </w:rPr>
        <w:t xml:space="preserve">分别进行支付，乙方必须提供开具的正式税票及甲方签发的结算清单等材料，交甲方办理付款手续，甲方收到发票之日起10个工作日内支付费用。</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spacing w:before="145" w:after="14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zh-CN" w:eastAsia="zh-CN"/>
        </w:rPr>
        <w:t xml:space="preserve">考核办法</w:t>
      </w:r>
      <w:r/>
    </w:p>
    <w:p>
      <w:pPr>
        <w:spacing w:before="145" w:after="145"/>
        <w:rPr>
          <w:rFonts w:hint="eastAsia" w:ascii="宋体" w:hAnsi="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10.1</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lang w:val="zh-CN" w:eastAsia="zh-CN"/>
        </w:rPr>
        <w:t xml:space="preserve">根据</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lang w:val="zh-CN" w:eastAsia="zh-CN"/>
        </w:rPr>
        <w:t xml:space="preserve">运营管理情况每季度对</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lang w:val="zh-CN" w:eastAsia="zh-CN"/>
        </w:rPr>
        <w:t xml:space="preserve">考核一次，考核办法由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lang w:val="zh-CN" w:eastAsia="zh-CN"/>
        </w:rPr>
        <w:t xml:space="preserve">与</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lang w:val="zh-CN" w:eastAsia="zh-CN"/>
        </w:rPr>
        <w:t xml:space="preserve">根据</w:t>
      </w:r>
      <w:r>
        <w:rPr>
          <w:rFonts w:hint="eastAsia" w:ascii="宋体" w:hAnsi="宋体" w:cs="宋体"/>
          <w:color w:val="auto"/>
          <w:sz w:val="24"/>
          <w:highlight w:val="none"/>
          <w:lang w:eastAsia="zh-CN"/>
        </w:rPr>
        <w:t xml:space="preserve">采购</w:t>
      </w:r>
      <w:r>
        <w:rPr>
          <w:rFonts w:hint="eastAsia" w:ascii="宋体" w:hAnsi="宋体" w:cs="宋体"/>
          <w:color w:val="auto"/>
          <w:sz w:val="24"/>
          <w:highlight w:val="none"/>
          <w:lang w:val="zh-CN" w:eastAsia="zh-CN"/>
        </w:rPr>
        <w:t xml:space="preserve">文件及</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lang w:val="zh-CN" w:eastAsia="zh-CN"/>
        </w:rPr>
        <w:t xml:space="preserve">后的</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lang w:val="zh-CN" w:eastAsia="zh-CN"/>
        </w:rPr>
        <w:t xml:space="preserve">文件商榷后制定，考核情况与运营费用给付挂钩。</w:t>
      </w:r>
      <w:r>
        <w:rPr>
          <w:rFonts w:hint="eastAsia" w:ascii="宋体" w:hAnsi="宋体" w:cs="宋体"/>
          <w:color w:val="auto"/>
          <w:sz w:val="24"/>
          <w:highlight w:val="none"/>
        </w:rPr>
        <w:t xml:space="preserve">每季度百分考核中，测评结果分为“优”“良”“一般”。总分</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分以上为“优”，总分75分以上为“良”，总分70分以上为“一般”。季度测评结果为“优”的，当季服务费用按中标价的100%进行结算；服务测评为“良”的，当季服务费用按中标价的95%进行结算；服务测评为“一般”的，当即服务费用按中标价的90%进行结算。</w:t>
      </w:r>
      <w:r/>
    </w:p>
    <w:p>
      <w:pPr>
        <w:spacing w:before="145" w:after="145"/>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10.2</w:t>
      </w:r>
      <w:r>
        <w:rPr>
          <w:rFonts w:hint="eastAsia" w:ascii="宋体" w:hAnsi="宋体" w:cs="宋体"/>
          <w:color w:val="auto"/>
          <w:sz w:val="24"/>
          <w:highlight w:val="none"/>
          <w:lang w:val="zh-CN" w:eastAsia="zh-CN"/>
        </w:rPr>
        <w:t xml:space="preserve">每季度区级统一监管平台进行一次线下服务对象满意度调查，</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lang w:val="zh-CN" w:eastAsia="zh-CN"/>
        </w:rPr>
        <w:t xml:space="preserve">将区平台回访和满意度调查结果纳入对服务商的考核范畴内，确保服务行为规范、有序、务实、高效,维护广大老年人的权益。</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11.1甲方无正当理由拒绝接受乙方提供服务的，甲方向乙方偿付拒绝接受服务合同价款总值</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11.2甲方无故逾期验收和办理合同款项支付手续的,甲方应按逾期付款总额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 乙方所提供服务的标准不符合合同规定及招标文件规定标准的，甲方有权拒绝接受服务，并可单方面解除合同。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12.1在合同有效期内，任何一方因不可抗力事件导致不能履行合同，则合同履行期可延长，其延长期与不可抗力影响期相同。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十四、合同生效及其它</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14.1合同经双方法定代表人或授权委托代表人签字并加盖单位公章后生效。</w:t>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14.2本合同未尽事宜，遵照中华人民共和国现行法律法规有关条文执行。</w:t>
      </w:r>
      <w:r/>
    </w:p>
    <w:p>
      <w:pPr>
        <w:ind w:left="480" w:hanging="480"/>
        <w:spacing w:before="120" w:after="12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14.3本合同正本一式两份，具有同等法律效力，甲方、乙方各执一份。</w:t>
      </w:r>
      <w:r/>
    </w:p>
    <w:p>
      <w:pPr>
        <w:spacing w:before="120" w:after="12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801"/>
        <w:tblW w:w="9168" w:type="dxa"/>
        <w:jc w:val="center"/>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联系电话：</w:t>
            </w:r>
            <w:r/>
          </w:p>
        </w:tc>
      </w:tr>
    </w:tbl>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jc w:val="right"/>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签订日期：年  月 日</w:t>
      </w:r>
      <w:r>
        <w:rPr>
          <w:rFonts w:ascii="宋体" w:hAnsi="宋体" w:cs="宋体"/>
          <w:color w:val="auto"/>
          <w:sz w:val="24"/>
          <w:highlight w:val="none"/>
        </w:rPr>
        <w:br w:type="page" w:clear="all"/>
      </w:r>
      <w:r/>
    </w:p>
    <w:p>
      <w:pPr>
        <w:pStyle w:val="770"/>
        <w:spacing w:before="48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b/>
          <w:color w:val="auto"/>
          <w:highlight w:val="none"/>
        </w:rPr>
        <w:t xml:space="preserve">第四章 采购需求</w:t>
      </w:r>
      <w:r/>
    </w:p>
    <w:p>
      <w:pPr>
        <w:ind w:left="495" w:hanging="49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项目属性:服务类项目</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无。</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 供应商对于投标产品的包装应按照“财办库〔2020〕123号《关于印发《商品包装政府采购需求标准（试行）》、《快递包装政府采购需求标准（试行）》的通知》”执行。</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4.投标人需对技术要求（未加斜体下划线的非实质性要求）逐条做出明确响应。如果招标文件要求提供证明材料，投标人需将证明材料列于技术要求响应及偏离表之下。</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 投标人需对商务要求（未加斜体下划线的非实质性要求）逐条做出明确响应。如果招标文件要求提供证明材料，投标人需将证明材料列于商务要求响应及偏离表之下。</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.采购标的清单</w:t>
      </w:r>
      <w:r/>
    </w:p>
    <w:tbl>
      <w:tblPr>
        <w:tblStyle w:val="80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2055"/>
        <w:gridCol w:w="53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1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景区2026−2027年装修垃圾处置服务项目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建筑业</w:t>
            </w:r>
            <w:r/>
          </w:p>
        </w:tc>
      </w:tr>
    </w:tbl>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政府采购中实施本国产品标准及相关政策</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1.政策依据《国务院办公厅关于在政府采购中实施本国产品标准及相关政策的通知》（国办发〔2025〕34号）。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技术要求</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技术要求是指对采购标的功能和质量要求，包括性能、材料、结构、外观、安全，或者服务内容和标准等。</w:t>
      </w:r>
      <w:r/>
    </w:p>
    <w:p>
      <w:pPr>
        <w:ind w:firstLine="482"/>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一、项目概况</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1、项目名称：扬州市蜀冈-瘦西湖风景名胜区建筑、装修垃圾收集处置服务项目</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2、预算金额：</w:t>
      </w:r>
      <w:r>
        <w:rPr>
          <w:rFonts w:hint="eastAsia" w:ascii="宋体" w:hAnsi="宋体" w:eastAsia="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rPr>
        <w:t xml:space="preserve">元</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3、最高限价：本项目设定最高限价，最高限价为</w:t>
      </w: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rPr>
        <w:t xml:space="preserve">/吨，投标人按照单价报价，按实结算。（超过最高限价的报价为无效报价，按照无效响应处理）</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报价需要将装修垃圾运输、装修垃圾处置分开报价</w:t>
      </w:r>
      <w:r/>
    </w:p>
    <w:p>
      <w:pPr>
        <w:ind w:firstLine="482"/>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二、工作内容及范围</w:t>
      </w:r>
      <w:r/>
    </w:p>
    <w:p>
      <w:pPr>
        <w:ind w:firstLine="480"/>
        <w:pageBreakBefore w:val="0"/>
        <w:spacing w:line="40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i/>
          <w:color w:val="auto"/>
          <w:sz w:val="24"/>
          <w:szCs w:val="24"/>
          <w:highlight w:val="none"/>
          <w:u w:val="single"/>
        </w:rPr>
        <w:t xml:space="preserve">负责承担扬州市蜀冈-瘦西湖风景名胜区</w:t>
      </w:r>
      <w:r>
        <w:rPr>
          <w:rFonts w:hint="eastAsia" w:ascii="宋体" w:hAnsi="宋体" w:eastAsia="宋体" w:cs="宋体"/>
          <w:i/>
          <w:color w:val="auto"/>
          <w:sz w:val="24"/>
          <w:szCs w:val="24"/>
          <w:highlight w:val="none"/>
          <w:u w:val="single"/>
          <w:lang w:val="en-US" w:eastAsia="zh-CN"/>
        </w:rPr>
        <w:t xml:space="preserve">平山乡装修垃圾临时堆放点及指定点位的</w:t>
      </w:r>
      <w:r>
        <w:rPr>
          <w:rFonts w:hint="eastAsia" w:ascii="宋体" w:hAnsi="宋体" w:eastAsia="宋体" w:cs="宋体"/>
          <w:i/>
          <w:color w:val="auto"/>
          <w:sz w:val="24"/>
          <w:szCs w:val="24"/>
          <w:highlight w:val="none"/>
          <w:u w:val="single"/>
        </w:rPr>
        <w:t xml:space="preserve">建筑、装修垃圾的收集、清运、处置，此范围内的建筑、装修垃圾处置产生的费用全部由中标人承担。负责处置建筑、装修垃圾的运输、处置以及安全、环保等全过程责任；建筑、装修垃圾处理率达到100%、资源化再利用率达到85%。</w:t>
      </w:r>
      <w:r>
        <w:rPr>
          <w:rFonts w:hint="eastAsia" w:ascii="宋体" w:hAnsi="宋体" w:eastAsia="宋体" w:cs="宋体"/>
          <w:b/>
          <w:bCs/>
          <w:i/>
          <w:iCs/>
          <w:color w:val="auto"/>
          <w:sz w:val="24"/>
          <w:szCs w:val="24"/>
          <w:highlight w:val="none"/>
          <w:u w:val="single"/>
        </w:rPr>
        <w:t xml:space="preserve">（提供承诺书原件上传，格式自拟）</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负责对扬州市蜀冈-瘦西湖风景名胜区范围内产生的建筑、装修垃圾进行资源化处置（包括建筑、装修垃圾的接收存放、筛分破碎处理、处理后物料的资源化利用，以及建筑、装修垃圾筛分过程中产生的生活垃圾、可燃垃圾等暂存及处置），建筑、装修垃圾预</w:t>
      </w:r>
      <w:r>
        <w:rPr>
          <w:rFonts w:hint="eastAsia" w:ascii="宋体" w:hAnsi="宋体" w:cs="宋体"/>
          <w:color w:val="auto"/>
          <w:sz w:val="24"/>
          <w:szCs w:val="24"/>
          <w:highlight w:val="none"/>
          <w:lang w:val="en-US" w:eastAsia="zh-CN"/>
        </w:rPr>
        <w:t xml:space="preserve">2.4万</w:t>
      </w:r>
      <w:r>
        <w:rPr>
          <w:rFonts w:hint="eastAsia" w:ascii="宋体" w:hAnsi="宋体" w:eastAsia="宋体" w:cs="宋体"/>
          <w:color w:val="auto"/>
          <w:sz w:val="24"/>
          <w:szCs w:val="24"/>
          <w:highlight w:val="none"/>
        </w:rPr>
        <w:t xml:space="preserve">吨。</w:t>
      </w:r>
      <w:r/>
    </w:p>
    <w:p>
      <w:pPr>
        <w:ind w:firstLine="482"/>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三、对供应商的相关要求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建筑、装修垃圾的收集清运要求：中标人将产生的建筑、装修垃圾进行简单分类装运，建筑、装修垃圾必须做到集中堆放。建筑、装修垃圾运输过程应采取湿法作业、保持密闭，不应出现遗撒及建筑、装修垃圾粘挂现象，转运途中不应遗洒垃圾渗滤液。建筑、装修垃圾清运过程中倘若出现抛洒滴漏、污染环境严重的需要由中标方利用洒水车等设备冲洗地面、清理抛洒的建筑、装修垃圾。</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2、建筑、装修垃圾处理要求：根据分类收集的要求，各类垃圾需要按照不同的方式进行处置，减少其他垃圾的产生，避免二次污染。</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3、建筑、装修垃圾资源化利用：建筑、装修垃圾具有一定的资源价值，通过一系列的加工流程，分筛出有用的物料从而生产出符合标准的建材，利用到城市建设中。</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4、收集、清运工作的安全保证：建立健全的安全生产管理制度，同时加强安全生产教育与培训，重点工作要编制专项方案，确保整个项目实施过程中零事故。</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环境保护及突发应急处理：制定相应的环境保护措施，把环境保护列为主要内容之一，制定出以“方便居民生活，利于生产发展，维护环境卫生”为宗旨的各环保措施。制定应急处理方案，提高防范和应对突发事件的能力，正确、有效快速处置各类突发事件，最大限度的预防和减少突发事件及其造成的损失和影响，保证职工生命财产安全。</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6、车辆要求：（1）车辆必须符合相关密封要求；（2）车辆颜色、标识统一；（3）车辆必须加装卫星定位系统，并根据采购人要求，负责接入相应监管平台；</w:t>
      </w:r>
      <w:r/>
    </w:p>
    <w:p>
      <w:pPr>
        <w:ind w:firstLine="482"/>
        <w:pageBreakBefore w:val="0"/>
        <w:spacing w:line="40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7、服务期限：</w:t>
      </w:r>
      <w:r>
        <w:rPr>
          <w:rFonts w:hint="eastAsia" w:ascii="宋体" w:hAnsi="宋体" w:eastAsia="宋体" w:cs="宋体"/>
          <w:color w:val="auto"/>
          <w:sz w:val="24"/>
          <w:szCs w:val="24"/>
          <w:highlight w:val="none"/>
          <w:lang w:val="en-US" w:eastAsia="zh-CN"/>
        </w:rPr>
        <w:t xml:space="preserve">自合同签订之日起，至2027年12月31日</w:t>
      </w:r>
      <w:r>
        <w:rPr>
          <w:rFonts w:hint="eastAsia" w:ascii="宋体" w:hAnsi="宋体" w:eastAsia="宋体" w:cs="宋体"/>
          <w:color w:val="auto"/>
          <w:sz w:val="24"/>
          <w:szCs w:val="24"/>
          <w:highlight w:val="none"/>
        </w:rPr>
        <w:t xml:space="preserve">。</w:t>
      </w:r>
      <w:r/>
    </w:p>
    <w:p>
      <w:pPr>
        <w:ind w:firstLine="482"/>
        <w:pageBreakBefore w:val="0"/>
        <w:spacing w:line="400" w:lineRule="exact"/>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存量装修垃圾处置：本项目服务范围包含 2026 年 9 月起至本项目合同签订之日前产生的存量装修垃圾。中标人须对该时段存量装修垃圾一并开展收集、清运、分类及后续处置、资源化利用工作，相关费用全部包含在投标报价内，采购人不再另行支付存量垃圾处置费用。</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、其他要求：服务质量必须符合甲方要求及市、区部门的相关规程和规范要求。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四、采购标的需执行的国家相关标准、行业标准、地方标准或者其他标准、规范</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此次采购根据《中华人民共和国道路交通安全法》、《中华人民共和国道路交通安全法实施条例》、《中华人民共和国政府采购法》、《建筑垃圾处理技术规范》（CJJ134-2009）等法律法规。</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五、采购标的需满足的质量、安全、技术规格、物理特性等要求及项目简要说明作业质量要求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（1）建筑、装修垃圾运输作业做到车走地净。</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（2）建筑、装修垃圾收集运输途中做到密闭运输，不得抛洒滴漏。</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（3）建筑、装修垃圾运输装运中应听从现场工作人员指挥，谨慎操作小心驾驶，以防人身机械事故的发生。</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（4）在建筑、装修垃圾运输工作中发生的任何交通事故及涉及人员伤亡、财物损坏等安全事故，均由中标人负责。</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（5）严禁车辆超载运营，因超载等违规、违法行为受到的处罚均由中标人承担。</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（6）建筑、装修垃圾到达处置点后必须按作业规范分拣、破碎、再生；如剩余残留物无法处理的应当委托有资质的第三方进行规范处置，不得随意抛洒、填埋，由此产生的一切后果由中标人承担。</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六、采购标的需满足的服务标准、期限、效率等要求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1、清理运输处置：中标人负责将</w:t>
      </w:r>
      <w:r>
        <w:rPr>
          <w:rFonts w:hint="eastAsia" w:ascii="宋体" w:hAnsi="宋体" w:eastAsia="宋体" w:cs="宋体"/>
          <w:color w:val="auto"/>
          <w:sz w:val="24"/>
          <w:szCs w:val="24"/>
          <w:highlight w:val="none"/>
          <w:lang w:val="en-US" w:eastAsia="zh-CN"/>
        </w:rPr>
        <w:t xml:space="preserve">平山乡装修垃圾临时堆放点及指定点位</w:t>
      </w:r>
      <w:r>
        <w:rPr>
          <w:rFonts w:hint="eastAsia" w:ascii="宋体" w:hAnsi="宋体" w:eastAsia="宋体" w:cs="宋体"/>
          <w:color w:val="auto"/>
          <w:sz w:val="24"/>
          <w:szCs w:val="24"/>
          <w:highlight w:val="none"/>
        </w:rPr>
        <w:t xml:space="preserve">建筑、装修垃圾分类清运至合法建筑、装修垃圾处置点，如遇设备检修或其他客观原因，导致建筑、装修垃圾处置点无法接纳的，由中标人自行寻找其他途径进行合法合规处理</w:t>
      </w:r>
      <w:r>
        <w:rPr>
          <w:rFonts w:hint="eastAsia" w:ascii="宋体" w:hAnsi="宋体" w:eastAsia="宋体" w:cs="宋体"/>
          <w:color w:val="auto"/>
          <w:sz w:val="24"/>
          <w:szCs w:val="24"/>
          <w:highlight w:val="none"/>
        </w:rPr>
        <w:t xml:space="preserve">。建筑、装修垃圾处置点所应具备良好的道路环境，适合重型车辆的进出；设置清洗台及相应的污水处理及排放设施，进出口通道硬化，严禁运输车辆带泥上路；配备大型挖掘机、推土机等机械设备。做好环境管理工作，包括但不限于噪音控制、粉尘排放控制、污水排放等。垃圾要分类处理，定点排放，有毒有害固体废弃物单独存放处置。现场必须安装监控摄像及地磅，安装费用由中标单位承担。</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2、作业人员要求：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（1）作业人员统一着装、佩证上岗。禁止使用超龄人员（男年满60岁、女满50岁人员）。</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（2）作业人员无拾荒行为，无聚堆闲聊、瞌睡或做与工作无关之事。</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（3）作业机器设备保持干净整洁，状况良好，机器设备上无乱挂放，工具摆放整齐。</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（4）作业文明，采取有效措施减少扬尘、噪音等作业扰民问题。</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（5）中标人承担所有人员的安全责任及费用。</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（6）中标人应为作业人员提供工作服及必要的劳动防护用品。</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（7）作业服务期内，招标人根据工作需要召开会议 ，中标人负责人必须准时参加。</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（8）机器设备采用符合招标人要求的专用设备，所有机器设备外观整洁，状况良好。</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（9）专用机器设备必须符合法律法规要求，具备购买或租赁手续，所产生费用及事故责任均由中标人承担。</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（10）安全责任：中标人负责在服务中一切安全工作，如发生人员伤亡等意外事故，一切后果全部由中标人负责，采购方不承担任何安全及事故责任。</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3、建筑、装修垃圾堆放要求：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①建筑、装修垃圾应及时清理，按品种、类别堆放在平整的地面上，高度应符合安全规定， 并留有一定的间距，防止倒塌伤人。</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②建筑、装修垃圾堆放的材料场地，要专人看管，加强治安保卫。禁止外来人员特别是小孩入内玩耍。严禁烟火，配有一定的消防器材，以防万一。</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七、本项目验收标准：按国家现行法律法规的要求进行验收（附建筑、装修垃圾清运票据）。</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八、其他技术、服务要求：</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1、合同履行期间将按照相关规定对该招标项目进行检查考核和验收。</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2、中标人须按照本招标文件的要求对该招标项目进行建筑、装修垃圾清理。</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3、中标人的用工必须符合国家用工的相关规定。</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4、中标人必须说明其是否响应采购文件中提出的全部服务内容与要求，如果以其中某些条款不响应时，应在文件中逐条列出，未列出的视同响应。</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现场踏勘：为更好地了解现场情况,各投标人需自行至现场进行踏勘，熟悉现场及周围道路等情况，以获得一切可能影响其投标的直接资料。中标人中标后，不得以不完全了解现场情况为理由而向招标采购单位提出任何索赔或加价的要求，对此招标采购单位不承担任何责任并将不作任何答复与考虑。</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6、本项目实行总单价包干按实计量，结算处置数量以处置点出场过磅的量为准。</w:t>
      </w:r>
      <w:r/>
    </w:p>
    <w:p>
      <w:pPr>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相关罚则：</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招标的验收标准：招标人按服务作业质量考核办法进行验收，考核办法具体内容：</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1、规定时间内的建筑、装修垃圾必须限时处理干净，如果没有及时处理且未达到招标人要求的，每拖延一天，扣款500元。</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2、日常考核检查中发现存在严重问题中标人却不及时整改的，发现一次扣款500元，第二次扣款1000元，以此类推，扣完为止。</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3、如接到12345便民热线等群众投诉反映清理过程不到位，有抛洒滴漏、超速违规、就地焚烧垃圾等</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现象，发现一次扣款500元，第二次扣款1000元，以此类推，扣完为止。</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4、中标人管理人员必须做好垃圾进出场记录。若未能及时做好记录，扣除考核款200元/次。</w:t>
      </w:r>
      <w:r/>
    </w:p>
    <w:p>
      <w:pPr>
        <w:ind w:firstLine="48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5、如遇突发事件中标人必须承诺接到通知后2小时内到达现场，在规定时间内清理完成。若不能完成，招标人立即安排其他单位清理，清理费用双倍在应付服务款中扣除，并扣除考核款3000元/次。</w:t>
      </w:r>
      <w:r/>
    </w:p>
    <w:p>
      <w:pPr>
        <w:ind w:firstLine="422"/>
        <w:jc w:val="both"/>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6、如发现中标人在运输处置过程中私自增加运输垃圾、虚增（计）数量等弄虚作假行为，第一次扣款10000元，第二次将直接终止合同。</w:t>
      </w:r>
      <w:r/>
    </w:p>
    <w:p>
      <w:pPr>
        <w:ind w:firstLine="480"/>
        <w:pageBreakBefore w:val="0"/>
        <w:spacing w:line="400" w:lineRule="exact"/>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7</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color w:val="auto"/>
          <w:sz w:val="24"/>
          <w:szCs w:val="24"/>
          <w:highlight w:val="none"/>
          <w:u w:val="single"/>
        </w:rPr>
        <w:t xml:space="preserve">负责承担扬州市蜀冈-瘦西湖风景名胜区</w:t>
      </w:r>
      <w:r>
        <w:rPr>
          <w:rFonts w:hint="eastAsia" w:ascii="宋体" w:hAnsi="宋体" w:eastAsia="宋体" w:cs="宋体"/>
          <w:i/>
          <w:color w:val="auto"/>
          <w:sz w:val="24"/>
          <w:szCs w:val="24"/>
          <w:highlight w:val="none"/>
          <w:u w:val="single"/>
          <w:lang w:val="en-US" w:eastAsia="zh-CN"/>
        </w:rPr>
        <w:t xml:space="preserve">平山乡装修垃圾临时堆放点及指定点位的</w:t>
      </w:r>
      <w:r>
        <w:rPr>
          <w:rFonts w:hint="eastAsia" w:ascii="宋体" w:hAnsi="宋体" w:eastAsia="宋体" w:cs="宋体"/>
          <w:i/>
          <w:color w:val="auto"/>
          <w:sz w:val="24"/>
          <w:szCs w:val="24"/>
          <w:highlight w:val="none"/>
          <w:u w:val="single"/>
        </w:rPr>
        <w:t xml:space="preserve">建筑、装修垃圾的收集、清运、处置，此范围内的建筑、装修垃圾处置产生的费用全部由中标人承担。负责处置建筑、装修垃圾的运输、处置以及安全、环保等全过程责任；建筑、装修垃圾处理率达到100%、资源化再利用率达到85%。</w:t>
      </w:r>
      <w:r>
        <w:rPr>
          <w:rFonts w:hint="eastAsia" w:ascii="宋体" w:hAnsi="宋体" w:eastAsia="宋体" w:cs="宋体"/>
          <w:b/>
          <w:bCs/>
          <w:i/>
          <w:iCs/>
          <w:color w:val="auto"/>
          <w:sz w:val="24"/>
          <w:szCs w:val="24"/>
          <w:highlight w:val="none"/>
          <w:u w:val="single"/>
        </w:rPr>
        <w:t xml:space="preserve">（提供承诺书原件上传，格式自拟）</w:t>
      </w:r>
      <w:r>
        <w:rPr>
          <w:rFonts w:hint="eastAsia" w:ascii="宋体" w:hAnsi="宋体" w:cs="宋体"/>
          <w:b/>
          <w:bCs/>
          <w:i/>
          <w:iCs/>
          <w:color w:val="auto"/>
          <w:sz w:val="24"/>
          <w:szCs w:val="24"/>
          <w:highlight w:val="none"/>
          <w:u w:val="single"/>
          <w:lang w:eastAsia="zh-CN"/>
        </w:rPr>
        <w:t xml:space="preserve">。</w:t>
      </w:r>
      <w:r/>
    </w:p>
    <w:p>
      <w:pPr>
        <w:pStyle w:val="772"/>
        <w:ind w:firstLine="480"/>
        <w:pageBreakBefore w:val="0"/>
        <w:spacing w:line="400" w:lineRule="exact"/>
        <w:widowControl w:val="off"/>
        <w:rPr>
          <w:color w:val="auto"/>
          <w:highlight w:val="none"/>
        </w:rPr>
      </w:pPr>
      <w:r>
        <w:rPr>
          <w:rFonts w:hint="eastAsia" w:ascii="宋体" w:hAnsi="宋体" w:eastAsia="宋体" w:cs="宋体"/>
          <w:b w:val="0"/>
          <w:bCs w:val="0"/>
          <w:i/>
          <w:color w:val="auto"/>
          <w:sz w:val="24"/>
          <w:szCs w:val="24"/>
          <w:highlight w:val="none"/>
          <w:u w:val="single"/>
        </w:rPr>
        <w:t xml:space="preserve">8</w:t>
      </w:r>
      <w:r>
        <w:rPr>
          <w:rFonts w:hint="eastAsia" w:ascii="宋体" w:hAnsi="宋体" w:eastAsia="宋体" w:cs="宋体"/>
          <w:b w:val="0"/>
          <w:bCs w:val="0"/>
          <w:i/>
          <w:color w:val="auto"/>
          <w:sz w:val="24"/>
          <w:szCs w:val="24"/>
          <w:highlight w:val="none"/>
          <w:u w:val="single"/>
          <w:lang w:val="en-US" w:eastAsia="zh-CN"/>
        </w:rPr>
        <w:t xml:space="preserve">、</w:t>
      </w:r>
      <w:r>
        <w:rPr>
          <w:rFonts w:hint="eastAsia" w:ascii="宋体" w:hAnsi="宋体" w:eastAsia="宋体" w:cs="宋体"/>
          <w:b w:val="0"/>
          <w:bCs w:val="0"/>
          <w:i/>
          <w:color w:val="auto"/>
          <w:sz w:val="24"/>
          <w:szCs w:val="24"/>
          <w:highlight w:val="none"/>
          <w:u w:val="single"/>
        </w:rPr>
        <w:t xml:space="preserve">投标人或其委托运输方必须满足扬州市交通警察支队关于建筑垃圾清运的规定</w:t>
      </w:r>
      <w:r>
        <w:rPr>
          <w:rFonts w:hint="eastAsia" w:ascii="宋体" w:hAnsi="宋体" w:eastAsia="宋体" w:cs="宋体"/>
          <w:i/>
          <w:color w:val="auto"/>
          <w:sz w:val="24"/>
          <w:szCs w:val="24"/>
          <w:highlight w:val="none"/>
          <w:u w:val="single"/>
        </w:rPr>
        <w:t xml:space="preserve">（提供承诺书原件上传，格式自拟）</w:t>
      </w:r>
      <w:r>
        <w:rPr>
          <w:rFonts w:hint="eastAsia" w:ascii="宋体" w:hAnsi="宋体" w:eastAsia="宋体" w:cs="宋体"/>
          <w:i/>
          <w:color w:val="auto"/>
          <w:sz w:val="24"/>
          <w:szCs w:val="24"/>
          <w:highlight w:val="none"/>
          <w:u w:val="single"/>
        </w:rPr>
        <w:t xml:space="preserve">。</w:t>
      </w:r>
      <w:r/>
    </w:p>
    <w:p>
      <w:pPr>
        <w:ind w:firstLine="420"/>
        <w:spacing w:line="360" w:lineRule="auto"/>
        <w:rPr>
          <w:rFonts w:ascii="黑体" w:hAnsi="黑体" w:cs="黑体"/>
          <w:color w:val="auto"/>
          <w:highlight w:val="none"/>
        </w:rPr>
      </w:pPr>
      <w:r>
        <w:rPr>
          <w:rFonts w:ascii="黑体" w:hAnsi="黑体" w:cs="黑体"/>
          <w:color w:val="auto"/>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70"/>
        <w:rPr>
          <w:rFonts w:ascii="黑体" w:hAnsi="黑体" w:cs="黑体"/>
          <w:color w:val="auto"/>
          <w:highlight w:val="none"/>
        </w:rPr>
      </w:pPr>
      <w:r>
        <w:rPr>
          <w:rFonts w:ascii="黑体" w:hAnsi="黑体" w:cs="黑体"/>
          <w:color w:val="auto"/>
          <w:highlight w:val="none"/>
        </w:rPr>
        <w:t xml:space="preserve"> </w:t>
      </w:r>
      <w:r/>
    </w:p>
    <w:p>
      <w:pPr>
        <w:rPr>
          <w:rFonts w:ascii="黑体" w:hAnsi="黑体" w:cs="黑体"/>
          <w:color w:val="auto"/>
          <w:highlight w:val="none"/>
        </w:rPr>
      </w:pPr>
      <w:r>
        <w:rPr>
          <w:rFonts w:ascii="黑体" w:hAnsi="黑体" w:cs="黑体"/>
          <w:color w:val="auto"/>
          <w:highlight w:val="none"/>
        </w:rPr>
        <w:br w:type="page" w:clear="all"/>
      </w:r>
      <w:r/>
    </w:p>
    <w:p>
      <w:pPr>
        <w:pStyle w:val="770"/>
        <w:rPr>
          <w:color w:val="auto"/>
          <w:highlight w:val="none"/>
        </w:rPr>
      </w:pPr>
      <w:r>
        <w:rPr>
          <w:rFonts w:ascii="黑体" w:hAnsi="黑体" w:cs="黑体"/>
          <w:color w:val="auto"/>
          <w:highlight w:val="none"/>
        </w:rPr>
        <w:t xml:space="preserve">第五章评标方法与评标标准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439"/>
        <w:spacing w:before="240" w:after="24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采用综合评分法的，评标结果按评审后得分由高到低顺序排列。得分相同的，按投标报价由低到高顺序排列。得分且投标报价相同的并列。</w:t>
      </w:r>
      <w:r/>
    </w:p>
    <w:tbl>
      <w:tblPr>
        <w:tblStyle w:val="801"/>
        <w:tblW w:w="80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8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9"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9" w:type="dxa"/>
            <w:textDirection w:val="lrTb"/>
            <w:noWrap w:val="false"/>
          </w:tcPr>
          <w:p>
            <w:pPr>
              <w:jc w:val="center"/>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满足招标文件全部实质性要求，且按照评审因素的量化指标评审得分最高的投标人为中标候选人。</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ind w:firstLine="441"/>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政府采购政策功能落实</w:t>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本项目专门面向中小企业：是</w:t>
      </w:r>
      <w:r/>
    </w:p>
    <w:tbl>
      <w:tblPr>
        <w:tblStyle w:val="801"/>
        <w:tblW w:w="80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70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是</w:t>
            </w:r>
            <w:r/>
          </w:p>
        </w:tc>
      </w:tr>
    </w:tbl>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1、小微型企业价格扣除</w:t>
      </w:r>
      <w:r/>
    </w:p>
    <w:p>
      <w:pPr>
        <w:ind w:firstLine="36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（1）本项目对小型和微型企业产品给予</w:t>
      </w:r>
      <w:r>
        <w:rPr>
          <w:rFonts w:hint="eastAsia" w:ascii="宋体" w:hAnsi="宋体" w:cs="宋体"/>
          <w:color w:val="auto"/>
          <w:sz w:val="24"/>
          <w:highlight w:val="none"/>
          <w:u w:val="single"/>
        </w:rPr>
        <w:t xml:space="preserve">/</w:t>
      </w:r>
      <w:r>
        <w:rPr>
          <w:rFonts w:ascii="宋体" w:hAnsi="宋体" w:cs="宋体"/>
          <w:color w:val="auto"/>
          <w:sz w:val="24"/>
          <w:highlight w:val="none"/>
        </w:rPr>
        <w:t xml:space="preserve">的扣除价格，用扣除后的价格参与评审。</w:t>
      </w:r>
      <w:r/>
    </w:p>
    <w:p>
      <w:pPr>
        <w:ind w:firstLine="36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（2）供应商需按照采购文件的要求提供相应的《中小企业声明函》。</w:t>
      </w:r>
      <w:r/>
    </w:p>
    <w:p>
      <w:pPr>
        <w:ind w:firstLine="36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（3）企业标准请参照《关于印发中小企业划型标准规定的通知》（工信部联企业[2011]300号）文件规定自行填写。</w:t>
      </w:r>
      <w:r/>
    </w:p>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2、残疾人福利单位价格扣除</w:t>
      </w:r>
      <w:r/>
    </w:p>
    <w:p>
      <w:pPr>
        <w:ind w:left="120" w:firstLine="36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（1）本项目对残疾人福利性单位视同小型、微型企业，给予</w:t>
      </w:r>
      <w:r>
        <w:rPr>
          <w:rFonts w:hint="eastAsia" w:ascii="宋体" w:hAnsi="宋体" w:cs="宋体"/>
          <w:color w:val="auto"/>
          <w:sz w:val="24"/>
          <w:highlight w:val="none"/>
          <w:u w:val="single"/>
        </w:rPr>
        <w:t xml:space="preserve">/</w:t>
      </w:r>
      <w:r>
        <w:rPr>
          <w:rFonts w:ascii="宋体" w:hAnsi="宋体" w:cs="宋体"/>
          <w:color w:val="auto"/>
          <w:sz w:val="24"/>
          <w:highlight w:val="none"/>
        </w:rPr>
        <w:t xml:space="preserve">的价格扣除，用扣除后的价格参与评审。</w:t>
      </w:r>
      <w:r/>
    </w:p>
    <w:p>
      <w:pPr>
        <w:ind w:left="120" w:firstLine="36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（2）残疾人福利单位需按照采购文件的要求提供《残疾人福利性单位声明函》。</w:t>
      </w:r>
      <w:r/>
    </w:p>
    <w:p>
      <w:pPr>
        <w:ind w:left="120" w:firstLine="36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（3）残疾人福利单位标准请参照《关于促进残疾人就业政府采购政策的通知》（财库〔2017〕141号）。</w:t>
      </w:r>
      <w:r/>
    </w:p>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3、监狱和戒毒企业价格扣除</w:t>
      </w:r>
      <w:r/>
    </w:p>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（1）本项目对监狱和戒毒企业（简称监狱企业）视同小型、微型企业，给予</w:t>
      </w:r>
      <w:r>
        <w:rPr>
          <w:rFonts w:hint="eastAsia" w:ascii="宋体" w:hAnsi="宋体" w:cs="宋体"/>
          <w:color w:val="auto"/>
          <w:sz w:val="24"/>
          <w:highlight w:val="none"/>
          <w:u w:val="single"/>
        </w:rPr>
        <w:t xml:space="preserve">/</w:t>
      </w:r>
      <w:r>
        <w:rPr>
          <w:rFonts w:ascii="宋体" w:hAnsi="宋体" w:cs="宋体"/>
          <w:color w:val="auto"/>
          <w:sz w:val="24"/>
          <w:highlight w:val="none"/>
        </w:rPr>
        <w:t xml:space="preserve">的价格扣除，用扣除后的价格参与评审。</w:t>
      </w:r>
      <w:r/>
    </w:p>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（3）监狱企业标准请参照《关于政府采购支持监狱企业发展有关问题的通知》（财库〔2014〕68号）。</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4、残疾人福利单位、监狱企业属于小型、微型企业的，不重复享受政策。</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highlight w:val="none"/>
          <w:u w:val="single"/>
        </w:rPr>
        <w:t xml:space="preserve">/</w:t>
      </w:r>
      <w:r>
        <w:rPr>
          <w:rFonts w:ascii="宋体" w:hAnsi="宋体" w:cs="宋体"/>
          <w:color w:val="auto"/>
          <w:sz w:val="24"/>
          <w:highlight w:val="none"/>
        </w:rPr>
        <w:t xml:space="preserve">的价格扣除，用扣除后的价格参与评审。</w:t>
      </w:r>
      <w:r/>
    </w:p>
    <w:p>
      <w:pPr>
        <w:ind w:firstLine="480"/>
        <w:spacing w:before="120" w:after="120"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6、联合体各方均为小型、微型企业（残疾人福利单位、监狱企业）的，联合体享受</w:t>
      </w:r>
      <w:r>
        <w:rPr>
          <w:rFonts w:hint="eastAsia" w:ascii="宋体" w:hAnsi="宋体" w:cs="宋体"/>
          <w:color w:val="auto"/>
          <w:sz w:val="24"/>
          <w:highlight w:val="none"/>
          <w:u w:val="single"/>
        </w:rPr>
        <w:t xml:space="preserve">/</w:t>
      </w:r>
      <w:r>
        <w:rPr>
          <w:rFonts w:ascii="宋体" w:hAnsi="宋体" w:cs="宋体"/>
          <w:color w:val="auto"/>
          <w:sz w:val="24"/>
          <w:highlight w:val="none"/>
        </w:rPr>
        <w:t xml:space="preserve">价格扣除，用扣除后的价格参与评审。</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7.采购本国产品的支持政策</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 供应商需按照招标文件的要求提供《关于符合本国产品标准的声明函》（以下简称《声明函》），如不提供将不享受本国产品价格评审优惠。</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评标方法与评标标准</w:t>
      </w:r>
      <w:r>
        <w:rPr>
          <w:rFonts w:ascii="宋体" w:hAnsi="宋体" w:cs="宋体"/>
          <w:color w:val="auto"/>
          <w:sz w:val="24"/>
          <w:highlight w:val="none"/>
        </w:rPr>
        <w:t xml:space="preserve"> </w:t>
      </w:r>
      <w:r/>
    </w:p>
    <w:tbl>
      <w:tblPr>
        <w:tblStyle w:val="780"/>
        <w:tblW w:w="48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7727"/>
      </w:tblGrid>
      <w:tr>
        <w:trPr>
          <w:jc w:val="center"/>
          <w:trHeight w:val="601"/>
        </w:trPr>
        <w:tc>
          <w:tcPr>
            <w:tcW w:w="695" w:type="pct"/>
            <w:vAlign w:val="center"/>
            <w:textDirection w:val="lrTb"/>
            <w:noWrap w:val="false"/>
          </w:tcPr>
          <w:p>
            <w:pPr>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项目</w:t>
            </w:r>
            <w:r/>
          </w:p>
        </w:tc>
        <w:tc>
          <w:tcPr>
            <w:tcW w:w="4304" w:type="pct"/>
            <w:vAlign w:val="center"/>
            <w:textDirection w:val="lrTb"/>
            <w:noWrap w:val="false"/>
          </w:tcPr>
          <w:p>
            <w:pPr>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评分标准</w:t>
            </w:r>
            <w:r/>
          </w:p>
        </w:tc>
      </w:tr>
      <w:tr>
        <w:trPr>
          <w:jc w:val="center"/>
        </w:trPr>
        <w:tc>
          <w:tcPr>
            <w:tcW w:w="695" w:type="pct"/>
            <w:vAlign w:val="center"/>
            <w:textDirection w:val="lrTb"/>
            <w:noWrap w:val="false"/>
          </w:tcPr>
          <w:p>
            <w:pPr>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价格</w:t>
            </w:r>
            <w:r/>
          </w:p>
          <w:p>
            <w:pPr>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0分)</w:t>
            </w:r>
            <w:r/>
          </w:p>
        </w:tc>
        <w:tc>
          <w:tcPr>
            <w:tcW w:w="4304" w:type="pct"/>
            <w:vAlign w:val="center"/>
            <w:textDirection w:val="lrTb"/>
            <w:noWrap w:val="false"/>
          </w:tcPr>
          <w:p>
            <w:pP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以满足招标文件要求的最低投标报价为评标基准价，得满分</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分，其他投标报价得分=（评标基准价/其他投标报价）×</w:t>
            </w: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×100%。</w:t>
            </w:r>
            <w:r/>
          </w:p>
        </w:tc>
      </w:tr>
      <w:tr>
        <w:trPr>
          <w:jc w:val="center"/>
          <w:trHeight w:val="173"/>
        </w:trPr>
        <w:tc>
          <w:tcPr>
            <w:tcW w:w="695" w:type="pct"/>
            <w:vAlign w:val="center"/>
            <w:vMerge w:val="restart"/>
            <w:textDirection w:val="lrTb"/>
            <w:noWrap w:val="false"/>
          </w:tcPr>
          <w:p>
            <w:pPr>
              <w:ind w:right="-25"/>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项目实施方案</w:t>
            </w:r>
            <w:r/>
          </w:p>
          <w:p>
            <w:pPr>
              <w:ind w:left="-113" w:right="-25"/>
              <w:jc w:val="center"/>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rPr>
              <w:t xml:space="preserve">分）</w:t>
            </w:r>
            <w:r/>
          </w:p>
        </w:tc>
        <w:tc>
          <w:tcPr>
            <w:tcW w:w="4304" w:type="pct"/>
            <w:vAlign w:val="center"/>
            <w:textDirection w:val="lrTb"/>
            <w:noWrap w:val="false"/>
          </w:tcPr>
          <w:p>
            <w:pPr>
              <w:spacing w:line="85" w:lineRule="atLeast"/>
              <w:rPr>
                <w:rFonts w:hint="default"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color w:val="auto"/>
                <w:sz w:val="24"/>
                <w:szCs w:val="24"/>
                <w:highlight w:val="none"/>
              </w:rPr>
              <w:t xml:space="preserve">收集、清运服务实施方案（10分）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1）收集垃圾的实施方案（5分）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内容阐述详细、有适用性、可操作性的得5分；内容阐述简单、需求贴合度一般、条理较清晰的得3分；内容阐述粗糙、需求贴合度低、条理差的得1分；未阐述或阐述不全的不得分。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2）清运垃圾的实施方案（5分）</w:t>
            </w:r>
            <w:r/>
          </w:p>
          <w:p>
            <w:pPr>
              <w:spacing w:line="85" w:lineRule="atLeast"/>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内容阐述详细、有适用性、可操作性的得5分；内容阐述简单、需求贴合度一般、条理较清晰的得3分；内容阐述粗糙、需求贴合度低、条理差的得1分；未阐述或阐述不全的不得分。</w:t>
            </w:r>
            <w:r/>
          </w:p>
        </w:tc>
      </w:tr>
      <w:tr>
        <w:trPr>
          <w:jc w:val="center"/>
          <w:trHeight w:val="169"/>
        </w:trPr>
        <w:tc>
          <w:tcPr>
            <w:tcW w:w="695" w:type="pct"/>
            <w:vAlign w:val="center"/>
            <w:vMerge w:val="continue"/>
            <w:textDirection w:val="lrTb"/>
            <w:noWrap w:val="false"/>
          </w:tcPr>
          <w:p>
            <w:pPr>
              <w:ind w:right="-25"/>
              <w:widowControl/>
              <w:rPr>
                <w:rFonts w:hint="default" w:ascii="宋体" w:hAnsi="宋体" w:cs="宋体"/>
                <w:bCs/>
                <w:color w:val="auto"/>
                <w:sz w:val="24"/>
                <w:szCs w:val="24"/>
                <w:highlight w:val="none"/>
              </w:rPr>
            </w:pPr>
            <w:r>
              <w:rPr>
                <w:rFonts w:hint="default" w:ascii="宋体" w:hAnsi="宋体" w:cs="宋体"/>
                <w:bCs/>
                <w:color w:val="auto"/>
                <w:sz w:val="24"/>
                <w:szCs w:val="24"/>
                <w:highlight w:val="none"/>
              </w:rPr>
            </w:r>
            <w:r/>
          </w:p>
        </w:tc>
        <w:tc>
          <w:tcPr>
            <w:tcW w:w="4304" w:type="pct"/>
            <w:vAlign w:val="center"/>
            <w:textDirection w:val="lrTb"/>
            <w:noWrap w:val="false"/>
          </w:tcPr>
          <w:p>
            <w:pPr>
              <w:spacing w:line="85" w:lineRule="atLeast"/>
              <w:rPr>
                <w:rFonts w:hint="default"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color w:val="auto"/>
                <w:sz w:val="24"/>
                <w:szCs w:val="24"/>
                <w:highlight w:val="none"/>
              </w:rPr>
              <w:t xml:space="preserve">装修垃圾处理方案（10分）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1）装修垃圾分拣工艺（5分）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p>
            <w:pPr>
              <w:spacing w:line="85" w:lineRule="atLeast"/>
              <w:rPr>
                <w:rFonts w:hint="default"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2）装修垃圾处理工艺（5分）</w:t>
            </w:r>
            <w:r/>
          </w:p>
          <w:p>
            <w:pPr>
              <w:spacing w:line="85" w:lineRule="atLeast"/>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color w:val="auto"/>
                <w:sz w:val="24"/>
                <w:szCs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tc>
      </w:tr>
      <w:tr>
        <w:trPr>
          <w:jc w:val="center"/>
          <w:trHeight w:val="169"/>
        </w:trPr>
        <w:tc>
          <w:tcPr>
            <w:tcW w:w="695" w:type="pct"/>
            <w:vAlign w:val="center"/>
            <w:vMerge w:val="continue"/>
            <w:textDirection w:val="lrTb"/>
            <w:noWrap w:val="false"/>
          </w:tcPr>
          <w:p>
            <w:pPr>
              <w:ind w:right="-25"/>
              <w:widowControl/>
              <w:rPr>
                <w:rFonts w:hint="default" w:ascii="宋体" w:hAnsi="宋体" w:cs="宋体"/>
                <w:bCs/>
                <w:color w:val="auto"/>
                <w:sz w:val="24"/>
                <w:szCs w:val="24"/>
                <w:highlight w:val="none"/>
              </w:rPr>
            </w:pPr>
            <w:r>
              <w:rPr>
                <w:rFonts w:hint="default" w:ascii="宋体" w:hAnsi="宋体" w:cs="宋体"/>
                <w:bCs/>
                <w:color w:val="auto"/>
                <w:sz w:val="24"/>
                <w:szCs w:val="24"/>
                <w:highlight w:val="none"/>
              </w:rPr>
            </w:r>
            <w:r/>
          </w:p>
        </w:tc>
        <w:tc>
          <w:tcPr>
            <w:tcW w:w="4304" w:type="pct"/>
            <w:vAlign w:val="center"/>
            <w:textDirection w:val="lrTb"/>
            <w:noWrap w:val="false"/>
          </w:tcPr>
          <w:p>
            <w:pPr>
              <w:rPr>
                <w:rFonts w:hint="default" w:ascii="宋体" w:hAnsi="宋体" w:cs="宋体"/>
                <w:b/>
                <w:color w:val="auto"/>
                <w:sz w:val="24"/>
                <w:szCs w:val="24"/>
                <w:highlight w:val="none"/>
              </w:rPr>
            </w:pPr>
            <w:r>
              <w:rPr>
                <w:rFonts w:hint="default" w:ascii="宋体" w:hAnsi="宋体" w:cs="宋体"/>
                <w:b/>
                <w:color w:val="auto"/>
                <w:sz w:val="24"/>
                <w:szCs w:val="24"/>
                <w:highlight w:val="none"/>
              </w:rPr>
              <w:t xml:space="preserve">装修垃圾资源化利用方案（10分）</w:t>
            </w:r>
            <w:r/>
          </w:p>
          <w:p>
            <w:pPr>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1）装修垃圾再生利用处理方案（5分）</w:t>
            </w:r>
            <w:r/>
          </w:p>
          <w:p>
            <w:pPr>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p>
            <w:pPr>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2）装修垃圾再生利用运营维护方案（5分）</w:t>
            </w:r>
            <w:r/>
          </w:p>
          <w:p>
            <w:pPr>
              <w:rPr>
                <w:rFonts w:hint="default" w:hAnsi="宋体" w:cs="宋体"/>
                <w:bCs/>
                <w:color w:val="auto"/>
                <w:sz w:val="24"/>
                <w:szCs w:val="24"/>
                <w:highlight w:val="none"/>
              </w:rPr>
            </w:pPr>
            <w:r>
              <w:rPr>
                <w:rFonts w:hint="default" w:ascii="宋体" w:hAnsi="宋体" w:cs="宋体"/>
                <w:b w:val="0"/>
                <w:bCs/>
                <w:color w:val="auto"/>
                <w:sz w:val="24"/>
                <w:szCs w:val="24"/>
                <w:highlight w:val="none"/>
              </w:rPr>
              <w:t xml:space="preserve">内容阐述详实、科学可行性强、条理清晰的得5分；内容阐述简单、科学可行性较强、条理较清晰的得3分；内容阐述粗糙、科学可行性一般、条理差的得1分；未阐述或阐述不全的不得分。</w:t>
            </w:r>
            <w:r/>
          </w:p>
        </w:tc>
      </w:tr>
      <w:tr>
        <w:trPr>
          <w:jc w:val="center"/>
          <w:trHeight w:val="169"/>
        </w:trPr>
        <w:tc>
          <w:tcPr>
            <w:tcW w:w="695" w:type="pct"/>
            <w:vAlign w:val="center"/>
            <w:vMerge w:val="continue"/>
            <w:textDirection w:val="lrTb"/>
            <w:noWrap w:val="false"/>
          </w:tcPr>
          <w:p>
            <w:pPr>
              <w:jc w:val="center"/>
              <w:widowControl/>
              <w:rPr>
                <w:rFonts w:hint="default" w:ascii="宋体" w:hAnsi="宋体" w:cs="宋体"/>
                <w:bCs/>
                <w:color w:val="auto"/>
                <w:sz w:val="24"/>
                <w:szCs w:val="24"/>
                <w:highlight w:val="none"/>
              </w:rPr>
            </w:pPr>
            <w:r>
              <w:rPr>
                <w:rFonts w:hint="default" w:ascii="宋体" w:hAnsi="宋体" w:cs="宋体"/>
                <w:bCs/>
                <w:color w:val="auto"/>
                <w:sz w:val="24"/>
                <w:szCs w:val="24"/>
                <w:highlight w:val="none"/>
              </w:rPr>
            </w:r>
            <w:r/>
          </w:p>
        </w:tc>
        <w:tc>
          <w:tcPr>
            <w:tcW w:w="4304" w:type="pct"/>
            <w:vAlign w:val="center"/>
            <w:textDirection w:val="lrTb"/>
            <w:noWrap w:val="false"/>
          </w:tcPr>
          <w:p>
            <w:pPr>
              <w:ind w:right="-25"/>
              <w:widowControl/>
              <w:rPr>
                <w:rFonts w:hint="default" w:ascii="宋体" w:hAnsi="宋体" w:cs="宋体"/>
                <w:b/>
                <w:color w:val="auto"/>
                <w:sz w:val="24"/>
                <w:szCs w:val="24"/>
                <w:highlight w:val="none"/>
              </w:rPr>
            </w:pPr>
            <w:r>
              <w:rPr>
                <w:rFonts w:hint="default" w:ascii="宋体" w:hAnsi="宋体" w:cs="宋体"/>
                <w:b/>
                <w:color w:val="auto"/>
                <w:sz w:val="24"/>
                <w:szCs w:val="24"/>
                <w:highlight w:val="none"/>
              </w:rPr>
              <w:t xml:space="preserve">收集、清运工作的安全保证措施（8分）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1）收集工作的具体安全保障措施（4分）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内容阐述详实、科学可行性强、条理清晰的得4分；内容阐述简单、科学可行性较强、条理较清晰的得2分；内容阐述粗糙、科学可行性一般、条理差的得1分；未阐述或阐述不全的不得分。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2）清运工作的具体安全保证措施（4分）</w:t>
            </w:r>
            <w:r/>
          </w:p>
          <w:p>
            <w:pPr>
              <w:ind w:right="-25"/>
              <w:widowControl/>
              <w:rPr>
                <w:rFonts w:hint="default"/>
                <w:color w:val="auto"/>
                <w:sz w:val="24"/>
                <w:szCs w:val="24"/>
                <w:highlight w:val="none"/>
              </w:rPr>
            </w:pPr>
            <w:r>
              <w:rPr>
                <w:rFonts w:hint="default" w:ascii="宋体" w:hAnsi="宋体" w:cs="宋体"/>
                <w:b w:val="0"/>
                <w:bCs/>
                <w:color w:val="auto"/>
                <w:sz w:val="24"/>
                <w:szCs w:val="24"/>
                <w:highlight w:val="none"/>
              </w:rPr>
              <w:t xml:space="preserve">内容阐述详实、科学可行性强、条理清晰的得4分；内容阐述简单、科学可行性较强、条理较清晰的得2分；内容阐述粗糙、科学可行性一般、条理差的得1分；未阐述或阐述不全的不得分。</w:t>
            </w:r>
            <w:r/>
          </w:p>
        </w:tc>
      </w:tr>
      <w:tr>
        <w:trPr>
          <w:jc w:val="center"/>
          <w:trHeight w:val="169"/>
        </w:trPr>
        <w:tc>
          <w:tcPr>
            <w:tcW w:w="695" w:type="pct"/>
            <w:vAlign w:val="center"/>
            <w:vMerge w:val="continue"/>
            <w:textDirection w:val="lrTb"/>
            <w:noWrap w:val="false"/>
          </w:tcPr>
          <w:p>
            <w:pPr>
              <w:jc w:val="center"/>
              <w:widowControl/>
              <w:rPr>
                <w:rFonts w:hint="default" w:ascii="宋体" w:hAnsi="宋体" w:cs="宋体"/>
                <w:bCs/>
                <w:color w:val="auto"/>
                <w:sz w:val="24"/>
                <w:szCs w:val="24"/>
                <w:highlight w:val="none"/>
              </w:rPr>
            </w:pPr>
            <w:r>
              <w:rPr>
                <w:rFonts w:hint="default" w:ascii="宋体" w:hAnsi="宋体" w:cs="宋体"/>
                <w:bCs/>
                <w:color w:val="auto"/>
                <w:sz w:val="24"/>
                <w:szCs w:val="24"/>
                <w:highlight w:val="none"/>
              </w:rPr>
            </w:r>
            <w:r/>
          </w:p>
        </w:tc>
        <w:tc>
          <w:tcPr>
            <w:tcW w:w="4304" w:type="pct"/>
            <w:vAlign w:val="center"/>
            <w:textDirection w:val="lrTb"/>
            <w:noWrap w:val="false"/>
          </w:tcPr>
          <w:p>
            <w:pPr>
              <w:ind w:right="-25"/>
              <w:widowControl/>
              <w:rPr>
                <w:rFonts w:hint="default" w:ascii="宋体" w:hAnsi="宋体" w:cs="宋体"/>
                <w:b/>
                <w:color w:val="auto"/>
                <w:sz w:val="24"/>
                <w:szCs w:val="24"/>
                <w:highlight w:val="none"/>
              </w:rPr>
            </w:pPr>
            <w:r>
              <w:rPr>
                <w:rFonts w:hint="default" w:ascii="宋体" w:hAnsi="宋体" w:cs="宋体"/>
                <w:b/>
                <w:color w:val="auto"/>
                <w:sz w:val="24"/>
                <w:szCs w:val="24"/>
                <w:highlight w:val="none"/>
              </w:rPr>
              <w:t xml:space="preserve">环境保护及突发应急方案（6分）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1）环境保护方案（3分）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方案完整、细致、合理，符合项目需求，操作性强得</w:t>
            </w:r>
            <w:r>
              <w:rPr>
                <w:rFonts w:hint="default" w:ascii="宋体" w:hAnsi="宋体" w:cs="宋体"/>
                <w:b w:val="0"/>
                <w:bCs/>
                <w:color w:val="auto"/>
                <w:sz w:val="24"/>
                <w:szCs w:val="24"/>
                <w:highlight w:val="none"/>
                <w:lang w:val="en-US" w:eastAsia="zh-CN"/>
              </w:rPr>
              <w:t xml:space="preserve">3</w:t>
            </w:r>
            <w:r>
              <w:rPr>
                <w:rFonts w:hint="default" w:ascii="宋体" w:hAnsi="宋体" w:cs="宋体"/>
                <w:b w:val="0"/>
                <w:bCs/>
                <w:color w:val="auto"/>
                <w:sz w:val="24"/>
                <w:szCs w:val="24"/>
                <w:highlight w:val="none"/>
              </w:rPr>
              <w:t xml:space="preserve">分；方案一般，可操作性一般得</w:t>
            </w:r>
            <w:r>
              <w:rPr>
                <w:rFonts w:hint="default" w:ascii="宋体" w:hAnsi="宋体" w:cs="宋体"/>
                <w:b w:val="0"/>
                <w:bCs/>
                <w:color w:val="auto"/>
                <w:sz w:val="24"/>
                <w:szCs w:val="24"/>
                <w:highlight w:val="none"/>
                <w:lang w:val="en-US" w:eastAsia="zh-CN"/>
              </w:rPr>
              <w:t xml:space="preserve">2</w:t>
            </w:r>
            <w:r>
              <w:rPr>
                <w:rFonts w:hint="default" w:ascii="宋体" w:hAnsi="宋体" w:cs="宋体"/>
                <w:b w:val="0"/>
                <w:bCs/>
                <w:color w:val="auto"/>
                <w:sz w:val="24"/>
                <w:szCs w:val="24"/>
                <w:highlight w:val="none"/>
              </w:rPr>
              <w:t xml:space="preserve">分；方案不完整、不细致，与项目需求响应度低，操作性差得1分；不提供的不得分。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2）突发应急工作的具体方案措施及实施（3分）</w:t>
            </w:r>
            <w:r/>
          </w:p>
          <w:p>
            <w:pPr>
              <w:ind w:right="-25"/>
              <w:widowControl/>
              <w:rPr>
                <w:rFonts w:hint="default"/>
                <w:color w:val="auto"/>
                <w:sz w:val="24"/>
                <w:szCs w:val="24"/>
                <w:highlight w:val="none"/>
              </w:rPr>
            </w:pPr>
            <w:r>
              <w:rPr>
                <w:rFonts w:hint="default" w:ascii="宋体" w:hAnsi="宋体" w:cs="宋体"/>
                <w:b w:val="0"/>
                <w:bCs/>
                <w:color w:val="auto"/>
                <w:sz w:val="24"/>
                <w:szCs w:val="24"/>
                <w:highlight w:val="none"/>
              </w:rPr>
              <w:t xml:space="preserve">方案完整、细致、合理，符合项目需求，操作性强得</w:t>
            </w:r>
            <w:r>
              <w:rPr>
                <w:rFonts w:hint="default" w:ascii="宋体" w:hAnsi="宋体" w:cs="宋体"/>
                <w:b w:val="0"/>
                <w:bCs/>
                <w:color w:val="auto"/>
                <w:sz w:val="24"/>
                <w:szCs w:val="24"/>
                <w:highlight w:val="none"/>
                <w:lang w:val="en-US" w:eastAsia="zh-CN"/>
              </w:rPr>
              <w:t xml:space="preserve">3</w:t>
            </w:r>
            <w:r>
              <w:rPr>
                <w:rFonts w:hint="default" w:ascii="宋体" w:hAnsi="宋体" w:cs="宋体"/>
                <w:b w:val="0"/>
                <w:bCs/>
                <w:color w:val="auto"/>
                <w:sz w:val="24"/>
                <w:szCs w:val="24"/>
                <w:highlight w:val="none"/>
              </w:rPr>
              <w:t xml:space="preserve">分；方案一般，可操作性一般得</w:t>
            </w:r>
            <w:r>
              <w:rPr>
                <w:rFonts w:hint="default" w:ascii="宋体" w:hAnsi="宋体" w:cs="宋体"/>
                <w:b w:val="0"/>
                <w:bCs/>
                <w:color w:val="auto"/>
                <w:sz w:val="24"/>
                <w:szCs w:val="24"/>
                <w:highlight w:val="none"/>
                <w:lang w:val="en-US" w:eastAsia="zh-CN"/>
              </w:rPr>
              <w:t xml:space="preserve">2</w:t>
            </w:r>
            <w:r>
              <w:rPr>
                <w:rFonts w:hint="default" w:ascii="宋体" w:hAnsi="宋体" w:cs="宋体"/>
                <w:b w:val="0"/>
                <w:bCs/>
                <w:color w:val="auto"/>
                <w:sz w:val="24"/>
                <w:szCs w:val="24"/>
                <w:highlight w:val="none"/>
              </w:rPr>
              <w:t xml:space="preserve">分；方案不完整、不细致，与项目需求响应度低，操作性差得1分；不提供的不得分。</w:t>
            </w:r>
            <w:r/>
          </w:p>
        </w:tc>
      </w:tr>
      <w:tr>
        <w:trPr>
          <w:jc w:val="center"/>
          <w:trHeight w:val="169"/>
        </w:trPr>
        <w:tc>
          <w:tcPr>
            <w:tcW w:w="695" w:type="pct"/>
            <w:vAlign w:val="center"/>
            <w:vMerge w:val="continue"/>
            <w:textDirection w:val="lrTb"/>
            <w:noWrap w:val="false"/>
          </w:tcPr>
          <w:p>
            <w:pPr>
              <w:jc w:val="center"/>
              <w:widowControl/>
              <w:rPr>
                <w:rFonts w:hint="default" w:ascii="宋体" w:hAnsi="宋体" w:cs="宋体"/>
                <w:bCs/>
                <w:color w:val="auto"/>
                <w:sz w:val="24"/>
                <w:szCs w:val="24"/>
                <w:highlight w:val="none"/>
              </w:rPr>
            </w:pPr>
            <w:r>
              <w:rPr>
                <w:rFonts w:hint="default" w:ascii="宋体" w:hAnsi="宋体" w:cs="宋体"/>
                <w:bCs/>
                <w:color w:val="auto"/>
                <w:sz w:val="24"/>
                <w:szCs w:val="24"/>
                <w:highlight w:val="none"/>
              </w:rPr>
            </w:r>
            <w:r/>
          </w:p>
        </w:tc>
        <w:tc>
          <w:tcPr>
            <w:tcW w:w="4304" w:type="pct"/>
            <w:vAlign w:val="center"/>
            <w:textDirection w:val="lrTb"/>
            <w:noWrap w:val="false"/>
          </w:tcPr>
          <w:p>
            <w:pPr>
              <w:ind w:right="-25"/>
              <w:widowControl/>
              <w:rPr>
                <w:rFonts w:hint="default" w:ascii="宋体" w:hAnsi="宋体" w:cs="宋体"/>
                <w:b/>
                <w:color w:val="auto"/>
                <w:sz w:val="24"/>
                <w:szCs w:val="24"/>
                <w:highlight w:val="none"/>
              </w:rPr>
            </w:pPr>
            <w:r>
              <w:rPr>
                <w:rFonts w:hint="default" w:ascii="宋体" w:hAnsi="宋体" w:cs="宋体"/>
                <w:b/>
                <w:color w:val="auto"/>
                <w:sz w:val="24"/>
                <w:szCs w:val="24"/>
                <w:highlight w:val="none"/>
              </w:rPr>
              <w:t xml:space="preserve">服务响应措施及服务质量保证措施（6分）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1）服务响应时间及响应具体措施（3分）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措施科学、严密、合理，描述详细且具有针对性的得</w:t>
            </w:r>
            <w:r>
              <w:rPr>
                <w:rFonts w:hint="default" w:ascii="宋体" w:hAnsi="宋体" w:cs="宋体"/>
                <w:b w:val="0"/>
                <w:bCs/>
                <w:color w:val="auto"/>
                <w:sz w:val="24"/>
                <w:szCs w:val="24"/>
                <w:highlight w:val="none"/>
                <w:lang w:val="en-US" w:eastAsia="zh-CN"/>
              </w:rPr>
              <w:t xml:space="preserve">3</w:t>
            </w:r>
            <w:r>
              <w:rPr>
                <w:rFonts w:hint="default" w:ascii="宋体" w:hAnsi="宋体" w:cs="宋体"/>
                <w:b w:val="0"/>
                <w:bCs/>
                <w:color w:val="auto"/>
                <w:sz w:val="24"/>
                <w:szCs w:val="24"/>
                <w:highlight w:val="none"/>
              </w:rPr>
              <w:t xml:space="preserve">分；措施基本合理、描述一般、存在可操作性得2分；措施具有明显不合理项、描述略欠缺、存在一定的实施难度得1分；其他不得分。</w:t>
            </w:r>
            <w:r/>
          </w:p>
          <w:p>
            <w:pPr>
              <w:ind w:right="-25"/>
              <w:widowControl/>
              <w:rPr>
                <w:rFonts w:hint="default" w:ascii="宋体" w:hAnsi="宋体" w:cs="宋体"/>
                <w:b w:val="0"/>
                <w:bCs/>
                <w:color w:val="auto"/>
                <w:sz w:val="24"/>
                <w:szCs w:val="24"/>
                <w:highlight w:val="none"/>
              </w:rPr>
            </w:pPr>
            <w:r>
              <w:rPr>
                <w:rFonts w:hint="default" w:ascii="宋体" w:hAnsi="宋体" w:cs="宋体"/>
                <w:b w:val="0"/>
                <w:bCs/>
                <w:color w:val="auto"/>
                <w:sz w:val="24"/>
                <w:szCs w:val="24"/>
                <w:highlight w:val="none"/>
              </w:rPr>
              <w:t xml:space="preserve">2）服务质量的具体保证措施（3分）</w:t>
            </w:r>
            <w:r/>
          </w:p>
          <w:p>
            <w:pPr>
              <w:ind w:right="-25"/>
              <w:widowControl/>
              <w:rPr>
                <w:rFonts w:hint="default" w:ascii="等线" w:hAnsi="等线" w:eastAsia="等线" w:cs="等线"/>
                <w:bCs/>
                <w:color w:val="auto"/>
                <w:sz w:val="24"/>
                <w:szCs w:val="24"/>
                <w:highlight w:val="none"/>
              </w:rPr>
            </w:pPr>
            <w:r>
              <w:rPr>
                <w:rFonts w:hint="default" w:ascii="宋体" w:hAnsi="宋体" w:cs="宋体"/>
                <w:b w:val="0"/>
                <w:bCs/>
                <w:color w:val="auto"/>
                <w:sz w:val="24"/>
                <w:szCs w:val="24"/>
                <w:highlight w:val="none"/>
              </w:rPr>
              <w:t xml:space="preserve">措施科学、严密、合理，描述详细且具有针对性的得</w:t>
            </w:r>
            <w:r>
              <w:rPr>
                <w:rFonts w:hint="default" w:ascii="宋体" w:hAnsi="宋体" w:cs="宋体"/>
                <w:b w:val="0"/>
                <w:bCs/>
                <w:color w:val="auto"/>
                <w:sz w:val="24"/>
                <w:szCs w:val="24"/>
                <w:highlight w:val="none"/>
                <w:lang w:val="en-US" w:eastAsia="zh-CN"/>
              </w:rPr>
              <w:t xml:space="preserve">3</w:t>
            </w:r>
            <w:r>
              <w:rPr>
                <w:rFonts w:hint="default" w:ascii="宋体" w:hAnsi="宋体" w:cs="宋体"/>
                <w:b w:val="0"/>
                <w:bCs/>
                <w:color w:val="auto"/>
                <w:sz w:val="24"/>
                <w:szCs w:val="24"/>
                <w:highlight w:val="none"/>
              </w:rPr>
              <w:t xml:space="preserve">分；措施基本合理、描述一般、存在可操作性得2分；措施具有明显不合理项、描述略欠缺、存在一定的实施难度得1分；其他不得分。</w:t>
            </w:r>
            <w:r/>
          </w:p>
        </w:tc>
      </w:tr>
      <w:tr>
        <w:trPr>
          <w:jc w:val="center"/>
          <w:trHeight w:val="735"/>
        </w:trPr>
        <w:tc>
          <w:tcPr>
            <w:tcW w:w="695" w:type="pct"/>
            <w:vAlign w:val="center"/>
            <w:textDirection w:val="lrTb"/>
            <w:noWrap w:val="false"/>
          </w:tcPr>
          <w:p>
            <w:pPr>
              <w:jc w:val="center"/>
              <w:spacing w:line="85" w:lineRule="atLeast"/>
              <w:rPr>
                <w:rFonts w:hint="default"/>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Cs/>
                <w:color w:val="auto"/>
                <w:sz w:val="24"/>
                <w:szCs w:val="24"/>
                <w:highlight w:val="none"/>
              </w:rPr>
              <w:t xml:space="preserve">履约能力</w:t>
            </w:r>
            <w:r/>
          </w:p>
          <w:p>
            <w:pPr>
              <w:ind w:left="-113"/>
              <w:jc w:val="center"/>
              <w:rPr>
                <w:rFonts w:hint="eastAsia"/>
                <w:bCs/>
                <w:color w:val="auto"/>
                <w:sz w:val="24"/>
                <w:szCs w:val="24"/>
                <w:highlight w:val="none"/>
              </w:rPr>
            </w:pPr>
            <w:r>
              <w:rPr>
                <w:rFonts w:hint="default"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12</w:t>
            </w:r>
            <w:r>
              <w:rPr>
                <w:rFonts w:hint="default" w:ascii="宋体" w:hAnsi="宋体" w:cs="宋体"/>
                <w:bCs/>
                <w:color w:val="auto"/>
                <w:sz w:val="24"/>
                <w:szCs w:val="24"/>
                <w:highlight w:val="none"/>
              </w:rPr>
              <w:t xml:space="preserve">分）</w:t>
            </w:r>
            <w:r/>
          </w:p>
        </w:tc>
        <w:tc>
          <w:tcPr>
            <w:tcW w:w="4304" w:type="pct"/>
            <w:vAlign w:val="center"/>
            <w:textDirection w:val="lrTb"/>
            <w:noWrap w:val="false"/>
          </w:tcPr>
          <w:p>
            <w:pPr>
              <w:pStyle w:val="968"/>
              <w:ind w:firstLine="0"/>
              <w:spacing w:line="24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投标人具有已建成并投入使用资源化处置及综合利用厂房的得4分，不能提供相关凭证不得分。</w:t>
            </w:r>
            <w:r/>
          </w:p>
          <w:p>
            <w:pPr>
              <w:pStyle w:val="968"/>
              <w:ind w:firstLine="0"/>
              <w:spacing w:line="240" w:lineRule="auto"/>
              <w:rPr>
                <w:rFonts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bidi="ar-SA"/>
              </w:rPr>
              <w:t xml:space="preserve">（提供相关房产证或租赁协议原件扫描件上传）</w:t>
            </w:r>
            <w:r/>
          </w:p>
          <w:p>
            <w:pPr>
              <w:pStyle w:val="968"/>
              <w:ind w:firstLine="0"/>
              <w:spacing w:line="24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投标人已具有完整的装潢垃圾分拣、处理、资源化利用生产线的得4分，不能提供相关凭证不得分。</w:t>
            </w:r>
            <w:r/>
          </w:p>
          <w:p>
            <w:pPr>
              <w:pStyle w:val="968"/>
              <w:ind w:firstLine="0"/>
              <w:spacing w:line="240" w:lineRule="auto"/>
              <w:rPr>
                <w:rFonts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bidi="ar-SA"/>
              </w:rPr>
              <w:t xml:space="preserve">（相关凭证原件扫描上传）</w:t>
            </w:r>
            <w:r/>
          </w:p>
          <w:p>
            <w:pPr>
              <w:pStyle w:val="968"/>
              <w:ind w:firstLine="0"/>
              <w:spacing w:line="240" w:lineRule="auto"/>
              <w:rPr>
                <w:rFonts w:hint="eastAsia"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投标人消纳处置场所具有环境主管部门出具的相应环境影响报告的批复意见并完成环保验收的得4分。</w:t>
            </w:r>
            <w:r/>
          </w:p>
          <w:p>
            <w:pPr>
              <w:pStyle w:val="968"/>
              <w:ind w:firstLine="0"/>
              <w:spacing w:line="240" w:lineRule="auto"/>
              <w:rPr>
                <w:rFonts w:ascii="等线" w:hAnsi="等线" w:eastAsia="等线" w:cs="等线"/>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（相关批复文件原件扫描上传）</w:t>
            </w:r>
            <w:r/>
          </w:p>
        </w:tc>
      </w:tr>
      <w:tr>
        <w:trPr>
          <w:jc w:val="center"/>
          <w:trHeight w:val="735"/>
        </w:trPr>
        <w:tc>
          <w:tcPr>
            <w:tcW w:w="695" w:type="pct"/>
            <w:vAlign w:val="center"/>
            <w:textDirection w:val="lrTb"/>
            <w:noWrap w:val="false"/>
          </w:tcPr>
          <w:p>
            <w:pPr>
              <w:ind w:left="-2"/>
              <w:jc w:val="center"/>
              <w:rPr>
                <w:rFonts w:hint="eastAsia"/>
                <w:bCs/>
                <w:color w:val="auto"/>
                <w:sz w:val="24"/>
                <w:szCs w:val="24"/>
                <w:highlight w:val="none"/>
              </w:rPr>
            </w:pPr>
            <w:r>
              <w:rPr>
                <w:rFonts w:hint="eastAsia"/>
                <w:bCs/>
                <w:color w:val="auto"/>
                <w:sz w:val="24"/>
                <w:szCs w:val="24"/>
                <w:highlight w:val="none"/>
              </w:rPr>
              <w:t xml:space="preserve">防尘、降尘设备</w:t>
            </w:r>
            <w:r/>
          </w:p>
          <w:p>
            <w:pPr>
              <w:ind w:left="-2"/>
              <w:jc w:val="center"/>
              <w:rPr>
                <w:rFonts w:hint="eastAsia"/>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4304" w:type="pct"/>
            <w:vAlign w:val="center"/>
            <w:textDirection w:val="lrTb"/>
            <w:noWrap w:val="false"/>
          </w:tcPr>
          <w:p>
            <w:pPr>
              <w:pStyle w:val="968"/>
              <w:ind w:firstLine="0"/>
              <w:spacing w:line="240" w:lineRule="auto"/>
              <w:rPr>
                <w:rFonts w:hint="eastAsia" w:ascii="宋体" w:hAnsi="宋体" w:eastAsia="宋体" w:cs="宋体"/>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zh-CN" w:bidi="ar-SA"/>
              </w:rPr>
              <w:t xml:space="preserve">投标人自有或租赁抑尘雾炮车的（或承诺中标后签订合同之前提供，格式自拟），每有1辆得1分，满分5分。</w:t>
            </w:r>
            <w:r/>
          </w:p>
          <w:p>
            <w:pPr>
              <w:pStyle w:val="968"/>
              <w:ind w:firstLine="0"/>
              <w:spacing w:line="240" w:lineRule="auto"/>
              <w:rPr>
                <w:rFonts w:ascii="等线" w:hAnsi="等线" w:eastAsia="等线" w:cs="等线"/>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bidi="ar-SA"/>
              </w:rPr>
              <w:t xml:space="preserve">（须提供购置发票原件或租赁协议原件，同时提供车辆行驶证及车辆照片（车辆照片需能清晰体现车辆牌照），原件扫描件上传，提供承诺书的仅需提供承诺书）</w:t>
            </w:r>
            <w:r/>
          </w:p>
        </w:tc>
      </w:tr>
      <w:tr>
        <w:trPr>
          <w:jc w:val="center"/>
          <w:trHeight w:val="735"/>
        </w:trPr>
        <w:tc>
          <w:tcPr>
            <w:tcW w:w="695" w:type="pct"/>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企业实力</w:t>
            </w:r>
            <w:r/>
          </w:p>
          <w:p>
            <w:pPr>
              <w:ind w:left="-2"/>
              <w:jc w:val="center"/>
              <w:rPr>
                <w:rFonts w:hint="default"/>
                <w:color w:val="auto"/>
                <w:sz w:val="24"/>
                <w:szCs w:val="24"/>
                <w:highlight w:val="none"/>
              </w:rPr>
            </w:pPr>
            <w:r>
              <w:rPr>
                <w:rFonts w:hint="eastAsia" w:ascii="宋体" w:hAnsi="宋体" w:cs="宋体"/>
                <w:color w:val="auto"/>
                <w:sz w:val="24"/>
                <w:szCs w:val="24"/>
                <w:highlight w:val="none"/>
              </w:rPr>
              <w:t xml:space="preserve">（3分）</w:t>
            </w:r>
            <w:r/>
          </w:p>
        </w:tc>
        <w:tc>
          <w:tcPr>
            <w:tcW w:w="4304" w:type="pct"/>
            <w:vAlign w:val="center"/>
            <w:textDirection w:val="lrTb"/>
            <w:noWrap w:val="false"/>
          </w:tcPr>
          <w:p>
            <w:pPr>
              <w:pStyle w:val="968"/>
              <w:ind w:firstLine="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投标人具有有效期内的环境管理体系认证、质量管理体系认证、职业健康安全管理体系认证的，每提供1个得1分,满分3分。</w:t>
            </w:r>
            <w:r/>
          </w:p>
          <w:p>
            <w:pPr>
              <w:pStyle w:val="968"/>
              <w:ind w:firstLine="0"/>
              <w:spacing w:line="240" w:lineRule="auto"/>
              <w:rPr>
                <w:rFonts w:ascii="等线" w:hAnsi="等线" w:eastAsia="等线" w:cs="等线"/>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（证书须为投标人所有且在有效期内，提供证书原件扫描件上传）</w:t>
            </w:r>
            <w:r/>
          </w:p>
        </w:tc>
      </w:tr>
      <w:tr>
        <w:trPr>
          <w:jc w:val="center"/>
          <w:trHeight w:val="735"/>
        </w:trPr>
        <w:tc>
          <w:tcPr>
            <w:tcW w:w="695" w:type="pct"/>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类似业绩</w:t>
            </w:r>
            <w:r/>
          </w:p>
          <w:p>
            <w:pPr>
              <w:ind w:left="-113"/>
              <w:jc w:val="center"/>
              <w:rPr>
                <w:rFonts w:hint="default"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tc>
        <w:tc>
          <w:tcPr>
            <w:tcW w:w="4304" w:type="pct"/>
            <w:vAlign w:val="center"/>
            <w:textDirection w:val="lrTb"/>
            <w:noWrap w:val="false"/>
          </w:tcPr>
          <w:p>
            <w:pPr>
              <w:pStyle w:val="968"/>
              <w:ind w:firstLine="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供应商提供自2023年1月1日以来承担过类似项目业绩的，有一项得2分，满分10分。</w:t>
            </w:r>
            <w:r/>
          </w:p>
          <w:p>
            <w:pPr>
              <w:pStyle w:val="968"/>
              <w:ind w:firstLine="0"/>
              <w:spacing w:line="240" w:lineRule="auto"/>
              <w:rPr>
                <w:rFonts w:ascii="等线" w:hAnsi="等线" w:eastAsia="等线" w:cs="等线"/>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（提供合同原件扫描件上传，时间以合同签订时间为准。）</w:t>
            </w:r>
            <w:r/>
          </w:p>
        </w:tc>
      </w:tr>
    </w:tbl>
    <w:p>
      <w:pPr>
        <w:ind w:firstLine="482"/>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spacing w:before="240" w:after="240"/>
        <w:rPr>
          <w:rFonts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szCs w:val="44"/>
          <w:highlight w:val="none"/>
        </w:rPr>
      </w:r>
      <w:r/>
    </w:p>
    <w:p>
      <w:pPr>
        <w:jc w:val="left"/>
        <w:spacing w:before="240" w:after="240"/>
        <w:rPr>
          <w:rFonts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szCs w:val="44"/>
          <w:highlight w:val="none"/>
        </w:rPr>
      </w:r>
      <w:r/>
    </w:p>
    <w:p>
      <w:pPr>
        <w:rPr>
          <w:rStyle w:val="976"/>
          <w:rFonts w:ascii="黑体" w:hAnsi="黑体" w:cs="黑体"/>
          <w:color w:val="auto"/>
          <w:highlight w:val="none"/>
        </w:rPr>
      </w:pPr>
      <w:r>
        <w:rPr>
          <w:rStyle w:val="976"/>
          <w:rFonts w:ascii="黑体" w:hAnsi="黑体" w:cs="黑体"/>
          <w:color w:val="auto"/>
          <w:highlight w:val="none"/>
        </w:rPr>
        <w:br w:type="page" w:clear="all"/>
      </w:r>
      <w:r/>
    </w:p>
    <w:p>
      <w:pPr>
        <w:pStyle w:val="770"/>
        <w:rPr>
          <w:rFonts w:ascii="黑体" w:hAnsi="黑体" w:cs="黑体"/>
          <w:color w:val="auto"/>
          <w:szCs w:val="44"/>
          <w:highlight w:val="none"/>
        </w:rPr>
      </w:pPr>
      <w:r>
        <w:rPr>
          <w:rStyle w:val="976"/>
          <w:rFonts w:ascii="黑体" w:hAnsi="黑体" w:cs="黑体"/>
          <w:color w:val="auto"/>
          <w:highlight w:val="none"/>
        </w:rPr>
        <w:t xml:space="preserve">第六章投标文件格式</w:t>
      </w:r>
      <w:r>
        <w:rPr>
          <w:rFonts w:ascii="黑体" w:hAnsi="黑体" w:cs="黑体"/>
          <w:color w:val="auto"/>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投标文件</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ind w:firstLine="1084"/>
        <w:jc w:val="lef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项 目 名 称：</w:t>
      </w:r>
      <w:r>
        <w:rPr>
          <w:rFonts w:ascii="宋体" w:hAnsi="宋体" w:cs="宋体"/>
          <w:b/>
          <w:color w:val="auto"/>
          <w:sz w:val="36"/>
          <w:highlight w:val="none"/>
          <w:u w:val="single"/>
        </w:rPr>
        <w:t xml:space="preserve">               </w:t>
      </w:r>
      <w:r/>
    </w:p>
    <w:p>
      <w:pPr>
        <w:ind w:firstLine="1084"/>
        <w:jc w:val="left"/>
        <w:rPr>
          <w:rFonts w:ascii="宋体" w:hAnsi="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项 目 编 号：</w:t>
      </w:r>
      <w:r>
        <w:rPr>
          <w:rFonts w:ascii="宋体" w:hAnsi="宋体" w:cs="宋体"/>
          <w:b/>
          <w:color w:val="auto"/>
          <w:sz w:val="36"/>
          <w:highlight w:val="none"/>
          <w:u w:val="single"/>
        </w:rPr>
        <w:t xml:space="preserve">              </w:t>
      </w:r>
      <w:r/>
    </w:p>
    <w:p>
      <w:pPr>
        <w:ind w:firstLine="1084"/>
        <w:jc w:val="left"/>
        <w:rPr>
          <w:rFonts w:ascii="宋体" w:hAnsi="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投标人名称 ：</w:t>
      </w:r>
      <w:r>
        <w:rPr>
          <w:rFonts w:ascii="宋体" w:hAnsi="宋体" w:cs="宋体"/>
          <w:b/>
          <w:color w:val="auto"/>
          <w:sz w:val="36"/>
          <w:highlight w:val="none"/>
          <w:u w:val="single"/>
        </w:rPr>
        <w:t xml:space="preserve">（加盖CA电子公章）</w:t>
      </w:r>
      <w:r/>
    </w:p>
    <w:p>
      <w:pPr>
        <w:ind w:firstLine="1084"/>
        <w:jc w:val="lef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日期 ：</w:t>
      </w:r>
      <w:r>
        <w:rPr>
          <w:rFonts w:ascii="宋体" w:hAnsi="宋体" w:cs="宋体"/>
          <w:b/>
          <w:color w:val="auto"/>
          <w:sz w:val="36"/>
          <w:highlight w:val="none"/>
          <w:u w:val="single"/>
        </w:rPr>
        <w:t xml:space="preserve">               </w:t>
      </w:r>
      <w:r/>
    </w:p>
    <w:p>
      <w:pPr>
        <w:jc w:val="center"/>
        <w:spacing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spacing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1084"/>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投标文件的组成</w:t>
      </w:r>
      <w:r/>
    </w:p>
    <w:p>
      <w:pPr>
        <w:jc w:val="center"/>
        <w:spacing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一、基本目录</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1.开标一览表（格式见附件1）</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2.投标分项报价表（格式见附件2）</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3.技术要求响应及偏离表（格式见附件3）</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4.商务要求响应及偏离表（格式见附件4）</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5.法人授权书（格式见附件5）</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6.投标函（格式见附件6）</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7.主要标的信息（格式见附件7）</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****（格式见附件**）</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二、资格审查内容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1.法人或者其他组织的营业执照等证明文件，自然人的身份证明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2.上一年度的财务状况报告（成立不满一年无需提供）</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4.具备履行合同所必需的设备和专业技术能力的书面声明（格式见附件8）</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5.参加政府采购活动前 3 年内在经营活动中没有重大违法记录的书面声明（格式见附件9）</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6.供应商信用承诺函（格式见附件10）</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7.企业报价折扣证明文件：</w:t>
      </w:r>
      <w:r/>
    </w:p>
    <w:p>
      <w:pPr>
        <w:ind w:firstLine="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中小企业声明函（格式见附件11）。如果本项目专门面向中小企业采购，则必须提供。</w:t>
      </w:r>
      <w:r/>
    </w:p>
    <w:p>
      <w:pPr>
        <w:ind w:firstLine="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监狱企业的证明文件。</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.特定资格要求的证明文件。如果本项目对投标人做出特定资格要求的，则必须提供。</w:t>
      </w:r>
      <w:r/>
    </w:p>
    <w:p>
      <w:pPr>
        <w:ind w:left="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三、符合性审查内容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投标人必须对技术要求和商务要求中加斜体下划线的实质性要求逐条做出响应，并按照招标文件要求提供证明材料，否则做无效投标处理。（格式见附件15）</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四、价格扣除证明文件</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1.中小企业声明函（格式见附件11）</w:t>
      </w:r>
      <w:r/>
    </w:p>
    <w:p>
      <w:pPr>
        <w:ind w:firstLine="48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2.残疾人福利性单位声明函（格式见附件12）</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3.关于符合本国产品标准的声明函（格式见附件13）</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 开标一览表</w:t>
      </w:r>
      <w:r/>
    </w:p>
    <w:p>
      <w:pPr>
        <w:ind w:firstLine="482"/>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投标人全称（加盖CA电子签章）：</w:t>
      </w:r>
      <w:r/>
    </w:p>
    <w:p>
      <w:pPr>
        <w:ind w:firstLine="482"/>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项目编号：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采购包号：</w:t>
      </w:r>
      <w:r/>
    </w:p>
    <w:tbl>
      <w:tblPr>
        <w:tblStyle w:val="801"/>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大写：                   （人民币：元</w:t>
            </w:r>
            <w:r>
              <w:rPr>
                <w:rFonts w:hint="eastAsia" w:ascii="宋体" w:hAnsi="宋体" w:cs="宋体"/>
                <w:color w:val="auto"/>
                <w:sz w:val="24"/>
                <w:highlight w:val="none"/>
                <w:lang w:val="en-US" w:eastAsia="zh-CN"/>
              </w:rPr>
              <w:t xml:space="preserve">/吨</w:t>
            </w:r>
            <w:r>
              <w:rPr>
                <w:rFonts w:ascii="宋体" w:hAnsi="宋体" w:cs="宋体"/>
                <w:color w:val="auto"/>
                <w:sz w:val="24"/>
                <w:highlight w:val="none"/>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小写：                   （人民币：元</w:t>
            </w:r>
            <w:r>
              <w:rPr>
                <w:rFonts w:hint="eastAsia" w:ascii="宋体" w:hAnsi="宋体" w:cs="宋体"/>
                <w:color w:val="auto"/>
                <w:sz w:val="24"/>
                <w:highlight w:val="none"/>
                <w:lang w:val="en-US" w:eastAsia="zh-CN"/>
              </w:rPr>
              <w:t xml:space="preserve">/吨</w:t>
            </w:r>
            <w:r>
              <w:rPr>
                <w:rFonts w:ascii="宋体" w:hAnsi="宋体" w:cs="宋体"/>
                <w:color w:val="auto"/>
                <w:sz w:val="24"/>
                <w:highlight w:val="none"/>
              </w:rPr>
              <w:t xml:space="preserve">）</w:t>
            </w:r>
            <w:r/>
          </w:p>
        </w:tc>
      </w:tr>
    </w:tbl>
    <w:p>
      <w:pPr>
        <w:ind w:firstLine="48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附件2             投标分项报价表（采购包号：**）</w:t>
      </w:r>
      <w:r/>
    </w:p>
    <w:p>
      <w:pPr>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tbl>
      <w:tblPr>
        <w:tblStyle w:val="780"/>
        <w:tblW w:w="881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3"/>
        <w:gridCol w:w="1733"/>
        <w:gridCol w:w="2409"/>
        <w:gridCol w:w="1985"/>
      </w:tblGrid>
      <w:tr>
        <w:trPr>
          <w:cantSplit/>
          <w:trHeight w:val="544"/>
        </w:trPr>
        <w:tc>
          <w:tcPr>
            <w:tcW w:w="268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W w:w="173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p>
        </w:tc>
        <w:tc>
          <w:tcPr>
            <w:tcW w:w="240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p>
        </w:tc>
        <w:tc>
          <w:tcPr>
            <w:tcW w:w="198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p>
        </w:tc>
      </w:tr>
      <w:tr>
        <w:trPr>
          <w:cantSplit/>
          <w:trHeight w:val="824"/>
        </w:trPr>
        <w:tc>
          <w:tcPr>
            <w:tcW w:w="268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名称</w:t>
            </w:r>
            <w:r/>
          </w:p>
        </w:tc>
        <w:tc>
          <w:tcPr>
            <w:tcW w:w="173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数量</w:t>
            </w:r>
            <w:r/>
          </w:p>
        </w:tc>
        <w:tc>
          <w:tcPr>
            <w:tcW w:w="240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tc>
        <w:tc>
          <w:tcPr>
            <w:tcW w:w="198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总价</w:t>
            </w:r>
            <w:r/>
          </w:p>
        </w:tc>
      </w:tr>
      <w:tr>
        <w:trPr>
          <w:cantSplit/>
          <w:trHeight w:val="924"/>
        </w:trPr>
        <w:tc>
          <w:tcPr>
            <w:tcW w:w="2683" w:type="dxa"/>
            <w:vAlign w:val="center"/>
            <w:textDirection w:val="lrTb"/>
            <w:noWrap w:val="false"/>
          </w:tcPr>
          <w:p>
            <w:pPr>
              <w:jc w:val="cente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装修垃圾运输</w:t>
            </w:r>
            <w:r/>
          </w:p>
        </w:tc>
        <w:tc>
          <w:tcPr>
            <w:tcW w:w="1733" w:type="dxa"/>
            <w:vAlign w:val="center"/>
            <w:textDirection w:val="lrTb"/>
            <w:noWrap w:val="false"/>
          </w:tcPr>
          <w:p>
            <w:pPr>
              <w:jc w:val="center"/>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r>
            <w:r/>
          </w:p>
        </w:tc>
        <w:tc>
          <w:tcPr>
            <w:tcW w:w="2409"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985"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cantSplit/>
          <w:trHeight w:val="924"/>
        </w:trPr>
        <w:tc>
          <w:tcPr>
            <w:tcW w:w="268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装修垃圾处置</w:t>
            </w:r>
            <w:r/>
          </w:p>
        </w:tc>
        <w:tc>
          <w:tcPr>
            <w:tcW w:w="1733"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2409"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985"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cantSplit/>
          <w:trHeight w:val="924"/>
        </w:trPr>
        <w:tc>
          <w:tcPr>
            <w:tcW w:w="2683"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733"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2409"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985"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cantSplit/>
          <w:trHeight w:val="580"/>
        </w:trPr>
        <w:tc>
          <w:tcPr>
            <w:tcW w:w="2683"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733"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2409"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W w:w="1985"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cantSplit/>
          <w:trHeight w:val="580"/>
        </w:trPr>
        <w:tc>
          <w:tcPr>
            <w:tcW w:w="2683" w:type="dxa"/>
            <w:vAlign w:val="center"/>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合计</w:t>
            </w:r>
            <w:r/>
          </w:p>
        </w:tc>
        <w:tc>
          <w:tcPr>
            <w:gridSpan w:val="3"/>
            <w:tcW w:w="6127" w:type="dxa"/>
            <w:vAlign w:val="center"/>
            <w:textDirection w:val="lrTb"/>
            <w:noWrap w:val="false"/>
          </w:tcPr>
          <w:p>
            <w:pPr>
              <w:ind w:firstLine="408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元/吨</w:t>
            </w:r>
            <w:r/>
          </w:p>
        </w:tc>
      </w:tr>
      <w:tr>
        <w:trPr>
          <w:cantSplit/>
          <w:trHeight w:val="580"/>
        </w:trPr>
        <w:tc>
          <w:tcPr>
            <w:gridSpan w:val="4"/>
            <w:tcW w:w="8810" w:type="dxa"/>
            <w:vAlign w:val="center"/>
            <w:textDirection w:val="lrTb"/>
            <w:noWrap w:val="false"/>
          </w:tcPr>
          <w:p>
            <w:pPr>
              <w:tabs>
                <w:tab w:val="left" w:pos="2877" w:leader="none"/>
              </w:tabs>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备注：本报价中含招标代理服务费</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附件3            技术要求响应及偏离表（采购包号：**）</w:t>
      </w:r>
      <w:r/>
    </w:p>
    <w:tbl>
      <w:tblPr>
        <w:tblStyle w:val="801"/>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附件3-1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1.投标人需对技术要求（未加斜体下划线的非实质性要求）逐条做出明确响应。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2.如果招标文件要求提供证明材料，投标人需将证明材料列于该表之下。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附件4             商务要求响应及偏离表（采购包号：**）</w:t>
      </w:r>
      <w:r/>
    </w:p>
    <w:tbl>
      <w:tblPr>
        <w:tblStyle w:val="801"/>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附件4-1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1.投标人需对商务要求（未加斜体下划线的非实质性要求）逐条做出明确响应。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2.如果招标文件要求提供证明材料，投标人需将证明材料列于该表之下。</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附件5               法人授权书</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本授权书声明：____________（投标人名称）授权</w:t>
      </w:r>
      <w:r>
        <w:rPr>
          <w:rFonts w:eastAsia="Times New Roman"/>
          <w:color w:val="auto"/>
          <w:sz w:val="24"/>
          <w:highlight w:val="none"/>
        </w:rPr>
        <w:t xml:space="preserve">________________</w:t>
      </w:r>
      <w:r>
        <w:rPr>
          <w:rFonts w:ascii="宋体" w:hAnsi="宋体" w:cs="宋体"/>
          <w:color w:val="auto"/>
          <w:sz w:val="24"/>
          <w:highlight w:val="none"/>
        </w:rPr>
        <w:t xml:space="preserve">（被授权人的姓名）为我方就</w:t>
      </w:r>
      <w:r>
        <w:rPr>
          <w:rFonts w:eastAsia="Times New Roman"/>
          <w:color w:val="auto"/>
          <w:sz w:val="24"/>
          <w:highlight w:val="none"/>
          <w:u w:val="single"/>
        </w:rPr>
        <w:t xml:space="preserve">***</w:t>
      </w:r>
      <w:r>
        <w:rPr>
          <w:rFonts w:ascii="宋体" w:hAnsi="宋体" w:cs="宋体"/>
          <w:color w:val="auto"/>
          <w:sz w:val="24"/>
          <w:highlight w:val="none"/>
        </w:rPr>
        <w:t xml:space="preserve">号项目采购活动的合法代理人，以本单位名义全权处理一切与该项目采购有关的事务。</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本授权书于______年</w:t>
      </w:r>
      <w:r>
        <w:rPr>
          <w:rFonts w:eastAsia="Times New Roman"/>
          <w:color w:val="auto"/>
          <w:sz w:val="24"/>
          <w:highlight w:val="none"/>
        </w:rPr>
        <w:t xml:space="preserve">____</w:t>
      </w:r>
      <w:r>
        <w:rPr>
          <w:rFonts w:ascii="宋体" w:hAnsi="宋体" w:cs="宋体"/>
          <w:color w:val="auto"/>
          <w:sz w:val="24"/>
          <w:highlight w:val="none"/>
        </w:rPr>
        <w:t xml:space="preserve">月</w:t>
      </w:r>
      <w:r>
        <w:rPr>
          <w:rFonts w:eastAsia="Times New Roman"/>
          <w:color w:val="auto"/>
          <w:sz w:val="24"/>
          <w:highlight w:val="none"/>
        </w:rPr>
        <w:t xml:space="preserve">____</w:t>
      </w:r>
      <w:r>
        <w:rPr>
          <w:rFonts w:ascii="宋体" w:hAnsi="宋体" w:cs="宋体"/>
          <w:color w:val="auto"/>
          <w:sz w:val="24"/>
          <w:highlight w:val="none"/>
        </w:rPr>
        <w:t xml:space="preserve">日起生效，特此声明。</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被授权人身份证号码：           </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被授权人联系电话：（手机）           </w:t>
      </w:r>
      <w:r/>
    </w:p>
    <w:p>
      <w:pPr>
        <w:ind w:firstLine="12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被授权人电子邮箱：</w:t>
      </w:r>
      <w:r>
        <w:rPr>
          <w:rFonts w:ascii="宋体" w:hAnsi="宋体" w:cs="宋体"/>
          <w:color w:val="auto"/>
          <w:sz w:val="24"/>
          <w:highlight w:val="none"/>
          <w:u w:val="single"/>
        </w:rPr>
        <w:t xml:space="preserve">           </w:t>
      </w:r>
      <w:r/>
    </w:p>
    <w:p>
      <w:pPr>
        <w:ind w:firstLine="120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授权单位名称：</w:t>
      </w:r>
      <w:r>
        <w:rPr>
          <w:rFonts w:ascii="宋体" w:hAnsi="宋体" w:cs="宋体"/>
          <w:color w:val="auto"/>
          <w:sz w:val="24"/>
          <w:highlight w:val="none"/>
          <w:u w:val="single"/>
        </w:rPr>
        <w:t xml:space="preserve">（加盖CA电子公章）</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单位地址：           </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日期：           </w:t>
      </w:r>
      <w:r/>
    </w:p>
    <w:p>
      <w:pPr>
        <w:spacing w:before="260" w:after="26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260" w:after="2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附件6               投标函</w:t>
      </w:r>
      <w:r/>
    </w:p>
    <w:p>
      <w:pPr>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rPr>
        <w:t xml:space="preserve">：</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根据贵方的</w:t>
      </w:r>
      <w:r>
        <w:rPr>
          <w:rFonts w:ascii="宋体" w:hAnsi="宋体" w:cs="宋体"/>
          <w:color w:val="auto"/>
          <w:sz w:val="24"/>
          <w:highlight w:val="none"/>
          <w:u w:val="single"/>
        </w:rPr>
        <w:t xml:space="preserve">****</w:t>
      </w:r>
      <w:r>
        <w:rPr>
          <w:rFonts w:ascii="宋体" w:hAnsi="宋体" w:cs="宋体"/>
          <w:color w:val="auto"/>
          <w:sz w:val="24"/>
          <w:highlight w:val="none"/>
        </w:rPr>
        <w:t xml:space="preserve">号招标文件，正式授权下述签字人_____(姓名)代表我方_______（投标人的名称），全权处理本次项目投标的有关事宜。</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据此函，__________签字人兹宣布同意如下：</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1.按招标文件规定的各项要求，向买方提供所需货物（包含与货物相关的服务）。</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2.我们完全理解贵方不一定将合同授予最低报价的投标人。</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7.与本投标有关的正式通讯地址为：</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投标人开户行：</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账号： </w:t>
      </w:r>
      <w:r/>
    </w:p>
    <w:p>
      <w:pPr>
        <w:ind w:left="420" w:firstLine="480"/>
        <w:spacing w:line="41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日期：______年____月____日</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spacing w:line="45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line="45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附件7           主要标的信息（中标后将公示）</w:t>
      </w:r>
      <w:r/>
    </w:p>
    <w:p>
      <w:pPr>
        <w:spacing w:after="312"/>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投标人全称：</w:t>
      </w:r>
      <w:r/>
    </w:p>
    <w:tbl>
      <w:tblPr>
        <w:tblStyle w:val="801"/>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名称：</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品牌（如有）：</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名称：</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服务范围：</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服务要求：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服务时间：</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服务标准：</w:t>
            </w:r>
            <w:r/>
          </w:p>
        </w:tc>
      </w:tr>
    </w:tbl>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200"/>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spacing w:line="45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附件8</w:t>
      </w:r>
      <w:r/>
    </w:p>
    <w:p>
      <w:pPr>
        <w:ind w:firstLine="120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具备履行合同所必需的设备和专业技术能力的书面声明</w:t>
      </w:r>
      <w:r/>
    </w:p>
    <w:p>
      <w:pPr>
        <w:ind w:firstLine="492"/>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附件9</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参加政府采购活动前 3 年内在经营活动中没有重大违法记录的书面声明</w:t>
      </w:r>
      <w:r/>
    </w:p>
    <w:p>
      <w:pPr>
        <w:jc w:val="cente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附件10            供应商信用承诺函</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承诺主体名称：</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统一社会信用代码：</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四、自觉接受行政管理部门、行业组织、社会公众、新闻舆论的监督；</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七、严格遵守信用信息公示相关规定，向社会公示信用信息；</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八、在“信用中国”和“中国政府采购网”网站中无严重失信记录；</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十、本承诺书自签订之日起生效。</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（注：法定代表人或负责人、主体名称发生变更的应当重新做出承诺。）</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承诺单位（加盖CA电子公章）：    </w:t>
      </w:r>
      <w:r/>
    </w:p>
    <w:p>
      <w:pPr>
        <w:jc w:val="cente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年  月  日</w:t>
      </w:r>
      <w:r/>
    </w:p>
    <w:p>
      <w:pPr>
        <w:jc w:val="center"/>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after="361"/>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after="361"/>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附件11        中小企业声明函（服务类项目）（采购包号：**）</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lang w:eastAsia="zh-CN"/>
        </w:rPr>
        <w:t xml:space="preserve">扬州市建苑工程监理有限责任公司</w:t>
      </w:r>
      <w:r>
        <w:rPr>
          <w:rFonts w:ascii="宋体" w:hAnsi="宋体" w:cs="宋体"/>
          <w:color w:val="auto"/>
          <w:sz w:val="24"/>
          <w:highlight w:val="none"/>
        </w:rPr>
        <w:t xml:space="preserve">组织的</w:t>
      </w:r>
      <w:r>
        <w:rPr>
          <w:rFonts w:ascii="宋体" w:hAnsi="宋体" w:cs="宋体"/>
          <w:color w:val="auto"/>
          <w:sz w:val="24"/>
          <w:highlight w:val="none"/>
          <w:u w:val="single"/>
        </w:rPr>
        <w:t xml:space="preserve">（项目名称）（采购包号：**）</w:t>
      </w:r>
      <w:r>
        <w:rPr>
          <w:rFonts w:ascii="宋体" w:hAnsi="宋体" w:cs="宋体"/>
          <w:color w:val="auto"/>
          <w:sz w:val="24"/>
          <w:highlight w:val="none"/>
        </w:rPr>
        <w:t xml:space="preserve">的采购活动，服务全部由符合政策的中小企业承接。相关企业（含联合体中的中小企业、签订采购包意向协议的中小企业）的具体情况如下：</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（供应商填写招标文件中明确的所属行业）</w:t>
      </w:r>
      <w:r>
        <w:rPr>
          <w:rFonts w:ascii="宋体" w:hAnsi="宋体" w:cs="宋体"/>
          <w:color w:val="auto"/>
          <w:sz w:val="24"/>
          <w:highlight w:val="none"/>
        </w:rPr>
        <w:t xml:space="preserve">行业；承接企业为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ascii="宋体" w:hAnsi="宋体" w:cs="宋体"/>
          <w:color w:val="auto"/>
          <w:sz w:val="24"/>
          <w:highlight w:val="none"/>
          <w:vertAlign w:val="superscript"/>
        </w:rPr>
        <w:t xml:space="preserve">1</w:t>
      </w:r>
      <w:r>
        <w:rPr>
          <w:rFonts w:ascii="宋体" w:hAnsi="宋体" w:cs="宋体"/>
          <w:color w:val="auto"/>
          <w:sz w:val="24"/>
          <w:highlight w:val="none"/>
        </w:rPr>
        <w:t xml:space="preserve">，属于</w:t>
      </w:r>
      <w:r>
        <w:rPr>
          <w:rFonts w:ascii="宋体" w:hAnsi="宋体" w:cs="宋体"/>
          <w:color w:val="auto"/>
          <w:sz w:val="24"/>
          <w:highlight w:val="none"/>
          <w:u w:val="single"/>
        </w:rPr>
        <w:t xml:space="preserve">（□中型企业 □小型企业 □微型企业）；</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（供应商填写招标文件中明确的所属行业）</w:t>
      </w:r>
      <w:r>
        <w:rPr>
          <w:rFonts w:ascii="宋体" w:hAnsi="宋体" w:cs="宋体"/>
          <w:color w:val="auto"/>
          <w:sz w:val="24"/>
          <w:highlight w:val="none"/>
        </w:rPr>
        <w:t xml:space="preserve">行业；承接企业为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w:t>
      </w:r>
      <w:r>
        <w:rPr>
          <w:rFonts w:ascii="宋体" w:hAnsi="宋体" w:cs="宋体"/>
          <w:color w:val="auto"/>
          <w:sz w:val="24"/>
          <w:highlight w:val="none"/>
          <w:vertAlign w:val="superscript"/>
        </w:rPr>
        <w:t xml:space="preserve">1</w:t>
      </w:r>
      <w:r>
        <w:rPr>
          <w:rFonts w:ascii="宋体" w:hAnsi="宋体" w:cs="宋体"/>
          <w:color w:val="auto"/>
          <w:sz w:val="24"/>
          <w:highlight w:val="none"/>
        </w:rPr>
        <w:t xml:space="preserve">，属于</w:t>
      </w:r>
      <w:r>
        <w:rPr>
          <w:rFonts w:ascii="宋体" w:hAnsi="宋体" w:cs="宋体"/>
          <w:color w:val="auto"/>
          <w:sz w:val="24"/>
          <w:highlight w:val="none"/>
          <w:u w:val="single"/>
        </w:rPr>
        <w:t xml:space="preserve">（□中型企业 □小型企业 □微型企业）；</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right="72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ind w:right="180" w:firstLine="360"/>
        <w:jc w:val="righ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right="480" w:firstLine="540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1.从业人员、营业收入、资产总额填报上一年度数据，无上一年度数据的新成立企业可不填报。</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3.供应商应对照《工业和信息化部、国家统计局、国家发展和改革委员会、财政</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eastAsia="Times New Roman"/>
          <w:b/>
          <w:color w:val="auto"/>
          <w:highlight w:val="none"/>
        </w:rPr>
        <w:t xml:space="preserve"> </w:t>
      </w:r>
      <w:r/>
    </w:p>
    <w:p>
      <w:pPr>
        <w:spacing w:before="300" w:after="452"/>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中小微企业划型标准如下：</w:t>
      </w:r>
      <w:r/>
    </w:p>
    <w:tbl>
      <w:tblPr>
        <w:tblStyle w:val="801"/>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20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6000≤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300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资产总额（</w:t>
            </w:r>
            <w:r>
              <w:rPr>
                <w:rFonts w:ascii="宋体" w:hAnsi="宋体" w:cs="宋体"/>
                <w:b/>
                <w:color w:val="auto"/>
                <w:highlight w:val="none"/>
              </w:rPr>
              <w:t xml:space="preserve">Z</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5000≤</w:t>
            </w:r>
            <w:r>
              <w:rPr>
                <w:rFonts w:ascii="宋体" w:hAnsi="宋体" w:cs="宋体"/>
                <w:b/>
                <w:color w:val="auto"/>
                <w:highlight w:val="none"/>
              </w:rPr>
              <w:t xml:space="preserve">Z</w:t>
            </w:r>
            <w:r>
              <w:rPr>
                <w:rFonts w:ascii="等线" w:hAnsi="等线" w:eastAsia="等线" w:cs="等线"/>
                <w:b/>
                <w:color w:val="auto"/>
                <w:highlight w:val="none"/>
              </w:rPr>
              <w:t xml:space="preserve">＜</w:t>
            </w:r>
            <w:r>
              <w:rPr>
                <w:rFonts w:ascii="宋体" w:hAnsi="宋体" w:cs="宋体"/>
                <w:b/>
                <w:color w:val="auto"/>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Z</w:t>
            </w:r>
            <w:r>
              <w:rPr>
                <w:rFonts w:ascii="等线" w:hAnsi="等线" w:eastAsia="等线" w:cs="等线"/>
                <w:b/>
                <w:color w:val="auto"/>
                <w:highlight w:val="none"/>
              </w:rPr>
              <w:t xml:space="preserve">＜</w:t>
            </w:r>
            <w:r>
              <w:rPr>
                <w:rFonts w:ascii="宋体" w:hAnsi="宋体" w:cs="宋体"/>
                <w:b/>
                <w:color w:val="auto"/>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Z＜</w:t>
            </w:r>
            <w:r>
              <w:rPr>
                <w:rFonts w:ascii="宋体" w:hAnsi="宋体" w:cs="宋体"/>
                <w:b/>
                <w:color w:val="auto"/>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5</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20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20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20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资产总额（</w:t>
            </w:r>
            <w:r>
              <w:rPr>
                <w:rFonts w:ascii="宋体" w:hAnsi="宋体" w:cs="宋体"/>
                <w:b/>
                <w:color w:val="auto"/>
                <w:highlight w:val="none"/>
              </w:rPr>
              <w:t xml:space="preserve">Z</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5000≤</w:t>
            </w:r>
            <w:r>
              <w:rPr>
                <w:rFonts w:ascii="宋体" w:hAnsi="宋体" w:cs="宋体"/>
                <w:b/>
                <w:color w:val="auto"/>
                <w:highlight w:val="none"/>
              </w:rPr>
              <w:t xml:space="preserve">Z</w:t>
            </w:r>
            <w:r>
              <w:rPr>
                <w:rFonts w:ascii="等线" w:hAnsi="等线" w:eastAsia="等线" w:cs="等线"/>
                <w:b/>
                <w:color w:val="auto"/>
                <w:highlight w:val="none"/>
              </w:rPr>
              <w:t xml:space="preserve">＜</w:t>
            </w:r>
            <w:r>
              <w:rPr>
                <w:rFonts w:ascii="宋体" w:hAnsi="宋体" w:cs="宋体"/>
                <w:b/>
                <w:color w:val="auto"/>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2000≤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300≤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营业收入（</w:t>
            </w:r>
            <w:r>
              <w:rPr>
                <w:rFonts w:ascii="宋体" w:hAnsi="宋体" w:cs="宋体"/>
                <w:b/>
                <w:color w:val="auto"/>
                <w:highlight w:val="none"/>
              </w:rPr>
              <w:t xml:space="preserve">Y</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500≤</w:t>
            </w:r>
            <w:r>
              <w:rPr>
                <w:rFonts w:ascii="宋体" w:hAnsi="宋体" w:cs="宋体"/>
                <w:b/>
                <w:color w:val="auto"/>
                <w:highlight w:val="none"/>
              </w:rPr>
              <w:t xml:space="preserve">Y</w:t>
            </w:r>
            <w:r>
              <w:rPr>
                <w:rFonts w:ascii="等线" w:hAnsi="等线" w:eastAsia="等线" w:cs="等线"/>
                <w:b/>
                <w:color w:val="auto"/>
                <w:highlight w:val="none"/>
              </w:rPr>
              <w:t xml:space="preserve">＜</w:t>
            </w:r>
            <w:r>
              <w:rPr>
                <w:rFonts w:ascii="宋体" w:hAnsi="宋体" w:cs="宋体"/>
                <w:b/>
                <w:color w:val="auto"/>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r>
        <w:trPr>
          <w:trHeight w:val="225"/>
        </w:trPr>
        <w:tc>
          <w:tcPr>
            <w:tcW w:w="1716" w:type="dxa"/>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资产总额（</w:t>
            </w:r>
            <w:r>
              <w:rPr>
                <w:rFonts w:ascii="宋体" w:hAnsi="宋体" w:cs="宋体"/>
                <w:b/>
                <w:color w:val="auto"/>
                <w:highlight w:val="none"/>
              </w:rPr>
              <w:t xml:space="preserve">Z</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8000≤</w:t>
            </w:r>
            <w:r>
              <w:rPr>
                <w:rFonts w:ascii="宋体" w:hAnsi="宋体" w:cs="宋体"/>
                <w:b/>
                <w:color w:val="auto"/>
                <w:highlight w:val="none"/>
              </w:rPr>
              <w:t xml:space="preserve">Z</w:t>
            </w:r>
            <w:r>
              <w:rPr>
                <w:rFonts w:ascii="等线" w:hAnsi="等线" w:eastAsia="等线" w:cs="等线"/>
                <w:b/>
                <w:color w:val="auto"/>
                <w:highlight w:val="none"/>
              </w:rPr>
              <w:t xml:space="preserve">＜</w:t>
            </w:r>
            <w:r>
              <w:rPr>
                <w:rFonts w:ascii="宋体" w:hAnsi="宋体" w:cs="宋体"/>
                <w:b/>
                <w:color w:val="auto"/>
                <w:highlight w:val="none"/>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Z</w:t>
            </w:r>
            <w:r>
              <w:rPr>
                <w:rFonts w:ascii="等线" w:hAnsi="等线" w:eastAsia="等线" w:cs="等线"/>
                <w:b/>
                <w:color w:val="auto"/>
                <w:highlight w:val="none"/>
              </w:rPr>
              <w:t xml:space="preserve">＜</w:t>
            </w:r>
            <w:r>
              <w:rPr>
                <w:rFonts w:ascii="宋体" w:hAnsi="宋体" w:cs="宋体"/>
                <w:b/>
                <w:color w:val="auto"/>
                <w:highlight w:val="none"/>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Y＜</w:t>
            </w:r>
            <w:r>
              <w:rPr>
                <w:rFonts w:ascii="宋体" w:hAnsi="宋体" w:cs="宋体"/>
                <w:b/>
                <w:color w:val="auto"/>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从业人员（</w:t>
            </w:r>
            <w:r>
              <w:rPr>
                <w:rFonts w:ascii="宋体" w:hAnsi="宋体" w:cs="宋体"/>
                <w:b/>
                <w:color w:val="auto"/>
                <w:highlight w:val="none"/>
              </w:rPr>
              <w:t xml:space="preserve">X</w:t>
            </w:r>
            <w:r>
              <w:rPr>
                <w:rFonts w:ascii="等线" w:hAnsi="等线" w:eastAsia="等线" w:cs="等线"/>
                <w:b/>
                <w:color w:val="auto"/>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10≤</w:t>
            </w:r>
            <w:r>
              <w:rPr>
                <w:rFonts w:ascii="宋体" w:hAnsi="宋体" w:cs="宋体"/>
                <w:b/>
                <w:color w:val="auto"/>
                <w:highlight w:val="none"/>
              </w:rPr>
              <w:t xml:space="preserve">X</w:t>
            </w:r>
            <w:r>
              <w:rPr>
                <w:rFonts w:ascii="等线" w:hAnsi="等线" w:eastAsia="等线" w:cs="等线"/>
                <w:b/>
                <w:color w:val="auto"/>
                <w:highlight w:val="none"/>
              </w:rPr>
              <w:t xml:space="preserve">＜</w:t>
            </w:r>
            <w:r>
              <w:rPr>
                <w:rFonts w:ascii="宋体" w:hAnsi="宋体" w:cs="宋体"/>
                <w:b/>
                <w:color w:val="auto"/>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X＜</w:t>
            </w:r>
            <w:r>
              <w:rPr>
                <w:rFonts w:ascii="宋体" w:hAnsi="宋体" w:cs="宋体"/>
                <w:b/>
                <w:color w:val="auto"/>
                <w:highlight w:val="none"/>
              </w:rPr>
              <w:t xml:space="preserve">10</w:t>
            </w:r>
            <w:r/>
          </w:p>
        </w:tc>
      </w:tr>
    </w:tbl>
    <w:p>
      <w:pPr>
        <w:ind w:firstLine="810"/>
        <w:spacing w:before="300" w:after="452"/>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附件12     残疾人福利性单位声明函（服务类项目）（采购包号：**）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本单位对上述声明的真实性负责。如有虚假，将依法承担相应责任。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2.非专门面向中小微型企业采购的项目，供应商如不提供此声明函，价格将不做相应扣除。</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3.中标/成交供应商为残疾人福利性单位的，此声明函将随中标/成交结果同时公告，接受社会监督</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供应商全称（加盖CA电子公章）：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lef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附件13  </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关于符合本国产品标准的声明函（采购包号：**）</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30" w:after="3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（产品名称1）</w:t>
      </w:r>
      <w:r>
        <w:rPr>
          <w:rFonts w:ascii="宋体" w:hAnsi="宋体" w:cs="宋体"/>
          <w:color w:val="auto"/>
          <w:sz w:val="24"/>
          <w:highlight w:val="none"/>
          <w:vertAlign w:val="superscript"/>
        </w:rPr>
        <w:t xml:space="preserve">1</w:t>
      </w:r>
      <w:r>
        <w:rPr>
          <w:rFonts w:ascii="宋体" w:hAnsi="宋体" w:cs="宋体"/>
          <w:color w:val="auto"/>
          <w:sz w:val="24"/>
          <w:highlight w:val="none"/>
        </w:rPr>
        <w:t xml:space="preserve">，生产厂为</w:t>
      </w:r>
      <w:r>
        <w:rPr>
          <w:rFonts w:ascii="宋体" w:hAnsi="宋体" w:cs="宋体"/>
          <w:color w:val="auto"/>
          <w:sz w:val="24"/>
          <w:highlight w:val="none"/>
          <w:u w:val="single"/>
        </w:rPr>
        <w:t xml:space="preserve">（厂名）</w:t>
      </w:r>
      <w:r>
        <w:rPr>
          <w:rFonts w:ascii="宋体" w:hAnsi="宋体" w:cs="宋体"/>
          <w:color w:val="auto"/>
          <w:sz w:val="24"/>
          <w:highlight w:val="none"/>
          <w:vertAlign w:val="superscript"/>
        </w:rPr>
        <w:t xml:space="preserve">2</w:t>
      </w:r>
      <w:r>
        <w:rPr>
          <w:rFonts w:ascii="宋体" w:hAnsi="宋体" w:cs="宋体"/>
          <w:color w:val="auto"/>
          <w:sz w:val="24"/>
          <w:highlight w:val="none"/>
        </w:rPr>
        <w:t xml:space="preserve">，厂址为</w:t>
      </w:r>
      <w:r>
        <w:rPr>
          <w:rFonts w:ascii="宋体" w:hAnsi="宋体" w:cs="宋体"/>
          <w:color w:val="auto"/>
          <w:sz w:val="24"/>
          <w:highlight w:val="none"/>
          <w:u w:val="single"/>
        </w:rPr>
        <w:t xml:space="preserve">（生产厂址）</w:t>
      </w:r>
      <w:r>
        <w:rPr>
          <w:rFonts w:ascii="宋体" w:hAnsi="宋体" w:cs="宋体"/>
          <w:color w:val="auto"/>
          <w:sz w:val="24"/>
          <w:highlight w:val="none"/>
        </w:rPr>
        <w:t xml:space="preserve">。</w:t>
      </w:r>
      <w:r>
        <w:rPr>
          <w:rFonts w:ascii="宋体" w:hAnsi="宋体" w:cs="宋体"/>
          <w:color w:val="auto"/>
          <w:sz w:val="24"/>
          <w:highlight w:val="none"/>
          <w:u w:val="single"/>
        </w:rPr>
        <w:t xml:space="preserve"> / </w:t>
      </w:r>
      <w:r>
        <w:rPr>
          <w:rFonts w:ascii="宋体" w:hAnsi="宋体" w:cs="宋体"/>
          <w:color w:val="auto"/>
          <w:sz w:val="24"/>
          <w:highlight w:val="none"/>
        </w:rPr>
        <w:t xml:space="preserve">的中国境内生产的组件成本占比≥</w:t>
      </w:r>
      <w:r>
        <w:rPr>
          <w:rFonts w:ascii="宋体" w:hAnsi="宋体" w:cs="宋体"/>
          <w:color w:val="auto"/>
          <w:sz w:val="24"/>
          <w:highlight w:val="none"/>
          <w:u w:val="single"/>
        </w:rPr>
        <w:t xml:space="preserve">  /  </w:t>
      </w:r>
      <w:r>
        <w:rPr>
          <w:rFonts w:ascii="宋体" w:hAnsi="宋体" w:cs="宋体"/>
          <w:color w:val="auto"/>
          <w:sz w:val="24"/>
          <w:highlight w:val="none"/>
          <w:vertAlign w:val="superscript"/>
        </w:rPr>
        <w:t xml:space="preserve">3</w:t>
      </w:r>
      <w:r>
        <w:rPr>
          <w:rFonts w:ascii="宋体" w:hAnsi="宋体" w:cs="宋体"/>
          <w:color w:val="auto"/>
          <w:sz w:val="24"/>
          <w:highlight w:val="none"/>
        </w:rPr>
        <w:t xml:space="preserve">。</w:t>
      </w:r>
      <w:r>
        <w:rPr>
          <w:rFonts w:ascii="宋体" w:hAnsi="宋体" w:cs="宋体"/>
          <w:color w:val="auto"/>
          <w:sz w:val="24"/>
          <w:highlight w:val="none"/>
          <w:u w:val="single"/>
        </w:rPr>
        <w:t xml:space="preserve">  /  </w:t>
      </w:r>
      <w:r>
        <w:rPr>
          <w:rFonts w:ascii="宋体" w:hAnsi="宋体" w:cs="宋体"/>
          <w:color w:val="auto"/>
          <w:sz w:val="24"/>
          <w:highlight w:val="none"/>
        </w:rPr>
        <w:t xml:space="preserve">的</w:t>
      </w:r>
      <w:r>
        <w:rPr>
          <w:rFonts w:ascii="宋体" w:hAnsi="宋体" w:cs="宋体"/>
          <w:color w:val="auto"/>
          <w:sz w:val="24"/>
          <w:highlight w:val="none"/>
          <w:u w:val="single"/>
        </w:rPr>
        <w:t xml:space="preserve">  /  </w:t>
      </w:r>
      <w:r>
        <w:rPr>
          <w:rFonts w:ascii="宋体" w:hAnsi="宋体" w:cs="宋体"/>
          <w:color w:val="auto"/>
          <w:sz w:val="24"/>
          <w:highlight w:val="none"/>
          <w:vertAlign w:val="superscript"/>
        </w:rPr>
        <w:t xml:space="preserve">4</w:t>
      </w:r>
      <w:r>
        <w:rPr>
          <w:rFonts w:ascii="宋体" w:hAnsi="宋体" w:cs="宋体"/>
          <w:color w:val="auto"/>
          <w:sz w:val="24"/>
          <w:highlight w:val="none"/>
        </w:rPr>
        <w:t xml:space="preserve">在中国境内生产。</w:t>
      </w:r>
      <w:r>
        <w:rPr>
          <w:rFonts w:ascii="宋体" w:hAnsi="宋体" w:cs="宋体"/>
          <w:color w:val="auto"/>
          <w:sz w:val="24"/>
          <w:highlight w:val="none"/>
          <w:u w:val="single"/>
        </w:rPr>
        <w:t xml:space="preserve">  /  </w:t>
      </w:r>
      <w:r>
        <w:rPr>
          <w:rFonts w:ascii="宋体" w:hAnsi="宋体" w:cs="宋体"/>
          <w:color w:val="auto"/>
          <w:sz w:val="24"/>
          <w:highlight w:val="none"/>
        </w:rPr>
        <w:t xml:space="preserve">的</w:t>
      </w:r>
      <w:r>
        <w:rPr>
          <w:rFonts w:ascii="宋体" w:hAnsi="宋体" w:cs="宋体"/>
          <w:color w:val="auto"/>
          <w:sz w:val="24"/>
          <w:highlight w:val="none"/>
          <w:u w:val="single"/>
        </w:rPr>
        <w:t xml:space="preserve">  /  </w:t>
      </w:r>
      <w:r>
        <w:rPr>
          <w:rFonts w:ascii="宋体" w:hAnsi="宋体" w:cs="宋体"/>
          <w:color w:val="auto"/>
          <w:sz w:val="24"/>
          <w:highlight w:val="none"/>
          <w:vertAlign w:val="superscript"/>
        </w:rPr>
        <w:t xml:space="preserve">5</w:t>
      </w:r>
      <w:r>
        <w:rPr>
          <w:rFonts w:ascii="宋体" w:hAnsi="宋体" w:cs="宋体"/>
          <w:color w:val="auto"/>
          <w:sz w:val="24"/>
          <w:highlight w:val="none"/>
        </w:rPr>
        <w:t xml:space="preserve">在中国境内完成。</w:t>
      </w:r>
      <w:r/>
    </w:p>
    <w:p>
      <w:pPr>
        <w:ind w:firstLine="480"/>
        <w:spacing w:before="30" w:after="3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color w:val="auto"/>
          <w:sz w:val="24"/>
          <w:highlight w:val="none"/>
          <w:u w:val="single"/>
        </w:rPr>
        <w:t xml:space="preserve">（产品名称2）</w:t>
      </w:r>
      <w:r>
        <w:rPr>
          <w:rFonts w:ascii="宋体" w:hAnsi="宋体" w:cs="宋体"/>
          <w:color w:val="auto"/>
          <w:sz w:val="24"/>
          <w:highlight w:val="none"/>
        </w:rPr>
        <w:t xml:space="preserve">，生产厂为</w:t>
      </w:r>
      <w:r>
        <w:rPr>
          <w:rFonts w:ascii="宋体" w:hAnsi="宋体" w:cs="宋体"/>
          <w:color w:val="auto"/>
          <w:sz w:val="24"/>
          <w:highlight w:val="none"/>
          <w:u w:val="single"/>
        </w:rPr>
        <w:t xml:space="preserve">（厂名）</w:t>
      </w:r>
      <w:r>
        <w:rPr>
          <w:rFonts w:ascii="宋体" w:hAnsi="宋体" w:cs="宋体"/>
          <w:color w:val="auto"/>
          <w:sz w:val="24"/>
          <w:highlight w:val="none"/>
        </w:rPr>
        <w:t xml:space="preserve">，厂址为</w:t>
      </w:r>
      <w:r>
        <w:rPr>
          <w:rFonts w:ascii="宋体" w:hAnsi="宋体" w:cs="宋体"/>
          <w:color w:val="auto"/>
          <w:sz w:val="24"/>
          <w:highlight w:val="none"/>
          <w:u w:val="single"/>
        </w:rPr>
        <w:t xml:space="preserve">（生产厂址）</w:t>
      </w:r>
      <w:r>
        <w:rPr>
          <w:rFonts w:ascii="宋体" w:hAnsi="宋体" w:cs="宋体"/>
          <w:color w:val="auto"/>
          <w:sz w:val="24"/>
          <w:highlight w:val="none"/>
        </w:rPr>
        <w:t xml:space="preserve">。</w:t>
      </w:r>
      <w:r>
        <w:rPr>
          <w:rFonts w:ascii="宋体" w:hAnsi="宋体" w:cs="宋体"/>
          <w:color w:val="auto"/>
          <w:sz w:val="24"/>
          <w:highlight w:val="none"/>
          <w:u w:val="single"/>
        </w:rPr>
        <w:t xml:space="preserve"> /  </w:t>
      </w:r>
      <w:r>
        <w:rPr>
          <w:rFonts w:ascii="宋体" w:hAnsi="宋体" w:cs="宋体"/>
          <w:color w:val="auto"/>
          <w:sz w:val="24"/>
          <w:highlight w:val="none"/>
        </w:rPr>
        <w:t xml:space="preserve">的中国境内生产的组件成本占比≥</w:t>
      </w:r>
      <w:r>
        <w:rPr>
          <w:rFonts w:ascii="宋体" w:hAnsi="宋体" w:cs="宋体"/>
          <w:color w:val="auto"/>
          <w:sz w:val="24"/>
          <w:highlight w:val="none"/>
          <w:u w:val="single"/>
        </w:rPr>
        <w:t xml:space="preserve">  /  </w:t>
      </w:r>
      <w:r>
        <w:rPr>
          <w:rFonts w:ascii="宋体" w:hAnsi="宋体" w:cs="宋体"/>
          <w:color w:val="auto"/>
          <w:sz w:val="24"/>
          <w:highlight w:val="none"/>
        </w:rPr>
        <w:t xml:space="preserve">。</w:t>
      </w:r>
      <w:r>
        <w:rPr>
          <w:rFonts w:ascii="宋体" w:hAnsi="宋体" w:cs="宋体"/>
          <w:color w:val="auto"/>
          <w:sz w:val="24"/>
          <w:highlight w:val="none"/>
          <w:u w:val="single"/>
        </w:rPr>
        <w:t xml:space="preserve">  /  </w:t>
      </w:r>
      <w:r>
        <w:rPr>
          <w:rFonts w:ascii="宋体" w:hAnsi="宋体" w:cs="宋体"/>
          <w:color w:val="auto"/>
          <w:sz w:val="24"/>
          <w:highlight w:val="none"/>
        </w:rPr>
        <w:t xml:space="preserve">的</w:t>
      </w:r>
      <w:r>
        <w:rPr>
          <w:rFonts w:ascii="宋体" w:hAnsi="宋体" w:cs="宋体"/>
          <w:color w:val="auto"/>
          <w:sz w:val="24"/>
          <w:highlight w:val="none"/>
          <w:u w:val="single"/>
        </w:rPr>
        <w:t xml:space="preserve">  /  </w:t>
      </w:r>
      <w:r>
        <w:rPr>
          <w:rFonts w:ascii="宋体" w:hAnsi="宋体" w:cs="宋体"/>
          <w:color w:val="auto"/>
          <w:sz w:val="24"/>
          <w:highlight w:val="none"/>
        </w:rPr>
        <w:t xml:space="preserve">在中国境内生产。</w:t>
      </w:r>
      <w:r>
        <w:rPr>
          <w:rFonts w:ascii="宋体" w:hAnsi="宋体" w:cs="宋体"/>
          <w:color w:val="auto"/>
          <w:sz w:val="24"/>
          <w:highlight w:val="none"/>
          <w:u w:val="single"/>
        </w:rPr>
        <w:t xml:space="preserve">  /  </w:t>
      </w:r>
      <w:r>
        <w:rPr>
          <w:rFonts w:ascii="宋体" w:hAnsi="宋体" w:cs="宋体"/>
          <w:color w:val="auto"/>
          <w:sz w:val="24"/>
          <w:highlight w:val="none"/>
        </w:rPr>
        <w:t xml:space="preserve">的</w:t>
      </w:r>
      <w:r>
        <w:rPr>
          <w:rFonts w:ascii="宋体" w:hAnsi="宋体" w:cs="宋体"/>
          <w:color w:val="auto"/>
          <w:sz w:val="24"/>
          <w:highlight w:val="none"/>
          <w:u w:val="single"/>
        </w:rPr>
        <w:t xml:space="preserve">  /  </w:t>
      </w:r>
      <w:r>
        <w:rPr>
          <w:rFonts w:ascii="宋体" w:hAnsi="宋体" w:cs="宋体"/>
          <w:color w:val="auto"/>
          <w:sz w:val="24"/>
          <w:highlight w:val="none"/>
        </w:rPr>
        <w:t xml:space="preserve">在中国境内完成。</w:t>
      </w:r>
      <w:r/>
    </w:p>
    <w:p>
      <w:pPr>
        <w:ind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本公司（单位）对上述声明内容的真实性负责。如有虚假，愿承担相应法律责任。</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480" w:firstLine="37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公司（单位）名称（盖章）：　</w:t>
      </w:r>
      <w:r/>
    </w:p>
    <w:p>
      <w:pPr>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　   年　  月　  日         </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1.产品如有型号，请在“产品名称”栏一并填写。</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2.生产厂名与厂址应与生产厂营业执照载明的相关信息保持一致。</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3.该产品的中国境内生产的组件成本占比相关要求实施前，“规定比例”栏可不填，下同。</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4.该产品的关键组件要求实施前，“关键组件”栏可不填，下同。</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5.该产品的关键工序要求实施前，“关键工序”栏可不填，下同。</w:t>
      </w:r>
      <w:r/>
    </w:p>
    <w:p>
      <w:pP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6.《声明函》中标注“  /  ”的地方无需填写。</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spacing w:after="361"/>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附件15         实质性要求响应及偏离表（采购包号：**）</w:t>
      </w:r>
      <w:r/>
    </w:p>
    <w:tbl>
      <w:tblPr>
        <w:tblStyle w:val="801"/>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b/>
                <w:color w:val="auto"/>
                <w:sz w:val="24"/>
                <w:highlight w:val="none"/>
              </w:rPr>
              <w:t xml:space="preserve">（</w:t>
            </w:r>
            <w:r>
              <w:rPr>
                <w:rFonts w:ascii="宋体" w:hAnsi="宋体" w:cs="宋体"/>
                <w:b/>
                <w:i/>
                <w:color w:val="auto"/>
                <w:sz w:val="24"/>
                <w:highlight w:val="none"/>
                <w:u w:val="single"/>
              </w:rPr>
              <w:t xml:space="preserve">斜体且有下划线部分</w:t>
            </w:r>
            <w:r>
              <w:rPr>
                <w:rFonts w:ascii="宋体" w:hAnsi="宋体" w:cs="宋体"/>
                <w:b/>
                <w:color w:val="auto"/>
                <w:sz w:val="24"/>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附件14-1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b/>
          <w:color w:val="auto"/>
          <w:sz w:val="24"/>
          <w:highlight w:val="none"/>
        </w:rPr>
        <w:t xml:space="preserve">（</w:t>
      </w:r>
      <w:r>
        <w:rPr>
          <w:rFonts w:ascii="宋体" w:hAnsi="宋体" w:cs="宋体"/>
          <w:b/>
          <w:i/>
          <w:color w:val="auto"/>
          <w:sz w:val="24"/>
          <w:highlight w:val="none"/>
          <w:u w:val="single"/>
        </w:rPr>
        <w:t xml:space="preserve">斜体且有下划线部分</w:t>
      </w:r>
      <w:r>
        <w:rPr>
          <w:rFonts w:ascii="宋体" w:hAnsi="宋体" w:cs="宋体"/>
          <w:b/>
          <w:color w:val="auto"/>
          <w:sz w:val="24"/>
          <w:highlight w:val="none"/>
        </w:rPr>
        <w:t xml:space="preserve">）</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3.投标人未对实质性要求逐条作出明确响应的，或未按招标文件要求提供证明材料的，该采购包作无效投标处理。</w:t>
      </w:r>
      <w:r/>
    </w:p>
    <w:p>
      <w:pP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质疑函范本</w:t>
      </w:r>
      <w:r/>
    </w:p>
    <w:p>
      <w:pPr>
        <w:spacing w:before="312"/>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一、质疑供应商基本信息</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质疑供应商：</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ascii="宋体" w:hAnsi="宋体" w:cs="宋体"/>
          <w:color w:val="auto"/>
          <w:sz w:val="24"/>
          <w:highlight w:val="none"/>
          <w:u w:val="single"/>
        </w:rPr>
        <w:t xml:space="preserve">           </w:t>
      </w:r>
      <w:r>
        <w:rPr>
          <w:rFonts w:ascii="宋体" w:hAnsi="宋体" w:cs="宋体"/>
          <w:color w:val="auto"/>
          <w:sz w:val="24"/>
          <w:highlight w:val="none"/>
        </w:rPr>
        <w:t xml:space="preserve">邮编：</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ascii="宋体" w:hAnsi="宋体" w:cs="宋体"/>
          <w:color w:val="auto"/>
          <w:sz w:val="24"/>
          <w:highlight w:val="none"/>
          <w:u w:val="single"/>
        </w:rPr>
        <w:t xml:space="preserve">           </w:t>
      </w:r>
      <w:r>
        <w:rPr>
          <w:rFonts w:ascii="宋体" w:hAnsi="宋体" w:cs="宋体"/>
          <w:color w:val="auto"/>
          <w:sz w:val="24"/>
          <w:highlight w:val="none"/>
        </w:rPr>
        <w:t xml:space="preserve">联系电话</w:t>
      </w:r>
      <w:r>
        <w:rPr>
          <w:rFonts w:ascii="宋体" w:hAnsi="宋体" w:cs="宋体"/>
          <w:color w:val="auto"/>
          <w:highlight w:val="none"/>
        </w:rPr>
        <w:t xml:space="preserve">：</w:t>
      </w:r>
      <w:r>
        <w:rPr>
          <w:rFonts w:ascii="宋体" w:hAnsi="宋体" w:cs="宋体"/>
          <w:color w:val="auto"/>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ascii="宋体" w:hAnsi="宋体" w:cs="宋体"/>
          <w:color w:val="auto"/>
          <w:sz w:val="24"/>
          <w:highlight w:val="none"/>
          <w:u w:val="single"/>
        </w:rPr>
        <w:t xml:space="preserve">           </w:t>
      </w:r>
      <w:r>
        <w:rPr>
          <w:rFonts w:ascii="宋体" w:hAnsi="宋体" w:cs="宋体"/>
          <w:color w:val="auto"/>
          <w:sz w:val="24"/>
          <w:highlight w:val="none"/>
        </w:rPr>
        <w:t xml:space="preserve">邮编：</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二、质疑项目基本情况</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质疑项目的名称：</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质疑项目的编号：</w:t>
      </w:r>
      <w:r>
        <w:rPr>
          <w:rFonts w:ascii="宋体" w:hAnsi="宋体" w:cs="宋体"/>
          <w:color w:val="auto"/>
          <w:sz w:val="24"/>
          <w:highlight w:val="none"/>
          <w:u w:val="single"/>
        </w:rPr>
        <w:t xml:space="preserve">           </w:t>
      </w:r>
      <w:r>
        <w:rPr>
          <w:rFonts w:ascii="宋体" w:hAnsi="宋体" w:cs="宋体"/>
          <w:color w:val="auto"/>
          <w:sz w:val="24"/>
          <w:highlight w:val="none"/>
        </w:rPr>
        <w:t xml:space="preserve">包号：</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采购人名称：</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采购文件获取日期：</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三、质疑事项具体内容</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质疑事项1：</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事实依据：</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法律依据：</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质疑事项2</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四、与质疑事项相关的质疑请求</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请求：</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签字(签章)：                   公章：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质疑函制作说明：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1.供应商提出质疑时，应提交质疑函和必要的证明材料。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3.质疑供应商若对项目的某一采购包进行质疑，质疑函中应列明具体采购包号。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4.质疑函的质疑事项应具体、明确，并有必要的事实依据和法律依据。</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5.质疑函的质疑请求应与质疑事项相关。</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6.质疑供应商为自然人的，质疑函应由本人签字；质疑供应商为法人或者其他组</w:t>
      </w:r>
      <w:bookmarkEnd w:id="0"/>
      <w:r>
        <w:rPr>
          <w:rFonts w:ascii="宋体" w:hAnsi="宋体" w:cs="宋体"/>
          <w:color w:val="000000"/>
          <w:sz w:val="24"/>
          <w:highlight w:val="none"/>
        </w:rPr>
        <w:t xml:space="preserve">织的，质疑函应由法定代表人、主要负责人，或者其授权代表签字或者盖章，并加盖公章。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幼圆">
    <w:panose1 w:val="02010509060101010101"/>
  </w:font>
  <w:font w:name="黑体">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99</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1</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2635885</wp:posOffset>
              </wp:positionH>
              <wp:positionV relativeFrom="paragraph">
                <wp:posOffset>0</wp:posOffset>
              </wp:positionV>
              <wp:extent cx="277495" cy="13144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7251" cy="1314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jc w:val="center"/>
                          </w:pPr>
                          <w:r>
                            <w:fldChar w:fldCharType="begin"/>
                          </w:r>
                          <w:r>
                            <w:instrText xml:space="preserve">PAGE   \* MERGEFORMAT</w:instrText>
                          </w:r>
                          <w:r>
                            <w:fldChar w:fldCharType="separate"/>
                          </w:r>
                          <w:r>
                            <w:rPr>
                              <w:lang w:val="zh-CN"/>
                            </w:rPr>
                            <w:t xml:space="preserve">99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7.5pt;mso-position-horizontal:absolute;mso-position-vertical-relative:text;margin-top:0.0pt;mso-position-vertical:absolute;width:21.8pt;height:10.3pt;mso-wrap-distance-left:9.0pt;mso-wrap-distance-top:0.0pt;mso-wrap-distance-right:9.0pt;mso-wrap-distance-bottom:0.0pt;v-text-anchor:top;visibility:visible;" filled="f" stroked="f" strokeweight="0.50pt">
              <v:textbox inset="0,0,0,0">
                <w:txbxContent>
                  <w:p>
                    <w:pPr>
                      <w:pStyle w:val="789"/>
                      <w:jc w:val="center"/>
                    </w:pPr>
                    <w:r>
                      <w:fldChar w:fldCharType="begin"/>
                    </w:r>
                    <w:r>
                      <w:instrText xml:space="preserve">PAGE   \* MERGEFORMAT</w:instrText>
                    </w:r>
                    <w:r>
                      <w:fldChar w:fldCharType="separate"/>
                    </w:r>
                    <w:r>
                      <w:rPr>
                        <w:lang w:val="zh-CN"/>
                      </w:rPr>
                      <w:t xml:space="preserve">99</w:t>
                    </w:r>
                    <w:r>
                      <w:fldChar w:fldCharType="end"/>
                    </w:r>
                    <w:r/>
                  </w:p>
                </w:txbxContent>
              </v:textbox>
            </v:shape>
          </w:pict>
        </mc:Fallback>
      </mc:AlternateContent>
    </w:r>
    <w:r/>
  </w:p>
  <w:p>
    <w:pPr>
      <w:pStyle w:val="7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Fonts w:hint="eastAsia" w:eastAsia="宋体"/>
        <w:lang w:eastAsia="zh-CN"/>
      </w:rPr>
    </w:pPr>
    <w:r>
      <w:rPr>
        <w:rFonts w:hint="eastAsia"/>
        <w:lang w:val="en-US" w:eastAsia="zh-CN"/>
      </w:rPr>
      <w:t xml:space="preserve">                                                                     </w:t>
    </w:r>
    <w:r>
      <w:rPr>
        <w:rFonts w:hint="eastAsia"/>
        <w:lang w:eastAsia="zh-CN"/>
      </w:rPr>
      <w:t xml:space="preserve">扬州市建苑工程监理有限责任公司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hint="default" w:ascii="宋体" w:hAnsi="宋体" w:eastAsia="宋体" w:cs="宋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5"/>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0">
    <w:name w:val="Heading 1"/>
    <w:basedOn w:val="769"/>
    <w:next w:val="769"/>
    <w:link w:val="976"/>
    <w:uiPriority w:val="9"/>
    <w:qFormat/>
    <w:pPr>
      <w:jc w:val="center"/>
      <w:keepNext/>
      <w:outlineLvl w:val="0"/>
    </w:pPr>
    <w:rPr>
      <w:rFonts w:ascii="楷体_GB2312" w:hAnsi="楷体_GB2312" w:eastAsia="黑体"/>
      <w:sz w:val="44"/>
      <w:szCs w:val="28"/>
    </w:rPr>
  </w:style>
  <w:style w:type="paragraph" w:styleId="771">
    <w:name w:val="Heading 2"/>
    <w:basedOn w:val="769"/>
    <w:next w:val="78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72">
    <w:name w:val="Heading 3"/>
    <w:basedOn w:val="769"/>
    <w:next w:val="769"/>
    <w:uiPriority w:val="9"/>
    <w:qFormat/>
    <w:pPr>
      <w:keepLines/>
      <w:keepNext/>
      <w:spacing w:before="260" w:after="260" w:line="416" w:lineRule="auto"/>
      <w:outlineLvl w:val="2"/>
    </w:pPr>
    <w:rPr>
      <w:b/>
      <w:bCs/>
      <w:sz w:val="32"/>
      <w:szCs w:val="32"/>
    </w:rPr>
  </w:style>
  <w:style w:type="paragraph" w:styleId="773">
    <w:name w:val="Heading 4"/>
    <w:basedOn w:val="769"/>
    <w:next w:val="781"/>
    <w:uiPriority w:val="9"/>
    <w:qFormat/>
    <w:pPr>
      <w:keepLines/>
      <w:keepNext/>
      <w:spacing w:before="280" w:after="290" w:line="376" w:lineRule="auto"/>
      <w:outlineLvl w:val="3"/>
    </w:pPr>
    <w:rPr>
      <w:rFonts w:ascii="Arial" w:hAnsi="Arial" w:eastAsia="黑体" w:cs="Arial"/>
      <w:b/>
      <w:bCs/>
      <w:sz w:val="28"/>
      <w:szCs w:val="28"/>
    </w:rPr>
  </w:style>
  <w:style w:type="paragraph" w:styleId="774">
    <w:name w:val="Heading 5"/>
    <w:basedOn w:val="769"/>
    <w:next w:val="781"/>
    <w:uiPriority w:val="9"/>
    <w:qFormat/>
    <w:pPr>
      <w:keepNext/>
      <w:outlineLvl w:val="4"/>
    </w:pPr>
    <w:rPr>
      <w:rFonts w:ascii="宋体"/>
      <w:color w:val="000000"/>
      <w:sz w:val="28"/>
      <w:szCs w:val="28"/>
    </w:rPr>
  </w:style>
  <w:style w:type="paragraph" w:styleId="775">
    <w:name w:val="Heading 6"/>
    <w:basedOn w:val="769"/>
    <w:next w:val="769"/>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Heading 7"/>
    <w:basedOn w:val="769"/>
    <w:next w:val="769"/>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3"/>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4"/>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0"/>
    <w:semiHidden/>
    <w:qFormat/>
  </w:style>
  <w:style w:type="table" w:styleId="780" w:default="1">
    <w:name w:val="Normal Table"/>
    <w:uiPriority w:val="0"/>
    <w:semiHidden/>
    <w:qFormat/>
    <w:tblPr>
      <w:tblCellMar>
        <w:left w:w="108" w:type="dxa"/>
        <w:top w:w="0" w:type="dxa"/>
        <w:right w:w="108" w:type="dxa"/>
        <w:bottom w:w="0" w:type="dxa"/>
      </w:tblCellMar>
    </w:tblPr>
  </w:style>
  <w:style w:type="paragraph" w:styleId="781">
    <w:name w:val="Normal Indent"/>
    <w:basedOn w:val="769"/>
    <w:uiPriority w:val="0"/>
    <w:qFormat/>
    <w:pPr>
      <w:ind w:firstLine="420"/>
    </w:pPr>
  </w:style>
  <w:style w:type="paragraph" w:styleId="782">
    <w:name w:val="toc 7"/>
    <w:basedOn w:val="769"/>
    <w:next w:val="769"/>
    <w:uiPriority w:val="39"/>
    <w:unhideWhenUsed/>
    <w:qFormat/>
    <w:pPr>
      <w:ind w:left="1701" w:right="0" w:firstLine="0"/>
      <w:spacing w:after="57"/>
    </w:pPr>
  </w:style>
  <w:style w:type="paragraph" w:styleId="783">
    <w:name w:val="Caption"/>
    <w:basedOn w:val="769"/>
    <w:next w:val="76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4">
    <w:name w:val="annotation text"/>
    <w:basedOn w:val="769"/>
    <w:uiPriority w:val="99"/>
    <w:semiHidden/>
    <w:qFormat/>
    <w:pPr>
      <w:jc w:val="left"/>
    </w:pPr>
  </w:style>
  <w:style w:type="paragraph" w:styleId="785">
    <w:name w:val="toc 5"/>
    <w:basedOn w:val="769"/>
    <w:next w:val="769"/>
    <w:uiPriority w:val="39"/>
    <w:unhideWhenUsed/>
    <w:qFormat/>
    <w:pPr>
      <w:ind w:left="1134" w:right="0" w:firstLine="0"/>
      <w:spacing w:after="57"/>
    </w:pPr>
  </w:style>
  <w:style w:type="paragraph" w:styleId="786">
    <w:name w:val="toc 3"/>
    <w:basedOn w:val="769"/>
    <w:next w:val="769"/>
    <w:uiPriority w:val="39"/>
    <w:unhideWhenUsed/>
    <w:qFormat/>
    <w:pPr>
      <w:ind w:left="567" w:right="0" w:firstLine="0"/>
      <w:spacing w:after="57"/>
    </w:pPr>
  </w:style>
  <w:style w:type="paragraph" w:styleId="787">
    <w:name w:val="toc 8"/>
    <w:basedOn w:val="769"/>
    <w:next w:val="769"/>
    <w:uiPriority w:val="39"/>
    <w:unhideWhenUsed/>
    <w:qFormat/>
    <w:pPr>
      <w:ind w:left="1984" w:right="0" w:firstLine="0"/>
      <w:spacing w:after="57"/>
    </w:pPr>
  </w:style>
  <w:style w:type="paragraph" w:styleId="788">
    <w:name w:val="endnote text"/>
    <w:basedOn w:val="769"/>
    <w:link w:val="951"/>
    <w:uiPriority w:val="99"/>
    <w:semiHidden/>
    <w:unhideWhenUsed/>
    <w:qFormat/>
    <w:pPr>
      <w:spacing w:after="0" w:line="240" w:lineRule="auto"/>
    </w:pPr>
    <w:rPr>
      <w:sz w:val="20"/>
    </w:rPr>
  </w:style>
  <w:style w:type="paragraph" w:styleId="789">
    <w:name w:val="Footer"/>
    <w:basedOn w:val="769"/>
    <w:uiPriority w:val="99"/>
    <w:qFormat/>
    <w:pPr>
      <w:jc w:val="left"/>
      <w:tabs>
        <w:tab w:val="center" w:pos="4153" w:leader="none"/>
        <w:tab w:val="right" w:pos="8306" w:leader="none"/>
      </w:tabs>
    </w:pPr>
    <w:rPr>
      <w:sz w:val="18"/>
      <w:szCs w:val="18"/>
    </w:rPr>
  </w:style>
  <w:style w:type="paragraph" w:styleId="790">
    <w:name w:val="Header"/>
    <w:basedOn w:val="769"/>
    <w:uiPriority w:val="99"/>
    <w:qFormat/>
    <w:pPr>
      <w:jc w:val="center"/>
      <w:tabs>
        <w:tab w:val="center" w:pos="4153" w:leader="none"/>
        <w:tab w:val="right" w:pos="8306" w:leader="none"/>
      </w:tabs>
      <w:pBdr>
        <w:bottom w:val="single" w:color="000000" w:sz="6" w:space="1"/>
      </w:pBdr>
    </w:pPr>
    <w:rPr>
      <w:sz w:val="18"/>
      <w:szCs w:val="18"/>
    </w:rPr>
  </w:style>
  <w:style w:type="paragraph" w:styleId="791">
    <w:name w:val="toc 1"/>
    <w:basedOn w:val="769"/>
    <w:next w:val="769"/>
    <w:uiPriority w:val="39"/>
    <w:unhideWhenUsed/>
    <w:qFormat/>
    <w:pPr>
      <w:ind w:left="0" w:right="0" w:firstLine="0"/>
      <w:spacing w:after="57"/>
    </w:pPr>
  </w:style>
  <w:style w:type="paragraph" w:styleId="792">
    <w:name w:val="toc 4"/>
    <w:basedOn w:val="769"/>
    <w:next w:val="769"/>
    <w:uiPriority w:val="39"/>
    <w:unhideWhenUsed/>
    <w:qFormat/>
    <w:pPr>
      <w:ind w:left="850" w:right="0" w:firstLine="0"/>
      <w:spacing w:after="57"/>
    </w:pPr>
  </w:style>
  <w:style w:type="paragraph" w:styleId="793">
    <w:name w:val="Subtitle"/>
    <w:basedOn w:val="769"/>
    <w:next w:val="769"/>
    <w:link w:val="817"/>
    <w:uiPriority w:val="11"/>
    <w:qFormat/>
    <w:pPr>
      <w:spacing w:before="200" w:after="200"/>
    </w:pPr>
    <w:rPr>
      <w:sz w:val="24"/>
      <w:szCs w:val="24"/>
    </w:rPr>
  </w:style>
  <w:style w:type="paragraph" w:styleId="794">
    <w:name w:val="footnote text"/>
    <w:basedOn w:val="769"/>
    <w:link w:val="950"/>
    <w:uiPriority w:val="99"/>
    <w:semiHidden/>
    <w:unhideWhenUsed/>
    <w:qFormat/>
    <w:pPr>
      <w:spacing w:after="40" w:line="240" w:lineRule="auto"/>
    </w:pPr>
    <w:rPr>
      <w:sz w:val="18"/>
    </w:rPr>
  </w:style>
  <w:style w:type="paragraph" w:styleId="795">
    <w:name w:val="toc 6"/>
    <w:basedOn w:val="769"/>
    <w:next w:val="769"/>
    <w:uiPriority w:val="39"/>
    <w:unhideWhenUsed/>
    <w:qFormat/>
    <w:pPr>
      <w:ind w:left="1417" w:right="0" w:firstLine="0"/>
      <w:spacing w:after="57"/>
    </w:pPr>
  </w:style>
  <w:style w:type="paragraph" w:styleId="796">
    <w:name w:val="table of figures"/>
    <w:basedOn w:val="769"/>
    <w:next w:val="769"/>
    <w:uiPriority w:val="99"/>
    <w:unhideWhenUsed/>
    <w:qFormat/>
    <w:pPr>
      <w:spacing w:after="0" w:afterAutospacing="0"/>
    </w:pPr>
  </w:style>
  <w:style w:type="paragraph" w:styleId="797">
    <w:name w:val="toc 2"/>
    <w:basedOn w:val="769"/>
    <w:next w:val="769"/>
    <w:uiPriority w:val="39"/>
    <w:unhideWhenUsed/>
    <w:qFormat/>
    <w:pPr>
      <w:ind w:left="283" w:right="0" w:firstLine="0"/>
      <w:spacing w:after="57"/>
    </w:pPr>
  </w:style>
  <w:style w:type="paragraph" w:styleId="798">
    <w:name w:val="toc 9"/>
    <w:basedOn w:val="769"/>
    <w:next w:val="769"/>
    <w:uiPriority w:val="39"/>
    <w:unhideWhenUsed/>
    <w:qFormat/>
    <w:pPr>
      <w:ind w:left="2268" w:right="0" w:firstLine="0"/>
      <w:spacing w:after="57"/>
    </w:pPr>
  </w:style>
  <w:style w:type="paragraph" w:styleId="799">
    <w:name w:val="Normal (Web)"/>
    <w:basedOn w:val="769"/>
    <w:uiPriority w:val="99"/>
    <w:qFormat/>
    <w:pPr>
      <w:jc w:val="left"/>
      <w:spacing w:before="100" w:beforeAutospacing="1" w:after="100" w:afterAutospacing="1"/>
      <w:widowControl/>
    </w:pPr>
    <w:rPr>
      <w:rFonts w:ascii="宋体" w:hAnsi="宋体" w:cs="宋体"/>
      <w:sz w:val="24"/>
      <w:szCs w:val="24"/>
    </w:rPr>
  </w:style>
  <w:style w:type="paragraph" w:styleId="800">
    <w:name w:val="Title"/>
    <w:basedOn w:val="769"/>
    <w:next w:val="769"/>
    <w:link w:val="816"/>
    <w:uiPriority w:val="10"/>
    <w:qFormat/>
    <w:pPr>
      <w:contextualSpacing/>
      <w:spacing w:before="300" w:after="200"/>
    </w:pPr>
    <w:rPr>
      <w:sz w:val="48"/>
      <w:szCs w:val="48"/>
    </w:rPr>
  </w:style>
  <w:style w:type="table" w:styleId="801">
    <w:name w:val="Table Grid"/>
    <w:basedOn w:val="780"/>
    <w:uiPriority w:val="59"/>
    <w:qFormat/>
    <w:pPr>
      <w:jc w:val="both"/>
      <w:widowControl w:val="off"/>
    </w:pPr>
    <w:tblPr>
      <w:tblCellMar>
        <w:left w:w="108" w:type="dxa"/>
        <w:top w:w="0" w:type="dxa"/>
        <w:right w:w="108" w:type="dxa"/>
        <w:bottom w:w="0" w:type="dxa"/>
      </w:tblCellMar>
    </w:tblPr>
  </w:style>
  <w:style w:type="character" w:styleId="802">
    <w:name w:val="endnote reference"/>
    <w:basedOn w:val="779"/>
    <w:uiPriority w:val="99"/>
    <w:semiHidden/>
    <w:unhideWhenUsed/>
    <w:qFormat/>
    <w:rPr>
      <w:vertAlign w:val="superscript"/>
    </w:rPr>
  </w:style>
  <w:style w:type="character" w:styleId="803">
    <w:name w:val="page number"/>
    <w:uiPriority w:val="0"/>
    <w:qFormat/>
  </w:style>
  <w:style w:type="character" w:styleId="804">
    <w:name w:val="Hyperlink"/>
    <w:uiPriority w:val="99"/>
    <w:unhideWhenUsed/>
    <w:qFormat/>
    <w:rPr>
      <w:color w:val="0026e5" w:themeColor="hyperlink"/>
      <w:u w:val="single"/>
      <w14:textFill>
        <w14:solidFill>
          <w14:schemeClr w14:val="hlink"/>
        </w14:solidFill>
      </w14:textFill>
    </w:rPr>
  </w:style>
  <w:style w:type="character" w:styleId="805">
    <w:name w:val="footnote reference"/>
    <w:basedOn w:val="779"/>
    <w:uiPriority w:val="99"/>
    <w:unhideWhenUsed/>
    <w:qFormat/>
    <w:rPr>
      <w:vertAlign w:val="superscript"/>
    </w:rPr>
  </w:style>
  <w:style w:type="character" w:styleId="806" w:customStyle="1">
    <w:name w:val="Heading 1 Char"/>
    <w:basedOn w:val="779"/>
    <w:uiPriority w:val="9"/>
    <w:qFormat/>
    <w:rPr>
      <w:rFonts w:ascii="Arial" w:hAnsi="Arial" w:eastAsia="Arial" w:cs="Arial"/>
      <w:sz w:val="40"/>
      <w:szCs w:val="40"/>
    </w:rPr>
  </w:style>
  <w:style w:type="character" w:styleId="807" w:customStyle="1">
    <w:name w:val="Heading 2 Char"/>
    <w:basedOn w:val="779"/>
    <w:uiPriority w:val="9"/>
    <w:qFormat/>
    <w:rPr>
      <w:rFonts w:ascii="Arial" w:hAnsi="Arial" w:eastAsia="Arial" w:cs="Arial"/>
      <w:sz w:val="34"/>
    </w:rPr>
  </w:style>
  <w:style w:type="character" w:styleId="808" w:customStyle="1">
    <w:name w:val="Heading 3 Char"/>
    <w:basedOn w:val="779"/>
    <w:uiPriority w:val="9"/>
    <w:qFormat/>
    <w:rPr>
      <w:rFonts w:ascii="Arial" w:hAnsi="Arial" w:eastAsia="Arial" w:cs="Arial"/>
      <w:sz w:val="30"/>
      <w:szCs w:val="30"/>
    </w:rPr>
  </w:style>
  <w:style w:type="character" w:styleId="809" w:customStyle="1">
    <w:name w:val="Heading 4 Char"/>
    <w:basedOn w:val="779"/>
    <w:uiPriority w:val="9"/>
    <w:qFormat/>
    <w:rPr>
      <w:rFonts w:ascii="Arial" w:hAnsi="Arial" w:eastAsia="Arial" w:cs="Arial"/>
      <w:b/>
      <w:bCs/>
      <w:sz w:val="26"/>
      <w:szCs w:val="26"/>
    </w:rPr>
  </w:style>
  <w:style w:type="character" w:styleId="810" w:customStyle="1">
    <w:name w:val="Heading 5 Char"/>
    <w:basedOn w:val="779"/>
    <w:uiPriority w:val="9"/>
    <w:qFormat/>
    <w:rPr>
      <w:rFonts w:ascii="Arial" w:hAnsi="Arial" w:eastAsia="Arial" w:cs="Arial"/>
      <w:b/>
      <w:bCs/>
      <w:sz w:val="24"/>
      <w:szCs w:val="24"/>
    </w:rPr>
  </w:style>
  <w:style w:type="character" w:styleId="811" w:customStyle="1">
    <w:name w:val="Heading 6 Char"/>
    <w:basedOn w:val="779"/>
    <w:uiPriority w:val="9"/>
    <w:qFormat/>
    <w:rPr>
      <w:rFonts w:ascii="Arial" w:hAnsi="Arial" w:eastAsia="Arial" w:cs="Arial"/>
      <w:b/>
      <w:bCs/>
      <w:sz w:val="22"/>
      <w:szCs w:val="22"/>
    </w:rPr>
  </w:style>
  <w:style w:type="character" w:styleId="812" w:customStyle="1">
    <w:name w:val="Heading 7 Char"/>
    <w:basedOn w:val="779"/>
    <w:link w:val="776"/>
    <w:uiPriority w:val="9"/>
    <w:qFormat/>
    <w:rPr>
      <w:rFonts w:ascii="Arial" w:hAnsi="Arial" w:eastAsia="Arial" w:cs="Arial"/>
      <w:b/>
      <w:bCs/>
      <w:i/>
      <w:iCs/>
      <w:sz w:val="22"/>
      <w:szCs w:val="22"/>
    </w:rPr>
  </w:style>
  <w:style w:type="character" w:styleId="813" w:customStyle="1">
    <w:name w:val="Heading 8 Char"/>
    <w:basedOn w:val="779"/>
    <w:link w:val="777"/>
    <w:uiPriority w:val="9"/>
    <w:qFormat/>
    <w:rPr>
      <w:rFonts w:ascii="Arial" w:hAnsi="Arial" w:eastAsia="Arial" w:cs="Arial"/>
      <w:i/>
      <w:iCs/>
      <w:sz w:val="22"/>
      <w:szCs w:val="22"/>
    </w:rPr>
  </w:style>
  <w:style w:type="character" w:styleId="814" w:customStyle="1">
    <w:name w:val="Heading 9 Char"/>
    <w:basedOn w:val="779"/>
    <w:link w:val="778"/>
    <w:uiPriority w:val="9"/>
    <w:qFormat/>
    <w:rPr>
      <w:rFonts w:ascii="Arial" w:hAnsi="Arial" w:eastAsia="Arial" w:cs="Arial"/>
      <w:i/>
      <w:iCs/>
      <w:sz w:val="21"/>
      <w:szCs w:val="21"/>
    </w:rPr>
  </w:style>
  <w:style w:type="paragraph" w:styleId="815">
    <w:name w:val="No Spacing"/>
    <w:uiPriority w:val="1"/>
    <w:qFormat/>
    <w:pPr>
      <w:spacing w:before="0" w:after="0" w:line="240" w:lineRule="auto"/>
    </w:pPr>
    <w:rPr>
      <w:rFonts w:hint="default" w:asciiTheme="minorHAnsi" w:hAnsiTheme="minorHAnsi" w:eastAsiaTheme="minorEastAsia" w:cstheme="minorBidi"/>
    </w:rPr>
  </w:style>
  <w:style w:type="character" w:styleId="816" w:customStyle="1">
    <w:name w:val="Title Char"/>
    <w:basedOn w:val="779"/>
    <w:link w:val="800"/>
    <w:uiPriority w:val="10"/>
    <w:qFormat/>
    <w:rPr>
      <w:sz w:val="48"/>
      <w:szCs w:val="48"/>
    </w:rPr>
  </w:style>
  <w:style w:type="character" w:styleId="817" w:customStyle="1">
    <w:name w:val="Subtitle Char"/>
    <w:basedOn w:val="779"/>
    <w:link w:val="793"/>
    <w:uiPriority w:val="11"/>
    <w:qFormat/>
    <w:rPr>
      <w:sz w:val="24"/>
      <w:szCs w:val="24"/>
    </w:rPr>
  </w:style>
  <w:style w:type="paragraph" w:styleId="818">
    <w:name w:val="Quote"/>
    <w:basedOn w:val="769"/>
    <w:next w:val="769"/>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9"/>
    <w:next w:val="769"/>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9"/>
    <w:uiPriority w:val="99"/>
    <w:qFormat/>
  </w:style>
  <w:style w:type="character" w:styleId="823" w:customStyle="1">
    <w:name w:val="Footer Char"/>
    <w:basedOn w:val="779"/>
    <w:uiPriority w:val="99"/>
    <w:qFormat/>
  </w:style>
  <w:style w:type="character" w:styleId="824" w:customStyle="1">
    <w:name w:val="Caption Char"/>
    <w:uiPriority w:val="99"/>
    <w:qFormat/>
  </w:style>
  <w:style w:type="table" w:styleId="825" w:customStyle="1">
    <w:name w:val="Table Grid Light"/>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8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4" w:customStyle="1">
    <w:name w:val="Grid Table 4 - Accent 2"/>
    <w:basedOn w:val="78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5" w:customStyle="1">
    <w:name w:val="Grid Table 4 - Accent 3"/>
    <w:basedOn w:val="78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6" w:customStyle="1">
    <w:name w:val="Grid Table 4 - Accent 4"/>
    <w:basedOn w:val="78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7" w:customStyle="1">
    <w:name w:val="Grid Table 4 - Accent 5"/>
    <w:basedOn w:val="78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8" w:customStyle="1">
    <w:name w:val="Grid Table 4 - Accent 6"/>
    <w:basedOn w:val="78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9"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1" w:customStyle="1">
    <w:name w:val="Grid Table 5 Dark - Accent 2"/>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2" w:customStyle="1">
    <w:name w:val="Grid Table 5 Dark - Accent 3"/>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3" w:customStyle="1">
    <w:name w:val="Grid Table 5 Dark- Accent 4"/>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4" w:customStyle="1">
    <w:name w:val="Grid Table 5 Dark - Accent 5"/>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5" w:customStyle="1">
    <w:name w:val="Grid Table 5 Dark - Accent 6"/>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6"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8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8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8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Grid Table 6 Colorful - Accent 6"/>
    <w:basedOn w:val="78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8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8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8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8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8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8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8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8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8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8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8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8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8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9" w:customStyle="1">
    <w:name w:val="List Table 2 - Accent 2"/>
    <w:basedOn w:val="78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0" w:customStyle="1">
    <w:name w:val="List Table 2 - Accent 3"/>
    <w:basedOn w:val="78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1" w:customStyle="1">
    <w:name w:val="List Table 2 - Accent 4"/>
    <w:basedOn w:val="78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2" w:customStyle="1">
    <w:name w:val="List Table 2 - Accent 5"/>
    <w:basedOn w:val="78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3" w:customStyle="1">
    <w:name w:val="List Table 2 - Accent 6"/>
    <w:basedOn w:val="78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4"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8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6" w:customStyle="1">
    <w:name w:val="List Table 3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8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8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8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1"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8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3" w:customStyle="1">
    <w:name w:val="List Table 4 - Accent 2"/>
    <w:basedOn w:val="78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4" w:customStyle="1">
    <w:name w:val="List Table 4 - Accent 3"/>
    <w:basedOn w:val="78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5" w:customStyle="1">
    <w:name w:val="List Table 4 - Accent 4"/>
    <w:basedOn w:val="78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6" w:customStyle="1">
    <w:name w:val="List Table 4 - Accent 5"/>
    <w:basedOn w:val="78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7" w:customStyle="1">
    <w:name w:val="List Table 4 - Accent 6"/>
    <w:basedOn w:val="78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8"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8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8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8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8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8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8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8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7" w:customStyle="1">
    <w:name w:val="List Table 6 Colorful - Accent 2"/>
    <w:basedOn w:val="78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8" w:customStyle="1">
    <w:name w:val="List Table 6 Colorful - Accent 3"/>
    <w:basedOn w:val="78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9" w:customStyle="1">
    <w:name w:val="List Table 6 Colorful - Accent 4"/>
    <w:basedOn w:val="78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0" w:customStyle="1">
    <w:name w:val="List Table 6 Colorful - Accent 5"/>
    <w:basedOn w:val="78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1" w:customStyle="1">
    <w:name w:val="List Table 6 Colorful - Accent 6"/>
    <w:basedOn w:val="78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2"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8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8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8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8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8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8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1" w:customStyle="1">
    <w:name w:val="Lined - Accent 2"/>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2" w:customStyle="1">
    <w:name w:val="Lined - Accent 3"/>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3" w:customStyle="1">
    <w:name w:val="Lined - Accent 4"/>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4" w:customStyle="1">
    <w:name w:val="Lined - Accent 5"/>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5" w:customStyle="1">
    <w:name w:val="Lined - Accent 6"/>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6" w:customStyle="1">
    <w:name w:val="Bordered &amp; Lined - Accent"/>
    <w:basedOn w:val="7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8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8" w:customStyle="1">
    <w:name w:val="Bordered &amp; Lined - Accent 2"/>
    <w:basedOn w:val="78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9" w:customStyle="1">
    <w:name w:val="Bordered &amp; Lined - Accent 3"/>
    <w:basedOn w:val="78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0" w:customStyle="1">
    <w:name w:val="Bordered &amp; Lined - Accent 4"/>
    <w:basedOn w:val="78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1" w:customStyle="1">
    <w:name w:val="Bordered &amp; Lined - Accent 5"/>
    <w:basedOn w:val="78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2" w:customStyle="1">
    <w:name w:val="Bordered &amp; Lined - Accent 6"/>
    <w:basedOn w:val="78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3" w:customStyle="1">
    <w:name w:val="Bordered"/>
    <w:basedOn w:val="7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5" w:customStyle="1">
    <w:name w:val="Bordered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6" w:customStyle="1">
    <w:name w:val="Bordered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7" w:customStyle="1">
    <w:name w:val="Bordered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8" w:customStyle="1">
    <w:name w:val="Bordered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9" w:customStyle="1">
    <w:name w:val="Bordered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0" w:customStyle="1">
    <w:name w:val="Footnote Text Char"/>
    <w:link w:val="794"/>
    <w:uiPriority w:val="99"/>
    <w:qFormat/>
    <w:rPr>
      <w:sz w:val="18"/>
    </w:rPr>
  </w:style>
  <w:style w:type="character" w:styleId="951" w:customStyle="1">
    <w:name w:val="Endnote Text Char"/>
    <w:link w:val="788"/>
    <w:uiPriority w:val="99"/>
    <w:qFormat/>
    <w:rPr>
      <w:sz w:val="20"/>
    </w:rPr>
  </w:style>
  <w:style w:type="paragraph" w:styleId="952" w:customStyle="1">
    <w:name w:val="TOC Heading"/>
    <w:uiPriority w:val="39"/>
    <w:unhideWhenUsed/>
    <w:qFormat/>
    <w:rPr>
      <w:rFonts w:hint="default" w:asciiTheme="minorHAnsi" w:hAnsiTheme="minorHAnsi" w:eastAsiaTheme="minorEastAsia" w:cstheme="minorBidi"/>
    </w:rPr>
  </w:style>
  <w:style w:type="paragraph" w:styleId="953" w:customStyle="1">
    <w:name w:val="标题 11"/>
    <w:basedOn w:val="769"/>
    <w:next w:val="769"/>
    <w:link w:val="954"/>
    <w:uiPriority w:val="0"/>
    <w:qFormat/>
    <w:pPr>
      <w:jc w:val="center"/>
      <w:keepNext/>
      <w:outlineLvl w:val="0"/>
    </w:pPr>
    <w:rPr>
      <w:rFonts w:ascii="楷体_GB2312" w:hAnsi="楷体_GB2312" w:eastAsia="黑体"/>
      <w:sz w:val="44"/>
      <w:szCs w:val="28"/>
    </w:rPr>
  </w:style>
  <w:style w:type="character" w:styleId="954" w:customStyle="1">
    <w:name w:val="标题 1 Char"/>
    <w:link w:val="953"/>
    <w:uiPriority w:val="0"/>
    <w:qFormat/>
    <w:rPr>
      <w:rFonts w:ascii="楷体_GB2312" w:hAnsi="楷体_GB2312" w:eastAsia="黑体"/>
      <w:sz w:val="44"/>
      <w:szCs w:val="28"/>
    </w:rPr>
  </w:style>
  <w:style w:type="paragraph" w:styleId="955" w:customStyle="1">
    <w:name w:val="标题 311"/>
    <w:basedOn w:val="769"/>
    <w:next w:val="956"/>
    <w:uiPriority w:val="9"/>
    <w:qFormat/>
    <w:pPr>
      <w:keepLines/>
      <w:keepNext/>
      <w:spacing w:before="320" w:after="200"/>
      <w:outlineLvl w:val="2"/>
    </w:pPr>
    <w:rPr>
      <w:rFonts w:ascii="Arial" w:hAnsi="Arial" w:eastAsia="Arial" w:cs="Arial"/>
      <w:sz w:val="30"/>
      <w:szCs w:val="30"/>
    </w:rPr>
  </w:style>
  <w:style w:type="paragraph" w:styleId="956" w:customStyle="1">
    <w:name w:val="正文缩进11"/>
    <w:basedOn w:val="769"/>
    <w:uiPriority w:val="99"/>
    <w:qFormat/>
    <w:pPr>
      <w:ind w:firstLine="420"/>
    </w:pPr>
  </w:style>
  <w:style w:type="character" w:styleId="957" w:customStyle="1">
    <w:name w:val="NormalCharacter"/>
    <w:uiPriority w:val="99"/>
    <w:qFormat/>
  </w:style>
  <w:style w:type="paragraph" w:styleId="958">
    <w:name w:val="List Paragraph"/>
    <w:basedOn w:val="769"/>
    <w:uiPriority w:val="34"/>
    <w:qFormat/>
    <w:pPr>
      <w:contextualSpacing/>
      <w:ind w:left="720"/>
    </w:pPr>
  </w:style>
  <w:style w:type="character" w:styleId="959" w:customStyle="1">
    <w:name w:val="font91"/>
    <w:basedOn w:val="779"/>
    <w:uiPriority w:val="0"/>
    <w:qFormat/>
    <w:rPr>
      <w:rFonts w:hint="eastAsia" w:ascii="宋体" w:hAnsi="宋体" w:eastAsia="宋体" w:cs="宋体"/>
      <w:color w:val="ff0000"/>
      <w:sz w:val="20"/>
      <w:szCs w:val="20"/>
      <w:u w:val="none"/>
    </w:rPr>
  </w:style>
  <w:style w:type="character" w:styleId="960" w:customStyle="1">
    <w:name w:val="font31"/>
    <w:basedOn w:val="779"/>
    <w:uiPriority w:val="0"/>
    <w:qFormat/>
    <w:rPr>
      <w:rFonts w:hint="eastAsia" w:ascii="宋体" w:hAnsi="宋体" w:eastAsia="宋体" w:cs="宋体"/>
      <w:color w:val="000000"/>
      <w:sz w:val="20"/>
      <w:szCs w:val="20"/>
      <w:u w:val="none"/>
    </w:rPr>
  </w:style>
  <w:style w:type="character" w:styleId="961" w:customStyle="1">
    <w:name w:val="font101"/>
    <w:basedOn w:val="779"/>
    <w:uiPriority w:val="0"/>
    <w:qFormat/>
    <w:rPr>
      <w:rFonts w:hint="eastAsia" w:ascii="宋体" w:hAnsi="宋体" w:eastAsia="宋体" w:cs="宋体"/>
      <w:color w:val="000000"/>
      <w:sz w:val="20"/>
      <w:szCs w:val="20"/>
      <w:u w:val="none"/>
    </w:rPr>
  </w:style>
  <w:style w:type="paragraph" w:styleId="962" w:customStyle="1">
    <w:name w:val="表中文字"/>
    <w:next w:val="769"/>
    <w:uiPriority w:val="0"/>
    <w:qFormat/>
    <w:pPr>
      <w:keepLines/>
    </w:pPr>
    <w:rPr>
      <w:rFonts w:hint="default" w:ascii="Times New Roman" w:hAnsi="Times New Roman" w:eastAsia="宋体" w:cs="Times New Roman"/>
      <w:sz w:val="24"/>
      <w:lang w:val="en-US" w:eastAsia="zh-CN" w:bidi="ar-SA"/>
    </w:rPr>
  </w:style>
  <w:style w:type="table" w:styleId="963" w:customStyle="1">
    <w:name w:val="网格型11"/>
    <w:uiPriority w:val="59"/>
    <w:qFormat/>
    <w:tblPr>
      <w:tblCellMar>
        <w:left w:w="0" w:type="dxa"/>
        <w:top w:w="0" w:type="dxa"/>
        <w:right w:w="0" w:type="dxa"/>
        <w:bottom w:w="0" w:type="dxa"/>
      </w:tblCellMar>
    </w:tblPr>
  </w:style>
  <w:style w:type="paragraph" w:styleId="964" w:customStyle="1">
    <w:name w:val="正文111"/>
    <w:next w:val="9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标题 41"/>
    <w:basedOn w:val="966"/>
    <w:next w:val="964"/>
    <w:uiPriority w:val="0"/>
    <w:qFormat/>
    <w:pPr>
      <w:keepLines/>
      <w:keepNext/>
      <w:spacing w:before="280" w:after="290" w:line="376" w:lineRule="auto"/>
      <w:outlineLvl w:val="3"/>
    </w:pPr>
    <w:rPr>
      <w:rFonts w:ascii="Arial" w:hAnsi="Arial" w:eastAsia="黑体" w:cs="Arial"/>
      <w:b/>
      <w:bCs/>
      <w:sz w:val="28"/>
      <w:szCs w:val="28"/>
    </w:rPr>
  </w:style>
  <w:style w:type="paragraph" w:styleId="966" w:customStyle="1">
    <w:name w:val="正文12"/>
    <w:next w:val="9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7" w:customStyle="1">
    <w:name w:val="脚注文本1"/>
    <w:basedOn w:val="968"/>
    <w:next w:val="973"/>
    <w:uiPriority w:val="0"/>
    <w:qFormat/>
    <w:rPr>
      <w:rFonts w:ascii="宋体" w:eastAsia="Times New Roman"/>
      <w:sz w:val="18"/>
      <w:szCs w:val="18"/>
    </w:rPr>
  </w:style>
  <w:style w:type="paragraph" w:styleId="968" w:customStyle="1">
    <w:name w:val="正文1"/>
    <w:basedOn w:val="769"/>
    <w:next w:val="969"/>
    <w:uiPriority w:val="99"/>
    <w:qFormat/>
    <w:pPr>
      <w:ind w:firstLine="480"/>
      <w:spacing w:line="440" w:lineRule="exact"/>
    </w:pPr>
    <w:rPr>
      <w:rFonts w:ascii="微软雅黑" w:hAnsi="微软雅黑" w:eastAsia="微软雅黑"/>
      <w:sz w:val="24"/>
      <w:szCs w:val="20"/>
    </w:rPr>
  </w:style>
  <w:style w:type="paragraph" w:styleId="969" w:customStyle="1">
    <w:name w:val="正文文本1"/>
    <w:basedOn w:val="769"/>
    <w:next w:val="970"/>
    <w:uiPriority w:val="0"/>
    <w:qFormat/>
    <w:rPr>
      <w:rFonts w:ascii="楷体_GB2312" w:hAnsi="Arial" w:eastAsia="楷体_GB2312"/>
      <w:sz w:val="28"/>
      <w:szCs w:val="28"/>
    </w:rPr>
  </w:style>
  <w:style w:type="paragraph" w:styleId="970" w:customStyle="1">
    <w:name w:val="一级条标题"/>
    <w:basedOn w:val="971"/>
    <w:next w:val="97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next w:val="968"/>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黑体"/>
      <w:sz w:val="21"/>
      <w:szCs w:val="21"/>
      <w:lang w:val="en-US" w:eastAsia="zh-CN" w:bidi="ar-SA"/>
    </w:rPr>
  </w:style>
  <w:style w:type="paragraph" w:styleId="972" w:customStyle="1">
    <w:name w:val="段"/>
    <w:basedOn w:val="968"/>
    <w:next w:val="968"/>
    <w:uiPriority w:val="99"/>
    <w:qFormat/>
    <w:pPr>
      <w:ind w:firstLine="200"/>
    </w:pPr>
  </w:style>
  <w:style w:type="paragraph" w:styleId="973" w:customStyle="1">
    <w:name w:val="索引 51"/>
    <w:basedOn w:val="974"/>
    <w:next w:val="968"/>
    <w:uiPriority w:val="0"/>
    <w:qFormat/>
    <w:pPr>
      <w:ind w:left="798"/>
      <w:jc w:val="left"/>
    </w:pPr>
    <w:rPr>
      <w:rFonts w:ascii="Calibri" w:hAnsi="Calibri"/>
    </w:rPr>
  </w:style>
  <w:style w:type="paragraph" w:styleId="974" w:customStyle="1">
    <w:name w:val="正文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UserStyle_30"/>
    <w:basedOn w:val="769"/>
    <w:uiPriority w:val="99"/>
    <w:qFormat/>
    <w:pPr>
      <w:ind w:firstLine="480"/>
      <w:jc w:val="left"/>
      <w:spacing w:before="120" w:after="120" w:line="360" w:lineRule="auto"/>
    </w:pPr>
    <w:rPr>
      <w:rFonts w:ascii="Arial" w:hAnsi="Arial"/>
      <w:sz w:val="24"/>
      <w:szCs w:val="24"/>
    </w:rPr>
  </w:style>
  <w:style w:type="character" w:styleId="976" w:customStyle="1">
    <w:name w:val="标题 1 Char1"/>
    <w:link w:val="770"/>
    <w:uiPriority w:val="9"/>
    <w:qFormat/>
    <w:rPr>
      <w:rFonts w:ascii="楷体_GB2312" w:hAnsi="楷体_GB2312" w:eastAsia="黑体"/>
      <w:sz w:val="44"/>
      <w:szCs w:val="28"/>
    </w:rPr>
  </w:style>
  <w:style w:type="paragraph" w:styleId="977" w:customStyle="1">
    <w:name w:val="正文（缩进）"/>
    <w:uiPriority w:val="0"/>
    <w:qFormat/>
    <w:pPr>
      <w:ind w:firstLine="480"/>
      <w:jc w:val="both"/>
      <w:widowControl w:val="off"/>
    </w:pPr>
    <w:rPr>
      <w:rFonts w:ascii="Times New Roman" w:hAnsi="Times New Roman" w:eastAsia="宋体" w:cs="Times New Roman"/>
      <w:sz w:val="21"/>
      <w:szCs w:val="22"/>
      <w:lang w:val="en-US" w:eastAsia="zh-CN" w:bidi="ar-SA"/>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强伟</cp:lastModifiedBy>
  <cp:revision>5</cp:revision>
  <dcterms:created xsi:type="dcterms:W3CDTF">2026-09-01T08:42:00Z</dcterms:created>
  <dcterms:modified xsi:type="dcterms:W3CDTF">2026-10-23T03:09:38Z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eyJoZGlkIjoiMmUwOTY1YTUzMDA2MDNlYzFkMmJjYmFjNmVlYTFhYjAiLCJ1c2VySWQiOiI1MjI4NTM2OTcifQ==</vt:lpwstr>
  </property>
  <property fmtid="{D5CDD505-2E9C-101B-9397-08002B2CF9AE}" pid="4" name="ICV">
    <vt:lpwstr>41ADCCA0619A4430B0212C9213C754CE_13</vt:lpwstr>
  </property>
</Properties>
</file>