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420"/>
        <w:spacing w:line="360" w:lineRule="auto"/>
        <w:rPr>
          <w:rFonts w:ascii="宋体" w:hAnsi="宋体" w:eastAsia="宋体"/>
          <w:sz w:val="84"/>
          <w:szCs w:val="84"/>
          <w:highlight w:val="none"/>
        </w:rPr>
      </w:pPr>
      <w:r>
        <w:rPr>
          <w:rFonts w:ascii="宋体" w:hAnsi="宋体" w:eastAsia="宋体"/>
          <w:sz w:val="84"/>
          <w:szCs w:val="84"/>
          <w:highlight w:val="none"/>
        </w:rPr>
      </w:r>
      <w:r/>
    </w:p>
    <w:p>
      <w:pPr>
        <w:pStyle w:val="1073"/>
        <w:jc w:val="center"/>
        <w:spacing w:line="480" w:lineRule="auto"/>
        <w:rPr>
          <w:rFonts w:ascii="宋体" w:hAnsi="宋体" w:eastAsia="宋体"/>
          <w:b/>
          <w:bCs/>
          <w:sz w:val="52"/>
          <w:szCs w:val="52"/>
          <w:highlight w:val="none"/>
        </w:rPr>
      </w:pPr>
      <w:r>
        <w:rPr>
          <w:rFonts w:ascii="宋体" w:hAnsi="宋体" w:eastAsia="宋体"/>
          <w:b/>
          <w:bCs/>
          <w:sz w:val="52"/>
          <w:szCs w:val="52"/>
          <w:highlight w:val="none"/>
        </w:rPr>
        <w:t xml:space="preserve">政 府 采 购 项 目</w:t>
      </w:r>
      <w:r>
        <w:rPr>
          <w:rFonts w:ascii="宋体" w:hAnsi="宋体" w:eastAsia="宋体"/>
          <w:b/>
          <w:bCs/>
          <w:sz w:val="52"/>
          <w:szCs w:val="52"/>
          <w:highlight w:val="none"/>
        </w:rPr>
      </w:r>
      <w:r/>
    </w:p>
    <w:p>
      <w:pPr>
        <w:pStyle w:val="1073"/>
        <w:jc w:val="center"/>
        <w:spacing w:line="480" w:lineRule="auto"/>
        <w:rPr>
          <w:rFonts w:ascii="宋体" w:hAnsi="宋体" w:eastAsia="宋体"/>
          <w:b/>
          <w:bCs/>
          <w:sz w:val="52"/>
          <w:szCs w:val="52"/>
          <w:highlight w:val="none"/>
        </w:rPr>
      </w:pPr>
      <w:r>
        <w:rPr>
          <w:rFonts w:ascii="宋体" w:hAnsi="宋体" w:eastAsia="宋体"/>
          <w:b/>
          <w:bCs/>
          <w:sz w:val="52"/>
          <w:szCs w:val="52"/>
          <w:highlight w:val="none"/>
        </w:rPr>
        <w:t xml:space="preserve">公 开 招 标 文 件</w:t>
      </w:r>
      <w:r>
        <w:rPr>
          <w:rFonts w:ascii="宋体" w:hAnsi="宋体" w:eastAsia="宋体"/>
          <w:b/>
          <w:bCs/>
          <w:sz w:val="52"/>
          <w:szCs w:val="52"/>
          <w:highlight w:val="none"/>
        </w:rPr>
      </w:r>
      <w:r/>
    </w:p>
    <w:p>
      <w:pPr>
        <w:pStyle w:val="1073"/>
        <w:jc w:val="center"/>
        <w:rPr>
          <w:rFonts w:ascii="宋体" w:hAnsi="宋体" w:eastAsia="宋体"/>
          <w:b/>
          <w:bCs/>
          <w:sz w:val="60"/>
          <w:szCs w:val="60"/>
          <w:highlight w:val="none"/>
        </w:rPr>
      </w:pPr>
      <w:r>
        <w:rPr>
          <w:rFonts w:ascii="宋体" w:hAnsi="宋体" w:eastAsia="宋体"/>
          <w:b/>
          <w:bCs/>
          <w:sz w:val="60"/>
          <w:szCs w:val="60"/>
          <w:highlight w:val="none"/>
        </w:rPr>
      </w:r>
      <w:r/>
    </w:p>
    <w:p>
      <w:pPr>
        <w:pStyle w:val="1073"/>
        <w:jc w:val="center"/>
        <w:rPr>
          <w:rFonts w:ascii="宋体" w:hAnsi="宋体" w:eastAsia="宋体"/>
          <w:b/>
          <w:bCs/>
          <w:sz w:val="60"/>
          <w:szCs w:val="60"/>
          <w:highlight w:val="none"/>
        </w:rPr>
      </w:pPr>
      <w:r>
        <w:rPr>
          <w:rFonts w:ascii="宋体" w:hAnsi="宋体" w:eastAsia="宋体"/>
          <w:b/>
          <w:bCs/>
          <w:sz w:val="60"/>
          <w:szCs w:val="60"/>
          <w:highlight w:val="none"/>
        </w:rPr>
      </w:r>
      <w:r/>
    </w:p>
    <w:p>
      <w:pPr>
        <w:pStyle w:val="1073"/>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pStyle w:val="1073"/>
        <w:ind w:firstLine="640"/>
        <w:jc w:val="left"/>
        <w:spacing w:line="360" w:lineRule="auto"/>
        <w:tabs>
          <w:tab w:val="left" w:pos="3240" w:leader="none"/>
          <w:tab w:val="left" w:pos="3420" w:leader="none"/>
        </w:tabs>
        <w:rPr>
          <w:rFonts w:hint="eastAsia" w:ascii="宋体" w:hAnsi="宋体" w:eastAsia="宋体"/>
          <w:bCs/>
          <w:sz w:val="32"/>
          <w:szCs w:val="32"/>
          <w:highlight w:val="none"/>
        </w:rPr>
      </w:pPr>
      <w:r>
        <w:rPr>
          <w:rFonts w:ascii="宋体" w:hAnsi="宋体" w:eastAsia="宋体"/>
          <w:bCs/>
          <w:sz w:val="32"/>
          <w:szCs w:val="32"/>
          <w:highlight w:val="none"/>
        </w:rPr>
        <w:t xml:space="preserve">项目名称：</w:t>
      </w:r>
      <w:r>
        <w:rPr>
          <w:rFonts w:hint="eastAsia" w:ascii="宋体" w:hAnsi="宋体" w:eastAsia="宋体"/>
          <w:bCs/>
          <w:sz w:val="32"/>
          <w:szCs w:val="32"/>
          <w:highlight w:val="none"/>
        </w:rPr>
        <w:t xml:space="preserve">2026年交警信息化系统前后端维护</w:t>
      </w:r>
      <w:r>
        <w:rPr>
          <w:rFonts w:hint="eastAsia" w:ascii="宋体" w:hAnsi="宋体" w:eastAsia="宋体"/>
          <w:bCs/>
          <w:sz w:val="32"/>
          <w:szCs w:val="32"/>
          <w:highlight w:val="none"/>
        </w:rPr>
      </w:r>
      <w:r/>
    </w:p>
    <w:p>
      <w:pPr>
        <w:pStyle w:val="1073"/>
        <w:ind w:firstLine="640"/>
        <w:jc w:val="left"/>
        <w:spacing w:line="360" w:lineRule="auto"/>
        <w:tabs>
          <w:tab w:val="left" w:pos="3240" w:leader="none"/>
          <w:tab w:val="left" w:pos="3420" w:leader="none"/>
        </w:tabs>
        <w:rPr>
          <w:rFonts w:hint="eastAsia" w:ascii="宋体" w:hAnsi="宋体" w:eastAsia="宋体"/>
          <w:bCs/>
          <w:sz w:val="32"/>
          <w:szCs w:val="32"/>
          <w:highlight w:val="none"/>
          <w:lang w:eastAsia="zh-CN"/>
        </w:rPr>
      </w:pPr>
      <w:r>
        <w:rPr>
          <w:rFonts w:ascii="宋体" w:hAnsi="宋体" w:eastAsia="宋体"/>
          <w:bCs/>
          <w:sz w:val="32"/>
          <w:szCs w:val="32"/>
          <w:highlight w:val="none"/>
        </w:rPr>
        <w:t xml:space="preserve">项目编号：</w:t>
      </w:r>
      <w:r>
        <w:rPr>
          <w:rFonts w:hint="eastAsia" w:ascii="宋体" w:hAnsi="宋体" w:eastAsia="宋体"/>
          <w:bCs/>
          <w:sz w:val="32"/>
          <w:szCs w:val="32"/>
          <w:highlight w:val="none"/>
          <w:lang w:eastAsia="zh-CN"/>
        </w:rPr>
        <w:t xml:space="preserve">JSZC-320585-SZZH-G2026-0016</w:t>
      </w:r>
      <w:r>
        <w:rPr>
          <w:rFonts w:hint="eastAsia" w:ascii="宋体" w:hAnsi="宋体" w:eastAsia="宋体"/>
          <w:bCs/>
          <w:sz w:val="32"/>
          <w:szCs w:val="32"/>
          <w:highlight w:val="none"/>
          <w:lang w:eastAsia="zh-CN"/>
        </w:rPr>
      </w:r>
      <w:r/>
    </w:p>
    <w:p>
      <w:pPr>
        <w:pStyle w:val="1073"/>
        <w:ind w:firstLine="640"/>
        <w:jc w:val="left"/>
        <w:spacing w:line="360" w:lineRule="auto"/>
        <w:tabs>
          <w:tab w:val="left" w:pos="3240" w:leader="none"/>
          <w:tab w:val="left" w:pos="3420" w:leader="none"/>
        </w:tabs>
        <w:rPr>
          <w:rFonts w:hint="eastAsia" w:ascii="宋体" w:hAnsi="宋体" w:eastAsia="宋体"/>
          <w:bCs/>
          <w:sz w:val="32"/>
          <w:szCs w:val="32"/>
          <w:highlight w:val="none"/>
        </w:rPr>
      </w:pPr>
      <w:r>
        <w:rPr>
          <w:rFonts w:ascii="宋体" w:hAnsi="宋体" w:eastAsia="宋体"/>
          <w:bCs/>
          <w:sz w:val="32"/>
          <w:szCs w:val="32"/>
          <w:highlight w:val="none"/>
        </w:rPr>
        <w:t xml:space="preserve">采 购 人：</w:t>
      </w:r>
      <w:r>
        <w:rPr>
          <w:rFonts w:hint="eastAsia" w:ascii="宋体" w:hAnsi="宋体" w:eastAsia="宋体"/>
          <w:bCs/>
          <w:sz w:val="32"/>
          <w:szCs w:val="32"/>
          <w:highlight w:val="none"/>
        </w:rPr>
        <w:t xml:space="preserve">太仓市公安局</w:t>
      </w:r>
      <w:r>
        <w:rPr>
          <w:rFonts w:hint="eastAsia" w:ascii="宋体" w:hAnsi="宋体" w:eastAsia="宋体"/>
          <w:bCs/>
          <w:sz w:val="32"/>
          <w:szCs w:val="32"/>
          <w:highlight w:val="none"/>
        </w:rPr>
      </w:r>
      <w:r/>
    </w:p>
    <w:p>
      <w:pPr>
        <w:pStyle w:val="1073"/>
        <w:ind w:firstLine="640"/>
        <w:jc w:val="left"/>
        <w:spacing w:line="360" w:lineRule="auto"/>
        <w:tabs>
          <w:tab w:val="left" w:pos="3240" w:leader="none"/>
          <w:tab w:val="left" w:pos="3420" w:leader="none"/>
        </w:tabs>
        <w:rPr>
          <w:rFonts w:ascii="宋体" w:hAnsi="宋体" w:eastAsia="宋体"/>
          <w:bCs/>
          <w:sz w:val="32"/>
          <w:szCs w:val="32"/>
          <w:highlight w:val="none"/>
        </w:rPr>
      </w:pPr>
      <w:r>
        <w:rPr>
          <w:rFonts w:ascii="宋体" w:hAnsi="宋体" w:eastAsia="宋体"/>
          <w:bCs/>
          <w:sz w:val="32"/>
          <w:szCs w:val="32"/>
          <w:highlight w:val="none"/>
        </w:rPr>
        <w:t xml:space="preserve">采购代理机构：江苏正华新工程咨询有限公司</w:t>
      </w:r>
      <w:r>
        <w:rPr>
          <w:rFonts w:ascii="宋体" w:hAnsi="宋体" w:eastAsia="宋体"/>
          <w:bCs/>
          <w:sz w:val="32"/>
          <w:szCs w:val="32"/>
          <w:highlight w:val="none"/>
        </w:rPr>
      </w:r>
      <w:r/>
    </w:p>
    <w:p>
      <w:pPr>
        <w:pStyle w:val="1073"/>
        <w:jc w:val="center"/>
        <w:widowControl/>
        <w:rPr>
          <w:rFonts w:ascii="宋体" w:hAnsi="宋体" w:eastAsia="宋体"/>
          <w:b/>
          <w:bCs/>
          <w:sz w:val="44"/>
          <w:highlight w:val="none"/>
        </w:rPr>
      </w:pPr>
      <w:r>
        <w:rPr>
          <w:rFonts w:ascii="宋体" w:hAnsi="宋体" w:eastAsia="宋体"/>
          <w:b/>
          <w:bCs/>
          <w:sz w:val="44"/>
          <w:highlight w:val="none"/>
        </w:rPr>
        <w:br w:type="page" w:clear="all"/>
      </w:r>
      <w:bookmarkStart w:id="0" w:name="_Toc99301418"/>
      <w:r>
        <w:rPr>
          <w:rFonts w:ascii="宋体" w:hAnsi="宋体" w:eastAsia="宋体"/>
          <w:b/>
          <w:bCs/>
          <w:sz w:val="44"/>
          <w:highlight w:val="none"/>
        </w:rPr>
      </w:r>
      <w:r/>
    </w:p>
    <w:p>
      <w:pPr>
        <w:pStyle w:val="1073"/>
        <w:jc w:val="center"/>
        <w:widowControl/>
        <w:rPr>
          <w:rFonts w:hint="eastAsia" w:ascii="宋体" w:hAnsi="宋体" w:eastAsia="宋体"/>
          <w:b/>
          <w:sz w:val="36"/>
          <w:szCs w:val="36"/>
          <w:highlight w:val="none"/>
        </w:rPr>
      </w:pPr>
      <w:r>
        <w:rPr>
          <w:rFonts w:ascii="宋体" w:hAnsi="宋体" w:eastAsia="宋体"/>
          <w:b/>
          <w:sz w:val="36"/>
          <w:szCs w:val="36"/>
          <w:highlight w:val="none"/>
        </w:rPr>
        <w:t xml:space="preserve">目  录</w:t>
      </w:r>
      <w:bookmarkEnd w:id="0"/>
      <w:r>
        <w:rPr>
          <w:rFonts w:hint="eastAsia" w:ascii="宋体" w:hAnsi="宋体" w:eastAsia="宋体"/>
          <w:b/>
          <w:sz w:val="36"/>
          <w:szCs w:val="36"/>
          <w:highlight w:val="none"/>
        </w:rPr>
      </w:r>
      <w:r/>
    </w:p>
    <w:p>
      <w:pPr>
        <w:pStyle w:val="1073"/>
        <w:rPr>
          <w:highlight w:val="none"/>
        </w:rPr>
      </w:pPr>
      <w:r>
        <w:rPr>
          <w:highlight w:val="none"/>
        </w:rPr>
      </w:r>
      <w:r/>
    </w:p>
    <w:p>
      <w:pPr>
        <w:pStyle w:val="1073"/>
        <w:rPr>
          <w:rFonts w:ascii="宋体" w:hAnsi="宋体" w:eastAsia="宋体"/>
          <w:highlight w:val="none"/>
        </w:rPr>
      </w:pPr>
      <w:r>
        <w:rPr>
          <w:rFonts w:ascii="宋体" w:hAnsi="宋体" w:eastAsia="宋体"/>
          <w:highlight w:val="none"/>
        </w:rPr>
      </w:r>
      <w:r/>
    </w:p>
    <w:p>
      <w:pPr>
        <w:pStyle w:val="1132"/>
        <w:spacing w:line="480" w:lineRule="auto"/>
        <w:tabs>
          <w:tab w:val="left" w:pos="1050" w:leader="none"/>
          <w:tab w:val="right" w:pos="8937" w:leader="dot"/>
        </w:tabs>
        <w:rPr>
          <w:rFonts w:ascii="Calibri" w:hAnsi="Calibri" w:eastAsia="宋体"/>
          <w:b w:val="0"/>
          <w:sz w:val="28"/>
          <w:szCs w:val="28"/>
          <w:highlight w:val="none"/>
        </w:rPr>
      </w:pPr>
      <w:r>
        <w:rPr>
          <w:rFonts w:eastAsia="宋体"/>
          <w:b w:val="0"/>
          <w:sz w:val="28"/>
          <w:szCs w:val="28"/>
          <w:highlight w:val="none"/>
        </w:rPr>
        <w:fldChar w:fldCharType="begin"/>
      </w:r>
      <w:r>
        <w:rPr>
          <w:rFonts w:eastAsia="宋体"/>
          <w:b w:val="0"/>
          <w:sz w:val="28"/>
          <w:szCs w:val="28"/>
          <w:highlight w:val="none"/>
        </w:rPr>
        <w:instrText xml:space="preserve"> TOC \o "1-1" \h \z \u </w:instrText>
      </w:r>
      <w:r>
        <w:rPr>
          <w:rFonts w:eastAsia="宋体"/>
          <w:b w:val="0"/>
          <w:sz w:val="28"/>
          <w:szCs w:val="28"/>
          <w:highlight w:val="none"/>
        </w:rPr>
        <w:fldChar w:fldCharType="separate"/>
      </w:r>
      <w:r>
        <w:rPr>
          <w:sz w:val="28"/>
          <w:szCs w:val="28"/>
          <w:highlight w:val="none"/>
        </w:rPr>
        <w:fldChar w:fldCharType="begin"/>
      </w:r>
      <w:r>
        <w:rPr>
          <w:rStyle w:val="1160"/>
          <w:color w:val="000000"/>
          <w:sz w:val="28"/>
          <w:szCs w:val="28"/>
          <w:highlight w:val="none"/>
        </w:rPr>
        <w:instrText xml:space="preserve"> </w:instrText>
      </w:r>
      <w:r>
        <w:rPr>
          <w:sz w:val="28"/>
          <w:szCs w:val="28"/>
          <w:highlight w:val="none"/>
        </w:rPr>
        <w:instrText xml:space="preserve">HYPERLINK \l "_Toc143850218"</w:instrText>
      </w:r>
      <w:r>
        <w:rPr>
          <w:rStyle w:val="1160"/>
          <w:color w:val="000000"/>
          <w:sz w:val="28"/>
          <w:szCs w:val="28"/>
          <w:highlight w:val="none"/>
        </w:rPr>
        <w:instrText xml:space="preserve"> </w:instrText>
      </w:r>
      <w:r>
        <w:rPr>
          <w:sz w:val="28"/>
          <w:szCs w:val="28"/>
          <w:highlight w:val="none"/>
        </w:rPr>
        <w:fldChar w:fldCharType="separate"/>
      </w:r>
      <w:r>
        <w:rPr>
          <w:rStyle w:val="1160"/>
          <w:rFonts w:hint="eastAsia" w:eastAsia="宋体"/>
          <w:color w:val="000000"/>
          <w:sz w:val="28"/>
          <w:szCs w:val="28"/>
          <w:highlight w:val="none"/>
        </w:rPr>
        <w:t xml:space="preserve">第一章</w:t>
      </w:r>
      <w:r>
        <w:rPr>
          <w:rStyle w:val="1160"/>
          <w:rFonts w:eastAsia="宋体"/>
          <w:color w:val="000000"/>
          <w:sz w:val="28"/>
          <w:szCs w:val="28"/>
          <w:highlight w:val="none"/>
        </w:rPr>
        <w:t xml:space="preserve">   </w:t>
      </w:r>
      <w:r>
        <w:rPr>
          <w:rStyle w:val="1160"/>
          <w:rFonts w:hint="eastAsia" w:eastAsia="宋体"/>
          <w:color w:val="000000"/>
          <w:sz w:val="28"/>
          <w:szCs w:val="28"/>
          <w:highlight w:val="none"/>
        </w:rPr>
        <w:t xml:space="preserve">招标公告</w:t>
      </w:r>
      <w:r>
        <w:rPr>
          <w:sz w:val="28"/>
          <w:szCs w:val="28"/>
          <w:highlight w:val="none"/>
        </w:rPr>
        <w:tab/>
      </w:r>
      <w:r>
        <w:rPr>
          <w:sz w:val="28"/>
          <w:szCs w:val="28"/>
          <w:highlight w:val="none"/>
        </w:rPr>
        <w:fldChar w:fldCharType="begin"/>
      </w:r>
      <w:r>
        <w:rPr>
          <w:sz w:val="28"/>
          <w:szCs w:val="28"/>
          <w:highlight w:val="none"/>
        </w:rPr>
        <w:instrText xml:space="preserve"> PAGEREF _Toc143850218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2"/>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60"/>
          <w:color w:val="000000"/>
          <w:sz w:val="28"/>
          <w:szCs w:val="28"/>
          <w:highlight w:val="none"/>
        </w:rPr>
        <w:instrText xml:space="preserve"> </w:instrText>
      </w:r>
      <w:r>
        <w:rPr>
          <w:sz w:val="28"/>
          <w:szCs w:val="28"/>
          <w:highlight w:val="none"/>
        </w:rPr>
        <w:instrText xml:space="preserve">HYPERLINK \l "_Toc143850219"</w:instrText>
      </w:r>
      <w:r>
        <w:rPr>
          <w:rStyle w:val="1160"/>
          <w:color w:val="000000"/>
          <w:sz w:val="28"/>
          <w:szCs w:val="28"/>
          <w:highlight w:val="none"/>
        </w:rPr>
        <w:instrText xml:space="preserve"> </w:instrText>
      </w:r>
      <w:r>
        <w:rPr>
          <w:sz w:val="28"/>
          <w:szCs w:val="28"/>
          <w:highlight w:val="none"/>
        </w:rPr>
        <w:fldChar w:fldCharType="separate"/>
      </w:r>
      <w:r>
        <w:rPr>
          <w:rStyle w:val="1160"/>
          <w:rFonts w:hint="eastAsia" w:eastAsia="宋体"/>
          <w:color w:val="000000"/>
          <w:sz w:val="28"/>
          <w:szCs w:val="28"/>
          <w:highlight w:val="none"/>
        </w:rPr>
        <w:t xml:space="preserve">第二章</w:t>
      </w:r>
      <w:r>
        <w:rPr>
          <w:rStyle w:val="1160"/>
          <w:rFonts w:eastAsia="宋体"/>
          <w:color w:val="000000"/>
          <w:sz w:val="28"/>
          <w:szCs w:val="28"/>
          <w:highlight w:val="none"/>
        </w:rPr>
        <w:t xml:space="preserve">   </w:t>
      </w:r>
      <w:r>
        <w:rPr>
          <w:rStyle w:val="1160"/>
          <w:rFonts w:hint="eastAsia" w:eastAsia="宋体"/>
          <w:color w:val="000000"/>
          <w:sz w:val="28"/>
          <w:szCs w:val="28"/>
          <w:highlight w:val="none"/>
        </w:rPr>
        <w:t xml:space="preserve">投标人须知</w:t>
      </w:r>
      <w:r>
        <w:rPr>
          <w:sz w:val="28"/>
          <w:szCs w:val="28"/>
          <w:highlight w:val="none"/>
        </w:rPr>
        <w:tab/>
      </w:r>
      <w:r>
        <w:rPr>
          <w:sz w:val="28"/>
          <w:szCs w:val="28"/>
          <w:highlight w:val="none"/>
        </w:rPr>
        <w:fldChar w:fldCharType="begin"/>
      </w:r>
      <w:r>
        <w:rPr>
          <w:sz w:val="28"/>
          <w:szCs w:val="28"/>
          <w:highlight w:val="none"/>
        </w:rPr>
        <w:instrText xml:space="preserve"> PAGEREF _Toc143850219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2"/>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60"/>
          <w:color w:val="000000"/>
          <w:sz w:val="28"/>
          <w:szCs w:val="28"/>
          <w:highlight w:val="none"/>
        </w:rPr>
        <w:instrText xml:space="preserve"> </w:instrText>
      </w:r>
      <w:r>
        <w:rPr>
          <w:sz w:val="28"/>
          <w:szCs w:val="28"/>
          <w:highlight w:val="none"/>
        </w:rPr>
        <w:instrText xml:space="preserve">HYPERLINK \l "_Toc143850220"</w:instrText>
      </w:r>
      <w:r>
        <w:rPr>
          <w:rStyle w:val="1160"/>
          <w:color w:val="000000"/>
          <w:sz w:val="28"/>
          <w:szCs w:val="28"/>
          <w:highlight w:val="none"/>
        </w:rPr>
        <w:instrText xml:space="preserve"> </w:instrText>
      </w:r>
      <w:r>
        <w:rPr>
          <w:sz w:val="28"/>
          <w:szCs w:val="28"/>
          <w:highlight w:val="none"/>
        </w:rPr>
        <w:fldChar w:fldCharType="separate"/>
      </w:r>
      <w:r>
        <w:rPr>
          <w:rStyle w:val="1160"/>
          <w:rFonts w:hint="eastAsia" w:eastAsia="宋体"/>
          <w:color w:val="000000"/>
          <w:sz w:val="28"/>
          <w:szCs w:val="28"/>
          <w:highlight w:val="none"/>
        </w:rPr>
        <w:t xml:space="preserve">第三章</w:t>
      </w:r>
      <w:r>
        <w:rPr>
          <w:rStyle w:val="1160"/>
          <w:rFonts w:eastAsia="宋体"/>
          <w:color w:val="000000"/>
          <w:sz w:val="28"/>
          <w:szCs w:val="28"/>
          <w:highlight w:val="none"/>
        </w:rPr>
        <w:t xml:space="preserve">   </w:t>
      </w:r>
      <w:r>
        <w:rPr>
          <w:rStyle w:val="1160"/>
          <w:rFonts w:hint="eastAsia" w:eastAsia="宋体"/>
          <w:color w:val="000000"/>
          <w:sz w:val="28"/>
          <w:szCs w:val="28"/>
          <w:highlight w:val="none"/>
        </w:rPr>
        <w:t xml:space="preserve">资格审查</w:t>
      </w:r>
      <w:r>
        <w:rPr>
          <w:sz w:val="28"/>
          <w:szCs w:val="28"/>
          <w:highlight w:val="none"/>
        </w:rPr>
        <w:tab/>
      </w:r>
      <w:r>
        <w:rPr>
          <w:sz w:val="28"/>
          <w:szCs w:val="28"/>
          <w:highlight w:val="none"/>
        </w:rPr>
        <w:fldChar w:fldCharType="begin"/>
      </w:r>
      <w:r>
        <w:rPr>
          <w:sz w:val="28"/>
          <w:szCs w:val="28"/>
          <w:highlight w:val="none"/>
        </w:rPr>
        <w:instrText xml:space="preserve"> PAGEREF _Toc143850220 \h </w:instrText>
      </w:r>
      <w:r>
        <w:rPr>
          <w:sz w:val="28"/>
          <w:szCs w:val="28"/>
          <w:highlight w:val="none"/>
        </w:rPr>
        <w:fldChar w:fldCharType="separate"/>
      </w:r>
      <w:r>
        <w:rPr>
          <w:sz w:val="28"/>
          <w:szCs w:val="28"/>
          <w:highlight w:val="none"/>
        </w:rPr>
        <w:t xml:space="preserve">19</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2"/>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60"/>
          <w:color w:val="000000"/>
          <w:sz w:val="28"/>
          <w:szCs w:val="28"/>
          <w:highlight w:val="none"/>
        </w:rPr>
        <w:instrText xml:space="preserve"> </w:instrText>
      </w:r>
      <w:r>
        <w:rPr>
          <w:sz w:val="28"/>
          <w:szCs w:val="28"/>
          <w:highlight w:val="none"/>
        </w:rPr>
        <w:instrText xml:space="preserve">HYPERLINK \l "_Toc143850221"</w:instrText>
      </w:r>
      <w:r>
        <w:rPr>
          <w:rStyle w:val="1160"/>
          <w:color w:val="000000"/>
          <w:sz w:val="28"/>
          <w:szCs w:val="28"/>
          <w:highlight w:val="none"/>
        </w:rPr>
        <w:instrText xml:space="preserve"> </w:instrText>
      </w:r>
      <w:r>
        <w:rPr>
          <w:sz w:val="28"/>
          <w:szCs w:val="28"/>
          <w:highlight w:val="none"/>
        </w:rPr>
        <w:fldChar w:fldCharType="separate"/>
      </w:r>
      <w:r>
        <w:rPr>
          <w:rStyle w:val="1160"/>
          <w:rFonts w:hint="eastAsia" w:eastAsia="宋体"/>
          <w:color w:val="000000"/>
          <w:sz w:val="28"/>
          <w:szCs w:val="28"/>
          <w:highlight w:val="none"/>
        </w:rPr>
        <w:t xml:space="preserve">第四章</w:t>
      </w:r>
      <w:r>
        <w:rPr>
          <w:rStyle w:val="1160"/>
          <w:rFonts w:eastAsia="宋体"/>
          <w:color w:val="000000"/>
          <w:sz w:val="28"/>
          <w:szCs w:val="28"/>
          <w:highlight w:val="none"/>
        </w:rPr>
        <w:t xml:space="preserve">   </w:t>
      </w:r>
      <w:r>
        <w:rPr>
          <w:rStyle w:val="1160"/>
          <w:rFonts w:hint="eastAsia" w:eastAsia="宋体"/>
          <w:color w:val="000000"/>
          <w:sz w:val="28"/>
          <w:szCs w:val="28"/>
          <w:highlight w:val="none"/>
        </w:rPr>
        <w:t xml:space="preserve">评标程序、评标方法和评标标准</w:t>
      </w:r>
      <w:r>
        <w:rPr>
          <w:sz w:val="28"/>
          <w:szCs w:val="28"/>
          <w:highlight w:val="none"/>
        </w:rPr>
        <w:tab/>
      </w:r>
      <w:bookmarkStart w:id="1" w:name="_Hlt162014002"/>
      <w:r/>
      <w:bookmarkStart w:id="2" w:name="_Hlt162014001"/>
      <w:r>
        <w:rPr>
          <w:sz w:val="28"/>
          <w:szCs w:val="28"/>
          <w:highlight w:val="none"/>
        </w:rPr>
        <w:fldChar w:fldCharType="begin"/>
      </w:r>
      <w:r>
        <w:rPr>
          <w:sz w:val="28"/>
          <w:szCs w:val="28"/>
          <w:highlight w:val="none"/>
        </w:rPr>
        <w:instrText xml:space="preserve"> PAGEREF _Toc143850221 \h </w:instrText>
      </w:r>
      <w:r>
        <w:rPr>
          <w:sz w:val="28"/>
          <w:szCs w:val="28"/>
          <w:highlight w:val="none"/>
        </w:rPr>
        <w:fldChar w:fldCharType="separate"/>
      </w:r>
      <w:r>
        <w:rPr>
          <w:sz w:val="28"/>
          <w:szCs w:val="28"/>
          <w:highlight w:val="none"/>
        </w:rPr>
        <w:t xml:space="preserve">24</w:t>
      </w:r>
      <w:r>
        <w:rPr>
          <w:sz w:val="28"/>
          <w:szCs w:val="28"/>
          <w:highlight w:val="none"/>
        </w:rPr>
        <w:fldChar w:fldCharType="end"/>
      </w:r>
      <w:bookmarkEnd w:id="1"/>
      <w:r/>
      <w:bookmarkEnd w:id="2"/>
      <w:r>
        <w:rPr>
          <w:sz w:val="28"/>
          <w:szCs w:val="28"/>
          <w:highlight w:val="none"/>
        </w:rPr>
        <w:fldChar w:fldCharType="end"/>
      </w:r>
      <w:r>
        <w:rPr>
          <w:rFonts w:ascii="Calibri" w:hAnsi="Calibri" w:eastAsia="宋体"/>
          <w:b w:val="0"/>
          <w:sz w:val="28"/>
          <w:szCs w:val="28"/>
          <w:highlight w:val="none"/>
        </w:rPr>
      </w:r>
      <w:r/>
    </w:p>
    <w:p>
      <w:pPr>
        <w:pStyle w:val="1132"/>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60"/>
          <w:color w:val="000000"/>
          <w:sz w:val="28"/>
          <w:szCs w:val="28"/>
          <w:highlight w:val="none"/>
        </w:rPr>
        <w:instrText xml:space="preserve"> </w:instrText>
      </w:r>
      <w:r>
        <w:rPr>
          <w:sz w:val="28"/>
          <w:szCs w:val="28"/>
          <w:highlight w:val="none"/>
        </w:rPr>
        <w:instrText xml:space="preserve">HYPERLINK \l "_Toc143850222"</w:instrText>
      </w:r>
      <w:r>
        <w:rPr>
          <w:rStyle w:val="1160"/>
          <w:color w:val="000000"/>
          <w:sz w:val="28"/>
          <w:szCs w:val="28"/>
          <w:highlight w:val="none"/>
        </w:rPr>
        <w:instrText xml:space="preserve"> </w:instrText>
      </w:r>
      <w:r>
        <w:rPr>
          <w:sz w:val="28"/>
          <w:szCs w:val="28"/>
          <w:highlight w:val="none"/>
        </w:rPr>
        <w:fldChar w:fldCharType="separate"/>
      </w:r>
      <w:r>
        <w:rPr>
          <w:rStyle w:val="1160"/>
          <w:rFonts w:hint="eastAsia" w:eastAsia="宋体"/>
          <w:color w:val="000000"/>
          <w:sz w:val="28"/>
          <w:szCs w:val="28"/>
          <w:highlight w:val="none"/>
        </w:rPr>
        <w:t xml:space="preserve">第五章</w:t>
      </w:r>
      <w:r>
        <w:rPr>
          <w:rStyle w:val="1160"/>
          <w:rFonts w:eastAsia="宋体"/>
          <w:color w:val="000000"/>
          <w:sz w:val="28"/>
          <w:szCs w:val="28"/>
          <w:highlight w:val="none"/>
        </w:rPr>
        <w:t xml:space="preserve">   </w:t>
      </w:r>
      <w:r>
        <w:rPr>
          <w:rStyle w:val="1160"/>
          <w:rFonts w:hint="eastAsia" w:eastAsia="宋体"/>
          <w:color w:val="000000"/>
          <w:sz w:val="28"/>
          <w:szCs w:val="28"/>
          <w:highlight w:val="none"/>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_Toc143850222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2"/>
        <w:spacing w:line="480" w:lineRule="auto"/>
        <w:tabs>
          <w:tab w:val="left" w:pos="1050" w:leader="none"/>
          <w:tab w:val="right" w:pos="8937" w:leader="dot"/>
        </w:tabs>
        <w:rPr>
          <w:rFonts w:ascii="Calibri" w:hAnsi="Calibri" w:eastAsia="宋体"/>
          <w:b w:val="0"/>
          <w:sz w:val="28"/>
          <w:szCs w:val="28"/>
          <w:highlight w:val="none"/>
        </w:rPr>
      </w:pPr>
      <w:r>
        <w:rPr>
          <w:sz w:val="28"/>
          <w:szCs w:val="28"/>
          <w:highlight w:val="none"/>
        </w:rPr>
        <w:fldChar w:fldCharType="begin"/>
      </w:r>
      <w:r>
        <w:rPr>
          <w:rStyle w:val="1160"/>
          <w:color w:val="000000"/>
          <w:sz w:val="28"/>
          <w:szCs w:val="28"/>
          <w:highlight w:val="none"/>
        </w:rPr>
        <w:instrText xml:space="preserve"> </w:instrText>
      </w:r>
      <w:r>
        <w:rPr>
          <w:sz w:val="28"/>
          <w:szCs w:val="28"/>
          <w:highlight w:val="none"/>
        </w:rPr>
        <w:instrText xml:space="preserve">HYPERLINK \l "_Toc143850223"</w:instrText>
      </w:r>
      <w:r>
        <w:rPr>
          <w:rStyle w:val="1160"/>
          <w:color w:val="000000"/>
          <w:sz w:val="28"/>
          <w:szCs w:val="28"/>
          <w:highlight w:val="none"/>
        </w:rPr>
        <w:instrText xml:space="preserve"> </w:instrText>
      </w:r>
      <w:r>
        <w:rPr>
          <w:sz w:val="28"/>
          <w:szCs w:val="28"/>
          <w:highlight w:val="none"/>
        </w:rPr>
        <w:fldChar w:fldCharType="separate"/>
      </w:r>
      <w:r>
        <w:rPr>
          <w:rStyle w:val="1160"/>
          <w:rFonts w:hint="eastAsia" w:eastAsia="宋体"/>
          <w:color w:val="000000"/>
          <w:sz w:val="28"/>
          <w:szCs w:val="28"/>
          <w:highlight w:val="none"/>
        </w:rPr>
        <w:t xml:space="preserve">第六章</w:t>
      </w:r>
      <w:r>
        <w:rPr>
          <w:rStyle w:val="1160"/>
          <w:rFonts w:eastAsia="宋体"/>
          <w:color w:val="000000"/>
          <w:sz w:val="28"/>
          <w:szCs w:val="28"/>
          <w:highlight w:val="none"/>
        </w:rPr>
        <w:t xml:space="preserve">   </w:t>
      </w:r>
      <w:r>
        <w:rPr>
          <w:rStyle w:val="1160"/>
          <w:rFonts w:hint="eastAsia" w:eastAsia="宋体"/>
          <w:color w:val="000000"/>
          <w:sz w:val="28"/>
          <w:szCs w:val="28"/>
          <w:highlight w:val="none"/>
        </w:rPr>
        <w:t xml:space="preserve">合同条款</w:t>
      </w:r>
      <w:r>
        <w:rPr>
          <w:sz w:val="28"/>
          <w:szCs w:val="28"/>
          <w:highlight w:val="none"/>
        </w:rPr>
        <w:tab/>
      </w:r>
      <w:r>
        <w:rPr>
          <w:sz w:val="28"/>
          <w:szCs w:val="28"/>
          <w:highlight w:val="none"/>
        </w:rPr>
        <w:fldChar w:fldCharType="begin"/>
      </w:r>
      <w:r>
        <w:rPr>
          <w:sz w:val="28"/>
          <w:szCs w:val="28"/>
          <w:highlight w:val="none"/>
        </w:rPr>
        <w:instrText xml:space="preserve"> PAGEREF _Toc143850223 \h </w:instrText>
      </w:r>
      <w:r>
        <w:rPr>
          <w:sz w:val="28"/>
          <w:szCs w:val="28"/>
          <w:highlight w:val="none"/>
        </w:rPr>
        <w:fldChar w:fldCharType="separate"/>
      </w:r>
      <w:r>
        <w:rPr>
          <w:sz w:val="28"/>
          <w:szCs w:val="28"/>
          <w:highlight w:val="none"/>
        </w:rPr>
        <w:t xml:space="preserve">65</w:t>
      </w:r>
      <w:r>
        <w:rPr>
          <w:sz w:val="28"/>
          <w:szCs w:val="28"/>
          <w:highlight w:val="none"/>
        </w:rPr>
        <w:fldChar w:fldCharType="end"/>
      </w:r>
      <w:r>
        <w:rPr>
          <w:sz w:val="28"/>
          <w:szCs w:val="28"/>
          <w:highlight w:val="none"/>
        </w:rPr>
        <w:fldChar w:fldCharType="end"/>
      </w:r>
      <w:r>
        <w:rPr>
          <w:rFonts w:ascii="Calibri" w:hAnsi="Calibri" w:eastAsia="宋体"/>
          <w:b w:val="0"/>
          <w:sz w:val="28"/>
          <w:szCs w:val="28"/>
          <w:highlight w:val="none"/>
        </w:rPr>
      </w:r>
      <w:r/>
    </w:p>
    <w:p>
      <w:pPr>
        <w:pStyle w:val="1132"/>
        <w:spacing w:line="480" w:lineRule="auto"/>
        <w:tabs>
          <w:tab w:val="left" w:pos="1050" w:leader="none"/>
          <w:tab w:val="right" w:pos="8937" w:leader="dot"/>
        </w:tabs>
        <w:rPr>
          <w:rFonts w:hint="eastAsia" w:ascii="Calibri" w:hAnsi="Calibri"/>
          <w:b w:val="0"/>
          <w:sz w:val="28"/>
          <w:szCs w:val="28"/>
          <w:highlight w:val="none"/>
        </w:rPr>
      </w:pPr>
      <w:r>
        <w:rPr>
          <w:sz w:val="28"/>
          <w:szCs w:val="28"/>
          <w:highlight w:val="none"/>
        </w:rPr>
        <w:fldChar w:fldCharType="begin"/>
      </w:r>
      <w:r>
        <w:rPr>
          <w:rStyle w:val="1160"/>
          <w:color w:val="000000"/>
          <w:sz w:val="28"/>
          <w:szCs w:val="28"/>
          <w:highlight w:val="none"/>
        </w:rPr>
        <w:instrText xml:space="preserve"> </w:instrText>
      </w:r>
      <w:r>
        <w:rPr>
          <w:sz w:val="28"/>
          <w:szCs w:val="28"/>
          <w:highlight w:val="none"/>
        </w:rPr>
        <w:instrText xml:space="preserve">HYPERLINK \l "_Toc143850224"</w:instrText>
      </w:r>
      <w:r>
        <w:rPr>
          <w:rStyle w:val="1160"/>
          <w:color w:val="000000"/>
          <w:sz w:val="28"/>
          <w:szCs w:val="28"/>
          <w:highlight w:val="none"/>
        </w:rPr>
        <w:instrText xml:space="preserve"> </w:instrText>
      </w:r>
      <w:r>
        <w:rPr>
          <w:sz w:val="28"/>
          <w:szCs w:val="28"/>
          <w:highlight w:val="none"/>
        </w:rPr>
        <w:fldChar w:fldCharType="separate"/>
      </w:r>
      <w:r>
        <w:rPr>
          <w:rStyle w:val="1160"/>
          <w:rFonts w:hint="eastAsia" w:eastAsia="宋体"/>
          <w:color w:val="000000"/>
          <w:sz w:val="28"/>
          <w:szCs w:val="28"/>
          <w:highlight w:val="none"/>
        </w:rPr>
        <w:t xml:space="preserve">第七章</w:t>
      </w:r>
      <w:r>
        <w:rPr>
          <w:rStyle w:val="1160"/>
          <w:rFonts w:eastAsia="宋体"/>
          <w:color w:val="000000"/>
          <w:sz w:val="28"/>
          <w:szCs w:val="28"/>
          <w:highlight w:val="none"/>
        </w:rPr>
        <w:t xml:space="preserve">   </w:t>
      </w:r>
      <w:r>
        <w:rPr>
          <w:rStyle w:val="1160"/>
          <w:rFonts w:hint="eastAsia" w:eastAsia="宋体"/>
          <w:color w:val="000000"/>
          <w:sz w:val="28"/>
          <w:szCs w:val="28"/>
          <w:highlight w:val="none"/>
        </w:rPr>
        <w:t xml:space="preserve">投标文件格式</w:t>
      </w:r>
      <w:r>
        <w:rPr>
          <w:sz w:val="28"/>
          <w:szCs w:val="28"/>
          <w:highlight w:val="none"/>
        </w:rPr>
        <w:tab/>
      </w:r>
      <w:r>
        <w:rPr>
          <w:rFonts w:hint="eastAsia"/>
          <w:sz w:val="28"/>
          <w:szCs w:val="28"/>
          <w:highlight w:val="none"/>
        </w:rPr>
        <w:t xml:space="preserve">7</w:t>
      </w:r>
      <w:r>
        <w:rPr>
          <w:sz w:val="28"/>
          <w:szCs w:val="28"/>
          <w:highlight w:val="none"/>
        </w:rPr>
        <w:fldChar w:fldCharType="end"/>
      </w:r>
      <w:r>
        <w:rPr>
          <w:rFonts w:hint="eastAsia"/>
          <w:sz w:val="28"/>
          <w:szCs w:val="28"/>
          <w:highlight w:val="none"/>
        </w:rPr>
        <w:t xml:space="preserve">5</w:t>
      </w:r>
      <w:r>
        <w:rPr>
          <w:rFonts w:hint="eastAsia" w:ascii="Calibri" w:hAnsi="Calibri"/>
          <w:b w:val="0"/>
          <w:sz w:val="28"/>
          <w:szCs w:val="28"/>
          <w:highlight w:val="none"/>
        </w:rPr>
      </w:r>
      <w:r/>
    </w:p>
    <w:p>
      <w:pPr>
        <w:pStyle w:val="1132"/>
        <w:jc w:val="left"/>
        <w:spacing w:line="480" w:lineRule="auto"/>
        <w:tabs>
          <w:tab w:val="right" w:pos="1050" w:leader="none"/>
          <w:tab w:val="right" w:pos="8937" w:leader="dot"/>
        </w:tabs>
        <w:rPr>
          <w:rFonts w:eastAsia="宋体"/>
          <w:b w:val="0"/>
          <w:highlight w:val="none"/>
        </w:rPr>
      </w:pPr>
      <w:r>
        <w:rPr>
          <w:rFonts w:eastAsia="宋体"/>
          <w:b w:val="0"/>
          <w:sz w:val="28"/>
          <w:szCs w:val="28"/>
          <w:highlight w:val="none"/>
        </w:rPr>
        <w:fldChar w:fldCharType="end"/>
      </w:r>
      <w:r>
        <w:rPr>
          <w:rFonts w:eastAsia="宋体"/>
          <w:b w:val="0"/>
          <w:highlight w:val="none"/>
        </w:rPr>
      </w:r>
      <w:r/>
    </w:p>
    <w:p>
      <w:pPr>
        <w:pStyle w:val="1073"/>
        <w:jc w:val="center"/>
        <w:spacing w:line="360" w:lineRule="auto"/>
        <w:rPr>
          <w:rFonts w:ascii="宋体" w:hAnsi="宋体" w:eastAsia="宋体"/>
          <w:sz w:val="24"/>
          <w:highlight w:val="none"/>
        </w:rPr>
        <w:outlineLvl w:val="0"/>
      </w:pPr>
      <w:r>
        <w:rPr>
          <w:rFonts w:ascii="宋体" w:hAnsi="宋体" w:eastAsia="宋体"/>
          <w:sz w:val="24"/>
          <w:highlight w:val="none"/>
        </w:rPr>
      </w:r>
      <w:r/>
    </w:p>
    <w:p>
      <w:pPr>
        <w:pStyle w:val="1073"/>
        <w:rPr>
          <w:highlight w:val="none"/>
        </w:rPr>
      </w:pPr>
      <w:r>
        <w:rPr>
          <w:highlight w:val="none"/>
        </w:rPr>
      </w:r>
      <w:r/>
    </w:p>
    <w:p>
      <w:pPr>
        <w:pStyle w:val="1073"/>
        <w:rPr>
          <w:highlight w:val="none"/>
        </w:rPr>
      </w:pPr>
      <w:r>
        <w:rPr>
          <w:highlight w:val="none"/>
        </w:rPr>
      </w:r>
      <w:r/>
    </w:p>
    <w:p>
      <w:pPr>
        <w:pStyle w:val="1073"/>
        <w:jc w:val="left"/>
        <w:tabs>
          <w:tab w:val="left" w:pos="6579" w:leader="none"/>
        </w:tabs>
        <w:rPr>
          <w:highlight w:val="none"/>
        </w:rPr>
        <w:sectPr>
          <w:headerReference w:type="default" r:id="rId9"/>
          <w:headerReference w:type="first" r:id="rId10"/>
          <w:footerReference w:type="default" r:id="rId15"/>
          <w:footerReference w:type="first" r:id="rId16"/>
          <w:footnotePr/>
          <w:endnotePr/>
          <w:type w:val="nextPage"/>
          <w:pgSz w:w="11907" w:h="16840" w:orient="portrait"/>
          <w:pgMar w:top="1440" w:right="1800" w:bottom="1440" w:left="1800" w:header="851" w:footer="992" w:gutter="0"/>
          <w:cols w:num="1" w:sep="0" w:space="1701" w:equalWidth="1"/>
          <w:docGrid w:linePitch="360"/>
          <w:titlePg/>
        </w:sectPr>
      </w:pPr>
      <w:r>
        <w:rPr>
          <w:rFonts w:hint="eastAsia"/>
          <w:highlight w:val="none"/>
        </w:rPr>
        <w:tab/>
      </w:r>
      <w:r>
        <w:rPr>
          <w:highlight w:val="none"/>
        </w:rPr>
      </w:r>
      <w:r/>
    </w:p>
    <w:p>
      <w:pPr>
        <w:pStyle w:val="1073"/>
        <w:jc w:val="center"/>
        <w:spacing w:line="360" w:lineRule="auto"/>
        <w:rPr>
          <w:rFonts w:ascii="宋体" w:hAnsi="宋体" w:eastAsia="宋体"/>
          <w:b/>
          <w:sz w:val="36"/>
          <w:szCs w:val="36"/>
          <w:highlight w:val="none"/>
        </w:rPr>
        <w:outlineLvl w:val="0"/>
      </w:pPr>
      <w:r/>
      <w:bookmarkStart w:id="3" w:name="_Toc99301419"/>
      <w:r/>
      <w:bookmarkStart w:id="4" w:name="_Toc143850218"/>
      <w:r>
        <w:rPr>
          <w:rFonts w:ascii="宋体" w:hAnsi="宋体" w:eastAsia="宋体"/>
          <w:b/>
          <w:sz w:val="36"/>
          <w:szCs w:val="36"/>
          <w:highlight w:val="none"/>
        </w:rPr>
        <w:t xml:space="preserve">第一章   </w:t>
      </w:r>
      <w:bookmarkEnd w:id="3"/>
      <w:r>
        <w:rPr>
          <w:rFonts w:ascii="宋体" w:hAnsi="宋体" w:eastAsia="宋体"/>
          <w:b/>
          <w:sz w:val="36"/>
          <w:szCs w:val="36"/>
          <w:highlight w:val="none"/>
        </w:rPr>
        <w:t xml:space="preserve">招标公告</w:t>
      </w:r>
      <w:bookmarkEnd w:id="4"/>
      <w:r>
        <w:rPr>
          <w:rFonts w:ascii="宋体" w:hAnsi="宋体" w:eastAsia="宋体"/>
          <w:b/>
          <w:sz w:val="36"/>
          <w:szCs w:val="36"/>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eastAsia="宋体"/>
          <w:highlight w:val="none"/>
        </w:rPr>
        <w:t xml:space="preserve">项目概况</w:t>
      </w:r>
      <w:r>
        <w:rPr>
          <w:rFonts w:hint="eastAsia"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2026年交警信息化系统前后端维护 </w:t>
      </w:r>
      <w:r>
        <w:rPr>
          <w:rFonts w:hint="eastAsia" w:eastAsia="宋体"/>
          <w:highlight w:val="none"/>
          <w:lang w:eastAsia="zh-CN"/>
        </w:rPr>
        <w:t xml:space="preserve">JSZC-320585-SZZH-G2026-0016</w:t>
      </w:r>
      <w:r>
        <w:rPr>
          <w:rFonts w:hint="eastAsia" w:eastAsia="宋体"/>
          <w:highlight w:val="none"/>
        </w:rPr>
        <w:t xml:space="preserve"> 招标项目</w:t>
      </w:r>
      <w:r>
        <w:rPr>
          <w:rFonts w:eastAsia="宋体"/>
          <w:highlight w:val="none"/>
        </w:rPr>
        <w:t xml:space="preserve">的潜在投标人“苏采云”系统（网址：http://jszfcg.jsczt.cn/）自行下载</w:t>
      </w:r>
      <w:r>
        <w:rPr>
          <w:rFonts w:hint="eastAsia" w:eastAsia="宋体"/>
          <w:highlight w:val="none"/>
        </w:rPr>
        <w:t xml:space="preserve"> 获取招标文件</w:t>
      </w:r>
      <w:r>
        <w:rPr>
          <w:rFonts w:eastAsia="宋体"/>
          <w:highlight w:val="none"/>
        </w:rPr>
        <w:t xml:space="preserve">，并于</w:t>
      </w:r>
      <w:r>
        <w:rPr>
          <w:rFonts w:hint="eastAsia" w:eastAsia="宋体"/>
          <w:highlight w:val="none"/>
        </w:rPr>
        <w:t xml:space="preserve">2026-11</w:t>
      </w:r>
      <w:r>
        <w:rPr>
          <w:rFonts w:hint="eastAsia" w:eastAsia="宋体"/>
          <w:highlight w:val="none"/>
        </w:rPr>
        <w:t xml:space="preserve">-6</w:t>
      </w:r>
      <w:r>
        <w:rPr>
          <w:rFonts w:hint="eastAsia" w:eastAsia="宋体"/>
          <w:highlight w:val="none"/>
        </w:rPr>
        <w:t xml:space="preserve"> </w:t>
      </w:r>
      <w:r>
        <w:rPr>
          <w:rFonts w:hint="eastAsia" w:eastAsia="宋体"/>
          <w:highlight w:val="none"/>
          <w:lang w:val="en-US" w:eastAsia="zh-CN"/>
        </w:rPr>
        <w:t xml:space="preserve">13</w:t>
      </w:r>
      <w:r>
        <w:rPr>
          <w:rFonts w:hint="eastAsia" w:eastAsia="宋体"/>
          <w:highlight w:val="none"/>
        </w:rPr>
        <w:t xml:space="preserve">：30</w:t>
      </w:r>
      <w:r>
        <w:rPr>
          <w:rFonts w:eastAsia="宋体"/>
          <w:highlight w:val="none"/>
        </w:rPr>
        <w:t xml:space="preserve">（北京时间）前</w:t>
      </w:r>
      <w:r>
        <w:rPr>
          <w:rFonts w:hint="eastAsia" w:eastAsia="宋体"/>
          <w:highlight w:val="none"/>
        </w:rPr>
        <w:t xml:space="preserve">递交投标文件</w:t>
      </w:r>
      <w:r>
        <w:rPr>
          <w:rFonts w:eastAsia="宋体"/>
          <w:highlight w:val="none"/>
        </w:rPr>
        <w:t xml:space="preserve">。</w:t>
      </w:r>
      <w:r>
        <w:rPr>
          <w:rFonts w:eastAsia="宋体"/>
          <w:highlight w:val="none"/>
        </w:rPr>
      </w:r>
      <w:r/>
    </w:p>
    <w:p>
      <w:pPr>
        <w:pStyle w:val="1143"/>
        <w:ind w:firstLine="482"/>
        <w:spacing w:before="0" w:beforeAutospacing="0" w:after="0" w:afterAutospacing="0" w:line="360" w:lineRule="auto"/>
        <w:shd w:val="clear" w:color="auto" w:fill="ffffff"/>
        <w:rPr>
          <w:rFonts w:eastAsia="宋体"/>
          <w:b/>
          <w:highlight w:val="none"/>
        </w:rPr>
      </w:pPr>
      <w:r>
        <w:rPr>
          <w:rFonts w:hint="eastAsia" w:eastAsia="宋体"/>
          <w:b/>
          <w:highlight w:val="none"/>
        </w:rPr>
        <w:t xml:space="preserve">一、项目基本情况</w:t>
      </w:r>
      <w:r>
        <w:rPr>
          <w:rFonts w:eastAsia="宋体"/>
          <w:b/>
          <w:highlight w:val="none"/>
        </w:rPr>
      </w:r>
      <w:r/>
    </w:p>
    <w:p>
      <w:pPr>
        <w:pStyle w:val="1143"/>
        <w:ind w:firstLine="480"/>
        <w:spacing w:before="0" w:beforeAutospacing="0" w:after="0" w:afterAutospacing="0" w:line="360" w:lineRule="auto"/>
        <w:shd w:val="clear" w:color="auto" w:fill="ffffff"/>
        <w:rPr>
          <w:rFonts w:hint="eastAsia" w:eastAsia="宋体"/>
          <w:highlight w:val="none"/>
          <w:lang w:eastAsia="zh-CN"/>
        </w:rPr>
      </w:pPr>
      <w:r>
        <w:rPr>
          <w:rFonts w:hint="eastAsia" w:eastAsia="宋体"/>
          <w:highlight w:val="none"/>
        </w:rPr>
        <w:t xml:space="preserve">项目编号：</w:t>
      </w:r>
      <w:r>
        <w:rPr>
          <w:rFonts w:hint="eastAsia" w:eastAsia="宋体"/>
          <w:highlight w:val="none"/>
          <w:lang w:eastAsia="zh-CN"/>
        </w:rPr>
        <w:t xml:space="preserve">JSZC-320585-SZZH-G2026-0016</w:t>
      </w:r>
      <w:r>
        <w:rPr>
          <w:rFonts w:hint="eastAsia" w:eastAsia="宋体"/>
          <w:highlight w:val="none"/>
          <w:lang w:eastAsia="zh-CN"/>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项目名称：2026年交警信息化系统前后端维护</w:t>
      </w:r>
      <w:r>
        <w:rPr>
          <w:rFonts w:hint="eastAsia"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预算金额：276.2万元</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最高限价：276.2万元</w:t>
      </w:r>
      <w:r>
        <w:rPr>
          <w:rFonts w:eastAsia="宋体"/>
          <w:highlight w:val="none"/>
        </w:rPr>
      </w:r>
      <w:r/>
    </w:p>
    <w:p>
      <w:pPr>
        <w:pStyle w:val="107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需求：为保障太仓市公安局交通管理大队已过质保期的在用信息化系统正常运行，拟采购年度运行维护服务。服务范围涵盖：智能交通服务管理平台、道路交通信号控制系统、警务交警系统、车管所车辆检验远程监管及全市电警处理监管巡检、MapABC地理信息系统、非现场违法数据处理平台、道路交通技术监控系统等系统。具体要求详见采购文件第五章采购需求。</w:t>
      </w:r>
      <w:r>
        <w:rPr>
          <w:rFonts w:hint="eastAsia" w:ascii="宋体" w:hAnsi="宋体" w:eastAsia="宋体" w:cs="宋体"/>
          <w:sz w:val="24"/>
          <w:highlight w:val="none"/>
        </w:rPr>
      </w:r>
      <w:r/>
    </w:p>
    <w:p>
      <w:pPr>
        <w:pStyle w:val="107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合同履行期限：自合同签订之日起一年，起止时间以合同约定为准。</w:t>
      </w:r>
      <w:r>
        <w:rPr>
          <w:rFonts w:hint="eastAsia" w:ascii="宋体" w:hAnsi="宋体" w:eastAsia="宋体" w:cs="宋体"/>
          <w:sz w:val="24"/>
          <w:highlight w:val="none"/>
        </w:rPr>
      </w:r>
      <w:r/>
    </w:p>
    <w:p>
      <w:pPr>
        <w:pStyle w:val="1073"/>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本项目（是/否）接受联合体投标：否</w:t>
      </w:r>
      <w:r>
        <w:rPr>
          <w:rFonts w:ascii="宋体" w:hAnsi="宋体" w:eastAsia="宋体" w:cs="宋体"/>
          <w:sz w:val="24"/>
          <w:highlight w:val="none"/>
        </w:rPr>
      </w:r>
      <w:r/>
    </w:p>
    <w:p>
      <w:pPr>
        <w:pStyle w:val="1143"/>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二、申请人的资格要求：</w:t>
      </w:r>
      <w:r>
        <w:rPr>
          <w:rFonts w:eastAsia="宋体"/>
          <w:b/>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（一）满足《中华人民共和国政府采购法》第二十二条规定：</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1、具有独立承担民事责任的能力（提供法人或者其他组织的营业执照等证明文件，自然人的身份证明）；</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2、具有良好的商业信誉和健全的财务会计制度（</w:t>
      </w:r>
      <w:r>
        <w:rPr>
          <w:rFonts w:hint="eastAsia" w:eastAsia="宋体"/>
          <w:highlight w:val="none"/>
          <w:lang w:val="zh-CN" w:eastAsia="zh-CN"/>
        </w:rPr>
        <w:t xml:space="preserve">提供包括但不限于最近一期</w:t>
      </w:r>
      <w:r>
        <w:rPr>
          <w:rFonts w:hint="eastAsia" w:eastAsia="宋体"/>
          <w:highlight w:val="none"/>
          <w:lang w:val="en-US" w:eastAsia="zh-CN"/>
        </w:rPr>
        <w:t xml:space="preserve">（2024年</w:t>
      </w:r>
      <w:r>
        <w:rPr>
          <w:rFonts w:hint="eastAsia" w:eastAsia="宋体"/>
          <w:highlight w:val="none"/>
          <w:lang w:val="en-US"/>
        </w:rPr>
        <w:t xml:space="preserve">度</w:t>
      </w:r>
      <w:r>
        <w:rPr>
          <w:rFonts w:hint="eastAsia" w:eastAsia="宋体"/>
          <w:highlight w:val="none"/>
          <w:lang w:val="en-US" w:eastAsia="zh-CN"/>
        </w:rPr>
        <w:t xml:space="preserve">或2025年度）</w:t>
      </w:r>
      <w:r>
        <w:rPr>
          <w:rFonts w:hint="eastAsia" w:eastAsia="宋体"/>
          <w:highlight w:val="none"/>
          <w:lang w:val="zh-CN" w:eastAsia="zh-CN"/>
        </w:rPr>
        <w:t xml:space="preserve">经审计的财务报告或最近一期财务报表（</w:t>
      </w:r>
      <w:r>
        <w:rPr>
          <w:rFonts w:hint="eastAsia" w:eastAsia="宋体"/>
          <w:highlight w:val="none"/>
          <w:lang w:val="en-US" w:eastAsia="zh-CN"/>
        </w:rPr>
        <w:t xml:space="preserve">至少包含</w:t>
      </w:r>
      <w:r>
        <w:rPr>
          <w:rFonts w:hint="eastAsia" w:eastAsia="宋体"/>
          <w:highlight w:val="none"/>
          <w:lang w:val="zh-CN" w:eastAsia="zh-CN"/>
        </w:rPr>
        <w:t xml:space="preserve">资产负债表</w:t>
      </w:r>
      <w:r>
        <w:rPr>
          <w:rFonts w:hint="eastAsia" w:eastAsia="宋体"/>
          <w:highlight w:val="none"/>
          <w:lang w:val="en-US" w:eastAsia="zh-CN"/>
        </w:rPr>
        <w:t xml:space="preserve">和</w:t>
      </w:r>
      <w:r>
        <w:rPr>
          <w:rFonts w:hint="eastAsia" w:eastAsia="宋体"/>
          <w:highlight w:val="none"/>
          <w:lang w:val="zh-CN" w:eastAsia="zh-CN"/>
        </w:rPr>
        <w:t xml:space="preserve">利润表），其他组织、自然人及成立未满一年的法人应提供银行出具的资信证明）</w:t>
      </w:r>
      <w:r>
        <w:rPr>
          <w:rFonts w:hint="eastAsia" w:eastAsia="宋体"/>
          <w:highlight w:val="none"/>
        </w:rPr>
        <w:t xml:space="preserve">；</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3、具有履行合同所必需的设备和专业技术能力；</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4、</w:t>
      </w:r>
      <w:r>
        <w:rPr>
          <w:rFonts w:hint="eastAsia" w:eastAsia="宋体"/>
          <w:highlight w:val="none"/>
          <w:lang w:val="en-US" w:eastAsia="zh-CN"/>
        </w:rPr>
        <w:t xml:space="preserve">具</w:t>
      </w:r>
      <w:r>
        <w:rPr>
          <w:rFonts w:hint="eastAsia" w:eastAsia="宋体"/>
          <w:highlight w:val="none"/>
        </w:rPr>
        <w:t xml:space="preserve">有依法缴纳税收和社会保障资金的良好记录（</w:t>
      </w:r>
      <w:r>
        <w:rPr>
          <w:rFonts w:hint="eastAsia" w:eastAsia="宋体"/>
          <w:highlight w:val="none"/>
          <w:lang w:val="zh-CN" w:eastAsia="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eastAsia="宋体"/>
          <w:highlight w:val="none"/>
        </w:rPr>
        <w:t xml:space="preserve">）；</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5、参加政府采购活动前三年内，在经营活动中没有重大违法记录（提供参加本次政府采购活动前3年内在经营活动中没有重大违法记录的书面声明）（格式详见采购文件第七章投标文件格式）；</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6、法律、行政法规规定的其他条件。</w:t>
      </w:r>
      <w:r>
        <w:rPr>
          <w:rFonts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（二）落实政府采购政策需满足的资格要求：</w:t>
      </w:r>
      <w:r>
        <w:rPr>
          <w:rFonts w:hint="eastAsia" w:eastAsia="宋体"/>
          <w:b/>
          <w:bCs/>
          <w:highlight w:val="none"/>
        </w:rPr>
        <w:t xml:space="preserve">本项目专门面向中小企业采购</w:t>
      </w:r>
      <w:r>
        <w:rPr>
          <w:rFonts w:hint="eastAsia" w:eastAsia="宋体"/>
          <w:highlight w:val="none"/>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w:t>
      </w:r>
      <w:r>
        <w:rPr>
          <w:rFonts w:hint="eastAsia"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（三）本项目的特定资格要求：</w:t>
      </w:r>
      <w:r>
        <w:rPr>
          <w:rFonts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1.</w:t>
      </w:r>
      <w:r>
        <w:rPr>
          <w:rFonts w:eastAsia="宋体"/>
          <w:highlight w:val="none"/>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eastAsia="宋体"/>
          <w:highlight w:val="none"/>
        </w:rPr>
        <w:t xml:space="preserve">。</w:t>
      </w:r>
      <w:r>
        <w:rPr>
          <w:rFonts w:hint="eastAsia"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2.本项目配备人员：</w:t>
      </w:r>
      <w:r>
        <w:rPr>
          <w:rFonts w:hint="eastAsia"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2.1项目经理1人，7*24小时响应服务，提供服务承诺书并加盖投标单位公章；</w:t>
      </w:r>
      <w:r>
        <w:rPr>
          <w:rFonts w:hint="eastAsia"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2.2基础维护人员2人，7*24小时响应服务</w:t>
      </w:r>
      <w:r>
        <w:rPr>
          <w:rFonts w:hint="eastAsia" w:eastAsia="宋体"/>
          <w:highlight w:val="none"/>
          <w:lang w:eastAsia="zh-CN"/>
        </w:rPr>
        <w:t xml:space="preserve">，</w:t>
      </w:r>
      <w:r>
        <w:rPr>
          <w:rFonts w:hint="eastAsia" w:eastAsia="宋体"/>
          <w:highlight w:val="none"/>
        </w:rPr>
        <w:t xml:space="preserve">其中必须满足电工作业（高压/低压）和高处作业持证要求（电工作业应具有《中华人民共和国特种作业操作证》，且操作项目为“高压电工作业”或“低压电工作业”；高处作业应具有《中华人民共和国特种作业操作证》，且操作项目为“高处作业”，均由应急管理厅颁发），同一人可兼持双证。须提供有效证件扫描件（盖公章）及</w:t>
      </w:r>
      <w:r>
        <w:rPr>
          <w:rFonts w:hint="eastAsia" w:eastAsia="宋体"/>
          <w:highlight w:val="none"/>
          <w:lang w:val="en-US" w:eastAsia="zh-CN"/>
        </w:rPr>
        <w:t xml:space="preserve">有效的</w:t>
      </w:r>
      <w:r>
        <w:rPr>
          <w:rFonts w:hint="eastAsia" w:eastAsia="宋体"/>
          <w:highlight w:val="none"/>
        </w:rPr>
        <w:t xml:space="preserve">《劳动合同》</w:t>
      </w:r>
      <w:r>
        <w:rPr>
          <w:rFonts w:hint="eastAsia" w:eastAsia="宋体"/>
          <w:highlight w:val="none"/>
          <w:lang w:eastAsia="zh-CN"/>
        </w:rPr>
        <w:t xml:space="preserve">（</w:t>
      </w:r>
      <w:r>
        <w:rPr>
          <w:rFonts w:hint="eastAsia" w:eastAsia="宋体"/>
          <w:highlight w:val="none"/>
        </w:rPr>
        <w:t xml:space="preserve">投标人或其分支机构</w:t>
      </w:r>
      <w:r>
        <w:rPr>
          <w:rFonts w:hint="eastAsia" w:eastAsia="宋体"/>
          <w:highlight w:val="none"/>
          <w:lang w:val="en-US" w:eastAsia="zh-CN"/>
        </w:rPr>
        <w:t xml:space="preserve">签订</w:t>
      </w:r>
      <w:r>
        <w:rPr>
          <w:rFonts w:hint="eastAsia" w:eastAsia="宋体"/>
          <w:highlight w:val="none"/>
        </w:rPr>
        <w:t xml:space="preserve">）；</w:t>
      </w:r>
      <w:r>
        <w:rPr>
          <w:rFonts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2.3纵横工程智能交通服务管理平台维护专业驻场服务人员1人，7*24小时响应服务，承诺中标后按照招标文件要求配备，提供服务承诺书并加盖投标单位公章；</w:t>
      </w:r>
      <w:r>
        <w:rPr>
          <w:rFonts w:hint="eastAsia"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2.4（成利吉）道路交通信号控制系统维护专业驻场服务人员2人，7*24小时响应服务并参与值班，承诺中标后按照招标文件要求配备，提供服务承诺书并加盖投标单位公章；</w:t>
      </w:r>
      <w:r>
        <w:rPr>
          <w:rFonts w:hint="eastAsia"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2.5非现场违法数据处理平台服务专业驻场服务人员1人，5*8小时响应服务，承诺中标后按照招标文件要求配备，提供服务承诺书并加盖投标单位公章；</w:t>
      </w:r>
      <w:r>
        <w:rPr>
          <w:rFonts w:hint="eastAsia"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3.投标单位履行合同必</w:t>
      </w:r>
      <w:r>
        <w:rPr>
          <w:rFonts w:hint="eastAsia" w:eastAsia="宋体"/>
          <w:highlight w:val="none"/>
          <w:lang w:val="en-US" w:eastAsia="zh-CN"/>
        </w:rPr>
        <w:t xml:space="preserve">需的</w:t>
      </w:r>
      <w:r>
        <w:rPr>
          <w:rFonts w:hint="eastAsia" w:eastAsia="宋体"/>
          <w:highlight w:val="none"/>
        </w:rPr>
        <w:t xml:space="preserve">设备：基础维修车辆1辆，车辆需带自动升降设备满足登高作业要求。自有车辆提供行驶证扫描件（权属单位与投标单位或其分支机构一致）；租赁车辆提供有效期内正规租赁合同及行驶证扫描件。同时提供能够证明车辆配备自动升降设备的证明材料（如车辆配备自动升降设备的照片等）。</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4.本项目为专门面向中小企业采购的服务类项目，整体预留给中小企业。全部拟投人员应当是具备《劳动合同》的或者供应商承诺中标后聘请签订《劳动合同》的服务人员参与本项目，提供《劳动合同》</w:t>
      </w:r>
      <w:r>
        <w:rPr>
          <w:rFonts w:hint="eastAsia" w:eastAsia="宋体"/>
          <w:highlight w:val="none"/>
          <w:lang w:val="en-US" w:eastAsia="zh-CN"/>
        </w:rPr>
        <w:t xml:space="preserve">或</w:t>
      </w:r>
      <w:r>
        <w:rPr>
          <w:rFonts w:hint="eastAsia" w:eastAsia="宋体"/>
          <w:highlight w:val="none"/>
        </w:rPr>
        <w:t xml:space="preserve">承诺书并加盖投标单位公章。</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（四）拒绝下述供应商参加本次采购活动：</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1、供应商单位负责人为同一人或者存在直接控股、管理关系的不同供应商，不得参加同一合同项下的政府采购活动。</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2、凡为采购项目提供整体设计、规范编制或者项目管理、监理、检测等服务的供应商，不得再参加本项目的采购活动。</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3、法人的分支机构不得参加响应活动（除银行、保险、石油石化、电力、电信等行业特殊情况外）。</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4、</w:t>
      </w:r>
      <w:r>
        <w:rPr>
          <w:rFonts w:hint="eastAsia" w:eastAsia="宋体"/>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eastAsia="宋体"/>
          <w:highlight w:val="none"/>
        </w:rPr>
      </w:r>
      <w:r/>
    </w:p>
    <w:p>
      <w:pPr>
        <w:pStyle w:val="1143"/>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三、获取招标文件：</w:t>
      </w:r>
      <w:r>
        <w:rPr>
          <w:rFonts w:eastAsia="宋体"/>
          <w:b/>
          <w:highlight w:val="none"/>
        </w:rPr>
      </w:r>
      <w:r/>
    </w:p>
    <w:p>
      <w:pPr>
        <w:pStyle w:val="1073"/>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时间：自招标文件公告发布之日起5个工作日</w:t>
      </w:r>
      <w:r>
        <w:rPr>
          <w:rFonts w:hint="eastAsia" w:ascii="宋体" w:hAnsi="宋体" w:eastAsia="宋体" w:cs="宋体"/>
          <w:sz w:val="24"/>
          <w:highlight w:val="none"/>
        </w:rPr>
      </w:r>
      <w:r/>
    </w:p>
    <w:p>
      <w:pPr>
        <w:pStyle w:val="1073"/>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地点：“苏采云”系统（网址：http://jszfcg.jsczt.cn/）自行下载</w:t>
      </w:r>
      <w:r>
        <w:rPr>
          <w:rFonts w:hint="eastAsia" w:ascii="宋体" w:hAnsi="宋体" w:eastAsia="宋体" w:cs="宋体"/>
          <w:sz w:val="24"/>
          <w:highlight w:val="none"/>
        </w:rPr>
      </w:r>
      <w:r/>
    </w:p>
    <w:p>
      <w:pPr>
        <w:pStyle w:val="1073"/>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方式：自行下载</w:t>
      </w:r>
      <w:r>
        <w:rPr>
          <w:rFonts w:hint="eastAsia" w:ascii="宋体" w:hAnsi="宋体" w:eastAsia="宋体" w:cs="宋体"/>
          <w:sz w:val="24"/>
          <w:highlight w:val="none"/>
        </w:rPr>
      </w:r>
      <w:r/>
    </w:p>
    <w:p>
      <w:pPr>
        <w:pStyle w:val="1073"/>
        <w:ind w:firstLine="480"/>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售价：0.00元</w:t>
      </w:r>
      <w:r>
        <w:rPr>
          <w:rFonts w:ascii="宋体" w:hAnsi="宋体" w:eastAsia="宋体" w:cs="宋体"/>
          <w:sz w:val="24"/>
          <w:highlight w:val="none"/>
        </w:rPr>
      </w:r>
      <w:r/>
    </w:p>
    <w:p>
      <w:pPr>
        <w:pStyle w:val="1143"/>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四、提交投标文件截止时间、开标时间和地点</w:t>
      </w:r>
      <w:r>
        <w:rPr>
          <w:rFonts w:eastAsia="宋体"/>
          <w:b/>
          <w:highlight w:val="none"/>
        </w:rPr>
      </w:r>
      <w:r/>
    </w:p>
    <w:p>
      <w:pPr>
        <w:pStyle w:val="1073"/>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2026-</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13</w:t>
      </w:r>
      <w:r>
        <w:rPr>
          <w:rFonts w:hint="eastAsia" w:ascii="宋体" w:hAnsi="宋体" w:eastAsia="宋体" w:cs="宋体"/>
          <w:sz w:val="24"/>
          <w:highlight w:val="none"/>
        </w:rPr>
        <w:t xml:space="preserve">：30（北京时间）</w:t>
      </w:r>
      <w:r>
        <w:rPr>
          <w:rFonts w:hint="eastAsia" w:ascii="宋体" w:hAnsi="宋体" w:eastAsia="宋体" w:cs="宋体"/>
          <w:sz w:val="24"/>
          <w:highlight w:val="none"/>
        </w:rPr>
      </w:r>
      <w:r/>
    </w:p>
    <w:p>
      <w:pPr>
        <w:pStyle w:val="1073"/>
        <w:ind w:firstLine="48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地点：苏采云系统</w:t>
      </w:r>
      <w:r>
        <w:rPr>
          <w:rFonts w:ascii="宋体" w:hAnsi="宋体" w:eastAsia="宋体" w:cs="宋体"/>
          <w:sz w:val="24"/>
          <w:highlight w:val="none"/>
        </w:rPr>
      </w:r>
      <w:r/>
    </w:p>
    <w:p>
      <w:pPr>
        <w:pStyle w:val="1143"/>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五、公告期限：自本公告发布之日起5个工作日。</w:t>
      </w:r>
      <w:r>
        <w:rPr>
          <w:rFonts w:eastAsia="宋体"/>
          <w:b/>
          <w:highlight w:val="none"/>
        </w:rPr>
      </w:r>
      <w:r/>
    </w:p>
    <w:p>
      <w:pPr>
        <w:pStyle w:val="1143"/>
        <w:ind w:firstLine="482"/>
        <w:spacing w:before="0" w:beforeAutospacing="0" w:after="0" w:afterAutospacing="0" w:line="360" w:lineRule="auto"/>
        <w:shd w:val="clear" w:color="auto" w:fill="ffffff"/>
        <w:rPr>
          <w:rFonts w:eastAsia="宋体"/>
          <w:b/>
          <w:highlight w:val="none"/>
        </w:rPr>
      </w:pPr>
      <w:r>
        <w:rPr>
          <w:rFonts w:eastAsia="宋体"/>
          <w:b/>
          <w:highlight w:val="none"/>
        </w:rPr>
        <w:t xml:space="preserve">六、其他补充事宜</w:t>
      </w:r>
      <w:r>
        <w:rPr>
          <w:rFonts w:eastAsia="宋体"/>
          <w:b/>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1、本项目需要使用CA数字证书制作、上传电子投标文件完成电子投标，请供应商在参加投标活动前办理好CA数字证书申领及电子签章等操作。</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3、本项目采用不见面开标，投标人开标时无需到开标现场进行解密，采取网上开标大厅解密电子投标文件，投标人远程解密要求如下：</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2）投标人登录苏采云系统，点击开标大厅，选择开标项目，完成不见面开标流程。</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3）投标截止时间后根据系统提示解密电子投标文件。解密时间为15分钟，未在规定时间内完成解密，其投标文件将被拒绝，不参与后续投标流程。</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5、有关供应商注册、报名、下载电子招标文件、制作上传电子投标文件、不见面开标及其他注意事项登录苏州政府采购网，在“下载中心”栏目下载“苏采云系统供应商操作手册”查阅。</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6、有关办理CA数字申领及电子签章事项，登录苏州政府采购网，点击页面底部苏采云图标，进入苏采云政府采购一体化平台，下载“新CA办理指南”文件查阅。</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7、有关电子投标制作技术疑问，请咨询苏采云软件公司客服：18261002950、0512-69820854、0519-86722802</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8、政府采购监督电话：0512-53890318</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9、本次招标投标保证金：本项目无须缴纳投标保证金。</w:t>
      </w:r>
      <w:r>
        <w:rPr>
          <w:rFonts w:hint="eastAsia" w:eastAsia="宋体"/>
          <w:highlight w:val="none"/>
        </w:rPr>
      </w:r>
      <w:r/>
    </w:p>
    <w:p>
      <w:pPr>
        <w:pStyle w:val="1143"/>
        <w:ind w:firstLine="480"/>
        <w:spacing w:before="0" w:beforeAutospacing="0" w:after="0" w:afterAutospacing="0" w:line="360" w:lineRule="auto"/>
        <w:rPr>
          <w:rFonts w:hint="eastAsia" w:eastAsia="宋体"/>
          <w:highlight w:val="none"/>
        </w:rPr>
      </w:pPr>
      <w:r>
        <w:rPr>
          <w:rFonts w:hint="eastAsia" w:eastAsia="宋体"/>
          <w:highlight w:val="none"/>
        </w:rPr>
        <w:t xml:space="preserve">10、政府采购履约资金扶持政策：中标供应商可凭政府采购合同办理融资贷款，详情请见江苏政府采购网“政采贷”专栏。</w:t>
      </w:r>
      <w:r>
        <w:rPr>
          <w:rFonts w:hint="eastAsia" w:eastAsia="宋体"/>
          <w:highlight w:val="none"/>
        </w:rPr>
      </w:r>
      <w:r/>
    </w:p>
    <w:p>
      <w:pPr>
        <w:pStyle w:val="1143"/>
        <w:ind w:firstLine="480"/>
        <w:spacing w:before="0" w:beforeAutospacing="0" w:after="0" w:afterAutospacing="0" w:line="360" w:lineRule="auto"/>
        <w:rPr>
          <w:rFonts w:eastAsia="宋体"/>
          <w:highlight w:val="none"/>
        </w:rPr>
      </w:pPr>
      <w:r>
        <w:rPr>
          <w:rFonts w:hint="eastAsia" w:eastAsia="宋体"/>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eastAsia="宋体"/>
          <w:highlight w:val="none"/>
        </w:rPr>
      </w:r>
      <w:r/>
    </w:p>
    <w:p>
      <w:pPr>
        <w:pStyle w:val="1143"/>
        <w:ind w:firstLine="480"/>
        <w:spacing w:before="0" w:beforeAutospacing="0" w:after="0" w:afterAutospacing="0" w:line="360" w:lineRule="auto"/>
        <w:rPr>
          <w:rFonts w:eastAsia="宋体"/>
          <w:highlight w:val="none"/>
        </w:rPr>
      </w:pPr>
      <w:r>
        <w:rPr>
          <w:rFonts w:hint="eastAsia" w:eastAsia="宋体"/>
          <w:highlight w:val="none"/>
        </w:rPr>
        <w:t xml:space="preserve">12、代理服务费：以预算金额为计算基础，按苏州市政府采购网《苏州市级政府采购代理服务收费公告信息表》公告收费标准（100万元以内1.5%、100～500万元1.1%、500～1000万元0.8%、1000～5000万元0.5%）结算，本项目代理服务费叁万肆仟叁佰捌拾贰元整，专家评审费按实际发生金额结算，均由采购人支付。</w:t>
      </w:r>
      <w:r>
        <w:rPr>
          <w:rFonts w:eastAsia="宋体"/>
          <w:highlight w:val="none"/>
        </w:rPr>
      </w:r>
      <w:r/>
    </w:p>
    <w:p>
      <w:pPr>
        <w:pStyle w:val="1073"/>
        <w:ind w:firstLine="482"/>
        <w:spacing w:line="360" w:lineRule="auto"/>
        <w:rPr>
          <w:rFonts w:ascii="宋体" w:hAnsi="宋体" w:eastAsia="宋体"/>
          <w:b/>
          <w:sz w:val="24"/>
          <w:highlight w:val="none"/>
        </w:rPr>
      </w:pPr>
      <w:r>
        <w:rPr>
          <w:rFonts w:hint="eastAsia" w:ascii="宋体" w:hAnsi="宋体" w:eastAsia="宋体"/>
          <w:b/>
          <w:sz w:val="24"/>
          <w:highlight w:val="none"/>
        </w:rPr>
        <w:t xml:space="preserve">七、对本次招标提出询问，请按以下方式联系：</w:t>
      </w:r>
      <w:r>
        <w:rPr>
          <w:rFonts w:ascii="宋体" w:hAnsi="宋体" w:eastAsia="宋体"/>
          <w:b/>
          <w:sz w:val="24"/>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1、采购人信息</w:t>
      </w:r>
      <w:r>
        <w:rPr>
          <w:rFonts w:hint="eastAsia"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单位名称：太仓市公安局</w:t>
      </w:r>
      <w:r>
        <w:rPr>
          <w:rFonts w:hint="eastAsia"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hint="eastAsia" w:eastAsia="宋体"/>
          <w:highlight w:val="none"/>
        </w:rPr>
        <w:t xml:space="preserve">单位地址：太仓市上海东路58号</w:t>
      </w:r>
      <w:r>
        <w:rPr>
          <w:rFonts w:hint="eastAsia"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联系人：陆健</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联系电话：0512-53522428</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2、采购代理机构信息</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单位名称：江苏正华新工程咨询有限公司</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单位地址：苏州高新区横塘宝带西路1566号2幢13楼</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联系人：严丽珍</w:t>
      </w:r>
      <w:r>
        <w:rPr>
          <w:rFonts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hint="eastAsia" w:eastAsia="宋体"/>
          <w:highlight w:val="none"/>
        </w:rPr>
        <w:t xml:space="preserve">联系电话：</w:t>
      </w:r>
      <w:r>
        <w:rPr>
          <w:rFonts w:eastAsia="宋体"/>
          <w:highlight w:val="none"/>
        </w:rPr>
        <w:t xml:space="preserve">18018106622</w:t>
      </w:r>
      <w:r>
        <w:rPr>
          <w:rFonts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eastAsia="宋体"/>
          <w:highlight w:val="none"/>
        </w:rPr>
        <w:t xml:space="preserve">3、项目联系方式</w:t>
      </w:r>
      <w:r>
        <w:rPr>
          <w:rFonts w:hint="eastAsia" w:eastAsia="宋体"/>
          <w:highlight w:val="none"/>
        </w:rPr>
      </w:r>
      <w:r/>
    </w:p>
    <w:p>
      <w:pPr>
        <w:pStyle w:val="1143"/>
        <w:ind w:firstLine="480"/>
        <w:spacing w:before="0" w:beforeAutospacing="0" w:after="0" w:afterAutospacing="0" w:line="360" w:lineRule="auto"/>
        <w:shd w:val="clear" w:color="auto" w:fill="ffffff"/>
        <w:rPr>
          <w:rFonts w:hint="eastAsia" w:eastAsia="宋体"/>
          <w:highlight w:val="none"/>
        </w:rPr>
      </w:pPr>
      <w:r>
        <w:rPr>
          <w:rFonts w:eastAsia="宋体"/>
          <w:highlight w:val="none"/>
        </w:rPr>
        <w:t xml:space="preserve">项目联系人：</w:t>
      </w:r>
      <w:r>
        <w:rPr>
          <w:rFonts w:hint="eastAsia" w:eastAsia="宋体"/>
          <w:highlight w:val="none"/>
        </w:rPr>
        <w:t xml:space="preserve">严丽珍</w:t>
      </w:r>
      <w:r>
        <w:rPr>
          <w:rFonts w:hint="eastAsia" w:eastAsia="宋体"/>
          <w:highlight w:val="none"/>
        </w:rPr>
      </w:r>
      <w:r/>
    </w:p>
    <w:p>
      <w:pPr>
        <w:pStyle w:val="1143"/>
        <w:ind w:firstLine="480"/>
        <w:spacing w:before="0" w:beforeAutospacing="0" w:after="0" w:afterAutospacing="0" w:line="360" w:lineRule="auto"/>
        <w:shd w:val="clear" w:color="auto" w:fill="ffffff"/>
        <w:rPr>
          <w:rFonts w:eastAsia="宋体"/>
          <w:highlight w:val="none"/>
        </w:rPr>
      </w:pPr>
      <w:r>
        <w:rPr>
          <w:rFonts w:eastAsia="宋体"/>
          <w:highlight w:val="none"/>
        </w:rPr>
        <w:t xml:space="preserve">电话：18018106622</w:t>
      </w:r>
      <w:r>
        <w:rPr>
          <w:rFonts w:eastAsia="宋体"/>
          <w:highlight w:val="none"/>
        </w:rPr>
      </w:r>
      <w:r/>
    </w:p>
    <w:p>
      <w:pPr>
        <w:pStyle w:val="1143"/>
        <w:jc w:val="center"/>
        <w:spacing w:before="0" w:beforeAutospacing="0" w:after="0" w:afterAutospacing="0" w:line="360" w:lineRule="auto"/>
        <w:shd w:val="clear" w:color="auto" w:fill="ffffff"/>
        <w:rPr>
          <w:rFonts w:eastAsia="宋体"/>
          <w:b/>
          <w:sz w:val="32"/>
          <w:szCs w:val="32"/>
          <w:highlight w:val="none"/>
        </w:rPr>
        <w:outlineLvl w:val="0"/>
      </w:pPr>
      <w:r>
        <w:rPr>
          <w:rFonts w:eastAsia="宋体"/>
          <w:b/>
          <w:sz w:val="21"/>
          <w:szCs w:val="21"/>
          <w:highlight w:val="none"/>
        </w:rPr>
        <w:br w:type="page" w:clear="all"/>
      </w:r>
      <w:bookmarkStart w:id="5" w:name="_Toc353825548"/>
      <w:r/>
      <w:bookmarkStart w:id="6" w:name="_Toc127151777"/>
      <w:r/>
      <w:bookmarkStart w:id="7" w:name="_Toc143850219"/>
      <w:r/>
      <w:bookmarkStart w:id="8" w:name="_Toc264969275"/>
      <w:r/>
      <w:bookmarkStart w:id="9" w:name="_Toc265228423"/>
      <w:r/>
      <w:bookmarkStart w:id="10" w:name="_Toc305158854"/>
      <w:r/>
      <w:bookmarkStart w:id="11" w:name="_Toc512937850"/>
      <w:r/>
      <w:bookmarkStart w:id="12" w:name="_Toc195842950"/>
      <w:r/>
      <w:bookmarkStart w:id="13" w:name="_Toc226965856"/>
      <w:r/>
      <w:bookmarkStart w:id="14" w:name="_Toc353873938"/>
      <w:r/>
      <w:bookmarkStart w:id="15" w:name="_Toc150774783"/>
      <w:r/>
      <w:bookmarkStart w:id="16" w:name="_Toc99301420"/>
      <w:r/>
      <w:bookmarkStart w:id="17" w:name="_Toc127161488"/>
      <w:r/>
      <w:bookmarkStart w:id="18" w:name="_Toc305158928"/>
      <w:r>
        <w:rPr>
          <w:rFonts w:eastAsia="宋体"/>
          <w:b/>
          <w:sz w:val="36"/>
          <w:szCs w:val="36"/>
          <w:highlight w:val="none"/>
        </w:rPr>
        <w:t xml:space="preserve">第二章   投标人须知</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rPr>
          <w:rFonts w:eastAsia="宋体"/>
          <w:b/>
          <w:sz w:val="32"/>
          <w:szCs w:val="32"/>
          <w:highlight w:val="none"/>
        </w:rPr>
      </w:r>
      <w:r/>
    </w:p>
    <w:p>
      <w:pPr>
        <w:pStyle w:val="1075"/>
        <w:spacing w:before="0" w:line="360" w:lineRule="auto"/>
        <w:tabs>
          <w:tab w:val="center" w:pos="4592" w:leader="none"/>
          <w:tab w:val="left" w:pos="7860" w:leader="none"/>
        </w:tabs>
        <w:rPr>
          <w:rFonts w:ascii="宋体" w:hAnsi="宋体" w:eastAsia="宋体"/>
          <w:sz w:val="28"/>
          <w:highlight w:val="none"/>
        </w:rPr>
      </w:pPr>
      <w:r/>
      <w:bookmarkStart w:id="19" w:name="_Toc149720812"/>
      <w:r/>
      <w:bookmarkStart w:id="20" w:name="_Toc195842884"/>
      <w:r/>
      <w:bookmarkStart w:id="21" w:name="_Toc150774724"/>
      <w:r/>
      <w:bookmarkStart w:id="22" w:name="_Toc164229214"/>
      <w:r/>
      <w:bookmarkStart w:id="23" w:name="_Toc151190146"/>
      <w:r/>
      <w:bookmarkStart w:id="24" w:name="_Toc151193617"/>
      <w:r/>
      <w:bookmarkStart w:id="25" w:name="_Toc226965709"/>
      <w:r/>
      <w:bookmarkStart w:id="26" w:name="_Toc226309763"/>
      <w:r/>
      <w:bookmarkStart w:id="27" w:name="_Toc127161433"/>
      <w:r/>
      <w:bookmarkStart w:id="28" w:name="_Toc164608788"/>
      <w:r/>
      <w:bookmarkStart w:id="29" w:name="_Toc151193833"/>
      <w:r/>
      <w:bookmarkStart w:id="30" w:name="_Toc164351613"/>
      <w:r/>
      <w:bookmarkStart w:id="31" w:name="_Toc150480757"/>
      <w:r/>
      <w:bookmarkStart w:id="32" w:name="_Toc226337215"/>
      <w:r/>
      <w:bookmarkStart w:id="33" w:name="_Toc150774619"/>
      <w:r/>
      <w:bookmarkStart w:id="34" w:name="_Toc520356144"/>
      <w:r/>
      <w:bookmarkStart w:id="35" w:name="_Toc142311021"/>
      <w:r/>
      <w:bookmarkStart w:id="36" w:name="_Toc151193761"/>
      <w:r/>
      <w:bookmarkStart w:id="37" w:name="_Toc164608633"/>
      <w:r/>
      <w:bookmarkStart w:id="38" w:name="_Toc127151720"/>
      <w:r/>
      <w:bookmarkStart w:id="39" w:name="_Toc164229360"/>
      <w:r/>
      <w:bookmarkStart w:id="40" w:name="_Toc151193907"/>
      <w:r/>
      <w:bookmarkStart w:id="41" w:name="_Toc127151519"/>
      <w:r/>
      <w:bookmarkStart w:id="42" w:name="_Toc226965792"/>
      <w:r/>
      <w:bookmarkStart w:id="43" w:name="_Toc151193689"/>
      <w:r/>
      <w:bookmarkStart w:id="44" w:name="_Toc150509270"/>
      <w:r>
        <w:rPr>
          <w:rFonts w:ascii="宋体" w:hAnsi="宋体" w:eastAsia="宋体"/>
          <w:sz w:val="28"/>
          <w:highlight w:val="none"/>
        </w:rPr>
        <w:t xml:space="preserve">投标人须知前附表</w:t>
      </w:r>
      <w:r>
        <w:rPr>
          <w:rFonts w:ascii="宋体" w:hAnsi="宋体" w:eastAsia="宋体"/>
          <w:sz w:val="28"/>
          <w:highlight w:val="none"/>
        </w:rPr>
      </w:r>
      <w:r/>
    </w:p>
    <w:p>
      <w:pPr>
        <w:pStyle w:val="1073"/>
        <w:ind w:firstLine="480"/>
        <w:spacing w:line="360" w:lineRule="auto"/>
        <w:rPr>
          <w:rFonts w:ascii="宋体" w:hAnsi="宋体" w:eastAsia="宋体"/>
          <w:szCs w:val="21"/>
          <w:highlight w:val="none"/>
        </w:rPr>
      </w:pPr>
      <w:r>
        <w:rPr>
          <w:rFonts w:ascii="宋体" w:hAnsi="宋体" w:eastAsia="宋体"/>
          <w:szCs w:val="21"/>
          <w:highlight w:val="none"/>
        </w:rPr>
        <w:t xml:space="preserve">本表是对投标人须知的具体补充和修改，如有矛盾，均以本表为准。标记“</w:t>
      </w:r>
      <w:r>
        <w:rPr>
          <w:rFonts w:ascii="宋体" w:hAnsi="宋体" w:eastAsia="宋体"/>
          <w:b/>
          <w:szCs w:val="21"/>
          <w:highlight w:val="none"/>
        </w:rPr>
        <w:t xml:space="preserve">■</w:t>
      </w:r>
      <w:r>
        <w:rPr>
          <w:rFonts w:ascii="宋体" w:hAnsi="宋体" w:eastAsia="宋体"/>
          <w:szCs w:val="21"/>
          <w:highlight w:val="none"/>
        </w:rPr>
        <w:t xml:space="preserve">”的选项意为适用于本项目，标记“□”的选项意为不适用于本项目。</w:t>
      </w:r>
      <w:r>
        <w:rPr>
          <w:rFonts w:ascii="宋体" w:hAnsi="宋体" w:eastAsia="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108"/>
      </w:tblGrid>
      <w:tr>
        <w:trPr>
          <w:trHeight w:val="567"/>
          <w:tblHeader/>
        </w:trPr>
        <w:tc>
          <w:tcPr>
            <w:tcW w:w="988" w:type="dxa"/>
            <w:vAlign w:val="center"/>
            <w:textDirection w:val="lrTb"/>
            <w:noWrap w:val="false"/>
          </w:tcPr>
          <w:p>
            <w:pPr>
              <w:pStyle w:val="1073"/>
              <w:jc w:val="center"/>
              <w:rPr>
                <w:rFonts w:ascii="宋体" w:hAnsi="宋体" w:eastAsia="宋体"/>
                <w:b/>
                <w:bCs/>
                <w:szCs w:val="21"/>
                <w:highlight w:val="none"/>
              </w:rPr>
            </w:pPr>
            <w:r>
              <w:rPr>
                <w:rFonts w:ascii="宋体" w:hAnsi="宋体" w:eastAsia="宋体"/>
                <w:b/>
                <w:szCs w:val="21"/>
                <w:highlight w:val="none"/>
              </w:rPr>
              <w:t xml:space="preserve">条款号</w:t>
            </w:r>
            <w:r>
              <w:rPr>
                <w:rFonts w:ascii="宋体" w:hAnsi="宋体" w:eastAsia="宋体"/>
                <w:b/>
                <w:bCs/>
                <w:szCs w:val="21"/>
                <w:highlight w:val="none"/>
              </w:rPr>
            </w:r>
            <w:r/>
          </w:p>
        </w:tc>
        <w:tc>
          <w:tcPr>
            <w:tcW w:w="1701" w:type="dxa"/>
            <w:vAlign w:val="center"/>
            <w:textDirection w:val="lrTb"/>
            <w:noWrap w:val="false"/>
          </w:tcPr>
          <w:p>
            <w:pPr>
              <w:pStyle w:val="1073"/>
              <w:jc w:val="center"/>
              <w:rPr>
                <w:rFonts w:ascii="宋体" w:hAnsi="宋体" w:eastAsia="宋体"/>
                <w:b/>
                <w:bCs/>
                <w:szCs w:val="21"/>
                <w:highlight w:val="none"/>
              </w:rPr>
            </w:pPr>
            <w:r>
              <w:rPr>
                <w:rFonts w:ascii="宋体" w:hAnsi="宋体" w:eastAsia="宋体"/>
                <w:b/>
                <w:bCs/>
                <w:szCs w:val="21"/>
                <w:highlight w:val="none"/>
              </w:rPr>
              <w:t xml:space="preserve">条目</w:t>
            </w:r>
            <w:r>
              <w:rPr>
                <w:rFonts w:ascii="宋体" w:hAnsi="宋体" w:eastAsia="宋体"/>
                <w:b/>
                <w:bCs/>
                <w:szCs w:val="21"/>
                <w:highlight w:val="none"/>
              </w:rPr>
            </w:r>
            <w:r/>
          </w:p>
        </w:tc>
        <w:tc>
          <w:tcPr>
            <w:tcW w:w="6108" w:type="dxa"/>
            <w:vAlign w:val="center"/>
            <w:textDirection w:val="lrTb"/>
            <w:noWrap w:val="false"/>
          </w:tcPr>
          <w:p>
            <w:pPr>
              <w:pStyle w:val="1073"/>
              <w:jc w:val="center"/>
              <w:rPr>
                <w:rFonts w:ascii="宋体" w:hAnsi="宋体" w:eastAsia="宋体"/>
                <w:b/>
                <w:bCs/>
                <w:szCs w:val="21"/>
                <w:highlight w:val="none"/>
              </w:rPr>
            </w:pPr>
            <w:r>
              <w:rPr>
                <w:rFonts w:ascii="宋体" w:hAnsi="宋体" w:eastAsia="宋体"/>
                <w:b/>
                <w:bCs/>
                <w:szCs w:val="21"/>
                <w:highlight w:val="none"/>
              </w:rPr>
              <w:t xml:space="preserve">内容</w:t>
            </w:r>
            <w:r>
              <w:rPr>
                <w:rFonts w:ascii="宋体" w:hAnsi="宋体" w:eastAsia="宋体"/>
                <w:b/>
                <w:bCs/>
                <w:szCs w:val="21"/>
                <w:highlight w:val="none"/>
              </w:rPr>
            </w:r>
            <w:r/>
          </w:p>
        </w:tc>
      </w:tr>
      <w:tr>
        <w:trPr>
          <w:trHeight w:val="1034"/>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2.2</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项目属性</w:t>
            </w:r>
            <w:r>
              <w:rPr>
                <w:rFonts w:ascii="宋体" w:hAnsi="宋体" w:eastAsia="宋体"/>
                <w:szCs w:val="21"/>
                <w:highlight w:val="none"/>
              </w:rPr>
            </w:r>
            <w:r/>
          </w:p>
        </w:tc>
        <w:tc>
          <w:tcPr>
            <w:tcW w:w="6108"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项目属性：</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服务</w:t>
            </w:r>
            <w:r>
              <w:rPr>
                <w:rFonts w:ascii="宋体" w:hAnsi="宋体" w:eastAsia="宋体"/>
                <w:szCs w:val="21"/>
                <w:highlight w:val="none"/>
              </w:rPr>
            </w:r>
            <w:r/>
          </w:p>
          <w:p>
            <w:pPr>
              <w:pStyle w:val="1073"/>
              <w:jc w:val="left"/>
              <w:rPr>
                <w:rFonts w:ascii="宋体" w:hAnsi="宋体" w:eastAsia="宋体"/>
                <w:szCs w:val="21"/>
                <w:highlight w:val="none"/>
                <w:u w:val="single"/>
              </w:rPr>
            </w:pPr>
            <w:r>
              <w:rPr>
                <w:rFonts w:ascii="宋体" w:hAnsi="宋体" w:eastAsia="宋体"/>
                <w:szCs w:val="21"/>
                <w:highlight w:val="none"/>
              </w:rPr>
              <w:t xml:space="preserve">□货物</w:t>
            </w:r>
            <w:r>
              <w:rPr>
                <w:rFonts w:ascii="宋体" w:hAnsi="宋体" w:eastAsia="宋体"/>
                <w:szCs w:val="21"/>
                <w:highlight w:val="none"/>
                <w:u w:val="single"/>
              </w:rPr>
            </w:r>
            <w:r/>
          </w:p>
        </w:tc>
      </w:tr>
      <w:tr>
        <w:trPr>
          <w:trHeight w:val="1119"/>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2.3</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科研仪器设备</w:t>
            </w:r>
            <w:r>
              <w:rPr>
                <w:rFonts w:ascii="宋体" w:hAnsi="宋体" w:eastAsia="宋体"/>
                <w:szCs w:val="21"/>
                <w:highlight w:val="none"/>
              </w:rPr>
            </w:r>
            <w:r/>
          </w:p>
        </w:tc>
        <w:tc>
          <w:tcPr>
            <w:tcW w:w="6108"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是否属于科研仪器设备采购项目：</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□是</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否</w:t>
            </w:r>
            <w:r>
              <w:rPr>
                <w:rFonts w:ascii="宋体" w:hAnsi="宋体" w:eastAsia="宋体"/>
                <w:szCs w:val="21"/>
                <w:highlight w:val="none"/>
              </w:rPr>
            </w:r>
            <w:r/>
          </w:p>
        </w:tc>
      </w:tr>
      <w:tr>
        <w:trPr>
          <w:trHeight w:val="1133"/>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2.4</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核心产品</w:t>
            </w:r>
            <w:r>
              <w:rPr>
                <w:rFonts w:ascii="宋体" w:hAnsi="宋体" w:eastAsia="宋体"/>
                <w:szCs w:val="21"/>
                <w:highlight w:val="none"/>
              </w:rPr>
            </w:r>
            <w:r/>
          </w:p>
        </w:tc>
        <w:tc>
          <w:tcPr>
            <w:tcW w:w="6108" w:type="dxa"/>
            <w:vAlign w:val="center"/>
            <w:textDirection w:val="lrTb"/>
            <w:noWrap w:val="false"/>
          </w:tcPr>
          <w:p>
            <w:pPr>
              <w:pStyle w:val="1116"/>
              <w:rPr>
                <w:rFonts w:hAnsi="宋体"/>
                <w:szCs w:val="21"/>
                <w:highlight w:val="none"/>
              </w:rPr>
            </w:pPr>
            <w:r>
              <w:rPr>
                <w:rFonts w:hAnsi="宋体"/>
                <w:szCs w:val="21"/>
                <w:highlight w:val="none"/>
              </w:rPr>
              <w:t xml:space="preserve">■关于核心产品本项目不适用。</w:t>
            </w:r>
            <w:r>
              <w:rPr>
                <w:rFonts w:hAnsi="宋体"/>
                <w:szCs w:val="21"/>
                <w:highlight w:val="none"/>
              </w:rPr>
            </w:r>
            <w:r/>
          </w:p>
          <w:p>
            <w:pPr>
              <w:pStyle w:val="1116"/>
              <w:rPr>
                <w:rFonts w:hAnsi="宋体"/>
                <w:szCs w:val="21"/>
                <w:highlight w:val="none"/>
              </w:rPr>
            </w:pPr>
            <w:r>
              <w:rPr>
                <w:rFonts w:hAnsi="宋体"/>
                <w:szCs w:val="21"/>
                <w:highlight w:val="none"/>
              </w:rPr>
              <w:t xml:space="preserve">□本项目</w:t>
            </w:r>
            <w:r>
              <w:rPr>
                <w:rFonts w:hAnsi="宋体"/>
                <w:szCs w:val="21"/>
                <w:highlight w:val="none"/>
                <w:u w:val="single"/>
              </w:rPr>
              <w:t xml:space="preserve">       </w:t>
            </w:r>
            <w:r>
              <w:rPr>
                <w:rFonts w:hAnsi="宋体"/>
                <w:szCs w:val="21"/>
                <w:highlight w:val="none"/>
              </w:rPr>
              <w:t xml:space="preserve">为单一产品采购项目。</w:t>
            </w:r>
            <w:r>
              <w:rPr>
                <w:rFonts w:hAnsi="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□本项目__为非单一产品采购项目，核心产品为：____。</w:t>
            </w:r>
            <w:r>
              <w:rPr>
                <w:rFonts w:ascii="宋体" w:hAnsi="宋体" w:eastAsia="宋体"/>
                <w:szCs w:val="21"/>
                <w:highlight w:val="none"/>
              </w:rPr>
            </w:r>
            <w:r/>
          </w:p>
        </w:tc>
      </w:tr>
      <w:tr>
        <w:trPr>
          <w:trHeight w:val="1548"/>
        </w:trPr>
        <w:tc>
          <w:tcPr>
            <w:tcW w:w="988" w:type="dxa"/>
            <w:vAlign w:val="center"/>
            <w:vMerge w:val="restart"/>
            <w:textDirection w:val="lrTb"/>
            <w:noWrap w:val="false"/>
          </w:tcPr>
          <w:p>
            <w:pPr>
              <w:pStyle w:val="1116"/>
              <w:jc w:val="center"/>
              <w:rPr>
                <w:rFonts w:hAnsi="宋体"/>
                <w:szCs w:val="21"/>
                <w:highlight w:val="none"/>
              </w:rPr>
            </w:pPr>
            <w:r>
              <w:rPr>
                <w:rFonts w:hAnsi="宋体"/>
                <w:szCs w:val="21"/>
                <w:highlight w:val="none"/>
              </w:rPr>
              <w:t xml:space="preserve">3.1</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现场考察</w:t>
            </w:r>
            <w:r>
              <w:rPr>
                <w:rFonts w:ascii="宋体" w:hAnsi="宋体" w:eastAsia="宋体"/>
                <w:szCs w:val="21"/>
                <w:highlight w:val="none"/>
              </w:rPr>
            </w:r>
            <w:r/>
          </w:p>
        </w:tc>
        <w:tc>
          <w:tcPr>
            <w:tcW w:w="6108" w:type="dxa"/>
            <w:vAlign w:val="center"/>
            <w:textDirection w:val="lrTb"/>
            <w:noWrap w:val="false"/>
          </w:tcPr>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不组织</w:t>
            </w:r>
            <w:r>
              <w:rPr>
                <w:rFonts w:hint="eastAsia" w:ascii="宋体" w:hAnsi="宋体" w:eastAsia="宋体"/>
                <w:szCs w:val="21"/>
                <w:highlight w:val="none"/>
              </w:rPr>
              <w:t xml:space="preserve">，投标人可对本项目现场进行踏勘，但费用由投标人自行承担。投标人在投标时应充分考虑现场实际情况，采购人不负担因投标人对本项目现场情况考虑不周而产生的其他任何费用。</w:t>
            </w:r>
            <w:r>
              <w:rPr>
                <w:rFonts w:ascii="宋体" w:hAnsi="宋体" w:eastAsia="宋体"/>
                <w:szCs w:val="21"/>
                <w:highlight w:val="none"/>
              </w:rPr>
            </w:r>
            <w:r/>
          </w:p>
          <w:p>
            <w:pPr>
              <w:pStyle w:val="1073"/>
              <w:jc w:val="left"/>
              <w:rPr>
                <w:rFonts w:ascii="宋体" w:hAnsi="宋体" w:eastAsia="宋体"/>
                <w:bCs/>
                <w:szCs w:val="21"/>
                <w:highlight w:val="none"/>
              </w:rPr>
            </w:pPr>
            <w:r>
              <w:rPr>
                <w:rFonts w:ascii="宋体" w:hAnsi="宋体" w:eastAsia="宋体"/>
                <w:szCs w:val="21"/>
                <w:highlight w:val="none"/>
              </w:rPr>
              <w:t xml:space="preserve">□组织，考察时间：__年_月_日_</w:t>
            </w:r>
            <w:r>
              <w:rPr>
                <w:rFonts w:ascii="宋体" w:hAnsi="宋体" w:eastAsia="宋体"/>
                <w:bCs/>
                <w:szCs w:val="21"/>
                <w:highlight w:val="none"/>
              </w:rPr>
              <w:t xml:space="preserve">点</w:t>
            </w:r>
            <w:r>
              <w:rPr>
                <w:rFonts w:ascii="宋体" w:hAnsi="宋体" w:eastAsia="宋体"/>
                <w:szCs w:val="21"/>
                <w:highlight w:val="none"/>
              </w:rPr>
              <w:t xml:space="preserve">_</w:t>
            </w:r>
            <w:r>
              <w:rPr>
                <w:rFonts w:ascii="宋体" w:hAnsi="宋体" w:eastAsia="宋体"/>
                <w:bCs/>
                <w:szCs w:val="21"/>
                <w:highlight w:val="none"/>
              </w:rPr>
              <w:t xml:space="preserve">分</w:t>
            </w:r>
            <w:r>
              <w:rPr>
                <w:rFonts w:ascii="宋体" w:hAnsi="宋体" w:eastAsia="宋体"/>
                <w:bCs/>
                <w:szCs w:val="21"/>
                <w:highlight w:val="none"/>
              </w:rPr>
            </w:r>
            <w:r/>
          </w:p>
          <w:p>
            <w:pPr>
              <w:pStyle w:val="1116"/>
              <w:rPr>
                <w:rFonts w:hAnsi="宋体"/>
                <w:szCs w:val="21"/>
                <w:highlight w:val="none"/>
              </w:rPr>
            </w:pPr>
            <w:r>
              <w:rPr>
                <w:rFonts w:hAnsi="宋体"/>
                <w:szCs w:val="21"/>
                <w:highlight w:val="none"/>
              </w:rPr>
              <w:t xml:space="preserve">考察地点：____________。</w:t>
            </w:r>
            <w:r>
              <w:rPr>
                <w:rFonts w:hAnsi="宋体"/>
                <w:szCs w:val="21"/>
                <w:highlight w:val="none"/>
              </w:rPr>
            </w:r>
            <w:r/>
          </w:p>
        </w:tc>
      </w:tr>
      <w:tr>
        <w:trPr>
          <w:trHeight w:val="975"/>
        </w:trPr>
        <w:tc>
          <w:tcPr>
            <w:tcW w:w="988" w:type="dxa"/>
            <w:vAlign w:val="center"/>
            <w:vMerge w:val="continue"/>
            <w:textDirection w:val="lrTb"/>
            <w:noWrap w:val="false"/>
          </w:tcPr>
          <w:p>
            <w:pPr>
              <w:pStyle w:val="1116"/>
              <w:jc w:val="center"/>
              <w:rPr>
                <w:rFonts w:hAnsi="宋体"/>
                <w:szCs w:val="21"/>
                <w:highlight w:val="none"/>
              </w:rPr>
            </w:pP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开标前答疑会</w:t>
            </w:r>
            <w:r>
              <w:rPr>
                <w:rFonts w:ascii="宋体" w:hAnsi="宋体" w:eastAsia="宋体"/>
                <w:szCs w:val="21"/>
                <w:highlight w:val="none"/>
              </w:rPr>
            </w:r>
            <w:r/>
          </w:p>
        </w:tc>
        <w:tc>
          <w:tcPr>
            <w:tcW w:w="6108" w:type="dxa"/>
            <w:vAlign w:val="center"/>
            <w:textDirection w:val="lrTb"/>
            <w:noWrap w:val="false"/>
          </w:tcPr>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不召开</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□召开，召开时间：__年_月_日_</w:t>
            </w:r>
            <w:r>
              <w:rPr>
                <w:rFonts w:ascii="宋体" w:hAnsi="宋体" w:eastAsia="宋体"/>
                <w:bCs/>
                <w:szCs w:val="21"/>
                <w:highlight w:val="none"/>
              </w:rPr>
              <w:t xml:space="preserve">点</w:t>
            </w:r>
            <w:r>
              <w:rPr>
                <w:rFonts w:ascii="宋体" w:hAnsi="宋体" w:eastAsia="宋体"/>
                <w:szCs w:val="21"/>
                <w:highlight w:val="none"/>
              </w:rPr>
              <w:t xml:space="preserve">_</w:t>
            </w:r>
            <w:r>
              <w:rPr>
                <w:rFonts w:ascii="宋体" w:hAnsi="宋体" w:eastAsia="宋体"/>
                <w:bCs/>
                <w:szCs w:val="21"/>
                <w:highlight w:val="none"/>
              </w:rPr>
              <w:t xml:space="preserve">分</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召开地点：____________。</w:t>
            </w:r>
            <w:r>
              <w:rPr>
                <w:rFonts w:ascii="宋体" w:hAnsi="宋体" w:eastAsia="宋体"/>
                <w:szCs w:val="21"/>
                <w:highlight w:val="none"/>
              </w:rPr>
            </w:r>
            <w:r/>
          </w:p>
        </w:tc>
      </w:tr>
      <w:tr>
        <w:trPr>
          <w:trHeight w:val="3274"/>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4.1</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样品</w:t>
            </w:r>
            <w:r>
              <w:rPr>
                <w:rFonts w:ascii="宋体" w:hAnsi="宋体" w:eastAsia="宋体"/>
                <w:szCs w:val="21"/>
                <w:highlight w:val="none"/>
              </w:rPr>
            </w:r>
            <w:r/>
          </w:p>
        </w:tc>
        <w:tc>
          <w:tcPr>
            <w:tcW w:w="6108"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投标样品递交：</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不需要</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□需要，具体要求如下：</w:t>
            </w:r>
            <w:r>
              <w:rPr>
                <w:rFonts w:ascii="宋体" w:hAnsi="宋体" w:eastAsia="宋体"/>
                <w:szCs w:val="21"/>
                <w:highlight w:val="none"/>
              </w:rPr>
            </w:r>
            <w:r/>
          </w:p>
          <w:p>
            <w:pPr>
              <w:pStyle w:val="1073"/>
              <w:jc w:val="left"/>
              <w:rPr>
                <w:rFonts w:ascii="宋体" w:hAnsi="宋体" w:eastAsia="宋体"/>
                <w:szCs w:val="21"/>
                <w:highlight w:val="none"/>
                <w:u w:val="single"/>
              </w:rPr>
            </w:pPr>
            <w:r>
              <w:rPr>
                <w:rFonts w:ascii="宋体" w:hAnsi="宋体" w:eastAsia="宋体"/>
                <w:szCs w:val="21"/>
                <w:highlight w:val="none"/>
              </w:rPr>
              <w:t xml:space="preserve">（1）样品制作的标准和要求：_________；</w:t>
            </w:r>
            <w:r>
              <w:rPr>
                <w:rFonts w:ascii="宋体" w:hAnsi="宋体" w:eastAsia="宋体"/>
                <w:szCs w:val="21"/>
                <w:highlight w:val="none"/>
                <w:u w:val="single"/>
              </w:rPr>
            </w:r>
            <w:r/>
          </w:p>
          <w:p>
            <w:pPr>
              <w:pStyle w:val="1073"/>
              <w:jc w:val="left"/>
              <w:rPr>
                <w:rFonts w:ascii="宋体" w:hAnsi="宋体" w:eastAsia="宋体"/>
                <w:szCs w:val="21"/>
                <w:highlight w:val="none"/>
              </w:rPr>
            </w:pPr>
            <w:r>
              <w:rPr>
                <w:rFonts w:ascii="宋体" w:hAnsi="宋体" w:eastAsia="宋体"/>
                <w:szCs w:val="21"/>
                <w:highlight w:val="none"/>
              </w:rPr>
              <w:t xml:space="preserve">（2）是否需要随样品提交相关检测报告：</w:t>
            </w:r>
            <w:r>
              <w:rPr>
                <w:rFonts w:ascii="宋体" w:hAnsi="宋体" w:eastAsia="宋体"/>
                <w:szCs w:val="21"/>
                <w:highlight w:val="none"/>
              </w:rPr>
            </w:r>
            <w:r/>
          </w:p>
          <w:p>
            <w:pPr>
              <w:pStyle w:val="1073"/>
              <w:ind w:firstLine="525"/>
              <w:jc w:val="left"/>
              <w:rPr>
                <w:rFonts w:ascii="宋体" w:hAnsi="宋体" w:eastAsia="宋体"/>
                <w:szCs w:val="21"/>
                <w:highlight w:val="none"/>
              </w:rPr>
            </w:pPr>
            <w:r>
              <w:rPr>
                <w:rFonts w:ascii="宋体" w:hAnsi="宋体" w:eastAsia="宋体"/>
                <w:szCs w:val="21"/>
                <w:highlight w:val="none"/>
              </w:rPr>
              <w:t xml:space="preserve">□不需要</w:t>
            </w:r>
            <w:r>
              <w:rPr>
                <w:rFonts w:ascii="宋体" w:hAnsi="宋体" w:eastAsia="宋体"/>
                <w:szCs w:val="21"/>
                <w:highlight w:val="none"/>
              </w:rPr>
            </w:r>
            <w:r/>
          </w:p>
          <w:p>
            <w:pPr>
              <w:pStyle w:val="1073"/>
              <w:ind w:firstLine="525"/>
              <w:jc w:val="left"/>
              <w:rPr>
                <w:rFonts w:ascii="宋体" w:hAnsi="宋体" w:eastAsia="宋体"/>
                <w:szCs w:val="21"/>
                <w:highlight w:val="none"/>
              </w:rPr>
            </w:pPr>
            <w:r>
              <w:rPr>
                <w:rFonts w:ascii="宋体" w:hAnsi="宋体" w:eastAsia="宋体"/>
                <w:szCs w:val="21"/>
                <w:highlight w:val="none"/>
              </w:rPr>
              <w:t xml:space="preserve">□需要</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（3）样品递交要求：_________；</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（4）未中标人样品退还：_________；</w:t>
            </w:r>
            <w:r>
              <w:rPr>
                <w:rFonts w:ascii="宋体" w:hAnsi="宋体" w:eastAsia="宋体"/>
                <w:szCs w:val="21"/>
                <w:highlight w:val="none"/>
              </w:rPr>
            </w:r>
            <w:r/>
          </w:p>
          <w:p>
            <w:pPr>
              <w:pStyle w:val="1073"/>
              <w:jc w:val="left"/>
              <w:rPr>
                <w:rFonts w:ascii="宋体" w:hAnsi="宋体" w:eastAsia="宋体"/>
                <w:szCs w:val="21"/>
                <w:highlight w:val="none"/>
                <w:u w:val="single"/>
              </w:rPr>
            </w:pPr>
            <w:r>
              <w:rPr>
                <w:rFonts w:ascii="宋体" w:hAnsi="宋体" w:eastAsia="宋体"/>
                <w:szCs w:val="21"/>
                <w:highlight w:val="none"/>
              </w:rPr>
              <w:t xml:space="preserve">（5）中标人样品保管、封存及退还：_________；</w:t>
            </w:r>
            <w:r>
              <w:rPr>
                <w:rFonts w:ascii="宋体" w:hAnsi="宋体" w:eastAsia="宋体"/>
                <w:szCs w:val="21"/>
                <w:highlight w:val="none"/>
                <w:u w:val="single"/>
              </w:rPr>
            </w:r>
            <w:r/>
          </w:p>
          <w:p>
            <w:pPr>
              <w:pStyle w:val="1073"/>
              <w:jc w:val="left"/>
              <w:rPr>
                <w:rFonts w:ascii="宋体" w:hAnsi="宋体" w:eastAsia="宋体"/>
                <w:szCs w:val="21"/>
                <w:highlight w:val="none"/>
              </w:rPr>
            </w:pPr>
            <w:r>
              <w:rPr>
                <w:rFonts w:ascii="宋体" w:hAnsi="宋体" w:eastAsia="宋体"/>
                <w:szCs w:val="21"/>
                <w:highlight w:val="none"/>
              </w:rPr>
              <w:t xml:space="preserve">（6）其他要求（如有）：_________。</w:t>
            </w:r>
            <w:r>
              <w:rPr>
                <w:rFonts w:ascii="宋体" w:hAnsi="宋体" w:eastAsia="宋体"/>
                <w:szCs w:val="21"/>
                <w:highlight w:val="none"/>
              </w:rPr>
            </w:r>
            <w:r/>
          </w:p>
        </w:tc>
      </w:tr>
      <w:tr>
        <w:trPr>
          <w:trHeight w:val="567"/>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5.2.5</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标的所属行业</w:t>
            </w:r>
            <w:r>
              <w:rPr>
                <w:rFonts w:ascii="宋体" w:hAnsi="宋体" w:eastAsia="宋体"/>
                <w:szCs w:val="21"/>
                <w:highlight w:val="none"/>
              </w:rPr>
            </w:r>
            <w:r/>
          </w:p>
        </w:tc>
        <w:tc>
          <w:tcPr>
            <w:tcW w:w="6108"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本项目采购标的对应的中小企业划分标准所属行业：</w:t>
            </w:r>
            <w:r>
              <w:rPr>
                <w:rFonts w:ascii="宋体" w:hAnsi="宋体" w:eastAsia="宋体"/>
                <w:szCs w:val="21"/>
                <w:highlight w:val="none"/>
              </w:rPr>
            </w:r>
            <w:r/>
          </w:p>
          <w:tbl>
            <w:tblPr>
              <w:tblW w:w="0" w:type="auto"/>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88"/>
              <w:gridCol w:w="2835"/>
            </w:tblGrid>
            <w:tr>
              <w:trPr>
                <w:trHeight w:val="714"/>
              </w:trPr>
              <w:tc>
                <w:tcPr>
                  <w:tcW w:w="2788" w:type="dxa"/>
                  <w:vAlign w:val="center"/>
                  <w:textDirection w:val="lrTb"/>
                  <w:noWrap w:val="false"/>
                </w:tcPr>
                <w:p>
                  <w:pPr>
                    <w:pStyle w:val="1073"/>
                    <w:jc w:val="center"/>
                    <w:rPr>
                      <w:rFonts w:ascii="宋体" w:hAnsi="宋体" w:eastAsia="宋体"/>
                      <w:bCs/>
                      <w:szCs w:val="21"/>
                      <w:highlight w:val="none"/>
                    </w:rPr>
                  </w:pPr>
                  <w:r>
                    <w:rPr>
                      <w:rFonts w:ascii="宋体" w:hAnsi="宋体" w:eastAsia="宋体"/>
                      <w:bCs/>
                      <w:szCs w:val="21"/>
                      <w:highlight w:val="none"/>
                    </w:rPr>
                    <w:t xml:space="preserve">标的名称</w:t>
                  </w:r>
                  <w:r>
                    <w:rPr>
                      <w:rFonts w:ascii="宋体" w:hAnsi="宋体" w:eastAsia="宋体"/>
                      <w:bCs/>
                      <w:szCs w:val="21"/>
                      <w:highlight w:val="none"/>
                    </w:rPr>
                  </w:r>
                  <w:r/>
                </w:p>
              </w:tc>
              <w:tc>
                <w:tcPr>
                  <w:tcW w:w="28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中小企业划分标准所属行业</w:t>
                  </w:r>
                  <w:r>
                    <w:rPr>
                      <w:rFonts w:ascii="宋体" w:hAnsi="宋体" w:eastAsia="宋体"/>
                      <w:szCs w:val="21"/>
                      <w:highlight w:val="none"/>
                    </w:rPr>
                  </w:r>
                  <w:r/>
                </w:p>
              </w:tc>
            </w:tr>
            <w:tr>
              <w:trPr>
                <w:trHeight w:val="655"/>
              </w:trPr>
              <w:tc>
                <w:tcPr>
                  <w:tcW w:w="2788" w:type="dxa"/>
                  <w:vAlign w:val="center"/>
                  <w:textDirection w:val="lrTb"/>
                  <w:noWrap w:val="false"/>
                </w:tcPr>
                <w:p>
                  <w:pPr>
                    <w:pStyle w:val="1073"/>
                    <w:jc w:val="center"/>
                    <w:rPr>
                      <w:rFonts w:hint="eastAsia" w:ascii="宋体" w:hAnsi="宋体" w:eastAsia="宋体"/>
                      <w:bCs/>
                      <w:szCs w:val="21"/>
                      <w:highlight w:val="none"/>
                    </w:rPr>
                  </w:pPr>
                  <w:r>
                    <w:rPr>
                      <w:rFonts w:hint="eastAsia" w:ascii="宋体" w:hAnsi="宋体" w:eastAsia="宋体"/>
                      <w:szCs w:val="21"/>
                      <w:highlight w:val="none"/>
                    </w:rPr>
                    <w:t xml:space="preserve">2026年交警信息化系统前后端维护</w:t>
                  </w:r>
                  <w:r>
                    <w:rPr>
                      <w:rFonts w:hint="eastAsia" w:ascii="宋体" w:hAnsi="宋体" w:eastAsia="宋体"/>
                      <w:bCs/>
                      <w:szCs w:val="21"/>
                      <w:highlight w:val="none"/>
                    </w:rPr>
                  </w:r>
                  <w:r/>
                </w:p>
              </w:tc>
              <w:tc>
                <w:tcPr>
                  <w:tcW w:w="2835" w:type="dxa"/>
                  <w:vAlign w:val="center"/>
                  <w:textDirection w:val="lrTb"/>
                  <w:noWrap w:val="false"/>
                </w:tcPr>
                <w:p>
                  <w:pPr>
                    <w:pStyle w:val="1073"/>
                    <w:jc w:val="center"/>
                    <w:rPr>
                      <w:rFonts w:ascii="宋体" w:hAnsi="宋体" w:eastAsia="宋体"/>
                      <w:szCs w:val="21"/>
                      <w:highlight w:val="none"/>
                    </w:rPr>
                  </w:pPr>
                  <w:r>
                    <w:rPr>
                      <w:rFonts w:hint="eastAsia" w:eastAsia="宋体"/>
                      <w:b/>
                      <w:bCs/>
                      <w:highlight w:val="none"/>
                    </w:rPr>
                    <w:t xml:space="preserve">（十二）软件和信息技术服务业</w:t>
                  </w:r>
                  <w:r>
                    <w:rPr>
                      <w:rFonts w:ascii="宋体" w:hAnsi="宋体" w:eastAsia="宋体"/>
                      <w:szCs w:val="21"/>
                      <w:highlight w:val="none"/>
                    </w:rPr>
                  </w:r>
                  <w:r/>
                </w:p>
              </w:tc>
            </w:tr>
          </w:tbl>
          <w:p>
            <w:pPr>
              <w:pStyle w:val="1073"/>
              <w:jc w:val="left"/>
              <w:rPr>
                <w:rFonts w:ascii="宋体" w:hAnsi="宋体" w:eastAsia="宋体"/>
                <w:szCs w:val="21"/>
                <w:highlight w:val="none"/>
              </w:rPr>
            </w:pPr>
            <w:r>
              <w:rPr>
                <w:rFonts w:ascii="宋体" w:hAnsi="宋体" w:eastAsia="宋体"/>
                <w:szCs w:val="21"/>
                <w:highlight w:val="none"/>
              </w:rPr>
            </w:r>
            <w:r/>
          </w:p>
        </w:tc>
      </w:tr>
    </w:tbl>
    <w:p>
      <w:pPr>
        <w:pStyle w:val="1073"/>
        <w:rPr>
          <w:rFonts w:ascii="宋体" w:hAnsi="宋体" w:eastAsia="宋体"/>
          <w:sz w:val="24"/>
          <w:highlight w:val="none"/>
        </w:rPr>
      </w:pPr>
      <w:r>
        <w:rPr>
          <w:rFonts w:ascii="宋体" w:hAnsi="宋体" w:eastAsia="宋体"/>
          <w:sz w:val="24"/>
          <w:highlight w:val="none"/>
        </w:rPr>
        <w:br w:type="page" w:clear="all"/>
      </w:r>
      <w:r>
        <w:rPr>
          <w:rFonts w:ascii="宋体" w:hAnsi="宋体" w:eastAsia="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241"/>
      </w:tblGrid>
      <w:tr>
        <w:trPr>
          <w:trHeight w:val="983"/>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11.2</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投标报价</w:t>
            </w:r>
            <w:r>
              <w:rPr>
                <w:rFonts w:ascii="宋体" w:hAnsi="宋体" w:eastAsia="宋体"/>
                <w:szCs w:val="21"/>
                <w:highlight w:val="none"/>
              </w:rPr>
            </w:r>
            <w:r/>
          </w:p>
        </w:tc>
        <w:tc>
          <w:tcPr>
            <w:tcW w:w="6241"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投标报价的特殊规定：</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无</w:t>
            </w:r>
            <w:r>
              <w:rPr>
                <w:rFonts w:ascii="宋体" w:hAnsi="宋体" w:eastAsia="宋体"/>
                <w:szCs w:val="21"/>
                <w:highlight w:val="none"/>
              </w:rPr>
            </w:r>
            <w:r/>
          </w:p>
          <w:p>
            <w:pPr>
              <w:pStyle w:val="1073"/>
              <w:jc w:val="left"/>
              <w:rPr>
                <w:rFonts w:hint="eastAsia"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有，具体情形：</w:t>
            </w:r>
            <w:r>
              <w:rPr>
                <w:rFonts w:hint="eastAsia" w:ascii="宋体" w:hAnsi="宋体" w:eastAsia="宋体"/>
                <w:szCs w:val="21"/>
                <w:highlight w:val="none"/>
                <w:u w:val="single"/>
              </w:rPr>
              <w:t xml:space="preserve">   /  </w:t>
            </w:r>
            <w:r>
              <w:rPr>
                <w:rFonts w:hint="eastAsia" w:ascii="宋体" w:hAnsi="宋体" w:eastAsia="宋体" w:cs="宋体"/>
                <w:szCs w:val="21"/>
                <w:highlight w:val="none"/>
                <w:u w:val="single"/>
              </w:rPr>
              <w:t xml:space="preserve">。</w:t>
            </w:r>
            <w:r>
              <w:rPr>
                <w:rFonts w:hint="eastAsia" w:ascii="宋体" w:hAnsi="宋体" w:eastAsia="宋体"/>
                <w:szCs w:val="21"/>
                <w:highlight w:val="none"/>
              </w:rPr>
            </w:r>
            <w:r/>
          </w:p>
        </w:tc>
      </w:tr>
      <w:tr>
        <w:trPr>
          <w:trHeight w:val="699"/>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12.1</w:t>
            </w:r>
            <w:r>
              <w:rPr>
                <w:rFonts w:hAnsi="宋体"/>
                <w:szCs w:val="21"/>
                <w:highlight w:val="none"/>
              </w:rPr>
            </w:r>
            <w:r/>
          </w:p>
        </w:tc>
        <w:tc>
          <w:tcPr>
            <w:tcW w:w="1701" w:type="dxa"/>
            <w:vAlign w:val="center"/>
            <w:vMerge w:val="restart"/>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投标保证金</w:t>
            </w:r>
            <w:r>
              <w:rPr>
                <w:rFonts w:ascii="宋体" w:hAnsi="宋体" w:eastAsia="宋体"/>
                <w:szCs w:val="21"/>
                <w:highlight w:val="none"/>
              </w:rPr>
            </w:r>
            <w:r/>
          </w:p>
        </w:tc>
        <w:tc>
          <w:tcPr>
            <w:tcW w:w="6241" w:type="dxa"/>
            <w:vAlign w:val="center"/>
            <w:textDirection w:val="lrTb"/>
            <w:noWrap w:val="false"/>
          </w:tcPr>
          <w:p>
            <w:pPr>
              <w:pStyle w:val="1116"/>
              <w:rPr>
                <w:rFonts w:hAnsi="宋体"/>
                <w:szCs w:val="21"/>
                <w:highlight w:val="none"/>
              </w:rPr>
            </w:pPr>
            <w:r>
              <w:rPr>
                <w:rFonts w:hAnsi="宋体"/>
                <w:szCs w:val="21"/>
                <w:highlight w:val="none"/>
              </w:rPr>
              <w:t xml:space="preserve">投标保证金金额：</w:t>
            </w:r>
            <w:r>
              <w:rPr>
                <w:rFonts w:hAnsi="宋体"/>
                <w:szCs w:val="21"/>
                <w:highlight w:val="none"/>
              </w:rPr>
              <w:t xml:space="preserve">无。</w:t>
            </w:r>
            <w:r>
              <w:rPr>
                <w:rFonts w:hAnsi="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投标保证金收受人信息：</w:t>
            </w:r>
            <w:r>
              <w:rPr>
                <w:rFonts w:ascii="宋体" w:hAnsi="宋体" w:eastAsia="宋体"/>
                <w:szCs w:val="21"/>
                <w:highlight w:val="none"/>
                <w:u w:val="single"/>
              </w:rPr>
              <w:t xml:space="preserve">  /   </w:t>
            </w:r>
            <w:r>
              <w:rPr>
                <w:rFonts w:ascii="宋体" w:hAnsi="宋体" w:eastAsia="宋体"/>
                <w:szCs w:val="21"/>
                <w:highlight w:val="none"/>
              </w:rPr>
              <w:t xml:space="preserve">。</w:t>
            </w:r>
            <w:r>
              <w:rPr>
                <w:rFonts w:ascii="宋体" w:hAnsi="宋体" w:eastAsia="宋体"/>
                <w:szCs w:val="21"/>
                <w:highlight w:val="none"/>
              </w:rPr>
            </w:r>
            <w:r/>
          </w:p>
        </w:tc>
      </w:tr>
      <w:tr>
        <w:trPr>
          <w:trHeight w:val="986"/>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12.7.2</w:t>
            </w:r>
            <w:r>
              <w:rPr>
                <w:rFonts w:hAnsi="宋体"/>
                <w:szCs w:val="21"/>
                <w:highlight w:val="none"/>
              </w:rPr>
            </w:r>
            <w:r/>
          </w:p>
        </w:tc>
        <w:tc>
          <w:tcPr>
            <w:tcW w:w="1701" w:type="dxa"/>
            <w:vAlign w:val="center"/>
            <w:vMerge w:val="continue"/>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6241"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投标保证金可以不予退还的其他情形：</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□无</w:t>
            </w:r>
            <w:r>
              <w:rPr>
                <w:rFonts w:ascii="宋体" w:hAnsi="宋体" w:eastAsia="宋体"/>
                <w:szCs w:val="21"/>
                <w:highlight w:val="none"/>
              </w:rPr>
            </w:r>
            <w:r/>
          </w:p>
          <w:p>
            <w:pPr>
              <w:pStyle w:val="1116"/>
              <w:rPr>
                <w:rFonts w:hAnsi="宋体"/>
                <w:szCs w:val="21"/>
                <w:highlight w:val="none"/>
              </w:rPr>
            </w:pPr>
            <w:r>
              <w:rPr>
                <w:rFonts w:hAnsi="宋体"/>
                <w:szCs w:val="21"/>
                <w:highlight w:val="none"/>
              </w:rPr>
              <w:t xml:space="preserve">□有，具体情形：</w:t>
            </w:r>
            <w:r>
              <w:rPr>
                <w:rFonts w:hAnsi="宋体"/>
                <w:szCs w:val="21"/>
                <w:highlight w:val="none"/>
                <w:u w:val="single"/>
              </w:rPr>
              <w:t xml:space="preserve">   /   </w:t>
            </w:r>
            <w:r>
              <w:rPr>
                <w:rFonts w:hAnsi="宋体"/>
                <w:szCs w:val="21"/>
                <w:highlight w:val="none"/>
              </w:rPr>
              <w:t xml:space="preserve">。</w:t>
            </w:r>
            <w:r>
              <w:rPr>
                <w:rFonts w:hAnsi="宋体"/>
                <w:szCs w:val="21"/>
                <w:highlight w:val="none"/>
              </w:rPr>
            </w:r>
            <w:r/>
          </w:p>
        </w:tc>
      </w:tr>
      <w:tr>
        <w:trPr>
          <w:trHeight w:val="567"/>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13.1</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投标有效期</w:t>
            </w:r>
            <w:r>
              <w:rPr>
                <w:rFonts w:ascii="宋体" w:hAnsi="宋体" w:eastAsia="宋体"/>
                <w:szCs w:val="21"/>
                <w:highlight w:val="none"/>
              </w:rPr>
            </w:r>
            <w:r/>
          </w:p>
        </w:tc>
        <w:tc>
          <w:tcPr>
            <w:tcW w:w="6241"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自提交投标文件的截止之日起算</w:t>
            </w:r>
            <w:r>
              <w:rPr>
                <w:rFonts w:ascii="宋体" w:hAnsi="宋体" w:eastAsia="宋体"/>
                <w:szCs w:val="21"/>
                <w:highlight w:val="none"/>
                <w:u w:val="single"/>
              </w:rPr>
              <w:t xml:space="preserve"> </w:t>
            </w:r>
            <w:r>
              <w:rPr>
                <w:rFonts w:ascii="宋体" w:hAnsi="宋体" w:eastAsia="宋体"/>
                <w:b/>
                <w:bCs/>
                <w:szCs w:val="21"/>
                <w:highlight w:val="none"/>
                <w:u w:val="single"/>
              </w:rPr>
              <w:t xml:space="preserve"> 60 </w:t>
            </w:r>
            <w:r>
              <w:rPr>
                <w:rFonts w:ascii="宋体" w:hAnsi="宋体" w:eastAsia="宋体"/>
                <w:szCs w:val="21"/>
                <w:highlight w:val="none"/>
                <w:u w:val="single"/>
              </w:rPr>
              <w:t xml:space="preserve"> </w:t>
            </w:r>
            <w:r>
              <w:rPr>
                <w:rFonts w:ascii="宋体" w:hAnsi="宋体" w:eastAsia="宋体"/>
                <w:szCs w:val="21"/>
                <w:highlight w:val="none"/>
              </w:rPr>
              <w:t xml:space="preserve">日历天。</w:t>
            </w:r>
            <w:r>
              <w:rPr>
                <w:rFonts w:ascii="宋体" w:hAnsi="宋体" w:eastAsia="宋体"/>
                <w:szCs w:val="21"/>
                <w:highlight w:val="none"/>
              </w:rPr>
            </w:r>
            <w:r/>
          </w:p>
        </w:tc>
      </w:tr>
      <w:tr>
        <w:trPr>
          <w:trHeight w:val="1746"/>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22.1</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确定中标人</w:t>
            </w:r>
            <w:r>
              <w:rPr>
                <w:rFonts w:ascii="宋体" w:hAnsi="宋体" w:eastAsia="宋体"/>
                <w:szCs w:val="21"/>
                <w:highlight w:val="none"/>
              </w:rPr>
            </w:r>
            <w:r/>
          </w:p>
        </w:tc>
        <w:tc>
          <w:tcPr>
            <w:tcW w:w="6241" w:type="dxa"/>
            <w:vAlign w:val="center"/>
            <w:textDirection w:val="lrTb"/>
            <w:noWrap w:val="false"/>
          </w:tcPr>
          <w:p>
            <w:pPr>
              <w:pStyle w:val="1116"/>
              <w:rPr>
                <w:rFonts w:hAnsi="宋体"/>
                <w:szCs w:val="21"/>
                <w:highlight w:val="none"/>
              </w:rPr>
            </w:pPr>
            <w:r>
              <w:rPr>
                <w:rFonts w:hAnsi="宋体"/>
                <w:szCs w:val="21"/>
                <w:highlight w:val="none"/>
              </w:rPr>
              <w:t xml:space="preserve">采购人是否委托评标委员会确定中标人：</w:t>
            </w:r>
            <w:r>
              <w:rPr>
                <w:rFonts w:hAnsi="宋体"/>
                <w:szCs w:val="21"/>
                <w:highlight w:val="none"/>
              </w:rPr>
            </w:r>
            <w:r/>
          </w:p>
          <w:p>
            <w:pPr>
              <w:pStyle w:val="1116"/>
              <w:rPr>
                <w:rFonts w:hAnsi="宋体"/>
                <w:szCs w:val="21"/>
                <w:highlight w:val="none"/>
              </w:rPr>
            </w:pPr>
            <w:r>
              <w:rPr>
                <w:rFonts w:hAnsi="宋体"/>
                <w:szCs w:val="21"/>
                <w:highlight w:val="none"/>
              </w:rPr>
              <w:t xml:space="preserve">□</w:t>
            </w:r>
            <w:r>
              <w:rPr>
                <w:rFonts w:hAnsi="宋体"/>
                <w:szCs w:val="21"/>
                <w:highlight w:val="none"/>
              </w:rPr>
              <w:t xml:space="preserve">否</w:t>
            </w:r>
            <w:r>
              <w:rPr>
                <w:rFonts w:hAnsi="宋体"/>
                <w:szCs w:val="21"/>
                <w:highlight w:val="none"/>
              </w:rPr>
            </w:r>
            <w:r/>
          </w:p>
          <w:p>
            <w:pPr>
              <w:pStyle w:val="1073"/>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是</w:t>
            </w:r>
            <w:r>
              <w:rPr>
                <w:rFonts w:ascii="宋体" w:hAnsi="宋体" w:eastAsia="宋体"/>
                <w:szCs w:val="21"/>
                <w:highlight w:val="none"/>
              </w:rPr>
            </w:r>
            <w:r/>
          </w:p>
          <w:p>
            <w:pPr>
              <w:pStyle w:val="1116"/>
              <w:rPr>
                <w:rFonts w:hAnsi="宋体"/>
                <w:szCs w:val="21"/>
                <w:highlight w:val="none"/>
              </w:rPr>
            </w:pPr>
            <w:r>
              <w:rPr>
                <w:rFonts w:hAnsi="宋体"/>
                <w:szCs w:val="21"/>
                <w:highlight w:val="none"/>
              </w:rPr>
              <w:t xml:space="preserve">中标候选人并列的，按照以下方式确定中标人： </w:t>
            </w:r>
            <w:r>
              <w:rPr>
                <w:rFonts w:hAnsi="宋体"/>
                <w:szCs w:val="21"/>
                <w:highlight w:val="none"/>
              </w:rPr>
            </w:r>
            <w:r/>
          </w:p>
          <w:p>
            <w:pPr>
              <w:pStyle w:val="1116"/>
              <w:rPr>
                <w:rFonts w:hAnsi="宋体"/>
                <w:szCs w:val="21"/>
                <w:highlight w:val="none"/>
              </w:rPr>
            </w:pPr>
            <w:r>
              <w:rPr>
                <w:rFonts w:hAnsi="宋体"/>
                <w:szCs w:val="21"/>
                <w:highlight w:val="none"/>
              </w:rPr>
              <w:t xml:space="preserve">□</w:t>
            </w:r>
            <w:r>
              <w:rPr>
                <w:rFonts w:hAnsi="宋体"/>
                <w:szCs w:val="21"/>
                <w:highlight w:val="none"/>
              </w:rPr>
              <w:t xml:space="preserve">得分且投标报价均相同的，以_____________得分高者为中标人</w:t>
            </w:r>
            <w:r>
              <w:rPr>
                <w:rFonts w:hAnsi="宋体"/>
                <w:szCs w:val="21"/>
                <w:highlight w:val="none"/>
              </w:rPr>
            </w:r>
            <w:r/>
          </w:p>
          <w:p>
            <w:pPr>
              <w:pStyle w:val="1073"/>
              <w:jc w:val="left"/>
              <w:rPr>
                <w:rFonts w:ascii="宋体" w:hAnsi="宋体" w:eastAsia="宋体"/>
                <w:szCs w:val="21"/>
                <w:highlight w:val="none"/>
                <w:u w:val="single"/>
              </w:rPr>
            </w:pPr>
            <w:r>
              <w:rPr>
                <w:rFonts w:ascii="宋体" w:hAnsi="宋体" w:eastAsia="宋体"/>
                <w:b/>
                <w:szCs w:val="21"/>
                <w:highlight w:val="none"/>
              </w:rPr>
              <w:t xml:space="preserve">■</w:t>
            </w:r>
            <w:r>
              <w:rPr>
                <w:rFonts w:ascii="宋体" w:hAnsi="宋体" w:eastAsia="宋体"/>
                <w:bCs/>
                <w:szCs w:val="21"/>
                <w:highlight w:val="none"/>
              </w:rPr>
              <w:t xml:space="preserve">按投标报价由低到高的顺序确定中标人；报价相同的，由采购人授权评标委员会在评标现场随机抽取确定中标人。</w:t>
            </w:r>
            <w:r>
              <w:rPr>
                <w:rFonts w:ascii="宋体" w:hAnsi="宋体" w:eastAsia="宋体"/>
                <w:szCs w:val="21"/>
                <w:highlight w:val="none"/>
                <w:u w:val="single"/>
              </w:rPr>
            </w:r>
            <w:r/>
          </w:p>
        </w:tc>
      </w:tr>
      <w:tr>
        <w:trPr>
          <w:trHeight w:val="1764"/>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25.5</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分包</w:t>
            </w:r>
            <w:r>
              <w:rPr>
                <w:rFonts w:ascii="宋体" w:hAnsi="宋体" w:eastAsia="宋体"/>
                <w:szCs w:val="21"/>
                <w:highlight w:val="none"/>
              </w:rPr>
            </w:r>
            <w:r/>
          </w:p>
        </w:tc>
        <w:tc>
          <w:tcPr>
            <w:tcW w:w="6241"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本项目的非主体、非关键性工作是否允许分包： </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不允许</w:t>
            </w:r>
            <w:r>
              <w:rPr>
                <w:rFonts w:ascii="宋体" w:hAnsi="宋体" w:eastAsia="宋体"/>
                <w:szCs w:val="21"/>
                <w:highlight w:val="none"/>
              </w:rPr>
            </w:r>
            <w:r/>
          </w:p>
          <w:p>
            <w:pPr>
              <w:pStyle w:val="1073"/>
              <w:jc w:val="left"/>
              <w:rPr>
                <w:rFonts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允许，具体要求：</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（1）可以分包履行的具体内容：_____；</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（2）允许分包的金额或者比例：_____；</w:t>
            </w:r>
            <w:r>
              <w:rPr>
                <w:rFonts w:ascii="宋体" w:hAnsi="宋体" w:eastAsia="宋体"/>
                <w:szCs w:val="21"/>
                <w:highlight w:val="none"/>
              </w:rPr>
            </w:r>
            <w:r/>
          </w:p>
          <w:p>
            <w:pPr>
              <w:pStyle w:val="1073"/>
              <w:jc w:val="left"/>
              <w:rPr>
                <w:rFonts w:ascii="宋体" w:hAnsi="宋体" w:eastAsia="宋体"/>
                <w:szCs w:val="21"/>
                <w:highlight w:val="none"/>
                <w:u w:val="single"/>
              </w:rPr>
            </w:pPr>
            <w:r>
              <w:rPr>
                <w:rFonts w:ascii="宋体" w:hAnsi="宋体" w:eastAsia="宋体"/>
                <w:szCs w:val="21"/>
                <w:highlight w:val="none"/>
              </w:rPr>
              <w:t xml:space="preserve">（3）其他要求：_____。</w:t>
            </w:r>
            <w:r>
              <w:rPr>
                <w:rFonts w:ascii="宋体" w:hAnsi="宋体" w:eastAsia="宋体"/>
                <w:szCs w:val="21"/>
                <w:highlight w:val="none"/>
                <w:u w:val="single"/>
              </w:rPr>
            </w:r>
            <w:r/>
          </w:p>
        </w:tc>
      </w:tr>
      <w:tr>
        <w:trPr>
          <w:trHeight w:val="988"/>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26.1.1</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询问</w:t>
            </w:r>
            <w:r>
              <w:rPr>
                <w:rFonts w:ascii="宋体" w:hAnsi="宋体" w:eastAsia="宋体"/>
                <w:szCs w:val="21"/>
                <w:highlight w:val="none"/>
              </w:rPr>
            </w:r>
            <w:r/>
          </w:p>
        </w:tc>
        <w:tc>
          <w:tcPr>
            <w:tcW w:w="6241"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询问送达形式：任何要求对招标文件进行澄清的投标人，均应在投标截止时间十五天前以书面形式（如信件、邮件等）将澄清要求（加盖投标单位公章）送达招标代理机构。</w:t>
            </w:r>
            <w:r>
              <w:rPr>
                <w:rFonts w:ascii="宋体" w:hAnsi="宋体" w:eastAsia="宋体"/>
                <w:szCs w:val="21"/>
                <w:highlight w:val="none"/>
              </w:rPr>
            </w:r>
            <w:r/>
          </w:p>
        </w:tc>
      </w:tr>
      <w:tr>
        <w:trPr>
          <w:trHeight w:val="1447"/>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26.3</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联系方式</w:t>
            </w:r>
            <w:r>
              <w:rPr>
                <w:rFonts w:ascii="宋体" w:hAnsi="宋体" w:eastAsia="宋体"/>
                <w:szCs w:val="21"/>
                <w:highlight w:val="none"/>
              </w:rPr>
            </w:r>
            <w:r/>
          </w:p>
        </w:tc>
        <w:tc>
          <w:tcPr>
            <w:tcW w:w="6241"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接收询问和质疑的联系方式：</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联系部门：江苏正华新工程咨询有限公司太仓分公司</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联系电话：18018106622</w:t>
            </w:r>
            <w:r>
              <w:rPr>
                <w:rFonts w:ascii="宋体" w:hAnsi="宋体" w:eastAsia="宋体"/>
                <w:szCs w:val="21"/>
                <w:highlight w:val="none"/>
              </w:rPr>
            </w:r>
            <w:r/>
          </w:p>
          <w:p>
            <w:pPr>
              <w:pStyle w:val="1073"/>
              <w:jc w:val="left"/>
              <w:rPr>
                <w:rFonts w:hint="eastAsia" w:ascii="宋体" w:hAnsi="宋体" w:eastAsia="宋体"/>
                <w:szCs w:val="21"/>
                <w:highlight w:val="none"/>
              </w:rPr>
            </w:pPr>
            <w:r>
              <w:rPr>
                <w:rFonts w:ascii="宋体" w:hAnsi="宋体" w:eastAsia="宋体"/>
                <w:szCs w:val="21"/>
                <w:highlight w:val="none"/>
              </w:rPr>
              <w:t xml:space="preserve">通讯地址：</w:t>
            </w:r>
            <w:r>
              <w:rPr>
                <w:rFonts w:hint="eastAsia" w:ascii="宋体" w:hAnsi="宋体" w:eastAsia="宋体"/>
                <w:szCs w:val="21"/>
                <w:highlight w:val="none"/>
              </w:rPr>
              <w:t xml:space="preserve">太仓市人民南路12号商铺12-18号三楼</w:t>
            </w:r>
            <w:r>
              <w:rPr>
                <w:rFonts w:hint="eastAsia"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邮件地址：</w:t>
            </w:r>
            <w:r>
              <w:rPr>
                <w:rFonts w:ascii="宋体" w:hAnsi="宋体" w:eastAsia="宋体"/>
                <w:b/>
                <w:bCs/>
                <w:szCs w:val="21"/>
                <w:highlight w:val="none"/>
              </w:rPr>
              <w:t xml:space="preserve">jszh_tc@163.com</w:t>
            </w:r>
            <w:r>
              <w:rPr>
                <w:rFonts w:ascii="宋体" w:hAnsi="宋体" w:eastAsia="宋体"/>
                <w:szCs w:val="21"/>
                <w:highlight w:val="none"/>
              </w:rPr>
            </w:r>
            <w:r/>
          </w:p>
        </w:tc>
      </w:tr>
      <w:tr>
        <w:trPr>
          <w:trHeight w:val="2922"/>
        </w:trPr>
        <w:tc>
          <w:tcPr>
            <w:tcW w:w="988" w:type="dxa"/>
            <w:vAlign w:val="center"/>
            <w:textDirection w:val="lrTb"/>
            <w:noWrap w:val="false"/>
          </w:tcPr>
          <w:p>
            <w:pPr>
              <w:pStyle w:val="1116"/>
              <w:jc w:val="center"/>
              <w:rPr>
                <w:rFonts w:hAnsi="宋体"/>
                <w:szCs w:val="21"/>
                <w:highlight w:val="none"/>
              </w:rPr>
            </w:pPr>
            <w:r>
              <w:rPr>
                <w:rFonts w:hAnsi="宋体"/>
                <w:szCs w:val="21"/>
                <w:highlight w:val="none"/>
              </w:rPr>
              <w:t xml:space="preserve">27</w:t>
            </w:r>
            <w:r>
              <w:rPr>
                <w:rFonts w:hAnsi="宋体"/>
                <w:szCs w:val="21"/>
                <w:highlight w:val="none"/>
              </w:rPr>
            </w:r>
            <w:r/>
          </w:p>
        </w:tc>
        <w:tc>
          <w:tcPr>
            <w:tcW w:w="170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t xml:space="preserve">代理费</w:t>
            </w:r>
            <w:r>
              <w:rPr>
                <w:rFonts w:ascii="宋体" w:hAnsi="宋体" w:eastAsia="宋体"/>
                <w:szCs w:val="21"/>
                <w:highlight w:val="none"/>
              </w:rPr>
            </w:r>
            <w:r/>
          </w:p>
        </w:tc>
        <w:tc>
          <w:tcPr>
            <w:tcW w:w="6241"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t xml:space="preserve">收费对象：</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b/>
                <w:szCs w:val="21"/>
                <w:highlight w:val="none"/>
              </w:rPr>
              <w:t xml:space="preserve">■</w:t>
            </w:r>
            <w:r>
              <w:rPr>
                <w:rFonts w:ascii="宋体" w:hAnsi="宋体" w:eastAsia="宋体"/>
                <w:szCs w:val="21"/>
                <w:highlight w:val="none"/>
              </w:rPr>
              <w:t xml:space="preserve">采购人</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□中标人</w:t>
            </w:r>
            <w:r>
              <w:rPr>
                <w:rFonts w:ascii="宋体" w:hAnsi="宋体" w:eastAsia="宋体"/>
                <w:szCs w:val="21"/>
                <w:highlight w:val="none"/>
              </w:rPr>
            </w:r>
            <w:r/>
          </w:p>
          <w:p>
            <w:pPr>
              <w:pStyle w:val="1073"/>
              <w:rPr>
                <w:rFonts w:ascii="宋体" w:hAnsi="宋体" w:eastAsia="宋体"/>
                <w:szCs w:val="21"/>
                <w:highlight w:val="none"/>
              </w:rPr>
            </w:pPr>
            <w:r>
              <w:rPr>
                <w:rFonts w:ascii="宋体" w:hAnsi="宋体" w:eastAsia="宋体"/>
                <w:szCs w:val="21"/>
                <w:highlight w:val="none"/>
              </w:rPr>
              <w:t xml:space="preserve">收费标准：按预算总金额的如下比例差额定率累进法计算服务费总收取额。</w:t>
            </w:r>
            <w:r>
              <w:rPr>
                <w:rFonts w:ascii="宋体" w:hAnsi="宋体" w:eastAsia="宋体"/>
                <w:szCs w:val="21"/>
                <w:highlight w:val="none"/>
              </w:rPr>
            </w:r>
            <w:r/>
          </w:p>
          <w:p>
            <w:pPr>
              <w:pStyle w:val="1073"/>
              <w:rPr>
                <w:rFonts w:ascii="宋体" w:hAnsi="宋体" w:eastAsia="宋体"/>
                <w:szCs w:val="21"/>
                <w:highlight w:val="none"/>
              </w:rPr>
            </w:pPr>
            <w:r>
              <w:rPr>
                <w:rFonts w:ascii="宋体" w:hAnsi="宋体" w:eastAsia="宋体"/>
                <w:szCs w:val="21"/>
                <w:highlight w:val="none"/>
              </w:rPr>
              <w:t xml:space="preserve">100万元以下部分1.5%</w:t>
            </w:r>
            <w:r>
              <w:rPr>
                <w:rFonts w:ascii="宋体" w:hAnsi="宋体" w:eastAsia="宋体"/>
                <w:szCs w:val="21"/>
                <w:highlight w:val="none"/>
              </w:rPr>
            </w:r>
            <w:r/>
          </w:p>
          <w:p>
            <w:pPr>
              <w:pStyle w:val="1073"/>
              <w:rPr>
                <w:rFonts w:ascii="宋体" w:hAnsi="宋体" w:eastAsia="宋体"/>
                <w:szCs w:val="21"/>
                <w:highlight w:val="none"/>
              </w:rPr>
            </w:pPr>
            <w:r>
              <w:rPr>
                <w:rFonts w:ascii="宋体" w:hAnsi="宋体" w:eastAsia="宋体"/>
                <w:szCs w:val="21"/>
                <w:highlight w:val="none"/>
              </w:rPr>
              <w:t xml:space="preserve">100万元（含）~ 500万元部分1.1%</w:t>
            </w:r>
            <w:r>
              <w:rPr>
                <w:rFonts w:ascii="宋体" w:hAnsi="宋体" w:eastAsia="宋体"/>
                <w:szCs w:val="21"/>
                <w:highlight w:val="none"/>
              </w:rPr>
            </w:r>
            <w:r/>
          </w:p>
          <w:p>
            <w:pPr>
              <w:pStyle w:val="1073"/>
              <w:rPr>
                <w:rFonts w:ascii="宋体" w:hAnsi="宋体" w:eastAsia="宋体"/>
                <w:szCs w:val="21"/>
                <w:highlight w:val="none"/>
              </w:rPr>
            </w:pPr>
            <w:r>
              <w:rPr>
                <w:rFonts w:ascii="宋体" w:hAnsi="宋体" w:eastAsia="宋体"/>
                <w:szCs w:val="21"/>
                <w:highlight w:val="none"/>
              </w:rPr>
              <w:t xml:space="preserve">500万元（含）~ 1000万元部分0.8%</w:t>
            </w:r>
            <w:r>
              <w:rPr>
                <w:rFonts w:ascii="宋体" w:hAnsi="宋体" w:eastAsia="宋体"/>
                <w:szCs w:val="21"/>
                <w:highlight w:val="none"/>
              </w:rPr>
            </w:r>
            <w:r/>
          </w:p>
          <w:p>
            <w:pPr>
              <w:pStyle w:val="1073"/>
              <w:jc w:val="left"/>
              <w:rPr>
                <w:rFonts w:ascii="宋体" w:hAnsi="宋体" w:eastAsia="宋体"/>
                <w:szCs w:val="21"/>
                <w:highlight w:val="none"/>
              </w:rPr>
            </w:pPr>
            <w:r>
              <w:rPr>
                <w:rFonts w:ascii="宋体" w:hAnsi="宋体" w:eastAsia="宋体"/>
                <w:szCs w:val="21"/>
                <w:highlight w:val="none"/>
              </w:rPr>
              <w:t xml:space="preserve">1000万元（含）~ 5000万元部分0.5%；</w:t>
            </w:r>
            <w:r>
              <w:rPr>
                <w:rFonts w:ascii="宋体" w:hAnsi="宋体" w:eastAsia="宋体"/>
                <w:szCs w:val="21"/>
                <w:highlight w:val="none"/>
              </w:rPr>
            </w:r>
            <w:r/>
          </w:p>
          <w:p>
            <w:pPr>
              <w:pStyle w:val="1073"/>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本项目代理费为34382元。</w:t>
            </w:r>
            <w:r>
              <w:rPr>
                <w:rFonts w:ascii="宋体" w:hAnsi="宋体" w:eastAsia="宋体" w:cs="Times New Roman"/>
                <w:szCs w:val="21"/>
                <w:highlight w:val="none"/>
                <w:lang w:val="en-US" w:eastAsia="zh-CN"/>
              </w:rPr>
            </w:r>
            <w:r/>
          </w:p>
          <w:p>
            <w:pPr>
              <w:pStyle w:val="1073"/>
              <w:jc w:val="left"/>
              <w:rPr>
                <w:rFonts w:ascii="宋体" w:hAnsi="宋体" w:eastAsia="宋体"/>
                <w:szCs w:val="21"/>
                <w:highlight w:val="none"/>
              </w:rPr>
            </w:pPr>
            <w:r>
              <w:rPr>
                <w:rFonts w:ascii="宋体" w:hAnsi="宋体" w:eastAsia="宋体"/>
                <w:szCs w:val="21"/>
                <w:highlight w:val="none"/>
              </w:rPr>
              <w:t xml:space="preserve">缴纳时间：</w:t>
            </w:r>
            <w:r>
              <w:rPr>
                <w:rFonts w:hint="eastAsia" w:ascii="宋体" w:hAnsi="宋体" w:eastAsia="宋体"/>
                <w:szCs w:val="21"/>
                <w:highlight w:val="none"/>
              </w:rPr>
              <w:t xml:space="preserve">按采购代理协议相关条款约定执行</w:t>
            </w:r>
            <w:r>
              <w:rPr>
                <w:rFonts w:ascii="宋体" w:hAnsi="宋体" w:eastAsia="宋体"/>
                <w:szCs w:val="21"/>
                <w:highlight w:val="none"/>
              </w:rPr>
              <w:t xml:space="preserve">。</w:t>
            </w:r>
            <w:r>
              <w:rPr>
                <w:rFonts w:ascii="宋体" w:hAnsi="宋体" w:eastAsia="宋体"/>
                <w:szCs w:val="21"/>
                <w:highlight w:val="none"/>
              </w:rPr>
            </w:r>
            <w:r/>
          </w:p>
        </w:tc>
      </w:tr>
    </w:tbl>
    <w:p>
      <w:pPr>
        <w:pStyle w:val="1073"/>
        <w:jc w:val="both"/>
        <w:spacing w:line="360" w:lineRule="auto"/>
        <w:tabs>
          <w:tab w:val="left" w:pos="5580" w:leader="none"/>
        </w:tabs>
        <w:rPr>
          <w:rFonts w:ascii="宋体" w:hAnsi="宋体" w:eastAsia="宋体"/>
          <w:sz w:val="24"/>
          <w:highlight w:val="none"/>
        </w:rPr>
        <w:sectPr>
          <w:footerReference w:type="default" r:id="rId17"/>
          <w:footerReference w:type="first" r:id="rId18"/>
          <w:footnotePr/>
          <w:endnotePr/>
          <w:type w:val="nextPage"/>
          <w:pgSz w:w="11907" w:h="16840" w:orient="portrait"/>
          <w:pgMar w:top="1440" w:right="1800" w:bottom="1440" w:left="1800" w:header="851" w:footer="992" w:gutter="0"/>
          <w:pgNumType w:start="1"/>
          <w:cols w:num="1" w:sep="0" w:space="1701" w:equalWidth="1"/>
          <w:docGrid w:linePitch="360"/>
          <w:titlePg/>
        </w:sectPr>
      </w:pPr>
      <w:r>
        <w:rPr>
          <w:rFonts w:ascii="宋体" w:hAnsi="宋体" w:eastAsia="宋体"/>
          <w:sz w:val="24"/>
          <w:highlight w:val="none"/>
        </w:rPr>
      </w:r>
      <w:r/>
    </w:p>
    <w:p>
      <w:pPr>
        <w:pStyle w:val="1073"/>
        <w:jc w:val="center"/>
        <w:spacing w:before="240" w:after="240"/>
        <w:rPr>
          <w:rFonts w:ascii="宋体" w:hAnsi="宋体" w:eastAsia="宋体"/>
          <w:b/>
          <w:sz w:val="28"/>
          <w:szCs w:val="28"/>
          <w:highlight w:val="none"/>
        </w:rPr>
      </w:pPr>
      <w:r/>
      <w:bookmarkStart w:id="45" w:name="_Toc353873662"/>
      <w:r/>
      <w:bookmarkStart w:id="46" w:name="_Toc265228355"/>
      <w:r/>
      <w:bookmarkStart w:id="47" w:name="_Toc305158785"/>
      <w:r/>
      <w:bookmarkStart w:id="48" w:name="_Toc195842882"/>
      <w:r/>
      <w:bookmarkStart w:id="49" w:name="_Toc226337213"/>
      <w:r/>
      <w:bookmarkStart w:id="50" w:name="_Toc127151517"/>
      <w:r/>
      <w:bookmarkStart w:id="51" w:name="_Toc353873932"/>
      <w:r/>
      <w:bookmarkStart w:id="52" w:name="_Toc264969207"/>
      <w:r/>
      <w:bookmarkStart w:id="53" w:name="_Toc305158859"/>
      <w:r/>
      <w:bookmarkStart w:id="54" w:name="_Toc226965790"/>
      <w:r/>
      <w:bookmarkStart w:id="55" w:name="_Toc142311019"/>
      <w:r/>
      <w:bookmarkStart w:id="56" w:name="_Toc150774722"/>
      <w:r/>
      <w:bookmarkStart w:id="57" w:name="_Toc353825542"/>
      <w:r/>
      <w:bookmarkStart w:id="58" w:name="_Toc150480755"/>
      <w:r>
        <w:rPr>
          <w:rFonts w:ascii="宋体" w:hAnsi="宋体" w:eastAsia="宋体"/>
          <w:b/>
          <w:sz w:val="28"/>
          <w:szCs w:val="28"/>
          <w:highlight w:val="none"/>
        </w:rPr>
        <w:t xml:space="preserve">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eastAsia="宋体"/>
          <w:b/>
          <w:sz w:val="28"/>
          <w:szCs w:val="28"/>
          <w:highlight w:val="none"/>
        </w:rPr>
      </w:r>
      <w:r/>
    </w:p>
    <w:p>
      <w:pPr>
        <w:pStyle w:val="1075"/>
        <w:spacing w:before="0" w:line="360" w:lineRule="auto"/>
        <w:tabs>
          <w:tab w:val="center" w:pos="4592" w:leader="none"/>
          <w:tab w:val="left" w:pos="7860" w:leader="none"/>
        </w:tabs>
        <w:rPr>
          <w:rFonts w:ascii="宋体" w:hAnsi="宋体" w:eastAsia="宋体"/>
          <w:sz w:val="24"/>
          <w:szCs w:val="24"/>
          <w:highlight w:val="none"/>
        </w:rPr>
      </w:pPr>
      <w:r/>
      <w:bookmarkStart w:id="59" w:name="_Toc226965791"/>
      <w:r/>
      <w:bookmarkStart w:id="60" w:name="_Toc151193760"/>
      <w:r/>
      <w:bookmarkStart w:id="61" w:name="_Toc151193688"/>
      <w:r/>
      <w:bookmarkStart w:id="62" w:name="_Toc520356143"/>
      <w:r/>
      <w:bookmarkStart w:id="63" w:name="_Toc305158860"/>
      <w:r/>
      <w:bookmarkStart w:id="64" w:name="_Toc142311020"/>
      <w:r/>
      <w:bookmarkStart w:id="65" w:name="_Toc150774723"/>
      <w:r/>
      <w:bookmarkStart w:id="66" w:name="_Toc226337214"/>
      <w:r/>
      <w:bookmarkStart w:id="67" w:name="_Toc226965708"/>
      <w:r/>
      <w:bookmarkStart w:id="68" w:name="_Toc226309762"/>
      <w:r/>
      <w:bookmarkStart w:id="69" w:name="_Toc264969208"/>
      <w:r/>
      <w:bookmarkStart w:id="70" w:name="_Toc150480756"/>
      <w:r/>
      <w:bookmarkStart w:id="71" w:name="_Toc305158786"/>
      <w:r/>
      <w:bookmarkStart w:id="72" w:name="_Toc151193906"/>
      <w:r/>
      <w:bookmarkStart w:id="73" w:name="_Toc151193832"/>
      <w:r/>
      <w:bookmarkStart w:id="74" w:name="_Toc150509269"/>
      <w:r/>
      <w:bookmarkStart w:id="75" w:name="_Toc195842883"/>
      <w:r/>
      <w:bookmarkStart w:id="76" w:name="_Toc127151518"/>
      <w:r/>
      <w:bookmarkStart w:id="77" w:name="_Toc151193616"/>
      <w:r/>
      <w:bookmarkStart w:id="78" w:name="_Toc150774618"/>
      <w:r/>
      <w:bookmarkStart w:id="79" w:name="_Toc151190145"/>
      <w:r/>
      <w:bookmarkStart w:id="80" w:name="_Toc265228356"/>
      <w:r>
        <w:rPr>
          <w:rFonts w:ascii="宋体" w:hAnsi="宋体" w:eastAsia="宋体"/>
          <w:sz w:val="24"/>
          <w:szCs w:val="24"/>
          <w:highlight w:val="none"/>
        </w:rPr>
        <w:t xml:space="preserve">一   说  明</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Pr>
          <w:rFonts w:ascii="宋体" w:hAnsi="宋体" w:eastAsia="宋体"/>
          <w:sz w:val="24"/>
          <w:szCs w:val="24"/>
          <w:highlight w:val="none"/>
        </w:rPr>
      </w:r>
      <w:r/>
    </w:p>
    <w:p>
      <w:pPr>
        <w:pStyle w:val="1073"/>
        <w:numPr>
          <w:ilvl w:val="0"/>
          <w:numId w:val="9"/>
        </w:numPr>
        <w:ind w:left="357" w:hanging="357"/>
        <w:spacing w:line="360" w:lineRule="auto"/>
        <w:tabs>
          <w:tab w:val="left" w:pos="360" w:leader="none"/>
        </w:tabs>
        <w:rPr>
          <w:rFonts w:ascii="宋体" w:hAnsi="宋体" w:eastAsia="宋体"/>
          <w:sz w:val="24"/>
          <w:highlight w:val="none"/>
        </w:rPr>
        <w:outlineLvl w:val="1"/>
      </w:pPr>
      <w:r/>
      <w:bookmarkStart w:id="81" w:name="_Toc265228357"/>
      <w:r/>
      <w:bookmarkStart w:id="82" w:name="_Toc305158861"/>
      <w:r/>
      <w:bookmarkStart w:id="83" w:name="_Toc305158787"/>
      <w:r/>
      <w:bookmarkStart w:id="84" w:name="_Toc264969209"/>
      <w:r>
        <w:rPr>
          <w:rFonts w:ascii="宋体" w:hAnsi="宋体" w:eastAsia="宋体"/>
          <w:sz w:val="24"/>
          <w:highlight w:val="none"/>
        </w:rPr>
        <w:t xml:space="preserve">采购人、采购代理机构、投标人</w:t>
      </w:r>
      <w:bookmarkEnd w:id="81"/>
      <w:r/>
      <w:bookmarkEnd w:id="82"/>
      <w:r/>
      <w:bookmarkEnd w:id="83"/>
      <w:r/>
      <w:bookmarkEnd w:id="84"/>
      <w:r>
        <w:rPr>
          <w:rFonts w:ascii="宋体" w:hAnsi="宋体" w:eastAsia="宋体"/>
          <w:sz w:val="24"/>
          <w:highlight w:val="none"/>
        </w:rPr>
        <w:t xml:space="preserve">、联合体</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采购人、采购代理机构：指依法进行政府采购的国家机关、事业单位、团体组织，及其委托的采购代理机构。本项目采购人、采购代理机构见第一章《招标公告》。</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投标人（也称“供应商”、“申请人”）：指向采购人提供货物、工程或者服务的法人、其他组织或者自然人。</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联合体：指两个以上的自然人、法人或者其他组织组成一个联合体，以一个供应商的身份共同参加政府采购。</w:t>
      </w:r>
      <w:r>
        <w:rPr>
          <w:rFonts w:ascii="宋体" w:hAnsi="宋体" w:eastAsia="宋体"/>
          <w:szCs w:val="21"/>
          <w:highlight w:val="none"/>
        </w:rPr>
      </w:r>
      <w:r/>
    </w:p>
    <w:p>
      <w:pPr>
        <w:pStyle w:val="1073"/>
        <w:numPr>
          <w:ilvl w:val="0"/>
          <w:numId w:val="9"/>
        </w:numPr>
        <w:ind w:left="357" w:hanging="357"/>
        <w:spacing w:line="360" w:lineRule="auto"/>
        <w:tabs>
          <w:tab w:val="left" w:pos="360" w:leader="none"/>
        </w:tabs>
        <w:rPr>
          <w:rFonts w:ascii="宋体" w:hAnsi="宋体" w:eastAsia="宋体"/>
          <w:sz w:val="24"/>
          <w:highlight w:val="none"/>
        </w:rPr>
        <w:outlineLvl w:val="1"/>
      </w:pPr>
      <w:r/>
      <w:bookmarkStart w:id="85" w:name="_Toc151190147"/>
      <w:r/>
      <w:bookmarkStart w:id="86" w:name="_Toc226309764"/>
      <w:r/>
      <w:bookmarkStart w:id="87" w:name="_Toc150509271"/>
      <w:r/>
      <w:bookmarkStart w:id="88" w:name="_Toc164229215"/>
      <w:r/>
      <w:bookmarkStart w:id="89" w:name="_Toc195842885"/>
      <w:r/>
      <w:bookmarkStart w:id="90" w:name="_Toc150774620"/>
      <w:r/>
      <w:bookmarkStart w:id="91" w:name="_Toc151193618"/>
      <w:r/>
      <w:bookmarkStart w:id="92" w:name="_Toc151193834"/>
      <w:r/>
      <w:bookmarkStart w:id="93" w:name="_Toc264969210"/>
      <w:r/>
      <w:bookmarkStart w:id="94" w:name="_Toc151193908"/>
      <w:r/>
      <w:bookmarkStart w:id="95" w:name="_Toc142311022"/>
      <w:r/>
      <w:bookmarkStart w:id="96" w:name="_Toc226965793"/>
      <w:r/>
      <w:bookmarkStart w:id="97" w:name="_Toc151193762"/>
      <w:r/>
      <w:bookmarkStart w:id="98" w:name="_Toc164608634"/>
      <w:r/>
      <w:bookmarkStart w:id="99" w:name="_Toc127151721"/>
      <w:r/>
      <w:bookmarkStart w:id="100" w:name="_Toc150774725"/>
      <w:r/>
      <w:bookmarkStart w:id="101" w:name="_Toc164351614"/>
      <w:r/>
      <w:bookmarkStart w:id="102" w:name="_Toc150480758"/>
      <w:r/>
      <w:bookmarkStart w:id="103" w:name="_Toc149720813"/>
      <w:r/>
      <w:bookmarkStart w:id="104" w:name="_Toc164608789"/>
      <w:r/>
      <w:bookmarkStart w:id="105" w:name="_Toc305158788"/>
      <w:r/>
      <w:bookmarkStart w:id="106" w:name="_Toc127161434"/>
      <w:r/>
      <w:bookmarkStart w:id="107" w:name="_Toc164229361"/>
      <w:r/>
      <w:bookmarkStart w:id="108" w:name="_Toc265228358"/>
      <w:r/>
      <w:bookmarkStart w:id="109" w:name="_Toc127151520"/>
      <w:r/>
      <w:bookmarkStart w:id="110" w:name="_Toc305158862"/>
      <w:r/>
      <w:bookmarkStart w:id="111" w:name="_Toc226965710"/>
      <w:r/>
      <w:bookmarkStart w:id="112" w:name="_Toc151193690"/>
      <w:r/>
      <w:bookmarkStart w:id="113" w:name="_Toc226337216"/>
      <w:r>
        <w:rPr>
          <w:rFonts w:ascii="宋体" w:hAnsi="宋体" w:eastAsia="宋体"/>
          <w:sz w:val="24"/>
          <w:highlight w:val="none"/>
        </w:rPr>
        <w:t xml:space="preserve">资金来源</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sz w:val="24"/>
          <w:highlight w:val="none"/>
        </w:rPr>
        <w:t xml:space="preserve">、项目属性、科研仪器设备采购、核心产品</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资金来源为财政性资金和/或本项目采购中无法与财政性资金分割的非财政性资金。</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项目属性见《投标人须知前附表》。</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是否属于科研仪器设备采购见《投标人须知前附表》。</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eastAsia="宋体"/>
          <w:szCs w:val="21"/>
          <w:highlight w:val="none"/>
        </w:rPr>
      </w:pPr>
      <w:r>
        <w:rPr>
          <w:rFonts w:ascii="宋体" w:hAnsi="宋体" w:eastAsia="宋体"/>
          <w:szCs w:val="21"/>
          <w:highlight w:val="none"/>
        </w:rPr>
        <w:t xml:space="preserve">核心产品见《投标人须知前附表》。</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现场考察、开标前答疑会</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若《投标人须知前附表》中规定了组织现场考察、召开开标前答疑会，则投标人应按要求在规定的时间和地点参加。</w:t>
      </w:r>
      <w:bookmarkStart w:id="114" w:name="_Toc127151522"/>
      <w:r/>
      <w:bookmarkStart w:id="115" w:name="_Toc226965712"/>
      <w:r/>
      <w:bookmarkStart w:id="116" w:name="_Toc265228360"/>
      <w:r/>
      <w:bookmarkStart w:id="117" w:name="_Toc151193836"/>
      <w:r/>
      <w:bookmarkStart w:id="118" w:name="_Toc151193764"/>
      <w:r/>
      <w:bookmarkStart w:id="119" w:name="_Toc305158864"/>
      <w:r/>
      <w:bookmarkStart w:id="120" w:name="_Toc520356146"/>
      <w:r/>
      <w:bookmarkStart w:id="121" w:name="_Toc150774727"/>
      <w:r/>
      <w:bookmarkStart w:id="122" w:name="_Toc226337218"/>
      <w:r/>
      <w:bookmarkStart w:id="123" w:name="_Toc151190149"/>
      <w:r/>
      <w:bookmarkStart w:id="124" w:name="_Toc305158790"/>
      <w:r/>
      <w:bookmarkStart w:id="125" w:name="_Toc150774622"/>
      <w:r/>
      <w:bookmarkStart w:id="126" w:name="_Toc150480760"/>
      <w:r/>
      <w:bookmarkStart w:id="127" w:name="_Toc150509273"/>
      <w:r/>
      <w:bookmarkStart w:id="128" w:name="_Toc226965795"/>
      <w:r/>
      <w:bookmarkStart w:id="129" w:name="_Toc142311024"/>
      <w:r/>
      <w:bookmarkStart w:id="130" w:name="_Toc226309766"/>
      <w:r/>
      <w:bookmarkStart w:id="131" w:name="_Toc195842887"/>
      <w:r/>
      <w:bookmarkStart w:id="132" w:name="_Toc151193620"/>
      <w:r/>
      <w:bookmarkStart w:id="133" w:name="_Toc151193910"/>
      <w:r/>
      <w:bookmarkStart w:id="134" w:name="_Toc264969212"/>
      <w:r/>
      <w:bookmarkStart w:id="135" w:name="_Toc151193692"/>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样品</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本项目是否要求投标人提供样品，以及样品制作的标准和要求、是否需要随样品提交相关检测报告、样品的递交与退还等要求见《投标人须知前附表》。</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样品的评审方法以及评审标准等内容见第四章《评标方法和评标标准》。</w:t>
      </w:r>
      <w:r>
        <w:rPr>
          <w:rFonts w:ascii="宋体" w:hAnsi="宋体" w:eastAsia="宋体"/>
          <w:szCs w:val="21"/>
          <w:highlight w:val="none"/>
        </w:rPr>
      </w:r>
      <w:r/>
    </w:p>
    <w:p>
      <w:pPr>
        <w:pStyle w:val="1073"/>
        <w:numPr>
          <w:ilvl w:val="0"/>
          <w:numId w:val="9"/>
        </w:numPr>
        <w:ind w:left="357" w:hanging="357"/>
        <w:spacing w:line="360" w:lineRule="auto"/>
        <w:tabs>
          <w:tab w:val="left" w:pos="360" w:leader="none"/>
        </w:tabs>
        <w:rPr>
          <w:rFonts w:ascii="宋体" w:hAnsi="宋体" w:eastAsia="宋体"/>
          <w:sz w:val="24"/>
          <w:highlight w:val="none"/>
        </w:rPr>
        <w:outlineLvl w:val="1"/>
      </w:pPr>
      <w:r>
        <w:rPr>
          <w:rFonts w:ascii="宋体" w:hAnsi="宋体" w:eastAsia="宋体"/>
          <w:sz w:val="24"/>
          <w:highlight w:val="none"/>
        </w:rPr>
        <w:t xml:space="preserve">政府采购政策（包括但不限于下列具体政策要求）</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进口产品</w:t>
      </w:r>
      <w:r>
        <w:rPr>
          <w:rFonts w:ascii="宋体" w:hAnsi="宋体" w:eastAsia="宋体"/>
          <w:szCs w:val="21"/>
          <w:highlight w:val="none"/>
        </w:rPr>
      </w:r>
      <w:r/>
    </w:p>
    <w:p>
      <w:pPr>
        <w:pStyle w:val="1073"/>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szCs w:val="21"/>
          <w:highlight w:val="none"/>
        </w:rPr>
      </w:r>
      <w:r/>
    </w:p>
    <w:p>
      <w:pPr>
        <w:pStyle w:val="1073"/>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本项目是否接受进口产品见第五章《采购需求》。</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中小企业、监狱企业及残疾人福利性单位</w:t>
      </w:r>
      <w:r>
        <w:rPr>
          <w:rFonts w:ascii="宋体" w:hAnsi="宋体" w:eastAsia="宋体"/>
          <w:szCs w:val="21"/>
          <w:highlight w:val="none"/>
        </w:rPr>
      </w:r>
      <w:r/>
    </w:p>
    <w:p>
      <w:pPr>
        <w:pStyle w:val="1073"/>
        <w:numPr>
          <w:ilvl w:val="2"/>
          <w:numId w:val="9"/>
        </w:numPr>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中小企业定义：</w:t>
      </w:r>
      <w:r>
        <w:rPr>
          <w:rFonts w:ascii="宋体" w:hAnsi="宋体" w:eastAsia="宋体"/>
          <w:szCs w:val="21"/>
          <w:highlight w:val="none"/>
        </w:rPr>
      </w:r>
      <w:r/>
    </w:p>
    <w:p>
      <w:pPr>
        <w:pStyle w:val="1206"/>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0"/>
          <w:numId w:val="10"/>
        </w:numPr>
        <w:ind w:left="399" w:firstLine="318"/>
        <w:spacing w:line="360" w:lineRule="auto"/>
        <w:tabs>
          <w:tab w:val="left" w:pos="900"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1"/>
          <w:numId w:val="10"/>
        </w:numPr>
        <w:ind w:left="399" w:firstLine="318"/>
        <w:spacing w:line="360" w:lineRule="auto"/>
        <w:tabs>
          <w:tab w:val="left" w:pos="1589"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1"/>
          <w:numId w:val="10"/>
        </w:numPr>
        <w:ind w:left="399" w:firstLine="318"/>
        <w:spacing w:line="360" w:lineRule="auto"/>
        <w:tabs>
          <w:tab w:val="left" w:pos="1589" w:leader="none"/>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2"/>
          <w:numId w:val="10"/>
        </w:numPr>
        <w:ind w:left="399" w:firstLine="318"/>
        <w:spacing w:line="360" w:lineRule="auto"/>
        <w:tabs>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073"/>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中小企业是</w:t>
      </w:r>
      <w:r>
        <w:rPr>
          <w:rFonts w:ascii="宋体" w:hAnsi="宋体" w:eastAsia="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szCs w:val="21"/>
          <w:highlight w:val="none"/>
        </w:rPr>
      </w:r>
      <w:r/>
    </w:p>
    <w:p>
      <w:pPr>
        <w:pStyle w:val="1073"/>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供应商提供的货物、工程或者服务符合下列情形的，享受中小企业扶持政策：</w:t>
      </w:r>
      <w:r>
        <w:rPr>
          <w:rFonts w:ascii="宋体" w:hAnsi="宋体" w:eastAsia="宋体"/>
          <w:szCs w:val="21"/>
          <w:highlight w:val="none"/>
        </w:rPr>
      </w:r>
      <w:r/>
    </w:p>
    <w:p>
      <w:pPr>
        <w:pStyle w:val="1073"/>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（1）在货物采购项目中，货物由中小企业制造，即货物由中小企业生产且使用该中小企业商号或者注册商标；</w:t>
      </w:r>
      <w:r>
        <w:rPr>
          <w:rFonts w:ascii="宋体" w:hAnsi="宋体" w:eastAsia="宋体"/>
          <w:szCs w:val="21"/>
          <w:highlight w:val="none"/>
        </w:rPr>
      </w:r>
      <w:r/>
    </w:p>
    <w:p>
      <w:pPr>
        <w:pStyle w:val="1073"/>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（2）在工程采购项目中，工程由中小企业承建，即工程施工单位为中小企业；</w:t>
      </w:r>
      <w:r>
        <w:rPr>
          <w:rFonts w:ascii="宋体" w:hAnsi="宋体" w:eastAsia="宋体"/>
          <w:szCs w:val="21"/>
          <w:highlight w:val="none"/>
        </w:rPr>
      </w:r>
      <w:r/>
    </w:p>
    <w:p>
      <w:pPr>
        <w:pStyle w:val="1073"/>
        <w:ind w:left="399" w:firstLine="333"/>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（3）在服务采购项目中，服务由中小企业承接，即提供服务的人员为中小企业依照《中华人民共和国劳动合同法》订立劳动合同的从业人员。</w:t>
      </w:r>
      <w:r>
        <w:rPr>
          <w:rFonts w:ascii="宋体" w:hAnsi="宋体" w:eastAsia="宋体"/>
          <w:szCs w:val="21"/>
          <w:highlight w:val="none"/>
        </w:rPr>
      </w:r>
      <w:r/>
    </w:p>
    <w:p>
      <w:pPr>
        <w:pStyle w:val="1073"/>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在货物采购项目中，供应商提供的货物既有中小企业制造货物，也有大型企业制造货物的，不享受中小企业扶持政策。</w:t>
      </w:r>
      <w:r>
        <w:rPr>
          <w:rFonts w:ascii="宋体" w:hAnsi="宋体" w:eastAsia="宋体"/>
          <w:szCs w:val="21"/>
          <w:highlight w:val="none"/>
        </w:rPr>
      </w:r>
      <w:r/>
    </w:p>
    <w:p>
      <w:pPr>
        <w:pStyle w:val="1073"/>
        <w:numPr>
          <w:ilvl w:val="3"/>
          <w:numId w:val="10"/>
        </w:numPr>
        <w:ind w:left="399" w:firstLine="333"/>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以联合体形式参加政府采购活动，联合体各方均为中小企业的，联合体视同中小企业。其中，联合体各方均为小微企业的，联合体视同小微企业。</w:t>
      </w:r>
      <w:r>
        <w:rPr>
          <w:rFonts w:ascii="宋体" w:hAnsi="宋体" w:eastAsia="宋体"/>
          <w:szCs w:val="21"/>
          <w:highlight w:val="none"/>
        </w:rPr>
      </w:r>
      <w:r/>
    </w:p>
    <w:p>
      <w:pPr>
        <w:pStyle w:val="1073"/>
        <w:numPr>
          <w:ilvl w:val="2"/>
          <w:numId w:val="9"/>
        </w:numPr>
        <w:ind w:left="1300" w:hanging="901"/>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szCs w:val="21"/>
          <w:highlight w:val="none"/>
        </w:rPr>
      </w:r>
      <w:r/>
    </w:p>
    <w:p>
      <w:pPr>
        <w:pStyle w:val="1073"/>
        <w:numPr>
          <w:ilvl w:val="2"/>
          <w:numId w:val="9"/>
        </w:numPr>
        <w:ind w:left="1300" w:hanging="901"/>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残疾人福利单位定义：享受政府采购支持政策的残疾人福利性单位应当同时满足以下条件：</w:t>
      </w:r>
      <w:r>
        <w:rPr>
          <w:rFonts w:ascii="宋体" w:hAnsi="宋体" w:eastAsia="宋体"/>
          <w:szCs w:val="21"/>
          <w:highlight w:val="none"/>
        </w:rPr>
      </w:r>
      <w:r/>
    </w:p>
    <w:p>
      <w:pPr>
        <w:pStyle w:val="1206"/>
        <w:numPr>
          <w:ilvl w:val="2"/>
          <w:numId w:val="10"/>
        </w:numPr>
        <w:ind w:left="1300" w:hanging="901"/>
        <w:spacing w:line="360" w:lineRule="auto"/>
        <w:tabs>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206"/>
        <w:numPr>
          <w:ilvl w:val="2"/>
          <w:numId w:val="10"/>
        </w:numPr>
        <w:ind w:left="1300" w:hanging="901"/>
        <w:spacing w:line="360" w:lineRule="auto"/>
        <w:tabs>
          <w:tab w:val="left" w:pos="1980" w:leader="none"/>
          <w:tab w:val="left" w:pos="2035" w:leader="none"/>
          <w:tab w:val="left" w:pos="2977" w:leader="none"/>
        </w:tabs>
        <w:rPr>
          <w:rFonts w:ascii="宋体" w:hAnsi="宋体"/>
          <w:vanish/>
          <w:szCs w:val="21"/>
          <w:highlight w:val="none"/>
        </w:rPr>
      </w:pPr>
      <w:r>
        <w:rPr>
          <w:rFonts w:ascii="宋体" w:hAnsi="宋体"/>
          <w:vanish/>
          <w:szCs w:val="21"/>
          <w:highlight w:val="none"/>
        </w:rPr>
      </w:r>
      <w:r/>
    </w:p>
    <w:p>
      <w:pPr>
        <w:pStyle w:val="1073"/>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安置的残疾人占本单位在职职工人数的比例不低于25%（含25%），并且安置的残疾人人数不少于10 人（含10 人）；</w:t>
      </w:r>
      <w:r>
        <w:rPr>
          <w:rFonts w:ascii="宋体" w:hAnsi="宋体" w:eastAsia="宋体"/>
          <w:szCs w:val="21"/>
          <w:highlight w:val="none"/>
        </w:rPr>
      </w:r>
      <w:r/>
    </w:p>
    <w:p>
      <w:pPr>
        <w:pStyle w:val="1073"/>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依法与安置的每位残疾人签订了一年以上（含一年）的劳动合同或服务协议；</w:t>
      </w:r>
      <w:r>
        <w:rPr>
          <w:rFonts w:ascii="宋体" w:hAnsi="宋体" w:eastAsia="宋体"/>
          <w:szCs w:val="21"/>
          <w:highlight w:val="none"/>
        </w:rPr>
      </w:r>
      <w:r/>
    </w:p>
    <w:p>
      <w:pPr>
        <w:pStyle w:val="1073"/>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为安置的每位残疾人按月足额缴纳了基本养老保险、基本医疗保险、失业保险、工伤保险和生育保险等社会保险费；</w:t>
      </w:r>
      <w:r>
        <w:rPr>
          <w:rFonts w:ascii="宋体" w:hAnsi="宋体" w:eastAsia="宋体"/>
          <w:szCs w:val="21"/>
          <w:highlight w:val="none"/>
        </w:rPr>
      </w:r>
      <w:r/>
    </w:p>
    <w:p>
      <w:pPr>
        <w:pStyle w:val="1073"/>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通过银行等金融机构向安置的每位残疾人，按月支付了不低于单位所在区县适用的经省级人民政府批准的月最低工资标准的工资；</w:t>
      </w:r>
      <w:r>
        <w:rPr>
          <w:rFonts w:ascii="宋体" w:hAnsi="宋体" w:eastAsia="宋体"/>
          <w:szCs w:val="21"/>
          <w:highlight w:val="none"/>
        </w:rPr>
      </w:r>
      <w:r/>
    </w:p>
    <w:p>
      <w:pPr>
        <w:pStyle w:val="1073"/>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eastAsia="宋体"/>
          <w:szCs w:val="21"/>
          <w:highlight w:val="none"/>
        </w:rPr>
      </w:r>
      <w:r/>
    </w:p>
    <w:p>
      <w:pPr>
        <w:pStyle w:val="1073"/>
        <w:numPr>
          <w:ilvl w:val="3"/>
          <w:numId w:val="10"/>
        </w:numPr>
        <w:ind w:left="1300" w:hanging="901"/>
        <w:spacing w:line="360" w:lineRule="auto"/>
        <w:tabs>
          <w:tab w:val="left" w:pos="1980" w:leader="none"/>
          <w:tab w:val="left" w:pos="2035" w:leader="none"/>
          <w:tab w:val="left" w:pos="2885" w:leader="none"/>
          <w:tab w:val="left" w:pos="2977" w:leader="none"/>
        </w:tabs>
        <w:rPr>
          <w:rFonts w:ascii="宋体" w:hAnsi="宋体" w:eastAsia="宋体"/>
          <w:szCs w:val="21"/>
          <w:highlight w:val="none"/>
        </w:rPr>
      </w:pPr>
      <w:r>
        <w:rPr>
          <w:rFonts w:ascii="宋体" w:hAnsi="宋体" w:eastAsia="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本项目是否专门面向中小企业预留采购份额见第一章《招标公告》。</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采购标的对应的中小企业划分标准所属行业见《投标人须知前附表》。</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小微企业价格评审优惠的政策调整：见第四章《评标方法和评标标准》。</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政府采购节能产品、环境标志产品</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支持乡村产业振兴管理</w:t>
      </w:r>
      <w:r>
        <w:rPr>
          <w:rFonts w:ascii="宋体" w:hAnsi="宋体" w:eastAsia="宋体"/>
          <w:szCs w:val="21"/>
          <w:highlight w:val="none"/>
        </w:rPr>
      </w:r>
      <w:r/>
    </w:p>
    <w:p>
      <w:pPr>
        <w:pStyle w:val="1073"/>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正版软件</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信息安全产品</w:t>
      </w:r>
      <w:r>
        <w:rPr>
          <w:rFonts w:ascii="宋体" w:hAnsi="宋体" w:eastAsia="宋体"/>
          <w:szCs w:val="21"/>
          <w:highlight w:val="none"/>
        </w:rPr>
      </w:r>
      <w:r/>
    </w:p>
    <w:p>
      <w:pPr>
        <w:pStyle w:val="1073"/>
        <w:numPr>
          <w:ilvl w:val="2"/>
          <w:numId w:val="9"/>
        </w:numPr>
        <w:spacing w:line="360" w:lineRule="auto"/>
        <w:tabs>
          <w:tab w:val="left" w:pos="1980" w:leader="none"/>
          <w:tab w:val="left" w:pos="2014" w:leader="none"/>
        </w:tabs>
        <w:rPr>
          <w:rFonts w:ascii="宋体" w:hAnsi="宋体" w:eastAsia="宋体"/>
          <w:szCs w:val="21"/>
          <w:highlight w:val="none"/>
        </w:rPr>
      </w:pPr>
      <w:r>
        <w:rPr>
          <w:rFonts w:ascii="宋体" w:hAnsi="宋体" w:eastAsia="宋体"/>
          <w:szCs w:val="21"/>
          <w:highlight w:val="none"/>
        </w:rPr>
        <w:t xml:space="preserve">所投产品属于《关于调整信息安全产品强制性认证实施要求的公告》（2009 年第33 号）范围的，采购经国家认证的信息安全产品，</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。关于信息安全相关规定依据《关于信息安全产品实施政府采购的通知》（财库〔2010〕48 号）。</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投标费用</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eastAsia="宋体"/>
          <w:szCs w:val="21"/>
          <w:highlight w:val="none"/>
        </w:rPr>
      </w:r>
      <w:r/>
    </w:p>
    <w:p>
      <w:pPr>
        <w:pStyle w:val="1073"/>
        <w:ind w:left="1080"/>
        <w:spacing w:line="360" w:lineRule="auto"/>
        <w:tabs>
          <w:tab w:val="left" w:pos="1080" w:leader="none"/>
        </w:tabs>
        <w:rPr>
          <w:rFonts w:ascii="宋体" w:hAnsi="宋体" w:eastAsia="宋体"/>
          <w:szCs w:val="21"/>
          <w:highlight w:val="none"/>
        </w:rPr>
      </w:pPr>
      <w:r/>
      <w:bookmarkStart w:id="136" w:name="_1.8_计量单位"/>
      <w:r/>
      <w:bookmarkEnd w:id="136"/>
      <w:r>
        <w:rPr>
          <w:rFonts w:ascii="宋体" w:hAnsi="宋体" w:eastAsia="宋体"/>
          <w:szCs w:val="21"/>
          <w:highlight w:val="none"/>
        </w:rPr>
      </w:r>
      <w:r/>
    </w:p>
    <w:p>
      <w:pPr>
        <w:pStyle w:val="1075"/>
        <w:spacing w:before="0" w:line="360" w:lineRule="auto"/>
        <w:rPr>
          <w:rFonts w:ascii="宋体" w:hAnsi="宋体" w:eastAsia="宋体"/>
          <w:sz w:val="24"/>
          <w:szCs w:val="24"/>
          <w:highlight w:val="none"/>
        </w:rPr>
      </w:pPr>
      <w:r>
        <w:rPr>
          <w:rFonts w:ascii="宋体" w:hAnsi="宋体" w:eastAsia="宋体"/>
          <w:sz w:val="24"/>
          <w:szCs w:val="24"/>
          <w:highlight w:val="none"/>
        </w:rPr>
        <w:t xml:space="preserve">二   招标文件</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rFonts w:ascii="宋体" w:hAnsi="宋体" w:eastAsia="宋体"/>
          <w:sz w:val="24"/>
          <w:szCs w:val="24"/>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137" w:name="_Toc164608637"/>
      <w:r/>
      <w:bookmarkStart w:id="138" w:name="_Toc127161437"/>
      <w:r/>
      <w:bookmarkStart w:id="139" w:name="_Toc164608792"/>
      <w:r/>
      <w:bookmarkStart w:id="140" w:name="_Toc226965713"/>
      <w:r/>
      <w:bookmarkStart w:id="141" w:name="_Toc151193837"/>
      <w:r/>
      <w:bookmarkStart w:id="142" w:name="_Toc151193911"/>
      <w:r/>
      <w:bookmarkStart w:id="143" w:name="_Toc520356147"/>
      <w:r/>
      <w:bookmarkStart w:id="144" w:name="_Toc164351617"/>
      <w:r/>
      <w:bookmarkStart w:id="145" w:name="_Toc127151523"/>
      <w:r/>
      <w:bookmarkStart w:id="146" w:name="_Toc226965796"/>
      <w:r/>
      <w:bookmarkStart w:id="147" w:name="_Toc150480761"/>
      <w:r/>
      <w:bookmarkStart w:id="148" w:name="_Toc265228361"/>
      <w:r/>
      <w:bookmarkStart w:id="149" w:name="_Toc151193765"/>
      <w:r/>
      <w:bookmarkStart w:id="150" w:name="_Toc264969213"/>
      <w:r/>
      <w:bookmarkStart w:id="151" w:name="_Toc151193693"/>
      <w:r/>
      <w:bookmarkStart w:id="152" w:name="_Toc226337219"/>
      <w:r/>
      <w:bookmarkStart w:id="153" w:name="_Toc151193621"/>
      <w:r/>
      <w:bookmarkStart w:id="154" w:name="_Toc195842888"/>
      <w:r/>
      <w:bookmarkStart w:id="155" w:name="_Toc127151724"/>
      <w:r/>
      <w:bookmarkStart w:id="156" w:name="_Toc305158865"/>
      <w:r/>
      <w:bookmarkStart w:id="157" w:name="_Toc150774623"/>
      <w:r/>
      <w:bookmarkStart w:id="158" w:name="_Toc305158791"/>
      <w:r/>
      <w:bookmarkStart w:id="159" w:name="_Toc150509274"/>
      <w:r/>
      <w:bookmarkStart w:id="160" w:name="_Toc151190150"/>
      <w:r/>
      <w:bookmarkStart w:id="161" w:name="_Toc226309767"/>
      <w:r/>
      <w:bookmarkStart w:id="162" w:name="_Toc142311025"/>
      <w:r/>
      <w:bookmarkStart w:id="163" w:name="_Toc150774728"/>
      <w:r/>
      <w:bookmarkStart w:id="164" w:name="_Toc164229218"/>
      <w:r/>
      <w:bookmarkStart w:id="165" w:name="_Toc164229364"/>
      <w:r/>
      <w:bookmarkStart w:id="166" w:name="_Toc149720816"/>
      <w:r>
        <w:rPr>
          <w:rFonts w:ascii="宋体" w:hAnsi="宋体" w:eastAsia="宋体"/>
          <w:sz w:val="24"/>
          <w:highlight w:val="none"/>
        </w:rPr>
        <w:t xml:space="preserve">招标文件构</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eastAsia="宋体"/>
          <w:sz w:val="24"/>
          <w:highlight w:val="none"/>
        </w:rPr>
        <w:t xml:space="preserve">成</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招标文件包括以下部分：</w:t>
      </w:r>
      <w:r>
        <w:rPr>
          <w:rFonts w:ascii="宋体" w:hAnsi="宋体" w:eastAsia="宋体"/>
          <w:szCs w:val="21"/>
          <w:highlight w:val="none"/>
        </w:rPr>
      </w:r>
      <w:r/>
    </w:p>
    <w:p>
      <w:pPr>
        <w:pStyle w:val="1073"/>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招标公告</w:t>
      </w:r>
      <w:r>
        <w:rPr>
          <w:rFonts w:ascii="宋体" w:hAnsi="宋体" w:eastAsia="宋体"/>
          <w:szCs w:val="21"/>
          <w:highlight w:val="none"/>
        </w:rPr>
      </w:r>
      <w:r/>
    </w:p>
    <w:p>
      <w:pPr>
        <w:pStyle w:val="1073"/>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投标人须知</w:t>
      </w:r>
      <w:r>
        <w:rPr>
          <w:rFonts w:ascii="宋体" w:hAnsi="宋体" w:eastAsia="宋体"/>
          <w:szCs w:val="21"/>
          <w:highlight w:val="none"/>
        </w:rPr>
      </w:r>
      <w:r/>
    </w:p>
    <w:p>
      <w:pPr>
        <w:pStyle w:val="1073"/>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资格审查</w:t>
      </w:r>
      <w:r>
        <w:rPr>
          <w:rFonts w:ascii="宋体" w:hAnsi="宋体" w:eastAsia="宋体"/>
          <w:szCs w:val="21"/>
          <w:highlight w:val="none"/>
        </w:rPr>
      </w:r>
      <w:r/>
    </w:p>
    <w:p>
      <w:pPr>
        <w:pStyle w:val="1073"/>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评标程序、评标方法和评标标准</w:t>
      </w:r>
      <w:r>
        <w:rPr>
          <w:rFonts w:ascii="宋体" w:hAnsi="宋体" w:eastAsia="宋体"/>
          <w:szCs w:val="21"/>
          <w:highlight w:val="none"/>
        </w:rPr>
      </w:r>
      <w:r/>
    </w:p>
    <w:p>
      <w:pPr>
        <w:pStyle w:val="1073"/>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采购需求</w:t>
      </w:r>
      <w:r>
        <w:rPr>
          <w:rFonts w:ascii="宋体" w:hAnsi="宋体" w:eastAsia="宋体"/>
          <w:szCs w:val="21"/>
          <w:highlight w:val="none"/>
        </w:rPr>
      </w:r>
      <w:r/>
    </w:p>
    <w:p>
      <w:pPr>
        <w:pStyle w:val="1073"/>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合同条款</w:t>
      </w:r>
      <w:r>
        <w:rPr>
          <w:rFonts w:ascii="宋体" w:hAnsi="宋体" w:eastAsia="宋体"/>
          <w:szCs w:val="21"/>
          <w:highlight w:val="none"/>
        </w:rPr>
      </w:r>
      <w:r/>
    </w:p>
    <w:p>
      <w:pPr>
        <w:pStyle w:val="1073"/>
        <w:numPr>
          <w:ilvl w:val="0"/>
          <w:numId w:val="11"/>
        </w:numPr>
        <w:ind w:left="1440" w:firstLine="5"/>
        <w:spacing w:line="360" w:lineRule="auto"/>
        <w:tabs>
          <w:tab w:val="left" w:pos="1980" w:leader="none"/>
          <w:tab w:val="left" w:pos="2520" w:leader="none"/>
          <w:tab w:val="left" w:pos="4941" w:leader="none"/>
        </w:tabs>
        <w:rPr>
          <w:rFonts w:ascii="宋体" w:hAnsi="宋体" w:eastAsia="宋体"/>
          <w:szCs w:val="21"/>
          <w:highlight w:val="none"/>
        </w:rPr>
      </w:pPr>
      <w:r>
        <w:rPr>
          <w:rFonts w:ascii="宋体" w:hAnsi="宋体" w:eastAsia="宋体"/>
          <w:szCs w:val="21"/>
          <w:highlight w:val="none"/>
        </w:rPr>
        <w:t xml:space="preserve">投标文件格式</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numPr>
          <w:ilvl w:val="0"/>
          <w:numId w:val="9"/>
        </w:numPr>
        <w:ind w:left="357" w:hanging="357"/>
        <w:spacing w:line="360" w:lineRule="auto"/>
        <w:tabs>
          <w:tab w:val="left" w:pos="900" w:leader="none"/>
          <w:tab w:val="left" w:pos="1080" w:leader="none"/>
          <w:tab w:val="left" w:pos="2014" w:leader="none"/>
        </w:tabs>
        <w:rPr>
          <w:rFonts w:ascii="宋体" w:hAnsi="宋体" w:eastAsia="宋体"/>
          <w:sz w:val="24"/>
          <w:highlight w:val="none"/>
        </w:rPr>
        <w:outlineLvl w:val="1"/>
      </w:pPr>
      <w:r>
        <w:rPr>
          <w:rFonts w:ascii="宋体" w:hAnsi="宋体" w:eastAsia="宋体"/>
          <w:sz w:val="24"/>
          <w:highlight w:val="none"/>
        </w:rPr>
        <w:t xml:space="preserve">对招标文件的澄清或修改</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采购人或采购代理机构对已发出的招标文件进行必要澄清或者修改的，将在原公告发布媒体上发布更正公告，并以书面形式通知所有获取招标文件的潜在投标人。</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上述书面通知，按照获取招标文件的潜在投标人提供的联系方式发出，因提供的信息有误导致通知延迟或无法通知的，采购人或采购代理机构不承担责任。</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r>
        <w:rPr>
          <w:rFonts w:ascii="宋体" w:hAnsi="宋体" w:eastAsia="宋体"/>
          <w:szCs w:val="21"/>
          <w:highlight w:val="none"/>
        </w:rPr>
      </w:r>
      <w:r/>
    </w:p>
    <w:p>
      <w:pPr>
        <w:pStyle w:val="1073"/>
        <w:ind w:left="1080"/>
        <w:spacing w:line="360" w:lineRule="auto"/>
        <w:tabs>
          <w:tab w:val="left" w:pos="1080" w:leader="none"/>
          <w:tab w:val="left" w:pos="1561" w:leader="none"/>
        </w:tabs>
        <w:rPr>
          <w:rFonts w:ascii="宋体" w:hAnsi="宋体" w:eastAsia="宋体"/>
          <w:szCs w:val="21"/>
          <w:highlight w:val="none"/>
        </w:rPr>
      </w:pPr>
      <w:r/>
      <w:bookmarkStart w:id="167" w:name="_Toc226337222"/>
      <w:r/>
      <w:bookmarkStart w:id="168" w:name="_Toc520356150"/>
      <w:r/>
      <w:bookmarkStart w:id="169" w:name="_Toc151193840"/>
      <w:r/>
      <w:bookmarkStart w:id="170" w:name="_Toc150774626"/>
      <w:r/>
      <w:bookmarkStart w:id="171" w:name="_Toc226965716"/>
      <w:r/>
      <w:bookmarkStart w:id="172" w:name="_Toc305158794"/>
      <w:r/>
      <w:bookmarkStart w:id="173" w:name="_Toc305158868"/>
      <w:r/>
      <w:bookmarkStart w:id="174" w:name="_Toc516367020"/>
      <w:r/>
      <w:bookmarkStart w:id="175" w:name="_Toc226309770"/>
      <w:r/>
      <w:bookmarkStart w:id="176" w:name="_Toc195842891"/>
      <w:r/>
      <w:bookmarkStart w:id="177" w:name="_Toc151193768"/>
      <w:r/>
      <w:bookmarkStart w:id="178" w:name="_Toc151193624"/>
      <w:r/>
      <w:bookmarkStart w:id="179" w:name="_Toc151193696"/>
      <w:r/>
      <w:bookmarkStart w:id="180" w:name="_Toc264969216"/>
      <w:r/>
      <w:bookmarkStart w:id="181" w:name="_Toc150774731"/>
      <w:r/>
      <w:bookmarkStart w:id="182" w:name="_Toc151193914"/>
      <w:r/>
      <w:bookmarkStart w:id="183" w:name="_Toc265228364"/>
      <w:r/>
      <w:bookmarkStart w:id="184" w:name="_Toc127151526"/>
      <w:r/>
      <w:bookmarkStart w:id="185" w:name="_Toc150480764"/>
      <w:r/>
      <w:bookmarkStart w:id="186" w:name="_Toc142311028"/>
      <w:r/>
      <w:bookmarkStart w:id="187" w:name="_Toc226965799"/>
      <w:r/>
      <w:bookmarkStart w:id="188" w:name="_Toc151190153"/>
      <w:r/>
      <w:bookmarkStart w:id="189" w:name="_Toc150509277"/>
      <w:r>
        <w:rPr>
          <w:rFonts w:ascii="宋体" w:hAnsi="宋体" w:eastAsia="宋体"/>
          <w:szCs w:val="21"/>
          <w:highlight w:val="none"/>
        </w:rPr>
      </w:r>
      <w:r/>
    </w:p>
    <w:p>
      <w:pPr>
        <w:pStyle w:val="1075"/>
        <w:spacing w:before="0" w:line="360" w:lineRule="auto"/>
        <w:rPr>
          <w:rFonts w:ascii="宋体" w:hAnsi="宋体" w:eastAsia="宋体"/>
          <w:sz w:val="24"/>
          <w:szCs w:val="24"/>
          <w:highlight w:val="none"/>
        </w:rPr>
      </w:pPr>
      <w:r>
        <w:rPr>
          <w:rFonts w:ascii="宋体" w:hAnsi="宋体" w:eastAsia="宋体"/>
          <w:sz w:val="24"/>
          <w:szCs w:val="24"/>
          <w:highlight w:val="none"/>
        </w:rPr>
        <w:t xml:space="preserve">三   投标文件</w:t>
      </w:r>
      <w:bookmarkEnd w:id="174"/>
      <w:r>
        <w:rPr>
          <w:rFonts w:ascii="宋体" w:hAnsi="宋体" w:eastAsia="宋体"/>
          <w:sz w:val="24"/>
          <w:szCs w:val="24"/>
          <w:highlight w:val="none"/>
        </w:rPr>
        <w:t xml:space="preserve">的编制</w:t>
      </w:r>
      <w:bookmarkEnd w:id="167"/>
      <w:r/>
      <w:bookmarkEnd w:id="168"/>
      <w:r/>
      <w:bookmarkEnd w:id="169"/>
      <w:r/>
      <w:bookmarkEnd w:id="170"/>
      <w:r/>
      <w:bookmarkEnd w:id="171"/>
      <w:r/>
      <w:bookmarkEnd w:id="172"/>
      <w:r/>
      <w:bookmarkEnd w:id="173"/>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ascii="宋体" w:hAnsi="宋体" w:eastAsia="宋体"/>
          <w:sz w:val="24"/>
          <w:szCs w:val="24"/>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190" w:name="_Toc151193841"/>
      <w:r/>
      <w:bookmarkStart w:id="191" w:name="_Toc164608641"/>
      <w:r/>
      <w:bookmarkStart w:id="192" w:name="_Toc150509278"/>
      <w:r/>
      <w:bookmarkStart w:id="193" w:name="_Toc150774627"/>
      <w:r/>
      <w:bookmarkStart w:id="194" w:name="_Toc127151527"/>
      <w:r/>
      <w:bookmarkStart w:id="195" w:name="_Toc164229368"/>
      <w:r/>
      <w:bookmarkStart w:id="196" w:name="_Toc305158869"/>
      <w:r/>
      <w:bookmarkStart w:id="197" w:name="_Toc150774732"/>
      <w:r/>
      <w:bookmarkStart w:id="198" w:name="_Toc195842892"/>
      <w:r/>
      <w:bookmarkStart w:id="199" w:name="_Toc305158795"/>
      <w:r/>
      <w:bookmarkStart w:id="200" w:name="_Toc226965717"/>
      <w:r/>
      <w:bookmarkStart w:id="201" w:name="_Toc151193625"/>
      <w:r/>
      <w:bookmarkStart w:id="202" w:name="_Toc151193769"/>
      <w:r/>
      <w:bookmarkStart w:id="203" w:name="_Toc516367021"/>
      <w:r/>
      <w:bookmarkStart w:id="204" w:name="_Toc151193697"/>
      <w:r/>
      <w:bookmarkStart w:id="205" w:name="_Toc151193915"/>
      <w:r/>
      <w:bookmarkStart w:id="206" w:name="_Toc226337223"/>
      <w:r/>
      <w:bookmarkStart w:id="207" w:name="_Toc142311029"/>
      <w:r/>
      <w:bookmarkStart w:id="208" w:name="_Toc151190154"/>
      <w:r/>
      <w:bookmarkStart w:id="209" w:name="_Toc164608796"/>
      <w:r/>
      <w:bookmarkStart w:id="210" w:name="_Toc164229222"/>
      <w:r/>
      <w:bookmarkStart w:id="211" w:name="_Toc264969217"/>
      <w:r/>
      <w:bookmarkStart w:id="212" w:name="_Toc265228365"/>
      <w:r/>
      <w:bookmarkStart w:id="213" w:name="_Toc164351621"/>
      <w:r/>
      <w:bookmarkStart w:id="214" w:name="_Toc226965800"/>
      <w:r/>
      <w:bookmarkStart w:id="215" w:name="_Toc226309771"/>
      <w:r/>
      <w:bookmarkStart w:id="216" w:name="_Toc127161441"/>
      <w:r/>
      <w:bookmarkStart w:id="217" w:name="_Toc127151728"/>
      <w:r/>
      <w:bookmarkStart w:id="218" w:name="_Toc150480765"/>
      <w:r/>
      <w:bookmarkStart w:id="219" w:name="_Toc520356151"/>
      <w:r/>
      <w:bookmarkStart w:id="220" w:name="_Toc149720820"/>
      <w:r>
        <w:rPr>
          <w:rFonts w:ascii="宋体" w:hAnsi="宋体" w:eastAsia="宋体"/>
          <w:sz w:val="24"/>
          <w:highlight w:val="none"/>
        </w:rPr>
        <w:t xml:space="preserve">投标范围、投标文件中计量单位的使用</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宋体" w:hAnsi="宋体" w:eastAsia="宋体"/>
          <w:sz w:val="24"/>
          <w:highlight w:val="none"/>
        </w:rPr>
        <w:t xml:space="preserve">及投标语言</w:t>
      </w:r>
      <w:r>
        <w:rPr>
          <w:rFonts w:ascii="宋体" w:hAnsi="宋体" w:eastAsia="宋体"/>
          <w:sz w:val="24"/>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Cs w:val="21"/>
          <w:highlight w:val="none"/>
        </w:rPr>
        <w:t xml:space="preserve">无效投标</w:t>
      </w:r>
      <w:r>
        <w:rPr>
          <w:rFonts w:ascii="宋体" w:hAnsi="宋体" w:eastAsia="宋体"/>
          <w:szCs w:val="21"/>
          <w:highlight w:val="none"/>
        </w:rPr>
        <w:t xml:space="preserve">。</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除招标文件有特殊要求外，本项目投标所使用的计量单位，应采用中华人民共和国法定计量单位。</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221" w:name="_Toc127151528"/>
      <w:r/>
      <w:bookmarkStart w:id="222" w:name="_Toc226965718"/>
      <w:r/>
      <w:bookmarkStart w:id="223" w:name="_Toc149720821"/>
      <w:r/>
      <w:bookmarkStart w:id="224" w:name="_Toc150774628"/>
      <w:r/>
      <w:bookmarkStart w:id="225" w:name="_Toc226337224"/>
      <w:r/>
      <w:bookmarkStart w:id="226" w:name="_Toc305158796"/>
      <w:r/>
      <w:bookmarkStart w:id="227" w:name="_Toc226309772"/>
      <w:r/>
      <w:bookmarkStart w:id="228" w:name="_Toc127161442"/>
      <w:r/>
      <w:bookmarkStart w:id="229" w:name="_Toc164608642"/>
      <w:r/>
      <w:bookmarkStart w:id="230" w:name="_Toc151193916"/>
      <w:r/>
      <w:bookmarkStart w:id="231" w:name="_Toc226965801"/>
      <w:r/>
      <w:bookmarkStart w:id="232" w:name="_Toc164229223"/>
      <w:r/>
      <w:bookmarkStart w:id="233" w:name="_Toc164351622"/>
      <w:r/>
      <w:bookmarkStart w:id="234" w:name="_Toc164608797"/>
      <w:r/>
      <w:bookmarkStart w:id="235" w:name="_Toc127151729"/>
      <w:r/>
      <w:bookmarkStart w:id="236" w:name="_Toc265228366"/>
      <w:r/>
      <w:bookmarkStart w:id="237" w:name="_Toc264969218"/>
      <w:r/>
      <w:bookmarkStart w:id="238" w:name="_Toc150774733"/>
      <w:r/>
      <w:bookmarkStart w:id="239" w:name="_Toc151193626"/>
      <w:r/>
      <w:bookmarkStart w:id="240" w:name="_Toc195842893"/>
      <w:r/>
      <w:bookmarkStart w:id="241" w:name="_Toc142311030"/>
      <w:r/>
      <w:bookmarkStart w:id="242" w:name="_Ref467306676"/>
      <w:r/>
      <w:bookmarkStart w:id="243" w:name="_Toc305158870"/>
      <w:r/>
      <w:bookmarkStart w:id="244" w:name="_Ref467306195"/>
      <w:r/>
      <w:bookmarkStart w:id="245" w:name="_Toc516367022"/>
      <w:r/>
      <w:bookmarkStart w:id="246" w:name="_Toc164229369"/>
      <w:r/>
      <w:bookmarkStart w:id="247" w:name="_Toc150480766"/>
      <w:r/>
      <w:bookmarkStart w:id="248" w:name="_Toc151193770"/>
      <w:r/>
      <w:bookmarkStart w:id="249" w:name="_Toc150509279"/>
      <w:r/>
      <w:bookmarkStart w:id="250" w:name="_Toc520356152"/>
      <w:r/>
      <w:bookmarkStart w:id="251" w:name="_Toc151193698"/>
      <w:r/>
      <w:bookmarkStart w:id="252" w:name="_Toc151193842"/>
      <w:r/>
      <w:bookmarkStart w:id="253" w:name="_Toc151190155"/>
      <w:r>
        <w:rPr>
          <w:rFonts w:ascii="宋体" w:hAnsi="宋体" w:eastAsia="宋体"/>
          <w:sz w:val="24"/>
          <w:highlight w:val="none"/>
        </w:rPr>
        <w:t xml:space="preserve">投标文件</w:t>
      </w:r>
      <w:bookmarkEnd w:id="242"/>
      <w:r/>
      <w:bookmarkEnd w:id="244"/>
      <w:r/>
      <w:bookmarkEnd w:id="245"/>
      <w:r>
        <w:rPr>
          <w:rFonts w:ascii="宋体" w:hAnsi="宋体" w:eastAsia="宋体"/>
          <w:sz w:val="24"/>
          <w:highlight w:val="none"/>
        </w:rPr>
        <w:t xml:space="preserve">构成</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3"/>
      <w:r/>
      <w:bookmarkEnd w:id="246"/>
      <w:r/>
      <w:bookmarkEnd w:id="247"/>
      <w:r/>
      <w:bookmarkEnd w:id="248"/>
      <w:r/>
      <w:bookmarkEnd w:id="249"/>
      <w:r/>
      <w:bookmarkEnd w:id="250"/>
      <w:r/>
      <w:bookmarkEnd w:id="251"/>
      <w:r/>
      <w:bookmarkEnd w:id="252"/>
      <w:r/>
      <w:bookmarkEnd w:id="253"/>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bookmarkStart w:id="254" w:name="_Ref467052588"/>
      <w:r>
        <w:rPr>
          <w:rFonts w:ascii="宋体" w:hAnsi="宋体" w:eastAsia="宋体"/>
          <w:szCs w:val="21"/>
          <w:highlight w:val="none"/>
        </w:rPr>
        <w:t xml:space="preserve">具体内容组成及编排顺序以“苏采云”系统电子投标文件格式要求为准。请投标人将采购文件导入“苏采云”政府采购客户端工具后，按系统提示格式编制投标文件</w:t>
      </w:r>
      <w:r>
        <w:rPr>
          <w:rFonts w:hint="eastAsia" w:ascii="宋体" w:hAnsi="宋体" w:eastAsia="宋体"/>
          <w:szCs w:val="21"/>
          <w:highlight w:val="none"/>
        </w:rPr>
        <w:t xml:space="preserve">，</w:t>
      </w:r>
      <w:r>
        <w:rPr>
          <w:rFonts w:ascii="宋体" w:hAnsi="宋体" w:eastAsia="宋体"/>
          <w:szCs w:val="21"/>
          <w:highlight w:val="none"/>
        </w:rPr>
        <w:t xml:space="preserve">投标人应当按照招标文件的要求编制投标文件。投标文件应由《资格</w:t>
      </w:r>
      <w:r>
        <w:rPr>
          <w:rFonts w:hint="eastAsia" w:ascii="宋体" w:hAnsi="宋体" w:eastAsia="宋体"/>
          <w:szCs w:val="21"/>
          <w:highlight w:val="none"/>
        </w:rPr>
        <w:t xml:space="preserve">、符合性</w:t>
      </w:r>
      <w:r>
        <w:rPr>
          <w:rFonts w:ascii="宋体" w:hAnsi="宋体" w:eastAsia="宋体"/>
          <w:szCs w:val="21"/>
          <w:highlight w:val="none"/>
        </w:rPr>
        <w:t xml:space="preserve">证明文件》、《商务技术文件》构成。投标文件的部分格式要求，见第七章《投标文件格式》。</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对于招标文件中标记了“实质性格式”文件的，</w:t>
      </w:r>
      <w:r>
        <w:rPr>
          <w:rFonts w:ascii="宋体" w:hAnsi="宋体" w:eastAsia="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。未标记“实质性格式”的文件和招标文件未提供格式的内容，可由投标人自行编写。</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第四章《评标程序、评标方法和评标标准》中涉及的证明文件。</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投标人认为应附的其他材料。</w:t>
      </w:r>
      <w:bookmarkEnd w:id="254"/>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255" w:name="_Toc151193918"/>
      <w:r/>
      <w:bookmarkStart w:id="256" w:name="_Toc164608799"/>
      <w:r/>
      <w:bookmarkStart w:id="257" w:name="_Toc151193628"/>
      <w:r/>
      <w:bookmarkStart w:id="258" w:name="_Toc151193772"/>
      <w:r/>
      <w:bookmarkStart w:id="259" w:name="_Toc149720823"/>
      <w:r/>
      <w:bookmarkStart w:id="260" w:name="_Toc150774630"/>
      <w:r/>
      <w:bookmarkStart w:id="261" w:name="_Toc164351624"/>
      <w:r/>
      <w:bookmarkStart w:id="262" w:name="_Toc142311032"/>
      <w:r/>
      <w:bookmarkStart w:id="263" w:name="_Toc151193844"/>
      <w:r/>
      <w:bookmarkStart w:id="264" w:name="_Toc127151731"/>
      <w:r/>
      <w:bookmarkStart w:id="265" w:name="_Toc150480768"/>
      <w:r/>
      <w:bookmarkStart w:id="266" w:name="_Toc164229225"/>
      <w:r/>
      <w:bookmarkStart w:id="267" w:name="_Toc150509281"/>
      <w:r/>
      <w:bookmarkStart w:id="268" w:name="_Toc127161444"/>
      <w:r/>
      <w:bookmarkStart w:id="269" w:name="_Toc520356155"/>
      <w:r/>
      <w:bookmarkStart w:id="270" w:name="_Toc151193700"/>
      <w:r/>
      <w:bookmarkStart w:id="271" w:name="_Toc164608644"/>
      <w:r/>
      <w:bookmarkStart w:id="272" w:name="_Toc150774735"/>
      <w:r/>
      <w:bookmarkStart w:id="273" w:name="_Toc127151530"/>
      <w:r/>
      <w:bookmarkStart w:id="274" w:name="_Toc195842895"/>
      <w:r/>
      <w:bookmarkStart w:id="275" w:name="_Toc164229371"/>
      <w:r/>
      <w:bookmarkStart w:id="276" w:name="_Toc151190157"/>
      <w:r>
        <w:rPr>
          <w:rFonts w:ascii="宋体" w:hAnsi="宋体" w:eastAsia="宋体"/>
          <w:sz w:val="24"/>
          <w:highlight w:val="none"/>
        </w:rPr>
        <w:t xml:space="preserve">投标报价</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所有投标均以人民币报价。</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投标人的报价应包括为完成本项目所发生的一切费用和税费，招标人将不再支付报价以外的任何费用。投标人的报价应包括但不限于下列内容，《投标人须知前附表》中有特殊规定的，从其规定。</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按照招标文件要求完成本项目的全部相关服务费用。 </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采购人不得向供应商索要或者接受其给予的赠品、回扣或者与采购无关的其他商品、服务。</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投标人不能提供任何有选择性或可调整的报价，否则其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numPr>
          <w:ilvl w:val="1"/>
          <w:numId w:val="9"/>
        </w:numPr>
        <w:ind w:left="1080"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b/>
          <w:szCs w:val="21"/>
          <w:highlight w:val="none"/>
        </w:rPr>
        <w:t xml:space="preserve">投标人应对招标文件内所要采购的全部内容进行报价，只投其中部分内容者，其标书将被拒绝。</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hint="eastAsia" w:ascii="宋体" w:hAnsi="宋体" w:eastAsia="宋体"/>
          <w:sz w:val="24"/>
          <w:highlight w:val="none"/>
        </w:rPr>
        <w:outlineLvl w:val="1"/>
      </w:pPr>
      <w:r/>
      <w:bookmarkStart w:id="277" w:name="_Ref467306513"/>
      <w:r/>
      <w:bookmarkStart w:id="278" w:name="_Toc151193701"/>
      <w:r/>
      <w:bookmarkStart w:id="279" w:name="_Toc226965721"/>
      <w:r/>
      <w:bookmarkStart w:id="280" w:name="_Toc150480769"/>
      <w:r/>
      <w:bookmarkStart w:id="281" w:name="_Toc142311033"/>
      <w:r/>
      <w:bookmarkStart w:id="282" w:name="_Toc150774631"/>
      <w:r/>
      <w:bookmarkStart w:id="283" w:name="_Toc265228369"/>
      <w:r/>
      <w:bookmarkStart w:id="284" w:name="_Toc164229226"/>
      <w:r/>
      <w:bookmarkStart w:id="285" w:name="_Toc164351625"/>
      <w:r/>
      <w:bookmarkStart w:id="286" w:name="_Toc127151531"/>
      <w:r/>
      <w:bookmarkStart w:id="287" w:name="_Toc195842896"/>
      <w:r/>
      <w:bookmarkStart w:id="288" w:name="_Toc151193919"/>
      <w:r/>
      <w:bookmarkStart w:id="289" w:name="_Toc164229372"/>
      <w:r/>
      <w:bookmarkStart w:id="290" w:name="_Toc226337227"/>
      <w:r/>
      <w:bookmarkStart w:id="291" w:name="_Toc226965804"/>
      <w:r/>
      <w:bookmarkStart w:id="292" w:name="_Toc226309775"/>
      <w:r/>
      <w:bookmarkStart w:id="293" w:name="_Toc151193845"/>
      <w:r/>
      <w:bookmarkStart w:id="294" w:name="_Toc150774736"/>
      <w:r/>
      <w:bookmarkStart w:id="295" w:name="_Toc127161445"/>
      <w:r/>
      <w:bookmarkStart w:id="296" w:name="_Toc151193629"/>
      <w:r/>
      <w:bookmarkStart w:id="297" w:name="_Toc127151732"/>
      <w:r/>
      <w:bookmarkStart w:id="298" w:name="_Toc149720824"/>
      <w:r/>
      <w:bookmarkStart w:id="299" w:name="_Toc520356156"/>
      <w:r/>
      <w:bookmarkStart w:id="300" w:name="_Toc150509282"/>
      <w:r/>
      <w:bookmarkStart w:id="301" w:name="_Toc164608800"/>
      <w:r/>
      <w:bookmarkStart w:id="302" w:name="_Toc151193773"/>
      <w:r/>
      <w:bookmarkStart w:id="303" w:name="_Toc305158873"/>
      <w:r/>
      <w:bookmarkStart w:id="304" w:name="_Toc305158799"/>
      <w:r/>
      <w:bookmarkStart w:id="305" w:name="_Toc164608645"/>
      <w:r/>
      <w:bookmarkStart w:id="306" w:name="_Toc264969221"/>
      <w:r/>
      <w:bookmarkStart w:id="307" w:name="_Toc151190158"/>
      <w:r>
        <w:rPr>
          <w:rFonts w:ascii="宋体" w:hAnsi="宋体" w:eastAsia="宋体"/>
          <w:sz w:val="24"/>
          <w:highlight w:val="none"/>
        </w:rPr>
        <w:t xml:space="preserve">投标保证金</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eastAsia="宋体"/>
          <w:sz w:val="24"/>
          <w:highlight w:val="none"/>
        </w:rPr>
      </w:r>
      <w:r/>
    </w:p>
    <w:p>
      <w:pPr>
        <w:pStyle w:val="1073"/>
        <w:ind w:firstLine="420"/>
        <w:jc w:val="left"/>
        <w:spacing w:line="360" w:lineRule="auto"/>
        <w:rPr>
          <w:rFonts w:ascii="宋体" w:hAnsi="宋体" w:eastAsia="宋体"/>
          <w:highlight w:val="none"/>
        </w:rPr>
      </w:pPr>
      <w:r>
        <w:rPr>
          <w:rFonts w:hint="eastAsia" w:ascii="宋体" w:hAnsi="宋体" w:eastAsia="宋体"/>
          <w:highlight w:val="none"/>
        </w:rPr>
        <w:t xml:space="preserve">本项目无需递交投标保证金。</w:t>
      </w:r>
      <w:r>
        <w:rPr>
          <w:rFonts w:ascii="宋体" w:hAnsi="宋体" w:eastAsia="宋体"/>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308" w:name="_Toc226337228"/>
      <w:r/>
      <w:bookmarkStart w:id="309" w:name="_Toc127151532"/>
      <w:r/>
      <w:bookmarkStart w:id="310" w:name="_Toc226965805"/>
      <w:r/>
      <w:bookmarkStart w:id="311" w:name="_Toc164351626"/>
      <w:r/>
      <w:bookmarkStart w:id="312" w:name="_Toc226965722"/>
      <w:r/>
      <w:bookmarkStart w:id="313" w:name="_Toc305158800"/>
      <w:r/>
      <w:bookmarkStart w:id="314" w:name="_Toc151193630"/>
      <w:r/>
      <w:bookmarkStart w:id="315" w:name="_Toc520356157"/>
      <w:r/>
      <w:bookmarkStart w:id="316" w:name="_Toc150774632"/>
      <w:r/>
      <w:bookmarkStart w:id="317" w:name="_Toc151193702"/>
      <w:r/>
      <w:bookmarkStart w:id="318" w:name="_Toc164229227"/>
      <w:r/>
      <w:bookmarkStart w:id="319" w:name="_Toc127151733"/>
      <w:r/>
      <w:bookmarkStart w:id="320" w:name="_Toc142311034"/>
      <w:r/>
      <w:bookmarkStart w:id="321" w:name="_Toc226309776"/>
      <w:r/>
      <w:bookmarkStart w:id="322" w:name="_Toc149720825"/>
      <w:r/>
      <w:bookmarkStart w:id="323" w:name="_Toc150774737"/>
      <w:r/>
      <w:bookmarkStart w:id="324" w:name="_Toc164229373"/>
      <w:r/>
      <w:bookmarkStart w:id="325" w:name="_Toc151193846"/>
      <w:r/>
      <w:bookmarkStart w:id="326" w:name="_Toc150509283"/>
      <w:r/>
      <w:bookmarkStart w:id="327" w:name="_Toc195842897"/>
      <w:r/>
      <w:bookmarkStart w:id="328" w:name="_Toc265228370"/>
      <w:r/>
      <w:bookmarkStart w:id="329" w:name="_Toc151193774"/>
      <w:r/>
      <w:bookmarkStart w:id="330" w:name="_Toc150480770"/>
      <w:r/>
      <w:bookmarkStart w:id="331" w:name="_Toc151193920"/>
      <w:r/>
      <w:bookmarkStart w:id="332" w:name="_Toc164608646"/>
      <w:r/>
      <w:bookmarkStart w:id="333" w:name="_Toc127161446"/>
      <w:r/>
      <w:bookmarkStart w:id="334" w:name="_Toc164608801"/>
      <w:r/>
      <w:bookmarkStart w:id="335" w:name="_Toc151190159"/>
      <w:r/>
      <w:bookmarkStart w:id="336" w:name="_Toc264969222"/>
      <w:r/>
      <w:bookmarkStart w:id="337" w:name="_Toc305158874"/>
      <w:r>
        <w:rPr>
          <w:rFonts w:ascii="宋体" w:hAnsi="宋体" w:eastAsia="宋体"/>
          <w:sz w:val="24"/>
          <w:highlight w:val="none"/>
        </w:rPr>
        <w:t xml:space="preserve">投标有效期</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投标文件应在本招标文件《投标人须知前附表》中规定的投标有效期内保持有效，投标有效期少于招标文件规定期限的，其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338" w:name="_Toc127151533"/>
      <w:r/>
      <w:bookmarkStart w:id="339" w:name="_Toc305158875"/>
      <w:r/>
      <w:bookmarkStart w:id="340" w:name="_Toc151193703"/>
      <w:r/>
      <w:bookmarkStart w:id="341" w:name="_Toc520356158"/>
      <w:r/>
      <w:bookmarkStart w:id="342" w:name="_Toc226965806"/>
      <w:r/>
      <w:bookmarkStart w:id="343" w:name="_Toc151193631"/>
      <w:r/>
      <w:bookmarkStart w:id="344" w:name="_Toc142311035"/>
      <w:r/>
      <w:bookmarkStart w:id="345" w:name="_Toc151193847"/>
      <w:r/>
      <w:bookmarkStart w:id="346" w:name="_Toc151193775"/>
      <w:r/>
      <w:bookmarkStart w:id="347" w:name="_Toc164608647"/>
      <w:r/>
      <w:bookmarkStart w:id="348" w:name="_Toc150774738"/>
      <w:r/>
      <w:bookmarkStart w:id="349" w:name="_Toc264969223"/>
      <w:r/>
      <w:bookmarkStart w:id="350" w:name="_Toc127161447"/>
      <w:r/>
      <w:bookmarkStart w:id="351" w:name="_Toc164608802"/>
      <w:r/>
      <w:bookmarkStart w:id="352" w:name="_Toc151190160"/>
      <w:r/>
      <w:bookmarkStart w:id="353" w:name="_Toc226337229"/>
      <w:r/>
      <w:bookmarkStart w:id="354" w:name="_Toc226309777"/>
      <w:r/>
      <w:bookmarkStart w:id="355" w:name="_Toc164351627"/>
      <w:r/>
      <w:bookmarkStart w:id="356" w:name="_Toc265228371"/>
      <w:r/>
      <w:bookmarkStart w:id="357" w:name="_Toc226965723"/>
      <w:r/>
      <w:bookmarkStart w:id="358" w:name="_Toc305158801"/>
      <w:r/>
      <w:bookmarkStart w:id="359" w:name="_Toc127151734"/>
      <w:r/>
      <w:bookmarkStart w:id="360" w:name="_Toc164229228"/>
      <w:r/>
      <w:bookmarkStart w:id="361" w:name="_Toc151193921"/>
      <w:r/>
      <w:bookmarkStart w:id="362" w:name="_Toc149720826"/>
      <w:r/>
      <w:bookmarkStart w:id="363" w:name="_Toc195842898"/>
      <w:r/>
      <w:bookmarkStart w:id="364" w:name="_Toc164229374"/>
      <w:r/>
      <w:bookmarkStart w:id="365" w:name="_Toc150480771"/>
      <w:r/>
      <w:bookmarkStart w:id="366" w:name="_Toc150509284"/>
      <w:r/>
      <w:bookmarkStart w:id="367" w:name="_Toc150774633"/>
      <w:r>
        <w:rPr>
          <w:rFonts w:ascii="宋体" w:hAnsi="宋体" w:eastAsia="宋体"/>
          <w:sz w:val="24"/>
          <w:highlight w:val="none"/>
        </w:rPr>
        <w:t xml:space="preserve">投标文件的签署</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ascii="宋体" w:hAnsi="宋体" w:eastAsia="宋体"/>
          <w:sz w:val="24"/>
          <w:highlight w:val="none"/>
        </w:rPr>
        <w:t xml:space="preserve">、盖章</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bookmarkStart w:id="368" w:name="_Toc150509285"/>
      <w:r/>
      <w:bookmarkStart w:id="369" w:name="_Toc195842899"/>
      <w:r/>
      <w:bookmarkStart w:id="370" w:name="_Toc151193776"/>
      <w:r/>
      <w:bookmarkStart w:id="371" w:name="_Toc305158802"/>
      <w:r/>
      <w:bookmarkStart w:id="372" w:name="_Toc127151534"/>
      <w:r/>
      <w:bookmarkStart w:id="373" w:name="_Toc151193922"/>
      <w:r/>
      <w:bookmarkStart w:id="374" w:name="_Toc226965807"/>
      <w:r/>
      <w:bookmarkStart w:id="375" w:name="_Toc520356159"/>
      <w:r/>
      <w:bookmarkStart w:id="376" w:name="_Toc150480772"/>
      <w:r/>
      <w:bookmarkStart w:id="377" w:name="_Toc151193848"/>
      <w:r/>
      <w:bookmarkStart w:id="378" w:name="_Toc142311036"/>
      <w:r/>
      <w:bookmarkStart w:id="379" w:name="_Toc264969224"/>
      <w:r/>
      <w:bookmarkStart w:id="380" w:name="_Toc226965724"/>
      <w:r/>
      <w:bookmarkStart w:id="381" w:name="_Toc226309778"/>
      <w:r/>
      <w:bookmarkStart w:id="382" w:name="_Toc151190161"/>
      <w:r/>
      <w:bookmarkStart w:id="383" w:name="_Toc151193632"/>
      <w:r/>
      <w:bookmarkStart w:id="384" w:name="_Toc150774739"/>
      <w:r/>
      <w:bookmarkStart w:id="385" w:name="_Toc265228372"/>
      <w:r/>
      <w:bookmarkStart w:id="386" w:name="_Toc226337230"/>
      <w:r/>
      <w:bookmarkStart w:id="387" w:name="_Toc305158876"/>
      <w:r/>
      <w:bookmarkStart w:id="388" w:name="_Toc150774634"/>
      <w:r/>
      <w:bookmarkStart w:id="389" w:name="_Toc151193704"/>
      <w:r>
        <w:rPr>
          <w:rFonts w:ascii="宋体" w:hAnsi="宋体" w:eastAsia="宋体"/>
          <w:szCs w:val="21"/>
          <w:highlight w:val="none"/>
          <w:lang w:val="zh-CN"/>
        </w:rPr>
        <w:t xml:space="preserve">投标文件正本和副本均应使用不能擦去的黑色或蓝色墨水打印或书写，需要加盖公章或法人代表（或代理人）签名的文件必须按要求加盖公章或签署，若未按上述要求签署的投标文件将被拒绝。</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全套投标文件应无涂改和行间插字，由投标人造成的必须修改的错误，在修改处应由法定代表人或被授权委托人签字证明。</w:t>
      </w:r>
      <w:r>
        <w:rPr>
          <w:rFonts w:ascii="宋体" w:hAnsi="宋体" w:eastAsia="宋体"/>
          <w:szCs w:val="21"/>
          <w:highlight w:val="none"/>
        </w:rPr>
      </w:r>
      <w:r/>
    </w:p>
    <w:p>
      <w:pPr>
        <w:pStyle w:val="1073"/>
        <w:ind w:left="357"/>
        <w:spacing w:line="360" w:lineRule="auto"/>
        <w:tabs>
          <w:tab w:val="left" w:pos="900" w:leader="none"/>
          <w:tab w:val="left" w:pos="1080" w:leader="none"/>
        </w:tabs>
        <w:rPr>
          <w:rFonts w:ascii="宋体" w:hAnsi="宋体" w:eastAsia="宋体"/>
          <w:szCs w:val="21"/>
          <w:highlight w:val="none"/>
        </w:rPr>
      </w:pPr>
      <w:r>
        <w:rPr>
          <w:rFonts w:ascii="宋体" w:hAnsi="宋体" w:eastAsia="宋体"/>
          <w:szCs w:val="21"/>
          <w:highlight w:val="none"/>
        </w:rPr>
      </w:r>
      <w:r/>
    </w:p>
    <w:p>
      <w:pPr>
        <w:pStyle w:val="1075"/>
        <w:spacing w:before="0" w:line="360" w:lineRule="auto"/>
        <w:rPr>
          <w:rFonts w:ascii="宋体" w:hAnsi="宋体" w:eastAsia="宋体"/>
          <w:sz w:val="24"/>
          <w:szCs w:val="24"/>
          <w:highlight w:val="none"/>
        </w:rPr>
      </w:pPr>
      <w:r>
        <w:rPr>
          <w:rFonts w:ascii="宋体" w:hAnsi="宋体" w:eastAsia="宋体"/>
          <w:sz w:val="24"/>
          <w:szCs w:val="24"/>
          <w:highlight w:val="none"/>
        </w:rPr>
        <w:t xml:space="preserve">四   投标文件的提交</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ascii="宋体" w:hAnsi="宋体" w:eastAsia="宋体"/>
          <w:sz w:val="24"/>
          <w:szCs w:val="24"/>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390" w:name="_Toc150509286"/>
      <w:r/>
      <w:bookmarkStart w:id="391" w:name="_Toc150480773"/>
      <w:r/>
      <w:bookmarkStart w:id="392" w:name="_Toc305158877"/>
      <w:r/>
      <w:bookmarkStart w:id="393" w:name="_Toc195842900"/>
      <w:r/>
      <w:bookmarkStart w:id="394" w:name="_Toc164229376"/>
      <w:r/>
      <w:bookmarkStart w:id="395" w:name="_Toc150774740"/>
      <w:r/>
      <w:bookmarkStart w:id="396" w:name="_Toc151193705"/>
      <w:r/>
      <w:bookmarkStart w:id="397" w:name="_Toc142311037"/>
      <w:r/>
      <w:bookmarkStart w:id="398" w:name="_Toc520356160"/>
      <w:r/>
      <w:bookmarkStart w:id="399" w:name="_Toc305158803"/>
      <w:r/>
      <w:bookmarkStart w:id="400" w:name="_Toc164229230"/>
      <w:r/>
      <w:bookmarkStart w:id="401" w:name="_Toc151193849"/>
      <w:r/>
      <w:bookmarkStart w:id="402" w:name="_Toc151193633"/>
      <w:r/>
      <w:bookmarkStart w:id="403" w:name="_Toc151190162"/>
      <w:r/>
      <w:bookmarkStart w:id="404" w:name="_Toc226965808"/>
      <w:r/>
      <w:bookmarkStart w:id="405" w:name="_Toc226309779"/>
      <w:r/>
      <w:bookmarkStart w:id="406" w:name="_Toc150774635"/>
      <w:r/>
      <w:bookmarkStart w:id="407" w:name="_Toc164608649"/>
      <w:r/>
      <w:bookmarkStart w:id="408" w:name="_Toc151193777"/>
      <w:r/>
      <w:bookmarkStart w:id="409" w:name="_Toc151193923"/>
      <w:r/>
      <w:bookmarkStart w:id="410" w:name="_Toc226337231"/>
      <w:r/>
      <w:bookmarkStart w:id="411" w:name="_Toc265228373"/>
      <w:r/>
      <w:bookmarkStart w:id="412" w:name="_Toc127151736"/>
      <w:r/>
      <w:bookmarkStart w:id="413" w:name="_Toc264969225"/>
      <w:r/>
      <w:bookmarkStart w:id="414" w:name="_Toc149720828"/>
      <w:r/>
      <w:bookmarkStart w:id="415" w:name="_Toc127151535"/>
      <w:r/>
      <w:bookmarkStart w:id="416" w:name="_Toc164351629"/>
      <w:r/>
      <w:bookmarkStart w:id="417" w:name="_Toc127161449"/>
      <w:r/>
      <w:bookmarkStart w:id="418" w:name="_Toc164608804"/>
      <w:r/>
      <w:bookmarkStart w:id="419" w:name="_Toc226965725"/>
      <w:r>
        <w:rPr>
          <w:rFonts w:ascii="宋体" w:hAnsi="宋体" w:eastAsia="宋体"/>
          <w:sz w:val="24"/>
          <w:highlight w:val="none"/>
        </w:rPr>
        <w:t xml:space="preserve">投标文件的</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宋体" w:hAnsi="宋体" w:eastAsia="宋体"/>
          <w:sz w:val="24"/>
          <w:highlight w:val="none"/>
        </w:rPr>
        <w:t xml:space="preserve">提交</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hint="eastAsia" w:ascii="宋体" w:hAnsi="宋体" w:eastAsia="宋体"/>
          <w:szCs w:val="21"/>
          <w:highlight w:val="none"/>
        </w:rPr>
        <w:t xml:space="preserve">本项目采用电子招投标形式，请供应商按照《苏采云系统供应商操作手册》进行制作、上传电子投标文件。</w:t>
      </w:r>
      <w:r>
        <w:rPr>
          <w:rFonts w:hint="eastAsia" w:ascii="宋体" w:hAnsi="宋体" w:eastAsia="宋体"/>
          <w:b/>
          <w:szCs w:val="21"/>
          <w:highlight w:val="none"/>
        </w:rPr>
        <w:t xml:space="preserve">电子投标文件制作完成后请于投标文件递交截止时间前成功上传至“苏采云”系统，否则视为放弃参加该采购项目。</w:t>
      </w:r>
      <w:r>
        <w:rPr>
          <w:rFonts w:hint="eastAsia" w:ascii="宋体" w:hAnsi="宋体" w:eastAsia="宋体"/>
          <w:szCs w:val="21"/>
          <w:highlight w:val="none"/>
        </w:rPr>
        <w:t xml:space="preserve">供应商应充分考虑到网络环境、网络带宽等风险因素，如因供应商自身原因造成的电子投标文件上传不成功由供应商自行承担全部责任。</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420" w:name="_Toc265228374"/>
      <w:r/>
      <w:bookmarkStart w:id="421" w:name="_Toc151193634"/>
      <w:r/>
      <w:bookmarkStart w:id="422" w:name="_Toc226965726"/>
      <w:r/>
      <w:bookmarkStart w:id="423" w:name="_Toc151193706"/>
      <w:r/>
      <w:bookmarkStart w:id="424" w:name="_Toc150774741"/>
      <w:r/>
      <w:bookmarkStart w:id="425" w:name="_Toc164608650"/>
      <w:r/>
      <w:bookmarkStart w:id="426" w:name="_Toc150774636"/>
      <w:r/>
      <w:bookmarkStart w:id="427" w:name="_Toc164229377"/>
      <w:r/>
      <w:bookmarkStart w:id="428" w:name="_Toc149720829"/>
      <w:r/>
      <w:bookmarkStart w:id="429" w:name="_Toc127151536"/>
      <w:r/>
      <w:bookmarkStart w:id="430" w:name="_Toc195842901"/>
      <w:r/>
      <w:bookmarkStart w:id="431" w:name="_Toc142311038"/>
      <w:r/>
      <w:bookmarkStart w:id="432" w:name="_Toc305158878"/>
      <w:r/>
      <w:bookmarkStart w:id="433" w:name="_Toc151193850"/>
      <w:r/>
      <w:bookmarkStart w:id="434" w:name="_Toc151193924"/>
      <w:r/>
      <w:bookmarkStart w:id="435" w:name="_Toc151190163"/>
      <w:r/>
      <w:bookmarkStart w:id="436" w:name="_Toc164229231"/>
      <w:r/>
      <w:bookmarkStart w:id="437" w:name="_Toc164351630"/>
      <w:r/>
      <w:bookmarkStart w:id="438" w:name="_Toc150509287"/>
      <w:r/>
      <w:bookmarkStart w:id="439" w:name="_Toc151193778"/>
      <w:r/>
      <w:bookmarkStart w:id="440" w:name="_Toc520356161"/>
      <w:r/>
      <w:bookmarkStart w:id="441" w:name="_Toc226309780"/>
      <w:r/>
      <w:bookmarkStart w:id="442" w:name="_Toc127151737"/>
      <w:r/>
      <w:bookmarkStart w:id="443" w:name="_Toc226337232"/>
      <w:r/>
      <w:bookmarkStart w:id="444" w:name="_Toc305158804"/>
      <w:r/>
      <w:bookmarkStart w:id="445" w:name="_Toc264969226"/>
      <w:r/>
      <w:bookmarkStart w:id="446" w:name="_Toc127161450"/>
      <w:r/>
      <w:bookmarkStart w:id="447" w:name="_Toc150480774"/>
      <w:r/>
      <w:bookmarkStart w:id="448" w:name="_Toc226965809"/>
      <w:r/>
      <w:bookmarkStart w:id="449" w:name="_Toc164608805"/>
      <w:r>
        <w:rPr>
          <w:rFonts w:ascii="宋体" w:hAnsi="宋体" w:eastAsia="宋体"/>
          <w:sz w:val="24"/>
          <w:highlight w:val="none"/>
        </w:rPr>
        <w:t xml:space="preserve">投标截止</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宋体" w:hAnsi="宋体" w:eastAsia="宋体"/>
          <w:sz w:val="24"/>
          <w:highlight w:val="none"/>
        </w:rPr>
        <w:t xml:space="preserve">时间</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投标文件必须在投标截止时间前</w:t>
      </w:r>
      <w:r>
        <w:rPr>
          <w:rFonts w:hint="eastAsia" w:ascii="宋体" w:hAnsi="宋体" w:eastAsia="宋体"/>
          <w:b/>
          <w:szCs w:val="21"/>
          <w:highlight w:val="none"/>
        </w:rPr>
        <w:t xml:space="preserve">成功上传至“苏采云”系统，否则视为放弃参加该采购项目</w:t>
      </w:r>
      <w:r>
        <w:rPr>
          <w:rFonts w:ascii="宋体" w:hAnsi="宋体" w:eastAsia="宋体"/>
          <w:szCs w:val="21"/>
          <w:highlight w:val="none"/>
          <w:lang w:val="zh-CN"/>
        </w:rPr>
        <w:t xml:space="preserve">。</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逾期</w:t>
      </w:r>
      <w:r>
        <w:rPr>
          <w:rFonts w:hint="eastAsia" w:ascii="宋体" w:hAnsi="宋体" w:eastAsia="宋体"/>
          <w:szCs w:val="21"/>
          <w:highlight w:val="none"/>
        </w:rPr>
        <w:t xml:space="preserve">递交</w:t>
      </w:r>
      <w:r>
        <w:rPr>
          <w:rFonts w:ascii="宋体" w:hAnsi="宋体" w:eastAsia="宋体"/>
          <w:szCs w:val="21"/>
          <w:highlight w:val="none"/>
        </w:rPr>
        <w:t xml:space="preserve">的投标文件，采购人、采购代理机构应当拒收。</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至投标截止时间投标人不足3家的，不得开标。</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招标代理机构可以通过修改招标文件自行决定酌情延长投标截止时间。在此情况下，招标文件收受人和投标人的所有权利和义务以及投标人受制的截止时间均应以延长后新的截止时间为准。</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450" w:name="_Toc151193925"/>
      <w:r/>
      <w:bookmarkStart w:id="451" w:name="_Toc195842902"/>
      <w:r/>
      <w:bookmarkStart w:id="452" w:name="_Toc150774637"/>
      <w:r/>
      <w:bookmarkStart w:id="453" w:name="_Toc520356162"/>
      <w:r/>
      <w:bookmarkStart w:id="454" w:name="_Toc127151537"/>
      <w:r/>
      <w:bookmarkStart w:id="455" w:name="_Toc226309781"/>
      <w:r/>
      <w:bookmarkStart w:id="456" w:name="_Toc305158805"/>
      <w:r/>
      <w:bookmarkStart w:id="457" w:name="_Toc127161451"/>
      <w:r/>
      <w:bookmarkStart w:id="458" w:name="_Toc150774742"/>
      <w:r/>
      <w:bookmarkStart w:id="459" w:name="_Toc164608806"/>
      <w:r/>
      <w:bookmarkStart w:id="460" w:name="_Toc151193707"/>
      <w:r/>
      <w:bookmarkStart w:id="461" w:name="_Toc226965810"/>
      <w:r/>
      <w:bookmarkStart w:id="462" w:name="_Toc150480775"/>
      <w:r/>
      <w:bookmarkStart w:id="463" w:name="_Toc151193635"/>
      <w:r/>
      <w:bookmarkStart w:id="464" w:name="_Toc142311039"/>
      <w:r/>
      <w:bookmarkStart w:id="465" w:name="_Toc127151738"/>
      <w:r/>
      <w:bookmarkStart w:id="466" w:name="_Toc164351631"/>
      <w:r/>
      <w:bookmarkStart w:id="467" w:name="_Toc151193851"/>
      <w:r/>
      <w:bookmarkStart w:id="468" w:name="_Toc164229232"/>
      <w:r/>
      <w:bookmarkStart w:id="469" w:name="_Toc164229378"/>
      <w:r/>
      <w:bookmarkStart w:id="470" w:name="_Toc226965727"/>
      <w:r/>
      <w:bookmarkStart w:id="471" w:name="_Toc305158879"/>
      <w:r/>
      <w:bookmarkStart w:id="472" w:name="_Toc226337233"/>
      <w:r/>
      <w:bookmarkStart w:id="473" w:name="_Toc151193779"/>
      <w:r/>
      <w:bookmarkStart w:id="474" w:name="_Toc150509288"/>
      <w:r/>
      <w:bookmarkStart w:id="475" w:name="_Toc265228375"/>
      <w:r/>
      <w:bookmarkStart w:id="476" w:name="_Toc264969227"/>
      <w:r/>
      <w:bookmarkStart w:id="477" w:name="_Toc149720830"/>
      <w:r/>
      <w:bookmarkStart w:id="478" w:name="_Toc151190164"/>
      <w:r/>
      <w:bookmarkStart w:id="479" w:name="_Toc164608651"/>
      <w:r>
        <w:rPr>
          <w:rFonts w:ascii="宋体" w:hAnsi="宋体" w:eastAsia="宋体"/>
          <w:sz w:val="24"/>
          <w:highlight w:val="none"/>
        </w:rPr>
        <w:t xml:space="preserve">投标文件的修改与撤回</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投标人在投标截止时间前，可以对所递交的投标文件进行补充、修改或者撤回，并书面通知采购人或者采购代理机构。补充、修改的内容应当按照招标文件要求签署、盖章、</w:t>
      </w:r>
      <w:r>
        <w:rPr>
          <w:rFonts w:hint="eastAsia" w:ascii="宋体" w:hAnsi="宋体" w:eastAsia="宋体"/>
          <w:szCs w:val="21"/>
          <w:highlight w:val="none"/>
        </w:rPr>
        <w:t xml:space="preserve">加密</w:t>
      </w:r>
      <w:r>
        <w:rPr>
          <w:rFonts w:ascii="宋体" w:hAnsi="宋体" w:eastAsia="宋体"/>
          <w:szCs w:val="21"/>
          <w:highlight w:val="none"/>
          <w:lang w:val="zh-CN"/>
        </w:rPr>
        <w:t xml:space="preserve">后，作为投标文件的组成部分。</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撤回投标应以书面的形式在投标截止时间前通知招标代理机构。该书面撤回通知应由投标人法定代表人或代理人签署并加盖投标人单位公章。撤回投标的时间以</w:t>
      </w:r>
      <w:r>
        <w:rPr>
          <w:rFonts w:hint="eastAsia" w:ascii="宋体" w:hAnsi="宋体" w:eastAsia="宋体"/>
          <w:szCs w:val="21"/>
          <w:highlight w:val="none"/>
        </w:rPr>
        <w:t xml:space="preserve">苏采云系统显示</w:t>
      </w:r>
      <w:r>
        <w:rPr>
          <w:rFonts w:ascii="宋体" w:hAnsi="宋体" w:eastAsia="宋体"/>
          <w:szCs w:val="21"/>
          <w:highlight w:val="none"/>
          <w:lang w:val="zh-CN"/>
        </w:rPr>
        <w:t xml:space="preserve">撤回</w:t>
      </w:r>
      <w:r>
        <w:rPr>
          <w:rFonts w:hint="eastAsia" w:ascii="宋体" w:hAnsi="宋体" w:eastAsia="宋体"/>
          <w:szCs w:val="21"/>
          <w:highlight w:val="none"/>
        </w:rPr>
        <w:t xml:space="preserve">日期</w:t>
      </w:r>
      <w:r>
        <w:rPr>
          <w:rFonts w:ascii="宋体" w:hAnsi="宋体" w:eastAsia="宋体"/>
          <w:szCs w:val="21"/>
          <w:highlight w:val="none"/>
          <w:lang w:val="zh-CN"/>
        </w:rPr>
        <w:t xml:space="preserve">为准。</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lang w:val="zh-CN"/>
        </w:rPr>
      </w:pPr>
      <w:r>
        <w:rPr>
          <w:rFonts w:ascii="宋体" w:hAnsi="宋体" w:eastAsia="宋体"/>
          <w:szCs w:val="21"/>
          <w:highlight w:val="none"/>
          <w:lang w:val="zh-CN"/>
        </w:rPr>
        <w:t xml:space="preserve">开标后投标人不得撤回投标。</w:t>
      </w:r>
      <w:r>
        <w:rPr>
          <w:rFonts w:ascii="宋体" w:hAnsi="宋体" w:eastAsia="宋体"/>
          <w:szCs w:val="21"/>
          <w:highlight w:val="none"/>
          <w:lang w:val="zh-CN"/>
        </w:rPr>
      </w:r>
      <w:r/>
    </w:p>
    <w:p>
      <w:pPr>
        <w:pStyle w:val="1075"/>
        <w:spacing w:before="0" w:line="360" w:lineRule="auto"/>
        <w:rPr>
          <w:rFonts w:ascii="宋体" w:hAnsi="宋体" w:eastAsia="宋体"/>
          <w:sz w:val="24"/>
          <w:szCs w:val="24"/>
          <w:highlight w:val="none"/>
        </w:rPr>
      </w:pPr>
      <w:r/>
      <w:bookmarkStart w:id="480" w:name="_Toc265228376"/>
      <w:r/>
      <w:bookmarkStart w:id="481" w:name="_Toc150509289"/>
      <w:r/>
      <w:bookmarkStart w:id="482" w:name="_Toc305158880"/>
      <w:r/>
      <w:bookmarkStart w:id="483" w:name="_Toc151190165"/>
      <w:r/>
      <w:bookmarkStart w:id="484" w:name="_Toc151193708"/>
      <w:r/>
      <w:bookmarkStart w:id="485" w:name="_Toc264969228"/>
      <w:r/>
      <w:bookmarkStart w:id="486" w:name="_Toc520356163"/>
      <w:r/>
      <w:bookmarkStart w:id="487" w:name="_Toc150480776"/>
      <w:r/>
      <w:bookmarkStart w:id="488" w:name="_Toc195842903"/>
      <w:r/>
      <w:bookmarkStart w:id="489" w:name="_Toc127151538"/>
      <w:r/>
      <w:bookmarkStart w:id="490" w:name="_Toc226309782"/>
      <w:r/>
      <w:bookmarkStart w:id="491" w:name="_Toc151193780"/>
      <w:r/>
      <w:bookmarkStart w:id="492" w:name="_Toc142311040"/>
      <w:r/>
      <w:bookmarkStart w:id="493" w:name="_Toc150774638"/>
      <w:r/>
      <w:bookmarkStart w:id="494" w:name="_Toc226337234"/>
      <w:r/>
      <w:bookmarkStart w:id="495" w:name="_Toc226965811"/>
      <w:r/>
      <w:bookmarkStart w:id="496" w:name="_Toc151193926"/>
      <w:r/>
      <w:bookmarkStart w:id="497" w:name="_Toc151193852"/>
      <w:r/>
      <w:bookmarkStart w:id="498" w:name="_Toc151193636"/>
      <w:r/>
      <w:bookmarkStart w:id="499" w:name="_Toc305158806"/>
      <w:r/>
      <w:bookmarkStart w:id="500" w:name="_Toc150774743"/>
      <w:r/>
      <w:bookmarkStart w:id="501" w:name="_Toc226965728"/>
      <w:r>
        <w:rPr>
          <w:rFonts w:ascii="宋体" w:hAnsi="宋体" w:eastAsia="宋体"/>
          <w:sz w:val="24"/>
          <w:szCs w:val="24"/>
          <w:highlight w:val="none"/>
        </w:rPr>
        <w:t xml:space="preserve">五   开标、资格审查及评标</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ascii="宋体" w:hAnsi="宋体" w:eastAsia="宋体"/>
          <w:sz w:val="24"/>
          <w:szCs w:val="24"/>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502" w:name="_Toc226337235"/>
      <w:r/>
      <w:bookmarkStart w:id="503" w:name="_Toc127151539"/>
      <w:r/>
      <w:bookmarkStart w:id="504" w:name="_Toc164351633"/>
      <w:r/>
      <w:bookmarkStart w:id="505" w:name="_Toc142311041"/>
      <w:r/>
      <w:bookmarkStart w:id="506" w:name="_Toc150480777"/>
      <w:r/>
      <w:bookmarkStart w:id="507" w:name="_Toc520356164"/>
      <w:r/>
      <w:bookmarkStart w:id="508" w:name="_Toc164229234"/>
      <w:r/>
      <w:bookmarkStart w:id="509" w:name="_Toc164608808"/>
      <w:r/>
      <w:bookmarkStart w:id="510" w:name="_Toc164229380"/>
      <w:r/>
      <w:bookmarkStart w:id="511" w:name="_Toc151193853"/>
      <w:r/>
      <w:bookmarkStart w:id="512" w:name="_Toc150509290"/>
      <w:r/>
      <w:bookmarkStart w:id="513" w:name="_Toc127161453"/>
      <w:r/>
      <w:bookmarkStart w:id="514" w:name="_Toc151193781"/>
      <w:r/>
      <w:bookmarkStart w:id="515" w:name="_Toc151193927"/>
      <w:r/>
      <w:bookmarkStart w:id="516" w:name="_Toc226965729"/>
      <w:r/>
      <w:bookmarkStart w:id="517" w:name="_Toc151193709"/>
      <w:r/>
      <w:bookmarkStart w:id="518" w:name="_Toc265228377"/>
      <w:r/>
      <w:bookmarkStart w:id="519" w:name="_Toc226309783"/>
      <w:r/>
      <w:bookmarkStart w:id="520" w:name="_Toc150774639"/>
      <w:r/>
      <w:bookmarkStart w:id="521" w:name="_Toc264969229"/>
      <w:r/>
      <w:bookmarkStart w:id="522" w:name="_Toc151190166"/>
      <w:r/>
      <w:bookmarkStart w:id="523" w:name="_Toc164608653"/>
      <w:r/>
      <w:bookmarkStart w:id="524" w:name="_Toc127151740"/>
      <w:r/>
      <w:bookmarkStart w:id="525" w:name="_Toc151193637"/>
      <w:r/>
      <w:bookmarkStart w:id="526" w:name="_Toc226965812"/>
      <w:r/>
      <w:bookmarkStart w:id="527" w:name="_Toc305158881"/>
      <w:r/>
      <w:bookmarkStart w:id="528" w:name="_Toc195842904"/>
      <w:r/>
      <w:bookmarkStart w:id="529" w:name="_Toc149720832"/>
      <w:r/>
      <w:bookmarkStart w:id="530" w:name="_Toc305158807"/>
      <w:r/>
      <w:bookmarkStart w:id="531" w:name="_Toc150774744"/>
      <w:r>
        <w:rPr>
          <w:rFonts w:ascii="宋体" w:hAnsi="宋体" w:eastAsia="宋体"/>
          <w:sz w:val="24"/>
          <w:highlight w:val="none"/>
        </w:rPr>
        <w:t xml:space="preserve">开标</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采购代理机构按本须知规定的时间、地点主持公开开标。开标仪式由采购代理机构主持，</w:t>
      </w:r>
      <w:r>
        <w:rPr>
          <w:rFonts w:hint="eastAsia" w:ascii="宋体" w:hAnsi="宋体" w:eastAsia="宋体"/>
          <w:szCs w:val="21"/>
          <w:highlight w:val="none"/>
        </w:rPr>
        <w:t xml:space="preserve">本项目会不见面开标</w:t>
      </w:r>
      <w:r>
        <w:rPr>
          <w:rFonts w:ascii="宋体" w:hAnsi="宋体" w:eastAsia="宋体"/>
          <w:szCs w:val="21"/>
          <w:highlight w:val="none"/>
          <w:lang w:val="zh-CN"/>
        </w:rPr>
        <w:t xml:space="preserve">。</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szCs w:val="21"/>
          <w:highlight w:val="none"/>
        </w:rPr>
      </w:pPr>
      <w:r>
        <w:rPr>
          <w:rFonts w:hint="eastAsia" w:ascii="宋体" w:hAnsi="宋体" w:eastAsia="宋体"/>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1"/>
          <w:highlight w:val="none"/>
        </w:rPr>
        <w:t xml:space="preserve">本项目为不见面开标项目，开标阶段供应商在【供应商解密】环节必须使用 CA证书解密电子投标文件，如在系统规定的解密时间（以系统提示为准）内未能完成解密的视为放弃投标。</w:t>
      </w:r>
      <w:bookmarkStart w:id="532" w:name="_Toc520356165"/>
      <w:r>
        <w:rPr>
          <w:rFonts w:hint="eastAsia" w:ascii="宋体" w:hAnsi="宋体" w:eastAsia="宋体"/>
          <w:szCs w:val="21"/>
          <w:highlight w:val="none"/>
        </w:rPr>
      </w:r>
      <w:r/>
    </w:p>
    <w:p>
      <w:pPr>
        <w:pStyle w:val="1073"/>
        <w:ind w:firstLine="1054"/>
        <w:spacing w:line="360" w:lineRule="auto"/>
        <w:tabs>
          <w:tab w:val="left" w:pos="1080" w:leader="none"/>
          <w:tab w:val="left" w:pos="2014" w:leader="none"/>
        </w:tabs>
        <w:rPr>
          <w:rFonts w:hint="eastAsia" w:ascii="宋体" w:hAnsi="宋体" w:eastAsia="宋体"/>
          <w:b/>
          <w:bCs/>
          <w:szCs w:val="21"/>
          <w:highlight w:val="none"/>
        </w:rPr>
      </w:pPr>
      <w:r>
        <w:rPr>
          <w:rFonts w:hint="eastAsia" w:ascii="宋体" w:hAnsi="宋体" w:eastAsia="宋体"/>
          <w:b/>
          <w:bCs/>
          <w:szCs w:val="21"/>
          <w:highlight w:val="none"/>
        </w:rPr>
        <w:t xml:space="preserve">投标人远程解密要求如下：</w:t>
      </w:r>
      <w:r>
        <w:rPr>
          <w:rFonts w:hint="eastAsia" w:ascii="宋体" w:hAnsi="宋体" w:eastAsia="宋体"/>
          <w:b/>
          <w:bCs/>
          <w:szCs w:val="21"/>
          <w:highlight w:val="none"/>
        </w:rPr>
      </w:r>
      <w:r/>
    </w:p>
    <w:p>
      <w:pPr>
        <w:pStyle w:val="1073"/>
        <w:ind w:left="1050"/>
        <w:spacing w:line="360" w:lineRule="auto"/>
        <w:tabs>
          <w:tab w:val="left" w:pos="1080" w:leader="none"/>
        </w:tabs>
        <w:rPr>
          <w:rFonts w:hint="eastAsia" w:ascii="宋体" w:hAnsi="宋体" w:eastAsia="宋体"/>
          <w:b/>
          <w:bCs/>
          <w:szCs w:val="21"/>
          <w:highlight w:val="none"/>
        </w:rPr>
      </w:pPr>
      <w:r>
        <w:rPr>
          <w:rFonts w:hint="eastAsia" w:ascii="宋体" w:hAnsi="宋体" w:eastAsia="宋体"/>
          <w:b/>
          <w:bCs/>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b/>
          <w:bCs/>
          <w:szCs w:val="21"/>
          <w:highlight w:val="none"/>
        </w:rPr>
      </w:r>
      <w:r/>
    </w:p>
    <w:p>
      <w:pPr>
        <w:pStyle w:val="1073"/>
        <w:ind w:left="1472" w:hanging="422"/>
        <w:spacing w:line="360" w:lineRule="auto"/>
        <w:tabs>
          <w:tab w:val="left" w:pos="1080" w:leader="none"/>
        </w:tabs>
        <w:rPr>
          <w:rFonts w:hint="eastAsia" w:ascii="宋体" w:hAnsi="宋体" w:eastAsia="宋体"/>
          <w:b/>
          <w:bCs/>
          <w:szCs w:val="21"/>
          <w:highlight w:val="none"/>
        </w:rPr>
      </w:pPr>
      <w:r>
        <w:rPr>
          <w:rFonts w:hint="eastAsia" w:ascii="宋体" w:hAnsi="宋体" w:eastAsia="宋体"/>
          <w:b/>
          <w:bCs/>
          <w:szCs w:val="21"/>
          <w:highlight w:val="none"/>
        </w:rPr>
        <w:t xml:space="preserve">2）投标人登录苏采云系统，点击开标大厅，选择开标项目，完成不见面开标流程。</w:t>
      </w:r>
      <w:r>
        <w:rPr>
          <w:rFonts w:hint="eastAsia" w:ascii="宋体" w:hAnsi="宋体" w:eastAsia="宋体"/>
          <w:b/>
          <w:bCs/>
          <w:szCs w:val="21"/>
          <w:highlight w:val="none"/>
        </w:rPr>
      </w:r>
      <w:r/>
    </w:p>
    <w:p>
      <w:pPr>
        <w:pStyle w:val="1073"/>
        <w:ind w:left="1050"/>
        <w:spacing w:line="360" w:lineRule="auto"/>
        <w:tabs>
          <w:tab w:val="left" w:pos="1080" w:leader="none"/>
        </w:tabs>
        <w:rPr>
          <w:rFonts w:hint="eastAsia" w:ascii="宋体" w:hAnsi="宋体" w:eastAsia="宋体"/>
          <w:b/>
          <w:bCs/>
          <w:szCs w:val="21"/>
          <w:highlight w:val="none"/>
        </w:rPr>
      </w:pPr>
      <w:r>
        <w:rPr>
          <w:rFonts w:hint="eastAsia" w:ascii="宋体" w:hAnsi="宋体" w:eastAsia="宋体"/>
          <w:b/>
          <w:bCs/>
          <w:szCs w:val="21"/>
          <w:highlight w:val="none"/>
        </w:rPr>
        <w:t xml:space="preserve">3）投标截止时间后根据系统提示解密电子投标文件。解密时间为15分钟，未在规定时间内完成解密，其投标文件将被拒绝，不参与后续投标流程。</w:t>
      </w:r>
      <w:r>
        <w:rPr>
          <w:rFonts w:hint="eastAsia" w:ascii="宋体" w:hAnsi="宋体" w:eastAsia="宋体"/>
          <w:b/>
          <w:bCs/>
          <w:szCs w:val="21"/>
          <w:highlight w:val="none"/>
        </w:rPr>
      </w:r>
      <w:r/>
    </w:p>
    <w:p>
      <w:pPr>
        <w:pStyle w:val="1073"/>
        <w:ind w:left="1050"/>
        <w:spacing w:line="360" w:lineRule="auto"/>
        <w:tabs>
          <w:tab w:val="left" w:pos="1080" w:leader="none"/>
        </w:tabs>
        <w:rPr>
          <w:rFonts w:hint="eastAsia" w:ascii="宋体" w:hAnsi="宋体" w:eastAsia="宋体"/>
          <w:szCs w:val="21"/>
          <w:highlight w:val="none"/>
        </w:rPr>
      </w:pPr>
      <w:r>
        <w:rPr>
          <w:rFonts w:hint="eastAsia" w:ascii="宋体" w:hAnsi="宋体" w:eastAsia="宋体"/>
          <w:b/>
          <w:bCs/>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至投标文件递交截止时间，递交投标文件的供应商不足三家的，不得开标。</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采购代理机构在开标仪式上，将公布投标人的名称、投标价格，并将作唱标记录。</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lang w:val="zh-CN"/>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资格审查</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见第三章《资格审查》。</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End w:id="532"/>
      <w:r/>
      <w:bookmarkStart w:id="533" w:name="_Toc150509291"/>
      <w:r/>
      <w:bookmarkStart w:id="534" w:name="_Toc164608654"/>
      <w:r/>
      <w:bookmarkStart w:id="535" w:name="_Toc265228378"/>
      <w:r/>
      <w:bookmarkStart w:id="536" w:name="_Toc127151540"/>
      <w:r/>
      <w:bookmarkStart w:id="537" w:name="_Toc305158808"/>
      <w:r/>
      <w:bookmarkStart w:id="538" w:name="_Toc195842905"/>
      <w:r/>
      <w:bookmarkStart w:id="539" w:name="_Toc305158882"/>
      <w:r/>
      <w:bookmarkStart w:id="540" w:name="_Toc164608809"/>
      <w:r/>
      <w:bookmarkStart w:id="541" w:name="_Toc226965730"/>
      <w:r/>
      <w:bookmarkStart w:id="542" w:name="_Toc164229381"/>
      <w:r/>
      <w:bookmarkStart w:id="543" w:name="_Toc150774640"/>
      <w:r/>
      <w:bookmarkStart w:id="544" w:name="_Toc226965813"/>
      <w:r/>
      <w:bookmarkStart w:id="545" w:name="_Toc151193710"/>
      <w:r/>
      <w:bookmarkStart w:id="546" w:name="_Toc127151741"/>
      <w:r/>
      <w:bookmarkStart w:id="547" w:name="_Toc226309784"/>
      <w:r/>
      <w:bookmarkStart w:id="548" w:name="_Toc151193928"/>
      <w:r/>
      <w:bookmarkStart w:id="549" w:name="_Toc164351634"/>
      <w:r/>
      <w:bookmarkStart w:id="550" w:name="_Toc149720833"/>
      <w:r/>
      <w:bookmarkStart w:id="551" w:name="_Toc150480778"/>
      <w:r/>
      <w:bookmarkStart w:id="552" w:name="_Toc226337236"/>
      <w:r/>
      <w:bookmarkStart w:id="553" w:name="_Toc151193638"/>
      <w:r/>
      <w:bookmarkStart w:id="554" w:name="_Toc164229235"/>
      <w:r/>
      <w:bookmarkStart w:id="555" w:name="_Toc151190167"/>
      <w:r/>
      <w:bookmarkStart w:id="556" w:name="_Toc151193782"/>
      <w:r/>
      <w:bookmarkStart w:id="557" w:name="_Toc142311042"/>
      <w:r/>
      <w:bookmarkStart w:id="558" w:name="_Toc127161454"/>
      <w:r/>
      <w:bookmarkStart w:id="559" w:name="_Toc264969230"/>
      <w:r/>
      <w:bookmarkStart w:id="560" w:name="_Toc150774745"/>
      <w:r/>
      <w:bookmarkStart w:id="561" w:name="_Toc151193854"/>
      <w:r>
        <w:rPr>
          <w:rFonts w:ascii="宋体" w:hAnsi="宋体" w:eastAsia="宋体"/>
          <w:sz w:val="24"/>
          <w:highlight w:val="none"/>
        </w:rPr>
        <w:t xml:space="preserve">评标委员会</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评标委员会根据政府采购有关规定和本次招标采购项目的特点进行组建，并负责具体评标事务，独立履行职责。</w:t>
      </w:r>
      <w:bookmarkStart w:id="562" w:name="_Toc520356166"/>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62"/>
      <w:r/>
      <w:bookmarkStart w:id="563" w:name="_Toc520356169"/>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评标程序、评标方法和评标标准</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见第四章《评标程序、评标方法和评标标准》。</w:t>
      </w:r>
      <w:r>
        <w:rPr>
          <w:rFonts w:ascii="宋体" w:hAnsi="宋体" w:eastAsia="宋体"/>
          <w:szCs w:val="21"/>
          <w:highlight w:val="none"/>
        </w:rPr>
      </w:r>
      <w:r/>
    </w:p>
    <w:p>
      <w:pPr>
        <w:pStyle w:val="1075"/>
        <w:spacing w:before="0" w:line="360" w:lineRule="auto"/>
        <w:rPr>
          <w:rFonts w:ascii="宋体" w:hAnsi="宋体" w:eastAsia="宋体"/>
          <w:sz w:val="24"/>
          <w:szCs w:val="24"/>
          <w:highlight w:val="none"/>
        </w:rPr>
      </w:pPr>
      <w:r/>
      <w:bookmarkStart w:id="564" w:name="_Toc151190172"/>
      <w:r/>
      <w:bookmarkStart w:id="565" w:name="_Toc127151545"/>
      <w:r/>
      <w:bookmarkStart w:id="566" w:name="_Toc265228383"/>
      <w:r/>
      <w:bookmarkStart w:id="567" w:name="_Toc264969235"/>
      <w:r/>
      <w:bookmarkStart w:id="568" w:name="_Toc305158813"/>
      <w:r/>
      <w:bookmarkStart w:id="569" w:name="_Toc226965735"/>
      <w:r/>
      <w:bookmarkStart w:id="570" w:name="_Toc150774645"/>
      <w:r/>
      <w:bookmarkStart w:id="571" w:name="_Toc226337241"/>
      <w:r/>
      <w:bookmarkStart w:id="572" w:name="_Toc151193859"/>
      <w:r/>
      <w:bookmarkStart w:id="573" w:name="_Toc142311047"/>
      <w:r/>
      <w:bookmarkStart w:id="574" w:name="_Toc151193715"/>
      <w:r/>
      <w:bookmarkStart w:id="575" w:name="_Toc150774750"/>
      <w:r/>
      <w:bookmarkStart w:id="576" w:name="_Toc195842910"/>
      <w:r/>
      <w:bookmarkStart w:id="577" w:name="_Toc150480783"/>
      <w:r/>
      <w:bookmarkStart w:id="578" w:name="_Toc226309789"/>
      <w:r/>
      <w:bookmarkStart w:id="579" w:name="_Toc226965818"/>
      <w:r/>
      <w:bookmarkStart w:id="580" w:name="_Toc151193643"/>
      <w:r/>
      <w:bookmarkStart w:id="581" w:name="_Toc150509296"/>
      <w:r/>
      <w:bookmarkStart w:id="582" w:name="_Toc151193933"/>
      <w:r/>
      <w:bookmarkStart w:id="583" w:name="_Toc305158887"/>
      <w:r/>
      <w:bookmarkStart w:id="584" w:name="_Toc151193787"/>
      <w:r>
        <w:rPr>
          <w:rFonts w:ascii="宋体" w:hAnsi="宋体" w:eastAsia="宋体"/>
          <w:sz w:val="24"/>
          <w:szCs w:val="24"/>
          <w:highlight w:val="none"/>
        </w:rPr>
        <w:t xml:space="preserve">六   </w:t>
      </w:r>
      <w:bookmarkEnd w:id="563"/>
      <w:r>
        <w:rPr>
          <w:rFonts w:ascii="宋体" w:hAnsi="宋体" w:eastAsia="宋体"/>
          <w:sz w:val="24"/>
          <w:szCs w:val="24"/>
          <w:highlight w:val="none"/>
        </w:rPr>
        <w:t xml:space="preserve">确定中标</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Start w:id="585" w:name="_Toc164229388"/>
      <w:r/>
      <w:bookmarkStart w:id="586" w:name="_Toc151193861"/>
      <w:r/>
      <w:bookmarkStart w:id="587" w:name="_Toc164229242"/>
      <w:r/>
      <w:bookmarkStart w:id="588" w:name="_Toc226965737"/>
      <w:r/>
      <w:bookmarkStart w:id="589" w:name="_Toc149720840"/>
      <w:r/>
      <w:bookmarkStart w:id="590" w:name="_Toc151193645"/>
      <w:r/>
      <w:bookmarkStart w:id="591" w:name="_Toc127151547"/>
      <w:r/>
      <w:bookmarkStart w:id="592" w:name="_Toc195842912"/>
      <w:r/>
      <w:bookmarkStart w:id="593" w:name="_Toc151193789"/>
      <w:r/>
      <w:bookmarkStart w:id="594" w:name="_Toc305158889"/>
      <w:r/>
      <w:bookmarkStart w:id="595" w:name="_Toc226337243"/>
      <w:r/>
      <w:bookmarkStart w:id="596" w:name="_Toc142311049"/>
      <w:r/>
      <w:bookmarkStart w:id="597" w:name="_Toc150774752"/>
      <w:r/>
      <w:bookmarkStart w:id="598" w:name="_Toc265228385"/>
      <w:r/>
      <w:bookmarkStart w:id="599" w:name="_Toc151190174"/>
      <w:r/>
      <w:bookmarkStart w:id="600" w:name="_Toc164351641"/>
      <w:r/>
      <w:bookmarkStart w:id="601" w:name="_Toc127161461"/>
      <w:r/>
      <w:bookmarkStart w:id="602" w:name="_Toc127151748"/>
      <w:r/>
      <w:bookmarkStart w:id="603" w:name="_Toc226309791"/>
      <w:r/>
      <w:bookmarkStart w:id="604" w:name="_Toc150480785"/>
      <w:r/>
      <w:bookmarkStart w:id="605" w:name="_Toc151193717"/>
      <w:r/>
      <w:bookmarkStart w:id="606" w:name="_Toc164608816"/>
      <w:r/>
      <w:bookmarkStart w:id="607" w:name="_Toc226965820"/>
      <w:r/>
      <w:bookmarkStart w:id="608" w:name="_Toc264969237"/>
      <w:r/>
      <w:bookmarkStart w:id="609" w:name="_Toc305158815"/>
      <w:r/>
      <w:bookmarkStart w:id="610" w:name="_Toc151193935"/>
      <w:r/>
      <w:bookmarkStart w:id="611" w:name="_Toc164608661"/>
      <w:r/>
      <w:bookmarkStart w:id="612" w:name="_Toc150774647"/>
      <w:r/>
      <w:bookmarkStart w:id="613" w:name="_Toc150509298"/>
      <w:r>
        <w:rPr>
          <w:rFonts w:ascii="宋体" w:hAnsi="宋体" w:eastAsia="宋体"/>
          <w:sz w:val="24"/>
          <w:szCs w:val="24"/>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确定中标人</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前附表》。中标候选人并列的，按照《投标人须知前附表》要求确定</w:t>
      </w:r>
      <w:r>
        <w:rPr>
          <w:rFonts w:hint="eastAsia" w:ascii="宋体" w:hAnsi="宋体" w:eastAsia="宋体"/>
          <w:szCs w:val="21"/>
          <w:highlight w:val="none"/>
        </w:rPr>
        <w:t xml:space="preserve">中标</w:t>
      </w:r>
      <w:r>
        <w:rPr>
          <w:rFonts w:ascii="宋体" w:hAnsi="宋体" w:eastAsia="宋体"/>
          <w:szCs w:val="21"/>
          <w:highlight w:val="none"/>
        </w:rPr>
        <w:t xml:space="preserve">供应商。</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Start w:id="614" w:name="_Toc195842914"/>
      <w:r/>
      <w:bookmarkStart w:id="615" w:name="_Toc127161463"/>
      <w:r/>
      <w:bookmarkStart w:id="616" w:name="_Toc151193937"/>
      <w:r/>
      <w:bookmarkStart w:id="617" w:name="_Ref467306425"/>
      <w:r/>
      <w:bookmarkStart w:id="618" w:name="_Ref467307090"/>
      <w:r/>
      <w:bookmarkStart w:id="619" w:name="_Toc520356176"/>
      <w:r/>
      <w:bookmarkStart w:id="620" w:name="_Toc305158817"/>
      <w:r/>
      <w:bookmarkStart w:id="621" w:name="_Toc305158891"/>
      <w:r/>
      <w:bookmarkStart w:id="622" w:name="_Toc150774754"/>
      <w:r/>
      <w:bookmarkStart w:id="623" w:name="_Toc151193863"/>
      <w:r/>
      <w:bookmarkStart w:id="624" w:name="_Toc151193791"/>
      <w:r/>
      <w:bookmarkStart w:id="625" w:name="_Toc151193647"/>
      <w:r/>
      <w:bookmarkStart w:id="626" w:name="_Toc151190176"/>
      <w:r/>
      <w:bookmarkStart w:id="627" w:name="_Toc164351643"/>
      <w:r/>
      <w:bookmarkStart w:id="628" w:name="_Toc149720842"/>
      <w:r/>
      <w:bookmarkStart w:id="629" w:name="_Toc164229244"/>
      <w:r/>
      <w:bookmarkStart w:id="630" w:name="_Toc150774649"/>
      <w:r/>
      <w:bookmarkStart w:id="631" w:name="_Toc127151549"/>
      <w:r/>
      <w:bookmarkStart w:id="632" w:name="_Toc226309793"/>
      <w:r/>
      <w:bookmarkStart w:id="633" w:name="_Toc127151750"/>
      <w:r/>
      <w:bookmarkStart w:id="634" w:name="_Toc226337245"/>
      <w:r/>
      <w:bookmarkStart w:id="635" w:name="_Toc264969239"/>
      <w:r/>
      <w:bookmarkStart w:id="636" w:name="_Toc150480787"/>
      <w:r/>
      <w:bookmarkStart w:id="637" w:name="_Toc150509300"/>
      <w:r/>
      <w:bookmarkStart w:id="638" w:name="_Toc226965739"/>
      <w:r/>
      <w:bookmarkStart w:id="639" w:name="_Toc142311051"/>
      <w:r/>
      <w:bookmarkStart w:id="640" w:name="_Toc164608663"/>
      <w:r/>
      <w:bookmarkStart w:id="641" w:name="_Toc151193719"/>
      <w:r/>
      <w:bookmarkStart w:id="642" w:name="_Toc265228387"/>
      <w:r/>
      <w:bookmarkStart w:id="643" w:name="_Toc226965822"/>
      <w:r/>
      <w:bookmarkStart w:id="644" w:name="_Toc164229390"/>
      <w:r/>
      <w:bookmarkStart w:id="645" w:name="_Toc164608818"/>
      <w:r>
        <w:rPr>
          <w:rFonts w:ascii="宋体" w:hAnsi="宋体" w:eastAsia="宋体"/>
          <w:sz w:val="24"/>
          <w:highlight w:val="none"/>
        </w:rPr>
        <w:t xml:space="preserve">中标公告与中标通知书</w:t>
      </w:r>
      <w:bookmarkEnd w:id="620"/>
      <w:r/>
      <w:bookmarkEnd w:id="621"/>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采购人或采购代理机构自中标人确定之日起2个工作日内，</w:t>
      </w:r>
      <w:r>
        <w:rPr>
          <w:rFonts w:ascii="宋体" w:hAnsi="宋体" w:eastAsia="宋体"/>
          <w:szCs w:val="21"/>
          <w:highlight w:val="none"/>
        </w:rPr>
        <w:t xml:space="preserve">在苏州市政府采购网公告中标结果</w:t>
      </w:r>
      <w:r>
        <w:rPr>
          <w:rFonts w:ascii="宋体" w:hAnsi="宋体" w:eastAsia="宋体"/>
          <w:szCs w:val="21"/>
          <w:highlight w:val="none"/>
        </w:rPr>
        <w:t xml:space="preserve">，同时向中标人发出中标通知书，中标公告期限为1个工作日。</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废标</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在招标采购中，出现下列情形之一的，应予废标：</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符合专业条件的供应商或者对招标文件作实质响应的供应商不足三家的；</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出现影响采购公正的违法、违规行为的；</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投标人的报价均超过了采购预算，采购人不能支付的；</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因重大变故，采购任务取消的。</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废标后，采购人将废标理由通知所有投标人。</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End w:id="614"/>
      <w:r/>
      <w:bookmarkEnd w:id="615"/>
      <w:r/>
      <w:bookmarkEnd w:id="616"/>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Start w:id="646" w:name="_Toc226965740"/>
      <w:r/>
      <w:bookmarkStart w:id="647" w:name="_Toc150774755"/>
      <w:r/>
      <w:bookmarkStart w:id="648" w:name="_Toc149720843"/>
      <w:r/>
      <w:bookmarkStart w:id="649" w:name="_Toc151193864"/>
      <w:r/>
      <w:bookmarkStart w:id="650" w:name="_Ref467307062"/>
      <w:r/>
      <w:bookmarkStart w:id="651" w:name="_Toc150509301"/>
      <w:r/>
      <w:bookmarkStart w:id="652" w:name="_Toc195842915"/>
      <w:r/>
      <w:bookmarkStart w:id="653" w:name="_Toc164608819"/>
      <w:r/>
      <w:bookmarkStart w:id="654" w:name="_Toc127161464"/>
      <w:r/>
      <w:bookmarkStart w:id="655" w:name="_Toc226309794"/>
      <w:r/>
      <w:bookmarkStart w:id="656" w:name="_Toc151190177"/>
      <w:r/>
      <w:bookmarkStart w:id="657" w:name="_Toc164351644"/>
      <w:r/>
      <w:bookmarkStart w:id="658" w:name="_Toc151193938"/>
      <w:r/>
      <w:bookmarkStart w:id="659" w:name="_Toc520356175"/>
      <w:r/>
      <w:bookmarkStart w:id="660" w:name="_Toc305158818"/>
      <w:r/>
      <w:bookmarkStart w:id="661" w:name="_Toc151193792"/>
      <w:r/>
      <w:bookmarkStart w:id="662" w:name="_Toc151193648"/>
      <w:r/>
      <w:bookmarkStart w:id="663" w:name="_Toc142311052"/>
      <w:r/>
      <w:bookmarkStart w:id="664" w:name="_Toc127151751"/>
      <w:r/>
      <w:bookmarkStart w:id="665" w:name="_Toc151193720"/>
      <w:r/>
      <w:bookmarkStart w:id="666" w:name="_Toc226337246"/>
      <w:r/>
      <w:bookmarkStart w:id="667" w:name="_Toc264969240"/>
      <w:r/>
      <w:bookmarkStart w:id="668" w:name="_Ref467306978"/>
      <w:r/>
      <w:bookmarkStart w:id="669" w:name="_Toc226965823"/>
      <w:r/>
      <w:bookmarkStart w:id="670" w:name="_Toc305158892"/>
      <w:r/>
      <w:bookmarkStart w:id="671" w:name="_Toc150774650"/>
      <w:r/>
      <w:bookmarkStart w:id="672" w:name="_Toc150480788"/>
      <w:r/>
      <w:bookmarkStart w:id="673" w:name="_Toc164229391"/>
      <w:r/>
      <w:bookmarkStart w:id="674" w:name="_Toc127151550"/>
      <w:r/>
      <w:bookmarkStart w:id="675" w:name="_Toc164608664"/>
      <w:r/>
      <w:bookmarkStart w:id="676" w:name="_Toc265228388"/>
      <w:r/>
      <w:bookmarkStart w:id="677" w:name="_Ref467306377"/>
      <w:r/>
      <w:bookmarkStart w:id="678" w:name="_Ref467307204"/>
      <w:r/>
      <w:bookmarkStart w:id="679" w:name="_Toc164229245"/>
      <w:r>
        <w:rPr>
          <w:rFonts w:ascii="宋体" w:hAnsi="宋体" w:eastAsia="宋体"/>
          <w:sz w:val="24"/>
          <w:highlight w:val="none"/>
        </w:rPr>
        <w:t xml:space="preserve">签订合同</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中标人拒绝与采购人签订合同的，采购人可以按照评标报告推荐的中标候选人名单排序，确定下一候选人为中标人，也可以重新开展政府采购活动。</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联合体中标的，联合体各方应当共同与采购人签订合同，就中标项目向采购人承担连带责任。</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政府采购合同不能转包。</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w:t>
      </w:r>
      <w:r>
        <w:rPr>
          <w:rFonts w:ascii="宋体" w:hAnsi="宋体" w:eastAsia="宋体"/>
          <w:b/>
          <w:szCs w:val="21"/>
          <w:highlight w:val="none"/>
        </w:rPr>
        <w:t xml:space="preserve">，</w:t>
      </w:r>
      <w:r>
        <w:rPr>
          <w:rFonts w:ascii="宋体" w:hAnsi="宋体" w:eastAsia="宋体"/>
          <w:szCs w:val="21"/>
          <w:highlight w:val="none"/>
        </w:rPr>
        <w:t xml:space="preserve">否则</w:t>
      </w:r>
      <w:r>
        <w:rPr>
          <w:rFonts w:ascii="宋体" w:hAnsi="宋体" w:eastAsia="宋体"/>
          <w:b/>
          <w:szCs w:val="21"/>
          <w:highlight w:val="none"/>
        </w:rPr>
        <w:t xml:space="preserve">投标无效</w:t>
      </w:r>
      <w:r>
        <w:rPr>
          <w:rFonts w:ascii="宋体" w:hAnsi="宋体" w:eastAsia="宋体"/>
          <w:szCs w:val="21"/>
          <w:highlight w:val="none"/>
        </w:rPr>
        <w:t xml:space="preserve">。中标人就采购项目和分包项目向采购人负责，分包供应商就分包项目承担责任。</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bookmarkEnd w:id="617"/>
      <w:r/>
      <w:bookmarkEnd w:id="618"/>
      <w:r/>
      <w:bookmarkEnd w:id="619"/>
      <w:r>
        <w:rPr>
          <w:rFonts w:ascii="宋体" w:hAnsi="宋体" w:eastAsia="宋体"/>
          <w:sz w:val="24"/>
          <w:highlight w:val="none"/>
        </w:rPr>
        <w:t xml:space="preserve">询问与质疑</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询问</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投标人对政府采购活动事项有疑问的，可依法提出询问，并按《投标人须知前附表》载明的形式送达采购人或采购代理机构。</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采购人或采购代理机构对供应商依法提出的询问，在3个工作日内作出答复，但答复的内容不得涉及商业秘密。</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质疑</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质疑函须使用财政部制定的范本文件。</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投标人为自然人的，应当由本人签字；投标人为法人或者其他组织的，应当由法定代表人、主要负责人，或者其授权代表签字或者盖章，并加盖公章。</w:t>
      </w:r>
      <w:r>
        <w:rPr>
          <w:rFonts w:ascii="宋体" w:hAnsi="宋体" w:eastAsia="宋体"/>
          <w:szCs w:val="21"/>
          <w:highlight w:val="none"/>
        </w:rPr>
      </w:r>
      <w:r/>
    </w:p>
    <w:p>
      <w:pPr>
        <w:pStyle w:val="1073"/>
        <w:numPr>
          <w:ilvl w:val="2"/>
          <w:numId w:val="9"/>
        </w:numPr>
        <w:spacing w:line="360" w:lineRule="auto"/>
        <w:tabs>
          <w:tab w:val="left" w:pos="1980" w:leader="none"/>
        </w:tabs>
        <w:rPr>
          <w:rFonts w:ascii="宋体" w:hAnsi="宋体" w:eastAsia="宋体"/>
          <w:szCs w:val="21"/>
          <w:highlight w:val="none"/>
        </w:rPr>
      </w:pPr>
      <w:r>
        <w:rPr>
          <w:rFonts w:ascii="宋体" w:hAnsi="宋体" w:eastAsia="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ascii="宋体" w:hAnsi="宋体" w:eastAsia="宋体"/>
          <w:szCs w:val="21"/>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接收询问和质疑的联系部门、联系电话和通讯地址见《投标人须知前附表》。</w:t>
      </w:r>
      <w:r>
        <w:rPr>
          <w:rFonts w:ascii="宋体" w:hAnsi="宋体" w:eastAsia="宋体"/>
          <w:szCs w:val="21"/>
          <w:highlight w:val="none"/>
        </w:rPr>
      </w:r>
      <w:r/>
    </w:p>
    <w:p>
      <w:pPr>
        <w:pStyle w:val="1073"/>
        <w:numPr>
          <w:ilvl w:val="0"/>
          <w:numId w:val="9"/>
        </w:numPr>
        <w:ind w:left="357" w:hanging="357"/>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代理费</w:t>
      </w:r>
      <w:r>
        <w:rPr>
          <w:rFonts w:ascii="宋体" w:hAnsi="宋体" w:eastAsia="宋体"/>
          <w:sz w:val="24"/>
          <w:highlight w:val="none"/>
        </w:rPr>
      </w:r>
      <w:r/>
    </w:p>
    <w:p>
      <w:pPr>
        <w:pStyle w:val="1073"/>
        <w:numPr>
          <w:ilvl w:val="1"/>
          <w:numId w:val="9"/>
        </w:numPr>
        <w:ind w:left="1077" w:hanging="720"/>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收费对象、收费标准及缴纳时间见《投标人须知前附表》。</w:t>
      </w:r>
      <w:r>
        <w:rPr>
          <w:rFonts w:ascii="宋体" w:hAnsi="宋体" w:eastAsia="宋体"/>
          <w:szCs w:val="21"/>
          <w:highlight w:val="none"/>
        </w:rPr>
      </w:r>
      <w:r/>
    </w:p>
    <w:p>
      <w:pPr>
        <w:pStyle w:val="1073"/>
        <w:jc w:val="center"/>
        <w:spacing w:line="360" w:lineRule="auto"/>
        <w:rPr>
          <w:rFonts w:ascii="宋体" w:hAnsi="宋体" w:eastAsia="宋体"/>
          <w:b/>
          <w:sz w:val="36"/>
          <w:szCs w:val="36"/>
          <w:highlight w:val="none"/>
        </w:rPr>
        <w:outlineLvl w:val="0"/>
      </w:pPr>
      <w:r/>
      <w:bookmarkStart w:id="680" w:name="_Toc265228392"/>
      <w:r/>
      <w:bookmarkStart w:id="681" w:name="_Toc150480792"/>
      <w:r/>
      <w:bookmarkStart w:id="682" w:name="_Toc353873934"/>
      <w:r/>
      <w:bookmarkStart w:id="683" w:name="_Toc305158896"/>
      <w:r/>
      <w:bookmarkStart w:id="684" w:name="_Toc353873664"/>
      <w:r/>
      <w:bookmarkStart w:id="685" w:name="_Toc127151554"/>
      <w:r/>
      <w:bookmarkStart w:id="686" w:name="_Toc150774759"/>
      <w:r/>
      <w:bookmarkStart w:id="687" w:name="_Toc226965827"/>
      <w:r/>
      <w:bookmarkStart w:id="688" w:name="_Toc353825544"/>
      <w:r/>
      <w:bookmarkStart w:id="689" w:name="_Toc226337250"/>
      <w:r/>
      <w:bookmarkStart w:id="690" w:name="_Toc142311056"/>
      <w:r/>
      <w:bookmarkStart w:id="691" w:name="_Toc264969244"/>
      <w:r/>
      <w:bookmarkStart w:id="692" w:name="_Toc305158822"/>
      <w:r>
        <w:rPr>
          <w:rFonts w:ascii="宋体" w:hAnsi="宋体" w:eastAsia="宋体"/>
          <w:sz w:val="24"/>
          <w:highlight w:val="none"/>
        </w:rPr>
        <w:br w:type="page" w:clear="all"/>
      </w:r>
      <w:bookmarkStart w:id="693" w:name="_Toc99301421"/>
      <w:r/>
      <w:bookmarkStart w:id="694" w:name="_Toc143850220"/>
      <w:r>
        <w:rPr>
          <w:rFonts w:ascii="宋体" w:hAnsi="宋体" w:eastAsia="宋体"/>
          <w:b/>
          <w:sz w:val="36"/>
          <w:szCs w:val="36"/>
          <w:highlight w:val="none"/>
        </w:rPr>
        <w:t xml:space="preserve">第三章   </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ascii="宋体" w:hAnsi="宋体" w:eastAsia="宋体"/>
          <w:b/>
          <w:sz w:val="36"/>
          <w:szCs w:val="36"/>
          <w:highlight w:val="none"/>
        </w:rPr>
        <w:t xml:space="preserve">资格审查</w:t>
      </w:r>
      <w:bookmarkEnd w:id="693"/>
      <w:r/>
      <w:bookmarkEnd w:id="694"/>
      <w:r/>
      <w:bookmarkStart w:id="695" w:name="_Toc487900382"/>
      <w:r>
        <w:rPr>
          <w:rFonts w:ascii="宋体" w:hAnsi="宋体" w:eastAsia="宋体"/>
          <w:b/>
          <w:sz w:val="36"/>
          <w:szCs w:val="36"/>
          <w:highlight w:val="none"/>
        </w:rPr>
      </w:r>
      <w:r/>
    </w:p>
    <w:p>
      <w:pPr>
        <w:pStyle w:val="1073"/>
        <w:jc w:val="center"/>
        <w:spacing w:line="360" w:lineRule="auto"/>
        <w:tabs>
          <w:tab w:val="left" w:pos="360" w:leader="none"/>
          <w:tab w:val="left" w:pos="900" w:leader="none"/>
        </w:tabs>
        <w:rPr>
          <w:rFonts w:ascii="宋体" w:hAnsi="宋体" w:eastAsia="宋体"/>
          <w:b/>
          <w:sz w:val="24"/>
          <w:highlight w:val="none"/>
        </w:rPr>
        <w:outlineLvl w:val="1"/>
      </w:pPr>
      <w:r/>
      <w:bookmarkStart w:id="696" w:name="_Toc99301422"/>
      <w:r>
        <w:rPr>
          <w:rFonts w:ascii="宋体" w:hAnsi="宋体" w:eastAsia="宋体"/>
          <w:b/>
          <w:sz w:val="24"/>
          <w:highlight w:val="none"/>
        </w:rPr>
        <w:t xml:space="preserve">一、资格审查程序</w:t>
      </w:r>
      <w:bookmarkEnd w:id="696"/>
      <w:r>
        <w:rPr>
          <w:rFonts w:ascii="宋体" w:hAnsi="宋体" w:eastAsia="宋体"/>
          <w:b/>
          <w:sz w:val="24"/>
          <w:highlight w:val="none"/>
        </w:rPr>
      </w:r>
      <w:r/>
    </w:p>
    <w:p>
      <w:pPr>
        <w:pStyle w:val="1073"/>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开标结束后，</w:t>
      </w:r>
      <w:r>
        <w:rPr>
          <w:rFonts w:hint="eastAsia" w:ascii="宋体" w:hAnsi="宋体" w:eastAsia="宋体"/>
          <w:szCs w:val="21"/>
          <w:highlight w:val="none"/>
        </w:rPr>
        <w:t xml:space="preserve">采购人代表或采购代理机构</w:t>
      </w:r>
      <w:r>
        <w:rPr>
          <w:rFonts w:ascii="宋体" w:hAnsi="宋体" w:eastAsia="宋体"/>
          <w:szCs w:val="21"/>
          <w:highlight w:val="none"/>
        </w:rPr>
        <w:t xml:space="preserve">将根据《资格审查要求》中的规定，对投标人进行资格审查，并形成资格审查结果。</w:t>
      </w:r>
      <w:r>
        <w:rPr>
          <w:rFonts w:ascii="宋体" w:hAnsi="宋体" w:eastAsia="宋体"/>
          <w:szCs w:val="21"/>
          <w:highlight w:val="none"/>
        </w:rPr>
      </w:r>
      <w:r/>
    </w:p>
    <w:p>
      <w:pPr>
        <w:pStyle w:val="1073"/>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《资格审查要求》中对格式有要求的，除招标文件另有规定外，均为“实质性格式”文件。</w:t>
      </w:r>
      <w:r>
        <w:rPr>
          <w:rFonts w:ascii="宋体" w:hAnsi="宋体" w:eastAsia="宋体"/>
          <w:szCs w:val="21"/>
          <w:highlight w:val="none"/>
        </w:rPr>
      </w:r>
      <w:r/>
    </w:p>
    <w:p>
      <w:pPr>
        <w:pStyle w:val="1073"/>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投标人《资格证明文件》有任何一项不符合《资格审查要求》的，资格审查不合格，其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numPr>
          <w:ilvl w:val="0"/>
          <w:numId w:val="12"/>
        </w:numPr>
        <w:ind w:left="426" w:hanging="426"/>
        <w:spacing w:line="360" w:lineRule="auto"/>
        <w:tabs>
          <w:tab w:val="left" w:pos="426" w:leader="none"/>
          <w:tab w:val="left" w:pos="851" w:leader="none"/>
        </w:tabs>
        <w:rPr>
          <w:rFonts w:ascii="宋体" w:hAnsi="宋体" w:eastAsia="宋体"/>
          <w:szCs w:val="21"/>
          <w:highlight w:val="none"/>
        </w:rPr>
        <w:outlineLvl w:val="1"/>
      </w:pPr>
      <w:r>
        <w:rPr>
          <w:rFonts w:ascii="宋体" w:hAnsi="宋体" w:eastAsia="宋体"/>
          <w:szCs w:val="21"/>
          <w:highlight w:val="none"/>
        </w:rPr>
        <w:t xml:space="preserve">资格审查合格的投标人不足3家的，不进行评标。</w:t>
      </w:r>
      <w:r>
        <w:rPr>
          <w:rFonts w:ascii="宋体" w:hAnsi="宋体" w:eastAsia="宋体"/>
          <w:szCs w:val="21"/>
          <w:highlight w:val="none"/>
        </w:rPr>
      </w:r>
      <w:r/>
    </w:p>
    <w:p>
      <w:pPr>
        <w:pStyle w:val="1073"/>
        <w:jc w:val="center"/>
        <w:spacing w:line="360" w:lineRule="auto"/>
        <w:tabs>
          <w:tab w:val="left" w:pos="360" w:leader="none"/>
          <w:tab w:val="left" w:pos="900" w:leader="none"/>
        </w:tabs>
        <w:rPr>
          <w:rFonts w:ascii="宋体" w:hAnsi="宋体" w:eastAsia="宋体"/>
          <w:b/>
          <w:sz w:val="24"/>
          <w:highlight w:val="none"/>
        </w:rPr>
        <w:outlineLvl w:val="1"/>
      </w:pPr>
      <w:r>
        <w:rPr>
          <w:rFonts w:ascii="宋体" w:hAnsi="宋体" w:eastAsia="宋体"/>
          <w:b/>
          <w:sz w:val="24"/>
          <w:highlight w:val="none"/>
        </w:rPr>
        <w:t xml:space="preserve">二、资格审查要求</w:t>
      </w:r>
      <w:r>
        <w:rPr>
          <w:rFonts w:ascii="宋体" w:hAnsi="宋体" w:eastAsia="宋体"/>
          <w:b/>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97"/>
        <w:gridCol w:w="4707"/>
        <w:gridCol w:w="1346"/>
      </w:tblGrid>
      <w:tr>
        <w:trPr>
          <w:cantSplit/>
          <w:trHeight w:val="468"/>
          <w:tblHeader/>
        </w:trPr>
        <w:tc>
          <w:tcPr>
            <w:tcW w:w="846" w:type="dxa"/>
            <w:vAlign w:val="center"/>
            <w:textDirection w:val="lrTb"/>
            <w:noWrap w:val="false"/>
          </w:tcPr>
          <w:p>
            <w:pPr>
              <w:pStyle w:val="1073"/>
              <w:jc w:val="center"/>
              <w:tabs>
                <w:tab w:val="left" w:pos="1080" w:leader="none"/>
              </w:tabs>
              <w:rPr>
                <w:rFonts w:ascii="宋体" w:hAnsi="宋体" w:eastAsia="宋体"/>
                <w:b/>
                <w:szCs w:val="21"/>
                <w:highlight w:val="none"/>
              </w:rPr>
            </w:pPr>
            <w:r/>
            <w:bookmarkStart w:id="697" w:name="_Hlt487972895"/>
            <w:r/>
            <w:bookmarkEnd w:id="697"/>
            <w:r>
              <w:rPr>
                <w:rFonts w:ascii="宋体" w:hAnsi="宋体" w:eastAsia="宋体"/>
                <w:b/>
                <w:szCs w:val="21"/>
                <w:highlight w:val="none"/>
              </w:rPr>
              <w:t xml:space="preserve">序号</w:t>
            </w:r>
            <w:r>
              <w:rPr>
                <w:rFonts w:ascii="宋体" w:hAnsi="宋体" w:eastAsia="宋体"/>
                <w:b/>
                <w:szCs w:val="21"/>
                <w:highlight w:val="none"/>
              </w:rPr>
            </w:r>
            <w:r/>
          </w:p>
        </w:tc>
        <w:tc>
          <w:tcPr>
            <w:tcW w:w="2097" w:type="dxa"/>
            <w:vAlign w:val="center"/>
            <w:textDirection w:val="lrTb"/>
            <w:noWrap w:val="false"/>
          </w:tcPr>
          <w:p>
            <w:pPr>
              <w:pStyle w:val="1073"/>
              <w:jc w:val="center"/>
              <w:tabs>
                <w:tab w:val="left" w:pos="1080" w:leader="none"/>
              </w:tabs>
              <w:rPr>
                <w:rFonts w:ascii="宋体" w:hAnsi="宋体" w:eastAsia="宋体"/>
                <w:b/>
                <w:szCs w:val="21"/>
                <w:highlight w:val="none"/>
              </w:rPr>
            </w:pPr>
            <w:r>
              <w:rPr>
                <w:rFonts w:ascii="宋体" w:hAnsi="宋体" w:eastAsia="宋体"/>
                <w:b/>
                <w:szCs w:val="21"/>
                <w:highlight w:val="none"/>
              </w:rPr>
              <w:t xml:space="preserve">审查因素</w:t>
            </w:r>
            <w:r>
              <w:rPr>
                <w:rFonts w:ascii="宋体" w:hAnsi="宋体" w:eastAsia="宋体"/>
                <w:b/>
                <w:szCs w:val="21"/>
                <w:highlight w:val="none"/>
              </w:rPr>
            </w:r>
            <w:r/>
          </w:p>
        </w:tc>
        <w:tc>
          <w:tcPr>
            <w:tcW w:w="4707" w:type="dxa"/>
            <w:vAlign w:val="center"/>
            <w:textDirection w:val="lrTb"/>
            <w:noWrap w:val="false"/>
          </w:tcPr>
          <w:p>
            <w:pPr>
              <w:pStyle w:val="1073"/>
              <w:jc w:val="center"/>
              <w:tabs>
                <w:tab w:val="left" w:pos="1080" w:leader="none"/>
              </w:tabs>
              <w:rPr>
                <w:rFonts w:ascii="宋体" w:hAnsi="宋体" w:eastAsia="宋体"/>
                <w:b/>
                <w:szCs w:val="21"/>
                <w:highlight w:val="none"/>
              </w:rPr>
            </w:pPr>
            <w:r>
              <w:rPr>
                <w:rFonts w:ascii="宋体" w:hAnsi="宋体" w:eastAsia="宋体"/>
                <w:b/>
                <w:szCs w:val="21"/>
                <w:highlight w:val="none"/>
              </w:rPr>
              <w:t xml:space="preserve">审查内容</w:t>
            </w:r>
            <w:r>
              <w:rPr>
                <w:rFonts w:ascii="宋体" w:hAnsi="宋体" w:eastAsia="宋体"/>
                <w:b/>
                <w:szCs w:val="21"/>
                <w:highlight w:val="none"/>
              </w:rPr>
            </w:r>
            <w:r/>
          </w:p>
        </w:tc>
        <w:tc>
          <w:tcPr>
            <w:tcW w:w="1346" w:type="dxa"/>
            <w:vAlign w:val="center"/>
            <w:textDirection w:val="lrTb"/>
            <w:noWrap w:val="false"/>
          </w:tcPr>
          <w:p>
            <w:pPr>
              <w:pStyle w:val="1073"/>
              <w:jc w:val="center"/>
              <w:tabs>
                <w:tab w:val="left" w:pos="1080" w:leader="none"/>
              </w:tabs>
              <w:rPr>
                <w:rFonts w:ascii="宋体" w:hAnsi="宋体" w:eastAsia="宋体"/>
                <w:b/>
                <w:szCs w:val="21"/>
                <w:highlight w:val="none"/>
              </w:rPr>
            </w:pPr>
            <w:r>
              <w:rPr>
                <w:rFonts w:ascii="宋体" w:hAnsi="宋体" w:eastAsia="宋体"/>
                <w:b/>
                <w:szCs w:val="21"/>
                <w:highlight w:val="none"/>
              </w:rPr>
              <w:t xml:space="preserve">格式要求</w:t>
            </w:r>
            <w:r>
              <w:rPr>
                <w:rFonts w:ascii="宋体" w:hAnsi="宋体" w:eastAsia="宋体"/>
                <w:b/>
                <w:szCs w:val="21"/>
                <w:highlight w:val="none"/>
              </w:rPr>
            </w:r>
            <w:r/>
          </w:p>
        </w:tc>
      </w:tr>
      <w:tr>
        <w:trPr>
          <w:cantSplit/>
          <w:trHeight w:val="1407"/>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1</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满足《中华人民共和国政府采购法》第二十二条规定及法律法规的其他规定</w:t>
            </w:r>
            <w:r>
              <w:rPr>
                <w:rFonts w:ascii="宋体" w:hAnsi="宋体" w:eastAsia="宋体"/>
                <w:szCs w:val="21"/>
                <w:highlight w:val="none"/>
              </w:rPr>
            </w:r>
            <w:r/>
          </w:p>
        </w:tc>
        <w:tc>
          <w:tcPr>
            <w:tcW w:w="470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具体规定见第一章《招标公告》</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r>
            <w:r/>
          </w:p>
        </w:tc>
      </w:tr>
      <w:tr>
        <w:trPr>
          <w:trHeight w:val="1566"/>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1-1</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营业执照等资格证明文件</w:t>
            </w:r>
            <w:r>
              <w:rPr>
                <w:rFonts w:ascii="宋体" w:hAnsi="宋体" w:eastAsia="宋体"/>
                <w:szCs w:val="21"/>
                <w:highlight w:val="none"/>
              </w:rPr>
            </w:r>
            <w:r/>
          </w:p>
        </w:tc>
        <w:tc>
          <w:tcPr>
            <w:tcW w:w="4707" w:type="dxa"/>
            <w:vAlign w:val="center"/>
            <w:textDirection w:val="lrTb"/>
            <w:noWrap w:val="false"/>
          </w:tcPr>
          <w:p>
            <w:pPr>
              <w:pStyle w:val="1073"/>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1、提供法人或者其他组织的营业执照等证明文件，自然人的身份证明；</w:t>
            </w:r>
            <w:r>
              <w:rPr>
                <w:rFonts w:ascii="宋体" w:hAnsi="宋体" w:eastAsia="宋体"/>
                <w:szCs w:val="21"/>
                <w:highlight w:val="none"/>
              </w:rPr>
            </w:r>
            <w:r/>
          </w:p>
          <w:p>
            <w:pPr>
              <w:pStyle w:val="1073"/>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2、</w:t>
            </w:r>
            <w:r>
              <w:rPr>
                <w:rFonts w:hint="eastAsia" w:eastAsia="宋体"/>
                <w:highlight w:val="none"/>
                <w:lang w:val="zh-CN" w:eastAsia="zh-CN"/>
              </w:rPr>
              <w:t xml:space="preserve">提供包括但不限于最近一期</w:t>
            </w:r>
            <w:r>
              <w:rPr>
                <w:rFonts w:hint="eastAsia" w:eastAsia="宋体"/>
                <w:highlight w:val="none"/>
                <w:lang w:val="en-US" w:eastAsia="zh-CN"/>
              </w:rPr>
              <w:t xml:space="preserve">（2024年</w:t>
            </w:r>
            <w:r>
              <w:rPr>
                <w:rFonts w:hint="eastAsia" w:eastAsia="宋体"/>
                <w:highlight w:val="none"/>
                <w:lang w:val="en-US"/>
              </w:rPr>
              <w:t xml:space="preserve">度</w:t>
            </w:r>
            <w:r>
              <w:rPr>
                <w:rFonts w:hint="eastAsia" w:eastAsia="宋体"/>
                <w:highlight w:val="none"/>
                <w:lang w:val="en-US" w:eastAsia="zh-CN"/>
              </w:rPr>
              <w:t xml:space="preserve">或2025年度）</w:t>
            </w:r>
            <w:r>
              <w:rPr>
                <w:rFonts w:hint="eastAsia" w:eastAsia="宋体"/>
                <w:highlight w:val="none"/>
                <w:lang w:val="zh-CN" w:eastAsia="zh-CN"/>
              </w:rPr>
              <w:t xml:space="preserve">经审计的财务报告或最近一期财务报表（</w:t>
            </w:r>
            <w:r>
              <w:rPr>
                <w:rFonts w:hint="eastAsia" w:eastAsia="宋体"/>
                <w:highlight w:val="none"/>
                <w:lang w:val="en-US" w:eastAsia="zh-CN"/>
              </w:rPr>
              <w:t xml:space="preserve">至少包含</w:t>
            </w:r>
            <w:r>
              <w:rPr>
                <w:rFonts w:hint="eastAsia" w:eastAsia="宋体"/>
                <w:highlight w:val="none"/>
                <w:lang w:val="zh-CN" w:eastAsia="zh-CN"/>
              </w:rPr>
              <w:t xml:space="preserve">资产负债表</w:t>
            </w:r>
            <w:r>
              <w:rPr>
                <w:rFonts w:hint="eastAsia" w:eastAsia="宋体"/>
                <w:highlight w:val="none"/>
                <w:lang w:val="en-US" w:eastAsia="zh-CN"/>
              </w:rPr>
              <w:t xml:space="preserve">和</w:t>
            </w:r>
            <w:r>
              <w:rPr>
                <w:rFonts w:hint="eastAsia" w:eastAsia="宋体"/>
                <w:highlight w:val="none"/>
                <w:lang w:val="zh-CN" w:eastAsia="zh-CN"/>
              </w:rPr>
              <w:t xml:space="preserve">利润表），其他组织、自然人及成立未满一年的法人应提供银行出具的资信证明</w:t>
            </w:r>
            <w:r>
              <w:rPr>
                <w:rFonts w:ascii="宋体" w:hAnsi="宋体" w:eastAsia="宋体"/>
                <w:szCs w:val="21"/>
                <w:highlight w:val="none"/>
              </w:rPr>
              <w:t xml:space="preserve">。</w:t>
            </w:r>
            <w:r>
              <w:rPr>
                <w:rFonts w:ascii="宋体" w:hAnsi="宋体" w:eastAsia="宋体"/>
                <w:szCs w:val="21"/>
                <w:highlight w:val="none"/>
              </w:rPr>
            </w:r>
            <w:r/>
          </w:p>
          <w:p>
            <w:pPr>
              <w:pStyle w:val="1073"/>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3、提供履行合同所必需的设备和专业技术能力</w:t>
            </w: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按</w:t>
            </w:r>
            <w:r>
              <w:rPr>
                <w:rFonts w:ascii="宋体" w:hAnsi="宋体" w:eastAsia="宋体"/>
                <w:szCs w:val="21"/>
                <w:highlight w:val="none"/>
              </w:rPr>
              <w:t xml:space="preserve">本项目的特定资格要求</w:t>
            </w:r>
            <w:r>
              <w:rPr>
                <w:rFonts w:hint="eastAsia" w:ascii="宋体" w:hAnsi="宋体" w:eastAsia="宋体"/>
                <w:szCs w:val="21"/>
                <w:highlight w:val="none"/>
                <w:lang w:val="en-US" w:eastAsia="zh-CN"/>
              </w:rPr>
              <w:t xml:space="preserve">提供证明材料）</w:t>
            </w:r>
            <w:r>
              <w:rPr>
                <w:rFonts w:ascii="宋体" w:hAnsi="宋体" w:eastAsia="宋体"/>
                <w:szCs w:val="21"/>
                <w:highlight w:val="none"/>
              </w:rPr>
              <w:t xml:space="preserve">；</w:t>
            </w:r>
            <w:r>
              <w:rPr>
                <w:rFonts w:ascii="宋体" w:hAnsi="宋体" w:eastAsia="宋体"/>
                <w:szCs w:val="21"/>
                <w:highlight w:val="none"/>
              </w:rPr>
            </w:r>
            <w:r/>
          </w:p>
          <w:p>
            <w:pPr>
              <w:pStyle w:val="1073"/>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4、</w:t>
            </w:r>
            <w:r>
              <w:rPr>
                <w:rFonts w:hint="eastAsia" w:ascii="宋体" w:hAnsi="宋体" w:eastAsia="宋体"/>
                <w:szCs w:val="21"/>
                <w:highlight w:val="none"/>
                <w:lang w:val="zh-CN" w:eastAsia="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eastAsia="宋体"/>
                <w:szCs w:val="21"/>
                <w:highlight w:val="none"/>
              </w:rPr>
              <w:t xml:space="preserve">。</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hint="eastAsia" w:ascii="宋体" w:hAnsi="宋体" w:eastAsia="宋体"/>
                <w:szCs w:val="21"/>
                <w:highlight w:val="none"/>
              </w:rPr>
            </w:pPr>
            <w:r>
              <w:rPr>
                <w:rFonts w:ascii="宋体" w:hAnsi="宋体" w:eastAsia="宋体"/>
                <w:szCs w:val="21"/>
                <w:highlight w:val="none"/>
              </w:rPr>
              <w:t xml:space="preserve">提供证明文件</w:t>
            </w:r>
            <w:r>
              <w:rPr>
                <w:rFonts w:hint="eastAsia" w:ascii="宋体" w:hAnsi="宋体" w:eastAsia="宋体"/>
                <w:szCs w:val="21"/>
                <w:highlight w:val="none"/>
              </w:rPr>
              <w:t xml:space="preserve">扫描件</w:t>
            </w:r>
            <w:r>
              <w:rPr>
                <w:rFonts w:hint="eastAsia" w:ascii="宋体" w:hAnsi="宋体" w:eastAsia="宋体"/>
                <w:szCs w:val="21"/>
                <w:highlight w:val="none"/>
              </w:rPr>
            </w:r>
            <w:r/>
          </w:p>
        </w:tc>
      </w:tr>
      <w:tr>
        <w:trPr>
          <w:trHeight w:val="2681"/>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1-2</w:t>
            </w:r>
            <w:r>
              <w:rPr>
                <w:rFonts w:ascii="宋体" w:hAnsi="宋体" w:eastAsia="宋体"/>
                <w:szCs w:val="21"/>
                <w:highlight w:val="none"/>
              </w:rPr>
            </w:r>
            <w:r/>
          </w:p>
        </w:tc>
        <w:tc>
          <w:tcPr>
            <w:gridSpan w:val="2"/>
            <w:tcW w:w="6804" w:type="dxa"/>
            <w:vAlign w:val="center"/>
            <w:textDirection w:val="lrTb"/>
            <w:noWrap w:val="false"/>
          </w:tcPr>
          <w:p>
            <w:pPr>
              <w:pStyle w:val="1073"/>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提供参加本次政府采购活动前3年内在经营活动中没有重大违法记录的书面声明</w:t>
            </w:r>
            <w:r>
              <w:rPr>
                <w:rFonts w:hint="eastAsia" w:ascii="宋体" w:hAnsi="宋体" w:eastAsia="宋体"/>
                <w:szCs w:val="21"/>
                <w:highlight w:val="none"/>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格式见《投标文件格式》</w:t>
            </w:r>
            <w:r>
              <w:rPr>
                <w:rFonts w:ascii="宋体" w:hAnsi="宋体" w:eastAsia="宋体"/>
                <w:szCs w:val="21"/>
                <w:highlight w:val="none"/>
              </w:rPr>
            </w:r>
            <w:r/>
          </w:p>
        </w:tc>
      </w:tr>
      <w:tr>
        <w:trPr>
          <w:trHeight w:val="9580"/>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1-3</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投标人信用记录</w:t>
            </w:r>
            <w:r>
              <w:rPr>
                <w:rFonts w:ascii="宋体" w:hAnsi="宋体" w:eastAsia="宋体"/>
                <w:szCs w:val="21"/>
                <w:highlight w:val="none"/>
              </w:rPr>
            </w:r>
            <w:r/>
          </w:p>
        </w:tc>
        <w:tc>
          <w:tcPr>
            <w:tcW w:w="4707" w:type="dxa"/>
            <w:vAlign w:val="center"/>
            <w:textDirection w:val="lrTb"/>
            <w:noWrap w:val="false"/>
          </w:tcPr>
          <w:p>
            <w:pPr>
              <w:pStyle w:val="1073"/>
              <w:spacing w:line="360" w:lineRule="auto"/>
              <w:tabs>
                <w:tab w:val="left" w:pos="1080" w:leader="none"/>
              </w:tabs>
              <w:rPr>
                <w:rFonts w:hint="eastAsia" w:ascii="宋体" w:hAnsi="宋体" w:eastAsia="宋体"/>
                <w:szCs w:val="21"/>
                <w:highlight w:val="none"/>
              </w:rPr>
            </w:pPr>
            <w:r>
              <w:rPr>
                <w:rFonts w:hint="eastAsia" w:ascii="宋体" w:hAnsi="宋体" w:eastAsia="宋体"/>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szCs w:val="21"/>
                <w:highlight w:val="none"/>
              </w:rPr>
            </w:r>
            <w:r/>
          </w:p>
          <w:p>
            <w:pPr>
              <w:pStyle w:val="1073"/>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查询渠道：通过信用中国查询供应商的信用记录。</w:t>
            </w:r>
            <w:r>
              <w:rPr>
                <w:rFonts w:ascii="宋体" w:hAnsi="宋体" w:eastAsia="宋体"/>
                <w:szCs w:val="21"/>
                <w:highlight w:val="none"/>
              </w:rPr>
            </w:r>
            <w:r/>
          </w:p>
          <w:p>
            <w:pPr>
              <w:pStyle w:val="1073"/>
              <w:spacing w:line="360" w:lineRule="auto"/>
              <w:tabs>
                <w:tab w:val="left" w:pos="900" w:leader="none"/>
                <w:tab w:val="left" w:pos="1980" w:leader="none"/>
              </w:tabs>
              <w:rPr>
                <w:rFonts w:ascii="宋体" w:hAnsi="宋体" w:eastAsia="宋体"/>
                <w:szCs w:val="21"/>
                <w:highlight w:val="none"/>
              </w:rPr>
            </w:pPr>
            <w:r>
              <w:rPr>
                <w:rFonts w:ascii="宋体" w:hAnsi="宋体" w:eastAsia="宋体"/>
                <w:szCs w:val="21"/>
                <w:highlight w:val="none"/>
              </w:rPr>
              <w:t xml:space="preserve">截止时点：投标截止时间以后、资格审查阶段采购人或采购代理机构的实际查询时间。</w:t>
            </w:r>
            <w:r>
              <w:rPr>
                <w:rFonts w:ascii="宋体" w:hAnsi="宋体" w:eastAsia="宋体"/>
                <w:szCs w:val="21"/>
                <w:highlight w:val="none"/>
              </w:rPr>
            </w:r>
            <w:r/>
          </w:p>
          <w:p>
            <w:pPr>
              <w:pStyle w:val="1073"/>
              <w:spacing w:line="360" w:lineRule="auto"/>
              <w:tabs>
                <w:tab w:val="left" w:pos="900" w:leader="none"/>
                <w:tab w:val="left" w:pos="1980" w:leader="none"/>
              </w:tabs>
              <w:rPr>
                <w:rFonts w:ascii="宋体" w:hAnsi="宋体" w:eastAsia="宋体"/>
                <w:szCs w:val="21"/>
                <w:highlight w:val="none"/>
              </w:rPr>
            </w:pPr>
            <w:r>
              <w:rPr>
                <w:rFonts w:ascii="宋体" w:hAnsi="宋体" w:eastAsia="宋体"/>
                <w:szCs w:val="21"/>
                <w:highlight w:val="none"/>
              </w:rPr>
              <w:t xml:space="preserve">信用信息查询记录和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eastAsia="宋体"/>
                <w:szCs w:val="21"/>
                <w:highlight w:val="none"/>
              </w:rPr>
            </w:r>
            <w:r/>
          </w:p>
          <w:p>
            <w:pPr>
              <w:pStyle w:val="1073"/>
              <w:spacing w:line="360" w:lineRule="auto"/>
              <w:tabs>
                <w:tab w:val="left" w:pos="1080" w:leader="none"/>
              </w:tabs>
              <w:rPr>
                <w:rFonts w:ascii="宋体" w:hAnsi="宋体" w:eastAsia="宋体"/>
                <w:szCs w:val="21"/>
                <w:highlight w:val="none"/>
              </w:rPr>
            </w:pPr>
            <w:r>
              <w:rPr>
                <w:rFonts w:ascii="宋体" w:hAnsi="宋体" w:eastAsia="宋体"/>
                <w:szCs w:val="21"/>
                <w:highlight w:val="none"/>
              </w:rPr>
              <w:t xml:space="preserve">信用信息的使用原则：经认定的被列入失信被执行人、重大税收违法案件当事人名单、政府采购严重违法失信行为记录名单的投标人，其</w:t>
            </w:r>
            <w:r>
              <w:rPr>
                <w:rFonts w:ascii="宋体" w:hAnsi="宋体" w:eastAsia="宋体"/>
                <w:b/>
                <w:szCs w:val="21"/>
                <w:highlight w:val="none"/>
              </w:rPr>
              <w:t xml:space="preserve">投标无效</w:t>
            </w:r>
            <w:r>
              <w:rPr>
                <w:rFonts w:ascii="宋体" w:hAnsi="宋体" w:eastAsia="宋体"/>
                <w:szCs w:val="21"/>
                <w:highlight w:val="none"/>
              </w:rPr>
              <w:t xml:space="preserve">。联合体形式投标的，联合体成员存在不良信用记录，视同联合体存在不良信用记录。</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无须投标人提供，由采购人或采购代理机构查询。</w:t>
            </w:r>
            <w:r>
              <w:rPr>
                <w:rFonts w:ascii="宋体" w:hAnsi="宋体" w:eastAsia="宋体"/>
                <w:szCs w:val="21"/>
                <w:highlight w:val="none"/>
              </w:rPr>
            </w:r>
            <w:r/>
          </w:p>
        </w:tc>
      </w:tr>
      <w:tr>
        <w:trPr>
          <w:cantSplit/>
          <w:trHeight w:val="2959"/>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2</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落实政府采购政策需满足的资格要求</w:t>
            </w:r>
            <w:r>
              <w:rPr>
                <w:rFonts w:ascii="宋体" w:hAnsi="宋体" w:eastAsia="宋体"/>
                <w:szCs w:val="21"/>
                <w:highlight w:val="none"/>
              </w:rPr>
            </w:r>
            <w:r/>
          </w:p>
        </w:tc>
        <w:tc>
          <w:tcPr>
            <w:tcW w:w="4707" w:type="dxa"/>
            <w:vAlign w:val="center"/>
            <w:textDirection w:val="lrTb"/>
            <w:noWrap w:val="false"/>
          </w:tcPr>
          <w:p>
            <w:pPr>
              <w:pStyle w:val="1073"/>
              <w:spacing w:line="360" w:lineRule="auto"/>
              <w:tabs>
                <w:tab w:val="left" w:pos="1080" w:leader="none"/>
              </w:tabs>
              <w:rPr>
                <w:rFonts w:ascii="宋体" w:hAnsi="宋体" w:eastAsia="宋体"/>
                <w:szCs w:val="21"/>
                <w:highlight w:val="none"/>
              </w:rPr>
            </w:pPr>
            <w:r>
              <w:rPr>
                <w:rFonts w:hint="eastAsia" w:ascii="宋体" w:hAnsi="宋体" w:eastAsia="宋体" w:cs="宋体"/>
                <w:szCs w:val="21"/>
                <w:highlight w:val="none"/>
              </w:rPr>
              <w:t xml:space="preserve">根据《政府采购促进中小企业发展管理办法》、苏财购【2022】16号《苏州市政府采购促进中小企业发展实施意见》文件的相关规定，本项目专门面向中小企业，所属行业为</w:t>
            </w:r>
            <w:r>
              <w:rPr>
                <w:rFonts w:hint="eastAsia" w:ascii="宋体" w:hAnsi="宋体" w:eastAsia="宋体" w:cs="宋体"/>
                <w:b/>
                <w:bCs/>
                <w:szCs w:val="21"/>
                <w:highlight w:val="none"/>
              </w:rPr>
              <w:t xml:space="preserve">（十二）软件和信息技术服务业</w:t>
            </w:r>
            <w:r>
              <w:rPr>
                <w:rFonts w:hint="eastAsia" w:ascii="宋体" w:hAnsi="宋体" w:eastAsia="宋体" w:cs="宋体"/>
                <w:szCs w:val="21"/>
                <w:highlight w:val="none"/>
              </w:rPr>
              <w:t xml:space="preserve">，投标（响应）供应商应为中型、小型、微型企业或监狱企业或残疾人福利性单位。</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r>
            <w:r/>
          </w:p>
        </w:tc>
      </w:tr>
      <w:tr>
        <w:trPr>
          <w:cantSplit/>
          <w:trHeight w:val="8021"/>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2-1</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中小企业声明函</w:t>
            </w:r>
            <w:r>
              <w:rPr>
                <w:rFonts w:ascii="宋体" w:hAnsi="宋体" w:eastAsia="宋体"/>
                <w:szCs w:val="21"/>
                <w:highlight w:val="none"/>
              </w:rPr>
            </w:r>
            <w:r/>
          </w:p>
        </w:tc>
        <w:tc>
          <w:tcPr>
            <w:tcW w:w="4707" w:type="dxa"/>
            <w:vAlign w:val="center"/>
            <w:textDirection w:val="lrTb"/>
            <w:noWrap w:val="false"/>
          </w:tcPr>
          <w:p>
            <w:pPr>
              <w:pStyle w:val="1073"/>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本项目专门面向中小企业采购，应在《资格证明文件》中提供。</w:t>
            </w:r>
            <w:r>
              <w:rPr>
                <w:rFonts w:ascii="宋体" w:hAnsi="宋体" w:eastAsia="宋体" w:cs="宋体"/>
                <w:szCs w:val="21"/>
                <w:highlight w:val="none"/>
              </w:rPr>
            </w:r>
            <w:r/>
          </w:p>
          <w:p>
            <w:pPr>
              <w:pStyle w:val="1073"/>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rPr>
                <w:rFonts w:ascii="宋体" w:hAnsi="宋体" w:eastAsia="宋体" w:cs="宋体"/>
                <w:szCs w:val="21"/>
                <w:highlight w:val="none"/>
              </w:rPr>
            </w:r>
            <w:r/>
          </w:p>
          <w:p>
            <w:pPr>
              <w:pStyle w:val="1073"/>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eastAsia="宋体" w:cs="宋体"/>
                <w:szCs w:val="21"/>
                <w:highlight w:val="none"/>
              </w:rPr>
            </w:r>
            <w:r/>
          </w:p>
          <w:p>
            <w:pPr>
              <w:pStyle w:val="1073"/>
              <w:spacing w:line="360" w:lineRule="auto"/>
              <w:tabs>
                <w:tab w:val="left" w:pos="1080" w:leader="none"/>
              </w:tabs>
              <w:rPr>
                <w:rFonts w:ascii="宋体" w:hAnsi="宋体" w:eastAsia="宋体" w:cs="宋体"/>
                <w:szCs w:val="21"/>
                <w:highlight w:val="none"/>
              </w:rPr>
            </w:pPr>
            <w:r>
              <w:rPr>
                <w:rFonts w:ascii="宋体" w:hAnsi="宋体" w:eastAsia="宋体" w:cs="宋体"/>
                <w:szCs w:val="21"/>
                <w:highlight w:val="none"/>
              </w:rPr>
            </w:r>
            <w:r/>
          </w:p>
          <w:p>
            <w:pPr>
              <w:pStyle w:val="1073"/>
              <w:spacing w:line="360" w:lineRule="auto"/>
              <w:tabs>
                <w:tab w:val="left" w:pos="1080" w:leader="none"/>
              </w:tabs>
              <w:rPr>
                <w:rFonts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注1：监狱企业须提供由省级以上监狱管理局、戒毒管理局（含新疆生产建设兵团）出具的属于监狱企业的证明文件。</w:t>
            </w:r>
            <w:r>
              <w:rPr>
                <w:rFonts w:ascii="宋体" w:hAnsi="宋体" w:eastAsia="宋体" w:cs="宋体"/>
                <w:szCs w:val="21"/>
                <w:highlight w:val="none"/>
              </w:rPr>
            </w:r>
            <w:r/>
          </w:p>
          <w:p>
            <w:pPr>
              <w:pStyle w:val="1073"/>
              <w:spacing w:line="360" w:lineRule="auto"/>
              <w:tabs>
                <w:tab w:val="left" w:pos="1080" w:leader="none"/>
              </w:tabs>
              <w:rPr>
                <w:rFonts w:ascii="宋体" w:hAnsi="宋体" w:eastAsia="宋体"/>
                <w:szCs w:val="21"/>
                <w:highlight w:val="none"/>
              </w:rPr>
            </w:pPr>
            <w:r>
              <w:rPr>
                <w:rFonts w:hint="eastAsia" w:ascii="宋体" w:hAnsi="宋体" w:eastAsia="宋体" w:cs="宋体"/>
                <w:szCs w:val="21"/>
                <w:highlight w:val="none"/>
              </w:rPr>
              <w:t xml:space="preserve">注2：残疾人福利性单位须按招标文件要求提供《残疾人福利性单位声明函》。</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格式见《投标文件格式》</w:t>
            </w:r>
            <w:r>
              <w:rPr>
                <w:rFonts w:ascii="宋体" w:hAnsi="宋体" w:eastAsia="宋体"/>
                <w:szCs w:val="21"/>
                <w:highlight w:val="none"/>
              </w:rPr>
            </w:r>
            <w:r/>
          </w:p>
        </w:tc>
      </w:tr>
      <w:tr>
        <w:trPr>
          <w:cantSplit/>
          <w:trHeight w:val="851"/>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2-2</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其它落实政府采购政策的资格要求</w:t>
            </w:r>
            <w:r>
              <w:rPr>
                <w:rFonts w:ascii="宋体" w:hAnsi="宋体" w:eastAsia="宋体"/>
                <w:szCs w:val="21"/>
                <w:highlight w:val="none"/>
              </w:rPr>
            </w:r>
            <w:r/>
          </w:p>
        </w:tc>
        <w:tc>
          <w:tcPr>
            <w:tcW w:w="470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如有，见第一章《招标公告》</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hint="eastAsia" w:ascii="宋体" w:hAnsi="宋体" w:eastAsia="宋体"/>
                <w:szCs w:val="21"/>
                <w:highlight w:val="none"/>
              </w:rPr>
            </w:pPr>
            <w:r>
              <w:rPr>
                <w:rFonts w:ascii="宋体" w:hAnsi="宋体" w:eastAsia="宋体"/>
                <w:szCs w:val="21"/>
                <w:highlight w:val="none"/>
              </w:rPr>
              <w:t xml:space="preserve">提供证明文件</w:t>
            </w:r>
            <w:r>
              <w:rPr>
                <w:rFonts w:hint="eastAsia" w:ascii="宋体" w:hAnsi="宋体" w:eastAsia="宋体"/>
                <w:szCs w:val="21"/>
                <w:highlight w:val="none"/>
              </w:rPr>
              <w:t xml:space="preserve">扫描件</w:t>
            </w:r>
            <w:r>
              <w:rPr>
                <w:rFonts w:hint="eastAsia" w:ascii="宋体" w:hAnsi="宋体" w:eastAsia="宋体"/>
                <w:szCs w:val="21"/>
                <w:highlight w:val="none"/>
              </w:rPr>
            </w:r>
            <w:r/>
          </w:p>
        </w:tc>
      </w:tr>
      <w:tr>
        <w:trPr>
          <w:cantSplit/>
          <w:trHeight w:val="851"/>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3</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本项目的特定资格要求</w:t>
            </w:r>
            <w:r>
              <w:rPr>
                <w:rFonts w:ascii="宋体" w:hAnsi="宋体" w:eastAsia="宋体"/>
                <w:szCs w:val="21"/>
                <w:highlight w:val="none"/>
              </w:rPr>
            </w:r>
            <w:r/>
          </w:p>
        </w:tc>
        <w:tc>
          <w:tcPr>
            <w:tcW w:w="4707" w:type="dxa"/>
            <w:vAlign w:val="center"/>
            <w:textDirection w:val="lrTb"/>
            <w:noWrap w:val="false"/>
          </w:tcPr>
          <w:p>
            <w:pPr>
              <w:pStyle w:val="1073"/>
              <w:spacing w:line="360" w:lineRule="auto"/>
              <w:tabs>
                <w:tab w:val="left" w:pos="1080" w:leader="none"/>
              </w:tabs>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1）</w:t>
            </w:r>
            <w:r>
              <w:rPr>
                <w:rFonts w:hint="eastAsia" w:ascii="宋体" w:hAnsi="宋体" w:eastAsia="宋体"/>
                <w:szCs w:val="21"/>
                <w:highlight w:val="none"/>
              </w:rPr>
              <w:t xml:space="preserve">项目经理1人，7*24小时响应服务，提供服务承诺书并加盖投标单位公章；</w:t>
            </w:r>
            <w:r>
              <w:rPr>
                <w:rFonts w:hint="eastAsia" w:ascii="宋体" w:hAnsi="宋体" w:eastAsia="宋体"/>
                <w:szCs w:val="21"/>
                <w:highlight w:val="none"/>
              </w:rPr>
            </w:r>
            <w:r/>
          </w:p>
          <w:p>
            <w:pPr>
              <w:pStyle w:val="1073"/>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2）</w:t>
            </w:r>
            <w:r>
              <w:rPr>
                <w:rFonts w:hint="eastAsia" w:ascii="宋体" w:hAnsi="宋体" w:eastAsia="宋体"/>
                <w:szCs w:val="21"/>
                <w:highlight w:val="none"/>
              </w:rPr>
              <w:t xml:space="preserve">基础维护人员2人，7*24小时响应服务</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其中必须满足电工作业（高压/低压）和高处作业持证要求（电工作业应具有《中华人民共和国特种作业操作证》，且操作项目为“高压电工作业”或“低压电工作业”；高处作业应具有《中华人民共和国特种作业操作证》，且操作项目为“高处作业”，均由应急管理厅颁发），同一人可兼持双证。须提供有效证件扫描件（盖公章）及</w:t>
            </w:r>
            <w:r>
              <w:rPr>
                <w:rFonts w:hint="eastAsia" w:ascii="宋体" w:hAnsi="宋体" w:eastAsia="宋体"/>
                <w:szCs w:val="21"/>
                <w:highlight w:val="none"/>
                <w:lang w:val="en-US" w:eastAsia="zh-CN"/>
              </w:rPr>
              <w:t xml:space="preserve">有效的</w:t>
            </w:r>
            <w:r>
              <w:rPr>
                <w:rFonts w:hint="eastAsia" w:ascii="宋体" w:hAnsi="宋体" w:eastAsia="宋体"/>
                <w:szCs w:val="21"/>
                <w:highlight w:val="none"/>
              </w:rPr>
              <w:t xml:space="preserve">《劳动合同》</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投标人或其分支机构</w:t>
            </w:r>
            <w:r>
              <w:rPr>
                <w:rFonts w:hint="eastAsia" w:ascii="宋体" w:hAnsi="宋体" w:eastAsia="宋体"/>
                <w:szCs w:val="21"/>
                <w:highlight w:val="none"/>
                <w:lang w:val="en-US" w:eastAsia="zh-CN"/>
              </w:rPr>
              <w:t xml:space="preserve">签订</w:t>
            </w:r>
            <w:r>
              <w:rPr>
                <w:rFonts w:hint="eastAsia" w:ascii="宋体" w:hAnsi="宋体" w:eastAsia="宋体"/>
                <w:szCs w:val="21"/>
                <w:highlight w:val="none"/>
              </w:rPr>
              <w:t xml:space="preserve">）；</w:t>
            </w:r>
            <w:r>
              <w:rPr>
                <w:rFonts w:ascii="宋体" w:hAnsi="宋体" w:eastAsia="宋体"/>
                <w:szCs w:val="21"/>
                <w:highlight w:val="none"/>
              </w:rPr>
            </w:r>
            <w:r/>
          </w:p>
          <w:p>
            <w:pPr>
              <w:pStyle w:val="1073"/>
              <w:spacing w:line="360" w:lineRule="auto"/>
              <w:tabs>
                <w:tab w:val="left" w:pos="1080" w:leader="none"/>
              </w:tabs>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3）</w:t>
            </w:r>
            <w:r>
              <w:rPr>
                <w:rFonts w:hint="eastAsia" w:ascii="宋体" w:hAnsi="宋体" w:eastAsia="宋体"/>
                <w:szCs w:val="21"/>
                <w:highlight w:val="none"/>
              </w:rPr>
              <w:t xml:space="preserve">纵横工程智能交通服务管理平台维护专业驻场服务人员1人，7*24小时响应服务，承诺中标后按照招标文件要求配备，提供服务承诺书并加盖投标单位公章；</w:t>
            </w:r>
            <w:r>
              <w:rPr>
                <w:rFonts w:hint="eastAsia" w:ascii="宋体" w:hAnsi="宋体" w:eastAsia="宋体"/>
                <w:szCs w:val="21"/>
                <w:highlight w:val="none"/>
              </w:rPr>
            </w:r>
            <w:r/>
          </w:p>
          <w:p>
            <w:pPr>
              <w:pStyle w:val="1073"/>
              <w:spacing w:line="360" w:lineRule="auto"/>
              <w:tabs>
                <w:tab w:val="left" w:pos="1080" w:leader="none"/>
              </w:tabs>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4）</w:t>
            </w:r>
            <w:r>
              <w:rPr>
                <w:rFonts w:hint="eastAsia" w:ascii="宋体" w:hAnsi="宋体" w:eastAsia="宋体"/>
                <w:szCs w:val="21"/>
                <w:highlight w:val="none"/>
              </w:rPr>
              <w:t xml:space="preserve">（成利吉）道路交通信号控制系统维护专业驻场服务人员2人，7*24小时响应服务并参与值班，承诺中标后按照招标文件要求配备，提供服务承诺书并加盖投标单位公章；</w:t>
            </w:r>
            <w:r>
              <w:rPr>
                <w:rFonts w:hint="eastAsia" w:ascii="宋体" w:hAnsi="宋体" w:eastAsia="宋体"/>
                <w:szCs w:val="21"/>
                <w:highlight w:val="none"/>
              </w:rPr>
            </w:r>
            <w:r/>
          </w:p>
          <w:p>
            <w:pPr>
              <w:pStyle w:val="1073"/>
              <w:spacing w:line="360" w:lineRule="auto"/>
              <w:tabs>
                <w:tab w:val="left" w:pos="1080" w:leader="none"/>
              </w:tabs>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5）</w:t>
            </w:r>
            <w:r>
              <w:rPr>
                <w:rFonts w:hint="eastAsia" w:ascii="宋体" w:hAnsi="宋体" w:eastAsia="宋体"/>
                <w:szCs w:val="21"/>
                <w:highlight w:val="none"/>
              </w:rPr>
              <w:t xml:space="preserve">非现场违法数据处理平台服务专业驻场服务人员1人，5*8小时响应服务，承诺中标后按照招标文件要求配备，提供服务承诺书并加盖投标单位公章；</w:t>
            </w:r>
            <w:r>
              <w:rPr>
                <w:rFonts w:hint="eastAsia" w:ascii="宋体" w:hAnsi="宋体" w:eastAsia="宋体"/>
                <w:szCs w:val="21"/>
                <w:highlight w:val="none"/>
              </w:rPr>
            </w:r>
            <w:r/>
          </w:p>
          <w:p>
            <w:pPr>
              <w:pStyle w:val="1073"/>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6）</w:t>
            </w:r>
            <w:r>
              <w:rPr>
                <w:rFonts w:hint="eastAsia" w:ascii="宋体" w:hAnsi="宋体" w:eastAsia="宋体"/>
                <w:szCs w:val="21"/>
                <w:highlight w:val="none"/>
              </w:rPr>
              <w:t xml:space="preserve">投标单位履行合同必</w:t>
            </w:r>
            <w:r>
              <w:rPr>
                <w:rFonts w:hint="eastAsia" w:ascii="宋体" w:hAnsi="宋体" w:eastAsia="宋体"/>
                <w:szCs w:val="21"/>
                <w:highlight w:val="none"/>
                <w:lang w:val="en-US" w:eastAsia="zh-CN"/>
              </w:rPr>
              <w:t xml:space="preserve">需的</w:t>
            </w:r>
            <w:r>
              <w:rPr>
                <w:rFonts w:hint="eastAsia" w:ascii="宋体" w:hAnsi="宋体" w:eastAsia="宋体"/>
                <w:szCs w:val="21"/>
                <w:highlight w:val="none"/>
              </w:rPr>
              <w:t xml:space="preserve">设备：基础维修车辆1辆，车辆需带自动升降设备满足登高作业要求。自有车辆提供行驶证扫描件（权属单位与投标单位或其分支机构一致）；租赁车辆提供有效期内正规租赁合同及行驶证扫描件。同时提供能够证明车辆配备自动升降设备的证明材料（如车辆配备自动升降设备的照片等）。</w:t>
            </w:r>
            <w:r>
              <w:rPr>
                <w:rFonts w:ascii="宋体" w:hAnsi="宋体" w:eastAsia="宋体"/>
                <w:szCs w:val="21"/>
                <w:highlight w:val="none"/>
              </w:rPr>
            </w:r>
            <w:r/>
          </w:p>
          <w:p>
            <w:pPr>
              <w:pStyle w:val="1073"/>
              <w:spacing w:line="360" w:lineRule="exact"/>
              <w:tabs>
                <w:tab w:val="left" w:pos="1080" w:leader="none"/>
              </w:tabs>
              <w:rPr>
                <w:rFonts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7）</w:t>
            </w:r>
            <w:r>
              <w:rPr>
                <w:rFonts w:hint="eastAsia" w:ascii="宋体" w:hAnsi="宋体" w:eastAsia="宋体"/>
                <w:szCs w:val="21"/>
                <w:highlight w:val="none"/>
              </w:rPr>
              <w:t xml:space="preserve">本项目为专门面向中小企业采购的服务类项目，整体预留给中小企业。全部拟投人员应当是具备《劳动合同》的或者供应商承诺中标后聘请签订《劳动合同》的服务人员参与本项目，提供《劳动合同》</w:t>
            </w:r>
            <w:r>
              <w:rPr>
                <w:rFonts w:hint="eastAsia" w:ascii="宋体" w:hAnsi="宋体" w:eastAsia="宋体"/>
                <w:szCs w:val="21"/>
                <w:highlight w:val="none"/>
                <w:lang w:val="en-US" w:eastAsia="zh-CN"/>
              </w:rPr>
              <w:t xml:space="preserve">或</w:t>
            </w:r>
            <w:r>
              <w:rPr>
                <w:rFonts w:hint="eastAsia" w:ascii="宋体" w:hAnsi="宋体" w:eastAsia="宋体"/>
                <w:szCs w:val="21"/>
                <w:highlight w:val="none"/>
              </w:rPr>
              <w:t xml:space="preserve">承诺书并加盖投标单位公章。</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hint="eastAsia" w:ascii="宋体" w:hAnsi="宋体" w:eastAsia="宋体"/>
                <w:szCs w:val="21"/>
                <w:highlight w:val="none"/>
              </w:rPr>
            </w:pPr>
            <w:r>
              <w:rPr>
                <w:rFonts w:ascii="宋体" w:hAnsi="宋体" w:eastAsia="宋体"/>
                <w:szCs w:val="21"/>
                <w:highlight w:val="none"/>
              </w:rPr>
              <w:t xml:space="preserve">提供证明文件</w:t>
            </w:r>
            <w:r>
              <w:rPr>
                <w:rFonts w:hint="eastAsia" w:ascii="宋体" w:hAnsi="宋体" w:eastAsia="宋体"/>
                <w:szCs w:val="21"/>
                <w:highlight w:val="none"/>
              </w:rPr>
              <w:t xml:space="preserve">扫描件</w:t>
            </w:r>
            <w:r>
              <w:rPr>
                <w:rFonts w:hint="eastAsia" w:ascii="宋体" w:hAnsi="宋体" w:eastAsia="宋体"/>
                <w:szCs w:val="21"/>
                <w:highlight w:val="none"/>
              </w:rPr>
            </w:r>
            <w:r/>
          </w:p>
        </w:tc>
      </w:tr>
      <w:tr>
        <w:trPr>
          <w:cantSplit/>
          <w:trHeight w:val="851"/>
        </w:trPr>
        <w:tc>
          <w:tcPr>
            <w:tcW w:w="846" w:type="dxa"/>
            <w:vAlign w:val="center"/>
            <w:textDirection w:val="lrTb"/>
            <w:noWrap w:val="false"/>
          </w:tcPr>
          <w:p>
            <w:pPr>
              <w:pStyle w:val="1073"/>
              <w:jc w:val="center"/>
              <w:tabs>
                <w:tab w:val="left" w:pos="1080" w:leader="none"/>
              </w:tabs>
              <w:rPr>
                <w:rFonts w:ascii="宋体" w:hAnsi="宋体" w:eastAsia="宋体"/>
                <w:szCs w:val="21"/>
                <w:highlight w:val="none"/>
              </w:rPr>
            </w:pPr>
            <w:r>
              <w:rPr>
                <w:rFonts w:ascii="宋体" w:hAnsi="宋体" w:eastAsia="宋体"/>
                <w:szCs w:val="21"/>
                <w:highlight w:val="none"/>
              </w:rPr>
              <w:t xml:space="preserve">4</w:t>
            </w:r>
            <w:r>
              <w:rPr>
                <w:rFonts w:ascii="宋体" w:hAnsi="宋体" w:eastAsia="宋体"/>
                <w:szCs w:val="21"/>
                <w:highlight w:val="none"/>
              </w:rPr>
            </w:r>
            <w:r/>
          </w:p>
        </w:tc>
        <w:tc>
          <w:tcPr>
            <w:tcW w:w="2097"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t xml:space="preserve">投标保证金</w:t>
            </w:r>
            <w:r>
              <w:rPr>
                <w:rFonts w:ascii="宋体" w:hAnsi="宋体" w:eastAsia="宋体"/>
                <w:szCs w:val="21"/>
                <w:highlight w:val="none"/>
              </w:rPr>
            </w:r>
            <w:r/>
          </w:p>
        </w:tc>
        <w:tc>
          <w:tcPr>
            <w:tcW w:w="4707" w:type="dxa"/>
            <w:vAlign w:val="center"/>
            <w:textDirection w:val="lrTb"/>
            <w:noWrap w:val="false"/>
          </w:tcPr>
          <w:p>
            <w:pPr>
              <w:pStyle w:val="1073"/>
              <w:tabs>
                <w:tab w:val="left" w:pos="1080" w:leader="none"/>
              </w:tabs>
              <w:rPr>
                <w:rFonts w:ascii="宋体" w:hAnsi="宋体" w:eastAsia="宋体"/>
                <w:szCs w:val="21"/>
                <w:highlight w:val="none"/>
              </w:rPr>
            </w:pPr>
            <w:r>
              <w:rPr>
                <w:rFonts w:hint="eastAsia" w:ascii="宋体" w:hAnsi="宋体" w:eastAsia="宋体"/>
                <w:szCs w:val="21"/>
                <w:highlight w:val="none"/>
              </w:rPr>
              <w:t xml:space="preserve">无</w:t>
            </w:r>
            <w:r>
              <w:rPr>
                <w:rFonts w:ascii="宋体" w:hAnsi="宋体" w:eastAsia="宋体"/>
                <w:szCs w:val="21"/>
                <w:highlight w:val="none"/>
              </w:rPr>
            </w:r>
            <w:r/>
          </w:p>
        </w:tc>
        <w:tc>
          <w:tcPr>
            <w:tcW w:w="1346" w:type="dxa"/>
            <w:vAlign w:val="center"/>
            <w:textDirection w:val="lrTb"/>
            <w:noWrap w:val="false"/>
          </w:tcPr>
          <w:p>
            <w:pPr>
              <w:pStyle w:val="1073"/>
              <w:tabs>
                <w:tab w:val="left" w:pos="1080" w:leader="none"/>
              </w:tabs>
              <w:rPr>
                <w:rFonts w:ascii="宋体" w:hAnsi="宋体" w:eastAsia="宋体"/>
                <w:szCs w:val="21"/>
                <w:highlight w:val="none"/>
              </w:rPr>
            </w:pPr>
            <w:r>
              <w:rPr>
                <w:rFonts w:ascii="宋体" w:hAnsi="宋体" w:eastAsia="宋体"/>
                <w:szCs w:val="21"/>
                <w:highlight w:val="none"/>
              </w:rPr>
            </w:r>
            <w:r/>
          </w:p>
        </w:tc>
      </w:tr>
    </w:tbl>
    <w:p>
      <w:pPr>
        <w:pStyle w:val="1073"/>
        <w:jc w:val="center"/>
        <w:spacing w:line="360" w:lineRule="auto"/>
        <w:widowControl/>
        <w:rPr>
          <w:rFonts w:ascii="宋体" w:hAnsi="宋体" w:eastAsia="宋体"/>
          <w:b/>
          <w:sz w:val="36"/>
          <w:szCs w:val="36"/>
          <w:highlight w:val="none"/>
        </w:rPr>
        <w:outlineLvl w:val="0"/>
      </w:pPr>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695"/>
      <w:r/>
      <w:bookmarkStart w:id="700" w:name="_Toc353873940"/>
      <w:r/>
      <w:bookmarkStart w:id="701" w:name="_Toc127151779"/>
      <w:r/>
      <w:bookmarkStart w:id="702" w:name="_Toc226965858"/>
      <w:r/>
      <w:bookmarkStart w:id="703" w:name="_Toc353825550"/>
      <w:r/>
      <w:bookmarkStart w:id="704" w:name="_Toc127161490"/>
      <w:r>
        <w:rPr>
          <w:rFonts w:ascii="宋体" w:hAnsi="宋体" w:eastAsia="宋体"/>
          <w:sz w:val="24"/>
          <w:highlight w:val="none"/>
        </w:rPr>
        <w:br w:type="page" w:clear="all"/>
      </w:r>
      <w:bookmarkStart w:id="705" w:name="_Toc99301423"/>
      <w:r/>
      <w:bookmarkStart w:id="706" w:name="_Toc143850221"/>
      <w:r>
        <w:rPr>
          <w:rFonts w:ascii="宋体" w:hAnsi="宋体" w:eastAsia="宋体"/>
          <w:b/>
          <w:sz w:val="36"/>
          <w:szCs w:val="36"/>
          <w:highlight w:val="none"/>
        </w:rPr>
        <w:t xml:space="preserve">第四章   </w:t>
      </w:r>
      <w:bookmarkEnd w:id="700"/>
      <w:r/>
      <w:bookmarkEnd w:id="701"/>
      <w:r/>
      <w:bookmarkEnd w:id="702"/>
      <w:r/>
      <w:bookmarkEnd w:id="703"/>
      <w:r/>
      <w:bookmarkEnd w:id="704"/>
      <w:r/>
      <w:bookmarkStart w:id="707" w:name="_Hlt164229061"/>
      <w:r/>
      <w:bookmarkEnd w:id="707"/>
      <w:r>
        <w:rPr>
          <w:rFonts w:ascii="宋体" w:hAnsi="宋体" w:eastAsia="宋体"/>
          <w:b/>
          <w:sz w:val="36"/>
          <w:szCs w:val="36"/>
          <w:highlight w:val="none"/>
        </w:rPr>
        <w:t xml:space="preserve">评标程序、评标方法和评标标准</w:t>
      </w:r>
      <w:bookmarkEnd w:id="705"/>
      <w:r/>
      <w:bookmarkEnd w:id="706"/>
      <w:r>
        <w:rPr>
          <w:rFonts w:ascii="宋体" w:hAnsi="宋体" w:eastAsia="宋体"/>
          <w:b/>
          <w:sz w:val="36"/>
          <w:szCs w:val="36"/>
          <w:highlight w:val="none"/>
        </w:rPr>
      </w:r>
      <w:r/>
    </w:p>
    <w:p>
      <w:pPr>
        <w:pStyle w:val="1073"/>
        <w:jc w:val="center"/>
        <w:spacing w:line="360" w:lineRule="auto"/>
        <w:tabs>
          <w:tab w:val="left" w:pos="360" w:leader="none"/>
          <w:tab w:val="left" w:pos="900" w:leader="none"/>
        </w:tabs>
        <w:rPr>
          <w:rFonts w:ascii="宋体" w:hAnsi="宋体" w:eastAsia="宋体"/>
          <w:b/>
          <w:sz w:val="28"/>
          <w:szCs w:val="28"/>
          <w:highlight w:val="none"/>
        </w:rPr>
        <w:outlineLvl w:val="1"/>
      </w:pPr>
      <w:r>
        <w:rPr>
          <w:rFonts w:ascii="宋体" w:hAnsi="宋体" w:eastAsia="宋体"/>
          <w:b/>
          <w:sz w:val="28"/>
          <w:szCs w:val="28"/>
          <w:highlight w:val="none"/>
        </w:rPr>
        <w:t xml:space="preserve">一、评标方法</w:t>
      </w:r>
      <w:r>
        <w:rPr>
          <w:rFonts w:ascii="宋体" w:hAnsi="宋体" w:eastAsia="宋体"/>
          <w:b/>
          <w:sz w:val="28"/>
          <w:szCs w:val="28"/>
          <w:highlight w:val="none"/>
        </w:rPr>
      </w:r>
      <w:r/>
    </w:p>
    <w:p>
      <w:pPr>
        <w:pStyle w:val="1073"/>
        <w:numPr>
          <w:ilvl w:val="0"/>
          <w:numId w:val="13"/>
        </w:numPr>
        <w:spacing w:line="360" w:lineRule="auto"/>
        <w:tabs>
          <w:tab w:val="left" w:pos="360" w:leader="none"/>
          <w:tab w:val="left" w:pos="900" w:leader="none"/>
        </w:tabs>
        <w:rPr>
          <w:rFonts w:ascii="宋体" w:hAnsi="宋体" w:eastAsia="宋体"/>
          <w:sz w:val="24"/>
          <w:highlight w:val="none"/>
        </w:rPr>
        <w:outlineLvl w:val="1"/>
      </w:pPr>
      <w:r/>
      <w:bookmarkStart w:id="708" w:name="_Toc151193855"/>
      <w:r/>
      <w:bookmarkStart w:id="709" w:name="_Toc265228379"/>
      <w:r/>
      <w:bookmarkStart w:id="710" w:name="_Toc151193929"/>
      <w:r/>
      <w:bookmarkStart w:id="711" w:name="_Toc164229382"/>
      <w:r/>
      <w:bookmarkStart w:id="712" w:name="_Toc127151541"/>
      <w:r/>
      <w:bookmarkStart w:id="713" w:name="_Toc151193783"/>
      <w:r/>
      <w:bookmarkStart w:id="714" w:name="_Toc150774641"/>
      <w:r/>
      <w:bookmarkStart w:id="715" w:name="_Toc149720834"/>
      <w:r/>
      <w:bookmarkStart w:id="716" w:name="_Toc150509292"/>
      <w:r/>
      <w:bookmarkStart w:id="717" w:name="_Toc151193711"/>
      <w:r/>
      <w:bookmarkStart w:id="718" w:name="_Toc150774746"/>
      <w:r/>
      <w:bookmarkStart w:id="719" w:name="_Toc164608655"/>
      <w:r/>
      <w:bookmarkStart w:id="720" w:name="_Toc164229236"/>
      <w:r/>
      <w:bookmarkStart w:id="721" w:name="_Toc305158809"/>
      <w:r/>
      <w:bookmarkStart w:id="722" w:name="_Toc142311043"/>
      <w:r/>
      <w:bookmarkStart w:id="723" w:name="_Toc226965731"/>
      <w:r/>
      <w:bookmarkStart w:id="724" w:name="_Toc264969231"/>
      <w:r/>
      <w:bookmarkStart w:id="725" w:name="_Toc226337237"/>
      <w:r/>
      <w:bookmarkStart w:id="726" w:name="_Toc226309785"/>
      <w:r/>
      <w:bookmarkStart w:id="727" w:name="_Toc151190168"/>
      <w:r/>
      <w:bookmarkStart w:id="728" w:name="_Toc226965814"/>
      <w:r/>
      <w:bookmarkStart w:id="729" w:name="_Toc164608810"/>
      <w:r/>
      <w:bookmarkStart w:id="730" w:name="_Toc305158883"/>
      <w:r/>
      <w:bookmarkStart w:id="731" w:name="_Toc127161455"/>
      <w:r/>
      <w:bookmarkStart w:id="732" w:name="_Toc151193639"/>
      <w:r/>
      <w:bookmarkStart w:id="733" w:name="_Toc195842906"/>
      <w:r/>
      <w:bookmarkStart w:id="734" w:name="_Toc164351635"/>
      <w:r/>
      <w:bookmarkStart w:id="735" w:name="_Toc127151742"/>
      <w:r/>
      <w:bookmarkStart w:id="736" w:name="_Toc150480779"/>
      <w:r/>
      <w:bookmarkStart w:id="737" w:name="_Toc353873941"/>
      <w:r/>
      <w:bookmarkStart w:id="738" w:name="_Toc353825551"/>
      <w:r/>
      <w:bookmarkStart w:id="739" w:name="_Toc265228393"/>
      <w:r/>
      <w:bookmarkStart w:id="740" w:name="_Toc226337251"/>
      <w:r/>
      <w:bookmarkStart w:id="741" w:name="_Toc150480793"/>
      <w:r/>
      <w:bookmarkStart w:id="742" w:name="_Toc264969245"/>
      <w:r/>
      <w:bookmarkStart w:id="743" w:name="_Toc127151555"/>
      <w:r/>
      <w:bookmarkStart w:id="744" w:name="_Toc305158823"/>
      <w:r/>
      <w:bookmarkStart w:id="745" w:name="_Toc353873935"/>
      <w:r/>
      <w:bookmarkStart w:id="746" w:name="_Toc353873665"/>
      <w:r/>
      <w:bookmarkStart w:id="747" w:name="_Toc305158897"/>
      <w:r/>
      <w:bookmarkStart w:id="748" w:name="_Toc195842920"/>
      <w:r/>
      <w:bookmarkStart w:id="749" w:name="_Toc142311057"/>
      <w:r/>
      <w:bookmarkStart w:id="750" w:name="_Toc150774760"/>
      <w:r/>
      <w:bookmarkStart w:id="751" w:name="_Toc353825545"/>
      <w:r/>
      <w:bookmarkStart w:id="752" w:name="_Toc226965828"/>
      <w:r>
        <w:rPr>
          <w:rFonts w:ascii="宋体" w:hAnsi="宋体" w:eastAsia="宋体"/>
          <w:sz w:val="24"/>
          <w:highlight w:val="none"/>
        </w:rPr>
        <w:t xml:space="preserve">投标文件的符合性审查</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ascii="宋体" w:hAnsi="宋体" w:eastAsia="宋体"/>
          <w:sz w:val="24"/>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评标委员会对资格审查合格的投标人的投标文件进行符合性审查，以确定其是否满足招标文件的实质性要求。</w:t>
      </w:r>
      <w:bookmarkStart w:id="753" w:name="_Toc520356167"/>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评标委员会根据《符合性审查要求》中规定的审查因素和审查内容，对投标人的投标文件是否实质上响应招标文件进行符合性审查，并形成符合性审查评审结果。投标人《</w:t>
      </w:r>
      <w:r>
        <w:rPr>
          <w:rFonts w:hint="eastAsia" w:ascii="宋体" w:hAnsi="宋体" w:eastAsia="宋体"/>
          <w:szCs w:val="21"/>
          <w:highlight w:val="none"/>
        </w:rPr>
        <w:t xml:space="preserve">投标</w:t>
      </w:r>
      <w:r>
        <w:rPr>
          <w:rFonts w:ascii="宋体" w:hAnsi="宋体" w:eastAsia="宋体"/>
          <w:szCs w:val="21"/>
          <w:highlight w:val="none"/>
        </w:rPr>
        <w:t xml:space="preserve">文件》有任何一项不符合《符合性审查要求》</w:t>
      </w:r>
      <w:bookmarkEnd w:id="753"/>
      <w:r>
        <w:rPr>
          <w:rFonts w:ascii="宋体" w:hAnsi="宋体" w:eastAsia="宋体"/>
          <w:szCs w:val="21"/>
          <w:highlight w:val="none"/>
        </w:rPr>
        <w:t xml:space="preserve">要求的，</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ind w:hanging="357"/>
        <w:jc w:val="center"/>
        <w:spacing w:line="360" w:lineRule="auto"/>
        <w:tabs>
          <w:tab w:val="left" w:pos="900" w:leader="none"/>
          <w:tab w:val="left" w:pos="1080" w:leader="none"/>
          <w:tab w:val="left" w:pos="1589" w:leader="none"/>
        </w:tabs>
        <w:rPr>
          <w:rFonts w:ascii="宋体" w:hAnsi="宋体" w:eastAsia="宋体"/>
          <w:b/>
          <w:sz w:val="24"/>
          <w:highlight w:val="none"/>
        </w:rPr>
      </w:pPr>
      <w:r>
        <w:rPr>
          <w:rFonts w:ascii="宋体" w:hAnsi="宋体" w:eastAsia="宋体"/>
          <w:b/>
          <w:sz w:val="24"/>
          <w:highlight w:val="none"/>
        </w:rPr>
        <w:t xml:space="preserve">符合性审查要求</w:t>
      </w:r>
      <w:r>
        <w:rPr>
          <w:rFonts w:ascii="宋体" w:hAnsi="宋体" w:eastAsia="宋体"/>
          <w:b/>
          <w:sz w:val="24"/>
          <w:highlight w:val="none"/>
        </w:rPr>
      </w:r>
      <w:r/>
    </w:p>
    <w:tbl>
      <w:tblPr>
        <w:tblW w:w="87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13"/>
        <w:gridCol w:w="6211"/>
      </w:tblGrid>
      <w:tr>
        <w:trPr>
          <w:trHeight w:val="680"/>
          <w:tblHeader/>
        </w:trPr>
        <w:tc>
          <w:tcPr>
            <w:tcW w:w="749" w:type="dxa"/>
            <w:vAlign w:val="center"/>
            <w:textDirection w:val="lrTb"/>
            <w:noWrap w:val="false"/>
          </w:tcPr>
          <w:p>
            <w:pPr>
              <w:pStyle w:val="1073"/>
              <w:jc w:val="center"/>
              <w:widowControl/>
              <w:rPr>
                <w:rFonts w:ascii="宋体" w:hAnsi="宋体" w:eastAsia="宋体"/>
                <w:b/>
                <w:szCs w:val="21"/>
                <w:highlight w:val="none"/>
              </w:rPr>
            </w:pPr>
            <w:r>
              <w:rPr>
                <w:rFonts w:ascii="宋体" w:hAnsi="宋体" w:eastAsia="宋体"/>
                <w:b/>
                <w:szCs w:val="21"/>
                <w:highlight w:val="none"/>
              </w:rPr>
              <w:t xml:space="preserve">序号</w:t>
            </w:r>
            <w:r>
              <w:rPr>
                <w:rFonts w:ascii="宋体" w:hAnsi="宋体" w:eastAsia="宋体"/>
                <w:b/>
                <w:szCs w:val="21"/>
                <w:highlight w:val="none"/>
              </w:rPr>
            </w:r>
            <w:r/>
          </w:p>
        </w:tc>
        <w:tc>
          <w:tcPr>
            <w:tcW w:w="1813" w:type="dxa"/>
            <w:vAlign w:val="center"/>
            <w:textDirection w:val="lrTb"/>
            <w:noWrap w:val="false"/>
          </w:tcPr>
          <w:p>
            <w:pPr>
              <w:pStyle w:val="1073"/>
              <w:jc w:val="center"/>
              <w:widowControl/>
              <w:rPr>
                <w:rFonts w:ascii="宋体" w:hAnsi="宋体" w:eastAsia="宋体"/>
                <w:b/>
                <w:szCs w:val="21"/>
                <w:highlight w:val="none"/>
              </w:rPr>
            </w:pPr>
            <w:r>
              <w:rPr>
                <w:rFonts w:ascii="宋体" w:hAnsi="宋体" w:eastAsia="宋体"/>
                <w:b/>
                <w:szCs w:val="21"/>
                <w:highlight w:val="none"/>
              </w:rPr>
              <w:t xml:space="preserve">审查因素</w:t>
            </w:r>
            <w:r>
              <w:rPr>
                <w:rFonts w:ascii="宋体" w:hAnsi="宋体" w:eastAsia="宋体"/>
                <w:b/>
                <w:szCs w:val="21"/>
                <w:highlight w:val="none"/>
              </w:rPr>
            </w:r>
            <w:r/>
          </w:p>
        </w:tc>
        <w:tc>
          <w:tcPr>
            <w:tcW w:w="6211" w:type="dxa"/>
            <w:vAlign w:val="center"/>
            <w:textDirection w:val="lrTb"/>
            <w:noWrap w:val="false"/>
          </w:tcPr>
          <w:p>
            <w:pPr>
              <w:pStyle w:val="1073"/>
              <w:jc w:val="center"/>
              <w:widowControl/>
              <w:rPr>
                <w:rFonts w:ascii="宋体" w:hAnsi="宋体" w:eastAsia="宋体"/>
                <w:b/>
                <w:szCs w:val="21"/>
                <w:highlight w:val="none"/>
              </w:rPr>
            </w:pPr>
            <w:r>
              <w:rPr>
                <w:rFonts w:ascii="宋体" w:hAnsi="宋体" w:eastAsia="宋体"/>
                <w:b/>
                <w:szCs w:val="21"/>
                <w:highlight w:val="none"/>
              </w:rPr>
              <w:t xml:space="preserve">审查内容</w:t>
            </w:r>
            <w:r>
              <w:rPr>
                <w:rFonts w:ascii="宋体" w:hAnsi="宋体" w:eastAsia="宋体"/>
                <w:b/>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1</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授权委托书</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按招标文件要求提供授权委托书；</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2</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投标完整性</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未将一个采购包中的内容拆开投标；</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3</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投标报价</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投标报价未</w:t>
            </w:r>
            <w:r>
              <w:rPr>
                <w:rFonts w:ascii="宋体" w:hAnsi="宋体" w:eastAsia="宋体"/>
                <w:szCs w:val="21"/>
                <w:highlight w:val="none"/>
              </w:rPr>
              <w:t xml:space="preserve">超过招标文件中规定的项目/采购包预算金额或者项目/采购包最高限价</w:t>
            </w:r>
            <w:r>
              <w:rPr>
                <w:rFonts w:ascii="宋体" w:hAnsi="宋体" w:eastAsia="宋体"/>
                <w:szCs w:val="21"/>
                <w:highlight w:val="none"/>
              </w:rPr>
              <w:t xml:space="preserve">；</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4</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报价唯一性</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投标文件未</w:t>
            </w:r>
            <w:r>
              <w:rPr>
                <w:rFonts w:ascii="宋体" w:hAnsi="宋体" w:eastAsia="宋体"/>
                <w:szCs w:val="21"/>
                <w:highlight w:val="none"/>
              </w:rPr>
              <w:t xml:space="preserve">出现可选择性或可调整的报价（招标文件另有规定的除外）</w:t>
            </w:r>
            <w:r>
              <w:rPr>
                <w:rFonts w:ascii="宋体" w:hAnsi="宋体" w:eastAsia="宋体"/>
                <w:szCs w:val="21"/>
                <w:highlight w:val="none"/>
              </w:rPr>
              <w:t xml:space="preserve">；</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5</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投标有效期</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投标文件中承诺的投标有效期满足招标文件中载明的投标有效期的；</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6</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签署、盖章</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按照招标文件要求签署、盖章的；</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7</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实质性格式</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标记为“实质性格式”的文件均按招标文件要求提供；</w:t>
            </w:r>
            <w:r>
              <w:rPr>
                <w:rFonts w:ascii="宋体" w:hAnsi="宋体" w:eastAsia="宋体"/>
                <w:szCs w:val="21"/>
                <w:highlight w:val="none"/>
              </w:rPr>
            </w:r>
            <w:r/>
          </w:p>
        </w:tc>
      </w:tr>
      <w:tr>
        <w:trPr>
          <w:trHeight w:val="680"/>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8</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★号条款响应</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投标文件满足招标文件</w:t>
            </w:r>
            <w:r>
              <w:rPr>
                <w:rFonts w:ascii="宋体" w:hAnsi="宋体" w:eastAsia="宋体"/>
                <w:szCs w:val="21"/>
                <w:highlight w:val="none"/>
              </w:rPr>
              <w:t xml:space="preserve">第五章《采购需求》</w:t>
            </w:r>
            <w:r>
              <w:rPr>
                <w:rFonts w:ascii="宋体" w:hAnsi="宋体" w:eastAsia="宋体"/>
                <w:szCs w:val="21"/>
                <w:highlight w:val="none"/>
              </w:rPr>
              <w:t xml:space="preserve">中★号条款要求的；</w:t>
            </w:r>
            <w:r>
              <w:rPr>
                <w:rFonts w:ascii="宋体" w:hAnsi="宋体" w:eastAsia="宋体"/>
                <w:szCs w:val="21"/>
                <w:highlight w:val="none"/>
              </w:rPr>
            </w:r>
            <w:r/>
          </w:p>
        </w:tc>
      </w:tr>
      <w:tr>
        <w:trPr>
          <w:trHeight w:val="869"/>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9</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报价的修正（如有）</w:t>
            </w:r>
            <w:r>
              <w:rPr>
                <w:rFonts w:ascii="宋体" w:hAnsi="宋体" w:eastAsia="宋体"/>
                <w:szCs w:val="21"/>
                <w:highlight w:val="none"/>
              </w:rPr>
            </w:r>
            <w:r/>
          </w:p>
        </w:tc>
        <w:tc>
          <w:tcPr>
            <w:tcW w:w="6211" w:type="dxa"/>
            <w:vAlign w:val="center"/>
            <w:textDirection w:val="lrTb"/>
            <w:noWrap w:val="false"/>
          </w:tcPr>
          <w:p>
            <w:pPr>
              <w:pStyle w:val="1073"/>
              <w:jc w:val="left"/>
              <w:spacing w:line="360" w:lineRule="exact"/>
              <w:widowControl/>
              <w:rPr>
                <w:rFonts w:ascii="宋体" w:hAnsi="宋体" w:eastAsia="宋体"/>
                <w:szCs w:val="21"/>
                <w:highlight w:val="none"/>
              </w:rPr>
            </w:pPr>
            <w:r>
              <w:rPr>
                <w:rFonts w:ascii="宋体" w:hAnsi="宋体" w:eastAsia="宋体"/>
                <w:szCs w:val="21"/>
                <w:highlight w:val="none"/>
              </w:rPr>
              <w:t xml:space="preserve">不涉及报价修正，或投标文件报价出现前后不一致时，投标人对修正后的报价予以确认；（如有）</w:t>
            </w:r>
            <w:r>
              <w:rPr>
                <w:rFonts w:ascii="宋体" w:hAnsi="宋体" w:eastAsia="宋体"/>
                <w:szCs w:val="21"/>
                <w:highlight w:val="none"/>
              </w:rPr>
            </w:r>
            <w:r/>
          </w:p>
        </w:tc>
      </w:tr>
      <w:tr>
        <w:trPr>
          <w:trHeight w:val="1279"/>
          <w:tblHeader/>
        </w:trPr>
        <w:tc>
          <w:tcPr>
            <w:tcW w:w="749"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10</w:t>
            </w:r>
            <w:r>
              <w:rPr>
                <w:rFonts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报价合理性</w:t>
            </w:r>
            <w:r>
              <w:rPr>
                <w:rFonts w:ascii="宋体" w:hAnsi="宋体" w:eastAsia="宋体"/>
                <w:szCs w:val="21"/>
                <w:highlight w:val="none"/>
              </w:rPr>
            </w:r>
            <w:r/>
          </w:p>
        </w:tc>
        <w:tc>
          <w:tcPr>
            <w:tcW w:w="6211" w:type="dxa"/>
            <w:vAlign w:val="center"/>
            <w:textDirection w:val="lrTb"/>
            <w:noWrap w:val="false"/>
          </w:tcPr>
          <w:p>
            <w:pPr>
              <w:pStyle w:val="1073"/>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szCs w:val="21"/>
                <w:highlight w:val="none"/>
              </w:rPr>
              <w:t xml:space="preserve">2026</w:t>
            </w:r>
            <w:r>
              <w:rPr>
                <w:rFonts w:hint="eastAsia" w:ascii="宋体" w:hAnsi="宋体" w:eastAsia="宋体"/>
                <w:szCs w:val="21"/>
                <w:highlight w:val="none"/>
              </w:rPr>
              <w:t xml:space="preserve">〕2号），应当要求其在不见面开标大厅内合理的时间内提供说明，必要时提交相关证明材料：投标人不能证明其报价合理性的，评标委员会应当将其作为无效投标处理。</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异常低价投标（响应）审查的情形和具体要求如下：</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投标（响应）报价低于全部通过符合性审查供应商投标（响应）报价平均值60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全部通过符合性审查供应商投标（响应）报价平均值</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投标（响应）报价低于通过符合性审查的次低报价供应商投标（响应）报价60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通过符合性审查的次低报价供应商投标（响应）报价</w:t>
            </w:r>
            <w:r>
              <w:rPr>
                <w:rFonts w:ascii="宋体" w:hAnsi="宋体" w:eastAsia="宋体"/>
                <w:szCs w:val="21"/>
                <w:highlight w:val="none"/>
              </w:rPr>
              <w:t xml:space="preserve">×</w:t>
            </w:r>
            <w:r>
              <w:rPr>
                <w:rFonts w:hint="eastAsia" w:ascii="宋体" w:hAnsi="宋体" w:eastAsia="宋体"/>
                <w:szCs w:val="21"/>
                <w:highlight w:val="none"/>
              </w:rPr>
              <w:t xml:space="preserve">6</w:t>
            </w:r>
            <w:r>
              <w:rPr>
                <w:rFonts w:ascii="宋体" w:hAnsi="宋体" w:eastAsia="宋体"/>
                <w:szCs w:val="21"/>
                <w:highlight w:val="none"/>
              </w:rPr>
              <w:t xml:space="preserve">0%</w:t>
            </w:r>
            <w:r>
              <w:rPr>
                <w:rFonts w:hint="eastAsia" w:ascii="宋体" w:hAnsi="宋体" w:eastAsia="宋体"/>
                <w:szCs w:val="21"/>
                <w:highlight w:val="none"/>
              </w:rPr>
              <w:t xml:space="preserve">；</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3.投标（响应）报价低于采购项目最高限价60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采购项目最高限价</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4.评审委员会基于专业判断，认为供应商报价过低，有可能影响产品质量或者不能诚信履约的其他情形。</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hint="eastAsia" w:ascii="宋体" w:hAnsi="宋体" w:eastAsia="宋体"/>
                <w:szCs w:val="21"/>
                <w:highlight w:val="none"/>
              </w:rPr>
              <w:t xml:space="preserve">5.评审委员会启动异常低价投标（响应）审查后，属于前述第</w:t>
            </w:r>
            <w:r>
              <w:rPr>
                <w:rFonts w:ascii="宋体" w:hAnsi="宋体" w:eastAsia="宋体"/>
                <w:szCs w:val="21"/>
                <w:highlight w:val="none"/>
              </w:rPr>
              <w:t xml:space="preserve">1</w:t>
            </w:r>
            <w:r>
              <w:rPr>
                <w:rFonts w:hint="eastAsia" w:ascii="宋体" w:hAnsi="宋体" w:eastAsia="宋体"/>
                <w:szCs w:val="21"/>
                <w:highlight w:val="none"/>
              </w:rPr>
              <w:t xml:space="preserve">项至第</w:t>
            </w:r>
            <w:r>
              <w:rPr>
                <w:rFonts w:ascii="宋体" w:hAnsi="宋体" w:eastAsia="宋体"/>
                <w:szCs w:val="21"/>
                <w:highlight w:val="none"/>
              </w:rPr>
              <w:t xml:space="preserve">4</w:t>
            </w:r>
            <w:r>
              <w:rPr>
                <w:rFonts w:hint="eastAsia" w:ascii="宋体" w:hAnsi="宋体" w:eastAsia="宋体"/>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szCs w:val="21"/>
                <w:highlight w:val="none"/>
              </w:rPr>
              <w:t xml:space="preserve">30</w:t>
            </w:r>
            <w:r>
              <w:rPr>
                <w:rFonts w:hint="eastAsia" w:ascii="宋体" w:hAnsi="宋体" w:eastAsia="宋体"/>
                <w:szCs w:val="21"/>
                <w:highlight w:val="none"/>
              </w:rPr>
              <w:t xml:space="preserve">分钟。其中，属于第</w:t>
            </w:r>
            <w:r>
              <w:rPr>
                <w:rFonts w:ascii="宋体" w:hAnsi="宋体" w:eastAsia="宋体"/>
                <w:szCs w:val="21"/>
                <w:highlight w:val="none"/>
              </w:rPr>
              <w:t xml:space="preserve">3</w:t>
            </w:r>
            <w:r>
              <w:rPr>
                <w:rFonts w:hint="eastAsia" w:ascii="宋体" w:hAnsi="宋体" w:eastAsia="宋体"/>
                <w:szCs w:val="21"/>
                <w:highlight w:val="none"/>
              </w:rPr>
              <w:t xml:space="preserve">项情形，供应商已随投标（响应）文件一并提交相关书面说明及必要的证明材料的，在评审现场可不再重复提交。</w:t>
            </w:r>
            <w:r>
              <w:rPr>
                <w:rFonts w:ascii="宋体" w:hAnsi="宋体" w:eastAsia="宋体"/>
                <w:szCs w:val="21"/>
                <w:highlight w:val="none"/>
              </w:rPr>
              <w:br w:type="textWrapping" w:clear="all"/>
            </w:r>
            <w:r>
              <w:rPr>
                <w:rFonts w:hint="eastAsia" w:ascii="宋体" w:hAnsi="宋体" w:eastAsia="宋体"/>
                <w:szCs w:val="21"/>
                <w:highlight w:val="none"/>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szCs w:val="21"/>
                <w:highlight w:val="none"/>
              </w:rPr>
            </w:r>
            <w:r/>
          </w:p>
        </w:tc>
      </w:tr>
      <w:tr>
        <w:trPr>
          <w:trHeight w:val="1120"/>
          <w:tblHeader/>
        </w:trPr>
        <w:tc>
          <w:tcPr>
            <w:tcW w:w="749" w:type="dxa"/>
            <w:vAlign w:val="center"/>
            <w:textDirection w:val="lrTb"/>
            <w:noWrap w:val="false"/>
          </w:tcPr>
          <w:p>
            <w:pPr>
              <w:pStyle w:val="1073"/>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1</w:t>
            </w:r>
            <w:r>
              <w:rPr>
                <w:rFonts w:hint="eastAsia"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公平竞争</w:t>
            </w:r>
            <w:r>
              <w:rPr>
                <w:rFonts w:ascii="宋体" w:hAnsi="宋体" w:eastAsia="宋体"/>
                <w:szCs w:val="21"/>
                <w:highlight w:val="none"/>
              </w:rPr>
            </w:r>
            <w:r/>
          </w:p>
        </w:tc>
        <w:tc>
          <w:tcPr>
            <w:tcW w:w="6211" w:type="dxa"/>
            <w:vAlign w:val="center"/>
            <w:textDirection w:val="lrTb"/>
            <w:noWrap w:val="false"/>
          </w:tcPr>
          <w:p>
            <w:pPr>
              <w:pStyle w:val="1073"/>
              <w:jc w:val="left"/>
              <w:spacing w:line="360" w:lineRule="exact"/>
              <w:widowControl/>
              <w:rPr>
                <w:rFonts w:ascii="宋体" w:hAnsi="宋体" w:eastAsia="宋体"/>
                <w:szCs w:val="21"/>
                <w:highlight w:val="none"/>
              </w:rPr>
            </w:pPr>
            <w:r>
              <w:rPr>
                <w:rFonts w:ascii="宋体" w:hAnsi="宋体" w:eastAsia="宋体"/>
                <w:szCs w:val="21"/>
                <w:highlight w:val="none"/>
              </w:rPr>
              <w:t xml:space="preserve">投标人遵循公平竞争的原则，不存在恶意串通，妨碍其他投标人的竞争行为，不存在损害采购人或者其他投标人的合法权益情形的；</w:t>
            </w:r>
            <w:r>
              <w:rPr>
                <w:rFonts w:ascii="宋体" w:hAnsi="宋体" w:eastAsia="宋体"/>
                <w:szCs w:val="21"/>
                <w:highlight w:val="none"/>
              </w:rPr>
            </w:r>
            <w:r/>
          </w:p>
        </w:tc>
      </w:tr>
      <w:tr>
        <w:trPr>
          <w:trHeight w:val="3829"/>
          <w:tblHeader/>
        </w:trPr>
        <w:tc>
          <w:tcPr>
            <w:tcW w:w="749" w:type="dxa"/>
            <w:vAlign w:val="center"/>
            <w:textDirection w:val="lrTb"/>
            <w:noWrap w:val="false"/>
          </w:tcPr>
          <w:p>
            <w:pPr>
              <w:pStyle w:val="1073"/>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2</w:t>
            </w:r>
            <w:r>
              <w:rPr>
                <w:rFonts w:hint="eastAsia"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串通投标</w:t>
            </w:r>
            <w:r>
              <w:rPr>
                <w:rFonts w:ascii="宋体" w:hAnsi="宋体" w:eastAsia="宋体"/>
                <w:szCs w:val="21"/>
                <w:highlight w:val="none"/>
              </w:rPr>
            </w:r>
            <w:r/>
          </w:p>
        </w:tc>
        <w:tc>
          <w:tcPr>
            <w:tcW w:w="6211" w:type="dxa"/>
            <w:vAlign w:val="center"/>
            <w:textDirection w:val="lrTb"/>
            <w:noWrap w:val="false"/>
          </w:tcPr>
          <w:p>
            <w:pPr>
              <w:pStyle w:val="1073"/>
              <w:jc w:val="left"/>
              <w:spacing w:line="360" w:lineRule="exact"/>
              <w:widowControl/>
              <w:rPr>
                <w:rFonts w:ascii="宋体" w:hAnsi="宋体" w:eastAsia="宋体"/>
                <w:szCs w:val="21"/>
                <w:highlight w:val="none"/>
              </w:rPr>
            </w:pPr>
            <w:r>
              <w:rPr>
                <w:rFonts w:ascii="宋体" w:hAnsi="宋体" w:eastAsia="宋体"/>
                <w:szCs w:val="21"/>
                <w:highlight w:val="none"/>
              </w:rPr>
              <w:t xml:space="preserve">不存在《政府采购货物和服务招标投标管理办法》视为投标人串通投标的情形：</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ascii="宋体" w:hAnsi="宋体" w:eastAsia="宋体"/>
                <w:szCs w:val="21"/>
                <w:highlight w:val="none"/>
              </w:rPr>
              <w:t xml:space="preserve">（一）不同投标人的投标文件由同一单位或者个人编制；</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ascii="宋体" w:hAnsi="宋体" w:eastAsia="宋体"/>
                <w:szCs w:val="21"/>
                <w:highlight w:val="none"/>
              </w:rPr>
              <w:t xml:space="preserve">（二）不同投标人委托同一单位或者个人办理投标事宜；</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ascii="宋体" w:hAnsi="宋体" w:eastAsia="宋体"/>
                <w:szCs w:val="21"/>
                <w:highlight w:val="none"/>
              </w:rPr>
              <w:t xml:space="preserve">（三）不同投标人的投标文件载明的项目管理成员或者联系人员为同一人；</w:t>
            </w:r>
            <w:r>
              <w:rPr>
                <w:rFonts w:ascii="宋体" w:hAnsi="宋体" w:eastAsia="宋体"/>
                <w:szCs w:val="21"/>
                <w:highlight w:val="none"/>
              </w:rPr>
            </w:r>
            <w:r/>
          </w:p>
          <w:p>
            <w:pPr>
              <w:pStyle w:val="1073"/>
              <w:jc w:val="left"/>
              <w:spacing w:line="360" w:lineRule="exact"/>
              <w:widowControl/>
              <w:rPr>
                <w:rFonts w:ascii="宋体" w:hAnsi="宋体" w:eastAsia="宋体"/>
                <w:szCs w:val="21"/>
                <w:highlight w:val="none"/>
              </w:rPr>
            </w:pPr>
            <w:r>
              <w:rPr>
                <w:rFonts w:ascii="宋体" w:hAnsi="宋体" w:eastAsia="宋体"/>
                <w:szCs w:val="21"/>
                <w:highlight w:val="none"/>
              </w:rPr>
              <w:t xml:space="preserve">（四）不同投标人的投标文件异常一致或者投标报价呈规律 性差异；</w:t>
            </w:r>
            <w:r>
              <w:rPr>
                <w:rFonts w:ascii="宋体" w:hAnsi="宋体" w:eastAsia="宋体"/>
                <w:szCs w:val="21"/>
                <w:highlight w:val="none"/>
              </w:rPr>
            </w:r>
            <w:r/>
          </w:p>
          <w:p>
            <w:pPr>
              <w:pStyle w:val="1073"/>
              <w:jc w:val="left"/>
              <w:spacing w:line="360" w:lineRule="exact"/>
              <w:widowControl/>
              <w:rPr>
                <w:rFonts w:hint="eastAsia" w:ascii="宋体" w:hAnsi="宋体" w:eastAsia="宋体"/>
                <w:szCs w:val="21"/>
                <w:highlight w:val="none"/>
              </w:rPr>
            </w:pPr>
            <w:r>
              <w:rPr>
                <w:rFonts w:ascii="宋体" w:hAnsi="宋体" w:eastAsia="宋体"/>
                <w:szCs w:val="21"/>
                <w:highlight w:val="none"/>
              </w:rPr>
              <w:t xml:space="preserve">（五）不同投标人的投标文件相互混装；</w:t>
            </w:r>
            <w:r>
              <w:rPr>
                <w:rFonts w:hint="eastAsia" w:ascii="宋体" w:hAnsi="宋体" w:eastAsia="宋体"/>
                <w:szCs w:val="21"/>
                <w:highlight w:val="none"/>
              </w:rPr>
            </w:r>
            <w:r/>
          </w:p>
          <w:p>
            <w:pPr>
              <w:pStyle w:val="1073"/>
              <w:spacing w:line="360" w:lineRule="exact"/>
              <w:rPr>
                <w:rFonts w:ascii="宋体" w:hAnsi="宋体" w:eastAsia="宋体"/>
                <w:highlight w:val="none"/>
              </w:rPr>
            </w:pPr>
            <w:r>
              <w:rPr>
                <w:rFonts w:hint="eastAsia" w:ascii="宋体" w:hAnsi="宋体" w:eastAsia="宋体"/>
                <w:highlight w:val="none"/>
              </w:rPr>
              <w:t xml:space="preserve">（六）不同投标人的投标文件使用同一台电脑编制的。</w:t>
            </w:r>
            <w:r>
              <w:rPr>
                <w:rFonts w:ascii="宋体" w:hAnsi="宋体" w:eastAsia="宋体"/>
                <w:highlight w:val="none"/>
              </w:rPr>
            </w:r>
            <w:r/>
          </w:p>
        </w:tc>
      </w:tr>
      <w:tr>
        <w:trPr>
          <w:trHeight w:val="680"/>
          <w:tblHeader/>
        </w:trPr>
        <w:tc>
          <w:tcPr>
            <w:tcW w:w="749" w:type="dxa"/>
            <w:vAlign w:val="center"/>
            <w:textDirection w:val="lrTb"/>
            <w:noWrap w:val="false"/>
          </w:tcPr>
          <w:p>
            <w:pPr>
              <w:pStyle w:val="1073"/>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3</w:t>
            </w:r>
            <w:r>
              <w:rPr>
                <w:rFonts w:hint="eastAsia"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附加条件</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投标文件未含有采购人不能接受的附加条件的；</w:t>
            </w:r>
            <w:r>
              <w:rPr>
                <w:rFonts w:ascii="宋体" w:hAnsi="宋体" w:eastAsia="宋体"/>
                <w:szCs w:val="21"/>
                <w:highlight w:val="none"/>
              </w:rPr>
            </w:r>
            <w:r/>
          </w:p>
        </w:tc>
      </w:tr>
      <w:tr>
        <w:trPr>
          <w:trHeight w:val="862"/>
          <w:tblHeader/>
        </w:trPr>
        <w:tc>
          <w:tcPr>
            <w:tcW w:w="749" w:type="dxa"/>
            <w:vAlign w:val="center"/>
            <w:textDirection w:val="lrTb"/>
            <w:noWrap w:val="false"/>
          </w:tcPr>
          <w:p>
            <w:pPr>
              <w:pStyle w:val="1073"/>
              <w:jc w:val="center"/>
              <w:widowControl/>
              <w:rPr>
                <w:rFonts w:hint="eastAsia" w:ascii="宋体" w:hAnsi="宋体" w:eastAsia="宋体"/>
                <w:szCs w:val="21"/>
                <w:highlight w:val="none"/>
              </w:rPr>
            </w:pPr>
            <w:r>
              <w:rPr>
                <w:rFonts w:ascii="宋体" w:hAnsi="宋体" w:eastAsia="宋体"/>
                <w:szCs w:val="21"/>
                <w:highlight w:val="none"/>
              </w:rPr>
              <w:t xml:space="preserve">1</w:t>
            </w:r>
            <w:r>
              <w:rPr>
                <w:rFonts w:hint="eastAsia" w:ascii="宋体" w:hAnsi="宋体" w:eastAsia="宋体"/>
                <w:szCs w:val="21"/>
                <w:highlight w:val="none"/>
              </w:rPr>
              <w:t xml:space="preserve">4</w:t>
            </w:r>
            <w:r>
              <w:rPr>
                <w:rFonts w:hint="eastAsia" w:ascii="宋体" w:hAnsi="宋体" w:eastAsia="宋体"/>
                <w:szCs w:val="21"/>
                <w:highlight w:val="none"/>
              </w:rPr>
            </w:r>
            <w:r/>
          </w:p>
        </w:tc>
        <w:tc>
          <w:tcPr>
            <w:tcW w:w="1813" w:type="dxa"/>
            <w:vAlign w:val="center"/>
            <w:textDirection w:val="lrTb"/>
            <w:noWrap w:val="false"/>
          </w:tcPr>
          <w:p>
            <w:pPr>
              <w:pStyle w:val="1073"/>
              <w:jc w:val="center"/>
              <w:widowControl/>
              <w:rPr>
                <w:rFonts w:ascii="宋体" w:hAnsi="宋体" w:eastAsia="宋体"/>
                <w:szCs w:val="21"/>
                <w:highlight w:val="none"/>
              </w:rPr>
            </w:pPr>
            <w:r>
              <w:rPr>
                <w:rFonts w:ascii="宋体" w:hAnsi="宋体" w:eastAsia="宋体"/>
                <w:szCs w:val="21"/>
                <w:highlight w:val="none"/>
              </w:rPr>
              <w:t xml:space="preserve">其他无效情形</w:t>
            </w:r>
            <w:r>
              <w:rPr>
                <w:rFonts w:ascii="宋体" w:hAnsi="宋体" w:eastAsia="宋体"/>
                <w:szCs w:val="21"/>
                <w:highlight w:val="none"/>
              </w:rPr>
            </w:r>
            <w:r/>
          </w:p>
        </w:tc>
        <w:tc>
          <w:tcPr>
            <w:tcW w:w="6211" w:type="dxa"/>
            <w:vAlign w:val="center"/>
            <w:textDirection w:val="lrTb"/>
            <w:noWrap w:val="false"/>
          </w:tcPr>
          <w:p>
            <w:pPr>
              <w:pStyle w:val="1073"/>
              <w:jc w:val="left"/>
              <w:widowControl/>
              <w:rPr>
                <w:rFonts w:ascii="宋体" w:hAnsi="宋体" w:eastAsia="宋体"/>
                <w:szCs w:val="21"/>
                <w:highlight w:val="none"/>
              </w:rPr>
            </w:pPr>
            <w:r>
              <w:rPr>
                <w:rFonts w:ascii="宋体" w:hAnsi="宋体" w:eastAsia="宋体"/>
                <w:szCs w:val="21"/>
                <w:highlight w:val="none"/>
              </w:rPr>
              <w:t xml:space="preserve">投标人、投标文件不存在不符合法律、法规和招标文件规定的其他无效情形。</w:t>
            </w:r>
            <w:r>
              <w:rPr>
                <w:rFonts w:ascii="宋体" w:hAnsi="宋体" w:eastAsia="宋体"/>
                <w:szCs w:val="21"/>
                <w:highlight w:val="none"/>
              </w:rPr>
            </w:r>
            <w:r/>
          </w:p>
        </w:tc>
      </w:tr>
    </w:tbl>
    <w:p>
      <w:pPr>
        <w:pStyle w:val="1073"/>
        <w:numPr>
          <w:ilvl w:val="0"/>
          <w:numId w:val="14"/>
        </w:numPr>
        <w:spacing w:line="360" w:lineRule="auto"/>
        <w:tabs>
          <w:tab w:val="left" w:pos="900" w:leader="none"/>
          <w:tab w:val="left" w:pos="1080" w:leader="none"/>
          <w:tab w:val="left" w:pos="1589" w:leader="none"/>
        </w:tabs>
        <w:rPr>
          <w:rFonts w:ascii="宋体" w:hAnsi="宋体" w:eastAsia="宋体"/>
          <w:sz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40" w:right="1800" w:bottom="1440" w:left="1800" w:header="851" w:footer="992" w:gutter="0"/>
          <w:cols w:num="1" w:sep="0" w:space="1701" w:equalWidth="1"/>
          <w:docGrid w:linePitch="360"/>
        </w:sectPr>
      </w:pPr>
      <w:r>
        <w:rPr>
          <w:rFonts w:ascii="宋体" w:hAnsi="宋体" w:eastAsia="宋体"/>
          <w:sz w:val="24"/>
          <w:highlight w:val="none"/>
        </w:rPr>
      </w:r>
      <w:r/>
    </w:p>
    <w:p>
      <w:pPr>
        <w:pStyle w:val="1073"/>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投标文件有关事项的澄清或者说明</w:t>
      </w:r>
      <w:r>
        <w:rPr>
          <w:rFonts w:ascii="宋体" w:hAnsi="宋体" w:eastAsia="宋体"/>
          <w:sz w:val="24"/>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hint="eastAsia" w:ascii="宋体" w:hAnsi="宋体" w:eastAsia="宋体"/>
          <w:szCs w:val="21"/>
          <w:highlight w:val="none"/>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szCs w:val="21"/>
          <w:highlight w:val="none"/>
        </w:rPr>
        <w:t xml:space="preserve">2026</w:t>
      </w:r>
      <w:r>
        <w:rPr>
          <w:rFonts w:hint="eastAsia" w:ascii="宋体" w:hAnsi="宋体" w:eastAsia="宋体"/>
          <w:szCs w:val="21"/>
          <w:highlight w:val="none"/>
        </w:rPr>
        <w:t xml:space="preserve">〕2号），应当要求其在不见面开标大厅内合理的时间内提供说明，必要时提交相关证明材料：投标人不能证明其报价合理性的，评标委员会应当将其作为无效投标处理。</w:t>
      </w:r>
      <w:r>
        <w:rPr>
          <w:rFonts w:ascii="宋体" w:hAnsi="宋体" w:eastAsia="宋体"/>
          <w:szCs w:val="21"/>
          <w:highlight w:val="none"/>
        </w:rPr>
      </w:r>
      <w:r/>
    </w:p>
    <w:p>
      <w:pPr>
        <w:pStyle w:val="1073"/>
        <w:ind w:firstLine="105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异常低价投标（响应）审查的情形和具体要求如下：</w:t>
      </w:r>
      <w:r>
        <w:rPr>
          <w:rFonts w:ascii="宋体" w:hAnsi="宋体" w:eastAsia="宋体"/>
          <w:szCs w:val="21"/>
          <w:highlight w:val="none"/>
        </w:rPr>
      </w:r>
      <w:r/>
    </w:p>
    <w:p>
      <w:pPr>
        <w:pStyle w:val="1073"/>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投标（响应）报价低于全部通过符合性审查供应商投标（响应）报价平均值60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全部通过符合性审查供应商投标（响应）报价平均值</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3"/>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 </w:t>
      </w:r>
      <w:r>
        <w:rPr>
          <w:rFonts w:hint="eastAsia" w:ascii="宋体" w:hAnsi="宋体" w:eastAsia="宋体"/>
          <w:szCs w:val="21"/>
          <w:highlight w:val="none"/>
        </w:rPr>
        <w:t xml:space="preserve">投标（响应）报价低于通过符合性审查的次低报价供应商投标（响应）报价60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通过符合性审查的次低报价供应商投标（响应）报价</w:t>
      </w:r>
      <w:r>
        <w:rPr>
          <w:rFonts w:ascii="宋体" w:hAnsi="宋体" w:eastAsia="宋体"/>
          <w:szCs w:val="21"/>
          <w:highlight w:val="none"/>
        </w:rPr>
        <w:t xml:space="preserve">×</w:t>
      </w:r>
      <w:r>
        <w:rPr>
          <w:rFonts w:hint="eastAsia" w:ascii="宋体" w:hAnsi="宋体" w:eastAsia="宋体"/>
          <w:szCs w:val="21"/>
          <w:highlight w:val="none"/>
        </w:rPr>
        <w:t xml:space="preserve">6</w:t>
      </w:r>
      <w:r>
        <w:rPr>
          <w:rFonts w:ascii="宋体" w:hAnsi="宋体" w:eastAsia="宋体"/>
          <w:szCs w:val="21"/>
          <w:highlight w:val="none"/>
        </w:rPr>
        <w:t xml:space="preserve">0%</w:t>
      </w:r>
      <w:r>
        <w:rPr>
          <w:rFonts w:hint="eastAsia" w:ascii="宋体" w:hAnsi="宋体" w:eastAsia="宋体"/>
          <w:szCs w:val="21"/>
          <w:highlight w:val="none"/>
        </w:rPr>
        <w:t xml:space="preserve">；</w:t>
      </w:r>
      <w:r>
        <w:rPr>
          <w:rFonts w:ascii="宋体" w:hAnsi="宋体" w:eastAsia="宋体"/>
          <w:szCs w:val="21"/>
          <w:highlight w:val="none"/>
        </w:rPr>
      </w:r>
      <w:r/>
    </w:p>
    <w:p>
      <w:pPr>
        <w:pStyle w:val="1073"/>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3.投标（响应）报价低于采购项目最高限价60</w:t>
      </w:r>
      <w:r>
        <w:rPr>
          <w:rFonts w:ascii="宋体" w:hAnsi="宋体" w:eastAsia="宋体"/>
          <w:szCs w:val="21"/>
          <w:highlight w:val="none"/>
        </w:rPr>
        <w:t xml:space="preserve">%</w:t>
      </w:r>
      <w:r>
        <w:rPr>
          <w:rFonts w:hint="eastAsia" w:ascii="宋体" w:hAnsi="宋体" w:eastAsia="宋体"/>
          <w:szCs w:val="21"/>
          <w:highlight w:val="none"/>
        </w:rPr>
        <w:t xml:space="preserve">的，即投标（响应）报价</w:t>
      </w:r>
      <w:r>
        <w:rPr>
          <w:rFonts w:ascii="宋体" w:hAnsi="宋体" w:eastAsia="宋体"/>
          <w:szCs w:val="21"/>
          <w:highlight w:val="none"/>
        </w:rPr>
        <w:t xml:space="preserve">&lt;</w:t>
      </w:r>
      <w:r>
        <w:rPr>
          <w:rFonts w:hint="eastAsia" w:ascii="宋体" w:hAnsi="宋体" w:eastAsia="宋体"/>
          <w:szCs w:val="21"/>
          <w:highlight w:val="none"/>
        </w:rPr>
        <w:t xml:space="preserve">采购项目最高限价</w:t>
      </w:r>
      <w:r>
        <w:rPr>
          <w:rFonts w:ascii="宋体" w:hAnsi="宋体" w:eastAsia="宋体"/>
          <w:szCs w:val="21"/>
          <w:highlight w:val="none"/>
        </w:rPr>
        <w:t xml:space="preserve">×</w:t>
      </w:r>
      <w:r>
        <w:rPr>
          <w:rFonts w:hint="eastAsia" w:ascii="宋体" w:hAnsi="宋体" w:eastAsia="宋体"/>
          <w:szCs w:val="21"/>
          <w:highlight w:val="none"/>
        </w:rPr>
        <w:t xml:space="preserve">60</w:t>
      </w:r>
      <w:r>
        <w:rPr>
          <w:rFonts w:ascii="宋体" w:hAnsi="宋体" w:eastAsia="宋体"/>
          <w:szCs w:val="21"/>
          <w:highlight w:val="none"/>
        </w:rPr>
        <w:t xml:space="preserve">%</w:t>
      </w:r>
      <w:r>
        <w:rPr>
          <w:rFonts w:hint="eastAsia" w:ascii="宋体" w:hAnsi="宋体" w:eastAsia="宋体"/>
          <w:szCs w:val="21"/>
          <w:highlight w:val="none"/>
        </w:rPr>
        <w:t xml:space="preserve">；</w:t>
      </w:r>
      <w:r>
        <w:rPr>
          <w:rFonts w:ascii="宋体" w:hAnsi="宋体" w:eastAsia="宋体"/>
          <w:szCs w:val="21"/>
          <w:highlight w:val="none"/>
        </w:rPr>
      </w:r>
      <w:r/>
    </w:p>
    <w:p>
      <w:pPr>
        <w:pStyle w:val="1073"/>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4.评审委员会基于专业判断，认为供应商报价过低，有可能影响产品质量或者不能诚信履约的其他情形。</w:t>
      </w:r>
      <w:r>
        <w:rPr>
          <w:rFonts w:ascii="宋体" w:hAnsi="宋体" w:eastAsia="宋体"/>
          <w:szCs w:val="21"/>
          <w:highlight w:val="none"/>
        </w:rPr>
      </w:r>
      <w:r/>
    </w:p>
    <w:p>
      <w:pPr>
        <w:pStyle w:val="1073"/>
        <w:ind w:left="357" w:firstLine="630"/>
        <w:spacing w:line="360" w:lineRule="auto"/>
        <w:tabs>
          <w:tab w:val="left" w:pos="1080" w:leader="none"/>
        </w:tabs>
        <w:rPr>
          <w:rFonts w:ascii="宋体" w:hAnsi="宋体" w:eastAsia="宋体"/>
          <w:szCs w:val="21"/>
          <w:highlight w:val="none"/>
        </w:rPr>
      </w:pPr>
      <w:r>
        <w:rPr>
          <w:rFonts w:hint="eastAsia" w:ascii="宋体" w:hAnsi="宋体" w:eastAsia="宋体"/>
          <w:szCs w:val="21"/>
          <w:highlight w:val="none"/>
        </w:rPr>
        <w:t xml:space="preserve">5.评审委员会启动异常低价投标（响应）审查后，属于前述第</w:t>
      </w:r>
      <w:r>
        <w:rPr>
          <w:rFonts w:ascii="宋体" w:hAnsi="宋体" w:eastAsia="宋体"/>
          <w:szCs w:val="21"/>
          <w:highlight w:val="none"/>
        </w:rPr>
        <w:t xml:space="preserve">1</w:t>
      </w:r>
      <w:r>
        <w:rPr>
          <w:rFonts w:hint="eastAsia" w:ascii="宋体" w:hAnsi="宋体" w:eastAsia="宋体"/>
          <w:szCs w:val="21"/>
          <w:highlight w:val="none"/>
        </w:rPr>
        <w:t xml:space="preserve">项至第</w:t>
      </w:r>
      <w:r>
        <w:rPr>
          <w:rFonts w:ascii="宋体" w:hAnsi="宋体" w:eastAsia="宋体"/>
          <w:szCs w:val="21"/>
          <w:highlight w:val="none"/>
        </w:rPr>
        <w:t xml:space="preserve">4</w:t>
      </w:r>
      <w:r>
        <w:rPr>
          <w:rFonts w:hint="eastAsia" w:ascii="宋体" w:hAnsi="宋体" w:eastAsia="宋体"/>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szCs w:val="21"/>
          <w:highlight w:val="none"/>
        </w:rPr>
        <w:t xml:space="preserve">30</w:t>
      </w:r>
      <w:r>
        <w:rPr>
          <w:rFonts w:hint="eastAsia" w:ascii="宋体" w:hAnsi="宋体" w:eastAsia="宋体"/>
          <w:szCs w:val="21"/>
          <w:highlight w:val="none"/>
        </w:rPr>
        <w:t xml:space="preserve">分钟。其中，属于第</w:t>
      </w:r>
      <w:r>
        <w:rPr>
          <w:rFonts w:ascii="宋体" w:hAnsi="宋体" w:eastAsia="宋体"/>
          <w:szCs w:val="21"/>
          <w:highlight w:val="none"/>
        </w:rPr>
        <w:t xml:space="preserve">3</w:t>
      </w:r>
      <w:r>
        <w:rPr>
          <w:rFonts w:hint="eastAsia" w:ascii="宋体" w:hAnsi="宋体" w:eastAsia="宋体"/>
          <w:szCs w:val="21"/>
          <w:highlight w:val="none"/>
        </w:rPr>
        <w:t xml:space="preserve">项情形，供应商已随投标（响应）文件一并提交相关书面说明及必要的证明材料的，在评审现场可不再重复提交。</w:t>
      </w:r>
      <w:r>
        <w:rPr>
          <w:rFonts w:ascii="宋体" w:hAnsi="宋体" w:eastAsia="宋体"/>
          <w:szCs w:val="21"/>
          <w:highlight w:val="none"/>
        </w:rPr>
        <w:br w:type="textWrapping" w:clear="all"/>
      </w:r>
      <w:r>
        <w:rPr>
          <w:rFonts w:hint="eastAsia" w:ascii="宋体" w:hAnsi="宋体" w:eastAsia="宋体"/>
          <w:szCs w:val="21"/>
          <w:highlight w:val="none"/>
        </w:rPr>
        <w:t xml:space="preserve">    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投标文件报价出现前后不一致的，按照下列规定修正：</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eastAsia="宋体"/>
          <w:szCs w:val="21"/>
          <w:highlight w:val="none"/>
        </w:rPr>
      </w:pPr>
      <w:r>
        <w:rPr>
          <w:rFonts w:ascii="宋体" w:hAnsi="宋体" w:eastAsia="宋体"/>
          <w:szCs w:val="21"/>
          <w:highlight w:val="none"/>
        </w:rPr>
        <w:t xml:space="preserve">招标文件对于报价修正是否另有规定：</w:t>
      </w:r>
      <w:r>
        <w:rPr>
          <w:rFonts w:ascii="宋体" w:hAnsi="宋体" w:eastAsia="宋体"/>
          <w:szCs w:val="21"/>
          <w:highlight w:val="none"/>
        </w:rPr>
      </w:r>
      <w:r/>
    </w:p>
    <w:p>
      <w:pPr>
        <w:pStyle w:val="1073"/>
        <w:ind w:left="2035"/>
        <w:spacing w:line="360" w:lineRule="auto"/>
        <w:tabs>
          <w:tab w:val="left" w:pos="1080" w:leader="none"/>
          <w:tab w:val="left" w:pos="1589" w:leader="none"/>
          <w:tab w:val="left" w:pos="2035" w:leader="none"/>
          <w:tab w:val="left" w:pos="2114" w:leader="none"/>
        </w:tabs>
        <w:rPr>
          <w:rFonts w:ascii="宋体" w:hAnsi="宋体" w:eastAsia="宋体"/>
          <w:szCs w:val="21"/>
          <w:highlight w:val="none"/>
          <w:u w:val="single"/>
        </w:rPr>
      </w:pPr>
      <w:r>
        <w:rPr>
          <w:rFonts w:ascii="宋体" w:hAnsi="宋体" w:eastAsia="宋体"/>
          <w:szCs w:val="21"/>
          <w:highlight w:val="none"/>
        </w:rPr>
        <w:t xml:space="preserve">□有，具体规定为：______________</w:t>
      </w:r>
      <w:r>
        <w:rPr>
          <w:rFonts w:ascii="宋体" w:hAnsi="宋体" w:eastAsia="宋体"/>
          <w:szCs w:val="21"/>
          <w:highlight w:val="none"/>
          <w:u w:val="single"/>
        </w:rPr>
      </w:r>
      <w:r/>
    </w:p>
    <w:p>
      <w:pPr>
        <w:pStyle w:val="1073"/>
        <w:ind w:left="2035"/>
        <w:spacing w:line="360" w:lineRule="auto"/>
        <w:tabs>
          <w:tab w:val="left" w:pos="1080" w:leader="none"/>
          <w:tab w:val="left" w:pos="1589" w:leader="none"/>
          <w:tab w:val="left" w:pos="2035" w:leader="none"/>
          <w:tab w:val="left" w:pos="2114" w:leader="none"/>
        </w:tabs>
        <w:rPr>
          <w:rFonts w:ascii="宋体" w:hAnsi="宋体" w:eastAsia="宋体"/>
          <w:szCs w:val="21"/>
          <w:highlight w:val="none"/>
        </w:rPr>
      </w:pPr>
      <w:r>
        <w:rPr>
          <w:rFonts w:ascii="宋体" w:hAnsi="宋体" w:eastAsia="宋体"/>
          <w:szCs w:val="21"/>
          <w:highlight w:val="none"/>
        </w:rPr>
        <w:t xml:space="preserve">■无，按下述2.4.2-2.4.6项规定修正。</w:t>
      </w:r>
      <w:r>
        <w:rPr>
          <w:rFonts w:ascii="宋体" w:hAnsi="宋体" w:eastAsia="宋体"/>
          <w:szCs w:val="21"/>
          <w:highlight w:val="none"/>
        </w:rPr>
      </w:r>
      <w:r/>
    </w:p>
    <w:p>
      <w:pPr>
        <w:pStyle w:val="1073"/>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投标文件中开标一览表（报价表）内容与投标文件中相应内容不一致的，以开标一览表（报价表）为准；</w:t>
      </w:r>
      <w:r>
        <w:rPr>
          <w:rFonts w:ascii="宋体" w:hAnsi="宋体" w:eastAsia="宋体"/>
          <w:szCs w:val="21"/>
          <w:highlight w:val="none"/>
        </w:rPr>
      </w:r>
      <w:r/>
    </w:p>
    <w:p>
      <w:pPr>
        <w:pStyle w:val="1073"/>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大写金额和小写金额不一致的，以大写金额为准；</w:t>
      </w:r>
      <w:r>
        <w:rPr>
          <w:rFonts w:ascii="宋体" w:hAnsi="宋体" w:eastAsia="宋体"/>
          <w:szCs w:val="21"/>
          <w:highlight w:val="none"/>
        </w:rPr>
      </w:r>
      <w:r/>
    </w:p>
    <w:p>
      <w:pPr>
        <w:pStyle w:val="1073"/>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单价金额小数点或者百分比有明显错位的，以开标一览表的总价为准，并修改单价；</w:t>
      </w:r>
      <w:r>
        <w:rPr>
          <w:rFonts w:ascii="宋体" w:hAnsi="宋体" w:eastAsia="宋体"/>
          <w:szCs w:val="21"/>
          <w:highlight w:val="none"/>
        </w:rPr>
      </w:r>
      <w:r/>
    </w:p>
    <w:p>
      <w:pPr>
        <w:pStyle w:val="1073"/>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总价金额与按单价汇总金额不一致的，以单价金额计算结果为准。</w:t>
      </w:r>
      <w:r>
        <w:rPr>
          <w:rFonts w:ascii="宋体" w:hAnsi="宋体" w:eastAsia="宋体"/>
          <w:szCs w:val="21"/>
          <w:highlight w:val="none"/>
        </w:rPr>
      </w:r>
      <w:r/>
    </w:p>
    <w:p>
      <w:pPr>
        <w:pStyle w:val="1073"/>
        <w:numPr>
          <w:ilvl w:val="2"/>
          <w:numId w:val="13"/>
        </w:numPr>
        <w:ind w:left="2035"/>
        <w:spacing w:line="360" w:lineRule="auto"/>
        <w:tabs>
          <w:tab w:val="left" w:pos="1980" w:leader="none"/>
          <w:tab w:val="left" w:pos="2035" w:leader="none"/>
          <w:tab w:val="left" w:pos="2114" w:leader="none"/>
          <w:tab w:val="left" w:pos="2977" w:leader="none"/>
        </w:tabs>
        <w:rPr>
          <w:rFonts w:ascii="宋体" w:hAnsi="宋体" w:eastAsia="宋体"/>
          <w:szCs w:val="21"/>
          <w:highlight w:val="none"/>
        </w:rPr>
      </w:pPr>
      <w:r>
        <w:rPr>
          <w:rFonts w:ascii="宋体" w:hAnsi="宋体" w:eastAsia="宋体"/>
          <w:szCs w:val="21"/>
          <w:highlight w:val="none"/>
        </w:rPr>
        <w:t xml:space="preserve">同时出现两种以上不一致的，按照前款规定的顺序修正。修正后的报价经投标人书面确认后产生约束力，投标人不确认的，其</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b/>
          <w:szCs w:val="21"/>
          <w:highlight w:val="none"/>
        </w:rPr>
      </w:pPr>
      <w:r>
        <w:rPr>
          <w:rFonts w:ascii="宋体" w:hAnsi="宋体" w:eastAsia="宋体"/>
          <w:b/>
          <w:szCs w:val="21"/>
          <w:highlight w:val="none"/>
        </w:rPr>
        <w:t xml:space="preserve">落实政府采购政策的价格调整：</w:t>
      </w:r>
      <w:bookmarkStart w:id="754" w:name="OLE_LINK19"/>
      <w:r>
        <w:rPr>
          <w:rFonts w:ascii="宋体" w:hAnsi="宋体" w:eastAsia="宋体"/>
          <w:b/>
          <w:szCs w:val="21"/>
          <w:highlight w:val="none"/>
        </w:rPr>
        <w:t xml:space="preserve">本项目专门面向中小企业采购，须符合中小企业划型标准，并提供符合要求的《中小企业声明函》。（若为残疾人福利性单位，在政府采购活动中，视同小微企业，并提供相关证明材；若为监狱企业，在政府采购活动中，视同小型企业，并提供相关证明材料。）评标时各投标单位的价格均不作扣除。</w:t>
      </w:r>
      <w:r>
        <w:rPr>
          <w:rFonts w:ascii="宋体" w:hAnsi="宋体" w:eastAsia="宋体"/>
          <w:b/>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bookmarkEnd w:id="754"/>
      <w:r>
        <w:rPr>
          <w:rFonts w:ascii="宋体" w:hAnsi="宋体" w:eastAsia="宋体"/>
          <w:szCs w:val="21"/>
          <w:highlight w:val="none"/>
        </w:rPr>
        <w:t xml:space="preserve">对于未预留份额专门面向中小企业采购的采购项目，以及预留份额项目中的非预留部分采购包，对小微企业报价给予__</w:t>
      </w:r>
      <w:r>
        <w:rPr>
          <w:rFonts w:hint="eastAsia" w:ascii="宋体" w:hAnsi="宋体" w:eastAsia="宋体"/>
          <w:szCs w:val="21"/>
          <w:highlight w:val="none"/>
        </w:rPr>
        <w:t xml:space="preserve">/</w:t>
      </w:r>
      <w:r>
        <w:rPr>
          <w:rFonts w:ascii="宋体" w:hAnsi="宋体" w:eastAsia="宋体"/>
          <w:szCs w:val="21"/>
          <w:highlight w:val="none"/>
        </w:rPr>
        <w:t xml:space="preserve">_%的扣除，用扣除后的价格参加评审。</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ascii="宋体" w:hAnsi="宋体" w:eastAsia="宋体"/>
          <w:szCs w:val="21"/>
          <w:highlight w:val="none"/>
        </w:rPr>
        <w:t xml:space="preserve">/</w:t>
      </w:r>
      <w:r>
        <w:rPr>
          <w:rFonts w:ascii="宋体" w:hAnsi="宋体" w:eastAsia="宋体"/>
          <w:szCs w:val="21"/>
          <w:highlight w:val="none"/>
        </w:rPr>
        <w:t xml:space="preserve">__%的扣除，用扣除后的价格参加评审。</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组成联合体或者接受分包的小微企业与联合体内其他企业、分包企业之间存在直接控股、管理关系的，不享受价格扣除优惠政策。</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价格扣除比例对小型企业和微型企业同等对待，不作区分。</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中小企业参加政府采购活动，应当按照招标文件给定的格式出具《中小企业声明函》，否则不得享受相关中小企业扶持政策。</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监狱企业提供了由省级以上监狱管理局、戒毒管理局（含新疆生产建设兵团）出具的属于监狱企业的证明文件的，视同小微企业。</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残疾人福利性单位按招标文件要求提供了《残疾人福利性单位声明函》（见附件）的，视同小微企业。</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2014" w:leader="none"/>
        </w:tabs>
        <w:rPr>
          <w:rFonts w:ascii="宋体" w:hAnsi="宋体" w:eastAsia="宋体"/>
          <w:szCs w:val="21"/>
          <w:highlight w:val="none"/>
        </w:rPr>
      </w:pPr>
      <w:r>
        <w:rPr>
          <w:rFonts w:ascii="宋体" w:hAnsi="宋体" w:eastAsia="宋体"/>
          <w:szCs w:val="21"/>
          <w:highlight w:val="none"/>
        </w:rPr>
        <w:t xml:space="preserve">若投标人同时属于小型或微型企业、监狱企业、残疾人福利性单位中的两种及以上，将不重复享受小微企业价格扣减的优惠政策。</w:t>
      </w:r>
      <w:r>
        <w:rPr>
          <w:rFonts w:ascii="宋体" w:hAnsi="宋体" w:eastAsia="宋体"/>
          <w:szCs w:val="21"/>
          <w:highlight w:val="none"/>
        </w:rPr>
      </w:r>
      <w:r/>
    </w:p>
    <w:p>
      <w:pPr>
        <w:pStyle w:val="1073"/>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投标文件的比较和评价</w:t>
      </w:r>
      <w:bookmarkEnd w:id="737"/>
      <w:r/>
      <w:bookmarkEnd w:id="738"/>
      <w:r>
        <w:rPr>
          <w:rFonts w:ascii="宋体" w:hAnsi="宋体" w:eastAsia="宋体"/>
          <w:sz w:val="24"/>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评标方法和评标标准</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本项目采用的评标方法为：</w:t>
      </w:r>
      <w:r>
        <w:rPr>
          <w:rFonts w:ascii="宋体" w:hAnsi="宋体" w:eastAsia="宋体"/>
          <w:szCs w:val="21"/>
          <w:highlight w:val="none"/>
        </w:rPr>
      </w:r>
      <w:r/>
    </w:p>
    <w:p>
      <w:pPr>
        <w:pStyle w:val="1073"/>
        <w:ind w:left="1985"/>
        <w:spacing w:line="360" w:lineRule="auto"/>
        <w:tabs>
          <w:tab w:val="left" w:pos="900" w:leader="none"/>
          <w:tab w:val="left" w:pos="1589" w:leader="none"/>
          <w:tab w:val="left" w:pos="1701" w:leader="none"/>
        </w:tabs>
        <w:rPr>
          <w:rFonts w:ascii="宋体" w:hAnsi="宋体" w:eastAsia="宋体"/>
          <w:szCs w:val="21"/>
          <w:highlight w:val="none"/>
        </w:rPr>
      </w:pPr>
      <w:r>
        <w:rPr>
          <w:rFonts w:ascii="宋体" w:hAnsi="宋体" w:eastAsia="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szCs w:val="21"/>
          <w:highlight w:val="none"/>
        </w:rPr>
        <w:t xml:space="preserve">评标时，评标委员会成员分别对每个有效投标人的标书进行评价、打分，将评委的评分按算术平均方法(价格分除外)，计算出每个有效投标人的评委评审得分（保留小数点后两位）。投标报价得分直接计算取得。评委评审得分和投标报价得分相加为投标人的总得分。</w:t>
      </w:r>
      <w:r>
        <w:rPr>
          <w:rFonts w:ascii="宋体" w:hAnsi="宋体" w:eastAsia="宋体"/>
          <w:szCs w:val="21"/>
          <w:highlight w:val="none"/>
        </w:rPr>
      </w:r>
      <w:r/>
    </w:p>
    <w:p>
      <w:pPr>
        <w:pStyle w:val="1073"/>
        <w:ind w:left="1985"/>
        <w:spacing w:line="360" w:lineRule="auto"/>
        <w:tabs>
          <w:tab w:val="left" w:pos="900" w:leader="none"/>
          <w:tab w:val="left" w:pos="1589" w:leader="none"/>
          <w:tab w:val="left" w:pos="1701" w:leader="none"/>
        </w:tabs>
        <w:rPr>
          <w:rFonts w:ascii="宋体" w:hAnsi="宋体" w:eastAsia="宋体"/>
          <w:szCs w:val="21"/>
          <w:highlight w:val="none"/>
        </w:rPr>
      </w:pPr>
      <w:r>
        <w:rPr>
          <w:rFonts w:ascii="宋体" w:hAnsi="宋体" w:eastAsia="宋体"/>
          <w:szCs w:val="21"/>
          <w:highlight w:val="none"/>
        </w:rPr>
        <w:t xml:space="preserve">□最低评标价法，指投标文件满足招标文件全部实质性要求，且投标报价最低的投标人为中标候选人的评标方法。</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Cs w:val="21"/>
          <w:highlight w:val="none"/>
        </w:rPr>
        <w:t xml:space="preserve">投标无效</w:t>
      </w:r>
      <w:r>
        <w:rPr>
          <w:rFonts w:ascii="宋体" w:hAnsi="宋体" w:eastAsia="宋体"/>
          <w:szCs w:val="21"/>
          <w:highlight w:val="none"/>
        </w:rPr>
        <w:t xml:space="preserve">。</w:t>
      </w:r>
      <w:r>
        <w:rPr>
          <w:rFonts w:ascii="宋体" w:hAnsi="宋体" w:eastAsia="宋体"/>
          <w:szCs w:val="21"/>
          <w:highlight w:val="none"/>
        </w:rPr>
      </w:r>
      <w:r/>
    </w:p>
    <w:p>
      <w:pPr>
        <w:pStyle w:val="1073"/>
        <w:ind w:left="2035"/>
        <w:spacing w:line="360" w:lineRule="auto"/>
        <w:tabs>
          <w:tab w:val="left" w:pos="1080" w:leader="none"/>
          <w:tab w:val="left" w:pos="1589" w:leader="none"/>
          <w:tab w:val="left" w:pos="2035" w:leader="none"/>
        </w:tabs>
        <w:rPr>
          <w:rFonts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随机抽取</w:t>
      </w:r>
      <w:r>
        <w:rPr>
          <w:rFonts w:ascii="宋体" w:hAnsi="宋体" w:eastAsia="宋体"/>
          <w:szCs w:val="21"/>
          <w:highlight w:val="none"/>
        </w:rPr>
      </w:r>
      <w:r/>
    </w:p>
    <w:p>
      <w:pPr>
        <w:pStyle w:val="1073"/>
        <w:ind w:left="2035"/>
        <w:spacing w:line="360" w:lineRule="auto"/>
        <w:tabs>
          <w:tab w:val="left" w:pos="1080" w:leader="none"/>
          <w:tab w:val="left" w:pos="1589" w:leader="none"/>
          <w:tab w:val="left" w:pos="2035" w:leader="none"/>
        </w:tabs>
        <w:rPr>
          <w:rFonts w:ascii="宋体" w:hAnsi="宋体" w:eastAsia="宋体"/>
          <w:szCs w:val="21"/>
          <w:highlight w:val="none"/>
          <w:u w:val="single"/>
        </w:rPr>
      </w:pPr>
      <w:r>
        <w:rPr>
          <w:rFonts w:ascii="宋体" w:hAnsi="宋体" w:eastAsia="宋体"/>
          <w:szCs w:val="21"/>
          <w:highlight w:val="none"/>
        </w:rPr>
        <w:t xml:space="preserve">□其他方式，具体要求：_____</w:t>
      </w:r>
      <w:r>
        <w:rPr>
          <w:rFonts w:ascii="宋体" w:hAnsi="宋体" w:eastAsia="宋体"/>
          <w:szCs w:val="21"/>
          <w:highlight w:val="none"/>
          <w:u w:val="singl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非政府强制采购的节能产品或环境标志产品，依据品目清单和认证证书实施政府优先采购。优先采购的具体规定（如涉及）_____。</w:t>
      </w:r>
      <w:r>
        <w:rPr>
          <w:rFonts w:ascii="宋体" w:hAnsi="宋体" w:eastAsia="宋体"/>
          <w:szCs w:val="21"/>
          <w:highlight w:val="none"/>
        </w:rPr>
      </w:r>
      <w:r/>
    </w:p>
    <w:p>
      <w:pPr>
        <w:pStyle w:val="1073"/>
        <w:numPr>
          <w:ilvl w:val="2"/>
          <w:numId w:val="13"/>
        </w:numPr>
        <w:ind w:left="2035"/>
        <w:spacing w:line="360" w:lineRule="auto"/>
        <w:tabs>
          <w:tab w:val="left" w:pos="1080" w:leader="none"/>
          <w:tab w:val="left" w:pos="1589" w:leader="none"/>
          <w:tab w:val="left" w:pos="1980" w:leader="none"/>
          <w:tab w:val="left" w:pos="2035" w:leader="none"/>
        </w:tabs>
        <w:rPr>
          <w:rFonts w:ascii="宋体" w:hAnsi="宋体" w:eastAsia="宋体"/>
          <w:szCs w:val="21"/>
          <w:highlight w:val="none"/>
        </w:rPr>
      </w:pPr>
      <w:r>
        <w:rPr>
          <w:rFonts w:ascii="宋体" w:hAnsi="宋体" w:eastAsia="宋体"/>
          <w:szCs w:val="21"/>
          <w:highlight w:val="none"/>
        </w:rPr>
        <w:t xml:space="preserve">关于无线局域网认证产品政府采购清单中的产品，优先采购的具体规定（如涉及）_____。</w:t>
      </w:r>
      <w:r>
        <w:rPr>
          <w:rFonts w:ascii="宋体" w:hAnsi="宋体" w:eastAsia="宋体"/>
          <w:szCs w:val="21"/>
          <w:highlight w:val="none"/>
        </w:rPr>
      </w:r>
      <w:r/>
    </w:p>
    <w:p>
      <w:pPr>
        <w:pStyle w:val="1073"/>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确定</w:t>
      </w:r>
      <w:bookmarkStart w:id="755" w:name="_Toc226965736"/>
      <w:r/>
      <w:bookmarkStart w:id="756" w:name="_Toc164229387"/>
      <w:r/>
      <w:bookmarkStart w:id="757" w:name="_Toc151193716"/>
      <w:r/>
      <w:bookmarkStart w:id="758" w:name="_Toc164351640"/>
      <w:r/>
      <w:bookmarkStart w:id="759" w:name="_Toc127161460"/>
      <w:r/>
      <w:bookmarkStart w:id="760" w:name="_Toc149720839"/>
      <w:r/>
      <w:bookmarkStart w:id="761" w:name="_Toc151190173"/>
      <w:r/>
      <w:bookmarkStart w:id="762" w:name="_Toc164608660"/>
      <w:r/>
      <w:bookmarkStart w:id="763" w:name="_Toc226309790"/>
      <w:r/>
      <w:bookmarkStart w:id="764" w:name="_Toc520356170"/>
      <w:r/>
      <w:bookmarkStart w:id="765" w:name="_Toc151193860"/>
      <w:r/>
      <w:bookmarkStart w:id="766" w:name="_Toc150774646"/>
      <w:r/>
      <w:bookmarkStart w:id="767" w:name="_Toc265228384"/>
      <w:r/>
      <w:bookmarkStart w:id="768" w:name="_Toc226337242"/>
      <w:r/>
      <w:bookmarkStart w:id="769" w:name="_Toc150509297"/>
      <w:r/>
      <w:bookmarkStart w:id="770" w:name="_Toc164608815"/>
      <w:r/>
      <w:bookmarkStart w:id="771" w:name="_Ref467307010"/>
      <w:r/>
      <w:bookmarkStart w:id="772" w:name="_Toc164229241"/>
      <w:r/>
      <w:bookmarkStart w:id="773" w:name="_Toc127151546"/>
      <w:r/>
      <w:bookmarkStart w:id="774" w:name="_Toc150774751"/>
      <w:r/>
      <w:bookmarkStart w:id="775" w:name="_Toc150480784"/>
      <w:r/>
      <w:bookmarkStart w:id="776" w:name="_Toc305158814"/>
      <w:r/>
      <w:bookmarkStart w:id="777" w:name="_Toc151193934"/>
      <w:r/>
      <w:bookmarkStart w:id="778" w:name="_Toc127151747"/>
      <w:r/>
      <w:bookmarkStart w:id="779" w:name="_Toc305158888"/>
      <w:r/>
      <w:bookmarkStart w:id="780" w:name="_Toc151193788"/>
      <w:r/>
      <w:bookmarkStart w:id="781" w:name="_Toc195842911"/>
      <w:r/>
      <w:bookmarkStart w:id="782" w:name="_Toc226965819"/>
      <w:r/>
      <w:bookmarkStart w:id="783" w:name="_Toc151193644"/>
      <w:r/>
      <w:bookmarkStart w:id="784" w:name="_Toc264969236"/>
      <w:r/>
      <w:bookmarkStart w:id="785" w:name="_Toc142311048"/>
      <w:r>
        <w:rPr>
          <w:rFonts w:ascii="宋体" w:hAnsi="宋体" w:eastAsia="宋体"/>
          <w:sz w:val="24"/>
          <w:highlight w:val="none"/>
        </w:rPr>
        <w:t xml:space="preserve">中标候选人名单</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eastAsia="宋体"/>
          <w:sz w:val="24"/>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eastAsia="宋体"/>
          <w:szCs w:val="21"/>
          <w:highlight w:val="none"/>
        </w:rPr>
      </w:r>
      <w:r/>
    </w:p>
    <w:p>
      <w:pPr>
        <w:pStyle w:val="1116"/>
        <w:ind w:left="993" w:firstLine="119"/>
        <w:spacing w:line="360" w:lineRule="auto"/>
        <w:tabs>
          <w:tab w:val="left" w:pos="900" w:leader="none"/>
          <w:tab w:val="left" w:pos="2127" w:leader="none"/>
        </w:tabs>
        <w:rPr>
          <w:rFonts w:hAnsi="宋体"/>
          <w:szCs w:val="21"/>
          <w:highlight w:val="none"/>
        </w:rPr>
      </w:pPr>
      <w:r>
        <w:rPr>
          <w:rFonts w:hAnsi="宋体"/>
          <w:szCs w:val="21"/>
          <w:highlight w:val="none"/>
        </w:rPr>
        <w:t xml:space="preserve">□随机抽取</w:t>
      </w:r>
      <w:r>
        <w:rPr>
          <w:rFonts w:hAnsi="宋体"/>
          <w:szCs w:val="21"/>
          <w:highlight w:val="none"/>
        </w:rPr>
      </w:r>
      <w:r/>
    </w:p>
    <w:p>
      <w:pPr>
        <w:pStyle w:val="1116"/>
        <w:ind w:left="993" w:firstLine="119"/>
        <w:spacing w:line="360" w:lineRule="auto"/>
        <w:tabs>
          <w:tab w:val="left" w:pos="900" w:leader="none"/>
          <w:tab w:val="left" w:pos="2127" w:leader="none"/>
        </w:tabs>
        <w:rPr>
          <w:rFonts w:hAnsi="宋体"/>
          <w:szCs w:val="21"/>
          <w:highlight w:val="none"/>
        </w:rPr>
      </w:pPr>
      <w:r>
        <w:rPr>
          <w:rFonts w:hAnsi="宋体"/>
          <w:szCs w:val="21"/>
          <w:highlight w:val="none"/>
        </w:rPr>
        <w:t xml:space="preserve">□其他方式，具体要求：评审得分相同的，由报价较低的投标人获得中标人推荐资格，如报价也相同，则采取随机抽取方式确定。</w:t>
      </w:r>
      <w:r>
        <w:rPr>
          <w:rFonts w:hAnsi="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采用综合评分法时，评标结果按评审后得分由高到低顺序排列。得分相同的，按投标报价由低到高顺序排列。得分且投标报价相同的并列。由采购人授权评标委员会在评标现场随机抽取确定最终中标候选人。评分分值计算保留小数点后两位，第三位四舍五入。</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评标委员会要对评分汇总情况进行复核，特别是对排名第一的、报价最低的、投标或响应文件被认定为无效的情形进行重点复核。</w:t>
      </w:r>
      <w:r>
        <w:rPr>
          <w:rFonts w:ascii="宋体" w:hAnsi="宋体" w:eastAsia="宋体"/>
          <w:szCs w:val="21"/>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b/>
          <w:szCs w:val="21"/>
          <w:highlight w:val="none"/>
        </w:rPr>
      </w:pPr>
      <w:r>
        <w:rPr>
          <w:rFonts w:ascii="宋体" w:hAnsi="宋体" w:eastAsia="宋体"/>
          <w:szCs w:val="21"/>
          <w:highlight w:val="none"/>
        </w:rPr>
        <w:t xml:space="preserve">评标委员会将根据各投标人的评标排序，依次推荐本项目（各采购包）的中标候选人，起草并签署评标报告。本项目（各采购包）评标委员会</w:t>
      </w:r>
      <w:r>
        <w:rPr>
          <w:rFonts w:ascii="宋体" w:hAnsi="宋体" w:eastAsia="宋体"/>
          <w:b/>
          <w:szCs w:val="21"/>
          <w:highlight w:val="none"/>
        </w:rPr>
        <w:t xml:space="preserve">推荐</w:t>
      </w:r>
      <w:r>
        <w:rPr>
          <w:rFonts w:ascii="宋体" w:hAnsi="宋体" w:eastAsia="宋体"/>
          <w:b/>
          <w:szCs w:val="21"/>
          <w:highlight w:val="none"/>
          <w:u w:val="single"/>
        </w:rPr>
        <w:t xml:space="preserve">  1  </w:t>
      </w:r>
      <w:r>
        <w:rPr>
          <w:rFonts w:ascii="宋体" w:hAnsi="宋体" w:eastAsia="宋体"/>
          <w:b/>
          <w:szCs w:val="21"/>
          <w:highlight w:val="none"/>
        </w:rPr>
        <w:t xml:space="preserve">名中标候选人</w:t>
      </w:r>
      <w:r>
        <w:rPr>
          <w:rFonts w:ascii="宋体" w:hAnsi="宋体" w:eastAsia="宋体"/>
          <w:szCs w:val="21"/>
          <w:highlight w:val="none"/>
        </w:rPr>
        <w:t xml:space="preserve">。</w:t>
      </w:r>
      <w:r>
        <w:rPr>
          <w:rFonts w:ascii="宋体" w:hAnsi="宋体" w:eastAsia="宋体"/>
          <w:b/>
          <w:szCs w:val="21"/>
          <w:highlight w:val="none"/>
        </w:rPr>
      </w:r>
      <w:r/>
    </w:p>
    <w:p>
      <w:pPr>
        <w:pStyle w:val="1073"/>
        <w:numPr>
          <w:ilvl w:val="0"/>
          <w:numId w:val="13"/>
        </w:numPr>
        <w:spacing w:line="360" w:lineRule="auto"/>
        <w:tabs>
          <w:tab w:val="left" w:pos="360" w:leader="none"/>
          <w:tab w:val="left" w:pos="900" w:leader="none"/>
        </w:tabs>
        <w:rPr>
          <w:rFonts w:ascii="宋体" w:hAnsi="宋体" w:eastAsia="宋体"/>
          <w:sz w:val="24"/>
          <w:highlight w:val="none"/>
        </w:rPr>
        <w:outlineLvl w:val="1"/>
      </w:pPr>
      <w:r>
        <w:rPr>
          <w:rFonts w:ascii="宋体" w:hAnsi="宋体" w:eastAsia="宋体"/>
          <w:sz w:val="24"/>
          <w:highlight w:val="none"/>
        </w:rPr>
        <w:t xml:space="preserve">报告违法行为</w:t>
      </w:r>
      <w:r>
        <w:rPr>
          <w:rFonts w:ascii="宋体" w:hAnsi="宋体" w:eastAsia="宋体"/>
          <w:sz w:val="24"/>
          <w:highlight w:val="none"/>
        </w:rPr>
      </w:r>
      <w:r/>
    </w:p>
    <w:p>
      <w:pPr>
        <w:pStyle w:val="1073"/>
        <w:numPr>
          <w:ilvl w:val="1"/>
          <w:numId w:val="13"/>
        </w:numPr>
        <w:ind w:left="1077" w:hanging="720"/>
        <w:spacing w:line="360" w:lineRule="auto"/>
        <w:tabs>
          <w:tab w:val="left" w:pos="1080" w:leader="none"/>
          <w:tab w:val="left" w:pos="1589" w:leader="none"/>
        </w:tabs>
        <w:rPr>
          <w:rFonts w:ascii="宋体" w:hAnsi="宋体" w:eastAsia="宋体"/>
          <w:szCs w:val="21"/>
          <w:highlight w:val="none"/>
        </w:rPr>
      </w:pPr>
      <w:r>
        <w:rPr>
          <w:rFonts w:ascii="宋体" w:hAnsi="宋体" w:eastAsia="宋体"/>
          <w:szCs w:val="21"/>
          <w:highlight w:val="none"/>
        </w:rPr>
        <w:t xml:space="preserve">评标委员会在评标过程中发现投标人有行贿、提供虚假材料或者串通等违法行为时，有向采购人、采购代理机构或者有关部门报告的职责。</w:t>
      </w:r>
      <w:r>
        <w:rPr>
          <w:rFonts w:ascii="宋体" w:hAnsi="宋体" w:eastAsia="宋体"/>
          <w:szCs w:val="21"/>
          <w:highlight w:val="none"/>
        </w:rPr>
      </w:r>
      <w:r/>
    </w:p>
    <w:p>
      <w:pPr>
        <w:pStyle w:val="1073"/>
        <w:jc w:val="center"/>
        <w:spacing w:line="360" w:lineRule="auto"/>
        <w:widowControl/>
        <w:rPr>
          <w:rFonts w:hint="eastAsia" w:ascii="宋体" w:hAnsi="宋体" w:eastAsia="宋体" w:cs="宋体"/>
          <w:szCs w:val="21"/>
          <w:highlight w:val="none"/>
        </w:rPr>
      </w:pPr>
      <w:r>
        <w:rPr>
          <w:rFonts w:ascii="宋体" w:hAnsi="宋体" w:eastAsia="宋体"/>
          <w:b/>
          <w:sz w:val="28"/>
          <w:szCs w:val="28"/>
          <w:highlight w:val="none"/>
        </w:rPr>
        <w:br w:type="page" w:clear="all"/>
      </w:r>
      <w:r>
        <w:rPr>
          <w:rFonts w:ascii="宋体" w:hAnsi="宋体" w:eastAsia="宋体"/>
          <w:b/>
          <w:sz w:val="28"/>
          <w:szCs w:val="28"/>
          <w:highlight w:val="none"/>
        </w:rPr>
        <w:t xml:space="preserve">二、评标标准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一、价格分20分</w:t>
      </w:r>
      <w:r>
        <w:rPr>
          <w:rFonts w:hint="eastAsia" w:ascii="宋体" w:hAnsi="宋体" w:eastAsia="宋体" w:cs="宋体"/>
          <w:b/>
          <w:bCs/>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投标报价得分＝（评标基准价/投标报价）×20％×100</w:t>
      </w:r>
      <w:r>
        <w:rPr>
          <w:rFonts w:hint="eastAsia" w:ascii="宋体" w:hAnsi="宋体" w:eastAsia="宋体" w:cs="宋体"/>
          <w:szCs w:val="21"/>
          <w:highlight w:val="none"/>
        </w:rPr>
      </w:r>
      <w:r/>
    </w:p>
    <w:p>
      <w:pPr>
        <w:pStyle w:val="1109"/>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二、服务技术方案（</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1109"/>
        <w:ind w:firstLine="42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1、对项目的整体认知程度及提供运行的服务方案，其中以下运维方案需着重说明（</w:t>
      </w:r>
      <w:r>
        <w:rPr>
          <w:rFonts w:hint="eastAsia" w:ascii="宋体" w:hAnsi="宋体" w:eastAsia="宋体" w:cs="宋体"/>
          <w:b w:val="0"/>
          <w:bCs w:val="0"/>
          <w:szCs w:val="21"/>
          <w:highlight w:val="none"/>
          <w:lang w:val="en-US" w:eastAsia="zh-CN"/>
        </w:rPr>
        <w:t xml:space="preserve">40</w:t>
      </w:r>
      <w:r>
        <w:rPr>
          <w:rFonts w:hint="eastAsia" w:ascii="宋体" w:hAnsi="宋体" w:eastAsia="宋体" w:cs="宋体"/>
          <w:b w:val="0"/>
          <w:bCs w:val="0"/>
          <w:szCs w:val="21"/>
          <w:highlight w:val="none"/>
        </w:rPr>
        <w:t xml:space="preserve">分）：</w:t>
      </w:r>
      <w:r>
        <w:rPr>
          <w:rFonts w:hint="eastAsia" w:ascii="宋体" w:hAnsi="宋体" w:eastAsia="宋体" w:cs="宋体"/>
          <w:b w:val="0"/>
          <w:bCs w:val="0"/>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（1）纵横工程智能交通服务管理平台维护服务方案（8分）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投标人应对用户现场进行充分的调研勘察，了解用户实际业务流程及平台现状，正确理解用户需求和目标，制定服务方案。</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根据投标人对纵横工程智能交通服务管理平台维护服务方案进行评分，方案内容至少包括：</w:t>
      </w:r>
      <w:bookmarkStart w:id="786" w:name="OLE_LINK26"/>
      <w:r/>
      <w:bookmarkStart w:id="787" w:name="OLE_LINK25"/>
      <w:r/>
      <w:bookmarkStart w:id="788" w:name="OLE_LINK32"/>
      <w:r/>
      <w:bookmarkStart w:id="789" w:name="OLE_LINK27"/>
      <w:r>
        <w:rPr>
          <w:rFonts w:hint="eastAsia" w:ascii="宋体" w:hAnsi="宋体" w:eastAsia="宋体" w:cs="宋体"/>
          <w:szCs w:val="21"/>
          <w:highlight w:val="none"/>
        </w:rPr>
        <w:t xml:space="preserve">①</w:t>
      </w:r>
      <w:bookmarkEnd w:id="786"/>
      <w:r/>
      <w:bookmarkEnd w:id="787"/>
      <w:r>
        <w:rPr>
          <w:rFonts w:hint="eastAsia" w:ascii="宋体" w:hAnsi="宋体" w:eastAsia="宋体" w:cs="宋体"/>
          <w:szCs w:val="21"/>
          <w:highlight w:val="none"/>
        </w:rPr>
        <w:t xml:space="preserve">对项目需求的理解、②对用户平台现状</w:t>
      </w:r>
      <w:bookmarkEnd w:id="788"/>
      <w:r/>
      <w:bookmarkEnd w:id="789"/>
      <w:r>
        <w:rPr>
          <w:rFonts w:hint="eastAsia" w:ascii="宋体" w:hAnsi="宋体" w:eastAsia="宋体" w:cs="宋体"/>
          <w:szCs w:val="21"/>
          <w:highlight w:val="none"/>
        </w:rPr>
        <w:t xml:space="preserve">及存在问题的描述、</w:t>
      </w:r>
      <w:bookmarkStart w:id="790" w:name="OLE_LINK37"/>
      <w:r/>
      <w:bookmarkStart w:id="791" w:name="OLE_LINK33"/>
      <w:r>
        <w:rPr>
          <w:rFonts w:hint="eastAsia" w:ascii="宋体" w:hAnsi="宋体" w:eastAsia="宋体" w:cs="宋体"/>
          <w:szCs w:val="21"/>
          <w:highlight w:val="none"/>
        </w:rPr>
        <w:t xml:space="preserve">③</w:t>
      </w:r>
      <w:bookmarkEnd w:id="790"/>
      <w:r/>
      <w:bookmarkEnd w:id="791"/>
      <w:r>
        <w:rPr>
          <w:rFonts w:hint="eastAsia" w:ascii="宋体" w:hAnsi="宋体" w:eastAsia="宋体" w:cs="宋体"/>
          <w:szCs w:val="21"/>
          <w:highlight w:val="none"/>
        </w:rPr>
        <w:t xml:space="preserve">日常服务巡检计划、</w:t>
      </w:r>
      <w:bookmarkStart w:id="792" w:name="OLE_LINK39"/>
      <w:r/>
      <w:bookmarkStart w:id="793" w:name="OLE_LINK36"/>
      <w:r>
        <w:rPr>
          <w:rFonts w:hint="eastAsia" w:ascii="宋体" w:hAnsi="宋体" w:eastAsia="宋体" w:cs="宋体"/>
          <w:szCs w:val="21"/>
          <w:highlight w:val="none"/>
        </w:rPr>
        <w:t xml:space="preserve">④</w:t>
      </w:r>
      <w:bookmarkEnd w:id="792"/>
      <w:r/>
      <w:bookmarkEnd w:id="793"/>
      <w:r>
        <w:rPr>
          <w:rFonts w:hint="eastAsia" w:ascii="宋体" w:hAnsi="宋体" w:eastAsia="宋体" w:cs="宋体"/>
          <w:szCs w:val="21"/>
          <w:highlight w:val="none"/>
        </w:rPr>
        <w:t xml:space="preserve">服务应急预案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（2）（成利吉）道路交通信号控制系统维护（10分）</w:t>
      </w:r>
      <w:r>
        <w:rPr>
          <w:rFonts w:hint="eastAsia" w:ascii="宋体" w:hAnsi="宋体" w:eastAsia="宋体" w:cs="宋体"/>
          <w:szCs w:val="21"/>
          <w:highlight w:val="none"/>
        </w:rPr>
      </w:r>
      <w:r/>
    </w:p>
    <w:p>
      <w:pPr>
        <w:pStyle w:val="1073"/>
        <w:ind w:firstLine="63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根据投标人对太仓交警（成利吉）道路交通信号控制系统维护方案进行评分，方案内容至少包括：①</w:t>
      </w:r>
      <w:r>
        <w:rPr>
          <w:rFonts w:ascii="宋体" w:hAnsi="宋体" w:eastAsia="宋体" w:cs="宋体"/>
          <w:szCs w:val="21"/>
          <w:highlight w:val="none"/>
        </w:rPr>
        <w:t xml:space="preserve">太仓市智能交通系统的软硬件系统结构</w:t>
      </w:r>
      <w:r>
        <w:rPr>
          <w:rFonts w:hint="eastAsia" w:ascii="宋体" w:hAnsi="宋体" w:eastAsia="宋体" w:cs="宋体"/>
          <w:szCs w:val="21"/>
          <w:highlight w:val="none"/>
        </w:rPr>
        <w:t xml:space="preserve">、②</w:t>
      </w:r>
      <w:r>
        <w:rPr>
          <w:rFonts w:ascii="宋体" w:hAnsi="宋体" w:eastAsia="宋体" w:cs="宋体"/>
          <w:szCs w:val="21"/>
          <w:highlight w:val="none"/>
        </w:rPr>
        <w:t xml:space="preserve">常用功能</w:t>
      </w:r>
      <w:r>
        <w:rPr>
          <w:rFonts w:hint="eastAsia" w:ascii="宋体" w:hAnsi="宋体" w:eastAsia="宋体" w:cs="宋体"/>
          <w:szCs w:val="21"/>
          <w:highlight w:val="none"/>
        </w:rPr>
        <w:t xml:space="preserve">、③信号控制系统的</w:t>
      </w:r>
      <w:r>
        <w:rPr>
          <w:rFonts w:ascii="宋体" w:hAnsi="宋体" w:eastAsia="宋体" w:cs="宋体"/>
          <w:szCs w:val="21"/>
          <w:highlight w:val="none"/>
        </w:rPr>
        <w:t xml:space="preserve">硬件故障现象判断及故障排除方法</w:t>
      </w:r>
      <w:r>
        <w:rPr>
          <w:rFonts w:hint="eastAsia" w:ascii="宋体" w:hAnsi="宋体" w:eastAsia="宋体" w:cs="宋体"/>
          <w:szCs w:val="21"/>
          <w:highlight w:val="none"/>
        </w:rPr>
        <w:t xml:space="preserve">、④</w:t>
      </w:r>
      <w:r>
        <w:rPr>
          <w:rFonts w:ascii="宋体" w:hAnsi="宋体" w:eastAsia="宋体" w:cs="宋体"/>
          <w:szCs w:val="21"/>
          <w:highlight w:val="none"/>
        </w:rPr>
        <w:t xml:space="preserve">太仓市信号机、服务器组网方式、</w:t>
      </w:r>
      <w:r>
        <w:rPr>
          <w:rFonts w:hint="eastAsia" w:ascii="宋体" w:hAnsi="宋体" w:eastAsia="宋体" w:cs="宋体"/>
          <w:szCs w:val="21"/>
          <w:highlight w:val="none"/>
        </w:rPr>
        <w:t xml:space="preserve">⑤</w:t>
      </w:r>
      <w:r>
        <w:rPr>
          <w:rFonts w:ascii="宋体" w:hAnsi="宋体" w:eastAsia="宋体" w:cs="宋体"/>
          <w:szCs w:val="21"/>
          <w:highlight w:val="none"/>
        </w:rPr>
        <w:t xml:space="preserve">维护项目实施保障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073"/>
        <w:ind w:firstLine="63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（3）太仓警务交警系统维护（6分）</w:t>
      </w:r>
      <w:r>
        <w:rPr>
          <w:rFonts w:hint="eastAsia" w:ascii="宋体" w:hAnsi="宋体" w:eastAsia="宋体" w:cs="宋体"/>
          <w:szCs w:val="21"/>
          <w:highlight w:val="none"/>
        </w:rPr>
      </w:r>
      <w:r/>
    </w:p>
    <w:p>
      <w:pPr>
        <w:pStyle w:val="1073"/>
        <w:ind w:firstLine="63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根据投标人对太仓警务交警系统维护方案进行评分，方案内容至少包括: ①对项目需求的理解、②日常运维服务计划、③服务应急保障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9"/>
        <w:ind w:firstLine="420"/>
        <w:spacing w:line="360" w:lineRule="auto"/>
        <w:rPr>
          <w:rFonts w:hint="eastAsia" w:ascii="宋体" w:hAnsi="宋体" w:eastAsia="宋体" w:cs="宋体"/>
          <w:szCs w:val="21"/>
          <w:highlight w:val="none"/>
        </w:rPr>
      </w:pPr>
      <w:r/>
      <w:bookmarkStart w:id="794" w:name="OLE_LINK43"/>
      <w:r/>
      <w:bookmarkStart w:id="795" w:name="OLE_LINK42"/>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bookmarkStart w:id="796" w:name="OLE_LINK24"/>
      <w:r>
        <w:rPr>
          <w:rFonts w:hint="eastAsia" w:ascii="宋体" w:hAnsi="宋体" w:eastAsia="宋体" w:cs="宋体"/>
          <w:szCs w:val="21"/>
          <w:highlight w:val="none"/>
        </w:rPr>
        <w:t xml:space="preserve">非现场</w:t>
      </w:r>
      <w:bookmarkEnd w:id="796"/>
      <w:r>
        <w:rPr>
          <w:rFonts w:hint="eastAsia" w:ascii="宋体" w:hAnsi="宋体" w:eastAsia="宋体" w:cs="宋体"/>
          <w:szCs w:val="21"/>
          <w:highlight w:val="none"/>
        </w:rPr>
        <w:t xml:space="preserve">违法数据处理平台服务（8分）</w:t>
      </w:r>
      <w:r>
        <w:rPr>
          <w:rFonts w:hint="eastAsia" w:ascii="宋体" w:hAnsi="宋体" w:eastAsia="宋体" w:cs="宋体"/>
          <w:szCs w:val="21"/>
          <w:highlight w:val="none"/>
        </w:rPr>
      </w:r>
      <w:r/>
    </w:p>
    <w:p>
      <w:pPr>
        <w:pStyle w:val="1073"/>
        <w:ind w:firstLine="63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根据投标人对太仓交警非现场违法数据接入平台维护服务方案进行评分，方案内容至少包括：①对项目需求的理解、②平台现状、③巡检计划、④应急保障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bookmarkEnd w:id="794"/>
      <w:r/>
      <w:bookmarkEnd w:id="795"/>
      <w:r/>
      <w:bookmarkStart w:id="797" w:name="OLE_LINK22"/>
      <w:r/>
      <w:bookmarkStart w:id="798" w:name="OLE_LINK23"/>
      <w:r>
        <w:rPr>
          <w:rFonts w:hint="eastAsia" w:ascii="宋体" w:hAnsi="宋体" w:eastAsia="宋体" w:cs="宋体"/>
          <w:szCs w:val="21"/>
          <w:highlight w:val="none"/>
        </w:rPr>
        <w:t xml:space="preserve">（5）</w:t>
      </w:r>
      <w:bookmarkEnd w:id="797"/>
      <w:r/>
      <w:bookmarkEnd w:id="798"/>
      <w:r>
        <w:rPr>
          <w:rFonts w:hint="eastAsia" w:ascii="宋体" w:hAnsi="宋体" w:eastAsia="宋体" w:cs="宋体"/>
          <w:szCs w:val="21"/>
          <w:highlight w:val="none"/>
        </w:rPr>
        <w:t xml:space="preserve">道路交通技术监控系统维护服务方案（8分）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根据投标人对道路交通技术监控系统维护方案进行评分，方案内容至少包括：①维护内容、②维护计划、③保障措施、④服务应急预案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bookmarkStart w:id="799" w:name="OLE_LINK2"/>
      <w:r>
        <w:rPr>
          <w:rFonts w:hint="eastAsia" w:ascii="宋体" w:hAnsi="宋体" w:eastAsia="宋体" w:cs="宋体"/>
          <w:szCs w:val="21"/>
          <w:highlight w:val="none"/>
        </w:rPr>
        <w:t xml:space="preserve">服务响应方案（6分）根据投标人对技防类设施发生故障的服务方案进行评分，方案内容至少包括</w:t>
      </w:r>
      <w:bookmarkEnd w:id="799"/>
      <w:r>
        <w:rPr>
          <w:rFonts w:hint="eastAsia" w:ascii="宋体" w:hAnsi="宋体" w:eastAsia="宋体" w:cs="宋体"/>
          <w:szCs w:val="21"/>
          <w:highlight w:val="none"/>
        </w:rPr>
        <w:t xml:space="preserve">：①故障响应、②人员配置、③出行方式（含出发地及目的地）</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109"/>
        <w:ind w:firstLine="420"/>
        <w:spacing w:line="360" w:lineRule="auto"/>
        <w:rPr>
          <w:rFonts w:hint="eastAsia" w:ascii="宋体" w:hAnsi="宋体" w:eastAsia="宋体" w:cs="宋体"/>
          <w:szCs w:val="21"/>
          <w:highlight w:val="none"/>
        </w:rPr>
      </w:pPr>
      <w:r/>
      <w:bookmarkStart w:id="800" w:name="OLE_LINK1"/>
      <w:r>
        <w:rPr>
          <w:rFonts w:hint="eastAsia" w:ascii="宋体" w:hAnsi="宋体" w:eastAsia="宋体" w:cs="宋体"/>
          <w:szCs w:val="21"/>
          <w:highlight w:val="none"/>
          <w:lang w:eastAsia="zh-CN"/>
        </w:rPr>
        <w:t xml:space="preserve">方案内容每有一项内容针对本项目且符合本项目实际需求的，得2分，满分</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分。每缺少一项内容，或内容非专门针对本项目，或内容不能满足本项目实际需求的，不得分。</w:t>
      </w:r>
      <w:r>
        <w:rPr>
          <w:rFonts w:hint="eastAsia" w:ascii="宋体" w:hAnsi="宋体" w:eastAsia="宋体" w:cs="宋体"/>
          <w:szCs w:val="21"/>
          <w:highlight w:val="none"/>
        </w:rPr>
      </w:r>
      <w:r/>
    </w:p>
    <w:p>
      <w:pPr>
        <w:pStyle w:val="1109"/>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二、投标单位综合实力（29分）</w:t>
      </w:r>
      <w:r>
        <w:rPr>
          <w:rFonts w:hint="eastAsia" w:ascii="宋体" w:hAnsi="宋体" w:eastAsia="宋体" w:cs="宋体"/>
          <w:b/>
          <w:bCs/>
          <w:szCs w:val="21"/>
          <w:highlight w:val="none"/>
        </w:rPr>
      </w:r>
      <w:r/>
    </w:p>
    <w:p>
      <w:pPr>
        <w:pStyle w:val="1073"/>
        <w:ind w:firstLine="482"/>
        <w:spacing w:line="360" w:lineRule="auto"/>
        <w:widowControl/>
        <w:rPr>
          <w:rFonts w:hint="eastAsia" w:ascii="宋体" w:hAnsi="宋体" w:eastAsia="宋体" w:cs="宋体"/>
          <w:szCs w:val="21"/>
          <w:highlight w:val="none"/>
        </w:rPr>
      </w:pPr>
      <w:r/>
      <w:bookmarkEnd w:id="800"/>
      <w:r>
        <w:rPr>
          <w:rFonts w:hint="eastAsia" w:ascii="宋体" w:hAnsi="宋体" w:eastAsia="宋体" w:cs="宋体"/>
          <w:szCs w:val="21"/>
          <w:highlight w:val="none"/>
        </w:rPr>
        <w:t xml:space="preserve">1、项目团队（14分）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项目团队成员中，具备电子信息工程相关专业中级及以上职称者，按以下标准计分：具有高级职称的，每具备1名得4分；具有中级职称的，每具备1名得 2 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本项最高得14分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投标人须提供相关人员职称证书扫描件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11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2、类似业绩（15分）</w:t>
      </w:r>
      <w:r>
        <w:rPr>
          <w:rFonts w:hint="eastAsia" w:ascii="宋体" w:hAnsi="宋体" w:eastAsia="宋体" w:cs="宋体"/>
          <w:szCs w:val="21"/>
          <w:highlight w:val="none"/>
        </w:rPr>
      </w:r>
      <w:r/>
    </w:p>
    <w:p>
      <w:pPr>
        <w:pStyle w:val="110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具有2023年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时间以合同签订时间为准）</w:t>
      </w:r>
      <w:r>
        <w:rPr>
          <w:rFonts w:hint="eastAsia" w:ascii="宋体" w:hAnsi="宋体" w:eastAsia="宋体" w:cs="宋体"/>
          <w:szCs w:val="21"/>
          <w:highlight w:val="none"/>
        </w:rPr>
        <w:t xml:space="preserve">以来包含道路高清治安监控或车辆高清抓拍卡口（或电子警察卡口）的安防类监控维护项目业绩，有一个得3分，最高15分，须附合同书扫描件加盖公章。</w:t>
      </w:r>
      <w:r>
        <w:rPr>
          <w:rFonts w:hint="eastAsia" w:ascii="宋体" w:hAnsi="宋体" w:eastAsia="宋体" w:cs="宋体"/>
          <w:szCs w:val="21"/>
          <w:highlight w:val="none"/>
        </w:rPr>
      </w:r>
      <w:r/>
    </w:p>
    <w:p>
      <w:pPr>
        <w:pStyle w:val="1109"/>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三、服务承诺（5）</w:t>
      </w:r>
      <w:r>
        <w:rPr>
          <w:rFonts w:hint="eastAsia" w:ascii="宋体" w:hAnsi="宋体" w:eastAsia="宋体" w:cs="宋体"/>
          <w:b/>
          <w:bCs/>
          <w:szCs w:val="21"/>
          <w:highlight w:val="none"/>
        </w:rPr>
      </w:r>
      <w:r/>
    </w:p>
    <w:p>
      <w:pPr>
        <w:pStyle w:val="1109"/>
        <w:ind w:left="0"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1、响应承诺（1分）</w:t>
      </w:r>
      <w:r>
        <w:rPr>
          <w:rFonts w:hint="eastAsia" w:ascii="宋体" w:hAnsi="宋体" w:eastAsia="宋体" w:cs="宋体"/>
          <w:szCs w:val="21"/>
          <w:highlight w:val="none"/>
        </w:rPr>
      </w:r>
      <w:r/>
    </w:p>
    <w:p>
      <w:pPr>
        <w:pStyle w:val="1073"/>
        <w:ind w:firstLine="482"/>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对技防类设施发生的故障，承诺服务时间范围在7天*24，且在紧急情况下根据</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要求1.5小时内到场服务的得1分（提供承诺书，格式自拟，须有投标人公章）。</w:t>
      </w:r>
      <w:r>
        <w:rPr>
          <w:rFonts w:hint="eastAsia" w:ascii="宋体" w:hAnsi="宋体" w:eastAsia="宋体" w:cs="宋体"/>
          <w:szCs w:val="21"/>
          <w:highlight w:val="none"/>
        </w:rPr>
      </w:r>
      <w:r/>
    </w:p>
    <w:p>
      <w:pPr>
        <w:pStyle w:val="1073"/>
        <w:ind w:firstLine="482"/>
        <w:spacing w:line="360" w:lineRule="auto"/>
        <w:widowControl/>
        <w:rPr>
          <w:rFonts w:hint="eastAsia" w:ascii="宋体" w:hAnsi="宋体" w:eastAsia="宋体" w:cs="宋体"/>
          <w:szCs w:val="21"/>
          <w:highlight w:val="none"/>
        </w:rPr>
      </w:pPr>
      <w:r/>
      <w:bookmarkStart w:id="801" w:name="OLE_LINK31"/>
      <w:r/>
      <w:bookmarkStart w:id="802" w:name="OLE_LINK30"/>
      <w:r>
        <w:rPr>
          <w:rFonts w:hint="eastAsia" w:ascii="宋体" w:hAnsi="宋体" w:eastAsia="宋体" w:cs="宋体"/>
          <w:szCs w:val="21"/>
          <w:highlight w:val="none"/>
        </w:rPr>
        <w:t xml:space="preserve">2、承诺人员驻场（2）</w:t>
      </w:r>
      <w:bookmarkEnd w:id="801"/>
      <w:r/>
      <w:bookmarkEnd w:id="802"/>
      <w:r>
        <w:rPr>
          <w:rFonts w:hint="eastAsia" w:ascii="宋体" w:hAnsi="宋体" w:eastAsia="宋体" w:cs="宋体"/>
          <w:szCs w:val="21"/>
          <w:highlight w:val="none"/>
        </w:rPr>
      </w:r>
      <w:r/>
    </w:p>
    <w:p>
      <w:pPr>
        <w:pStyle w:val="1073"/>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因项目涉及公安网络安全及数据安全同时保障服务时效。投标单位承诺将投入本项目的维护人员派驻在公安机关进行驻场服务得2分，提供驻场承诺书（格式自拟，须有投标人公章），不提供不得分。 </w:t>
      </w:r>
      <w:r>
        <w:rPr>
          <w:rFonts w:ascii="宋体" w:hAnsi="宋体" w:eastAsia="宋体" w:cs="宋体"/>
          <w:szCs w:val="21"/>
          <w:highlight w:val="none"/>
        </w:rPr>
      </w:r>
      <w:r/>
    </w:p>
    <w:p>
      <w:pPr>
        <w:pStyle w:val="1073"/>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3、承诺车辆派驻（2）</w:t>
      </w:r>
      <w:r>
        <w:rPr>
          <w:rFonts w:ascii="宋体" w:hAnsi="宋体" w:eastAsia="宋体" w:cs="宋体"/>
          <w:szCs w:val="21"/>
          <w:highlight w:val="none"/>
        </w:rPr>
      </w:r>
      <w:r/>
    </w:p>
    <w:p>
      <w:pPr>
        <w:pStyle w:val="107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为提高服务的及时性，投标单位承诺投标提供的基础维修车辆在服务期内长期派驻太仓，专门服务为本项目使用的得2分，提供驻场服务承诺书（格式自拟，须有投标人公章），不提供不得分。</w:t>
      </w:r>
      <w:r>
        <w:rPr>
          <w:rFonts w:hint="eastAsia" w:ascii="宋体" w:hAnsi="宋体" w:eastAsia="宋体" w:cs="宋体"/>
          <w:szCs w:val="21"/>
          <w:highlight w:val="none"/>
        </w:rPr>
      </w:r>
      <w:r/>
    </w:p>
    <w:p>
      <w:pPr>
        <w:pStyle w:val="1073"/>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w:t>
      </w:r>
      <w:r>
        <w:rPr>
          <w:rFonts w:hint="eastAsia" w:ascii="宋体" w:hAnsi="宋体" w:eastAsia="宋体" w:cs="宋体"/>
          <w:szCs w:val="21"/>
          <w:highlight w:val="none"/>
          <w:lang w:val="en-US" w:eastAsia="zh-CN"/>
        </w:rPr>
      </w:r>
      <w:r/>
    </w:p>
    <w:p>
      <w:pPr>
        <w:pStyle w:val="1073"/>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1、投标报价超过预算金额的，投标单位不得进入评标程序。</w:t>
      </w:r>
      <w:r>
        <w:rPr>
          <w:rFonts w:hint="eastAsia" w:ascii="宋体" w:hAnsi="宋体" w:eastAsia="宋体" w:cs="宋体"/>
          <w:szCs w:val="21"/>
          <w:highlight w:val="none"/>
        </w:rPr>
      </w:r>
      <w:r/>
    </w:p>
    <w:p>
      <w:pPr>
        <w:pStyle w:val="1073"/>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2、以上评分标准中评分的每一条，各投标单位均应在投标文件中按招标文件要求提供相关的资料扫描件，并作出相应的对比供评分评判。</w:t>
      </w:r>
      <w:r>
        <w:rPr>
          <w:rFonts w:hint="eastAsia" w:ascii="宋体" w:hAnsi="宋体" w:eastAsia="宋体" w:cs="宋体"/>
          <w:szCs w:val="21"/>
          <w:highlight w:val="none"/>
        </w:rPr>
      </w:r>
      <w:r/>
    </w:p>
    <w:p>
      <w:pPr>
        <w:pStyle w:val="1073"/>
        <w:ind w:firstLine="420"/>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3、投标人提供的扫描件需保证图像清晰、内容可识别。如扫描件存在模糊不清等情形，致使评标委员会无法查阅核验相关信息的，该项资料按无效处理，本评审项不得分。</w:t>
      </w:r>
      <w:r>
        <w:rPr>
          <w:rFonts w:hint="eastAsia" w:ascii="宋体" w:hAnsi="宋体" w:eastAsia="宋体" w:cs="宋体"/>
          <w:szCs w:val="21"/>
          <w:highlight w:val="none"/>
          <w:lang w:val="en-US" w:eastAsia="zh-CN"/>
        </w:rPr>
      </w:r>
      <w:r/>
    </w:p>
    <w:p>
      <w:pPr>
        <w:pStyle w:val="1073"/>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szCs w:val="21"/>
          <w:highlight w:val="none"/>
        </w:rPr>
      </w:r>
      <w:r/>
    </w:p>
    <w:p>
      <w:pPr>
        <w:pStyle w:val="1073"/>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、防止虚假应标，采购方保留调查的权利，并由此引发的一切调查与诉讼费用由投标方承担。</w:t>
      </w:r>
      <w:r>
        <w:rPr>
          <w:rFonts w:hint="eastAsia" w:ascii="宋体" w:hAnsi="宋体" w:eastAsia="宋体" w:cs="宋体"/>
          <w:szCs w:val="21"/>
          <w:highlight w:val="none"/>
        </w:rPr>
      </w:r>
      <w:r/>
    </w:p>
    <w:p>
      <w:pPr>
        <w:pStyle w:val="1406"/>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073"/>
        <w:jc w:val="center"/>
        <w:spacing w:line="360" w:lineRule="auto"/>
        <w:rPr>
          <w:rFonts w:ascii="宋体" w:hAnsi="宋体" w:eastAsia="宋体"/>
          <w:b/>
          <w:sz w:val="36"/>
          <w:szCs w:val="36"/>
          <w:highlight w:val="none"/>
        </w:rPr>
        <w:outlineLvl w:val="0"/>
      </w:pPr>
      <w:r/>
      <w:bookmarkStart w:id="803" w:name="_Toc99301424"/>
      <w:r/>
      <w:bookmarkStart w:id="804" w:name="_Toc143850222"/>
      <w:r>
        <w:rPr>
          <w:rFonts w:ascii="宋体" w:hAnsi="宋体" w:eastAsia="宋体"/>
          <w:b/>
          <w:sz w:val="36"/>
          <w:szCs w:val="36"/>
          <w:highlight w:val="none"/>
        </w:rPr>
      </w:r>
      <w:r/>
    </w:p>
    <w:p>
      <w:pPr>
        <w:pStyle w:val="1073"/>
        <w:jc w:val="center"/>
        <w:spacing w:line="360" w:lineRule="auto"/>
        <w:rPr>
          <w:rFonts w:ascii="宋体" w:hAnsi="宋体" w:eastAsia="宋体"/>
          <w:b/>
          <w:sz w:val="36"/>
          <w:szCs w:val="36"/>
          <w:highlight w:val="none"/>
        </w:rPr>
        <w:outlineLvl w:val="0"/>
      </w:pPr>
      <w:r>
        <w:rPr>
          <w:rFonts w:ascii="宋体" w:hAnsi="宋体" w:eastAsia="宋体"/>
          <w:b/>
          <w:sz w:val="36"/>
          <w:szCs w:val="36"/>
          <w:highlight w:val="none"/>
        </w:rPr>
      </w:r>
      <w:r/>
    </w:p>
    <w:p>
      <w:pPr>
        <w:pStyle w:val="1073"/>
        <w:spacing w:line="360" w:lineRule="auto"/>
        <w:rPr>
          <w:rFonts w:ascii="宋体" w:hAnsi="宋体" w:eastAsia="宋体"/>
          <w:b/>
          <w:sz w:val="36"/>
          <w:szCs w:val="36"/>
          <w:highlight w:val="none"/>
        </w:rPr>
        <w:outlineLvl w:val="0"/>
      </w:pPr>
      <w:r>
        <w:rPr>
          <w:rFonts w:ascii="宋体" w:hAnsi="宋体" w:eastAsia="宋体"/>
          <w:b/>
          <w:sz w:val="36"/>
          <w:szCs w:val="36"/>
          <w:highlight w:val="none"/>
        </w:rPr>
      </w:r>
      <w:r/>
    </w:p>
    <w:p>
      <w:pPr>
        <w:pStyle w:val="1085"/>
        <w:tabs>
          <w:tab w:val="left" w:pos="567" w:leader="none"/>
        </w:tabs>
        <w:rPr>
          <w:b/>
          <w:sz w:val="36"/>
          <w:szCs w:val="36"/>
          <w:highlight w:val="none"/>
        </w:rPr>
      </w:pPr>
      <w:r>
        <w:rPr>
          <w:b/>
          <w:sz w:val="36"/>
          <w:szCs w:val="36"/>
          <w:highlight w:val="none"/>
        </w:rPr>
      </w:r>
      <w:r/>
    </w:p>
    <w:p>
      <w:pPr>
        <w:pStyle w:val="1073"/>
        <w:rPr>
          <w:b/>
          <w:sz w:val="36"/>
          <w:szCs w:val="36"/>
          <w:highlight w:val="none"/>
        </w:rPr>
      </w:pPr>
      <w:r>
        <w:rPr>
          <w:b/>
          <w:sz w:val="36"/>
          <w:szCs w:val="36"/>
          <w:highlight w:val="none"/>
        </w:rPr>
      </w:r>
      <w:r/>
    </w:p>
    <w:p>
      <w:pPr>
        <w:pStyle w:val="1085"/>
        <w:tabs>
          <w:tab w:val="left" w:pos="567" w:leader="none"/>
        </w:tabs>
        <w:rPr>
          <w:b/>
          <w:sz w:val="36"/>
          <w:szCs w:val="36"/>
          <w:highlight w:val="none"/>
        </w:rPr>
      </w:pPr>
      <w:r>
        <w:rPr>
          <w:b/>
          <w:sz w:val="36"/>
          <w:szCs w:val="36"/>
          <w:highlight w:val="none"/>
        </w:rPr>
      </w:r>
      <w:r/>
    </w:p>
    <w:p>
      <w:pPr>
        <w:pStyle w:val="1073"/>
        <w:rPr>
          <w:b/>
          <w:sz w:val="36"/>
          <w:szCs w:val="36"/>
          <w:highlight w:val="none"/>
        </w:rPr>
      </w:pPr>
      <w:r>
        <w:rPr>
          <w:b/>
          <w:sz w:val="36"/>
          <w:szCs w:val="36"/>
          <w:highlight w:val="none"/>
        </w:rPr>
      </w:r>
      <w:r/>
    </w:p>
    <w:p>
      <w:pPr>
        <w:pStyle w:val="1085"/>
        <w:tabs>
          <w:tab w:val="left" w:pos="567" w:leader="none"/>
        </w:tabs>
        <w:rPr>
          <w:b/>
          <w:sz w:val="36"/>
          <w:szCs w:val="36"/>
          <w:highlight w:val="none"/>
        </w:rPr>
      </w:pPr>
      <w:r>
        <w:rPr>
          <w:b/>
          <w:sz w:val="36"/>
          <w:szCs w:val="36"/>
          <w:highlight w:val="none"/>
        </w:rPr>
      </w:r>
      <w:r/>
    </w:p>
    <w:p>
      <w:pPr>
        <w:pStyle w:val="1073"/>
        <w:rPr>
          <w:b/>
          <w:sz w:val="36"/>
          <w:szCs w:val="36"/>
          <w:highlight w:val="none"/>
        </w:rPr>
      </w:pPr>
      <w:r>
        <w:rPr>
          <w:b/>
          <w:sz w:val="36"/>
          <w:szCs w:val="36"/>
          <w:highlight w:val="none"/>
        </w:rPr>
      </w:r>
      <w:r/>
    </w:p>
    <w:p>
      <w:pPr>
        <w:pStyle w:val="1085"/>
        <w:tabs>
          <w:tab w:val="left" w:pos="567" w:leader="none"/>
        </w:tabs>
        <w:rPr>
          <w:b/>
          <w:sz w:val="36"/>
          <w:szCs w:val="36"/>
          <w:highlight w:val="none"/>
        </w:rPr>
      </w:pPr>
      <w:r>
        <w:rPr>
          <w:b/>
          <w:sz w:val="36"/>
          <w:szCs w:val="36"/>
          <w:highlight w:val="none"/>
        </w:rPr>
      </w:r>
      <w:r/>
    </w:p>
    <w:p>
      <w:pPr>
        <w:pStyle w:val="1073"/>
        <w:rPr>
          <w:b/>
          <w:sz w:val="36"/>
          <w:szCs w:val="36"/>
          <w:highlight w:val="none"/>
        </w:rPr>
      </w:pPr>
      <w:r>
        <w:rPr>
          <w:b/>
          <w:sz w:val="36"/>
          <w:szCs w:val="36"/>
          <w:highlight w:val="none"/>
        </w:rPr>
      </w:r>
      <w:r/>
    </w:p>
    <w:p>
      <w:pPr>
        <w:pStyle w:val="1085"/>
        <w:tabs>
          <w:tab w:val="left" w:pos="567" w:leader="none"/>
        </w:tabs>
        <w:rPr>
          <w:b/>
          <w:sz w:val="36"/>
          <w:szCs w:val="36"/>
          <w:highlight w:val="none"/>
        </w:rPr>
      </w:pPr>
      <w:r>
        <w:rPr>
          <w:b/>
          <w:sz w:val="36"/>
          <w:szCs w:val="36"/>
          <w:highlight w:val="none"/>
        </w:rPr>
      </w:r>
      <w:r/>
    </w:p>
    <w:p>
      <w:pPr>
        <w:pStyle w:val="1073"/>
        <w:rPr>
          <w:b/>
          <w:sz w:val="36"/>
          <w:szCs w:val="36"/>
          <w:highlight w:val="none"/>
        </w:rPr>
      </w:pPr>
      <w:r>
        <w:rPr>
          <w:b/>
          <w:sz w:val="36"/>
          <w:szCs w:val="36"/>
          <w:highlight w:val="none"/>
        </w:rPr>
      </w:r>
      <w:r/>
    </w:p>
    <w:p>
      <w:pPr>
        <w:pStyle w:val="1085"/>
        <w:tabs>
          <w:tab w:val="left" w:pos="567" w:leader="none"/>
        </w:tabs>
        <w:rPr>
          <w:highlight w:val="none"/>
        </w:rPr>
      </w:pPr>
      <w:r>
        <w:rPr>
          <w:highlight w:val="none"/>
        </w:rPr>
      </w:r>
      <w:r/>
    </w:p>
    <w:p>
      <w:pPr>
        <w:pStyle w:val="1073"/>
        <w:rPr>
          <w:highlight w:val="none"/>
        </w:rPr>
      </w:pPr>
      <w:r>
        <w:rPr>
          <w:highlight w:val="none"/>
        </w:rPr>
      </w:r>
      <w:r/>
    </w:p>
    <w:p>
      <w:pPr>
        <w:pStyle w:val="1085"/>
        <w:tabs>
          <w:tab w:val="left" w:pos="567" w:leader="none"/>
        </w:tabs>
        <w:rPr>
          <w:highlight w:val="none"/>
        </w:rPr>
      </w:pPr>
      <w:r>
        <w:rPr>
          <w:highlight w:val="none"/>
        </w:rPr>
      </w:r>
      <w:r/>
    </w:p>
    <w:p>
      <w:pPr>
        <w:pStyle w:val="1073"/>
        <w:rPr>
          <w:highlight w:val="none"/>
        </w:rPr>
      </w:pPr>
      <w:r>
        <w:rPr>
          <w:highlight w:val="none"/>
        </w:rPr>
      </w:r>
      <w:r/>
    </w:p>
    <w:p>
      <w:pPr>
        <w:pStyle w:val="1085"/>
        <w:tabs>
          <w:tab w:val="left" w:pos="567" w:leader="none"/>
        </w:tabs>
        <w:rPr>
          <w:highlight w:val="none"/>
        </w:rPr>
      </w:pPr>
      <w:r>
        <w:rPr>
          <w:highlight w:val="none"/>
        </w:rPr>
      </w:r>
      <w:r/>
    </w:p>
    <w:p>
      <w:pPr>
        <w:pStyle w:val="1073"/>
        <w:jc w:val="center"/>
        <w:spacing w:line="360" w:lineRule="auto"/>
        <w:rPr>
          <w:rFonts w:ascii="宋体" w:hAnsi="宋体" w:eastAsia="宋体"/>
          <w:b/>
          <w:sz w:val="36"/>
          <w:szCs w:val="36"/>
          <w:highlight w:val="none"/>
        </w:rPr>
        <w:outlineLvl w:val="0"/>
      </w:pPr>
      <w:r>
        <w:rPr>
          <w:rFonts w:ascii="宋体" w:hAnsi="宋体" w:eastAsia="宋体"/>
          <w:b/>
          <w:sz w:val="36"/>
          <w:szCs w:val="36"/>
          <w:highlight w:val="none"/>
        </w:rPr>
        <w:t xml:space="preserve">第五章   采购需求</w:t>
      </w:r>
      <w:bookmarkEnd w:id="803"/>
      <w:r/>
      <w:bookmarkEnd w:id="804"/>
      <w:r>
        <w:rPr>
          <w:rFonts w:ascii="宋体" w:hAnsi="宋体" w:eastAsia="宋体"/>
          <w:b/>
          <w:sz w:val="36"/>
          <w:szCs w:val="36"/>
          <w:highlight w:val="none"/>
        </w:rPr>
      </w:r>
      <w:r/>
    </w:p>
    <w:p>
      <w:pPr>
        <w:pStyle w:val="1202"/>
        <w:ind w:firstLine="0"/>
        <w:jc w:val="left"/>
        <w:rPr>
          <w:rFonts w:hint="eastAsia" w:ascii="宋体" w:hAnsi="宋体" w:eastAsia="宋体" w:cs="宋体"/>
          <w:sz w:val="21"/>
          <w:szCs w:val="21"/>
          <w:highlight w:val="none"/>
          <w:lang w:eastAsia="zh-CN"/>
        </w:rPr>
      </w:pPr>
      <w:r/>
      <w:bookmarkStart w:id="805" w:name="_Toc99301425"/>
      <w:r>
        <w:rPr>
          <w:rFonts w:hint="eastAsia" w:ascii="宋体" w:hAnsi="宋体" w:cs="宋体"/>
          <w:sz w:val="21"/>
          <w:szCs w:val="21"/>
          <w:highlight w:val="none"/>
        </w:rPr>
        <w:t xml:space="preserve">一、招标编号：</w:t>
      </w:r>
      <w:r>
        <w:rPr>
          <w:rFonts w:hint="eastAsia" w:ascii="宋体" w:hAnsi="宋体" w:cs="宋体"/>
          <w:sz w:val="21"/>
          <w:szCs w:val="21"/>
          <w:highlight w:val="none"/>
          <w:lang w:eastAsia="zh-CN"/>
        </w:rPr>
        <w:t xml:space="preserve">JSZC-320585-SZZH-G2026-0016</w:t>
      </w:r>
      <w:r>
        <w:rPr>
          <w:rFonts w:hint="eastAsia" w:ascii="宋体" w:hAnsi="宋体" w:eastAsia="宋体" w:cs="宋体"/>
          <w:sz w:val="21"/>
          <w:szCs w:val="21"/>
          <w:highlight w:val="none"/>
          <w:lang w:eastAsia="zh-CN"/>
        </w:rPr>
      </w:r>
      <w:r/>
    </w:p>
    <w:p>
      <w:pPr>
        <w:pStyle w:val="1202"/>
        <w:ind w:firstLine="0"/>
        <w:jc w:val="left"/>
        <w:rPr>
          <w:rFonts w:hint="eastAsia" w:ascii="宋体" w:hAnsi="宋体" w:cs="宋体"/>
          <w:sz w:val="21"/>
          <w:szCs w:val="21"/>
          <w:highlight w:val="none"/>
        </w:rPr>
      </w:pPr>
      <w:r>
        <w:rPr>
          <w:rFonts w:hint="eastAsia" w:ascii="宋体" w:hAnsi="宋体" w:cs="宋体"/>
          <w:sz w:val="21"/>
          <w:szCs w:val="21"/>
          <w:highlight w:val="none"/>
        </w:rPr>
        <w:t xml:space="preserve">二、招标项目：</w:t>
      </w:r>
      <w:r>
        <w:rPr>
          <w:rFonts w:hint="eastAsia" w:ascii="宋体" w:hAnsi="宋体" w:cs="宋体"/>
          <w:sz w:val="21"/>
          <w:szCs w:val="21"/>
          <w:highlight w:val="none"/>
        </w:rPr>
      </w:r>
      <w:r/>
    </w:p>
    <w:p>
      <w:pPr>
        <w:pStyle w:val="1073"/>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1、项目名称：2026年交警信息化系统前后端维护项目</w:t>
      </w:r>
      <w:r>
        <w:rPr>
          <w:rFonts w:hint="eastAsia" w:ascii="宋体" w:hAnsi="宋体" w:eastAsia="宋体" w:cs="宋体"/>
          <w:bCs/>
          <w:szCs w:val="21"/>
          <w:highlight w:val="none"/>
        </w:rPr>
      </w:r>
      <w:r/>
    </w:p>
    <w:p>
      <w:pPr>
        <w:pStyle w:val="1073"/>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2、预算金额：人民币276.2万元</w:t>
      </w:r>
      <w:r>
        <w:rPr>
          <w:rFonts w:hint="eastAsia" w:ascii="宋体" w:hAnsi="宋体" w:eastAsia="宋体" w:cs="宋体"/>
          <w:bCs/>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3、合同履约期限：自合同签订之日起一年，起止时间以合同约定为准。</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4、项目维护内容：</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太仓市公安局交通管理大队在用且已过保的历年信息化建设项目主要包括以下几项：</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4.1、纵横工程智能交通服务管理平台维护</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4.2、（成利吉）道路交通信号控制系统维护</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4.3、太仓警务交警系统维护</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4.4、车管所车辆检验远程监管及全市电警处理监管巡检服务</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4.5、MapABC地理信息系统服务</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4.6、</w:t>
      </w:r>
      <w:bookmarkStart w:id="806" w:name="OLE_LINK21"/>
      <w:r/>
      <w:bookmarkStart w:id="807" w:name="OLE_LINK20"/>
      <w:r>
        <w:rPr>
          <w:rFonts w:hint="eastAsia" w:ascii="宋体" w:hAnsi="宋体" w:eastAsia="宋体" w:cs="宋体"/>
          <w:szCs w:val="21"/>
          <w:highlight w:val="none"/>
        </w:rPr>
        <w:t xml:space="preserve">非现场违法数据处理平台服务</w:t>
      </w:r>
      <w:bookmarkEnd w:id="806"/>
      <w:r/>
      <w:bookmarkEnd w:id="807"/>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4.7、道路交通技术监控系统维护</w:t>
      </w:r>
      <w:r>
        <w:rPr>
          <w:rFonts w:hint="eastAsia" w:ascii="宋体" w:hAnsi="宋体" w:eastAsia="宋体" w:cs="宋体"/>
          <w:szCs w:val="21"/>
          <w:highlight w:val="none"/>
        </w:rPr>
      </w:r>
      <w:r/>
    </w:p>
    <w:p>
      <w:pPr>
        <w:pStyle w:val="1202"/>
        <w:ind w:firstLine="0"/>
        <w:jc w:val="both"/>
        <w:rPr>
          <w:rFonts w:hint="eastAsia" w:ascii="宋体" w:hAnsi="宋体" w:cs="宋体"/>
          <w:sz w:val="21"/>
          <w:szCs w:val="21"/>
          <w:highlight w:val="none"/>
        </w:rPr>
      </w:pPr>
      <w:r>
        <w:rPr>
          <w:rFonts w:hint="eastAsia" w:ascii="宋体" w:hAnsi="宋体" w:cs="宋体"/>
          <w:sz w:val="21"/>
          <w:szCs w:val="21"/>
          <w:highlight w:val="none"/>
        </w:rPr>
        <w:t xml:space="preserve">三、具体维护内容</w:t>
      </w:r>
      <w:r>
        <w:rPr>
          <w:rFonts w:hint="eastAsia" w:ascii="宋体" w:hAnsi="宋体" w:cs="宋体"/>
          <w:sz w:val="21"/>
          <w:szCs w:val="21"/>
          <w:highlight w:val="none"/>
        </w:rPr>
      </w:r>
      <w:r/>
    </w:p>
    <w:p>
      <w:pPr>
        <w:pStyle w:val="1085"/>
        <w:tabs>
          <w:tab w:val="left" w:pos="567" w:leader="none"/>
        </w:tabs>
        <w:rPr>
          <w:rFonts w:hint="eastAsia" w:cs="宋体"/>
          <w:sz w:val="21"/>
          <w:szCs w:val="21"/>
          <w:highlight w:val="none"/>
        </w:rPr>
      </w:pPr>
      <w:r>
        <w:rPr>
          <w:rFonts w:hint="eastAsia" w:cs="宋体"/>
          <w:sz w:val="21"/>
          <w:szCs w:val="21"/>
          <w:highlight w:val="none"/>
        </w:rPr>
        <w:t xml:space="preserve">3.1.1纵横工程智能交通服务管理平台维护</w:t>
      </w:r>
      <w:r>
        <w:rPr>
          <w:rFonts w:hint="eastAsia" w:cs="宋体"/>
          <w:sz w:val="21"/>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1、对现有平台功能进行定期巡检，保障平台业务功能稳定可用。</w:t>
      </w:r>
      <w:r>
        <w:rPr>
          <w:rStyle w:val="1216"/>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2、对数据库服务器定期巡检，监控表空间使用情况，数据备份策略制定，数据备份与恢复，数据库性能调优等，保障数据库稳定可用。</w:t>
      </w:r>
      <w:r>
        <w:rPr>
          <w:rStyle w:val="1216"/>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3、对现有应用服务器定期巡检，监控应用服务器资源应用情况，集群节点状态监测，服务器性能调优等，对有故障的部件进行维修，保证设备正常运行。</w:t>
      </w:r>
      <w:r>
        <w:rPr>
          <w:rStyle w:val="1216"/>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4、根据业主方实际需要，对现有平台局部功能进行优化，使之更好地满足交通管理需要。</w:t>
      </w:r>
      <w:r>
        <w:rPr>
          <w:rStyle w:val="1216"/>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5、对平台所用的服务器、网络资源定期巡检。</w:t>
      </w:r>
      <w:r>
        <w:rPr>
          <w:rStyle w:val="1216"/>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6、配合业主方进行相关资料整理收集、为后续升级提供数据支持。</w:t>
      </w:r>
      <w:r>
        <w:rPr>
          <w:rStyle w:val="1216"/>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7、按需进行平台功能操作培训，响应平台用户日常咨询。</w:t>
      </w:r>
      <w:r>
        <w:rPr>
          <w:rStyle w:val="1216"/>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8、配合完成与第三方平台的数据交换。</w:t>
      </w:r>
      <w:r>
        <w:rPr>
          <w:rStyle w:val="1216"/>
          <w:rFonts w:hint="eastAsia" w:ascii="宋体" w:hAnsi="宋体" w:eastAsia="宋体" w:cs="宋体"/>
          <w:szCs w:val="21"/>
          <w:highlight w:val="none"/>
        </w:rPr>
      </w:r>
      <w:r/>
    </w:p>
    <w:p>
      <w:pPr>
        <w:pStyle w:val="1073"/>
        <w:jc w:val="left"/>
        <w:spacing w:line="400" w:lineRule="exact"/>
        <w:rPr>
          <w:rFonts w:hint="eastAsia" w:ascii="宋体" w:hAnsi="宋体" w:eastAsia="宋体" w:cs="宋体"/>
          <w:szCs w:val="21"/>
          <w:highlight w:val="none"/>
        </w:rPr>
      </w:pPr>
      <w:r>
        <w:rPr>
          <w:rStyle w:val="1216"/>
          <w:rFonts w:hint="eastAsia" w:ascii="宋体" w:hAnsi="宋体" w:eastAsia="宋体" w:cs="宋体"/>
          <w:szCs w:val="21"/>
          <w:highlight w:val="none"/>
        </w:rPr>
        <w:t xml:space="preserve">9、需提供一名软件工程师驻场服务。</w:t>
      </w:r>
      <w:r>
        <w:rPr>
          <w:rFonts w:hint="eastAsia" w:ascii="宋体" w:hAnsi="宋体" w:eastAsia="宋体" w:cs="宋体"/>
          <w:szCs w:val="21"/>
          <w:highlight w:val="none"/>
        </w:rPr>
      </w:r>
      <w:r/>
    </w:p>
    <w:p>
      <w:pPr>
        <w:pStyle w:val="1073"/>
        <w:jc w:val="left"/>
        <w:spacing w:line="400" w:lineRule="exact"/>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硬件设备维护清单：</w:t>
      </w:r>
      <w:r>
        <w:rPr>
          <w:rStyle w:val="1216"/>
          <w:rFonts w:hint="eastAsia" w:ascii="宋体" w:hAnsi="宋体" w:eastAsia="宋体" w:cs="宋体"/>
          <w:szCs w:val="21"/>
          <w:highlight w:val="none"/>
        </w:rPr>
      </w:r>
      <w:r/>
    </w:p>
    <w:tbl>
      <w:tblPr>
        <w:tblW w:w="9449" w:type="dxa"/>
        <w:jc w:val="center"/>
        <w:tblInd w:w="-8" w:type="dxa"/>
        <w:tblLayout w:type="autofit"/>
        <w:tblCellMar>
          <w:left w:w="-1" w:type="dxa"/>
          <w:top w:w="-1" w:type="dxa"/>
          <w:right w:w="-1" w:type="dxa"/>
          <w:bottom w:w="-1" w:type="dxa"/>
        </w:tblCellMar>
        <w:tblLook w:val="04A0" w:firstRow="1" w:lastRow="0" w:firstColumn="1" w:lastColumn="0" w:noHBand="0" w:noVBand="1"/>
      </w:tblPr>
      <w:tblGrid>
        <w:gridCol w:w="758"/>
        <w:gridCol w:w="2770"/>
        <w:gridCol w:w="4404"/>
        <w:gridCol w:w="758"/>
        <w:gridCol w:w="759"/>
      </w:tblGrid>
      <w:tr>
        <w:trPr>
          <w:tblHeade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类型</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品牌/型号</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信息接入服务器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PowerEdge R730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数据库服务器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PowerEdge R930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应用服务器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PowerEdge R730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H3C 汇聚以太网交换机</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LS-7503E-M</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曙光天阔服务器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曙光    W580-G20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数据库服务器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DELL     STORAGE SC5020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负载均衡器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TopApp-61114-NLB</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防火墙</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NCFW4000-UF  TU-32218</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安全隔离网闸</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TopRules v3     TR-82266</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入侵防御系统IPS</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天融信  TopIDP3000     TI-51214-S</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管理节点服务器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RH2288 V3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数据节点服务器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RH2288 V3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流式计算服务器</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RH2288 V3</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277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48口千兆交换机</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4404"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华为 S5700S-52P-LI-AC</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8"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 w:type="dxa"/>
              <w:top w:w="-1" w:type="dxa"/>
              <w:right w:w="-1" w:type="dxa"/>
              <w:bottom w:w="-1" w:type="dxa"/>
            </w:tcMar>
            <w:tcW w:w="759"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3"/>
        <w:jc w:val="left"/>
        <w:rPr>
          <w:rFonts w:hint="eastAsia" w:ascii="宋体" w:hAnsi="宋体" w:eastAsia="宋体" w:cs="宋体"/>
          <w:szCs w:val="21"/>
          <w:highlight w:val="none"/>
        </w:rPr>
      </w:pPr>
      <w:r>
        <w:rPr>
          <w:rStyle w:val="1216"/>
          <w:rFonts w:hint="eastAsia" w:ascii="宋体" w:hAnsi="宋体" w:eastAsia="宋体" w:cs="宋体"/>
          <w:szCs w:val="21"/>
          <w:highlight w:val="none"/>
        </w:rPr>
        <w:t xml:space="preserve">   维护清单：</w:t>
      </w:r>
      <w:r>
        <w:rPr>
          <w:rFonts w:hint="eastAsia" w:ascii="宋体" w:hAnsi="宋体" w:eastAsia="宋体" w:cs="宋体"/>
          <w:szCs w:val="21"/>
          <w:highlight w:val="none"/>
        </w:rPr>
      </w:r>
      <w:r/>
    </w:p>
    <w:tbl>
      <w:tblPr>
        <w:tblW w:w="9457" w:type="dxa"/>
        <w:jc w:val="center"/>
        <w:tblInd w:w="-10" w:type="dxa"/>
        <w:tblLayout w:type="autofit"/>
        <w:tblCellMar>
          <w:left w:w="-1" w:type="dxa"/>
          <w:top w:w="-1" w:type="dxa"/>
          <w:right w:w="-1" w:type="dxa"/>
          <w:bottom w:w="-1" w:type="dxa"/>
        </w:tblCellMar>
        <w:tblLook w:val="04A0" w:firstRow="1" w:lastRow="0" w:firstColumn="1" w:lastColumn="0" w:noHBand="0" w:noVBand="1"/>
      </w:tblPr>
      <w:tblGrid>
        <w:gridCol w:w="853"/>
        <w:gridCol w:w="1716"/>
        <w:gridCol w:w="6888"/>
      </w:tblGrid>
      <w:tr>
        <w:trPr>
          <w:tblHeader/>
        </w:trPr>
        <w:tc>
          <w:tcPr>
            <w:shd w:val="clear" w:color="000000" w:fill="auto"/>
            <w:tcBorders>
              <w:top w:val="single" w:color="000000" w:sz="8"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shd w:val="clear" w:color="000000" w:fill="auto"/>
            <w:tcBorders>
              <w:top w:val="single" w:color="000000" w:sz="8"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维保项目</w:t>
            </w:r>
            <w:r>
              <w:rPr>
                <w:rFonts w:hint="eastAsia" w:ascii="宋体" w:hAnsi="宋体" w:eastAsia="宋体" w:cs="宋体"/>
                <w:b/>
                <w:szCs w:val="21"/>
                <w:highlight w:val="none"/>
              </w:rPr>
            </w:r>
            <w:r/>
          </w:p>
        </w:tc>
        <w:tc>
          <w:tcPr>
            <w:shd w:val="clear" w:color="000000" w:fill="auto"/>
            <w:tcBorders>
              <w:top w:val="single" w:color="000000" w:sz="8"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详细描述</w:t>
            </w:r>
            <w:r>
              <w:rPr>
                <w:rFonts w:hint="eastAsia" w:ascii="宋体" w:hAnsi="宋体" w:eastAsia="宋体" w:cs="宋体"/>
                <w:b/>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平台维保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对大队现有服务管理平台功能进行定期巡检，保障平台业务功能稳定可用</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数据库维保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对数据库服务器定期巡检，监控表空间使用情况，数据备份策略制定，数据备份与恢复，数据库性能调优等，保障数据库稳定可用</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应用服务器维保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对现有应用服务器定期巡检，监控应用服务器资源只用情况，集群节点状态监测，服务器性能调优等,对有故障的部件进行维修或更换处理。</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平台</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优化</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根据业主方实际需要，对现有平台局部功能进行</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优化，使之更好地满足交通管理需要</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服务器网络维保</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对平台所用的服务器、网络资源定期巡检</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资料整理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配合业主方进行相关资料整理收集、为后续升级提供数据支持</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日常培训</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按需进行平台功能操作培训，响应平台用户日常咨询</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85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71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日常技术支持</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888"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配合完成与第三方平台的数据交换</w:t>
            </w:r>
            <w:r>
              <w:rPr>
                <w:rFonts w:hint="eastAsia" w:ascii="宋体" w:hAnsi="宋体" w:eastAsia="宋体" w:cs="宋体"/>
                <w:szCs w:val="21"/>
                <w:highlight w:val="none"/>
              </w:rPr>
            </w:r>
            <w:r/>
          </w:p>
        </w:tc>
      </w:tr>
    </w:tbl>
    <w:p>
      <w:pPr>
        <w:pStyle w:val="1085"/>
        <w:tabs>
          <w:tab w:val="left" w:pos="567" w:leader="none"/>
        </w:tabs>
        <w:rPr>
          <w:rFonts w:hint="eastAsia" w:cs="宋体"/>
          <w:sz w:val="21"/>
          <w:szCs w:val="21"/>
          <w:highlight w:val="none"/>
        </w:rPr>
      </w:pPr>
      <w:r>
        <w:rPr>
          <w:rFonts w:hint="eastAsia" w:cs="宋体"/>
          <w:sz w:val="21"/>
          <w:szCs w:val="21"/>
          <w:highlight w:val="none"/>
        </w:rPr>
        <w:t xml:space="preserve">3.1.2（成利吉）道路交通信号控制系统维护</w:t>
      </w:r>
      <w:r>
        <w:rPr>
          <w:rFonts w:hint="eastAsia" w:cs="宋体"/>
          <w:sz w:val="21"/>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1、交通信号控制系统</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信号控制系统维护通过、系统优化和对相关的设备、网络、软件等进行日常监控和维护，预防或及时发现并解决系统运行过程中出现的各种故障，以保障整个系统稳定高效运行为目标，配合交通指挥工作的顺利开展。</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硬件设备维护清单：</w:t>
      </w:r>
      <w:r>
        <w:rPr>
          <w:rFonts w:hint="eastAsia" w:ascii="宋体" w:hAnsi="宋体" w:eastAsia="宋体" w:cs="宋体"/>
          <w:szCs w:val="21"/>
          <w:highlight w:val="none"/>
        </w:rPr>
      </w:r>
      <w:r/>
    </w:p>
    <w:tbl>
      <w:tblPr>
        <w:tblW w:w="9457"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829"/>
        <w:gridCol w:w="2086"/>
        <w:gridCol w:w="4884"/>
        <w:gridCol w:w="829"/>
        <w:gridCol w:w="829"/>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项目名称</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规格型号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操作系统</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RedHat Linux6.5 Enterprise 64bit</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GIS电子地图</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地图基础数据</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地图数据加工</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集成管控平台软件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CTC-MCIS</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网管交换机</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H3C/LS-3600-28TP-SI/个百兆电口加2个千兆电口加2个千兆光口，三层百兆交换机，24口，支持光交换</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网管交换机</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LS-5120-28P-SI-H3，24个10/100/1000Base-T以太网端口，4个1000 Base-X-SFP千兆以太网端口</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光纤配线架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光纤配线架/定制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GIS服务器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联想万全R510 G7/处理器：配置1颗Intel Xeon E5504四核CPU（主频2.0GHZ，4MB 二级缓存，45nm制程），支持2颗Intel Nehalem 双核/四核处理器；内存：配置4*2GB DDR3 1066 ECC DIMM，最大支持8个内存DIMM扩展槽，最大可扩展至64GB，支持内存镜像；硬盘：配置2块500GB SATA II热插拔7200rpm 硬盘，本机最大支持4块硬盘，能够支持3.5英寸SAS、SATA II硬盘，2.5英寸SAS硬盘，SSD硬盘。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WEB服务器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联想万全R510 G7/处理器：配置1颗Intel Xeon E5504四核CPU（主频2.0GHZ，4MB 二级缓存，45nm制程），支持2颗Intel Nehalem 双核/四核处理器；内存：配置3*2GB DDR3 1066 ECC DIMM，最大支持8个内存DIMM扩展槽，最大可扩展至64GB，支持内存镜像；硬盘：配置2块500GB SATA II热插拔7200rpm 硬盘，本机最大支持4块硬盘，能够支持3.5英寸SAS、SATA II硬盘，2.5英寸SAS硬盘，SSD硬盘。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联想万全R520 G7/处理器：配置1颗Intel Xeon E5504四核CPU（主频2.0GHZ，4MB 二级缓存，45nm制程），支持2颗Intel Nehalem 双核/四核处理器；内存：配置4*2GB DDR3 1066 ECC DIMM，最大支持8个内存DIMM扩展槽，最大可扩展至32GB，支持内存镜像；硬盘：配置5块500GB SATA II热插拔7200rpm 硬盘，本机最大支持8块硬盘，能够支持3.5英寸SAS、SATA II硬盘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操作终端</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联想扬天A6900R/处理器品牌：Intel（英特尔）；处理器系列：Core 2 Duo（酷睿2）；处理器类型：In</w:t>
            </w:r>
            <w:r>
              <w:rPr>
                <w:rFonts w:hint="eastAsia" w:ascii="宋体" w:hAnsi="宋体" w:eastAsia="宋体" w:cs="宋体"/>
                <w:szCs w:val="21"/>
                <w:highlight w:val="none"/>
              </w:rPr>
              <w:t xml:space="preserve">tel酷睿2 双核；标称主频：Intel酷睿2 双核 E7400 2.8GHZ 二级缓存：3MB；内存：2G；硬盘容量：320GB；显示器尺寸：19寸宽屏液晶显示器；显卡类型：独立显卡 联想扬天 A6900R/处理器品牌：Intel（英特尔）；处理器系列：Core 2 Duo（酷睿2）；处理器类型：Intel酷睿2 双核；标称主频：Intel酷睿2 双核 E7400 2.8GHZ 二级缓存：3MB；内存：2G；硬盘容量：320GB；显示器尺寸：19寸宽屏液晶显示器；显卡类型：独立显卡GeForce G100</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2086"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Avocent AP17KMM16-103美国品牌高端品质16口USB/PS2切换器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88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17LCD支持OSD菜单 全尺寸键盘 触摸鼠标 带导轨 1U 抽拉式含8根KVM线</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2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维护内容：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更新、优化管控信息集成系统和相关的子系统。根据业主的业务变更情况和实际应用需求进行合理修改、尽量满足用户的正常使用要求（如需增加新功能可协商处理）。投标人应保证有足够技术实力完成</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根据系统运行情况对相应的业务支撑平台做合理的配置和优化；排除系统故障并进行系统数据管理和维护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中标人需及时排除系统故障并进行系统数据管理和维护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中标人需及时建立与更新管控系统所有软硬件的维护档案</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中标人需对网络设备进行日常监控、维护及故障排查，保护网络安全，确保系统正常运行</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或所有出现故障的设备，维护单位应当在接到报障通知后10分钟内响应，并于24小时内完成故障排除。在维护期内，硬件设备的维修均为免费（如设备损坏严重无法维修应及时请示业主申请采购进行更换，采购新设备的费用不包含在维护项目里面，由业主自行负责），若24小时内不能排除故障，应更换不低于故障设备性能和档次的设备，更换完成时间与业主沟通确认。凡涉及硬盘损坏的故障，故障硬盘由业主自行妥善处理，不需要返还保修服务商，以确保公安数据安全；</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由于如台风、地震等不可控力或因道路扩、改建和维修开挖等人为破坏（含被、盗、抢）导致设备损坏的，如涉及到与系统正常运行相关故障维护单位应派人到路口了解设施损坏或要进行迁移的情况；及时向业主汇报施工可能对信号机及其附属设施造成的影响，配合业主向施工单位交涉。</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每日巡查内容：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中标人需建立维护范围内所有交通控制设备的档案，并归档；</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每月至少提供一次外场设备巡检服务，并将巡检结果记录在册。外场巡检报告包括但不仅限于：巡检时间、巡检对象、巡检人、巡检结果；</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交通信号控制系统关联的相关硬件（信号机除外）、软件、通信设备（属于维护单位负责部分）等在日常运行过程中发生额故障和系统各类故障，由中标人负责修复；</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对巡查中发现损坏的设施（除信号机外），及时告知业主；</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每月提交一次巡查报告，或可以提出合理化建议。</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交通信号控制系统必须符合使用操作要求，由于需求不断在改变和完善，所以必须做好以下工作：</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进程维护：每天对服务器上的进程进行检查，若出现占CPU过大，或死进程等异常情况进行记录，然后分析异常原因并进行处理，同时汇报给大队。</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安全性维护：对维护范围内的服务器操作系统的日志进行监测，若发现受攻击或其他异常需及时采取措施给予修复，然后汇报给业主。</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备份工作：对系统中的重要数据做好备份工作。</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系统所用的数据库为MongoDb，不定期对其优化、诊断，并记录形成报表。</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如需对信号控制系统使用操作及其他附属设备（服务器及配套软件）了解，可到交警大队进行实地踏勘。</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2、中心控制系统</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中心控制系统的维护主要包括对中心控制系统的日常</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以及相关设备的日常维护。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硬件设备维护清单：</w:t>
      </w:r>
      <w:r>
        <w:rPr>
          <w:rFonts w:hint="eastAsia" w:ascii="宋体" w:hAnsi="宋体" w:eastAsia="宋体" w:cs="宋体"/>
          <w:szCs w:val="21"/>
          <w:highlight w:val="none"/>
        </w:rPr>
      </w:r>
      <w:r/>
    </w:p>
    <w:tbl>
      <w:tblPr>
        <w:tblW w:w="9457"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837"/>
        <w:gridCol w:w="1400"/>
        <w:gridCol w:w="5957"/>
        <w:gridCol w:w="426"/>
        <w:gridCol w:w="837"/>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400"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项目名称</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5957"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规格型号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26"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400"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信号控制系统服务器</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5957"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联想万全R510 G7/处理器：配置1颗Intel Xeon E5504四核CPU（主频2.0GHZ，4MB 二级缓存，45nm制程），支持2颗Intel Nehalem 双核/四核处理器；内存：配置3*2GB DDR3 1066 ECC DIMM，最大支持8个内存DIMM扩展槽，最大可扩展至64GB，支持内存镜像；硬盘：配置2块500GB SATA II热插拔7200rpm 硬盘，本机最大支持4块硬盘，能够支持3.5英寸SAS、SATA II硬盘，2.5英寸SAS硬盘，SSD硬盘。</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2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400"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交通控制系统软件</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5957"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CTC-UTCS</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42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bl>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中标人需建立维护范围内所有交通控制设备的档案，并归档；</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每月至少提供一次外场设备巡检服务，并将巡检结果记录在册。外场巡检报告包括但不仅限于：巡检时间、巡检对象、巡检人、巡检结果；</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心控制系统关联的相关硬件（信号机除外）、软件、通信设备（属于维护单位负责部分）等在日常运行过程中发生额故障和系统各类故障，由中标人负责修复；（如设备损坏严重无法维修应及时请示业主申请采购进行更换，采购新设备的费用不包含在维护项目里面）。对巡查中发现损坏的设施（除信号机外），及时告知业主；每月提交一次巡查报告，或可以提出合理化建议。</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如需对中心控制系统使用操作及其他附属服务器了解，可到交警大队进行实地踏勘。</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3）信号控制系统信号设备在线联网</w:t>
      </w:r>
      <w:r>
        <w:rPr>
          <w:rFonts w:hint="eastAsia" w:ascii="宋体" w:hAnsi="宋体" w:eastAsia="宋体" w:cs="宋体"/>
          <w:szCs w:val="21"/>
          <w:highlight w:val="none"/>
        </w:rPr>
      </w:r>
      <w:r/>
    </w:p>
    <w:p>
      <w:pPr>
        <w:pStyle w:val="1073"/>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信号控制系统联网的维护，主要是对设备的日常巡检、联网在线情况、联网设备运行情况的检查和维修，确保设备正常运行，以及警卫开道任务的正常执行。</w:t>
      </w:r>
      <w:r>
        <w:rPr>
          <w:rFonts w:hint="eastAsia" w:ascii="宋体" w:hAnsi="宋体" w:eastAsia="宋体" w:cs="宋体"/>
          <w:szCs w:val="21"/>
          <w:highlight w:val="none"/>
        </w:rPr>
      </w:r>
      <w:r/>
    </w:p>
    <w:p>
      <w:pPr>
        <w:pStyle w:val="1073"/>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智能交通信号设备路口清单如下，更详细的信息，可组织到实际路口勘察。</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92"/>
        <w:gridCol w:w="2297"/>
        <w:gridCol w:w="636"/>
        <w:gridCol w:w="2269"/>
        <w:gridCol w:w="993"/>
        <w:gridCol w:w="2270"/>
      </w:tblGrid>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路口名称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路口名称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路口名称</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文昌路复游城</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通港路陆璜路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滨江大道南环路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文昌路南张路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通港路卢沟路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滨江大道浮宅路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十洲路小普陀路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通港路牌九路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洋江路达港路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十洲路南码头路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卢沟路红新小区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洋江路兴港路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五洋路东安路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红新路新浦路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洋江路北环路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建业路迎新路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湘杨路鹿北路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七丫路沈家浜路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双湖路维新路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湘杨路建王线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协鑫路滨洋路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瓯江路沿塘线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湘杨路玄武路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龙江路协鑫路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中市缪泾路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346国道鹿北路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协鑫路滨海路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虹桥路金叶路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346国道伍鹿路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华苏路滨洋路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346国道园林路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华苏路滨海路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崇文路沙鹿路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华苏路滨江大道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玄武路岳鹿路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东方路滨洋路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东仓北路新港路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沙鹿路荣文小区路口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东方路滨州路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新港路规九路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园林路棉北路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东方路滨海路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湖川塘半径路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崇文路怀仁路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石化路滨州路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双浮路镇东路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太沙路中荷新村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346国道荡茜路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石化路滨江南路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太沙路医院南路口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荣文路永乐环路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飞马路茜星路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德溪路起码浜路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园林路新镇路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飞马路滨江南路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姚泾路镇南路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园林路隆达路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浮浏线虹桥路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镇东路镇南路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园林路塔园路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虹桥路富民路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印溪东路仁溪路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346国道崖山路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339省道浮浏线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姚泾路仁溪路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崖山路时九路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南海路沿江路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起码浜仁溪路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崖山路时中路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郑和大街银海路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太沙路医院北路口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平江路甘林路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郑和路滨江大道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印溪东路印西南路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平江路崖山路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东港路纬二路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平江路永輅路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346国道闸南路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印溪南路起码浜路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平江路万众路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闸南路珠江路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南环路西环路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银港路申江路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闸北路东海路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沙南路西环路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银港路平江路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东元路嘉浏线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沙南路南院路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银港路安江路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346国道郑和路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银港路长江路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346国道望海路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陆公路安江路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346国道南海路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印溪东路新北街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陆公路长江路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346国道北海路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白云路新北街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北环路申江路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346国道339省道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通港路泰西村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平江路碧云路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听海路北海路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通港路洞星路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长江大道光华路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太浏快速路陆长线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和平路蔷薇路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太浏快速路新浏线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通港路印溪东路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长江大道映雪路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太浏快速路新苑路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印溪北路洪泾东路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和平路映雪路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339省道新浏线</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白云路印溪路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和平路秋水路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新港路丁泾路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沙南路沙直路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和平路碧云路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新塘路新宜路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通港路百花路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浮宅路华正路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临港路沪宜高速出口</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百花路陶湾路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浮宅路惠泉路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站东大道339省道</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大木桥百花路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平江路浮宅路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岳鹿路陶湾路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南环李华正路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站后大道站中路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岳鹿路振辉路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南环路河池路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站后大道站南路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岳鹿路大木桥路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平江路中兴路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站东大道站中路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通港路昭衍路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平江路杨帆路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站东大道站南路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岳鹿路茜直路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平江路南环路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万金路科文路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岳鹿路粮食储备中心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南环路镇区路口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万金路科星路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岳鹿路光耀路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中兴街中兴南街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三港路东新路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镇北路邢巷线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镇中路庆丰路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三港路新浏路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新港路众兴街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中兴街庆丰路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郑和路长桥路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和平路乃德路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郑和路夏家桥路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西泾路景苑路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和平路中兴路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上海路东新路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牌九路牌楼路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南环路和平路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中市路东新路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牌楼路西泾路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南环路东环路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金湾路永介路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直北路大宅路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南环路龙江路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白云渡路中市路</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通港路老岳线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龙江路浮宅路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陆璜线新牌长线</w:t>
            </w:r>
            <w:r>
              <w:rPr>
                <w:rFonts w:hint="eastAsia" w:ascii="宋体" w:hAnsi="宋体" w:eastAsia="宋体" w:cs="宋体"/>
                <w:szCs w:val="21"/>
                <w:highlight w:val="none"/>
              </w:rPr>
            </w:r>
            <w:r/>
          </w:p>
        </w:tc>
      </w:tr>
    </w:tbl>
    <w:p>
      <w:pPr>
        <w:pStyle w:val="1073"/>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3.1.3太仓交警移动警务系统维护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1、系统原软件功能缺陷及应用中出现的BUG处理修改。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2、日常系统、服务器维护。日常程序系统、SP、PSG服务和服务器观察等维护。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3、处罚数据转递重导。针对数据提交异常，或者六合一接口不稳定导致正常转递时六合接口返回导出失败了，但是数据信息提交完全了或者接口正常了，失败数据重导，即可正常导入六合一</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4、校验规则重新增强。配合支队的每月异常处罚数据的统计，通报，归咎民警录入信息错误率，增加了终端程序的校验。</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5、异常数据重新修改转递。针对处罚数据异常转递失败的，在合理允许范围内的，通过数据库修改数据某一项等信息，使得数据重新导入六合一系统</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6、后台服务程序部署更改。由于机房服务器迁移导致的警务通软件涉及的相关服务程序迁移及新web机构的启用。</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7、系统数据备份。协助用户方定期做好数据备份工作并对备份数据进行妥善保管。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8、系统根据六合一违法代码修改、系统的改进，由于六合一全国代码每年有两次违法代码的修改会导致处罚模块的变动，需要终端及后台的</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9、本地业务变更。原有业务或者数据出现变动，需要终端及后台的</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3.1.4车管所车辆检验远程监管及全市电警处理监管巡检服务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服务范围</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本次服务范围为太仓市公安局交通管理大队非现场处罚点和太仓车管所视频监管系统。</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服务内容包括对非现场处罚专用系统和视频监管系统、专用设备的日常运维服务、故障报修服务、咨询与培训服务等。</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1、非现场处罚点正在使用的专用软件系统 </w:t>
      </w:r>
      <w:r>
        <w:rPr>
          <w:rFonts w:hint="eastAsia" w:ascii="宋体" w:hAnsi="宋体" w:eastAsia="宋体" w:cs="宋体"/>
          <w:szCs w:val="21"/>
          <w:highlight w:val="none"/>
        </w:rPr>
      </w:r>
      <w:r/>
    </w:p>
    <w:tbl>
      <w:tblPr>
        <w:tblW w:w="9457"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866"/>
        <w:gridCol w:w="1620"/>
        <w:gridCol w:w="6971"/>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系统名称</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功能描述</w:t>
            </w:r>
            <w:r>
              <w:rPr>
                <w:rFonts w:hint="eastAsia" w:ascii="宋体" w:hAnsi="宋体" w:eastAsia="宋体" w:cs="宋体"/>
                <w:b/>
                <w:szCs w:val="21"/>
                <w:highlight w:val="none"/>
              </w:rPr>
            </w:r>
            <w:r/>
          </w:p>
        </w:tc>
      </w:tr>
      <w:t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非现场处罚</w:t>
            </w:r>
            <w:r>
              <w:rPr>
                <w:rFonts w:hint="eastAsia" w:ascii="宋体" w:hAnsi="宋体" w:eastAsia="宋体" w:cs="宋体"/>
                <w:szCs w:val="21"/>
                <w:highlight w:val="none"/>
              </w:rPr>
            </w:r>
            <w:r/>
          </w:p>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影像采集系统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通过Acitvex插件与二代身份证读卡器、USB摄像头、高拍仪、数字摄像头、签名板对接，在六合一平台处理过程中实现影像采集</w:t>
            </w:r>
            <w:r>
              <w:rPr>
                <w:rFonts w:hint="eastAsia" w:ascii="宋体" w:hAnsi="宋体" w:eastAsia="宋体" w:cs="宋体"/>
                <w:szCs w:val="21"/>
                <w:highlight w:val="none"/>
              </w:rPr>
            </w:r>
            <w:r/>
          </w:p>
        </w:tc>
      </w:tr>
      <w:t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非现场处罚   监管系统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录像回看调度服务、图片视频数据维护服务、异常数据日志、处理记录查看、实时查看、窗口工作统计、异常数据统计、异常数据监管等功能</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62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公安交通管理综合应用平台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697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非现场交通违法处理</w:t>
            </w:r>
            <w:r>
              <w:rPr>
                <w:rFonts w:hint="eastAsia" w:ascii="宋体" w:hAnsi="宋体" w:eastAsia="宋体" w:cs="宋体"/>
                <w:szCs w:val="21"/>
                <w:highlight w:val="none"/>
              </w:rPr>
            </w:r>
            <w:r/>
          </w:p>
        </w:tc>
      </w:tr>
    </w:tbl>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2、非现场处罚系统正在使用的专用设备</w:t>
      </w:r>
      <w:r>
        <w:rPr>
          <w:rFonts w:hint="eastAsia" w:ascii="宋体" w:hAnsi="宋体" w:eastAsia="宋体" w:cs="宋体"/>
          <w:szCs w:val="21"/>
          <w:highlight w:val="none"/>
        </w:rPr>
      </w:r>
      <w:r/>
    </w:p>
    <w:tbl>
      <w:tblPr>
        <w:tblW w:w="9451" w:type="dxa"/>
        <w:jc w:val="center"/>
        <w:tblInd w:w="-10" w:type="dxa"/>
        <w:tblLayout w:type="autofit"/>
        <w:tblCellMar>
          <w:left w:w="-1" w:type="dxa"/>
          <w:top w:w="-1" w:type="dxa"/>
          <w:right w:w="-1" w:type="dxa"/>
          <w:bottom w:w="-1" w:type="dxa"/>
        </w:tblCellMar>
        <w:tblLook w:val="04A0" w:firstRow="1" w:lastRow="0" w:firstColumn="1" w:lastColumn="0" w:noHBand="0" w:noVBand="1"/>
      </w:tblPr>
      <w:tblGrid>
        <w:gridCol w:w="773"/>
        <w:gridCol w:w="2249"/>
        <w:gridCol w:w="4880"/>
        <w:gridCol w:w="774"/>
        <w:gridCol w:w="775"/>
      </w:tblGrid>
      <w:tr>
        <w:trPr>
          <w:trHeight w:val="312"/>
          <w:tblHeader/>
        </w:trPr>
        <w:tc>
          <w:tcPr>
            <w:tcBorders>
              <w:top w:val="single" w:color="000000" w:sz="8" w:space="0"/>
              <w:left w:val="single" w:color="000000" w:sz="8" w:space="0"/>
              <w:bottom w:val="single" w:color="000000" w:sz="8" w:space="0"/>
              <w:right w:val="single" w:color="000000" w:sz="4" w:space="0"/>
            </w:tcBorders>
            <w:tcMar>
              <w:left w:w="-1" w:type="dxa"/>
              <w:top w:w="-1" w:type="dxa"/>
              <w:right w:w="-1" w:type="dxa"/>
              <w:bottom w:w="-1" w:type="dxa"/>
            </w:tcMar>
            <w:tcW w:w="773" w:type="dxa"/>
            <w:vAlign w:val="center"/>
            <w:vMerge w:val="restart"/>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2249" w:type="dxa"/>
            <w:vAlign w:val="center"/>
            <w:vMerge w:val="restart"/>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设备名称</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4880" w:type="dxa"/>
            <w:vAlign w:val="center"/>
            <w:vMerge w:val="restart"/>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设备型号及配置</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774" w:type="dxa"/>
            <w:vAlign w:val="center"/>
            <w:vMerge w:val="restart"/>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775" w:type="dxa"/>
            <w:vAlign w:val="center"/>
            <w:vMerge w:val="restart"/>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台式计算机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DELL 3020MT（3046MT）/i3/4G/1T 22"宽</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彩色激光打印机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HP 551N/HP 553N</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高拍仪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紫光G550</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签字版</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汉王ESP370U</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摄像机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海康威视 DS2CD2620ES</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专业拾音器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专用定制</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8"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2代身份证阅读器</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专用定制</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77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249"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USB 摄像头</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4880"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高清1600万像素</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只</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77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备注：排队触摸一体机和排队台式计算机客户自选。</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3、非现场现有网点</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83"/>
        <w:gridCol w:w="3062"/>
        <w:gridCol w:w="1072"/>
        <w:gridCol w:w="766"/>
        <w:gridCol w:w="2603"/>
        <w:gridCol w:w="1071"/>
      </w:tblGrid>
      <w:tr>
        <w:trPr>
          <w:trHeight w:val="227"/>
        </w:trPr>
        <w:tc>
          <w:tcPr>
            <w:gridSpan w:val="6"/>
            <w:tcBorders>
              <w:top w:val="single" w:color="000000" w:sz="4" w:space="0"/>
              <w:left w:val="single" w:color="000000" w:sz="4" w:space="0"/>
              <w:bottom w:val="single" w:color="000000" w:sz="4" w:space="0"/>
              <w:right w:val="single" w:color="000000" w:sz="4" w:space="0"/>
            </w:tcBorders>
            <w:tcW w:w="945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一、现有网点（9个）</w:t>
            </w:r>
            <w:r>
              <w:rPr>
                <w:rFonts w:hint="eastAsia" w:ascii="宋体" w:hAnsi="宋体" w:eastAsia="宋体" w:cs="宋体"/>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3"/>
              <w:ind w:firstLine="420"/>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网点名称</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2"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窗口数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3"/>
              <w:ind w:firstLine="420"/>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网点名称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窗口数</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single" w:color="000000" w:sz="4" w:space="0"/>
            </w:tcBorders>
            <w:tcW w:w="161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太仓车管所处罚点</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浏河中队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城厢便民服务中心</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南郊中队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双凤行政审批局</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璜泾行政审批局</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港区中队</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2"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40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37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沙溪行政审批局</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娄东街道便民服务中心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总计：现有9个网点，窗口数量12个</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4、太仓车管所视频监管系统正在使用的专用软件系统  </w:t>
      </w:r>
      <w:r>
        <w:rPr>
          <w:rFonts w:hint="eastAsia" w:ascii="宋体" w:hAnsi="宋体" w:eastAsia="宋体" w:cs="宋体"/>
          <w:szCs w:val="21"/>
          <w:highlight w:val="none"/>
        </w:rPr>
      </w:r>
      <w:r/>
    </w:p>
    <w:tbl>
      <w:tblPr>
        <w:tblW w:w="945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4"/>
        <w:gridCol w:w="2100"/>
        <w:gridCol w:w="2100"/>
        <w:gridCol w:w="4347"/>
      </w:tblGrid>
      <w:tr>
        <w:trPr>
          <w:tblHeader/>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1073"/>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3"/>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系统大类</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3"/>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功能模块</w:t>
            </w: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4347" w:type="dxa"/>
            <w:vAlign w:val="center"/>
            <w:textDirection w:val="lrTb"/>
            <w:noWrap w:val="false"/>
          </w:tcPr>
          <w:p>
            <w:pPr>
              <w:pStyle w:val="1073"/>
              <w:jc w:val="center"/>
              <w:keepNex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功能名称</w:t>
            </w:r>
            <w:r>
              <w:rPr>
                <w:rFonts w:hint="eastAsia" w:ascii="宋体" w:hAnsi="宋体" w:eastAsia="宋体" w:cs="宋体"/>
                <w:b/>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pStyle w:val="1073"/>
              <w:jc w:val="center"/>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视频监管系统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车辆查验检测</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347" w:type="dxa"/>
            <w:vAlign w:val="center"/>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新车,二手车检测视频录像系统</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1073"/>
              <w:jc w:val="center"/>
              <w:keepNex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347" w:type="dxa"/>
            <w:vAlign w:val="center"/>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新车,二手车检测视频播放系统</w:t>
            </w:r>
            <w:r>
              <w:rPr>
                <w:rFonts w:hint="eastAsia" w:ascii="宋体" w:hAnsi="宋体" w:eastAsia="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1073"/>
              <w:jc w:val="center"/>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数据库</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数据维护</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47" w:type="dxa"/>
            <w:vAlign w:val="center"/>
            <w:textDirection w:val="lrTb"/>
            <w:noWrap w:val="false"/>
          </w:tcPr>
          <w:p>
            <w:pPr>
              <w:pStyle w:val="1073"/>
              <w:jc w:val="left"/>
              <w:keepNext/>
              <w:widowControl/>
              <w:rPr>
                <w:rFonts w:hint="eastAsia" w:ascii="宋体" w:hAnsi="宋体" w:eastAsia="宋体" w:cs="宋体"/>
                <w:szCs w:val="21"/>
                <w:highlight w:val="none"/>
              </w:rPr>
            </w:pPr>
            <w:r>
              <w:rPr>
                <w:rFonts w:hint="eastAsia" w:ascii="宋体" w:hAnsi="宋体" w:eastAsia="宋体" w:cs="宋体"/>
                <w:szCs w:val="21"/>
                <w:highlight w:val="none"/>
              </w:rPr>
              <w:t xml:space="preserve">新车,二手车视频保存</w:t>
            </w:r>
            <w:r>
              <w:rPr>
                <w:rFonts w:hint="eastAsia" w:ascii="宋体" w:hAnsi="宋体" w:eastAsia="宋体" w:cs="宋体"/>
                <w:szCs w:val="21"/>
                <w:highlight w:val="none"/>
              </w:rPr>
            </w:r>
            <w:r/>
          </w:p>
        </w:tc>
      </w:tr>
    </w:tbl>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5、视频监管系统正在使用的专用设备：</w:t>
      </w:r>
      <w:r>
        <w:rPr>
          <w:rFonts w:hint="eastAsia" w:ascii="宋体" w:hAnsi="宋体" w:eastAsia="宋体" w:cs="宋体"/>
          <w:szCs w:val="21"/>
          <w:highlight w:val="none"/>
        </w:rPr>
      </w:r>
      <w:r/>
    </w:p>
    <w:tbl>
      <w:tblPr>
        <w:tblW w:w="9451" w:type="dxa"/>
        <w:jc w:val="center"/>
        <w:tblInd w:w="-10" w:type="dxa"/>
        <w:tblLayout w:type="autofit"/>
        <w:tblCellMar>
          <w:left w:w="-1" w:type="dxa"/>
          <w:top w:w="-1" w:type="dxa"/>
          <w:right w:w="-1" w:type="dxa"/>
          <w:bottom w:w="-1" w:type="dxa"/>
        </w:tblCellMar>
        <w:tblLook w:val="04A0" w:firstRow="1" w:lastRow="0" w:firstColumn="1" w:lastColumn="0" w:noHBand="0" w:noVBand="1"/>
      </w:tblPr>
      <w:tblGrid>
        <w:gridCol w:w="1013"/>
        <w:gridCol w:w="2695"/>
        <w:gridCol w:w="2695"/>
        <w:gridCol w:w="1016"/>
        <w:gridCol w:w="1016"/>
        <w:gridCol w:w="1016"/>
      </w:tblGrid>
      <w:tr>
        <w:trPr>
          <w:tblHeader/>
        </w:trPr>
        <w:tc>
          <w:tcPr>
            <w:tcBorders>
              <w:top w:val="single" w:color="000000" w:sz="8" w:space="0"/>
              <w:left w:val="single" w:color="000000" w:sz="8" w:space="0"/>
              <w:bottom w:val="single" w:color="000000" w:sz="8" w:space="0"/>
              <w:right w:val="single" w:color="000000" w:sz="4" w:space="0"/>
            </w:tcBorders>
            <w:tcMar>
              <w:left w:w="-1" w:type="dxa"/>
              <w:top w:w="-1" w:type="dxa"/>
              <w:right w:w="-1" w:type="dxa"/>
              <w:bottom w:w="-1" w:type="dxa"/>
            </w:tcMar>
            <w:tcW w:w="1013"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设备名称</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设备型号及配置</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单位</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c>
          <w:tcPr>
            <w:tcBorders>
              <w:top w:val="single" w:color="000000" w:sz="8"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备注</w:t>
            </w:r>
            <w:r>
              <w:rPr>
                <w:rFonts w:hint="eastAsia" w:ascii="宋体" w:hAnsi="宋体" w:eastAsia="宋体" w:cs="宋体"/>
                <w:b/>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101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工控机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i3/4G/500G</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4" w:space="0"/>
              <w:right w:val="single" w:color="000000" w:sz="4" w:space="0"/>
            </w:tcBorders>
            <w:tcMar>
              <w:left w:w="-1" w:type="dxa"/>
              <w:top w:w="-1" w:type="dxa"/>
              <w:right w:w="-1" w:type="dxa"/>
              <w:bottom w:w="-1" w:type="dxa"/>
            </w:tcMar>
            <w:tcW w:w="101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摄像机（枪机）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2695"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Borders>
              <w:top w:val="none" w:color="000000" w:sz="4" w:space="0"/>
              <w:left w:val="single" w:color="000000" w:sz="8" w:space="0"/>
              <w:bottom w:val="single" w:color="000000" w:sz="8" w:space="0"/>
              <w:right w:val="single" w:color="000000" w:sz="4" w:space="0"/>
            </w:tcBorders>
            <w:tcMar>
              <w:left w:w="-1" w:type="dxa"/>
              <w:top w:w="-1" w:type="dxa"/>
              <w:right w:w="-1" w:type="dxa"/>
              <w:bottom w:w="-1" w:type="dxa"/>
            </w:tcMar>
            <w:tcW w:w="1013"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专用OBD</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2695"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专用定制</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8" w:space="0"/>
              <w:right w:val="single" w:color="000000" w:sz="4" w:space="0"/>
            </w:tcBorders>
            <w:tcMar>
              <w:left w:w="-1" w:type="dxa"/>
              <w:top w:w="-1" w:type="dxa"/>
              <w:right w:w="-1" w:type="dxa"/>
              <w:bottom w:w="-1" w:type="dxa"/>
            </w:tcMar>
            <w:tcW w:w="101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总计：现有1个网点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3.1.5MapABC地理信息系统服务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提供基础地图数据，包含POI（兴趣点）、道路、水系、植被，山脉，公共服务设施等一些等一些地图最基本的基础地理信息，是可供各部门共用的图层。</w:t>
      </w:r>
      <w:bookmarkStart w:id="808" w:name="_Toc116227902"/>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提供地图服务</w:t>
      </w:r>
      <w:bookmarkEnd w:id="808"/>
      <w:r>
        <w:rPr>
          <w:rFonts w:hint="eastAsia" w:ascii="宋体" w:hAnsi="宋体" w:eastAsia="宋体" w:cs="宋体"/>
          <w:szCs w:val="21"/>
          <w:highlight w:val="none"/>
        </w:rPr>
        <w:t xml:space="preserve">，可通过Web浏览器端或移动客户端查看地图，并进行地图的相关操作。主要包括地图浏览、平移、放大、缩小、全图、测距、点选、飞行、倾斜、旋转等基本操作功能，同时在移动客户端，可以通过手势完成地图的各项操作。</w:t>
      </w:r>
      <w:bookmarkStart w:id="809" w:name="_Toc32790769"/>
      <w:r/>
      <w:bookmarkStart w:id="810" w:name="_Toc32664241"/>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POI搜索服务</w:t>
      </w:r>
      <w:bookmarkEnd w:id="809"/>
      <w:r/>
      <w:bookmarkEnd w:id="810"/>
      <w:r>
        <w:rPr>
          <w:rFonts w:hint="eastAsia" w:ascii="宋体" w:hAnsi="宋体" w:eastAsia="宋体" w:cs="宋体"/>
          <w:szCs w:val="21"/>
          <w:highlight w:val="none"/>
        </w:rPr>
        <w:t xml:space="preserve">，基于基础地理数据信息，结合用户搜索习惯及不同的搜索需求，为用户提供最全面、更强大的搜索服务，包括关键字搜索、周边搜索、空间查询、行政区域查询等，查询的结果数据将按照地区或类别划分等规则显示在地图上，帮助用户快速定位并获取所需信息。</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3.1.6非现场违法数据处理平台服务</w:t>
      </w:r>
      <w:r>
        <w:rPr>
          <w:rFonts w:hint="eastAsia" w:ascii="宋体" w:hAnsi="宋体" w:eastAsia="宋体" w:cs="宋体"/>
          <w:szCs w:val="21"/>
          <w:highlight w:val="none"/>
        </w:rPr>
      </w:r>
      <w:r/>
    </w:p>
    <w:p>
      <w:pPr>
        <w:pStyle w:val="1085"/>
        <w:tabs>
          <w:tab w:val="left" w:pos="567" w:leader="none"/>
        </w:tabs>
        <w:rPr>
          <w:rFonts w:hint="eastAsia" w:cs="宋体"/>
          <w:sz w:val="21"/>
          <w:szCs w:val="21"/>
          <w:highlight w:val="none"/>
        </w:rPr>
      </w:pPr>
      <w:r>
        <w:rPr>
          <w:rFonts w:hint="eastAsia" w:cs="宋体"/>
          <w:sz w:val="21"/>
          <w:szCs w:val="21"/>
          <w:highlight w:val="none"/>
        </w:rPr>
        <w:t xml:space="preserve">对现有违法数据处理平台进行个性化</w:t>
      </w:r>
      <w:r>
        <w:rPr>
          <w:rFonts w:hint="eastAsia" w:cs="宋体"/>
          <w:sz w:val="21"/>
          <w:szCs w:val="21"/>
          <w:highlight w:val="none"/>
          <w:lang w:val="en-US" w:eastAsia="zh-CN"/>
        </w:rPr>
        <w:t xml:space="preserve">维护</w:t>
      </w:r>
      <w:r>
        <w:rPr>
          <w:rFonts w:hint="eastAsia" w:cs="宋体"/>
          <w:sz w:val="21"/>
          <w:szCs w:val="21"/>
          <w:highlight w:val="none"/>
        </w:rPr>
        <w:t xml:space="preserve">服务及后续日常维护服务。</w:t>
      </w:r>
      <w:r>
        <w:rPr>
          <w:rFonts w:hint="eastAsia" w:cs="宋体"/>
          <w:sz w:val="21"/>
          <w:szCs w:val="21"/>
          <w:highlight w:val="none"/>
        </w:rPr>
      </w:r>
      <w:r/>
    </w:p>
    <w:p>
      <w:pPr>
        <w:pStyle w:val="1073"/>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3.1.7道路交通技术监控维护</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维护范围</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1、交警大队已过保的道路交通视频监控、违停抓拍及闯红灯、闯禁区等各类电子警察前后端设备的维护服务，经大队确认许可更换相应超过质保期并已损坏无法修复的设备。</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2、因应急安保、市政施工、道路重新规划、路面修补（损坏）等原因引起的设备采购及维护工作。</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维护工作主要包括：</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①点位的搬迁，包含地笼、基础、手井等安装调试等工作。</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②监控或抓拍点位接电线路的改动修复，包括电源线延长、电源线被盗后的修复工作。</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③高清监控点位相关设备遭撞击、雷击等事故被破坏的。原则上先走保险理赔程序，若因有关原因无法理赔的，由乙方负责修复工作及费用。</w:t>
      </w:r>
      <w:r>
        <w:rPr>
          <w:rFonts w:hint="eastAsia" w:ascii="宋体" w:hAnsi="宋体" w:eastAsia="宋体" w:cs="宋体"/>
          <w:szCs w:val="21"/>
          <w:highlight w:val="none"/>
        </w:rPr>
      </w:r>
      <w:r/>
    </w:p>
    <w:p>
      <w:pPr>
        <w:pStyle w:val="1152"/>
        <w:spacing w:line="440" w:lineRule="exact"/>
        <w:rPr>
          <w:rFonts w:hint="eastAsia" w:ascii="宋体" w:hAnsi="宋体" w:cs="宋体"/>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 4 \* GB3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 xml:space="preserve">④</w:t>
      </w:r>
      <w:r>
        <w:rPr>
          <w:rFonts w:hint="eastAsia" w:ascii="宋体" w:hAnsi="宋体" w:cs="宋体"/>
          <w:sz w:val="21"/>
          <w:szCs w:val="21"/>
          <w:highlight w:val="none"/>
        </w:rPr>
        <w:fldChar w:fldCharType="end"/>
      </w:r>
      <w:r>
        <w:rPr>
          <w:rFonts w:hint="eastAsia" w:ascii="宋体" w:hAnsi="宋体" w:cs="宋体"/>
          <w:sz w:val="21"/>
          <w:szCs w:val="21"/>
          <w:highlight w:val="none"/>
        </w:rPr>
        <w:t xml:space="preserve">设备软件的调试，违法图片需符合接入规范和执法取证规范。</w:t>
      </w:r>
      <w:r>
        <w:rPr>
          <w:rFonts w:hint="eastAsia" w:ascii="宋体" w:hAnsi="宋体" w:cs="宋体"/>
          <w:sz w:val="21"/>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3、对交警大队超过质保期并已损坏的服务器的维护及保养。</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对超过质保期并已损坏的硬盘、交换机、光收发设备、服务器（含精密空调、ups等相关配套设备）等设备，运维方应当立即进行现场维修，若设备损坏无法修复，则由采购人提供替换设备，由供应商负责完成设备安装。</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5、对交警大队超过质保期并已损坏的诱导屏及其配套设备的维护及保养。</w:t>
      </w:r>
      <w:r>
        <w:rPr>
          <w:rFonts w:hint="eastAsia" w:ascii="宋体" w:hAnsi="宋体" w:eastAsia="宋体" w:cs="宋体"/>
          <w:szCs w:val="21"/>
          <w:highlight w:val="none"/>
        </w:rPr>
      </w:r>
      <w:r/>
    </w:p>
    <w:p>
      <w:pPr>
        <w:pStyle w:val="1152"/>
        <w:ind w:left="0"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6、对停用复用的道路交通技术监控设备，需协助交警大队完成评估报告的撰写工作。</w:t>
      </w:r>
      <w:r>
        <w:rPr>
          <w:rFonts w:hint="eastAsia" w:ascii="宋体" w:hAnsi="宋体" w:cs="宋体"/>
          <w:sz w:val="21"/>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7、配合交警大队完成各类新设备的测试工作。</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8、卡口数据对接公安交通集成指挥平台。</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9、新市民中心三楼数字城市运营管理中心大屏</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bookmarkStart w:id="811" w:name="_Toc82513055"/>
      <w:r>
        <w:rPr>
          <w:rFonts w:hint="eastAsia" w:ascii="宋体" w:hAnsi="宋体" w:eastAsia="宋体" w:cs="宋体"/>
          <w:szCs w:val="21"/>
          <w:highlight w:val="none"/>
        </w:rPr>
        <w:t xml:space="preserve">维护内容</w:t>
      </w:r>
      <w:bookmarkEnd w:id="811"/>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bookmarkStart w:id="812" w:name="_Toc135745066"/>
      <w:r/>
      <w:bookmarkStart w:id="813" w:name="_Toc82513060"/>
      <w:r>
        <w:rPr>
          <w:rFonts w:hint="eastAsia" w:ascii="宋体" w:hAnsi="宋体" w:eastAsia="宋体" w:cs="宋体"/>
          <w:szCs w:val="21"/>
          <w:highlight w:val="none"/>
        </w:rPr>
        <w:t xml:space="preserve">1、电子警察、违停抓拍、高速/高空球机设备清单：</w:t>
      </w:r>
      <w:bookmarkEnd w:id="812"/>
      <w:r>
        <w:rPr>
          <w:rFonts w:hint="eastAsia" w:ascii="宋体" w:hAnsi="宋体" w:eastAsia="宋体" w:cs="宋体"/>
          <w:szCs w:val="21"/>
          <w:highlight w:val="none"/>
        </w:rPr>
      </w:r>
      <w:r/>
    </w:p>
    <w:p>
      <w:pPr>
        <w:pStyle w:val="1073"/>
        <w:ind w:firstLine="42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1.1电子警察清单</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367"/>
        <w:gridCol w:w="6722"/>
        <w:gridCol w:w="1368"/>
      </w:tblGrid>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设备地点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相机数量</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339省道东仓路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东海路建管所门口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东港路郑和大街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339省道陆璜路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新港路临港南路（众兴街）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通港路新华路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204国道县府街街东150米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人民路郑和路北125米名都花苑小区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郑和路太平路东100米洋沙二村小区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小北门街郑和路南120米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204国道太丰路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通港路印北中心路口南侧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通港路东洪泾路路口南侧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印溪东路新北街路口西侧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印溪东路吉祥路路口西侧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印溪南路姚泾路路口北侧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沙南路南院路路口北侧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新北西街南院路路口西侧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人民路中医院门口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上海路人民医院门口东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上海路人民医院门口西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新华路北门街路口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朝阳路华侨花园北门口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上海路香花公寓门口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204国道建材批发市场门口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小北门街阳光花苑门口（网格线抓拍）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岳鹿路大木桥路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郑和路城中派出所门口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朝阳路消防大队门口东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县府街万和路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339省道四通路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通港路陆璜路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双浮路镇东路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346国道S48高速出口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沙鹿路崇文路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346国道通港路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东仓路宁波路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东亭路广州路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人民路武家桥（礼让斑马线抓拍）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上海路香花公寓门口（礼让斑马线抓拍）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上海路东盛广场门口（礼让斑马线抓拍）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娄江路农商行门口（礼让斑马线抓拍）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娄江路新区三小门口（礼让斑马线抓拍）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人民路上海路南（礼让斑马线抓拍）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岳鹿路新港路（闯禁区）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岳鹿路339省道（闯禁区）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望海路346国道路口东侧（闯禁区）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上海路人民路口南侧（远光灯抓拍）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复兴街迎福路路口西侧（单行道抓拍）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迎福路郑和南路路口北侧（单行道抓拍）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迎福路郑和大街（单行道抓拍）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迎福路新东街（单行道抓拍）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新华路通港路南80米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府南街上海路路口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县府街扬州路路口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上海路人民路路口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太平路南园路路口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娄江路县府街路口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太平路新华路路口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339省道发达路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常胜路北京路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339省道兴业路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339省道常胜路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东仓路大连路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339省道太平路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346国道崇文路（荡茜路）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沙鹿路玄武路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郑和东路新浏线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通港路洞星路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通港路昭衍路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339省道通海路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新港路龙江路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通港路龙江路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346国道七丫路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通港路百花路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G346国道鹿北路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上海路南门街北向南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东亭路天津路路口南侧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常胜路朝阳路路口南100米（网格线）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郑和路兴业路交叉口东侧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太平路海运堤路交叉口北50米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人民路弇山路交叉口南侧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弇山路太平路交叉口西侧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向阳路人民路交叉口东侧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东仓路郑和路路口北向南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204国道太蓬路北侧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双浮路红新路交叉口西侧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白云路沙南路交叉口北侧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滨江大道南海路交叉口北侧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郑和路融沪大道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346国道郑和东路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太浏快速路往太仓站西向东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太浏快速路往太仓站东向西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 太浏快速路西向东区间测速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太浏快速路规三路西侧100米处区间测速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太浏快速路铁路西侧限高监控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太浏快速路铁路东侧限高监控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岳鹿路上海路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岳鹿路金湾路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岳鹿公路中市路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白云渡路中市路南30米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站东大道路S339省道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站东大道站中路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滨江大道郑和路北向南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上海路柳州路路口东70米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上海路府南街路口东80米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人民路兴业弄北向南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长春路致和塘街南向北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健雄路鹊桥路西侧东向西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健雄路鹊桥路西侧西向东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东亭路339省道路口北侧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天津路东亭路西向东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天津路东仓路东向西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天津路太平路西向东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人民路上海路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弇山路人民路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黄姑塘路文昌路西侧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县府街太平路交叉口西160米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子冈路江申大道东侧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县府西街204国道东侧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郑和西路204国道路口东侧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洛阳路四通路口西侧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郑和西路四通路口西侧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上海路扬州路西侧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兴业路339省道交叉口南侧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四通路339省道交叉口南侧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上海路柳州路交叉口东侧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东仓路岳阳路交叉口北侧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东仓路新港路南侧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上海路兴业路交叉口东侧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郑和中路飞沪大道西侧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太平路天津路路口南侧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朝阳路四通路路口西侧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420</w:t>
            </w:r>
            <w:r>
              <w:rPr>
                <w:rFonts w:hint="eastAsia" w:ascii="宋体" w:hAnsi="宋体" w:eastAsia="宋体" w:cs="宋体"/>
                <w:szCs w:val="21"/>
                <w:highlight w:val="none"/>
              </w:rPr>
            </w:r>
            <w:r/>
          </w:p>
        </w:tc>
      </w:tr>
    </w:tbl>
    <w:p>
      <w:pPr>
        <w:pStyle w:val="1073"/>
        <w:rPr>
          <w:rFonts w:hint="eastAsia" w:ascii="宋体" w:hAnsi="宋体" w:eastAsia="宋体" w:cs="宋体"/>
          <w:szCs w:val="21"/>
          <w:highlight w:val="none"/>
        </w:rPr>
      </w:pPr>
      <w:r>
        <w:rPr>
          <w:rFonts w:hint="eastAsia" w:ascii="宋体" w:hAnsi="宋体" w:eastAsia="宋体" w:cs="宋体"/>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违停抓拍清单：</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403"/>
        <w:gridCol w:w="6650"/>
        <w:gridCol w:w="1404"/>
      </w:tblGrid>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设备地点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相机数量</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浏河大转盘东南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新华路府南街西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惠阳路太平路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上海路娄江路西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万和路南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万和路北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璜泾园林路棉北路北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璜泾园林路棉北路南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璜泾园林路玄武路南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璜泾园林路玄武路北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浮桥中兴路南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人民路华旭停车场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府南街上海路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府南街北天桥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府南街新华路南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郑和路美时达</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小北门街向阳路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东仓路岳阳路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建湖路迎春路东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南仓路南街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恒通佳苑南门口西侧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江南农副食品城西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郑和路桃园路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东海路西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东海路闸北路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东仓路天津路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上海路G15高速出口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上海路十八港路(路口违法变道)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四通路长寿路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四通路五洲路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四通路幸福路南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四通路南京路（长安路）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四通路南京路北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四通路美固龙路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兴业路五洲路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兴业路339省道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飞沪路向阳河桥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中市路飞沪路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飞沪路中市路南200米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中市路飞沪路东200米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郑和路长桥路西侧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中市路花园街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花园街向阳河桥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花园街浏昆线南200米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滨河路大庆北门</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滨河路菽园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新北街水产弄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姚泾路吉祥路北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新北街姚泾路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姚泾路新北街南200米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郑和路东亭路西200米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东仓路向阳路路口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人民路上海路南200米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人民路南园路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弇山路柳园路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弇山路桃园菜场门口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弇山路桃园路南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通港路老闸锦超衬衫</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338省道闸南路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346国道星光厂北向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338省道钱江路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338省道嘉浏线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346国道苏昆太出口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204国道瓯江路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通港路白云路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通港路安邦检测站（原通港路岳鹿路）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204国道飞凤路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204国道直塘玉河路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338省道雅飞线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338省道益顺化纤</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339省道338省道西向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339省道浮浏线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滨江大道太浏快速路（南海路）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滨江大道郑和大街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滨江大道346国道西向</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协星路疏港高速出口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闸北路郑和南路北200米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闸北路复兴街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闸北路龙王湾大桥南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复兴街闸北路西200米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迎福路复兴街南200米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复兴街中心南街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复兴街中心南街西200米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迎福路郑和南路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复兴街迎福路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复兴街郑和南路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建业路迎春路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迎春路中（建湖路迎春路南200米）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338省道七丫路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世福二园北门</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上海路世福二园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文治路东北停车场西口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文治路东北停车场东口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文治路文昌路北交叉口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文治路文昌路南150米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文治路东南停车场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文治路文昌路南交叉口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文治路江申大道东300米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江申大道文治路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文治路江申大道西300米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文渊路桴亭路东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文治路西南停车场（文治路良辅路）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文治路西南停车场北桥头</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文治路人民新路西150米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文治路人民新路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文治路人民新路东150米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文治路太平新路西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江申大道桴亭路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人民新路梅村路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太平新路梅村路北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新港路塑化城东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新港路塑化城门口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新港路港晨之家门口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新港路港晨之家西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新港路牌楼卫生院门口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新港路牌新长线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新港路牌新长线西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新港路机场路东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新港路机场路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怀仁路玄武路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怀仁路荡茜桥南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玄武路园林路西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玄武路沙鹿路东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毛太路339省道北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毛太路兰州路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毛太路南京路南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兰州路华盛园警务室</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兰州路华盛六园门口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兰州路人民路东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郑和南路中（郑和北路迎福路西）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郑和南路中心南街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郑和北路新闸桥北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郑和北路木行弄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郑和北路医院岗亭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浏西村东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338省道过界河桥西1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338省道过界河桥西2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338省道华亭卡口东侧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338省道华亭卡口西侧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复兴街迎福路西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新宜路新塘警务室西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新宜路丁泾路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观塘街影剧弄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新兴路新毛大桥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新民路新兴路东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新民路新兴路南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昆太路西郊菜场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昆太路古浦路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洛阳路娄江路东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常州路娄江路西侧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常州路娄江路西350米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常州路东亭路东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郑和路供电局门口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郑和路古塘街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小北门街郑和路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人民路郑和路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人民路人民桥北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人民路向阳路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人民路中医院门口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锦州路上海路南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县府街房产交易中心门口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县府街交通建设指挥部</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太平路汽车站南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太平路汽车站北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兴业弄东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兴业弄中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兴业弄观塘街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半泾路郑和路南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半径路华荣园门口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常胜路常胜二园门口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龙江路府前街路口南200米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龙江路府前街路口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新港路龙江路西200米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太平新路海仓路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郑和路闸北路西150米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郑和路闸北路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闸北路郑和路北150米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郑和路闸北路东150米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飞马路江红路西150米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飞马路苏杭时代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飞马路兴港路东120米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飞马路兴港路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飞马路富民路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飞马路老北街东130米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飞马路龙江路东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富民路虹桥路北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滨江大道浮宅路违停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滨江大道银港路违停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204国道杨林桥南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204国道东南碳制品公司（204国道温州路北）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204国道南郊中队南200米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204国道苏创石化门口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杨家弄岳中路南120米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杨家弄岳中路口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204国道新港路东北侧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岳鹿路玄恭路北300米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岳鹿路玄恭路北150米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岳鹿路玄恭路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岳鹿路利民路北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岳鹿路利民路南150米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岳鹿路归庄小学门口对面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玄恭路归庄供电所</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玄恭路渠泾村村委会门口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中市路万金南路西200米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中市路胡家港路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听海路郑和大街北150米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听海路郑和大街北350米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听海路听海雅苑门口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听海路望海路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太蓬路沼丰路西60米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县府街扬州路东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东仓路县府街路口北25米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东港路新华路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凤北路中市街东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凤北路建新路东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凤北路建新路西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建新路菜场南门口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凤林路204国道西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中市路凤东街南80米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中市路凤南路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凤北路204国道西80米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迎春路建湖路北60米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建湖路双湖路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建业路迎新路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浮宅路建管所门口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临港路台中路南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临港路台南路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临港路S48进口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白云路泥墙路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太平路南园路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白云路沙溪医院门口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白云路新北街南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沙南路城市花园门口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滨江大道北环路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太平路朝阳路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太平路岳阳路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新华路古松弄</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新华路太平路西150米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新华路太平路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府南街县府路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洛阳路太平路东150米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洛阳路东仓路西200米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北门街郑和路南80米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北门街青石桥南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北门街县府路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新华路西门桥</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扬州路县府路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扬州路上海路北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南阳路太平路东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南阳路锦州路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人民路花园酒店南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郑和路太平路东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郑和路东仓路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锦州路滨河路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锦州路岳阳路南80米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锦州路岳阳路北80米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锦州路朝阳路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弇山路204国道东200米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新华西路肯德基门口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新华西路北门街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新华西路长埭弄西80米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新华西路长春路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岳阳路柳州路西侧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长春路康乐小区南侧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五洋路郑和路南300米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五洋路东古路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太丰村社区文化广场东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太丰村社区文化广场西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昆太路电信仓库西侧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昆太路天工设计工业园</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花园港路204国道</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花园港路农副食品城门口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339省道舍弗勒门口东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339省道G15高速入口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新华路通港路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新华路好又多超市</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新华路老闸菜场南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新华路邮政局门口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新华路新闸路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老闸大桥南50米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白云路沙南路北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众兴街新港路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众兴街新港路北200米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众兴街兴业街南200米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众兴街兴业街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四通路宣公路南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四通路洛阳路北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朝阳路东仓路东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朝阳路扬州路东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南园路市一中门口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南园路人民路东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南园路南门街西200米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南门街南园路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柳园路郑和路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柳园路桃园二村东门口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柳园路洛阳路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五洲路四通路西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五州路兴业路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204国道新浏河大桥北150米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204国道太蓬路北200米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204国道船厂路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沙南路高家楼河桥西侧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沙南路姚泾路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沙南路姚泾路西200米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建新路凤东街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建业路拘留所西侧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永安路勇和路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永安路湘王路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陆浜路北环路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陆浜路陆公路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云山路陆公路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云山路北环路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郑和路五洋路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寺桥路桃园路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204国道北京路东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204国道建业路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常州路常胜路西（移至惠阳路扬州路）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常州路车管所门口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常州路车管所西门口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县府街娄东宾馆门口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丁泾路牌新长线南200米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牌新长线丁泾路西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346国道339省道南200米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346国道339省道北100米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弇山路G204国道路口西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弇山路G204国道路口西250米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弇山西路五洋路路口东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新港路协星路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G15朝阳路高速</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东仓路郑和路路口南25米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钟楼园门口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204国道良辅路</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发达路北京路北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346国道沪宜高速北侧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346国道沪太公路208号对面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346国道益顺化纤</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346国道华达国际</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346国道华达国际对面</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346国道雅飞线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园林路崇文路西150米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346国道省道常熟治安卡口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S339站前大道东</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站北路站厚路西</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站前大道站北路南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站前大道站南路球机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站厚路站中路球机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站厚路站南路球机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站东路S339球机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站东路站中路球机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站东路站南路球机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G346南海路交叉口监控球机1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G346南海路交叉口监控球机2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听海路郑和东路交叉口监控球机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339省道新闯路北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迎新路建业路北200米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半泾路上海路南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半径路朝阳路北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朝阳路半泾路北200米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县府街长春路北150米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临河巷马家地园北200米</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秋帆路东仓路西侧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秋帆路文昌路东侧</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8053"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383</w:t>
            </w:r>
            <w:r>
              <w:rPr>
                <w:rFonts w:hint="eastAsia" w:ascii="宋体" w:hAnsi="宋体" w:eastAsia="宋体" w:cs="宋体"/>
                <w:szCs w:val="21"/>
                <w:highlight w:val="none"/>
              </w:rPr>
            </w:r>
            <w:r/>
          </w:p>
        </w:tc>
      </w:tr>
    </w:tbl>
    <w:p>
      <w:pPr>
        <w:pStyle w:val="1073"/>
        <w:rPr>
          <w:rFonts w:hint="eastAsia" w:ascii="宋体" w:hAnsi="宋体" w:eastAsia="宋体" w:cs="宋体"/>
          <w:szCs w:val="21"/>
          <w:highlight w:val="none"/>
        </w:rPr>
      </w:pPr>
      <w:r>
        <w:rPr>
          <w:rFonts w:hint="eastAsia" w:ascii="宋体" w:hAnsi="宋体" w:eastAsia="宋体" w:cs="宋体"/>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高空球机清单</w:t>
      </w:r>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768"/>
        <w:gridCol w:w="5920"/>
        <w:gridCol w:w="1769"/>
      </w:tblGrid>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设备地点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相机数量</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太平路（农商行东南角球）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东亭路(市政府东侧球)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郑和路(城中派出所北侧球）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太平路(城中派出所东侧球）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郑和路(通力城市博客北侧球）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人民路(通力城市博客西侧球）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204国道(花园港苑1号楼东侧球)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东亭路（高尔夫鑫城5号楼球）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娄江路（积水4号楼西北角球）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人民路（华旭大厦球）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东仓路（紫桂苑9幢东南球）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339省道（星光码头球）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346国道（高成上海假日球）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346国道（沪太锦苑球）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204国道（万鸿房产球）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339省道（城北青年公寓球）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346国道（中远电梯球）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346国道（威豪化纤球）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204国道（水岸华府24幢球）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娄江路（雅鹿大厦球）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太平路（国信大厦球）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天琴雅苑7号楼东北角</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县府街（银鸽大厦球）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龙江路（滨江华亭球）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白云路（苏运阁球）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郑和大街（瑞安御景苑球）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204国道（运管处球）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常胜路（恒通佳苑球）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人民南路（绿地球）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南郊204国道西（锦地水岸球）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昆太路（之江国际球）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绿地二期39幢顶楼</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郑和路（景瑞望府球）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朝阳路（华侨花园球）</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204国道沙南路高塔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永丰路良辅路西高塔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339省道飞沪路高塔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339省道浮浏线东高塔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346国道嘉浏线西高塔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346国道沪宜高速高塔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346国道海璜线高塔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346国道岳鹿路北高塔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鹿河新鹿小区高塔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通港路204国道东高塔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通港路昭衍路高塔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通港路协星路高塔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通港路平江路高塔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双浮路G15立交高塔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双浮路346国道西高塔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204国道新港路高塔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51</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新港路G15立交西高塔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52</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新港路众兴街东高塔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53</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石化路滨江南路西高塔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54</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岳鹿路粮食储备中心路高塔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55</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协星路大众河桥高塔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56</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郑和东路庆丰路高塔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57</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204国道凤南路高塔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58</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协星路荡茜河大桥东高塔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59</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通港路G15高塔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0"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339省道新塘工业园高塔</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总计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60</w:t>
            </w:r>
            <w:r>
              <w:rPr>
                <w:rFonts w:hint="eastAsia" w:ascii="宋体" w:hAnsi="宋体" w:eastAsia="宋体" w:cs="宋体"/>
                <w:szCs w:val="21"/>
                <w:highlight w:val="none"/>
              </w:rPr>
            </w:r>
            <w:r/>
          </w:p>
        </w:tc>
      </w:tr>
    </w:tbl>
    <w:p>
      <w:pPr>
        <w:pStyle w:val="1073"/>
        <w:rPr>
          <w:rFonts w:hint="eastAsia" w:ascii="宋体" w:hAnsi="宋体" w:eastAsia="宋体" w:cs="宋体"/>
          <w:szCs w:val="21"/>
          <w:highlight w:val="none"/>
        </w:rPr>
      </w:pPr>
      <w:r>
        <w:rPr>
          <w:rFonts w:hint="eastAsia" w:ascii="宋体" w:hAnsi="宋体" w:eastAsia="宋体" w:cs="宋体"/>
          <w:szCs w:val="21"/>
          <w:highlight w:val="none"/>
        </w:rPr>
      </w:r>
      <w:r/>
    </w:p>
    <w:p>
      <w:pPr>
        <w:pStyle w:val="1073"/>
        <w:rPr>
          <w:rFonts w:hint="eastAsia" w:ascii="宋体" w:hAnsi="宋体" w:eastAsia="宋体" w:cs="宋体"/>
          <w:szCs w:val="21"/>
          <w:highlight w:val="none"/>
        </w:rPr>
      </w:pPr>
      <w:r/>
      <w:bookmarkStart w:id="814" w:name="_Toc135745067"/>
      <w:r>
        <w:rPr>
          <w:rFonts w:hint="eastAsia" w:ascii="宋体" w:hAnsi="宋体" w:eastAsia="宋体" w:cs="宋体"/>
          <w:szCs w:val="21"/>
          <w:highlight w:val="none"/>
        </w:rPr>
        <w:t xml:space="preserve">中心设备清单：</w:t>
      </w:r>
      <w:bookmarkEnd w:id="814"/>
      <w:r>
        <w:rPr>
          <w:rFonts w:hint="eastAsia" w:ascii="宋体" w:hAnsi="宋体" w:eastAsia="宋体" w:cs="宋体"/>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08"/>
        <w:gridCol w:w="3947"/>
        <w:gridCol w:w="2351"/>
        <w:gridCol w:w="2151"/>
      </w:tblGrid>
      <w:tr>
        <w:trPr>
          <w:trHeight w:val="285"/>
        </w:trPr>
        <w:tc>
          <w:tcPr>
            <w:tcBorders>
              <w:top w:val="singl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编号</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设备型号</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设备品牌</w:t>
            </w: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R910服务器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R720服务器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14台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R710服务器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5台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R820服务器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X3650 M4服务器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IBM</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R320服务器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R510服务器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LENOVO</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R510服务器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LENOVO</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R520服务器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LENOVO</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HIROSS（海洛斯）精密空调</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HIROSS</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科华60KVAUPS</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科华</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科华30KVA</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科华</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MD3000存储服务器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14</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MD1200存储服务器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6台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NX3100存储服务器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NX3200存储服务器</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DELL</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17</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NVR DS-9632N-ST硬盘录像机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NVR DS-9632N-ST硬盘录像机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11台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19</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DS-9116HF-S硬盘录像机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海康威视</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4台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H3C S3600交换机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H3C</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H3C S5500交换机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H3C</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HAWAI S5700 交换机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华为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2台</w:t>
            </w:r>
            <w:r>
              <w:rPr>
                <w:rFonts w:hint="eastAsia" w:ascii="宋体" w:hAnsi="宋体" w:eastAsia="宋体" w:cs="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33"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2087"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光端机</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243" w:type="dxa"/>
            <w:vAlign w:val="bottom"/>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HUND</w:t>
            </w:r>
            <w:r>
              <w:rPr>
                <w:rFonts w:hint="eastAsia" w:ascii="宋体" w:hAnsi="宋体" w:eastAsia="宋体" w:cs="宋体"/>
                <w:szCs w:val="21"/>
                <w:highlight w:val="none"/>
              </w:rPr>
            </w:r>
            <w:r/>
          </w:p>
        </w:tc>
        <w:tc>
          <w:tcPr>
            <w:tcBorders>
              <w:top w:val="none" w:color="000000" w:sz="4" w:space="0"/>
              <w:left w:val="none" w:color="000000" w:sz="4" w:space="0"/>
              <w:bottom w:val="single" w:color="000000" w:sz="4" w:space="0"/>
              <w:right w:val="single" w:color="000000" w:sz="4" w:space="0"/>
            </w:tcBorders>
            <w:tcW w:w="1137" w:type="dxa"/>
            <w:vAlign w:val="top"/>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3台</w:t>
            </w:r>
            <w:r>
              <w:rPr>
                <w:rFonts w:hint="eastAsia" w:ascii="宋体" w:hAnsi="宋体" w:eastAsia="宋体" w:cs="宋体"/>
                <w:szCs w:val="21"/>
                <w:highlight w:val="none"/>
              </w:rPr>
            </w:r>
            <w:r/>
          </w:p>
        </w:tc>
      </w:tr>
    </w:tbl>
    <w:p>
      <w:pPr>
        <w:pStyle w:val="1085"/>
        <w:tabs>
          <w:tab w:val="left" w:pos="567" w:leader="none"/>
        </w:tabs>
        <w:rPr>
          <w:rFonts w:hint="eastAsia" w:cs="宋体"/>
          <w:sz w:val="21"/>
          <w:szCs w:val="21"/>
          <w:highlight w:val="none"/>
        </w:rPr>
      </w:pPr>
      <w:r/>
      <w:bookmarkEnd w:id="813"/>
      <w:r>
        <w:rPr>
          <w:rFonts w:hint="eastAsia" w:cs="宋体"/>
          <w:sz w:val="21"/>
          <w:szCs w:val="21"/>
          <w:highlight w:val="none"/>
        </w:rPr>
        <w:t xml:space="preserve">新市民中心三楼数字城市运营管理中心大屏及配套设备：</w:t>
      </w:r>
      <w:r>
        <w:rPr>
          <w:rFonts w:hint="eastAsia" w:cs="宋体"/>
          <w:sz w:val="21"/>
          <w:szCs w:val="21"/>
          <w:highlight w:val="none"/>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636"/>
        <w:gridCol w:w="3891"/>
        <w:gridCol w:w="1896"/>
        <w:gridCol w:w="636"/>
        <w:gridCol w:w="846"/>
      </w:tblGrid>
      <w:tr>
        <w:trPr>
          <w:trHeight w:val="5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设备名称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型号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户内小间距LED屏</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DH-PHSIA1.2-SH</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102.06</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户内小间距LED屏</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DH-PHSIA1.8-SS</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平方</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19.35</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小间距LED发送盒</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DH-LCS-M600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40</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DH-M60-7U视频综合平台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DH-M60-7U</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视频综合平台增强型主机</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DH-M70-4U-E</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45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视频综合平台M70系列4路HDMI编码卡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VEC0404HH-M70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M70系列6路HDMI增强型解码卡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VDC0605H-M70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视频综合平台高清DVI编码卡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DH-VEC0804HD-M60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M60系列18路HDMI增强型解码卡</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DH-VDC1805H-M60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小间距LED抽真空拆卸模组工具</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DH-NB-001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智能配电柜(110KW)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DH-LPD-3-110KW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1073"/>
              <w:jc w:val="left"/>
              <w:widowControl/>
              <w:rPr>
                <w:rFonts w:hint="eastAsia" w:ascii="宋体" w:hAnsi="宋体" w:eastAsia="宋体" w:cs="宋体"/>
                <w:szCs w:val="21"/>
                <w:highlight w:val="none"/>
              </w:rPr>
            </w:pPr>
            <w:r>
              <w:rPr>
                <w:rFonts w:hint="eastAsia" w:ascii="宋体" w:hAnsi="宋体" w:eastAsia="宋体" w:cs="宋体"/>
                <w:szCs w:val="21"/>
                <w:highlight w:val="none"/>
              </w:rPr>
              <w:t xml:space="preserve">智能配电柜(20KW)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DH-LPD-3-20KW</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套</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r>
    </w:tbl>
    <w:p>
      <w:pPr>
        <w:pStyle w:val="1074"/>
        <w:jc w:val="left"/>
        <w:spacing w:line="440" w:lineRule="exact"/>
        <w:tabs>
          <w:tab w:val="left" w:pos="200" w:leader="none"/>
        </w:tabs>
        <w:rPr>
          <w:rFonts w:hint="eastAsia" w:hAnsi="宋体" w:eastAsia="宋体" w:cs="宋体"/>
          <w:sz w:val="21"/>
          <w:szCs w:val="21"/>
          <w:highlight w:val="none"/>
        </w:rPr>
      </w:pPr>
      <w:r>
        <w:rPr>
          <w:rFonts w:hint="eastAsia" w:hAnsi="宋体" w:eastAsia="宋体" w:cs="宋体"/>
          <w:sz w:val="21"/>
          <w:szCs w:val="21"/>
          <w:highlight w:val="none"/>
        </w:rPr>
        <w:t xml:space="preserve">四、服务维护要求</w:t>
      </w:r>
      <w:r>
        <w:rPr>
          <w:rFonts w:hint="eastAsia" w:hAnsi="宋体" w:eastAsia="宋体" w:cs="宋体"/>
          <w:sz w:val="21"/>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4.1纵横工程智能交通服务管理平台维护</w:t>
      </w:r>
      <w:r>
        <w:rPr>
          <w:rFonts w:hint="eastAsia" w:ascii="宋体" w:hAnsi="宋体" w:eastAsia="宋体" w:cs="宋体"/>
          <w:szCs w:val="21"/>
          <w:highlight w:val="none"/>
        </w:rPr>
      </w:r>
      <w:r/>
    </w:p>
    <w:p>
      <w:pPr>
        <w:pStyle w:val="107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1、服务响应：中标方就本项目成立服务小组，成员名单提供给太仓市公安局交通管理大队，其中需提供至少一名软件工程师驻场服务，本项目服务小组成员提供7*24小时热线服务响应和支持。</w:t>
      </w:r>
      <w:r>
        <w:rPr>
          <w:rFonts w:hint="eastAsia" w:ascii="宋体" w:hAnsi="宋体" w:eastAsia="宋体" w:cs="宋体"/>
          <w:szCs w:val="21"/>
          <w:highlight w:val="none"/>
        </w:rPr>
        <w:t xml:space="preserve">接到报修后30分钟内响应</w:t>
      </w:r>
      <w:r>
        <w:rPr>
          <w:rFonts w:hint="eastAsia" w:ascii="宋体" w:hAnsi="宋体" w:eastAsia="宋体" w:cs="宋体"/>
          <w:szCs w:val="21"/>
          <w:highlight w:val="none"/>
        </w:rPr>
        <w:t xml:space="preserve">，保证系统在接到报修后4小时内恢复正常运行；如采用替代方式解决问题，故障软硬件必须在接到报修后24小时内修复，期间如不能修复，必须提供应急预案，保证系统的正常运行。</w:t>
      </w:r>
      <w:r>
        <w:rPr>
          <w:rFonts w:hint="eastAsia" w:ascii="宋体" w:hAnsi="宋体" w:eastAsia="宋体" w:cs="宋体"/>
          <w:szCs w:val="21"/>
          <w:highlight w:val="none"/>
        </w:rPr>
      </w:r>
      <w:r/>
    </w:p>
    <w:p>
      <w:pPr>
        <w:pStyle w:val="107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2、巡检要求：中标方必须对服务期限内的软件平台及各应用服务器每周进行一次巡检，及时发现存在的隐患与安全漏洞，向太仓市公安局交通管理大队提出书面报告，共同解决存在的问题与隐患。</w:t>
      </w:r>
      <w:r>
        <w:rPr>
          <w:rFonts w:hint="eastAsia" w:ascii="宋体" w:hAnsi="宋体" w:eastAsia="宋体" w:cs="宋体"/>
          <w:szCs w:val="21"/>
          <w:highlight w:val="none"/>
        </w:rPr>
      </w:r>
      <w:r/>
    </w:p>
    <w:p>
      <w:pPr>
        <w:pStyle w:val="107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3、咨询服务：针对</w:t>
      </w:r>
      <w:r>
        <w:rPr>
          <w:rFonts w:hint="eastAsia" w:ascii="宋体" w:hAnsi="宋体" w:eastAsia="宋体" w:cs="宋体"/>
          <w:szCs w:val="21"/>
          <w:highlight w:val="none"/>
        </w:rPr>
        <w:t xml:space="preserve">太仓市</w:t>
      </w:r>
      <w:r>
        <w:rPr>
          <w:rFonts w:hint="eastAsia" w:ascii="宋体" w:hAnsi="宋体" w:eastAsia="宋体" w:cs="宋体"/>
          <w:szCs w:val="21"/>
          <w:highlight w:val="none"/>
        </w:rPr>
        <w:t xml:space="preserve">公安局交通管理大队服务管理平台系统，中标方应进行定期的维护管理、系统评估及配置优化，确保系统运转的高效、稳定和安全，减少和避免系统性能瓶颈，杜绝信息系统安全事故，并且根据信息化发展需要，提供合理化建议和方案。</w:t>
      </w:r>
      <w:r>
        <w:rPr>
          <w:rFonts w:hint="eastAsia" w:ascii="宋体" w:hAnsi="宋体" w:eastAsia="宋体" w:cs="宋体"/>
          <w:szCs w:val="21"/>
          <w:highlight w:val="none"/>
        </w:rPr>
      </w:r>
      <w:r/>
    </w:p>
    <w:p>
      <w:pPr>
        <w:pStyle w:val="107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4、人员培训：按需为太仓市公安局交通管理大队相关人员进行平台操作培训，更新相应的用户手册。</w:t>
      </w:r>
      <w:r>
        <w:rPr>
          <w:rFonts w:hint="eastAsia" w:ascii="宋体" w:hAnsi="宋体" w:eastAsia="宋体" w:cs="宋体"/>
          <w:szCs w:val="21"/>
          <w:highlight w:val="none"/>
        </w:rPr>
      </w:r>
      <w:r/>
    </w:p>
    <w:p>
      <w:pPr>
        <w:pStyle w:val="1073"/>
        <w:ind w:firstLine="525"/>
        <w:rPr>
          <w:rStyle w:val="1216"/>
          <w:rFonts w:hint="eastAsia" w:ascii="宋体" w:hAnsi="宋体" w:eastAsia="宋体" w:cs="宋体"/>
          <w:szCs w:val="21"/>
          <w:highlight w:val="none"/>
        </w:rPr>
      </w:pPr>
      <w:r>
        <w:rPr>
          <w:rStyle w:val="1216"/>
          <w:rFonts w:hint="eastAsia" w:ascii="宋体" w:hAnsi="宋体" w:eastAsia="宋体" w:cs="宋体"/>
          <w:szCs w:val="21"/>
          <w:highlight w:val="none"/>
        </w:rPr>
        <w:t xml:space="preserve">5、其它要求：</w:t>
      </w:r>
      <w:r>
        <w:rPr>
          <w:rStyle w:val="1216"/>
          <w:rFonts w:hint="eastAsia" w:ascii="宋体" w:hAnsi="宋体" w:eastAsia="宋体" w:cs="宋体"/>
          <w:szCs w:val="21"/>
          <w:highlight w:val="none"/>
        </w:rPr>
      </w:r>
      <w:r/>
    </w:p>
    <w:p>
      <w:pPr>
        <w:pStyle w:val="107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（1）特殊情况下的现场值班服务。由于行业特殊性，遇有法定节假日或重大活动，中标方应主动提前提供值班工程师名单及联系电话，做到客户呼叫即时响应并及时到达客户现场，给予现场技术支持与协助。</w:t>
      </w:r>
      <w:r>
        <w:rPr>
          <w:rFonts w:hint="eastAsia" w:ascii="宋体" w:hAnsi="宋体" w:eastAsia="宋体" w:cs="宋体"/>
          <w:szCs w:val="21"/>
          <w:highlight w:val="none"/>
        </w:rPr>
      </w:r>
      <w:r/>
    </w:p>
    <w:p>
      <w:pPr>
        <w:pStyle w:val="1073"/>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（2）保密服务承诺。中标方在提供服务的过程中，获悉的一切资讯均需严格保密，签署相应保密协议。如有泄漏或擅自使用或允许他人使用用户信息造成损失的必须承担相应的民事赔偿责任。</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4.2（成利吉）道路交通信号控制系统维护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每月应对抢修、维护及巡查工作如实做好必要的记录，采购方将不定期对智能交通管理系统进行抽查巡检，根据群众的来电或投诉以及中标方的工作记录，对中标方的工作完成情况进行核实检查，作为季度、年度考评的重要依据。</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在合同签订后一个月内建立涉及维护范围内所有设备的各类档案，并提交一份交采购方备份。</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维护单位应建立抢修维护的登记制度。对每次抢修维护案例记录在册，要体现日期、路口、故障原因、报修时间及采购方联系人、完成修复时间、更换的设备、经手人等要素。</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维护单位应建立日常巡查登记制度。对每次巡查记录在册，要体现日期、路口、巡查内容（发现问题、采取措施）、巡查人等要素。</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维护单位应按照采购方要求，每月将抢修维护案例记录本、巡查记录本交由采购方检查工作情况。</w:t>
      </w:r>
      <w:r>
        <w:rPr>
          <w:rFonts w:hint="eastAsia" w:ascii="宋体" w:hAnsi="宋体" w:eastAsia="宋体" w:cs="宋体"/>
          <w:szCs w:val="21"/>
          <w:highlight w:val="none"/>
        </w:rPr>
      </w:r>
      <w:r/>
    </w:p>
    <w:p>
      <w:pPr>
        <w:pStyle w:val="1073"/>
        <w:ind w:firstLine="420"/>
        <w:jc w:val="left"/>
        <w:spacing w:line="360" w:lineRule="auto"/>
        <w:widowControl/>
        <w:rPr>
          <w:rFonts w:hint="eastAsia" w:ascii="宋体" w:hAnsi="宋体" w:eastAsia="宋体" w:cs="宋体"/>
          <w:b/>
          <w:szCs w:val="21"/>
          <w:highlight w:val="none"/>
        </w:rPr>
      </w:pPr>
      <w:r>
        <w:rPr>
          <w:rFonts w:hint="eastAsia" w:ascii="宋体" w:hAnsi="宋体" w:eastAsia="宋体" w:cs="宋体"/>
          <w:szCs w:val="21"/>
          <w:highlight w:val="none"/>
        </w:rPr>
        <w:t xml:space="preserve">维护单位应配合业主进行信号配时方案的优化方案，并在系统平台进行录入和建档。</w:t>
      </w:r>
      <w:r>
        <w:rPr>
          <w:rFonts w:hint="eastAsia" w:ascii="宋体" w:hAnsi="宋体" w:eastAsia="宋体" w:cs="宋体"/>
          <w:b/>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4.3太仓交警移动警务系统维护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中标方应保证系统在使用过程中，提供7X24小时电话支持服务和业务受理。如电话支持不能解决问题，中标方提供工程师现场技术支持服务，现场解决问题。因第三方网络、硬件和软件系统故障而造成系统运行故障的，中标方承诺协助甲方解决故障直至系统恢复正常运行。</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2、中标方负责对甲方维护人员的培训，使其能够进行一般性维护。并提供对应维护文档。</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3、中标方对甲方提供的无论何种形式或载体的内部资料及其他与本合同规定之服务内容有关或无关的信息严格保密，不得向任何第三方泄露，除非为法律法规所要求或有关国家权利机构合法命令。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4、针对原系统软件的功能缺陷及应用中出现的 BUG，在5个工作日内完成修改并部署上线。</w:t>
      </w:r>
      <w:r>
        <w:rPr>
          <w:rFonts w:hint="eastAsia" w:ascii="宋体" w:hAnsi="宋体" w:eastAsia="宋体" w:cs="宋体"/>
          <w:szCs w:val="21"/>
          <w:highlight w:val="none"/>
        </w:rPr>
      </w:r>
      <w:r/>
    </w:p>
    <w:p>
      <w:pPr>
        <w:pStyle w:val="1073"/>
        <w:ind w:firstLine="420"/>
        <w:spacing w:line="360" w:lineRule="auto"/>
        <w:widowControl/>
        <w:rPr>
          <w:rFonts w:hint="eastAsia" w:cs="宋体"/>
          <w:sz w:val="21"/>
          <w:szCs w:val="21"/>
          <w:highlight w:val="none"/>
        </w:rPr>
      </w:pPr>
      <w:r>
        <w:rPr>
          <w:rFonts w:hint="eastAsia" w:ascii="宋体" w:hAnsi="宋体" w:eastAsia="宋体" w:cs="宋体"/>
          <w:szCs w:val="21"/>
          <w:highlight w:val="none"/>
        </w:rPr>
        <w:t xml:space="preserve">5、中标方帮助甲方定期做好系统数据备份，并对备份数据进行妥善保管。</w:t>
      </w:r>
      <w:r>
        <w:rPr>
          <w:rFonts w:hint="eastAsia" w:cs="宋体"/>
          <w:sz w:val="21"/>
          <w:szCs w:val="21"/>
          <w:highlight w:val="none"/>
        </w:rPr>
      </w:r>
      <w:r/>
    </w:p>
    <w:p>
      <w:pPr>
        <w:pStyle w:val="1085"/>
        <w:ind w:firstLine="315"/>
        <w:tabs>
          <w:tab w:val="left" w:pos="567" w:leader="none"/>
        </w:tabs>
        <w:rPr>
          <w:rFonts w:hint="eastAsia" w:cs="宋体"/>
          <w:sz w:val="21"/>
          <w:szCs w:val="21"/>
          <w:highlight w:val="none"/>
        </w:rPr>
      </w:pPr>
      <w:r>
        <w:rPr>
          <w:rFonts w:hint="eastAsia" w:cs="宋体"/>
          <w:sz w:val="21"/>
          <w:szCs w:val="21"/>
          <w:highlight w:val="none"/>
        </w:rPr>
        <w:t xml:space="preserve">4.4车管所车辆检验远程监管及全市电警处理监管巡检服务</w:t>
      </w:r>
      <w:r>
        <w:rPr>
          <w:rFonts w:hint="eastAsia" w:cs="宋体"/>
          <w:sz w:val="21"/>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1、日常维护服务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通过定期巡检服务排除故障隐患，降低故障率。并通过以往维护数据分析，对故障多发、高发设备进行预防性巡检。</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巡检内容：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（1）对终端用户的计算机、打印机、高拍仪、二代身份证读卡器、手写板、USB摄像头、拾音器、摄像机、排队取号一体机（排队取号台式机）、查验PDA、录像服务器、应用服务器等硬件设备使用状况的巡检</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（2）对各非现场处罚点窗口排队取号系统、公安交通管理综合应用平台、监管系统等软件系统（含各类控件）使用状况的巡检。</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巡检要求：</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每月巡检一次，并向太仓交警大队提供相应的巡检报告。</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2、故障维护服务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服务要求： </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（1）工作时间为每天8:30到17:30，节假日除外。</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（2）设备报修时，5分钟电话响应；网点3小时到达现场。</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（3）提供故障服务热线电话。</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（1）软件故障维护内容：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①操作系统维护及补丁安装</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响应用户维护请求，对终端用户的计算机的操作系统进行</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在终端计算机中毒、系统文件丢失、软件无法安装的情况下，协助终端用户进行计算机数据的备份并重装操作系统。</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②终端公安苏警盾杀毒软件安装及</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lang w:eastAsia="zh-CN"/>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响应用户维护请求，对终端计算机未安装苏警盾杀毒软件的去现场进行安装、对终端计算机苏警盾杀毒软件故障进行重新安装、对终端计算机公安苏警盾杀毒软件进行定期病毒库更新</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③通用办公软件维护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响应用户维护请求，对终端计算机进行通用软件的安装、</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或重装（通用软件包括office、输入法、蓝信、数字证书驱动等办公软件，安装介质均从市公安局内网网站进行下载安装）。</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④专用软件系统维护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响应用户维护请求，对专用软件系统涉及的驱动程序、控件的安装、</w:t>
      </w:r>
      <w:r>
        <w:rPr>
          <w:rFonts w:hint="eastAsia" w:ascii="宋体" w:hAnsi="宋体" w:eastAsia="宋体" w:cs="宋体"/>
          <w:szCs w:val="21"/>
          <w:highlight w:val="none"/>
          <w:lang w:val="en-US" w:eastAsia="zh-CN"/>
        </w:rPr>
        <w:t xml:space="preserve">维护</w:t>
      </w:r>
      <w:r>
        <w:rPr>
          <w:rFonts w:hint="eastAsia" w:ascii="宋体" w:hAnsi="宋体" w:eastAsia="宋体" w:cs="宋体"/>
          <w:szCs w:val="21"/>
          <w:highlight w:val="none"/>
        </w:rPr>
        <w:t xml:space="preserve">和故障重装；提供专用软件系统软件设置、网络设置服务。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⑤终端网络维护</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响应用户维护请求，对终端网络故障进行排查，排查公安网IP地址是否冲突以及网关、子网掩码是否配对等。</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（2）硬件故障维护内容：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①终端硬件上门故障调试</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响应用户维护请求，排查终端计算机硬件故障并解决问题。</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对高拍仪、二代身份证读卡器、签字板、打印机等硬件因驱动和插件问题故障调试，对窗口排队显示屏显示故障调试、对USB摄像头清晰度故障调试以及拾音器录音的故障调试。</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②涉及设备维修的，处于厂家保修期内的故障设备，维护单位在用户授权的范围内协调产品供货商予以维修，并监督维修时效和质量。</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③其他：</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终端办公位置调整，响应用户请求，对终端计算机办公位置进行挪位调整（不包括布线、办公场地的搬迁）。</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每月提交一次维护报告。</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3、咨询与培训服务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工作时间为每天8:30到17:30，节假日除外。</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提供咨询服务热线</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咨询服务内容：</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为每个处罚点提供一份计算机和相关硬件设备的使用常识和技巧，以及简易故障排除的方法。</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简易故障排查的电话远程指导。</w:t>
      </w:r>
      <w:r>
        <w:rPr>
          <w:rFonts w:hint="eastAsia" w:ascii="宋体" w:hAnsi="宋体" w:eastAsia="宋体" w:cs="宋体"/>
          <w:szCs w:val="21"/>
          <w:highlight w:val="none"/>
        </w:rPr>
      </w:r>
      <w:r/>
    </w:p>
    <w:p>
      <w:pPr>
        <w:pStyle w:val="1085"/>
        <w:tabs>
          <w:tab w:val="left" w:pos="567" w:leader="none"/>
        </w:tabs>
        <w:rPr>
          <w:rFonts w:hint="eastAsia" w:cs="宋体"/>
          <w:sz w:val="21"/>
          <w:szCs w:val="21"/>
          <w:highlight w:val="none"/>
        </w:rPr>
      </w:pPr>
      <w:r>
        <w:rPr>
          <w:rFonts w:hint="eastAsia" w:cs="宋体"/>
          <w:sz w:val="21"/>
          <w:szCs w:val="21"/>
          <w:highlight w:val="none"/>
        </w:rPr>
        <w:t xml:space="preserve">4.5MapABC地理信息系统服务</w:t>
      </w:r>
      <w:r>
        <w:rPr>
          <w:rFonts w:hint="eastAsia" w:cs="宋体"/>
          <w:sz w:val="21"/>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服务要求</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在服务期内，地图平台服务供应商应对系统进行免费维护，并确保当系统出现重大故障影响系统使用时，立即调集相关技术力量予以解决，维护系统正常运行，响应时间小于 30 分钟；遇到 4 小时内仍无法解决的系统故障，应提出应急处理方案，保证系统稳定性和整体安全。提供不低于7*24小时的技术咨询服务。</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服务方式</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1、电话支持：</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服务供应商售后部及其服务技术人员通过电话进行技术支持，协助和指导用户方技术人员确定故原因，找出解决办法。</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2、远程支持：</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当电话支持不足以解决问题或故障情况比较复杂时，服务供应商售后部及其服务技术人员将在用户方技术人员的协助下，通过远程登录的方式登录进入用户方的局域网，确定故障原因并排除故障。如果不具备远程操作环境，服务供应商应向用户方提供故障排除工作相关的操作说明手册，并指导用户方技术人员操作。</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3、现场支持：</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当电话支持和远程支持都不能解决问题情况下，确需技术人员到现场时，服务供应商应派遣指定技术人员赶到现场，根据故障的具体情况进行故障诊断，尽快排除故障。</w:t>
      </w:r>
      <w:r>
        <w:rPr>
          <w:rFonts w:hint="eastAsia" w:ascii="宋体" w:hAnsi="宋体" w:eastAsia="宋体" w:cs="宋体"/>
          <w:szCs w:val="21"/>
          <w:highlight w:val="none"/>
        </w:rPr>
      </w:r>
      <w:r/>
    </w:p>
    <w:p>
      <w:pPr>
        <w:pStyle w:val="1099"/>
        <w:rPr>
          <w:rFonts w:hint="eastAsia" w:hAnsi="宋体" w:cs="宋体"/>
          <w:sz w:val="21"/>
          <w:szCs w:val="21"/>
          <w:highlight w:val="none"/>
        </w:rPr>
      </w:pPr>
      <w:r>
        <w:rPr>
          <w:rFonts w:hint="eastAsia" w:hAnsi="宋体" w:cs="宋体"/>
          <w:sz w:val="21"/>
          <w:szCs w:val="21"/>
          <w:highlight w:val="none"/>
        </w:rPr>
        <w:t xml:space="preserve">4.6非现场违法数据处理平台服务</w:t>
      </w:r>
      <w:r>
        <w:rPr>
          <w:rFonts w:hint="eastAsia" w:hAnsi="宋体" w:cs="宋体"/>
          <w:sz w:val="21"/>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1、项目服务期自合同签订之日起一年。</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2、服务期内提供不少于1人的5*8驻场运维。</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3、驻场人员负责对所有平台设备的应用操作，每季度提交每个设备的运行情况报告并负责对中心的相关工作人员进行培训；</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4、驻场人员负责对监测和报警记录进行分析、评审，发现可疑行为，形成分析报告，并采取必要的应对措施。 </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5、驻场人员负责建立相关系统软件各种故障的恢复流程及应急措施</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6、对新应用的设备需求，驻场工作人员应及时提交设备配置现状及设备规划报告，以便该应用能及时实施； </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7、驻场人员负责负责网络运行日志、网络监控记录的日常维护和报警信息分析和处理工作，提出优化建议及方案； </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8、驻场人员负责根据厂家提供的软件升级版本对网络设备进行更新，并在更新前对现有的重要文件进行备份； </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9、驻场人员负责对发现的网络系统安全漏洞进行及时的修补；</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10、驻场人员负责对服务配置文件进行定期备份。</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11、节假日1小时响应,4小时到场处理。</w:t>
      </w:r>
      <w:r>
        <w:rPr>
          <w:rFonts w:hint="eastAsia" w:ascii="宋体" w:hAnsi="宋体" w:eastAsia="宋体" w:cs="宋体"/>
          <w:szCs w:val="21"/>
          <w:highlight w:val="none"/>
        </w:rPr>
      </w:r>
      <w:r/>
    </w:p>
    <w:p>
      <w:pPr>
        <w:pStyle w:val="1085"/>
        <w:tabs>
          <w:tab w:val="left" w:pos="567" w:leader="none"/>
        </w:tabs>
        <w:rPr>
          <w:rFonts w:hint="eastAsia" w:cs="宋体"/>
          <w:sz w:val="21"/>
          <w:szCs w:val="21"/>
          <w:highlight w:val="none"/>
        </w:rPr>
      </w:pPr>
      <w:r>
        <w:rPr>
          <w:rFonts w:hint="eastAsia" w:cs="宋体"/>
          <w:sz w:val="21"/>
          <w:szCs w:val="21"/>
          <w:highlight w:val="none"/>
        </w:rPr>
        <w:t xml:space="preserve">4.7道路交通技术监控系统维护</w:t>
      </w:r>
      <w:r>
        <w:rPr>
          <w:rFonts w:hint="eastAsia" w:cs="宋体"/>
          <w:sz w:val="21"/>
          <w:szCs w:val="21"/>
          <w:highlight w:val="none"/>
        </w:rPr>
      </w:r>
      <w:r/>
    </w:p>
    <w:p>
      <w:pPr>
        <w:pStyle w:val="1099"/>
        <w:rPr>
          <w:rFonts w:hint="eastAsia" w:hAnsi="宋体" w:cs="宋体"/>
          <w:sz w:val="21"/>
          <w:szCs w:val="21"/>
          <w:highlight w:val="none"/>
        </w:rPr>
      </w:pPr>
      <w:r>
        <w:rPr>
          <w:rFonts w:hint="eastAsia" w:hAnsi="宋体" w:cs="宋体"/>
          <w:sz w:val="21"/>
          <w:szCs w:val="21"/>
          <w:highlight w:val="none"/>
        </w:rPr>
        <w:t xml:space="preserve">4.7.1维护需求</w:t>
      </w:r>
      <w:r>
        <w:rPr>
          <w:rFonts w:hint="eastAsia" w:hAnsi="宋体" w:cs="宋体"/>
          <w:sz w:val="21"/>
          <w:szCs w:val="21"/>
          <w:highlight w:val="none"/>
        </w:rPr>
      </w:r>
      <w:r/>
    </w:p>
    <w:p>
      <w:pPr>
        <w:pStyle w:val="1075"/>
        <w:jc w:val="both"/>
        <w:spacing w:line="440" w:lineRule="exact"/>
        <w:rPr>
          <w:rFonts w:hint="eastAsia" w:ascii="宋体" w:hAnsi="宋体" w:eastAsia="宋体" w:cs="宋体"/>
          <w:b w:val="0"/>
          <w:sz w:val="21"/>
          <w:szCs w:val="21"/>
          <w:highlight w:val="none"/>
        </w:rPr>
      </w:pPr>
      <w:r/>
      <w:bookmarkStart w:id="815" w:name="_Toc135745071"/>
      <w:r>
        <w:rPr>
          <w:rFonts w:hint="eastAsia" w:ascii="宋体" w:hAnsi="宋体" w:eastAsia="宋体" w:cs="宋体"/>
          <w:b w:val="0"/>
          <w:sz w:val="21"/>
          <w:szCs w:val="21"/>
          <w:highlight w:val="none"/>
        </w:rPr>
        <w:t xml:space="preserve">1、前后端设备的现场清洁保养和巡检维护</w:t>
      </w:r>
      <w:bookmarkEnd w:id="815"/>
      <w:r>
        <w:rPr>
          <w:rFonts w:hint="eastAsia" w:ascii="宋体" w:hAnsi="宋体" w:eastAsia="宋体" w:cs="宋体"/>
          <w:b w:val="0"/>
          <w:sz w:val="21"/>
          <w:szCs w:val="21"/>
          <w:highlight w:val="none"/>
        </w:rPr>
      </w:r>
      <w:r/>
    </w:p>
    <w:tbl>
      <w:tblPr>
        <w:tblW w:w="9457"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 w:type="dxa"/>
          <w:top w:w="-1" w:type="dxa"/>
          <w:right w:w="-1" w:type="dxa"/>
          <w:bottom w:w="-1" w:type="dxa"/>
        </w:tblCellMar>
        <w:tblLook w:val="04A0" w:firstRow="1" w:lastRow="0" w:firstColumn="1" w:lastColumn="0" w:noHBand="0" w:noVBand="1"/>
      </w:tblPr>
      <w:tblGrid>
        <w:gridCol w:w="3404"/>
        <w:gridCol w:w="4722"/>
        <w:gridCol w:w="1331"/>
      </w:tblGrid>
      <w:tr>
        <w:trPr>
          <w:tblHeader/>
        </w:trPr>
        <w:tc>
          <w:tcPr>
            <w:tcMar>
              <w:left w:w="-1" w:type="dxa"/>
              <w:top w:w="-1" w:type="dxa"/>
              <w:right w:w="-1" w:type="dxa"/>
              <w:bottom w:w="-1" w:type="dxa"/>
            </w:tcMar>
            <w:tcW w:w="3404"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设备名称</w:t>
            </w:r>
            <w:r>
              <w:rPr>
                <w:rFonts w:hint="eastAsia" w:ascii="宋体" w:hAnsi="宋体" w:eastAsia="宋体" w:cs="宋体"/>
                <w:b/>
                <w:szCs w:val="21"/>
                <w:highlight w:val="none"/>
              </w:rPr>
            </w:r>
            <w:r/>
          </w:p>
        </w:tc>
        <w:tc>
          <w:tcPr>
            <w:tcMar>
              <w:left w:w="-1" w:type="dxa"/>
              <w:top w:w="-1" w:type="dxa"/>
              <w:right w:w="-1" w:type="dxa"/>
              <w:bottom w:w="-1" w:type="dxa"/>
            </w:tcMar>
            <w:tcW w:w="4722"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清洁内容</w:t>
            </w:r>
            <w:r>
              <w:rPr>
                <w:rFonts w:hint="eastAsia" w:ascii="宋体" w:hAnsi="宋体" w:eastAsia="宋体" w:cs="宋体"/>
                <w:b/>
                <w:szCs w:val="21"/>
                <w:highlight w:val="none"/>
              </w:rPr>
            </w:r>
            <w:r/>
          </w:p>
        </w:tc>
        <w:tc>
          <w:tcPr>
            <w:tcMar>
              <w:left w:w="-1" w:type="dxa"/>
              <w:top w:w="-1" w:type="dxa"/>
              <w:right w:w="-1" w:type="dxa"/>
              <w:bottom w:w="-1" w:type="dxa"/>
            </w:tcMar>
            <w:tcW w:w="1331"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清洁周期</w:t>
            </w:r>
            <w:r>
              <w:rPr>
                <w:rFonts w:hint="eastAsia" w:ascii="宋体" w:hAnsi="宋体" w:eastAsia="宋体" w:cs="宋体"/>
                <w:b/>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监控、违停抓拍系统前端设备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摄像机护罩、镜头的清洁除尘及故障检查；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前端控制箱内的清洁除尘及故障检查；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光端机的保养、清洁及故障检查；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检测器的保养，清洁及故障检查。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监控、违停抓拍系统各个监控中心设备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硬盘录像机的保养、清洁及故障检查；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矩阵及控制键盘的保养、清洁及故障检查；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显示设备的保养、清洁及故障检查；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机柜及机柜内其他设备的保养、清洁及故障检查。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中心设备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机架除尘、服务器、存储设备的保养、清洁及故障检查；</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控制柜的保养、清洁及故障检查；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r>
        <w:trPr>
          <w:trHeight w:val="312"/>
        </w:trPr>
        <w:tc>
          <w:tcPr>
            <w:tcMar>
              <w:left w:w="-1" w:type="dxa"/>
              <w:top w:w="-1" w:type="dxa"/>
              <w:right w:w="-1" w:type="dxa"/>
              <w:bottom w:w="-1" w:type="dxa"/>
            </w:tcMar>
            <w:tcW w:w="3404"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路段高清抓拍摄像机、电子警察设备</w:t>
            </w:r>
            <w:r>
              <w:rPr>
                <w:rFonts w:hint="eastAsia" w:ascii="宋体" w:hAnsi="宋体" w:eastAsia="宋体" w:cs="宋体"/>
                <w:szCs w:val="21"/>
                <w:highlight w:val="none"/>
              </w:rPr>
            </w:r>
            <w:r/>
          </w:p>
        </w:tc>
        <w:tc>
          <w:tcPr>
            <w:tcMar>
              <w:left w:w="-1" w:type="dxa"/>
              <w:top w:w="-1" w:type="dxa"/>
              <w:right w:w="-1" w:type="dxa"/>
              <w:bottom w:w="-1" w:type="dxa"/>
            </w:tcMar>
            <w:tcW w:w="4722" w:type="dxa"/>
            <w:vAlign w:val="center"/>
            <w:vMerge w:val="restart"/>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摄像机护罩、镜头的清洁除尘及故障检查</w:t>
            </w:r>
            <w:r>
              <w:rPr>
                <w:rFonts w:hint="eastAsia" w:ascii="宋体" w:hAnsi="宋体" w:eastAsia="宋体" w:cs="宋体"/>
                <w:szCs w:val="21"/>
                <w:highlight w:val="none"/>
              </w:rPr>
            </w:r>
            <w:r/>
          </w:p>
        </w:tc>
        <w:tc>
          <w:tcPr>
            <w:tcMar>
              <w:left w:w="-1" w:type="dxa"/>
              <w:top w:w="-1" w:type="dxa"/>
              <w:right w:w="-1" w:type="dxa"/>
              <w:bottom w:w="-1" w:type="dxa"/>
            </w:tcMar>
            <w:tcW w:w="1331" w:type="dxa"/>
            <w:vAlign w:val="center"/>
            <w:vMerge w:val="restart"/>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1次/季度</w:t>
            </w:r>
            <w:r>
              <w:rPr>
                <w:rFonts w:hint="eastAsia" w:ascii="宋体" w:hAnsi="宋体" w:eastAsia="宋体" w:cs="宋体"/>
                <w:szCs w:val="21"/>
                <w:highlight w:val="none"/>
              </w:rPr>
            </w:r>
            <w:r/>
          </w:p>
        </w:tc>
      </w:tr>
    </w:tbl>
    <w:p>
      <w:pPr>
        <w:pStyle w:val="1075"/>
        <w:jc w:val="left"/>
        <w:spacing w:line="440" w:lineRule="exact"/>
        <w:rPr>
          <w:rFonts w:hint="eastAsia" w:ascii="宋体" w:hAnsi="宋体" w:eastAsia="宋体" w:cs="宋体"/>
          <w:b w:val="0"/>
          <w:sz w:val="21"/>
          <w:szCs w:val="21"/>
          <w:highlight w:val="none"/>
        </w:rPr>
      </w:pPr>
      <w:r/>
      <w:bookmarkStart w:id="816" w:name="_Toc135745072"/>
      <w:r>
        <w:rPr>
          <w:rFonts w:hint="eastAsia" w:ascii="宋体" w:hAnsi="宋体" w:eastAsia="宋体" w:cs="宋体"/>
          <w:b w:val="0"/>
          <w:sz w:val="21"/>
          <w:szCs w:val="21"/>
          <w:highlight w:val="none"/>
        </w:rPr>
        <w:t xml:space="preserve">2、系统中线路损坏的修复</w:t>
      </w:r>
      <w:bookmarkEnd w:id="816"/>
      <w:r>
        <w:rPr>
          <w:rFonts w:hint="eastAsia" w:ascii="宋体" w:hAnsi="宋体" w:eastAsia="宋体" w:cs="宋体"/>
          <w:b w:val="0"/>
          <w:sz w:val="21"/>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包括电源线、视频线、控制线等的损坏，以及通讯井的保养和损坏修复，对于因市政工程、拆迁等因素造成线路损坏的，由客户方负责协调，运维方配合进行修复；对于传输光纤问题，运维方根据光纤标号和联系电话联系运行商，运行商负责修复。如运行商修复有问题的由客户方负责协调。</w:t>
      </w:r>
      <w:r>
        <w:rPr>
          <w:rFonts w:hint="eastAsia" w:ascii="宋体" w:hAnsi="宋体" w:eastAsia="宋体" w:cs="宋体"/>
          <w:szCs w:val="21"/>
          <w:highlight w:val="none"/>
        </w:rPr>
      </w:r>
      <w:r/>
    </w:p>
    <w:p>
      <w:pPr>
        <w:pStyle w:val="1075"/>
        <w:jc w:val="left"/>
        <w:spacing w:line="440" w:lineRule="exact"/>
        <w:rPr>
          <w:rFonts w:hint="eastAsia" w:ascii="宋体" w:hAnsi="宋体" w:eastAsia="宋体" w:cs="宋体"/>
          <w:b w:val="0"/>
          <w:sz w:val="21"/>
          <w:szCs w:val="21"/>
          <w:highlight w:val="none"/>
        </w:rPr>
      </w:pPr>
      <w:r/>
      <w:bookmarkStart w:id="817" w:name="_Toc135745073"/>
      <w:r>
        <w:rPr>
          <w:rFonts w:hint="eastAsia" w:ascii="宋体" w:hAnsi="宋体" w:eastAsia="宋体" w:cs="宋体"/>
          <w:b w:val="0"/>
          <w:sz w:val="21"/>
          <w:szCs w:val="21"/>
          <w:highlight w:val="none"/>
        </w:rPr>
        <w:t xml:space="preserve">3、系统主要设备元器件的损坏维护</w:t>
      </w:r>
      <w:bookmarkEnd w:id="817"/>
      <w:r>
        <w:rPr>
          <w:rFonts w:hint="eastAsia" w:ascii="宋体" w:hAnsi="宋体" w:eastAsia="宋体" w:cs="宋体"/>
          <w:b w:val="0"/>
          <w:sz w:val="21"/>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对矩阵及键盘、硬盘录像机、显示设备、摄像机（工业相机），检测器、光端机、服务器、防火墙、网闸等所有设备提供检测和故障检修，一旦出现设备（除人为故意损坏和不可抗拒因素外）损坏情况可以修复的由运维方及时修复，若设备损坏无法修复，则由采购人提供替换设备，由供应商负责完成设备安装。</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2）对摄像机电源、视频头、视频跳线、尾纤等其他辅助设备提供全面的维护和检修。保证系统正常运行。</w:t>
      </w:r>
      <w:r>
        <w:rPr>
          <w:rFonts w:hint="eastAsia" w:ascii="宋体" w:hAnsi="宋体" w:eastAsia="宋体" w:cs="宋体"/>
          <w:szCs w:val="21"/>
          <w:highlight w:val="none"/>
        </w:rPr>
      </w:r>
      <w:r/>
    </w:p>
    <w:p>
      <w:pPr>
        <w:pStyle w:val="107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监控主要设备品牌及规格</w:t>
      </w:r>
      <w:r>
        <w:rPr>
          <w:rFonts w:hint="eastAsia" w:ascii="宋体" w:hAnsi="宋体" w:eastAsia="宋体" w:cs="宋体"/>
          <w:szCs w:val="21"/>
          <w:highlight w:val="none"/>
        </w:rPr>
      </w:r>
      <w:r/>
    </w:p>
    <w:tbl>
      <w:tblPr>
        <w:tblpPr w:horzAnchor="text" w:tblpXSpec="left" w:vertAnchor="text" w:tblpY="350" w:leftFromText="180" w:topFromText="0" w:rightFromText="180" w:bottomFromText="0"/>
        <w:tblW w:w="96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050"/>
        <w:gridCol w:w="2995"/>
        <w:gridCol w:w="3813"/>
      </w:tblGrid>
      <w:tr>
        <w:trPr>
          <w:trHeight w:val="300"/>
        </w:trPr>
        <w:tc>
          <w:tcPr>
            <w:tcW w:w="804"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050"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设备名称</w:t>
            </w:r>
            <w:r>
              <w:rPr>
                <w:rFonts w:hint="eastAsia" w:ascii="宋体" w:hAnsi="宋体" w:eastAsia="宋体" w:cs="宋体"/>
                <w:szCs w:val="21"/>
                <w:highlight w:val="none"/>
              </w:rPr>
            </w:r>
            <w:r/>
          </w:p>
        </w:tc>
        <w:tc>
          <w:tcPr>
            <w:tcW w:w="2995"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品牌</w:t>
            </w:r>
            <w:r>
              <w:rPr>
                <w:rFonts w:hint="eastAsia" w:ascii="宋体" w:hAnsi="宋体" w:eastAsia="宋体" w:cs="宋体"/>
                <w:szCs w:val="21"/>
                <w:highlight w:val="none"/>
              </w:rPr>
            </w:r>
            <w:r/>
          </w:p>
        </w:tc>
        <w:tc>
          <w:tcPr>
            <w:tcW w:w="3813"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规格要求</w:t>
            </w:r>
            <w:r>
              <w:rPr>
                <w:rFonts w:hint="eastAsia" w:ascii="宋体" w:hAnsi="宋体" w:eastAsia="宋体" w:cs="宋体"/>
                <w:szCs w:val="21"/>
                <w:highlight w:val="none"/>
              </w:rPr>
            </w:r>
            <w:r/>
          </w:p>
        </w:tc>
      </w:tr>
      <w:tr>
        <w:trPr>
          <w:trHeight w:val="578"/>
        </w:trPr>
        <w:tc>
          <w:tcPr>
            <w:tcW w:w="804"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2050"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网络高清球机</w:t>
            </w:r>
            <w:r>
              <w:rPr>
                <w:rFonts w:hint="eastAsia" w:ascii="宋体" w:hAnsi="宋体" w:eastAsia="宋体" w:cs="宋体"/>
                <w:szCs w:val="21"/>
                <w:highlight w:val="none"/>
              </w:rPr>
            </w:r>
            <w:r/>
          </w:p>
        </w:tc>
        <w:tc>
          <w:tcPr>
            <w:tcW w:w="2995"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海康威视、杭州宇视等</w:t>
            </w:r>
            <w:r>
              <w:rPr>
                <w:rFonts w:hint="eastAsia" w:ascii="宋体" w:hAnsi="宋体" w:eastAsia="宋体" w:cs="宋体"/>
                <w:szCs w:val="21"/>
                <w:highlight w:val="none"/>
              </w:rPr>
            </w:r>
            <w:r/>
          </w:p>
        </w:tc>
        <w:tc>
          <w:tcPr>
            <w:tcW w:w="3813"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300万像素及以上、低照度、宽动态</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W w:w="2050"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光电收发器</w:t>
            </w:r>
            <w:r>
              <w:rPr>
                <w:rFonts w:hint="eastAsia" w:ascii="宋体" w:hAnsi="宋体" w:eastAsia="宋体" w:cs="宋体"/>
                <w:szCs w:val="21"/>
                <w:highlight w:val="none"/>
              </w:rPr>
            </w:r>
            <w:r/>
          </w:p>
        </w:tc>
        <w:tc>
          <w:tcPr>
            <w:tcW w:w="2995"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瑞斯康达等</w:t>
            </w:r>
            <w:r>
              <w:rPr>
                <w:rFonts w:hint="eastAsia" w:ascii="宋体" w:hAnsi="宋体" w:eastAsia="宋体" w:cs="宋体"/>
                <w:szCs w:val="21"/>
                <w:highlight w:val="none"/>
              </w:rPr>
            </w:r>
            <w:r/>
          </w:p>
        </w:tc>
        <w:tc>
          <w:tcPr>
            <w:tcW w:w="3813"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百兆网口及以上</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2050"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NVR</w:t>
            </w:r>
            <w:r>
              <w:rPr>
                <w:rFonts w:hint="eastAsia" w:ascii="宋体" w:hAnsi="宋体" w:eastAsia="宋体" w:cs="宋体"/>
                <w:szCs w:val="21"/>
                <w:highlight w:val="none"/>
              </w:rPr>
            </w:r>
            <w:r/>
          </w:p>
        </w:tc>
        <w:tc>
          <w:tcPr>
            <w:tcW w:w="2995"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海康威视等</w:t>
            </w:r>
            <w:r>
              <w:rPr>
                <w:rFonts w:hint="eastAsia" w:ascii="宋体" w:hAnsi="宋体" w:eastAsia="宋体" w:cs="宋体"/>
                <w:szCs w:val="21"/>
                <w:highlight w:val="none"/>
              </w:rPr>
            </w:r>
            <w:r/>
          </w:p>
        </w:tc>
        <w:tc>
          <w:tcPr>
            <w:tcW w:w="3813"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存储码流≥4M、录像保存一个月以上</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2050"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硬盘</w:t>
            </w:r>
            <w:r>
              <w:rPr>
                <w:rFonts w:hint="eastAsia" w:ascii="宋体" w:hAnsi="宋体" w:eastAsia="宋体" w:cs="宋体"/>
                <w:szCs w:val="21"/>
                <w:highlight w:val="none"/>
              </w:rPr>
            </w:r>
            <w:r/>
          </w:p>
        </w:tc>
        <w:tc>
          <w:tcPr>
            <w:tcW w:w="2995"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容量不小于原设备</w:t>
            </w:r>
            <w:r>
              <w:rPr>
                <w:rFonts w:hint="eastAsia" w:ascii="宋体" w:hAnsi="宋体" w:eastAsia="宋体" w:cs="宋体"/>
                <w:szCs w:val="21"/>
                <w:highlight w:val="none"/>
              </w:rPr>
            </w:r>
            <w:r/>
          </w:p>
        </w:tc>
        <w:tc>
          <w:tcPr>
            <w:tcW w:w="3813"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监控级和服务器硬盘</w:t>
            </w:r>
            <w:r>
              <w:rPr>
                <w:rFonts w:hint="eastAsia" w:ascii="宋体" w:hAnsi="宋体" w:eastAsia="宋体" w:cs="宋体"/>
                <w:szCs w:val="21"/>
                <w:highlight w:val="none"/>
              </w:rPr>
            </w:r>
            <w:r/>
          </w:p>
        </w:tc>
      </w:tr>
      <w:tr>
        <w:trPr>
          <w:trHeight w:val="456"/>
        </w:trPr>
        <w:tc>
          <w:tcPr>
            <w:tcW w:w="804"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2050"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抓拍主机及配套补光灯、闪光灯等设备</w:t>
            </w:r>
            <w:r>
              <w:rPr>
                <w:rFonts w:hint="eastAsia" w:ascii="宋体" w:hAnsi="宋体" w:eastAsia="宋体" w:cs="宋体"/>
                <w:szCs w:val="21"/>
                <w:highlight w:val="none"/>
              </w:rPr>
            </w:r>
            <w:r/>
          </w:p>
        </w:tc>
        <w:tc>
          <w:tcPr>
            <w:tcW w:w="2995"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海康威视等</w:t>
            </w:r>
            <w:r>
              <w:rPr>
                <w:rFonts w:hint="eastAsia" w:ascii="宋体" w:hAnsi="宋体" w:eastAsia="宋体" w:cs="宋体"/>
                <w:szCs w:val="21"/>
                <w:highlight w:val="none"/>
              </w:rPr>
            </w:r>
            <w:r/>
          </w:p>
        </w:tc>
        <w:tc>
          <w:tcPr>
            <w:tcW w:w="3813"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主机要求900万像素。</w:t>
            </w:r>
            <w:r>
              <w:rPr>
                <w:rFonts w:hint="eastAsia" w:ascii="宋体" w:hAnsi="宋体" w:eastAsia="宋体" w:cs="宋体"/>
                <w:szCs w:val="21"/>
                <w:highlight w:val="none"/>
              </w:rPr>
            </w:r>
            <w:r/>
          </w:p>
        </w:tc>
      </w:tr>
      <w:tr>
        <w:trPr>
          <w:trHeight w:val="645"/>
        </w:trPr>
        <w:tc>
          <w:tcPr>
            <w:tcW w:w="804"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2050"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总体要求</w:t>
            </w:r>
            <w:r>
              <w:rPr>
                <w:rFonts w:hint="eastAsia" w:ascii="宋体" w:hAnsi="宋体" w:eastAsia="宋体" w:cs="宋体"/>
                <w:szCs w:val="21"/>
                <w:highlight w:val="none"/>
              </w:rPr>
            </w:r>
            <w:r/>
          </w:p>
        </w:tc>
        <w:tc>
          <w:tcPr>
            <w:gridSpan w:val="2"/>
            <w:tcW w:w="6808" w:type="dxa"/>
            <w:vAlign w:val="center"/>
            <w:textDirection w:val="lrTb"/>
            <w:noWrap w:val="false"/>
          </w:tcPr>
          <w:p>
            <w:pPr>
              <w:pStyle w:val="1073"/>
              <w:rPr>
                <w:rFonts w:hint="eastAsia" w:ascii="宋体" w:hAnsi="宋体" w:eastAsia="宋体" w:cs="宋体"/>
                <w:szCs w:val="21"/>
                <w:highlight w:val="none"/>
              </w:rPr>
              <w:framePr w:vAnchor="margin" w:hAnchor="page" w:y="350"/>
            </w:pPr>
            <w:r>
              <w:rPr>
                <w:rFonts w:hint="eastAsia" w:ascii="宋体" w:hAnsi="宋体" w:eastAsia="宋体" w:cs="宋体"/>
                <w:szCs w:val="21"/>
                <w:highlight w:val="none"/>
              </w:rPr>
              <w:t xml:space="preserve">所选设备需无缝接入原有系统</w:t>
            </w:r>
            <w:r>
              <w:rPr>
                <w:rFonts w:hint="eastAsia" w:ascii="宋体" w:hAnsi="宋体" w:eastAsia="宋体" w:cs="宋体"/>
                <w:szCs w:val="21"/>
                <w:highlight w:val="none"/>
              </w:rPr>
            </w:r>
            <w:r/>
          </w:p>
        </w:tc>
      </w:tr>
    </w:tbl>
    <w:p>
      <w:pPr>
        <w:pStyle w:val="1073"/>
        <w:spacing w:line="360" w:lineRule="auto"/>
        <w:rPr>
          <w:rFonts w:hint="eastAsia" w:ascii="宋体" w:hAnsi="宋体" w:eastAsia="宋体" w:cs="宋体"/>
          <w:szCs w:val="21"/>
          <w:highlight w:val="none"/>
        </w:rPr>
      </w:pPr>
      <w:r/>
      <w:bookmarkStart w:id="818" w:name="_Toc135745075"/>
      <w:r>
        <w:rPr>
          <w:rFonts w:hint="eastAsia" w:ascii="宋体" w:hAnsi="宋体" w:eastAsia="宋体" w:cs="宋体"/>
          <w:szCs w:val="21"/>
          <w:highlight w:val="none"/>
        </w:rPr>
        <w:t xml:space="preserve">4.8、服务方案要求：</w:t>
      </w:r>
      <w:r>
        <w:rPr>
          <w:rFonts w:hint="eastAsia" w:ascii="宋体" w:hAnsi="宋体" w:eastAsia="宋体" w:cs="宋体"/>
          <w:szCs w:val="21"/>
          <w:highlight w:val="none"/>
        </w:rPr>
      </w:r>
      <w:r/>
    </w:p>
    <w:p>
      <w:pPr>
        <w:pStyle w:val="1073"/>
        <w:ind w:firstLine="48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（1）纵横工程智能交通服务管理平台维护服务方案要求：</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1）对项目需求的理解：包含但不限于①项目具体维护内容；②维护服务要求；③对现有平台架构调研等。</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2）对用户平台现状及存在问题的描述：包含但不限于①系统结构；②功能模块；③平台关联涉及；④对现有平台存在问题的描述等。</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3）日常服务巡检计划：包含但不限于①服务器维护；②存储设备维护；③数据库系统维护；④应用系统的日常维护；⑤巡检计划等。</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4）服务应急预案：包含但不限于①工作原则；②事件分类和风险程度分析；③处置流程；④保障措施等。</w:t>
      </w:r>
      <w:r>
        <w:rPr>
          <w:rFonts w:hint="eastAsia" w:ascii="宋体" w:hAnsi="宋体" w:eastAsia="宋体" w:cs="宋体"/>
          <w:b/>
          <w:bCs/>
          <w:szCs w:val="21"/>
          <w:highlight w:val="none"/>
        </w:rPr>
      </w:r>
      <w:r/>
    </w:p>
    <w:p>
      <w:pPr>
        <w:pStyle w:val="1073"/>
        <w:ind w:firstLine="48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（2）道路交通技术监控系统维护服务方案要求：</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1）维护内容：包含但不限于①项目具体维护内容；②维护服务要求</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2）维护计划：包含但不限于①日常巡检计划；②前后端设备清洁计划；③维护服务执行方式等。</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3）保障措施：包含但不限于①响应时间；②服务人员等。</w:t>
      </w:r>
      <w:r>
        <w:rPr>
          <w:rFonts w:hint="eastAsia" w:ascii="宋体" w:hAnsi="宋体" w:eastAsia="宋体" w:cs="宋体"/>
          <w:b/>
          <w:bCs/>
          <w:szCs w:val="21"/>
          <w:highlight w:val="none"/>
        </w:rPr>
      </w:r>
      <w:r/>
    </w:p>
    <w:p>
      <w:pPr>
        <w:pStyle w:val="1073"/>
        <w:ind w:firstLine="69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4）服务应急预案：包含但不限于①故障等级；②备品备件等。</w:t>
      </w:r>
      <w:r>
        <w:rPr>
          <w:rFonts w:hint="eastAsia" w:ascii="宋体" w:hAnsi="宋体" w:eastAsia="宋体" w:cs="宋体"/>
          <w:b/>
          <w:bCs/>
          <w:szCs w:val="21"/>
          <w:highlight w:val="none"/>
        </w:rPr>
      </w:r>
      <w:r/>
    </w:p>
    <w:p>
      <w:pPr>
        <w:pStyle w:val="1073"/>
        <w:ind w:firstLine="48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（3）服务响应方案：包含但不限于①故障响应、②人员配置、③出行方式（含出发地及目的地）等。</w:t>
      </w:r>
      <w:r>
        <w:rPr>
          <w:rFonts w:hint="eastAsia" w:ascii="宋体" w:hAnsi="宋体" w:eastAsia="宋体" w:cs="宋体"/>
          <w:b/>
          <w:bCs/>
          <w:szCs w:val="21"/>
          <w:highlight w:val="none"/>
        </w:rPr>
      </w:r>
      <w:r/>
    </w:p>
    <w:p>
      <w:pPr>
        <w:pStyle w:val="107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5、对交警大队超过质保期并已损坏的服务器的故障维护。</w:t>
      </w:r>
      <w:bookmarkEnd w:id="818"/>
      <w:r>
        <w:rPr>
          <w:rFonts w:hint="eastAsia" w:ascii="宋体" w:hAnsi="宋体" w:eastAsia="宋体" w:cs="宋体"/>
          <w:sz w:val="21"/>
          <w:szCs w:val="21"/>
          <w:highlight w:val="none"/>
        </w:rPr>
      </w:r>
      <w:r/>
    </w:p>
    <w:p>
      <w:pPr>
        <w:pStyle w:val="1073"/>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包含对所有服务器及配套设备的巡检、保养、维护，包括相关数据库的维护。</w:t>
      </w:r>
      <w:bookmarkStart w:id="819" w:name="_Toc135745076"/>
      <w:r>
        <w:rPr>
          <w:rFonts w:hint="eastAsia" w:ascii="宋体" w:hAnsi="宋体" w:eastAsia="宋体" w:cs="宋体"/>
          <w:szCs w:val="21"/>
          <w:highlight w:val="none"/>
        </w:rPr>
      </w:r>
      <w:r/>
    </w:p>
    <w:p>
      <w:pPr>
        <w:pStyle w:val="1075"/>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6、对道路监控因应急安保、市政施工、道路重新规划、路面修补（损坏）等原因引起的设备采购及维护工作（含所有违停抓拍点位及电子警察点位）。</w:t>
      </w:r>
      <w:bookmarkEnd w:id="819"/>
      <w:r>
        <w:rPr>
          <w:rFonts w:hint="eastAsia" w:ascii="宋体" w:hAnsi="宋体" w:eastAsia="宋体" w:cs="宋体"/>
          <w:sz w:val="21"/>
          <w:szCs w:val="21"/>
          <w:highlight w:val="none"/>
        </w:rPr>
      </w:r>
      <w:r/>
    </w:p>
    <w:p>
      <w:pPr>
        <w:pStyle w:val="107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包括点位的迁移、改造及其他维护工作。</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制定维护计划，落实维护各个环节，落实好维护范围内所有设备的维护、保养和运行维护工作，保证设备机械性能良好、电气特性符合标准要求、设备运行正常、稳定，数据及时准确，技术资料、原始记录齐全。维护人员应相对固定，且24小时有人值守，认真填写值班日志，并做到维护人员在故障突发时随叫随到。</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bookmarkStart w:id="820" w:name="_Toc82513070"/>
      <w:r>
        <w:rPr>
          <w:rFonts w:hint="eastAsia" w:ascii="宋体" w:hAnsi="宋体" w:eastAsia="宋体" w:cs="宋体"/>
          <w:szCs w:val="21"/>
          <w:highlight w:val="none"/>
        </w:rPr>
        <w:t xml:space="preserve">8、日常记录</w:t>
      </w:r>
      <w:bookmarkEnd w:id="820"/>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在日常维护中要做好维护记录，并每月一次向太仓市交警大队上报维护情况表。</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bookmarkStart w:id="821" w:name="_Toc82513071"/>
      <w:r>
        <w:rPr>
          <w:rFonts w:hint="eastAsia" w:ascii="宋体" w:hAnsi="宋体" w:eastAsia="宋体" w:cs="宋体"/>
          <w:szCs w:val="21"/>
          <w:highlight w:val="none"/>
        </w:rPr>
        <w:t xml:space="preserve">9、维护响应及周期</w:t>
      </w:r>
      <w:bookmarkEnd w:id="821"/>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当有故障发生时，必须立即采取措施排除故障，不得以任何理由拖延、推诿和隐瞒。每个前端监控点或电警卡口设备年度所发生的不可用时间不得大于15 天（光纤问题由运行商确认后除外）。</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bookmarkStart w:id="822" w:name="_Toc82513072"/>
      <w:r>
        <w:rPr>
          <w:rFonts w:hint="eastAsia" w:ascii="宋体" w:hAnsi="宋体" w:eastAsia="宋体" w:cs="宋体"/>
          <w:szCs w:val="21"/>
          <w:highlight w:val="none"/>
        </w:rPr>
        <w:t xml:space="preserve">10、应急响应</w:t>
      </w:r>
      <w:bookmarkEnd w:id="822"/>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有特殊需要时，必须随叫随到，未经许可，必须在2小时内到达现场，一般故障要在12小时内解决。</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bookmarkStart w:id="823" w:name="_Toc82513073"/>
      <w:r>
        <w:rPr>
          <w:rFonts w:hint="eastAsia" w:ascii="宋体" w:hAnsi="宋体" w:eastAsia="宋体" w:cs="宋体"/>
          <w:szCs w:val="21"/>
          <w:highlight w:val="none"/>
        </w:rPr>
        <w:t xml:space="preserve">11、建立健全企业维护技术资料：</w:t>
      </w:r>
      <w:bookmarkEnd w:id="823"/>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（1）、妥善保管各种图纸、说明书和有关资料，集中存放，由专人定期整理。设备调拨时有关资料应随机转移，不得扣留或抽取插页。</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（2）、按行业规范采购一定数量的备件备品，对不能修复的设备进行更换，确保设备正常运行。建立企业定期维护记录表及维护日志，妥善保存启用、停用、大修、故障及重要测试数据。</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（3）、各种记录在当月工作完成后要及时整理。每年的作业计划、报表和记录要装订成册，标识明确。</w:t>
      </w:r>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（4）、各种维护报表、值班记录，要妥善保存。</w:t>
      </w:r>
      <w:r>
        <w:rPr>
          <w:rFonts w:hint="eastAsia" w:ascii="宋体" w:hAnsi="宋体" w:eastAsia="宋体" w:cs="宋体"/>
          <w:szCs w:val="21"/>
          <w:highlight w:val="none"/>
        </w:rPr>
      </w:r>
      <w:r/>
    </w:p>
    <w:p>
      <w:pPr>
        <w:pStyle w:val="1073"/>
        <w:jc w:val="left"/>
        <w:spacing w:line="440" w:lineRule="exact"/>
        <w:rPr>
          <w:rFonts w:hint="eastAsia" w:ascii="宋体" w:hAnsi="宋体" w:eastAsia="宋体" w:cs="宋体"/>
          <w:szCs w:val="21"/>
          <w:highlight w:val="none"/>
        </w:rPr>
      </w:pPr>
      <w:r/>
      <w:bookmarkStart w:id="824" w:name="_Toc82513074"/>
      <w:r>
        <w:rPr>
          <w:rFonts w:hint="eastAsia" w:ascii="宋体" w:hAnsi="宋体" w:eastAsia="宋体" w:cs="宋体"/>
          <w:szCs w:val="21"/>
          <w:highlight w:val="none"/>
        </w:rPr>
        <w:t xml:space="preserve">12、 系统硬件设备的完好率</w:t>
      </w:r>
      <w:bookmarkEnd w:id="824"/>
      <w:r>
        <w:rPr>
          <w:rFonts w:hint="eastAsia" w:ascii="宋体" w:hAnsi="宋体" w:eastAsia="宋体" w:cs="宋体"/>
          <w:szCs w:val="21"/>
          <w:highlight w:val="none"/>
        </w:rPr>
      </w:r>
      <w:r/>
    </w:p>
    <w:p>
      <w:pPr>
        <w:pStyle w:val="1073"/>
        <w:ind w:firstLine="420"/>
        <w:jc w:val="left"/>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系统硬件设备的完好率是指违停抓拍、道路监控和电子警察等在系统平台正常运行的状态下，系统前端设备保持正常运行状态所占的比例。主要用来考核前端监控点及卡点监控的正常运行状态。本项目中要求道路监控系统、违停抓拍和电子警察系统的设备完好率达到98%以上（包括98%）。</w:t>
      </w:r>
      <w:r>
        <w:rPr>
          <w:rFonts w:hint="eastAsia" w:ascii="宋体" w:hAnsi="宋体" w:eastAsia="宋体" w:cs="宋体"/>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r>
      <w:r/>
    </w:p>
    <w:p>
      <w:pPr>
        <w:pStyle w:val="1202"/>
        <w:ind w:firstLine="0"/>
        <w:jc w:val="left"/>
        <w:rPr>
          <w:rFonts w:hint="eastAsia" w:ascii="宋体" w:hAnsi="宋体" w:cs="宋体"/>
          <w:sz w:val="21"/>
          <w:szCs w:val="21"/>
          <w:highlight w:val="none"/>
        </w:rPr>
      </w:pPr>
      <w:r>
        <w:rPr>
          <w:rFonts w:hint="eastAsia" w:ascii="宋体" w:hAnsi="宋体" w:cs="宋体"/>
          <w:sz w:val="21"/>
          <w:szCs w:val="21"/>
          <w:highlight w:val="none"/>
        </w:rPr>
        <w:t xml:space="preserve">六、维护队伍的人员要求</w:t>
      </w:r>
      <w:r>
        <w:rPr>
          <w:rFonts w:hint="eastAsia" w:ascii="宋体" w:hAnsi="宋体" w:cs="宋体"/>
          <w:sz w:val="21"/>
          <w:szCs w:val="21"/>
          <w:highlight w:val="none"/>
        </w:rPr>
      </w:r>
      <w:r/>
    </w:p>
    <w:p>
      <w:pPr>
        <w:pStyle w:val="1073"/>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为保证维护服务质量和效率，人员上本项目需要配备由专职驻场、外场项目经理、其他维护人员；设备上需要配备相关维修车辆。</w:t>
      </w:r>
      <w:r>
        <w:rPr>
          <w:rFonts w:hint="eastAsia" w:ascii="宋体" w:hAnsi="宋体" w:eastAsia="宋体" w:cs="宋体"/>
          <w:szCs w:val="21"/>
          <w:highlight w:val="none"/>
        </w:rPr>
      </w:r>
      <w:r/>
    </w:p>
    <w:p>
      <w:pPr>
        <w:pStyle w:val="1239"/>
        <w:ind w:firstLine="422"/>
        <w:rPr>
          <w:rFonts w:hint="eastAsia" w:ascii="宋体" w:hAnsi="宋体" w:cs="宋体"/>
          <w:b/>
          <w:sz w:val="21"/>
          <w:szCs w:val="21"/>
          <w:highlight w:val="none"/>
        </w:rPr>
      </w:pPr>
      <w:r>
        <w:rPr>
          <w:rFonts w:hint="eastAsia" w:ascii="宋体" w:hAnsi="宋体" w:cs="宋体"/>
          <w:b/>
          <w:sz w:val="21"/>
          <w:szCs w:val="21"/>
          <w:highlight w:val="none"/>
        </w:rPr>
        <w:t xml:space="preserve">详细要求如下：</w:t>
      </w:r>
      <w:r>
        <w:rPr>
          <w:rFonts w:hint="eastAsia" w:ascii="宋体" w:hAnsi="宋体" w:cs="宋体"/>
          <w:b/>
          <w:sz w:val="21"/>
          <w:szCs w:val="21"/>
          <w:highlight w:val="none"/>
        </w:rPr>
      </w:r>
      <w:r/>
    </w:p>
    <w:p>
      <w:pPr>
        <w:pStyle w:val="1239"/>
        <w:ind w:firstLine="480"/>
        <w:rPr>
          <w:rFonts w:hint="eastAsia" w:ascii="宋体" w:hAnsi="宋体" w:cs="宋体"/>
          <w:b/>
          <w:sz w:val="21"/>
          <w:szCs w:val="21"/>
          <w:highlight w:val="none"/>
        </w:rPr>
      </w:pPr>
      <w:r>
        <w:rPr>
          <w:rFonts w:ascii="宋体" w:hAnsi="宋体"/>
          <w:szCs w:val="21"/>
          <w:highlight w:val="none"/>
        </w:rPr>
        <w:t xml:space="preserve">★</w:t>
      </w:r>
      <w:r>
        <w:rPr>
          <w:rFonts w:hint="eastAsia" w:ascii="宋体" w:hAnsi="宋体" w:cs="宋体"/>
          <w:b/>
          <w:sz w:val="21"/>
          <w:szCs w:val="21"/>
          <w:highlight w:val="none"/>
        </w:rPr>
        <w:t xml:space="preserve">1、实质响应条款：</w:t>
      </w:r>
      <w:r>
        <w:rPr>
          <w:rFonts w:hint="eastAsia" w:ascii="宋体" w:hAnsi="宋体" w:cs="宋体"/>
          <w:b/>
          <w:sz w:val="21"/>
          <w:szCs w:val="21"/>
          <w:highlight w:val="none"/>
        </w:rPr>
      </w:r>
      <w:r/>
    </w:p>
    <w:tbl>
      <w:tblPr>
        <w:tblW w:w="945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582"/>
        <w:gridCol w:w="1131"/>
        <w:gridCol w:w="3420"/>
        <w:gridCol w:w="583"/>
        <w:gridCol w:w="982"/>
        <w:gridCol w:w="2759"/>
      </w:tblGrid>
      <w:tr>
        <w:trPr>
          <w:tblHeader/>
        </w:trPr>
        <w:tc>
          <w:tcPr>
            <w:tcMar>
              <w:left w:w="-1" w:type="dxa"/>
              <w:top w:w="-1" w:type="dxa"/>
              <w:right w:w="-1" w:type="dxa"/>
              <w:bottom w:w="-1" w:type="dxa"/>
            </w:tcMar>
            <w:tcW w:w="582"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Mar>
              <w:left w:w="-1" w:type="dxa"/>
              <w:top w:w="-1" w:type="dxa"/>
              <w:right w:w="-1" w:type="dxa"/>
              <w:bottom w:w="-1" w:type="dxa"/>
            </w:tcMar>
            <w:tcW w:w="1131"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人员/设备</w:t>
            </w:r>
            <w:r>
              <w:rPr>
                <w:rFonts w:hint="eastAsia" w:ascii="宋体" w:hAnsi="宋体" w:eastAsia="宋体" w:cs="宋体"/>
                <w:b/>
                <w:szCs w:val="21"/>
                <w:highlight w:val="none"/>
              </w:rPr>
            </w:r>
            <w:r/>
          </w:p>
        </w:tc>
        <w:tc>
          <w:tcPr>
            <w:tcMar>
              <w:left w:w="-1" w:type="dxa"/>
              <w:top w:w="-1" w:type="dxa"/>
              <w:right w:w="-1" w:type="dxa"/>
              <w:bottom w:w="-1" w:type="dxa"/>
            </w:tcMar>
            <w:tcW w:w="3420"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服务内容</w:t>
            </w:r>
            <w:r>
              <w:rPr>
                <w:rFonts w:hint="eastAsia" w:ascii="宋体" w:hAnsi="宋体" w:eastAsia="宋体" w:cs="宋体"/>
                <w:b/>
                <w:szCs w:val="21"/>
                <w:highlight w:val="none"/>
              </w:rPr>
            </w:r>
            <w:r/>
          </w:p>
        </w:tc>
        <w:tc>
          <w:tcPr>
            <w:tcMar>
              <w:left w:w="-1" w:type="dxa"/>
              <w:top w:w="-1" w:type="dxa"/>
              <w:right w:w="-1" w:type="dxa"/>
              <w:bottom w:w="-1" w:type="dxa"/>
            </w:tcMar>
            <w:tcW w:w="583"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数量</w:t>
            </w:r>
            <w:r>
              <w:rPr>
                <w:rFonts w:hint="eastAsia" w:ascii="宋体" w:hAnsi="宋体" w:eastAsia="宋体" w:cs="宋体"/>
                <w:b/>
                <w:szCs w:val="21"/>
                <w:highlight w:val="none"/>
              </w:rPr>
            </w:r>
            <w:r/>
          </w:p>
        </w:tc>
        <w:tc>
          <w:tcPr>
            <w:tcMar>
              <w:left w:w="-1" w:type="dxa"/>
              <w:top w:w="-1" w:type="dxa"/>
              <w:right w:w="-1" w:type="dxa"/>
              <w:bottom w:w="-1" w:type="dxa"/>
            </w:tcMar>
            <w:tcW w:w="982"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服务要求</w:t>
            </w:r>
            <w:r>
              <w:rPr>
                <w:rFonts w:hint="eastAsia" w:ascii="宋体" w:hAnsi="宋体" w:eastAsia="宋体" w:cs="宋体"/>
                <w:b/>
                <w:szCs w:val="21"/>
                <w:highlight w:val="none"/>
              </w:rPr>
            </w:r>
            <w:r/>
          </w:p>
        </w:tc>
        <w:tc>
          <w:tcPr>
            <w:tcMar>
              <w:left w:w="-1" w:type="dxa"/>
              <w:top w:w="-1" w:type="dxa"/>
              <w:right w:w="-1" w:type="dxa"/>
              <w:bottom w:w="-1" w:type="dxa"/>
            </w:tcMar>
            <w:tcW w:w="2759" w:type="dxa"/>
            <w:vAlign w:val="center"/>
            <w:textDirection w:val="lrTb"/>
            <w:noWrap w:val="false"/>
          </w:tcPr>
          <w:p>
            <w:pPr>
              <w:pStyle w:val="1073"/>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备注</w:t>
            </w:r>
            <w:r>
              <w:rPr>
                <w:rFonts w:hint="eastAsia" w:ascii="宋体" w:hAnsi="宋体" w:eastAsia="宋体" w:cs="宋体"/>
                <w:b/>
                <w:szCs w:val="21"/>
                <w:highlight w:val="none"/>
              </w:rPr>
            </w:r>
            <w:r/>
          </w:p>
        </w:tc>
      </w:tr>
      <w:tr>
        <w:trPr/>
        <w:tc>
          <w:tcPr>
            <w:tcMar>
              <w:left w:w="-1" w:type="dxa"/>
              <w:top w:w="-1" w:type="dxa"/>
              <w:right w:w="-1" w:type="dxa"/>
              <w:bottom w:w="-1" w:type="dxa"/>
            </w:tcMar>
            <w:tcW w:w="582"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专业驻场服务人员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纵横工程智能交通服务管理平台维护</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3"/>
              <w:jc w:val="lef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投标供应商在投标文件中提供</w:t>
            </w:r>
            <w:r>
              <w:rPr>
                <w:rFonts w:hint="eastAsia" w:ascii="宋体" w:hAnsi="宋体" w:eastAsia="宋体" w:cs="宋体"/>
                <w:b/>
                <w:szCs w:val="21"/>
                <w:highlight w:val="none"/>
              </w:rPr>
              <w:t xml:space="preserve">服务承诺书</w:t>
            </w:r>
            <w:r>
              <w:rPr>
                <w:rFonts w:hint="eastAsia" w:ascii="宋体" w:hAnsi="宋体" w:eastAsia="宋体" w:cs="宋体"/>
                <w:szCs w:val="21"/>
                <w:highlight w:val="none"/>
              </w:rPr>
              <w:t xml:space="preserve">，承诺中标后按照招标文件要求配备专业驻场服务人员（1人），中标后提供单位和人员对应表。</w:t>
            </w:r>
            <w:r>
              <w:rPr>
                <w:rFonts w:hint="eastAsia" w:ascii="宋体" w:hAnsi="宋体" w:eastAsia="宋体" w:cs="宋体"/>
                <w:b/>
                <w:bCs/>
                <w:szCs w:val="21"/>
                <w:highlight w:val="none"/>
              </w:rPr>
              <w:t xml:space="preserve">服务承诺书，格式自拟，不提供服务承诺书视为非实质响应</w:t>
            </w:r>
            <w:r>
              <w:rPr>
                <w:rFonts w:hint="eastAsia" w:ascii="宋体" w:hAnsi="宋体" w:eastAsia="宋体" w:cs="宋体"/>
                <w:szCs w:val="21"/>
                <w:highlight w:val="none"/>
              </w:rPr>
            </w:r>
            <w:r/>
          </w:p>
        </w:tc>
      </w:tr>
      <w:tr>
        <w:trPr/>
        <w:tc>
          <w:tcPr>
            <w:tcMar>
              <w:left w:w="-1" w:type="dxa"/>
              <w:top w:w="-1" w:type="dxa"/>
              <w:right w:w="-1" w:type="dxa"/>
              <w:bottom w:w="-1" w:type="dxa"/>
            </w:tcMar>
            <w:tcW w:w="582"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专业驻场服务人员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（成利吉）道路交通信号控制系统维护</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2人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7*24小时响应服务并参与值班</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投标供应商在投标文件中提供</w:t>
            </w:r>
            <w:r>
              <w:rPr>
                <w:rFonts w:hint="eastAsia" w:ascii="宋体" w:hAnsi="宋体" w:eastAsia="宋体" w:cs="宋体"/>
                <w:b/>
                <w:szCs w:val="21"/>
                <w:highlight w:val="none"/>
              </w:rPr>
              <w:t xml:space="preserve">服务承诺书</w:t>
            </w:r>
            <w:r>
              <w:rPr>
                <w:rFonts w:hint="eastAsia" w:ascii="宋体" w:hAnsi="宋体" w:eastAsia="宋体" w:cs="宋体"/>
                <w:szCs w:val="21"/>
                <w:highlight w:val="none"/>
              </w:rPr>
              <w:t xml:space="preserve">，承诺中标后按照招标文件要求配备专业驻场服务人员（2人）。</w:t>
            </w:r>
            <w:r>
              <w:rPr>
                <w:rFonts w:hint="eastAsia" w:ascii="宋体" w:hAnsi="宋体" w:eastAsia="宋体" w:cs="宋体"/>
                <w:b/>
                <w:bCs/>
                <w:szCs w:val="21"/>
                <w:highlight w:val="none"/>
              </w:rPr>
              <w:t xml:space="preserve">服务承诺书，格式自拟，不提供服务承诺书视为非实质响应</w:t>
            </w:r>
            <w:r>
              <w:rPr>
                <w:rFonts w:hint="eastAsia" w:ascii="宋体" w:hAnsi="宋体" w:eastAsia="宋体" w:cs="宋体"/>
                <w:szCs w:val="21"/>
                <w:highlight w:val="none"/>
              </w:rPr>
            </w:r>
            <w:r/>
          </w:p>
        </w:tc>
      </w:tr>
      <w:tr>
        <w:trPr/>
        <w:tc>
          <w:tcPr>
            <w:tcMar>
              <w:left w:w="-1" w:type="dxa"/>
              <w:top w:w="-1" w:type="dxa"/>
              <w:right w:w="-1" w:type="dxa"/>
              <w:bottom w:w="-1" w:type="dxa"/>
            </w:tcMar>
            <w:tcW w:w="582"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专业驻场服务人员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非现场违法数据处理平台服务</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5*8小时响应服务</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投标供应商在投标文件中提供</w:t>
            </w:r>
            <w:r>
              <w:rPr>
                <w:rFonts w:hint="eastAsia" w:ascii="宋体" w:hAnsi="宋体" w:eastAsia="宋体" w:cs="宋体"/>
                <w:b/>
                <w:szCs w:val="21"/>
                <w:highlight w:val="none"/>
              </w:rPr>
              <w:t xml:space="preserve">服务承诺书</w:t>
            </w:r>
            <w:r>
              <w:rPr>
                <w:rFonts w:hint="eastAsia" w:ascii="宋体" w:hAnsi="宋体" w:eastAsia="宋体" w:cs="宋体"/>
                <w:szCs w:val="21"/>
                <w:highlight w:val="none"/>
              </w:rPr>
              <w:t xml:space="preserve">，承诺中标后按照招标文件要求配备专业驻场服务人员（1人），中标后提供单位和人员对应表，</w:t>
            </w:r>
            <w:r>
              <w:rPr>
                <w:rFonts w:hint="eastAsia" w:ascii="宋体" w:hAnsi="宋体" w:eastAsia="宋体" w:cs="宋体"/>
                <w:b/>
                <w:bCs/>
                <w:szCs w:val="21"/>
                <w:highlight w:val="none"/>
              </w:rPr>
              <w:t xml:space="preserve">服务承诺书，格式自拟，不提供服务承诺书视为非实质响应</w:t>
            </w:r>
            <w:r>
              <w:rPr>
                <w:rFonts w:hint="eastAsia" w:ascii="宋体" w:hAnsi="宋体" w:eastAsia="宋体" w:cs="宋体"/>
                <w:szCs w:val="21"/>
                <w:highlight w:val="none"/>
              </w:rPr>
            </w:r>
            <w:r/>
          </w:p>
        </w:tc>
      </w:tr>
      <w:tr>
        <w:trPr/>
        <w:tc>
          <w:tcPr>
            <w:tcMar>
              <w:left w:w="-1" w:type="dxa"/>
              <w:top w:w="-1" w:type="dxa"/>
              <w:right w:w="-1" w:type="dxa"/>
              <w:bottom w:w="-1" w:type="dxa"/>
            </w:tcMar>
            <w:tcW w:w="582"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基础维护人员</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负责信息化系统前后端维护及，高低压作业，高处作业等</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2人</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3"/>
              <w:jc w:val="lef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基础维护人员2人，其中必须满足电工作业（高压/低压）和高处作业持证要求（电工作业应具有《中华人民共和国特种作业操作证》，且操作项目为“高压电工作业”或“低压电工作业”；高处作业应具有《中华人民共和国特种作业操作证》，且操作项目为“高处作业”，均由应急管理厅颁发），同一人可兼持双证。须提供有效证件扫描件（盖公章）。</w:t>
            </w:r>
            <w:r>
              <w:rPr>
                <w:rFonts w:hint="eastAsia" w:ascii="宋体" w:hAnsi="宋体" w:eastAsia="宋体" w:cs="宋体"/>
                <w:b/>
                <w:bCs/>
                <w:szCs w:val="21"/>
                <w:highlight w:val="none"/>
              </w:rPr>
            </w:r>
            <w:r/>
          </w:p>
        </w:tc>
      </w:tr>
      <w:tr>
        <w:trPr/>
        <w:tc>
          <w:tcPr>
            <w:tcMar>
              <w:left w:w="-1" w:type="dxa"/>
              <w:top w:w="-1" w:type="dxa"/>
              <w:right w:w="-1" w:type="dxa"/>
              <w:bottom w:w="-1" w:type="dxa"/>
            </w:tcMar>
            <w:tcW w:w="582"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Mar>
              <w:left w:w="-1" w:type="dxa"/>
              <w:top w:w="-1" w:type="dxa"/>
              <w:right w:w="-1" w:type="dxa"/>
              <w:bottom w:w="-1" w:type="dxa"/>
            </w:tcMar>
            <w:tcW w:w="1131"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基础维修车辆</w:t>
            </w:r>
            <w:r>
              <w:rPr>
                <w:rFonts w:hint="eastAsia" w:ascii="宋体" w:hAnsi="宋体" w:eastAsia="宋体" w:cs="宋体"/>
                <w:szCs w:val="21"/>
                <w:highlight w:val="none"/>
              </w:rPr>
            </w:r>
            <w:r/>
          </w:p>
        </w:tc>
        <w:tc>
          <w:tcPr>
            <w:tcMar>
              <w:left w:w="-1" w:type="dxa"/>
              <w:top w:w="-1" w:type="dxa"/>
              <w:right w:w="-1" w:type="dxa"/>
              <w:bottom w:w="-1" w:type="dxa"/>
            </w:tcMar>
            <w:tcW w:w="3420"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进行技防维修，须登高作业。</w:t>
            </w:r>
            <w:r>
              <w:rPr>
                <w:rFonts w:hint="eastAsia" w:ascii="宋体" w:hAnsi="宋体" w:eastAsia="宋体" w:cs="宋体"/>
                <w:szCs w:val="21"/>
                <w:highlight w:val="none"/>
              </w:rPr>
            </w:r>
            <w:r/>
          </w:p>
        </w:tc>
        <w:tc>
          <w:tcPr>
            <w:tcMar>
              <w:left w:w="-1" w:type="dxa"/>
              <w:top w:w="-1" w:type="dxa"/>
              <w:right w:w="-1" w:type="dxa"/>
              <w:bottom w:w="-1" w:type="dxa"/>
            </w:tcMar>
            <w:tcW w:w="583"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1辆</w:t>
            </w:r>
            <w:r>
              <w:rPr>
                <w:rFonts w:hint="eastAsia" w:ascii="宋体" w:hAnsi="宋体" w:eastAsia="宋体" w:cs="宋体"/>
                <w:szCs w:val="21"/>
                <w:highlight w:val="none"/>
              </w:rPr>
            </w:r>
            <w:r/>
          </w:p>
        </w:tc>
        <w:tc>
          <w:tcPr>
            <w:tcMar>
              <w:left w:w="-1" w:type="dxa"/>
              <w:top w:w="-1" w:type="dxa"/>
              <w:right w:w="-1" w:type="dxa"/>
              <w:bottom w:w="-1" w:type="dxa"/>
            </w:tcMar>
            <w:tcW w:w="982" w:type="dxa"/>
            <w:vAlign w:val="center"/>
            <w:textDirection w:val="lrTb"/>
            <w:noWrap w:val="false"/>
          </w:tcPr>
          <w:p>
            <w:pPr>
              <w:pStyle w:val="1073"/>
              <w:jc w:val="left"/>
              <w:rPr>
                <w:rFonts w:hint="eastAsia" w:ascii="宋体" w:hAnsi="宋体" w:eastAsia="宋体" w:cs="宋体"/>
                <w:szCs w:val="21"/>
                <w:highlight w:val="none"/>
              </w:rPr>
            </w:pPr>
            <w:r>
              <w:rPr>
                <w:rFonts w:hint="eastAsia" w:ascii="宋体" w:hAnsi="宋体" w:eastAsia="宋体" w:cs="宋体"/>
                <w:szCs w:val="21"/>
                <w:highlight w:val="none"/>
              </w:rPr>
              <w:t xml:space="preserve">7*24小时响应服务 </w:t>
            </w:r>
            <w:r>
              <w:rPr>
                <w:rFonts w:hint="eastAsia" w:ascii="宋体" w:hAnsi="宋体" w:eastAsia="宋体" w:cs="宋体"/>
                <w:szCs w:val="21"/>
                <w:highlight w:val="none"/>
              </w:rPr>
            </w:r>
            <w:r/>
          </w:p>
        </w:tc>
        <w:tc>
          <w:tcPr>
            <w:tcMar>
              <w:left w:w="-1" w:type="dxa"/>
              <w:top w:w="-1" w:type="dxa"/>
              <w:right w:w="-1" w:type="dxa"/>
              <w:bottom w:w="-1" w:type="dxa"/>
            </w:tcMar>
            <w:tcW w:w="2759" w:type="dxa"/>
            <w:vAlign w:val="center"/>
            <w:textDirection w:val="lrTb"/>
            <w:noWrap w:val="false"/>
          </w:tcPr>
          <w:p>
            <w:pPr>
              <w:pStyle w:val="1073"/>
              <w:jc w:val="lef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基础维修车辆1辆，车辆需带自动升降设备满足登高作业要求。自有车辆提供行驶证扫描件（权属单位与投标单位或其分支机构一致）；租赁车辆提供有效期内正规租赁合同及行驶证扫描件。同时提供能够证明车辆配备自动升降设备的证明材料（如车辆配备自动升降设备的照片等）。</w:t>
            </w:r>
            <w:r>
              <w:rPr>
                <w:rFonts w:hint="eastAsia" w:ascii="宋体" w:hAnsi="宋体" w:eastAsia="宋体" w:cs="宋体"/>
                <w:b/>
                <w:szCs w:val="21"/>
                <w:highlight w:val="none"/>
              </w:rPr>
              <w:t xml:space="preserve">不提供视为非实质响应</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r>
    </w:tbl>
    <w:p>
      <w:pPr>
        <w:pStyle w:val="1202"/>
        <w:ind w:firstLine="0"/>
        <w:jc w:val="both"/>
        <w:rPr>
          <w:rFonts w:hint="eastAsia" w:ascii="宋体" w:hAnsi="宋体" w:cs="宋体"/>
          <w:sz w:val="21"/>
          <w:szCs w:val="21"/>
          <w:highlight w:val="none"/>
        </w:rPr>
      </w:pPr>
      <w:r>
        <w:rPr>
          <w:rFonts w:hint="eastAsia" w:ascii="宋体" w:hAnsi="宋体" w:cs="宋体"/>
          <w:sz w:val="21"/>
          <w:szCs w:val="21"/>
          <w:highlight w:val="none"/>
        </w:rPr>
      </w:r>
      <w:r/>
    </w:p>
    <w:p>
      <w:pPr>
        <w:pStyle w:val="1202"/>
        <w:ind w:firstLine="0"/>
        <w:jc w:val="both"/>
        <w:rPr>
          <w:rFonts w:hint="eastAsia" w:ascii="宋体" w:hAnsi="宋体" w:cs="宋体"/>
          <w:b w:val="0"/>
          <w:sz w:val="21"/>
          <w:szCs w:val="21"/>
          <w:highlight w:val="none"/>
        </w:rPr>
      </w:pPr>
      <w:r>
        <w:rPr>
          <w:rFonts w:hint="eastAsia" w:ascii="宋体" w:hAnsi="宋体" w:cs="宋体"/>
          <w:sz w:val="21"/>
          <w:szCs w:val="21"/>
          <w:highlight w:val="none"/>
        </w:rPr>
        <w:t xml:space="preserve">七、履约保证金：</w:t>
      </w:r>
      <w:r>
        <w:rPr>
          <w:rFonts w:hint="eastAsia" w:ascii="宋体" w:hAnsi="宋体" w:cs="宋体"/>
          <w:b w:val="0"/>
          <w:sz w:val="21"/>
          <w:szCs w:val="21"/>
          <w:highlight w:val="none"/>
        </w:rPr>
        <w:t xml:space="preserve">本项目无需缴纳履约保证金。</w:t>
      </w:r>
      <w:r>
        <w:rPr>
          <w:rFonts w:hint="eastAsia" w:ascii="宋体" w:hAnsi="宋体" w:cs="宋体"/>
          <w:b w:val="0"/>
          <w:sz w:val="21"/>
          <w:szCs w:val="21"/>
          <w:highlight w:val="none"/>
        </w:rPr>
      </w:r>
      <w:r/>
    </w:p>
    <w:p>
      <w:pPr>
        <w:pStyle w:val="1202"/>
        <w:ind w:firstLine="0"/>
        <w:jc w:val="both"/>
        <w:rPr>
          <w:rFonts w:hint="eastAsia" w:ascii="宋体" w:hAnsi="宋体" w:cs="宋体"/>
          <w:sz w:val="21"/>
          <w:szCs w:val="21"/>
          <w:highlight w:val="none"/>
        </w:rPr>
      </w:pPr>
      <w:r>
        <w:rPr>
          <w:rFonts w:hint="eastAsia" w:ascii="宋体" w:hAnsi="宋体" w:cs="宋体"/>
          <w:sz w:val="21"/>
          <w:szCs w:val="21"/>
          <w:highlight w:val="none"/>
        </w:rPr>
        <w:t xml:space="preserve">八、付款方式：</w:t>
      </w:r>
      <w:r>
        <w:rPr>
          <w:rFonts w:hint="eastAsia" w:ascii="宋体" w:hAnsi="宋体" w:cs="宋体"/>
          <w:sz w:val="21"/>
          <w:szCs w:val="21"/>
          <w:highlight w:val="none"/>
        </w:rPr>
      </w:r>
      <w:r/>
    </w:p>
    <w:p>
      <w:pPr>
        <w:pStyle w:val="1244"/>
        <w:spacing w:line="440" w:lineRule="exact"/>
        <w:rPr>
          <w:rFonts w:hint="eastAsia" w:eastAsia="宋体" w:cs="宋体"/>
          <w:sz w:val="21"/>
          <w:szCs w:val="21"/>
          <w:highlight w:val="none"/>
        </w:rPr>
      </w:pPr>
      <w:r/>
      <w:bookmarkStart w:id="825" w:name="OLE_LINK38"/>
      <w:r>
        <w:rPr>
          <w:rFonts w:hint="eastAsia" w:eastAsia="宋体" w:cs="宋体"/>
          <w:sz w:val="21"/>
          <w:szCs w:val="21"/>
          <w:highlight w:val="none"/>
        </w:rPr>
        <w:t xml:space="preserve">1、合同签订生效后30个工作日内支付项目首付款人民币大写：壹佰零捌万贰仟元整（小写：￥1082000.00元），实际支付时限以财政资金下达时间为准；维护期满并验收合格后10个工作日内根据考核结果支付剩余款项。具体时间以财政资金下达情况为准。</w:t>
      </w:r>
      <w:r>
        <w:rPr>
          <w:rFonts w:hint="eastAsia" w:eastAsia="宋体" w:cs="宋体"/>
          <w:sz w:val="21"/>
          <w:szCs w:val="21"/>
          <w:highlight w:val="none"/>
        </w:rPr>
      </w:r>
      <w:r/>
    </w:p>
    <w:p>
      <w:pPr>
        <w:pStyle w:val="1244"/>
        <w:spacing w:line="440" w:lineRule="exact"/>
        <w:rPr>
          <w:rFonts w:hint="eastAsia" w:eastAsia="宋体" w:cs="宋体"/>
          <w:sz w:val="21"/>
          <w:szCs w:val="21"/>
          <w:highlight w:val="none"/>
        </w:rPr>
      </w:pPr>
      <w:r>
        <w:rPr>
          <w:rFonts w:hint="eastAsia" w:eastAsia="宋体" w:cs="宋体"/>
          <w:sz w:val="21"/>
          <w:szCs w:val="21"/>
          <w:highlight w:val="none"/>
        </w:rPr>
        <w:t xml:space="preserve">2、考核计算方式</w:t>
      </w:r>
      <w:r>
        <w:rPr>
          <w:rFonts w:hint="eastAsia" w:eastAsia="宋体" w:cs="宋体"/>
          <w:sz w:val="21"/>
          <w:szCs w:val="21"/>
          <w:highlight w:val="none"/>
        </w:rPr>
      </w:r>
      <w:r/>
    </w:p>
    <w:p>
      <w:pPr>
        <w:pStyle w:val="107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为了保证公安相关工作顺利高效的进行，我局根据交警信息化系统前后端的维护特点，将维护金额纳入维护考核，并依据考核结果，按合同约定结付维护金额或终止维护合同。</w:t>
      </w:r>
      <w:r>
        <w:rPr>
          <w:rFonts w:hint="eastAsia" w:ascii="宋体" w:hAnsi="宋体" w:eastAsia="宋体" w:cs="宋体"/>
          <w:szCs w:val="21"/>
          <w:highlight w:val="none"/>
        </w:rPr>
      </w:r>
      <w:r/>
    </w:p>
    <w:p>
      <w:pPr>
        <w:pStyle w:val="1239"/>
        <w:ind w:firstLine="0"/>
        <w:rPr>
          <w:rFonts w:hint="eastAsia" w:ascii="宋体" w:hAnsi="宋体" w:cs="宋体"/>
          <w:sz w:val="21"/>
          <w:szCs w:val="21"/>
          <w:highlight w:val="none"/>
        </w:rPr>
      </w:pPr>
      <w:r>
        <w:rPr>
          <w:rFonts w:hint="eastAsia" w:ascii="宋体" w:hAnsi="宋体" w:cs="宋体"/>
          <w:sz w:val="21"/>
          <w:szCs w:val="21"/>
          <w:highlight w:val="none"/>
        </w:rPr>
        <w:t xml:space="preserve">2.1、考核依据</w:t>
      </w:r>
      <w:r>
        <w:rPr>
          <w:rFonts w:hint="eastAsia" w:ascii="宋体" w:hAnsi="宋体" w:cs="宋体"/>
          <w:sz w:val="21"/>
          <w:szCs w:val="21"/>
          <w:highlight w:val="none"/>
        </w:rPr>
      </w:r>
      <w:r/>
    </w:p>
    <w:p>
      <w:pPr>
        <w:pStyle w:val="107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A、系统故障管理应当有文字或者网站记录，必须对故障发生的时间、故障情况、处理措施、维护人员等进行详实记录。</w:t>
      </w:r>
      <w:r>
        <w:rPr>
          <w:rFonts w:hint="eastAsia" w:ascii="宋体" w:hAnsi="宋体" w:eastAsia="宋体" w:cs="宋体"/>
          <w:szCs w:val="21"/>
          <w:highlight w:val="none"/>
        </w:rPr>
      </w:r>
      <w:r/>
    </w:p>
    <w:p>
      <w:pPr>
        <w:pStyle w:val="107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B、中标方维护工程师每次的故障处理，必须由系统使用方值班人员与维护工程师双方签字确认。</w:t>
      </w:r>
      <w:r>
        <w:rPr>
          <w:rFonts w:hint="eastAsia" w:ascii="宋体" w:hAnsi="宋体" w:eastAsia="宋体" w:cs="宋体"/>
          <w:szCs w:val="21"/>
          <w:highlight w:val="none"/>
        </w:rPr>
      </w:r>
      <w:r/>
    </w:p>
    <w:p>
      <w:pPr>
        <w:pStyle w:val="107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C、维护方必须每月提供一份截至本月末监控故障点的汇总报表，该报表作为考核的依据。</w:t>
      </w:r>
      <w:r>
        <w:rPr>
          <w:rFonts w:hint="eastAsia" w:ascii="宋体" w:hAnsi="宋体" w:eastAsia="宋体" w:cs="宋体"/>
          <w:szCs w:val="21"/>
          <w:highlight w:val="none"/>
        </w:rPr>
      </w:r>
      <w:r/>
    </w:p>
    <w:p>
      <w:pPr>
        <w:pStyle w:val="1073"/>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D、系统的正常维护需遵守中标方投标时的维护响应及处理承诺。</w:t>
      </w:r>
      <w:r>
        <w:rPr>
          <w:rFonts w:hint="eastAsia" w:ascii="宋体" w:hAnsi="宋体" w:eastAsia="宋体" w:cs="宋体"/>
          <w:szCs w:val="21"/>
          <w:highlight w:val="none"/>
        </w:rPr>
      </w:r>
      <w:r/>
    </w:p>
    <w:p>
      <w:pPr>
        <w:pStyle w:val="1239"/>
        <w:ind w:firstLine="0"/>
        <w:rPr>
          <w:rFonts w:hint="eastAsia" w:ascii="宋体" w:hAnsi="宋体" w:cs="宋体"/>
          <w:sz w:val="21"/>
          <w:szCs w:val="21"/>
          <w:highlight w:val="none"/>
        </w:rPr>
      </w:pPr>
      <w:r>
        <w:rPr>
          <w:rFonts w:hint="eastAsia" w:ascii="宋体" w:hAnsi="宋体" w:cs="宋体"/>
          <w:sz w:val="21"/>
          <w:szCs w:val="21"/>
          <w:highlight w:val="none"/>
        </w:rPr>
        <w:t xml:space="preserve">2.2、绩效考核方式</w:t>
      </w:r>
      <w:r>
        <w:rPr>
          <w:rFonts w:hint="eastAsia" w:ascii="宋体" w:hAnsi="宋体" w:cs="宋体"/>
          <w:sz w:val="21"/>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对报修后未在规定时间内及时修复的故障（不可抗力因素除外），甲方将抄告维护单位，从抄告之日起计算，单次故障每超时一天，扣除维护费用2000元作为违约惩罚。抄告累计达到365天次的，甲方有权废除维保合同及全部产品，重新采购。中标单位需要退回已收取费用，所有损失由中标单位承担。对维护项目中规定时间完成的建设维护任务，将按照合同约定处理。</w:t>
      </w:r>
      <w:bookmarkEnd w:id="825"/>
      <w:r>
        <w:rPr>
          <w:rFonts w:hint="eastAsia" w:ascii="宋体" w:hAnsi="宋体" w:eastAsia="宋体" w:cs="宋体"/>
          <w:szCs w:val="21"/>
          <w:highlight w:val="none"/>
        </w:rPr>
      </w:r>
      <w:r/>
    </w:p>
    <w:p>
      <w:pPr>
        <w:pStyle w:val="1099"/>
        <w:ind w:firstLine="0"/>
        <w:spacing w:line="360" w:lineRule="auto"/>
        <w:rPr>
          <w:rFonts w:hint="eastAsia" w:hAnsi="宋体" w:cs="宋体"/>
          <w:b/>
          <w:bCs/>
          <w:sz w:val="21"/>
          <w:szCs w:val="21"/>
          <w:highlight w:val="none"/>
        </w:rPr>
      </w:pPr>
      <w:r>
        <w:rPr>
          <w:rFonts w:hint="eastAsia" w:hAnsi="宋体" w:cs="宋体"/>
          <w:b/>
          <w:bCs/>
          <w:sz w:val="21"/>
          <w:szCs w:val="21"/>
          <w:highlight w:val="none"/>
        </w:rPr>
        <w:t xml:space="preserve">九、项目验收</w:t>
      </w:r>
      <w:r>
        <w:rPr>
          <w:rFonts w:hint="eastAsia" w:hAnsi="宋体" w:cs="宋体"/>
          <w:b/>
          <w:bCs/>
          <w:sz w:val="21"/>
          <w:szCs w:val="21"/>
          <w:highlight w:val="none"/>
        </w:rPr>
      </w:r>
      <w:r/>
    </w:p>
    <w:p>
      <w:pPr>
        <w:pStyle w:val="1099"/>
        <w:ind w:firstLine="0"/>
        <w:spacing w:line="360" w:lineRule="auto"/>
        <w:rPr>
          <w:rFonts w:hint="eastAsia" w:hAnsi="宋体" w:cs="宋体"/>
          <w:sz w:val="21"/>
          <w:szCs w:val="21"/>
          <w:highlight w:val="none"/>
        </w:rPr>
      </w:pPr>
      <w:r>
        <w:rPr>
          <w:rFonts w:hint="eastAsia" w:hAnsi="宋体" w:cs="宋体"/>
          <w:sz w:val="21"/>
          <w:szCs w:val="21"/>
          <w:highlight w:val="none"/>
        </w:rPr>
        <w:t xml:space="preserve">（一）基本要求：</w:t>
      </w:r>
      <w:r>
        <w:rPr>
          <w:rFonts w:hint="eastAsia" w:hAnsi="宋体" w:cs="宋体"/>
          <w:sz w:val="21"/>
          <w:szCs w:val="21"/>
          <w:highlight w:val="none"/>
        </w:rPr>
      </w:r>
      <w:r/>
    </w:p>
    <w:p>
      <w:pPr>
        <w:pStyle w:val="1099"/>
        <w:ind w:firstLine="0"/>
        <w:spacing w:line="360" w:lineRule="auto"/>
        <w:rPr>
          <w:rFonts w:hint="eastAsia" w:hAnsi="宋体" w:cs="宋体"/>
          <w:sz w:val="21"/>
          <w:szCs w:val="21"/>
          <w:highlight w:val="none"/>
        </w:rPr>
      </w:pPr>
      <w:r>
        <w:rPr>
          <w:rFonts w:hint="eastAsia" w:hAnsi="宋体" w:cs="宋体"/>
          <w:sz w:val="21"/>
          <w:szCs w:val="21"/>
          <w:highlight w:val="none"/>
        </w:rPr>
        <w:t xml:space="preserve">1、依法依规：验收活动需严格遵循政府采购合同约定、国家及江苏省相关法律法规、行业标准和技术规范。</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2、客观公正：以合同条款为依据，通过量化指标和可验证证据进行验收，确保结果真实反映履约情况。</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3、权责明确：采购人承担履约验收主体责任，供应商需配合提供验收所需资料和条件。</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（二）履约验收具体事项</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1、 实施主体</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采购人（太仓市公安局）为验收责任主体组织验收。政府采购履约验收通知单及政府采购履约验收书格式见合同附件1-1、1-2。</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验收小组：由采购人指定的本单位3名（含）以上单数工作人员组成，并确定一名负责人，必要时可邀请第三方检测机构参与。</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2、 验收时间</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最终验收：在合同约定的服务期结束后或服务全部交付后30个工作日内完成。</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特殊情况：若服务需整改，应在整改完成后5个工作日内复验。</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3. 验收方式</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资料审查：核查维修清单、服务确认单等书面材料。</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4. 验收内容</w:t>
      </w:r>
      <w:r>
        <w:rPr>
          <w:rFonts w:hint="eastAsia" w:hAnsi="宋体" w:cs="宋体"/>
          <w:sz w:val="21"/>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    2026年交警信息化系统前后端维护招标文件所要求的内容和供应商投标文件所承诺的全部内容。</w:t>
      </w:r>
      <w:r>
        <w:rPr>
          <w:rFonts w:hint="eastAsia" w:ascii="宋体" w:hAnsi="宋体" w:eastAsia="宋体" w:cs="宋体"/>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5. 验收标准</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量化指标：根据每季度签署的履约考核书及年度考核书确定服务考核得分。</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合同约定：以合同条款中明确的技术参数、服务承诺为直接依据。</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法规要求：符合政府采购合同约定、法律法规以 及国家强制性标准等。</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（三）验收结果处理</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通过验收：签署《履约验收书》，作为支付合同款项的依据。</w:t>
      </w:r>
      <w:r>
        <w:rPr>
          <w:rFonts w:hint="eastAsia" w:hAnsi="宋体" w:cs="宋体"/>
          <w:sz w:val="21"/>
          <w:szCs w:val="21"/>
          <w:highlight w:val="none"/>
        </w:rPr>
      </w:r>
      <w:r/>
    </w:p>
    <w:p>
      <w:pPr>
        <w:pStyle w:val="1099"/>
        <w:spacing w:line="360" w:lineRule="auto"/>
        <w:rPr>
          <w:rFonts w:hint="eastAsia" w:hAnsi="宋体" w:cs="宋体"/>
          <w:sz w:val="21"/>
          <w:szCs w:val="21"/>
          <w:highlight w:val="none"/>
        </w:rPr>
      </w:pPr>
      <w:r>
        <w:rPr>
          <w:rFonts w:hint="eastAsia" w:hAnsi="宋体" w:cs="宋体"/>
          <w:sz w:val="21"/>
          <w:szCs w:val="21"/>
          <w:highlight w:val="none"/>
        </w:rPr>
        <w:t xml:space="preserve">限期整改：对未达标项出具整改通知，供应商应在约定期限内完成整改并复验。</w:t>
      </w:r>
      <w:r>
        <w:rPr>
          <w:rFonts w:hint="eastAsia" w:hAnsi="宋体" w:cs="宋体"/>
          <w:sz w:val="21"/>
          <w:szCs w:val="21"/>
          <w:highlight w:val="none"/>
        </w:rPr>
      </w:r>
      <w:r/>
    </w:p>
    <w:p>
      <w:pPr>
        <w:pStyle w:val="1099"/>
        <w:ind w:firstLine="0"/>
        <w:spacing w:line="360" w:lineRule="auto"/>
        <w:rPr>
          <w:rFonts w:hint="eastAsia" w:hAnsi="宋体" w:cs="宋体"/>
          <w:b/>
          <w:sz w:val="21"/>
          <w:szCs w:val="21"/>
          <w:highlight w:val="none"/>
        </w:rPr>
      </w:pPr>
      <w:r>
        <w:rPr>
          <w:rFonts w:hint="eastAsia" w:hAnsi="宋体" w:cs="宋体"/>
          <w:sz w:val="21"/>
          <w:szCs w:val="21"/>
          <w:highlight w:val="none"/>
        </w:rPr>
        <w:t xml:space="preserve">验收不通过：终止合同并依规追究违约责任，纳入政府采购信用记录。</w:t>
      </w:r>
      <w:r>
        <w:rPr>
          <w:rFonts w:hint="eastAsia" w:hAnsi="宋体" w:cs="宋体"/>
          <w:b/>
          <w:sz w:val="21"/>
          <w:szCs w:val="21"/>
          <w:highlight w:val="none"/>
        </w:rPr>
      </w:r>
      <w:r/>
    </w:p>
    <w:p>
      <w:pPr>
        <w:pStyle w:val="1073"/>
        <w:ind w:firstLine="48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十、投标说明</w:t>
      </w:r>
      <w:r>
        <w:rPr>
          <w:rFonts w:hint="eastAsia" w:ascii="宋体" w:hAnsi="宋体" w:eastAsia="宋体" w:cs="宋体"/>
          <w:b/>
          <w:szCs w:val="21"/>
          <w:highlight w:val="none"/>
        </w:rPr>
      </w:r>
      <w:r/>
    </w:p>
    <w:p>
      <w:pPr>
        <w:pStyle w:val="1073"/>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1、投标人所投服务内容应能够至少达到或优于以上服务要求，同时明确服务内容、人员配备及交通工具等设备的投入。</w:t>
      </w:r>
      <w:r>
        <w:rPr>
          <w:rFonts w:hint="eastAsia" w:ascii="宋体" w:hAnsi="宋体" w:eastAsia="宋体" w:cs="宋体"/>
          <w:szCs w:val="21"/>
          <w:highlight w:val="none"/>
        </w:rPr>
      </w:r>
      <w:r/>
    </w:p>
    <w:p>
      <w:pPr>
        <w:pStyle w:val="1073"/>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2、投标人必须承诺招标文件中提出的服务与要求。如果以其中某些条款不响应时，应在文件中逐条列出，未列出的视同响应。</w:t>
      </w:r>
      <w:r>
        <w:rPr>
          <w:rFonts w:hint="eastAsia" w:ascii="宋体" w:hAnsi="宋体" w:eastAsia="宋体" w:cs="宋体"/>
          <w:szCs w:val="21"/>
          <w:highlight w:val="none"/>
        </w:rPr>
      </w:r>
      <w:r/>
    </w:p>
    <w:p>
      <w:pPr>
        <w:pStyle w:val="1073"/>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3、中标单位有责任配合采购人接受上级领导部门的监督、检查，提供必须的资料。</w:t>
      </w:r>
      <w:r>
        <w:rPr>
          <w:rFonts w:hint="eastAsia" w:ascii="宋体" w:hAnsi="宋体" w:eastAsia="宋体" w:cs="宋体"/>
          <w:szCs w:val="21"/>
          <w:highlight w:val="none"/>
        </w:rPr>
      </w:r>
      <w:r/>
    </w:p>
    <w:p>
      <w:pPr>
        <w:pStyle w:val="1073"/>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中标单位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rPr>
          <w:rFonts w:hint="eastAsia" w:ascii="宋体" w:hAnsi="宋体" w:eastAsia="宋体" w:cs="宋体"/>
          <w:szCs w:val="21"/>
          <w:highlight w:val="none"/>
        </w:rPr>
      </w:r>
      <w:r/>
    </w:p>
    <w:p>
      <w:pPr>
        <w:pStyle w:val="1073"/>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5、采购人不接受投标人任何因遗漏报价而发生的费用追加，因投标人违反《劳动法》等法律法规而造成采购人的连带责任和损失全部由中标人承担。</w:t>
      </w:r>
      <w:r>
        <w:rPr>
          <w:rFonts w:hint="eastAsia" w:ascii="宋体" w:hAnsi="宋体" w:eastAsia="宋体" w:cs="宋体"/>
          <w:szCs w:val="21"/>
          <w:highlight w:val="none"/>
        </w:rPr>
      </w:r>
      <w:r/>
    </w:p>
    <w:p>
      <w:pPr>
        <w:pStyle w:val="1073"/>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6、本项目不允许转包、分包，中标单位不得部分或全部转让其应履行的合同义务。中标单位擅自转让合同、转包或分包的，采购单位有权解除本合同，转包或分包造成采购人损失的，由中标单位承担。</w:t>
      </w:r>
      <w:r>
        <w:rPr>
          <w:rFonts w:hint="eastAsia" w:ascii="宋体" w:hAnsi="宋体" w:eastAsia="宋体" w:cs="宋体"/>
          <w:szCs w:val="21"/>
          <w:highlight w:val="none"/>
        </w:rPr>
      </w:r>
      <w:r/>
    </w:p>
    <w:p>
      <w:pPr>
        <w:pStyle w:val="1073"/>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7、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r>
        <w:rPr>
          <w:rFonts w:hint="eastAsia" w:ascii="宋体" w:hAnsi="宋体" w:eastAsia="宋体" w:cs="宋体"/>
          <w:szCs w:val="21"/>
          <w:highlight w:val="none"/>
        </w:rPr>
      </w:r>
      <w:r/>
    </w:p>
    <w:p>
      <w:pPr>
        <w:pStyle w:val="1073"/>
        <w:ind w:firstLine="480"/>
        <w:spacing w:line="360" w:lineRule="auto"/>
        <w:rPr>
          <w:rFonts w:hint="eastAsia" w:ascii="宋体" w:hAnsi="宋体" w:eastAsia="宋体" w:cs="宋体"/>
          <w:szCs w:val="21"/>
          <w:highlight w:val="none"/>
        </w:rPr>
        <w:sectPr>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宋体"/>
          <w:szCs w:val="21"/>
          <w:highlight w:val="none"/>
        </w:rPr>
        <w:t xml:space="preserve">8、凡涉及本项目招标文件的补充、修改，均以苏州政府采购网、苏采云发布的信息为准。</w:t>
      </w:r>
      <w:r>
        <w:rPr>
          <w:rFonts w:hint="eastAsia" w:ascii="宋体" w:hAnsi="宋体" w:eastAsia="宋体" w:cs="宋体"/>
          <w:szCs w:val="21"/>
          <w:highlight w:val="none"/>
        </w:rPr>
      </w:r>
      <w:r/>
    </w:p>
    <w:p>
      <w:pPr>
        <w:pStyle w:val="1244"/>
        <w:jc w:val="center"/>
        <w:spacing w:line="360" w:lineRule="auto"/>
        <w:rPr>
          <w:rFonts w:eastAsia="宋体"/>
          <w:b/>
          <w:sz w:val="36"/>
          <w:szCs w:val="36"/>
          <w:highlight w:val="none"/>
        </w:rPr>
        <w:outlineLvl w:val="0"/>
      </w:pPr>
      <w:r/>
      <w:bookmarkStart w:id="826" w:name="_Toc143850223"/>
      <w:r>
        <w:rPr>
          <w:rFonts w:eastAsia="宋体"/>
          <w:b/>
          <w:sz w:val="36"/>
          <w:szCs w:val="36"/>
          <w:highlight w:val="none"/>
        </w:rPr>
        <w:t xml:space="preserve">第六章   合同条款</w:t>
      </w:r>
      <w:bookmarkEnd w:id="805"/>
      <w:r/>
      <w:bookmarkEnd w:id="826"/>
      <w:r>
        <w:rPr>
          <w:rFonts w:eastAsia="宋体"/>
          <w:b/>
          <w:sz w:val="36"/>
          <w:szCs w:val="36"/>
          <w:highlight w:val="none"/>
        </w:rPr>
      </w:r>
      <w:r/>
    </w:p>
    <w:p>
      <w:pPr>
        <w:pStyle w:val="1073"/>
        <w:ind w:firstLine="562"/>
        <w:jc w:val="center"/>
        <w:spacing w:line="360" w:lineRule="auto"/>
        <w:rPr>
          <w:rFonts w:hint="eastAsia" w:ascii="宋体" w:hAnsi="宋体" w:eastAsia="宋体" w:cs="宋体"/>
          <w:b/>
          <w:szCs w:val="21"/>
          <w:highlight w:val="none"/>
        </w:rPr>
      </w:pPr>
      <w:r/>
      <w:bookmarkStart w:id="827" w:name="_Toc143850224"/>
      <w:r/>
      <w:bookmarkStart w:id="828" w:name="_Toc99301426"/>
      <w:r>
        <w:rPr>
          <w:rFonts w:hint="eastAsia" w:ascii="宋体" w:hAnsi="宋体" w:eastAsia="宋体" w:cs="宋体"/>
          <w:b/>
          <w:szCs w:val="21"/>
          <w:highlight w:val="none"/>
        </w:rPr>
        <w:t xml:space="preserve">2026年交警信息化系统前后端维护采购合同</w:t>
      </w:r>
      <w:r>
        <w:rPr>
          <w:rFonts w:hint="eastAsia" w:ascii="宋体" w:hAnsi="宋体" w:eastAsia="宋体" w:cs="宋体"/>
          <w:b/>
          <w:szCs w:val="21"/>
          <w:highlight w:val="none"/>
        </w:rPr>
      </w:r>
      <w:r/>
    </w:p>
    <w:p>
      <w:pPr>
        <w:pStyle w:val="1075"/>
        <w:ind w:firstLine="482"/>
        <w:jc w:val="left"/>
        <w:spacing w:line="42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一、签约单位</w:t>
      </w:r>
      <w:r>
        <w:rPr>
          <w:rFonts w:ascii="宋体" w:hAnsi="宋体" w:eastAsia="宋体" w:cs="宋体"/>
          <w:sz w:val="21"/>
          <w:szCs w:val="21"/>
          <w:highlight w:val="none"/>
        </w:rPr>
      </w:r>
      <w:r/>
    </w:p>
    <w:p>
      <w:pPr>
        <w:pStyle w:val="1404"/>
        <w:ind w:firstLine="482"/>
        <w:jc w:val="left"/>
        <w:spacing w:line="420" w:lineRule="exact"/>
        <w:rPr>
          <w:rFonts w:ascii="宋体" w:hAnsi="宋体" w:eastAsia="宋体" w:cs="宋体"/>
          <w:highlight w:val="none"/>
        </w:rPr>
      </w:pPr>
      <w:r>
        <w:rPr>
          <w:rFonts w:hint="eastAsia" w:ascii="宋体" w:hAnsi="宋体" w:eastAsia="宋体" w:cs="宋体"/>
          <w:b/>
          <w:bCs/>
          <w:highlight w:val="none"/>
        </w:rPr>
        <w:t xml:space="preserve">甲方（采购人）</w:t>
      </w:r>
      <w:r>
        <w:rPr>
          <w:rFonts w:hint="eastAsia" w:ascii="宋体" w:hAnsi="宋体" w:eastAsia="宋体" w:cs="宋体"/>
          <w:highlight w:val="none"/>
        </w:rPr>
        <w:t xml:space="preserve">：</w:t>
      </w:r>
      <w:r>
        <w:rPr>
          <w:rFonts w:hint="eastAsia" w:ascii="宋体" w:hAnsi="宋体" w:eastAsia="宋体" w:cs="宋体"/>
          <w:b/>
          <w:bCs/>
          <w:highlight w:val="none"/>
        </w:rPr>
        <w:t xml:space="preserve">太仓市公安局</w:t>
      </w:r>
      <w:r>
        <w:rPr>
          <w:rFonts w:ascii="宋体" w:hAnsi="宋体" w:eastAsia="宋体" w:cs="宋体"/>
          <w:highlight w:val="none"/>
        </w:rPr>
      </w:r>
      <w:r/>
    </w:p>
    <w:p>
      <w:pPr>
        <w:pStyle w:val="1404"/>
        <w:ind w:firstLine="482"/>
        <w:jc w:val="left"/>
        <w:spacing w:line="420" w:lineRule="exact"/>
        <w:rPr>
          <w:rFonts w:ascii="宋体" w:hAnsi="宋体" w:eastAsia="宋体" w:cs="宋体"/>
          <w:highlight w:val="none"/>
        </w:rPr>
      </w:pPr>
      <w:r>
        <w:rPr>
          <w:rFonts w:hint="eastAsia" w:ascii="宋体" w:hAnsi="宋体" w:eastAsia="宋体" w:cs="宋体"/>
          <w:b/>
          <w:bCs/>
          <w:highlight w:val="none"/>
        </w:rPr>
        <w:t xml:space="preserve">乙方（中标人）</w:t>
      </w:r>
      <w:r>
        <w:rPr>
          <w:rFonts w:hint="eastAsia" w:ascii="宋体" w:hAnsi="宋体" w:eastAsia="宋体" w:cs="宋体"/>
          <w:highlight w:val="none"/>
        </w:rPr>
        <w:t xml:space="preserve">：</w:t>
      </w:r>
      <w:r>
        <w:rPr>
          <w:rFonts w:ascii="宋体" w:hAnsi="宋体" w:eastAsia="宋体" w:cs="宋体"/>
          <w:highlight w:val="none"/>
        </w:rPr>
        <w:t xml:space="preserve"> </w:t>
      </w:r>
      <w:r>
        <w:rPr>
          <w:rFonts w:ascii="宋体" w:hAnsi="宋体" w:eastAsia="宋体" w:cs="宋体"/>
          <w:highlight w:val="none"/>
        </w:rPr>
      </w:r>
      <w:r/>
    </w:p>
    <w:p>
      <w:pPr>
        <w:pStyle w:val="1073"/>
        <w:ind w:firstLine="480"/>
        <w:spacing w:line="440" w:lineRule="exact"/>
        <w:rPr>
          <w:rFonts w:ascii="宋体" w:hAnsi="宋体" w:eastAsia="宋体" w:cs="宋体"/>
          <w:b/>
          <w:szCs w:val="21"/>
          <w:highlight w:val="none"/>
        </w:rPr>
      </w:pPr>
      <w:r>
        <w:rPr>
          <w:rFonts w:hint="eastAsia" w:ascii="宋体" w:hAnsi="宋体" w:eastAsia="宋体" w:cs="宋体"/>
          <w:szCs w:val="21"/>
          <w:highlight w:val="none"/>
        </w:rPr>
        <w:t xml:space="preserve">根据《中华人民共和国民法典》、《中华人民共和国政府采购法》等法律法规的规定，甲、乙双方按照江苏正华新工程咨询有限公司组织的关于</w:t>
      </w:r>
      <w:r>
        <w:rPr>
          <w:rFonts w:hint="eastAsia" w:ascii="宋体" w:hAnsi="宋体" w:eastAsia="宋体" w:cs="宋体"/>
          <w:b/>
          <w:szCs w:val="21"/>
          <w:highlight w:val="none"/>
          <w:u w:val="single"/>
        </w:rPr>
        <w:t xml:space="preserve"> 2026年交警信息化系统前后端维护运维</w:t>
      </w:r>
      <w:r>
        <w:rPr>
          <w:rFonts w:hint="eastAsia" w:ascii="宋体" w:hAnsi="宋体" w:eastAsia="宋体" w:cs="宋体"/>
          <w:szCs w:val="21"/>
          <w:highlight w:val="none"/>
        </w:rPr>
        <w:t xml:space="preserve">项目（</w:t>
      </w:r>
      <w:r>
        <w:rPr>
          <w:rFonts w:hint="eastAsia" w:ascii="宋体" w:hAnsi="宋体" w:eastAsia="宋体" w:cs="宋体"/>
          <w:b/>
          <w:szCs w:val="21"/>
          <w:highlight w:val="none"/>
        </w:rPr>
        <w:t xml:space="preserve">编号</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 xml:space="preserve">）的招标结果，签订本合同。</w:t>
      </w:r>
      <w:r>
        <w:rPr>
          <w:rFonts w:ascii="宋体" w:hAnsi="宋体" w:eastAsia="宋体" w:cs="宋体"/>
          <w:b/>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二、服务地点： 太仓市公安局交通管理大队</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项目名称：2026年交警信息化系统前后端维护运维项目</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项目地点：太仓市</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三、货物或服务名称、数量及价格：</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1、协议内容</w:t>
      </w:r>
      <w:r>
        <w:rPr>
          <w:rFonts w:ascii="宋体" w:hAnsi="宋体" w:eastAsia="宋体" w:cs="宋体"/>
          <w:szCs w:val="21"/>
          <w:highlight w:val="none"/>
        </w:rPr>
      </w:r>
      <w:r/>
    </w:p>
    <w:p>
      <w:pPr>
        <w:pStyle w:val="1073"/>
        <w:ind w:firstLine="480"/>
        <w:rPr>
          <w:rFonts w:ascii="宋体" w:hAnsi="宋体" w:eastAsia="宋体" w:cs="宋体"/>
          <w:szCs w:val="21"/>
          <w:highlight w:val="none"/>
        </w:rPr>
      </w:pPr>
      <w:r>
        <w:rPr>
          <w:rFonts w:hint="eastAsia" w:ascii="宋体" w:hAnsi="宋体" w:eastAsia="宋体" w:cs="宋体"/>
          <w:szCs w:val="21"/>
          <w:highlight w:val="none"/>
        </w:rPr>
        <w:t xml:space="preserve">太仓市公安局交通管理大队在用且已过保的历年信息化建设项目主要包括以下几项：</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1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①</w:t>
      </w:r>
      <w:r>
        <w:rPr>
          <w:rFonts w:ascii="宋体" w:hAnsi="宋体" w:eastAsia="宋体" w:cs="宋体"/>
          <w:szCs w:val="21"/>
          <w:highlight w:val="none"/>
        </w:rPr>
        <w:fldChar w:fldCharType="end"/>
      </w:r>
      <w:r>
        <w:rPr>
          <w:rFonts w:hint="eastAsia" w:ascii="宋体" w:hAnsi="宋体" w:eastAsia="宋体" w:cs="宋体"/>
          <w:szCs w:val="21"/>
          <w:highlight w:val="none"/>
        </w:rPr>
        <w:t xml:space="preserve">纵横工程智能交通服务管理平台维护</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2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②</w:t>
      </w:r>
      <w:r>
        <w:rPr>
          <w:rFonts w:ascii="宋体" w:hAnsi="宋体" w:eastAsia="宋体" w:cs="宋体"/>
          <w:szCs w:val="21"/>
          <w:highlight w:val="none"/>
        </w:rPr>
        <w:fldChar w:fldCharType="end"/>
      </w:r>
      <w:r>
        <w:rPr>
          <w:rFonts w:hint="eastAsia" w:ascii="宋体" w:hAnsi="宋体" w:eastAsia="宋体" w:cs="宋体"/>
          <w:szCs w:val="21"/>
          <w:highlight w:val="none"/>
        </w:rPr>
        <w:t xml:space="preserve">（成利吉）道路交通信号控制系统维护</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3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③</w:t>
      </w:r>
      <w:r>
        <w:rPr>
          <w:rFonts w:ascii="宋体" w:hAnsi="宋体" w:eastAsia="宋体" w:cs="宋体"/>
          <w:szCs w:val="21"/>
          <w:highlight w:val="none"/>
        </w:rPr>
        <w:fldChar w:fldCharType="end"/>
      </w:r>
      <w:r>
        <w:rPr>
          <w:rFonts w:hint="eastAsia" w:ascii="宋体" w:hAnsi="宋体" w:eastAsia="宋体" w:cs="宋体"/>
          <w:szCs w:val="21"/>
          <w:highlight w:val="none"/>
        </w:rPr>
        <w:t xml:space="preserve">太仓警务交警系统维护</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4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④</w:t>
      </w:r>
      <w:r>
        <w:rPr>
          <w:rFonts w:ascii="宋体" w:hAnsi="宋体" w:eastAsia="宋体" w:cs="宋体"/>
          <w:szCs w:val="21"/>
          <w:highlight w:val="none"/>
        </w:rPr>
        <w:fldChar w:fldCharType="end"/>
      </w:r>
      <w:r>
        <w:rPr>
          <w:rFonts w:hint="eastAsia" w:ascii="宋体" w:hAnsi="宋体" w:eastAsia="宋体" w:cs="宋体"/>
          <w:szCs w:val="21"/>
          <w:highlight w:val="none"/>
        </w:rPr>
        <w:t xml:space="preserve">车管所车辆检验远程监管及全市电警处理监管巡检服务</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5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⑤</w:t>
      </w:r>
      <w:r>
        <w:rPr>
          <w:rFonts w:ascii="宋体" w:hAnsi="宋体" w:eastAsia="宋体" w:cs="宋体"/>
          <w:szCs w:val="21"/>
          <w:highlight w:val="none"/>
        </w:rPr>
        <w:fldChar w:fldCharType="end"/>
      </w:r>
      <w:r>
        <w:rPr>
          <w:rFonts w:hint="eastAsia" w:ascii="宋体" w:hAnsi="宋体" w:eastAsia="宋体" w:cs="宋体"/>
          <w:szCs w:val="21"/>
          <w:highlight w:val="none"/>
        </w:rPr>
        <w:t xml:space="preserve">MapABC地理信息系统服务</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6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⑥</w:t>
      </w:r>
      <w:r>
        <w:rPr>
          <w:rFonts w:ascii="宋体" w:hAnsi="宋体" w:eastAsia="宋体" w:cs="宋体"/>
          <w:szCs w:val="21"/>
          <w:highlight w:val="none"/>
        </w:rPr>
        <w:fldChar w:fldCharType="end"/>
      </w:r>
      <w:r>
        <w:rPr>
          <w:rFonts w:hint="eastAsia" w:ascii="宋体" w:hAnsi="宋体" w:eastAsia="宋体" w:cs="宋体"/>
          <w:szCs w:val="21"/>
          <w:highlight w:val="none"/>
        </w:rPr>
        <w:t xml:space="preserve">非现场违法数据处理平台服务</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ascii="宋体" w:hAnsi="宋体" w:eastAsia="宋体" w:cs="宋体"/>
          <w:szCs w:val="21"/>
          <w:highlight w:val="none"/>
        </w:rPr>
        <w:fldChar w:fldCharType="begin"/>
      </w:r>
      <w:r>
        <w:rPr>
          <w:rFonts w:ascii="宋体" w:hAnsi="宋体" w:eastAsia="宋体" w:cs="宋体"/>
          <w:szCs w:val="21"/>
          <w:highlight w:val="none"/>
        </w:rPr>
        <w:instrText xml:space="preserve"> </w:instrText>
      </w:r>
      <w:r>
        <w:rPr>
          <w:rFonts w:hint="eastAsia" w:ascii="宋体" w:hAnsi="宋体" w:eastAsia="宋体" w:cs="宋体"/>
          <w:szCs w:val="21"/>
          <w:highlight w:val="none"/>
        </w:rPr>
        <w:instrText xml:space="preserve">= 7 \* GB3</w:instrText>
      </w:r>
      <w:r>
        <w:rPr>
          <w:rFonts w:ascii="宋体" w:hAnsi="宋体" w:eastAsia="宋体" w:cs="宋体"/>
          <w:szCs w:val="21"/>
          <w:highlight w:val="none"/>
        </w:rPr>
        <w:instrText xml:space="preserve"> </w:instrText>
      </w:r>
      <w:r>
        <w:rPr>
          <w:rFonts w:ascii="宋体" w:hAnsi="宋体" w:eastAsia="宋体" w:cs="宋体"/>
          <w:szCs w:val="21"/>
          <w:highlight w:val="none"/>
        </w:rPr>
        <w:fldChar w:fldCharType="separate"/>
      </w:r>
      <w:r>
        <w:rPr>
          <w:rFonts w:hint="eastAsia" w:ascii="宋体" w:hAnsi="宋体" w:eastAsia="宋体" w:cs="宋体"/>
          <w:szCs w:val="21"/>
          <w:highlight w:val="none"/>
        </w:rPr>
        <w:t xml:space="preserve">⑦</w:t>
      </w:r>
      <w:r>
        <w:rPr>
          <w:rFonts w:ascii="宋体" w:hAnsi="宋体" w:eastAsia="宋体" w:cs="宋体"/>
          <w:szCs w:val="21"/>
          <w:highlight w:val="none"/>
        </w:rPr>
        <w:fldChar w:fldCharType="end"/>
      </w:r>
      <w:r>
        <w:rPr>
          <w:rFonts w:hint="eastAsia" w:ascii="宋体" w:hAnsi="宋体" w:eastAsia="宋体" w:cs="宋体"/>
          <w:szCs w:val="21"/>
          <w:highlight w:val="none"/>
        </w:rPr>
        <w:t xml:space="preserve">道路交通技术监控系统维护</w:t>
      </w:r>
      <w:r>
        <w:rPr>
          <w:rFonts w:ascii="宋体" w:hAnsi="宋体" w:eastAsia="宋体" w:cs="宋体"/>
          <w:szCs w:val="21"/>
          <w:highlight w:val="none"/>
        </w:rPr>
      </w:r>
      <w:r/>
    </w:p>
    <w:p>
      <w:pPr>
        <w:pStyle w:val="1073"/>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szCs w:val="21"/>
          <w:highlight w:val="none"/>
        </w:rPr>
        <w:t xml:space="preserve">响应时间</w:t>
      </w:r>
      <w:r>
        <w:rPr>
          <w:rFonts w:ascii="宋体" w:hAnsi="宋体" w:eastAsia="宋体" w:cs="宋体"/>
          <w:b/>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从乙方有效联络人收到甲方有效联络人的报修电话、网络平台报修或传真开始，至乙方技术人员到达甲方现场所经历的时间。</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乙方响应及维护时间要求：按响应文件响应内容要求</w:t>
      </w:r>
      <w:r>
        <w:rPr>
          <w:rFonts w:ascii="宋体" w:hAnsi="宋体" w:eastAsia="宋体" w:cs="宋体"/>
          <w:szCs w:val="21"/>
          <w:highlight w:val="none"/>
        </w:rPr>
      </w:r>
      <w:r/>
    </w:p>
    <w:p>
      <w:pPr>
        <w:pStyle w:val="1073"/>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3、服务范围</w:t>
      </w:r>
      <w:r>
        <w:rPr>
          <w:rFonts w:ascii="宋体" w:hAnsi="宋体" w:eastAsia="宋体" w:cs="宋体"/>
          <w:b/>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(1)为甲方提供实时现场服务，响应紧急维护维修要求。</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乙方在接到甲方有效报修人的维修要求后，根据故障等级作出响应并及时采取相应措施使系统或设备恢复正常运行：</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(2)服务内容：详见“项目需求”。</w:t>
      </w:r>
      <w:r>
        <w:rPr>
          <w:rFonts w:ascii="宋体" w:hAnsi="宋体" w:eastAsia="宋体" w:cs="宋体"/>
          <w:szCs w:val="21"/>
          <w:highlight w:val="none"/>
        </w:rPr>
      </w:r>
      <w:r/>
    </w:p>
    <w:p>
      <w:pPr>
        <w:pStyle w:val="1073"/>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4、乙方责任</w:t>
      </w:r>
      <w:r>
        <w:rPr>
          <w:rFonts w:ascii="宋体" w:hAnsi="宋体" w:eastAsia="宋体" w:cs="宋体"/>
          <w:b/>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对提供给甲方的实时的常规服务，乙方每次应提供详细的服务报告，每三个月双方会面总结上一阶段的服务状态，发现问题并及时解决。乙方不得将本项目维护工作转包给第三方企业和人员维护，一经发现，甲方有权中止合同，同时乙方按比例退还已付合同金并扣除履约保证金。</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(2)乙方应为甲方的协议设备建立设备维护档案。</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(3)乙方现场服务人员在负责维护甲方设备时，需严格保守甲方的有关商业机密和安全，配合甲方保证设备的安全运营。</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(4)乙方在服务过程中应及时提出设备替换、系统升级改告、扩充的建议，以利甲方最大限度地满足自身需要。</w:t>
      </w:r>
      <w:r>
        <w:rPr>
          <w:rFonts w:ascii="宋体" w:hAnsi="宋体" w:eastAsia="宋体" w:cs="宋体"/>
          <w:szCs w:val="21"/>
          <w:highlight w:val="none"/>
        </w:rPr>
      </w:r>
      <w:r/>
    </w:p>
    <w:p>
      <w:pPr>
        <w:pStyle w:val="1073"/>
        <w:ind w:firstLine="482"/>
        <w:spacing w:line="440" w:lineRule="exact"/>
        <w:rPr>
          <w:rFonts w:ascii="宋体" w:hAnsi="宋体" w:eastAsia="宋体" w:cs="宋体"/>
          <w:b/>
          <w:szCs w:val="21"/>
          <w:highlight w:val="none"/>
        </w:rPr>
      </w:pPr>
      <w:r>
        <w:rPr>
          <w:rFonts w:hint="eastAsia" w:ascii="宋体" w:hAnsi="宋体" w:eastAsia="宋体" w:cs="宋体"/>
          <w:b/>
          <w:szCs w:val="21"/>
          <w:highlight w:val="none"/>
        </w:rPr>
        <w:t xml:space="preserve">5、甲方义务</w:t>
      </w:r>
      <w:r>
        <w:rPr>
          <w:rFonts w:ascii="宋体" w:hAnsi="宋体" w:eastAsia="宋体" w:cs="宋体"/>
          <w:b/>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(1)在现场维护时，甲方应积极配合乙方的工作。</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(2)甲方联络人应在报修时如实提供详细的故障情况，并如实确定故障等级，同时积极配合乙方作好各类服务及验收工作。</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(3)甲方在未经乙方书面同意的情况下不得将以上维护交由第三方进行维护、维修。</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(4)本协议有关设备的使用地点、连接、运行方式等状态变动时，甲方应及时书面通知书乙方。</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(5)甲方有效报修联络人应配合乙方建立设备维护档案，并按要求作好系统及设备运行记录，为乙方现场维护提供分析依据。</w:t>
      </w:r>
      <w:r>
        <w:rPr>
          <w:rFonts w:ascii="宋体" w:hAnsi="宋体" w:eastAsia="宋体" w:cs="宋体"/>
          <w:szCs w:val="21"/>
          <w:highlight w:val="none"/>
        </w:rPr>
      </w:r>
      <w:r/>
    </w:p>
    <w:p>
      <w:pPr>
        <w:pStyle w:val="1075"/>
        <w:ind w:firstLine="482"/>
        <w:jc w:val="left"/>
        <w:spacing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四、组成本合同的有关文件</w:t>
      </w:r>
      <w:r>
        <w:rPr>
          <w:rFonts w:ascii="宋体" w:hAnsi="宋体" w:eastAsia="宋体" w:cs="宋体"/>
          <w:b w:val="0"/>
          <w:sz w:val="21"/>
          <w:szCs w:val="21"/>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 下列与本次采购活动有关的文件及有关附件是本合同不可分割的组成部分，与本合同具有同等法律效力，这些文件包括但不限于：</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1、招标采购文件（编号：</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2、乙方提供的投标文件和投标报价表；           </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3、供货一览表；</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4、技术规格响应表；</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5、投标承诺；</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6、服务承诺；</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7、中标通知书；</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8、甲乙双方商定的其他文件等。</w:t>
      </w:r>
      <w:r>
        <w:rPr>
          <w:rFonts w:ascii="宋体" w:hAnsi="宋体" w:eastAsia="宋体" w:cs="宋体"/>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五、合同总价：</w:t>
      </w:r>
      <w:r>
        <w:rPr>
          <w:rFonts w:ascii="宋体" w:hAnsi="宋体" w:eastAsia="宋体" w:cs="宋体"/>
          <w:szCs w:val="21"/>
          <w:highlight w:val="none"/>
        </w:rPr>
      </w:r>
      <w:r/>
    </w:p>
    <w:p>
      <w:pPr>
        <w:pStyle w:val="1085"/>
        <w:ind w:firstLine="480"/>
        <w:spacing w:line="440" w:lineRule="exact"/>
        <w:tabs>
          <w:tab w:val="left" w:pos="567" w:leader="none"/>
        </w:tabs>
        <w:rPr>
          <w:rFonts w:cs="宋体"/>
          <w:sz w:val="21"/>
          <w:szCs w:val="21"/>
          <w:highlight w:val="none"/>
        </w:rPr>
      </w:pPr>
      <w:r>
        <w:rPr>
          <w:rFonts w:hint="eastAsia" w:cs="宋体"/>
          <w:sz w:val="21"/>
          <w:szCs w:val="21"/>
          <w:highlight w:val="none"/>
        </w:rPr>
        <w:t xml:space="preserve">合同总价款：</w:t>
      </w:r>
      <w:r>
        <w:rPr>
          <w:rFonts w:hint="eastAsia" w:cs="宋体"/>
          <w:sz w:val="21"/>
          <w:szCs w:val="21"/>
          <w:highlight w:val="none"/>
          <w:u w:val="single"/>
        </w:rPr>
        <w:t xml:space="preserve">大写：                   （小写￥            元）</w:t>
      </w:r>
      <w:r>
        <w:rPr>
          <w:rFonts w:hint="eastAsia" w:cs="宋体"/>
          <w:sz w:val="21"/>
          <w:szCs w:val="21"/>
          <w:highlight w:val="none"/>
        </w:rPr>
        <w:t xml:space="preserve">。</w:t>
      </w:r>
      <w:r>
        <w:rPr>
          <w:rFonts w:cs="宋体"/>
          <w:sz w:val="21"/>
          <w:szCs w:val="21"/>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1．报价要求及内容：报价包括系统维护维修、设备维护维修、检测、调试、应急支撑、验收、保险、利润、税金、人员、交通、食宿、加班、招标人向第三方咨询产生的费用等工作所发生的全部费用以及投标人企业利润、税金和政策性文件规定及合同包含的所有风险、责任等各项应有费用。</w:t>
      </w:r>
      <w:r>
        <w:rPr>
          <w:rFonts w:ascii="宋体" w:hAnsi="宋体" w:eastAsia="宋体" w:cs="宋体"/>
          <w:highlight w:val="none"/>
        </w:rPr>
      </w:r>
      <w:r/>
    </w:p>
    <w:p>
      <w:pPr>
        <w:pStyle w:val="1404"/>
        <w:ind w:firstLine="480"/>
        <w:jc w:val="left"/>
        <w:spacing w:line="420" w:lineRule="exact"/>
        <w:rPr>
          <w:rFonts w:ascii="宋体" w:hAnsi="宋体" w:eastAsia="宋体" w:cs="宋体"/>
          <w:highlight w:val="none"/>
        </w:rPr>
      </w:pPr>
      <w:r>
        <w:rPr>
          <w:rFonts w:hint="eastAsia" w:ascii="宋体" w:hAnsi="宋体" w:eastAsia="宋体" w:cs="宋体"/>
          <w:highlight w:val="none"/>
        </w:rPr>
        <w:t xml:space="preserve">2．维保过程新更换货物的免费质保期</w:t>
      </w:r>
      <w:r>
        <w:rPr>
          <w:rFonts w:hint="eastAsia" w:ascii="宋体" w:hAnsi="宋体" w:eastAsia="宋体" w:cs="宋体"/>
          <w:highlight w:val="none"/>
          <w:u w:val="single"/>
        </w:rPr>
        <w:t xml:space="preserve">1</w:t>
      </w:r>
      <w:r>
        <w:rPr>
          <w:rFonts w:hint="eastAsia" w:ascii="宋体" w:hAnsi="宋体" w:eastAsia="宋体" w:cs="宋体"/>
          <w:highlight w:val="none"/>
        </w:rPr>
        <w:t xml:space="preserve">年的费用；</w:t>
      </w:r>
      <w:r>
        <w:rPr>
          <w:rFonts w:ascii="宋体" w:hAnsi="宋体" w:eastAsia="宋体" w:cs="宋体"/>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六、交货内容：</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1．符合本合同及招标文件规定的货物或服务。</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七、交货地点：乙方交货至甲方指定地点，所发生的运输等费用及货物的损坏造成的损失由乙方承担。</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八、维护期限：一年，自2026年12月11日-2027年12月10日止。</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九、支付方式： </w:t>
      </w:r>
      <w:r>
        <w:rPr>
          <w:rFonts w:ascii="宋体" w:hAnsi="宋体" w:eastAsia="宋体" w:cs="宋体"/>
          <w:szCs w:val="21"/>
          <w:highlight w:val="none"/>
        </w:rPr>
      </w:r>
      <w:r/>
    </w:p>
    <w:p>
      <w:pPr>
        <w:pStyle w:val="1244"/>
        <w:ind w:firstLine="480"/>
        <w:spacing w:line="440" w:lineRule="exact"/>
        <w:rPr>
          <w:rFonts w:eastAsia="宋体" w:cs="宋体"/>
          <w:sz w:val="21"/>
          <w:szCs w:val="21"/>
          <w:highlight w:val="none"/>
        </w:rPr>
      </w:pPr>
      <w:r>
        <w:rPr>
          <w:rFonts w:hint="eastAsia" w:eastAsia="宋体" w:cs="宋体"/>
          <w:sz w:val="21"/>
          <w:szCs w:val="21"/>
          <w:highlight w:val="none"/>
          <w:lang w:val="en-US"/>
        </w:rPr>
        <w:t xml:space="preserve">1、合同签订生效后</w:t>
      </w:r>
      <w:r>
        <w:rPr>
          <w:rFonts w:eastAsia="宋体" w:cs="宋体"/>
          <w:sz w:val="21"/>
          <w:szCs w:val="21"/>
          <w:highlight w:val="none"/>
          <w:lang w:val="en-US"/>
        </w:rPr>
        <w:t xml:space="preserve">30</w:t>
      </w:r>
      <w:r>
        <w:rPr>
          <w:rFonts w:hint="eastAsia" w:eastAsia="宋体" w:cs="宋体"/>
          <w:sz w:val="21"/>
          <w:szCs w:val="21"/>
          <w:highlight w:val="none"/>
          <w:lang w:val="en-US"/>
        </w:rPr>
        <w:t xml:space="preserve">个工作日内支付项目首付款人民币大写：壹佰零捌万贰仟元整（小写：￥</w:t>
      </w:r>
      <w:r>
        <w:rPr>
          <w:rFonts w:eastAsia="宋体" w:cs="宋体"/>
          <w:sz w:val="21"/>
          <w:szCs w:val="21"/>
          <w:highlight w:val="none"/>
          <w:lang w:val="en-US"/>
        </w:rPr>
        <w:t xml:space="preserve">1082000.00</w:t>
      </w:r>
      <w:r>
        <w:rPr>
          <w:rFonts w:hint="eastAsia" w:eastAsia="宋体" w:cs="宋体"/>
          <w:sz w:val="21"/>
          <w:szCs w:val="21"/>
          <w:highlight w:val="none"/>
          <w:lang w:val="en-US"/>
        </w:rPr>
        <w:t xml:space="preserve">元），实际支付时限以财政资金下达时间为准；维护期满并验收合格后</w:t>
      </w:r>
      <w:r>
        <w:rPr>
          <w:rFonts w:eastAsia="宋体" w:cs="宋体"/>
          <w:sz w:val="21"/>
          <w:szCs w:val="21"/>
          <w:highlight w:val="none"/>
          <w:lang w:val="en-US"/>
        </w:rPr>
        <w:t xml:space="preserve">10</w:t>
      </w:r>
      <w:r>
        <w:rPr>
          <w:rFonts w:hint="eastAsia" w:eastAsia="宋体" w:cs="宋体"/>
          <w:sz w:val="21"/>
          <w:szCs w:val="21"/>
          <w:highlight w:val="none"/>
          <w:lang w:val="en-US"/>
        </w:rPr>
        <w:t xml:space="preserve">个工作日内根据考核结果支付剩余款项。具体时间以财政资金下达情况为准。</w:t>
      </w:r>
      <w:r>
        <w:rPr>
          <w:rFonts w:eastAsia="宋体" w:cs="宋体"/>
          <w:sz w:val="21"/>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2、考核计算方式</w:t>
      </w:r>
      <w:r>
        <w:rPr>
          <w:rFonts w:ascii="宋体" w:hAnsi="宋体" w:eastAsia="宋体" w:cs="宋体"/>
          <w:szCs w:val="21"/>
          <w:highlight w:val="none"/>
        </w:rPr>
      </w:r>
      <w:r/>
    </w:p>
    <w:p>
      <w:pPr>
        <w:pStyle w:val="1073"/>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为了保证公安相关工作顺利高效的进行，我局根据交警信息化系统前后端的维护特点，将维护金额纳入维护考核，并依据考核结果，按合同约定结付维护金额或终止维护合同。</w:t>
      </w:r>
      <w:r>
        <w:rPr>
          <w:rFonts w:ascii="宋体" w:hAnsi="宋体" w:eastAsia="宋体" w:cs="宋体"/>
          <w:szCs w:val="21"/>
          <w:highlight w:val="none"/>
        </w:rPr>
      </w:r>
      <w:r/>
    </w:p>
    <w:p>
      <w:pPr>
        <w:pStyle w:val="1078"/>
        <w:ind w:firstLine="48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2.1、考核依据</w:t>
      </w:r>
      <w:r>
        <w:rPr>
          <w:rFonts w:ascii="宋体" w:hAnsi="宋体" w:eastAsia="宋体" w:cs="宋体"/>
          <w:b w:val="0"/>
          <w:sz w:val="21"/>
          <w:szCs w:val="21"/>
          <w:highlight w:val="none"/>
        </w:rPr>
      </w:r>
      <w:r/>
    </w:p>
    <w:p>
      <w:pPr>
        <w:pStyle w:val="1073"/>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A、系统故障管理应当有文字或者网站记录，必须对故障发生的时间、故障情况、处理措施、维护人员等进行详实记录。</w:t>
      </w:r>
      <w:r>
        <w:rPr>
          <w:rFonts w:ascii="宋体" w:hAnsi="宋体" w:eastAsia="宋体" w:cs="宋体"/>
          <w:szCs w:val="21"/>
          <w:highlight w:val="none"/>
        </w:rPr>
      </w:r>
      <w:r/>
    </w:p>
    <w:p>
      <w:pPr>
        <w:pStyle w:val="1073"/>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B、中标方维护工程师每次的故障处理，必须由系统使用方值班人员与维护工程师双方签字确认。</w:t>
      </w:r>
      <w:r>
        <w:rPr>
          <w:rFonts w:ascii="宋体" w:hAnsi="宋体" w:eastAsia="宋体" w:cs="宋体"/>
          <w:szCs w:val="21"/>
          <w:highlight w:val="none"/>
        </w:rPr>
      </w:r>
      <w:r/>
    </w:p>
    <w:p>
      <w:pPr>
        <w:pStyle w:val="1073"/>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C、维护方必须每月提供一份截至本月末监控故障点的汇总报表，该报表作为考核的依据。</w:t>
      </w:r>
      <w:r>
        <w:rPr>
          <w:rFonts w:ascii="宋体" w:hAnsi="宋体" w:eastAsia="宋体" w:cs="宋体"/>
          <w:szCs w:val="21"/>
          <w:highlight w:val="none"/>
        </w:rPr>
      </w:r>
      <w:r/>
    </w:p>
    <w:p>
      <w:pPr>
        <w:pStyle w:val="1073"/>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D、系统的正常维护需遵守中标方投标时的维护响应及处理承诺。</w:t>
      </w:r>
      <w:r>
        <w:rPr>
          <w:rFonts w:ascii="宋体" w:hAnsi="宋体" w:eastAsia="宋体" w:cs="宋体"/>
          <w:szCs w:val="21"/>
          <w:highlight w:val="none"/>
        </w:rPr>
      </w:r>
      <w:r/>
    </w:p>
    <w:p>
      <w:pPr>
        <w:pStyle w:val="1078"/>
        <w:ind w:firstLine="48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2.2、绩效考核方式</w:t>
      </w:r>
      <w:r>
        <w:rPr>
          <w:rFonts w:ascii="宋体" w:hAnsi="宋体" w:eastAsia="宋体" w:cs="宋体"/>
          <w:b w:val="0"/>
          <w:sz w:val="21"/>
          <w:szCs w:val="21"/>
          <w:highlight w:val="none"/>
        </w:rPr>
      </w:r>
      <w:r/>
    </w:p>
    <w:p>
      <w:pPr>
        <w:pStyle w:val="1073"/>
        <w:ind w:firstLine="4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对报修后未在规定时间内及时修复的故障（不可抗力因素除外），甲方将抄告维护单位，从抄告之日起计算，单次故障每超时一天，扣除维护费用2000元作为违约惩罚。抄告累计达到365天次的，甲方有权废除维保合同及全部产品，重新采购。中标单位需要退回已收取费用，所有损失由中标单位承担。</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十、质量保证</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保证</w:t>
      </w:r>
      <w:r>
        <w:rPr>
          <w:rFonts w:hint="eastAsia" w:ascii="宋体" w:hAnsi="宋体" w:eastAsia="宋体" w:cs="宋体"/>
          <w:szCs w:val="21"/>
          <w:highlight w:val="none"/>
          <w:lang w:val="en-US" w:eastAsia="zh-CN"/>
        </w:rPr>
        <w:t xml:space="preserve">各平台系统</w:t>
      </w:r>
      <w:r>
        <w:rPr>
          <w:rFonts w:hint="eastAsia" w:ascii="宋体" w:hAnsi="宋体" w:eastAsia="宋体" w:cs="宋体"/>
          <w:szCs w:val="21"/>
          <w:highlight w:val="none"/>
        </w:rPr>
        <w:t xml:space="preserve">运行正常、稳定，数据及时准确，技术资料、原始记录齐全。维护人员应相对固定，且24小时有人值守，认真填写值班日志，并做到维护人员在故障突发时随叫随到。</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十一、</w:t>
      </w:r>
      <w:r>
        <w:rPr>
          <w:rFonts w:hint="eastAsia" w:ascii="宋体" w:hAnsi="宋体" w:eastAsia="宋体" w:cs="宋体"/>
          <w:szCs w:val="21"/>
          <w:highlight w:val="none"/>
          <w:lang w:val="en-US" w:eastAsia="zh-CN"/>
        </w:rPr>
        <w:t xml:space="preserve">维护期</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项目维护期限一年。</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十二、售后服务</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售后服务见合同附件乙方投标文件中的承诺。</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十三、不可抗拒事故</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十四、违约责任</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1．除人力不可抗拒因素外，乙方不能按期交货，或因运输及安装中货物缺损需要更换而影响实际交付使用时，乙方必须向甲方支付延期交货或延期交付使用的违约金，具体标准按合同总价每日万分之四计算。</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乙方应在规定的日期前（或甲、乙双方另外规定的时间内）货物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5．乙方全部履行合同，甲方在收到乙方的付款通知并审定无误10天内按期付款，如有违约，甲方按合同总价每日万分之四支付延期付款违约金。</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6．乙方提前交货的，甲方接货后，按合同规定的付款方式付款。</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十五、索赔：</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索赔方式除上述规定之外，甲方还有权选择以下方式进行索赔：</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2．根据货物的损坏程度以及甲方遭受损失的数额，经甲乙双方商定降低货物的价格。</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十六、特别条款</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1．双方签约人为各自法定代表人或被授权代表。</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2．本合同系指本文件及其附件中的所有部分；其中招标文件、中标的投标文件、中标单位在招标过程中的澄清、承诺等为本合同不可缺少的必要组成部分。</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3．本合同一式肆份，甲方执贰份、乙方执贰份，各份具有同等法律效力。</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十七、其他</w:t>
      </w:r>
      <w:r>
        <w:rPr>
          <w:rFonts w:ascii="宋体" w:hAnsi="宋体" w:eastAsia="宋体" w:cs="宋体"/>
          <w:szCs w:val="21"/>
          <w:highlight w:val="none"/>
        </w:rPr>
      </w:r>
      <w:r/>
    </w:p>
    <w:p>
      <w:pPr>
        <w:pStyle w:val="1073"/>
        <w:ind w:firstLine="480"/>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本合同未尽事宜，签约双方应友好协商解决。协商不成，任何一方均可向甲方所在地人民法院提起诉讼。</w:t>
      </w:r>
      <w:r>
        <w:rPr>
          <w:rFonts w:ascii="宋体" w:hAnsi="宋体" w:eastAsia="宋体" w:cs="宋体"/>
          <w:szCs w:val="21"/>
          <w:highlight w:val="none"/>
        </w:rPr>
      </w:r>
      <w:r/>
    </w:p>
    <w:p>
      <w:pPr>
        <w:pStyle w:val="1085"/>
        <w:spacing w:line="440" w:lineRule="exact"/>
        <w:tabs>
          <w:tab w:val="left" w:pos="567" w:leader="none"/>
        </w:tabs>
        <w:rPr>
          <w:rFonts w:cs="宋体"/>
          <w:szCs w:val="21"/>
          <w:highlight w:val="none"/>
        </w:rPr>
      </w:pPr>
      <w:r>
        <w:rPr>
          <w:rFonts w:cs="宋体"/>
          <w:szCs w:val="21"/>
          <w:highlight w:val="none"/>
        </w:rPr>
      </w:r>
      <w:r/>
    </w:p>
    <w:p>
      <w:pPr>
        <w:pStyle w:val="1073"/>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甲方（公章）：_________________   乙方（公章）：______________________</w:t>
      </w:r>
      <w:r>
        <w:rPr>
          <w:rFonts w:ascii="宋体" w:hAnsi="宋体" w:eastAsia="宋体" w:cs="宋体"/>
          <w:szCs w:val="21"/>
          <w:highlight w:val="none"/>
        </w:rPr>
      </w:r>
      <w:r/>
    </w:p>
    <w:p>
      <w:pPr>
        <w:pStyle w:val="1073"/>
        <w:spacing w:line="440" w:lineRule="exact"/>
        <w:rPr>
          <w:rFonts w:ascii="宋体" w:hAnsi="宋体" w:eastAsia="宋体" w:cs="宋体"/>
          <w:szCs w:val="21"/>
          <w:highlight w:val="none"/>
        </w:rPr>
      </w:pPr>
      <w:r>
        <w:rPr>
          <w:rFonts w:ascii="宋体" w:hAnsi="宋体" w:eastAsia="宋体" w:cs="宋体"/>
          <w:szCs w:val="21"/>
          <w:highlight w:val="none"/>
        </w:rPr>
      </w:r>
      <w:r/>
    </w:p>
    <w:p>
      <w:pPr>
        <w:pStyle w:val="1073"/>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负责人(或授权代理人)：________    单位负责人（或授权代理人）：_________</w:t>
      </w:r>
      <w:r>
        <w:rPr>
          <w:rFonts w:ascii="宋体" w:hAnsi="宋体" w:eastAsia="宋体" w:cs="宋体"/>
          <w:szCs w:val="21"/>
          <w:highlight w:val="none"/>
        </w:rPr>
      </w:r>
      <w:r/>
    </w:p>
    <w:p>
      <w:pPr>
        <w:pStyle w:val="1073"/>
        <w:spacing w:line="440" w:lineRule="exact"/>
        <w:rPr>
          <w:rFonts w:ascii="宋体" w:hAnsi="宋体" w:eastAsia="宋体" w:cs="宋体"/>
          <w:szCs w:val="21"/>
          <w:highlight w:val="none"/>
        </w:rPr>
      </w:pPr>
      <w:r>
        <w:rPr>
          <w:rFonts w:ascii="宋体" w:hAnsi="宋体" w:eastAsia="宋体" w:cs="宋体"/>
          <w:szCs w:val="21"/>
          <w:highlight w:val="none"/>
        </w:rPr>
      </w:r>
      <w:r/>
    </w:p>
    <w:p>
      <w:pPr>
        <w:pStyle w:val="1073"/>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日期：_____年____月____日         日期：_____年____月____日</w:t>
      </w:r>
      <w:r>
        <w:rPr>
          <w:rFonts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t xml:space="preserve">附件1-1：</w:t>
      </w:r>
      <w:r>
        <w:rPr>
          <w:rFonts w:hint="eastAsia" w:ascii="宋体" w:hAnsi="宋体" w:eastAsia="宋体" w:cs="宋体"/>
          <w:szCs w:val="21"/>
          <w:highlight w:val="none"/>
        </w:rPr>
      </w:r>
      <w:r/>
    </w:p>
    <w:p>
      <w:pPr>
        <w:pStyle w:val="1073"/>
        <w:spacing w:after="120"/>
        <w:rPr>
          <w:rFonts w:ascii="宋体" w:hAnsi="宋体" w:eastAsia="宋体"/>
          <w:sz w:val="24"/>
          <w:highlight w:val="none"/>
        </w:rPr>
      </w:pPr>
      <w:r>
        <w:rPr>
          <w:rFonts w:ascii="宋体" w:hAnsi="宋体" w:eastAsia="宋体"/>
          <w:sz w:val="24"/>
          <w:highlight w:val="none"/>
        </w:rPr>
      </w:r>
      <w:r/>
    </w:p>
    <w:p>
      <w:pPr>
        <w:pStyle w:val="1073"/>
        <w:ind w:left="1410"/>
        <w:jc w:val="left"/>
        <w:spacing w:before="263" w:line="223" w:lineRule="auto"/>
        <w:widowControl/>
        <w:rPr>
          <w:rFonts w:ascii="微软雅黑" w:hAnsi="微软雅黑" w:cs="微软雅黑"/>
          <w:sz w:val="36"/>
          <w:szCs w:val="36"/>
          <w:highlight w:val="none"/>
        </w:rPr>
        <w:outlineLvl w:val="0"/>
      </w:pPr>
      <w:r>
        <w:rPr>
          <w:rFonts w:ascii="微软雅黑" w:hAnsi="微软雅黑" w:cs="微软雅黑"/>
          <w:spacing w:val="17"/>
          <w:sz w:val="36"/>
          <w:szCs w:val="36"/>
          <w:highlight w:val="none"/>
        </w:rPr>
        <w:t xml:space="preserve">政府采购履约验收通知单（参考样本）</w:t>
      </w:r>
      <w:r>
        <w:rPr>
          <w:rFonts w:ascii="微软雅黑" w:hAnsi="微软雅黑" w:cs="微软雅黑"/>
          <w:sz w:val="36"/>
          <w:szCs w:val="36"/>
          <w:highlight w:val="none"/>
        </w:rPr>
      </w:r>
      <w:r/>
    </w:p>
    <w:p>
      <w:pPr>
        <w:pStyle w:val="1073"/>
        <w:ind w:left="85"/>
        <w:jc w:val="left"/>
        <w:spacing w:before="216" w:line="214" w:lineRule="auto"/>
        <w:widowControl/>
        <w:rPr>
          <w:rFonts w:ascii="宋体" w:hAnsi="宋体" w:eastAsia="宋体" w:cs="宋体"/>
          <w:sz w:val="23"/>
          <w:szCs w:val="23"/>
          <w:highlight w:val="none"/>
          <w:lang w:eastAsia="en-US"/>
        </w:rPr>
      </w:pPr>
      <w:r>
        <w:rPr>
          <w:rFonts w:ascii="宋体" w:hAnsi="宋体" w:eastAsia="宋体" w:cs="宋体"/>
          <w:spacing w:val="9"/>
          <w:sz w:val="23"/>
          <w:szCs w:val="23"/>
          <w:highlight w:val="none"/>
          <w:lang w:eastAsia="en-US"/>
        </w:rPr>
        <w:t xml:space="preserve">供应商：</w:t>
      </w:r>
      <w:r>
        <w:rPr>
          <w:rFonts w:ascii="宋体" w:hAnsi="宋体" w:eastAsia="宋体" w:cs="宋体"/>
          <w:sz w:val="23"/>
          <w:szCs w:val="23"/>
          <w:highlight w:val="none"/>
          <w:lang w:eastAsia="en-US"/>
        </w:rPr>
      </w:r>
      <w:r/>
    </w:p>
    <w:p>
      <w:pPr>
        <w:pStyle w:val="1073"/>
        <w:jc w:val="left"/>
        <w:spacing w:line="44" w:lineRule="exact"/>
        <w:widowControl/>
        <w:rPr>
          <w:rFonts w:ascii="Arial" w:hAnsi="Arial" w:eastAsia="Arial" w:cs="Arial"/>
          <w:szCs w:val="21"/>
          <w:highlight w:val="none"/>
          <w:lang w:eastAsia="en-US"/>
        </w:rPr>
      </w:pPr>
      <w:r>
        <w:rPr>
          <w:rFonts w:ascii="Arial" w:hAnsi="Arial" w:eastAsia="Arial" w:cs="Arial"/>
          <w:szCs w:val="21"/>
          <w:highlight w:val="none"/>
          <w:lang w:eastAsia="en-US"/>
        </w:rPr>
      </w:r>
      <w:r/>
    </w:p>
    <w:tbl>
      <w:tblPr>
        <w:tblW w:w="0" w:type="auto"/>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1073"/>
              <w:ind w:left="961"/>
              <w:jc w:val="left"/>
              <w:spacing w:before="249" w:line="212"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采购人</w:t>
            </w:r>
            <w:r>
              <w:rPr>
                <w:rFonts w:ascii="黑体" w:hAnsi="黑体" w:eastAsia="黑体" w:cs="黑体"/>
                <w:sz w:val="23"/>
                <w:szCs w:val="23"/>
                <w:highlight w:val="none"/>
                <w:lang w:eastAsia="en-US"/>
              </w:rPr>
            </w:r>
            <w:r/>
          </w:p>
        </w:tc>
        <w:tc>
          <w:tcPr>
            <w:gridSpan w:val="3"/>
            <w:tcW w:w="6708" w:type="dxa"/>
            <w:vAlign w:val="top"/>
            <w:textDirection w:val="lrTb"/>
            <w:noWrap w:val="false"/>
          </w:tcPr>
          <w:p>
            <w:pPr>
              <w:pStyle w:val="1385"/>
              <w:rPr>
                <w:color w:val="000000"/>
                <w:highlight w:val="none"/>
              </w:rPr>
            </w:pPr>
            <w:r>
              <w:rPr>
                <w:color w:val="000000"/>
                <w:highlight w:val="none"/>
              </w:rPr>
            </w:r>
            <w:r/>
          </w:p>
        </w:tc>
      </w:tr>
      <w:tr>
        <w:trPr>
          <w:trHeight w:val="560"/>
        </w:trPr>
        <w:tc>
          <w:tcPr>
            <w:tcW w:w="2610" w:type="dxa"/>
            <w:vAlign w:val="top"/>
            <w:textDirection w:val="lrTb"/>
            <w:noWrap w:val="false"/>
          </w:tcPr>
          <w:p>
            <w:pPr>
              <w:pStyle w:val="1073"/>
              <w:ind w:left="841"/>
              <w:jc w:val="left"/>
              <w:spacing w:before="249" w:line="211"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项目名称</w:t>
            </w:r>
            <w:r>
              <w:rPr>
                <w:rFonts w:ascii="黑体" w:hAnsi="黑体" w:eastAsia="黑体" w:cs="黑体"/>
                <w:sz w:val="23"/>
                <w:szCs w:val="23"/>
                <w:highlight w:val="none"/>
                <w:lang w:eastAsia="en-US"/>
              </w:rPr>
            </w:r>
            <w:r/>
          </w:p>
        </w:tc>
        <w:tc>
          <w:tcPr>
            <w:gridSpan w:val="3"/>
            <w:tcW w:w="6708" w:type="dxa"/>
            <w:vAlign w:val="top"/>
            <w:textDirection w:val="lrTb"/>
            <w:noWrap w:val="false"/>
          </w:tcPr>
          <w:p>
            <w:pPr>
              <w:pStyle w:val="1385"/>
              <w:rPr>
                <w:color w:val="000000"/>
                <w:highlight w:val="none"/>
              </w:rPr>
            </w:pPr>
            <w:r>
              <w:rPr>
                <w:color w:val="000000"/>
                <w:highlight w:val="none"/>
              </w:rPr>
            </w:r>
            <w:r/>
          </w:p>
        </w:tc>
      </w:tr>
      <w:tr>
        <w:trPr>
          <w:trHeight w:val="559"/>
        </w:trPr>
        <w:tc>
          <w:tcPr>
            <w:tcW w:w="2610" w:type="dxa"/>
            <w:vAlign w:val="top"/>
            <w:textDirection w:val="lrTb"/>
            <w:noWrap w:val="false"/>
          </w:tcPr>
          <w:p>
            <w:pPr>
              <w:pStyle w:val="1073"/>
              <w:ind w:left="841"/>
              <w:jc w:val="left"/>
              <w:spacing w:before="247" w:line="213"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合同名称</w:t>
            </w:r>
            <w:r>
              <w:rPr>
                <w:rFonts w:ascii="黑体" w:hAnsi="黑体" w:eastAsia="黑体" w:cs="黑体"/>
                <w:sz w:val="23"/>
                <w:szCs w:val="23"/>
                <w:highlight w:val="none"/>
                <w:lang w:eastAsia="en-US"/>
              </w:rPr>
            </w:r>
            <w:r/>
          </w:p>
        </w:tc>
        <w:tc>
          <w:tcPr>
            <w:gridSpan w:val="3"/>
            <w:tcW w:w="6708" w:type="dxa"/>
            <w:vAlign w:val="top"/>
            <w:textDirection w:val="lrTb"/>
            <w:noWrap w:val="false"/>
          </w:tcPr>
          <w:p>
            <w:pPr>
              <w:pStyle w:val="1385"/>
              <w:rPr>
                <w:color w:val="000000"/>
                <w:highlight w:val="none"/>
              </w:rPr>
            </w:pPr>
            <w:r>
              <w:rPr>
                <w:color w:val="000000"/>
                <w:highlight w:val="none"/>
              </w:rPr>
            </w:r>
            <w:r/>
          </w:p>
        </w:tc>
      </w:tr>
      <w:tr>
        <w:trPr>
          <w:trHeight w:val="560"/>
        </w:trPr>
        <w:tc>
          <w:tcPr>
            <w:tcW w:w="2610" w:type="dxa"/>
            <w:vAlign w:val="top"/>
            <w:textDirection w:val="lrTb"/>
            <w:noWrap w:val="false"/>
          </w:tcPr>
          <w:p>
            <w:pPr>
              <w:pStyle w:val="1073"/>
              <w:ind w:left="841"/>
              <w:jc w:val="left"/>
              <w:spacing w:before="247" w:line="212"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合同编号</w:t>
            </w:r>
            <w:r>
              <w:rPr>
                <w:rFonts w:ascii="黑体" w:hAnsi="黑体" w:eastAsia="黑体" w:cs="黑体"/>
                <w:sz w:val="23"/>
                <w:szCs w:val="23"/>
                <w:highlight w:val="none"/>
                <w:lang w:eastAsia="en-US"/>
              </w:rPr>
            </w:r>
            <w:r/>
          </w:p>
        </w:tc>
        <w:tc>
          <w:tcPr>
            <w:tcW w:w="1961" w:type="dxa"/>
            <w:vAlign w:val="top"/>
            <w:textDirection w:val="lrTb"/>
            <w:noWrap w:val="false"/>
          </w:tcPr>
          <w:p>
            <w:pPr>
              <w:pStyle w:val="1385"/>
              <w:rPr>
                <w:color w:val="000000"/>
                <w:highlight w:val="none"/>
              </w:rPr>
            </w:pPr>
            <w:r>
              <w:rPr>
                <w:color w:val="000000"/>
                <w:highlight w:val="none"/>
              </w:rPr>
            </w:r>
            <w:r/>
          </w:p>
        </w:tc>
        <w:tc>
          <w:tcPr>
            <w:tcW w:w="2139" w:type="dxa"/>
            <w:vAlign w:val="top"/>
            <w:textDirection w:val="lrTb"/>
            <w:noWrap w:val="false"/>
          </w:tcPr>
          <w:p>
            <w:pPr>
              <w:pStyle w:val="1073"/>
              <w:ind w:left="607"/>
              <w:jc w:val="left"/>
              <w:spacing w:before="247" w:line="213" w:lineRule="auto"/>
              <w:widowControl/>
              <w:rPr>
                <w:rFonts w:ascii="黑体" w:hAnsi="黑体" w:eastAsia="黑体" w:cs="黑体"/>
                <w:sz w:val="23"/>
                <w:szCs w:val="23"/>
                <w:highlight w:val="none"/>
                <w:lang w:eastAsia="en-US"/>
              </w:rPr>
            </w:pPr>
            <w:r>
              <w:rPr>
                <w:rFonts w:ascii="黑体" w:hAnsi="黑体" w:eastAsia="黑体" w:cs="黑体"/>
                <w:spacing w:val="2"/>
                <w:sz w:val="23"/>
                <w:szCs w:val="23"/>
                <w:highlight w:val="none"/>
                <w:lang w:eastAsia="en-US"/>
              </w:rPr>
              <w:t xml:space="preserve">合同金额</w:t>
            </w:r>
            <w:r>
              <w:rPr>
                <w:rFonts w:ascii="黑体" w:hAnsi="黑体" w:eastAsia="黑体" w:cs="黑体"/>
                <w:sz w:val="23"/>
                <w:szCs w:val="23"/>
                <w:highlight w:val="none"/>
                <w:lang w:eastAsia="en-US"/>
              </w:rPr>
            </w:r>
            <w:r/>
          </w:p>
        </w:tc>
        <w:tc>
          <w:tcPr>
            <w:tcW w:w="2608" w:type="dxa"/>
            <w:vAlign w:val="top"/>
            <w:textDirection w:val="lrTb"/>
            <w:noWrap w:val="false"/>
          </w:tcPr>
          <w:p>
            <w:pPr>
              <w:pStyle w:val="1385"/>
              <w:rPr>
                <w:color w:val="000000"/>
                <w:highlight w:val="none"/>
              </w:rPr>
            </w:pPr>
            <w:r>
              <w:rPr>
                <w:color w:val="000000"/>
                <w:highlight w:val="none"/>
              </w:rPr>
            </w:r>
            <w:r/>
          </w:p>
        </w:tc>
      </w:tr>
      <w:tr>
        <w:trPr>
          <w:trHeight w:val="559"/>
        </w:trPr>
        <w:tc>
          <w:tcPr>
            <w:tcW w:w="2610" w:type="dxa"/>
            <w:vAlign w:val="top"/>
            <w:textDirection w:val="lrTb"/>
            <w:noWrap w:val="false"/>
          </w:tcPr>
          <w:p>
            <w:pPr>
              <w:pStyle w:val="1073"/>
              <w:ind w:left="841"/>
              <w:jc w:val="left"/>
              <w:spacing w:before="248" w:line="212" w:lineRule="auto"/>
              <w:widowControl/>
              <w:rPr>
                <w:rFonts w:ascii="黑体" w:hAnsi="黑体" w:eastAsia="黑体" w:cs="黑体"/>
                <w:sz w:val="23"/>
                <w:szCs w:val="23"/>
                <w:highlight w:val="none"/>
                <w:lang w:eastAsia="en-US"/>
              </w:rPr>
            </w:pPr>
            <w:r>
              <w:rPr>
                <w:rFonts w:ascii="黑体" w:hAnsi="黑体" w:eastAsia="黑体" w:cs="黑体"/>
                <w:spacing w:val="4"/>
                <w:sz w:val="23"/>
                <w:szCs w:val="23"/>
                <w:highlight w:val="none"/>
                <w:lang w:eastAsia="en-US"/>
              </w:rPr>
              <w:t xml:space="preserve">验收时间</w:t>
            </w:r>
            <w:r>
              <w:rPr>
                <w:rFonts w:ascii="黑体" w:hAnsi="黑体" w:eastAsia="黑体" w:cs="黑体"/>
                <w:sz w:val="23"/>
                <w:szCs w:val="23"/>
                <w:highlight w:val="none"/>
                <w:lang w:eastAsia="en-US"/>
              </w:rPr>
            </w:r>
            <w:r/>
          </w:p>
        </w:tc>
        <w:tc>
          <w:tcPr>
            <w:tcW w:w="1961" w:type="dxa"/>
            <w:vAlign w:val="top"/>
            <w:textDirection w:val="lrTb"/>
            <w:noWrap w:val="false"/>
          </w:tcPr>
          <w:p>
            <w:pPr>
              <w:pStyle w:val="1385"/>
              <w:rPr>
                <w:color w:val="000000"/>
                <w:highlight w:val="none"/>
              </w:rPr>
            </w:pPr>
            <w:r>
              <w:rPr>
                <w:color w:val="000000"/>
                <w:highlight w:val="none"/>
              </w:rPr>
            </w:r>
            <w:r/>
          </w:p>
        </w:tc>
        <w:tc>
          <w:tcPr>
            <w:tcW w:w="2139" w:type="dxa"/>
            <w:vAlign w:val="top"/>
            <w:textDirection w:val="lrTb"/>
            <w:noWrap w:val="false"/>
          </w:tcPr>
          <w:p>
            <w:pPr>
              <w:pStyle w:val="1073"/>
              <w:ind w:left="607"/>
              <w:jc w:val="left"/>
              <w:spacing w:before="248" w:line="213" w:lineRule="auto"/>
              <w:widowControl/>
              <w:rPr>
                <w:rFonts w:ascii="黑体" w:hAnsi="黑体" w:eastAsia="黑体" w:cs="黑体"/>
                <w:sz w:val="23"/>
                <w:szCs w:val="23"/>
                <w:highlight w:val="none"/>
                <w:lang w:eastAsia="en-US"/>
              </w:rPr>
            </w:pPr>
            <w:r>
              <w:rPr>
                <w:rFonts w:ascii="黑体" w:hAnsi="黑体" w:eastAsia="黑体" w:cs="黑体"/>
                <w:spacing w:val="4"/>
                <w:sz w:val="23"/>
                <w:szCs w:val="23"/>
                <w:highlight w:val="none"/>
                <w:lang w:eastAsia="en-US"/>
              </w:rPr>
              <w:t xml:space="preserve">验收地点</w:t>
            </w:r>
            <w:r>
              <w:rPr>
                <w:rFonts w:ascii="黑体" w:hAnsi="黑体" w:eastAsia="黑体" w:cs="黑体"/>
                <w:sz w:val="23"/>
                <w:szCs w:val="23"/>
                <w:highlight w:val="none"/>
                <w:lang w:eastAsia="en-US"/>
              </w:rPr>
            </w:r>
            <w:r/>
          </w:p>
        </w:tc>
        <w:tc>
          <w:tcPr>
            <w:tcW w:w="2608" w:type="dxa"/>
            <w:vAlign w:val="top"/>
            <w:textDirection w:val="lrTb"/>
            <w:noWrap w:val="false"/>
          </w:tcPr>
          <w:p>
            <w:pPr>
              <w:pStyle w:val="1385"/>
              <w:rPr>
                <w:color w:val="000000"/>
                <w:highlight w:val="none"/>
              </w:rPr>
            </w:pPr>
            <w:r>
              <w:rPr>
                <w:color w:val="000000"/>
                <w:highlight w:val="none"/>
              </w:rPr>
            </w:r>
            <w:r/>
          </w:p>
        </w:tc>
      </w:tr>
      <w:tr>
        <w:trPr>
          <w:trHeight w:val="560"/>
        </w:trPr>
        <w:tc>
          <w:tcPr>
            <w:tcW w:w="2610" w:type="dxa"/>
            <w:vAlign w:val="top"/>
            <w:textDirection w:val="lrTb"/>
            <w:noWrap w:val="false"/>
          </w:tcPr>
          <w:p>
            <w:pPr>
              <w:pStyle w:val="1073"/>
              <w:ind w:left="960"/>
              <w:jc w:val="left"/>
              <w:spacing w:before="248" w:line="213" w:lineRule="auto"/>
              <w:widowControl/>
              <w:rPr>
                <w:rFonts w:ascii="黑体" w:hAnsi="黑体" w:eastAsia="黑体" w:cs="黑体"/>
                <w:sz w:val="23"/>
                <w:szCs w:val="23"/>
                <w:highlight w:val="none"/>
                <w:lang w:eastAsia="en-US"/>
              </w:rPr>
            </w:pPr>
            <w:r>
              <w:rPr>
                <w:rFonts w:ascii="黑体" w:hAnsi="黑体" w:eastAsia="黑体" w:cs="黑体"/>
                <w:spacing w:val="1"/>
                <w:sz w:val="23"/>
                <w:szCs w:val="23"/>
                <w:highlight w:val="none"/>
                <w:lang w:eastAsia="en-US"/>
              </w:rPr>
              <w:t xml:space="preserve">联系人</w:t>
            </w:r>
            <w:r>
              <w:rPr>
                <w:rFonts w:ascii="黑体" w:hAnsi="黑体" w:eastAsia="黑体" w:cs="黑体"/>
                <w:sz w:val="23"/>
                <w:szCs w:val="23"/>
                <w:highlight w:val="none"/>
                <w:lang w:eastAsia="en-US"/>
              </w:rPr>
            </w:r>
            <w:r/>
          </w:p>
        </w:tc>
        <w:tc>
          <w:tcPr>
            <w:tcW w:w="1961" w:type="dxa"/>
            <w:vAlign w:val="top"/>
            <w:textDirection w:val="lrTb"/>
            <w:noWrap w:val="false"/>
          </w:tcPr>
          <w:p>
            <w:pPr>
              <w:pStyle w:val="1385"/>
              <w:rPr>
                <w:color w:val="000000"/>
                <w:highlight w:val="none"/>
              </w:rPr>
            </w:pPr>
            <w:r>
              <w:rPr>
                <w:color w:val="000000"/>
                <w:highlight w:val="none"/>
              </w:rPr>
            </w:r>
            <w:r/>
          </w:p>
        </w:tc>
        <w:tc>
          <w:tcPr>
            <w:tcW w:w="2139" w:type="dxa"/>
            <w:vAlign w:val="top"/>
            <w:textDirection w:val="lrTb"/>
            <w:noWrap w:val="false"/>
          </w:tcPr>
          <w:p>
            <w:pPr>
              <w:pStyle w:val="1073"/>
              <w:ind w:left="605"/>
              <w:jc w:val="left"/>
              <w:spacing w:before="248" w:line="213" w:lineRule="auto"/>
              <w:widowControl/>
              <w:rPr>
                <w:rFonts w:ascii="黑体" w:hAnsi="黑体" w:eastAsia="黑体" w:cs="黑体"/>
                <w:sz w:val="23"/>
                <w:szCs w:val="23"/>
                <w:highlight w:val="none"/>
                <w:lang w:eastAsia="en-US"/>
              </w:rPr>
            </w:pPr>
            <w:r>
              <w:rPr>
                <w:rFonts w:ascii="黑体" w:hAnsi="黑体" w:eastAsia="黑体" w:cs="黑体"/>
                <w:spacing w:val="3"/>
                <w:sz w:val="23"/>
                <w:szCs w:val="23"/>
                <w:highlight w:val="none"/>
                <w:lang w:eastAsia="en-US"/>
              </w:rPr>
              <w:t xml:space="preserve">联系电话</w:t>
            </w:r>
            <w:r>
              <w:rPr>
                <w:rFonts w:ascii="黑体" w:hAnsi="黑体" w:eastAsia="黑体" w:cs="黑体"/>
                <w:sz w:val="23"/>
                <w:szCs w:val="23"/>
                <w:highlight w:val="none"/>
                <w:lang w:eastAsia="en-US"/>
              </w:rPr>
            </w:r>
            <w:r/>
          </w:p>
        </w:tc>
        <w:tc>
          <w:tcPr>
            <w:tcW w:w="2608" w:type="dxa"/>
            <w:vAlign w:val="top"/>
            <w:textDirection w:val="lrTb"/>
            <w:noWrap w:val="false"/>
          </w:tcPr>
          <w:p>
            <w:pPr>
              <w:pStyle w:val="1385"/>
              <w:rPr>
                <w:color w:val="000000"/>
                <w:highlight w:val="none"/>
              </w:rPr>
            </w:pPr>
            <w:r>
              <w:rPr>
                <w:color w:val="000000"/>
                <w:highlight w:val="none"/>
              </w:rPr>
            </w:r>
            <w:r/>
          </w:p>
        </w:tc>
      </w:tr>
      <w:tr>
        <w:trPr>
          <w:trHeight w:val="560"/>
        </w:trPr>
        <w:tc>
          <w:tcPr>
            <w:gridSpan w:val="4"/>
            <w:tcW w:w="9318" w:type="dxa"/>
            <w:vAlign w:val="top"/>
            <w:textDirection w:val="lrTb"/>
            <w:noWrap w:val="false"/>
          </w:tcPr>
          <w:p>
            <w:pPr>
              <w:pStyle w:val="1073"/>
              <w:ind w:left="3353"/>
              <w:jc w:val="left"/>
              <w:spacing w:before="250" w:line="212" w:lineRule="auto"/>
              <w:widowControl/>
              <w:rPr>
                <w:rFonts w:ascii="黑体" w:hAnsi="黑体" w:eastAsia="黑体" w:cs="黑体"/>
                <w:sz w:val="23"/>
                <w:szCs w:val="23"/>
                <w:highlight w:val="none"/>
              </w:rPr>
            </w:pPr>
            <w:r>
              <w:rPr>
                <w:rFonts w:ascii="黑体" w:hAnsi="黑体" w:eastAsia="黑体" w:cs="黑体"/>
                <w:spacing w:val="7"/>
                <w:sz w:val="23"/>
                <w:szCs w:val="23"/>
                <w:highlight w:val="none"/>
              </w:rPr>
              <w:t xml:space="preserve">履约验收方案及工作要求</w:t>
            </w:r>
            <w:r>
              <w:rPr>
                <w:rFonts w:ascii="黑体" w:hAnsi="黑体" w:eastAsia="黑体" w:cs="黑体"/>
                <w:sz w:val="23"/>
                <w:szCs w:val="23"/>
                <w:highlight w:val="none"/>
              </w:rPr>
            </w:r>
            <w:r/>
          </w:p>
        </w:tc>
      </w:tr>
      <w:tr>
        <w:trPr>
          <w:trHeight w:val="7569"/>
        </w:trPr>
        <w:tc>
          <w:tcPr>
            <w:gridSpan w:val="4"/>
            <w:tcW w:w="9318" w:type="dxa"/>
            <w:vAlign w:val="top"/>
            <w:textDirection w:val="lrTb"/>
            <w:noWrap w:val="false"/>
          </w:tcPr>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1" w:lineRule="auto"/>
              <w:rPr>
                <w:color w:val="000000"/>
                <w:highlight w:val="none"/>
                <w:lang w:eastAsia="zh-CN"/>
              </w:rPr>
            </w:pPr>
            <w:r>
              <w:rPr>
                <w:color w:val="000000"/>
                <w:highlight w:val="none"/>
                <w:lang w:eastAsia="zh-CN"/>
              </w:rPr>
            </w:r>
            <w:r/>
          </w:p>
          <w:p>
            <w:pPr>
              <w:pStyle w:val="1385"/>
              <w:spacing w:line="242" w:lineRule="auto"/>
              <w:rPr>
                <w:color w:val="000000"/>
                <w:highlight w:val="none"/>
                <w:lang w:eastAsia="zh-CN"/>
              </w:rPr>
            </w:pPr>
            <w:r>
              <w:rPr>
                <w:color w:val="000000"/>
                <w:highlight w:val="none"/>
                <w:lang w:eastAsia="zh-CN"/>
              </w:rPr>
            </w:r>
            <w:r/>
          </w:p>
          <w:p>
            <w:pPr>
              <w:pStyle w:val="1385"/>
              <w:spacing w:line="242" w:lineRule="auto"/>
              <w:rPr>
                <w:color w:val="000000"/>
                <w:highlight w:val="none"/>
                <w:lang w:eastAsia="zh-CN"/>
              </w:rPr>
            </w:pPr>
            <w:r>
              <w:rPr>
                <w:color w:val="000000"/>
                <w:highlight w:val="none"/>
                <w:lang w:eastAsia="zh-CN"/>
              </w:rPr>
            </w:r>
            <w:r/>
          </w:p>
          <w:p>
            <w:pPr>
              <w:pStyle w:val="1073"/>
              <w:ind w:left="5128" w:right="2893" w:firstLine="183"/>
              <w:jc w:val="left"/>
              <w:spacing w:before="75" w:line="507" w:lineRule="auto"/>
              <w:widowControl/>
              <w:rPr>
                <w:rFonts w:ascii="黑体" w:hAnsi="黑体" w:eastAsia="黑体" w:cs="黑体"/>
                <w:sz w:val="23"/>
                <w:szCs w:val="23"/>
                <w:highlight w:val="none"/>
                <w:lang w:eastAsia="en-US"/>
              </w:rPr>
            </w:pPr>
            <w:r>
              <w:rPr>
                <w:rFonts w:ascii="黑体" w:hAnsi="黑体" w:eastAsia="黑体" w:cs="黑体"/>
                <w:spacing w:val="3"/>
                <w:sz w:val="23"/>
                <w:szCs w:val="23"/>
                <w:highlight w:val="none"/>
                <w:lang w:eastAsia="en-US"/>
              </w:rPr>
              <w:t xml:space="preserve">单位公章</w:t>
            </w:r>
            <w:r>
              <w:rPr>
                <w:rFonts w:ascii="黑体" w:hAnsi="黑体" w:eastAsia="黑体" w:cs="黑体"/>
                <w:sz w:val="23"/>
                <w:szCs w:val="23"/>
                <w:highlight w:val="none"/>
                <w:lang w:eastAsia="en-US"/>
              </w:rPr>
              <w:t xml:space="preserve">  </w:t>
            </w:r>
            <w:r>
              <w:rPr>
                <w:rFonts w:ascii="黑体" w:hAnsi="黑体" w:eastAsia="黑体" w:cs="黑体"/>
                <w:spacing w:val="-16"/>
                <w:sz w:val="23"/>
                <w:szCs w:val="23"/>
                <w:highlight w:val="none"/>
                <w:lang w:eastAsia="en-US"/>
              </w:rPr>
              <w:t xml:space="preserve">年</w:t>
            </w:r>
            <w:r>
              <w:rPr>
                <w:rFonts w:ascii="黑体" w:hAnsi="黑体" w:eastAsia="黑体" w:cs="黑体"/>
                <w:spacing w:val="18"/>
                <w:sz w:val="23"/>
                <w:szCs w:val="23"/>
                <w:highlight w:val="none"/>
                <w:lang w:eastAsia="en-US"/>
              </w:rPr>
              <w:t xml:space="preserve">  </w:t>
            </w:r>
            <w:r>
              <w:rPr>
                <w:rFonts w:ascii="黑体" w:hAnsi="黑体" w:eastAsia="黑体" w:cs="黑体"/>
                <w:spacing w:val="-16"/>
                <w:sz w:val="23"/>
                <w:szCs w:val="23"/>
                <w:highlight w:val="none"/>
                <w:lang w:eastAsia="en-US"/>
              </w:rPr>
              <w:t xml:space="preserve">月</w:t>
            </w:r>
            <w:r>
              <w:rPr>
                <w:rFonts w:ascii="黑体" w:hAnsi="黑体" w:eastAsia="黑体" w:cs="黑体"/>
                <w:spacing w:val="12"/>
                <w:sz w:val="23"/>
                <w:szCs w:val="23"/>
                <w:highlight w:val="none"/>
                <w:lang w:eastAsia="en-US"/>
              </w:rPr>
              <w:t xml:space="preserve">  </w:t>
            </w:r>
            <w:r>
              <w:rPr>
                <w:rFonts w:ascii="黑体" w:hAnsi="黑体" w:eastAsia="黑体" w:cs="黑体"/>
                <w:spacing w:val="-16"/>
                <w:sz w:val="23"/>
                <w:szCs w:val="23"/>
                <w:highlight w:val="none"/>
                <w:lang w:eastAsia="en-US"/>
              </w:rPr>
              <w:t xml:space="preserve">日</w:t>
            </w:r>
            <w:r>
              <w:rPr>
                <w:rFonts w:ascii="黑体" w:hAnsi="黑体" w:eastAsia="黑体" w:cs="黑体"/>
                <w:sz w:val="23"/>
                <w:szCs w:val="23"/>
                <w:highlight w:val="none"/>
                <w:lang w:eastAsia="en-US"/>
              </w:rPr>
            </w:r>
            <w:r/>
          </w:p>
        </w:tc>
      </w:tr>
    </w:tbl>
    <w:p>
      <w:pPr>
        <w:pStyle w:val="1103"/>
        <w:rPr>
          <w:highlight w:val="none"/>
        </w:rPr>
        <w:sectPr>
          <w:footerReference w:type="default" r:id="rId21"/>
          <w:footnotePr/>
          <w:endnotePr/>
          <w:type w:val="nextPage"/>
          <w:pgSz w:w="11907" w:h="16840" w:orient="portrait"/>
          <w:pgMar w:top="1440" w:right="1800" w:bottom="1440" w:left="1800" w:header="851" w:footer="992" w:gutter="0"/>
          <w:cols w:num="1" w:sep="0" w:space="1701" w:equalWidth="1"/>
          <w:docGrid w:linePitch="360"/>
        </w:sectPr>
      </w:pPr>
      <w:r>
        <w:rPr>
          <w:highlight w:val="none"/>
        </w:rPr>
      </w:r>
      <w:r/>
    </w:p>
    <w:p>
      <w:pPr>
        <w:pStyle w:val="1073"/>
        <w:spacing w:after="120"/>
        <w:rPr>
          <w:rFonts w:hint="eastAsia" w:ascii="宋体" w:hAnsi="宋体" w:eastAsia="宋体" w:cs="宋体"/>
          <w:szCs w:val="21"/>
          <w:highlight w:val="none"/>
        </w:rPr>
      </w:pPr>
      <w:r>
        <w:rPr>
          <w:rFonts w:hint="eastAsia" w:ascii="宋体" w:hAnsi="宋体" w:eastAsia="宋体" w:cs="宋体"/>
          <w:szCs w:val="21"/>
          <w:highlight w:val="none"/>
        </w:rPr>
        <w:t xml:space="preserve">附件1-2：</w:t>
      </w:r>
      <w:r>
        <w:rPr>
          <w:rFonts w:hint="eastAsia" w:ascii="宋体" w:hAnsi="宋体" w:eastAsia="宋体" w:cs="宋体"/>
          <w:szCs w:val="21"/>
          <w:highlight w:val="none"/>
        </w:rPr>
      </w:r>
      <w:r/>
    </w:p>
    <w:p>
      <w:pPr>
        <w:pStyle w:val="1073"/>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政府采购履约验收书参考样本(服务类)</w:t>
      </w:r>
      <w:r>
        <w:rPr>
          <w:rFonts w:hint="eastAsia" w:ascii="宋体" w:hAnsi="宋体" w:eastAsia="宋体" w:cs="宋体"/>
          <w:b/>
          <w:bCs/>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6"/>
        <w:gridCol w:w="1860"/>
        <w:gridCol w:w="1815"/>
        <w:gridCol w:w="1702"/>
        <w:gridCol w:w="533"/>
        <w:gridCol w:w="1740"/>
        <w:gridCol w:w="2145"/>
        <w:gridCol w:w="2805"/>
      </w:tblGrid>
      <w:tr>
        <w:trPr>
          <w:trHeight w:val="680"/>
        </w:trPr>
        <w:tc>
          <w:tcPr>
            <w:tcW w:w="184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采购人</w:t>
            </w:r>
            <w:r>
              <w:rPr>
                <w:rFonts w:hint="eastAsia" w:ascii="宋体" w:hAnsi="宋体" w:eastAsia="宋体" w:cs="宋体"/>
                <w:szCs w:val="21"/>
                <w:highlight w:val="none"/>
              </w:rPr>
            </w:r>
            <w:r/>
          </w:p>
        </w:tc>
        <w:tc>
          <w:tcPr>
            <w:tcW w:w="1860"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1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项目名称</w:t>
            </w:r>
            <w:r>
              <w:rPr>
                <w:rFonts w:hint="eastAsia" w:ascii="宋体" w:hAnsi="宋体" w:eastAsia="宋体" w:cs="宋体"/>
                <w:szCs w:val="21"/>
                <w:highlight w:val="none"/>
              </w:rPr>
            </w:r>
            <w:r/>
          </w:p>
        </w:tc>
        <w:tc>
          <w:tcPr>
            <w:gridSpan w:val="2"/>
            <w:tcW w:w="223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388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合同名称</w:t>
            </w:r>
            <w:r>
              <w:rPr>
                <w:rFonts w:hint="eastAsia" w:ascii="宋体" w:hAnsi="宋体" w:eastAsia="宋体" w:cs="宋体"/>
                <w:szCs w:val="21"/>
                <w:highlight w:val="none"/>
              </w:rPr>
            </w:r>
            <w:r/>
          </w:p>
        </w:tc>
        <w:tc>
          <w:tcPr>
            <w:tcW w:w="280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184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供应商</w:t>
            </w:r>
            <w:r>
              <w:rPr>
                <w:rFonts w:hint="eastAsia" w:ascii="宋体" w:hAnsi="宋体" w:eastAsia="宋体" w:cs="宋体"/>
                <w:szCs w:val="21"/>
                <w:highlight w:val="none"/>
              </w:rPr>
            </w:r>
            <w:r/>
          </w:p>
        </w:tc>
        <w:tc>
          <w:tcPr>
            <w:tcW w:w="1860"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1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lang w:bidi="ar"/>
              </w:rPr>
              <w:t xml:space="preserve">项目及合同编号</w:t>
            </w:r>
            <w:r>
              <w:rPr>
                <w:rFonts w:hint="eastAsia" w:ascii="宋体" w:hAnsi="宋体" w:eastAsia="宋体" w:cs="宋体"/>
                <w:szCs w:val="21"/>
                <w:highlight w:val="none"/>
              </w:rPr>
            </w:r>
            <w:r/>
          </w:p>
        </w:tc>
        <w:tc>
          <w:tcPr>
            <w:gridSpan w:val="2"/>
            <w:tcW w:w="223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388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合同金额</w:t>
            </w:r>
            <w:r>
              <w:rPr>
                <w:rFonts w:hint="eastAsia" w:ascii="宋体" w:hAnsi="宋体" w:eastAsia="宋体" w:cs="宋体"/>
                <w:szCs w:val="21"/>
                <w:highlight w:val="none"/>
              </w:rPr>
            </w:r>
            <w:r/>
          </w:p>
        </w:tc>
        <w:tc>
          <w:tcPr>
            <w:tcW w:w="280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184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分期（段）验收</w:t>
            </w:r>
            <w:r>
              <w:rPr>
                <w:rFonts w:hint="eastAsia" w:ascii="宋体" w:hAnsi="宋体" w:eastAsia="宋体" w:cs="宋体"/>
                <w:szCs w:val="21"/>
                <w:highlight w:val="none"/>
              </w:rPr>
            </w:r>
            <w:r/>
          </w:p>
        </w:tc>
        <w:tc>
          <w:tcPr>
            <w:tcW w:w="1860"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是□    否□</w:t>
            </w:r>
            <w:r>
              <w:rPr>
                <w:rFonts w:hint="eastAsia" w:ascii="宋体" w:hAnsi="宋体" w:eastAsia="宋体" w:cs="宋体"/>
                <w:szCs w:val="21"/>
                <w:highlight w:val="none"/>
              </w:rPr>
            </w:r>
            <w:r/>
          </w:p>
        </w:tc>
        <w:tc>
          <w:tcPr>
            <w:tcW w:w="181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lang w:bidi="ar"/>
              </w:rPr>
              <w:t xml:space="preserve">分期（段）情况</w:t>
            </w:r>
            <w:r>
              <w:rPr>
                <w:rFonts w:hint="eastAsia" w:ascii="宋体" w:hAnsi="宋体" w:eastAsia="宋体" w:cs="宋体"/>
                <w:szCs w:val="21"/>
                <w:highlight w:val="none"/>
              </w:rPr>
            </w:r>
            <w:r/>
          </w:p>
        </w:tc>
        <w:tc>
          <w:tcPr>
            <w:gridSpan w:val="5"/>
            <w:tcW w:w="892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共分    期（段），此为第    期（段）验收</w:t>
            </w:r>
            <w:r>
              <w:rPr>
                <w:rFonts w:hint="eastAsia" w:ascii="宋体" w:hAnsi="宋体" w:eastAsia="宋体" w:cs="宋体"/>
                <w:szCs w:val="21"/>
                <w:highlight w:val="none"/>
              </w:rPr>
            </w:r>
            <w:r/>
          </w:p>
        </w:tc>
      </w:tr>
      <w:tr>
        <w:trPr>
          <w:trHeight w:val="1134"/>
        </w:trPr>
        <w:tc>
          <w:tcPr>
            <w:tcW w:w="1846"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验收时间</w:t>
            </w:r>
            <w:r>
              <w:rPr>
                <w:rFonts w:hint="eastAsia" w:ascii="宋体" w:hAnsi="宋体" w:eastAsia="宋体" w:cs="宋体"/>
                <w:szCs w:val="21"/>
                <w:highlight w:val="none"/>
              </w:rPr>
            </w:r>
            <w:r/>
          </w:p>
        </w:tc>
        <w:tc>
          <w:tcPr>
            <w:tcW w:w="1860"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1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验收地点</w:t>
            </w:r>
            <w:r>
              <w:rPr>
                <w:rFonts w:hint="eastAsia" w:ascii="宋体" w:hAnsi="宋体" w:eastAsia="宋体" w:cs="宋体"/>
                <w:szCs w:val="21"/>
                <w:highlight w:val="none"/>
              </w:rPr>
            </w:r>
            <w:r/>
          </w:p>
        </w:tc>
        <w:tc>
          <w:tcPr>
            <w:gridSpan w:val="2"/>
            <w:tcW w:w="2235"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W w:w="388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验收组织形式</w:t>
            </w:r>
            <w:r>
              <w:rPr>
                <w:rFonts w:hint="eastAsia" w:ascii="宋体" w:hAnsi="宋体" w:eastAsia="宋体" w:cs="宋体"/>
                <w:szCs w:val="21"/>
                <w:highlight w:val="none"/>
              </w:rPr>
            </w:r>
            <w:r/>
          </w:p>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05" w:type="dxa"/>
            <w:vAlign w:val="center"/>
            <w:textDirection w:val="lrTb"/>
            <w:noWrap w:val="false"/>
          </w:tcPr>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□自行简易验收</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□验收小组验收</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□采购代理机构验收</w:t>
            </w:r>
            <w:r>
              <w:rPr>
                <w:rFonts w:hint="eastAsia" w:ascii="宋体" w:hAnsi="宋体" w:eastAsia="宋体" w:cs="宋体"/>
                <w:szCs w:val="21"/>
                <w:highlight w:val="none"/>
              </w:rPr>
            </w:r>
            <w:r/>
          </w:p>
        </w:tc>
      </w:tr>
      <w:tr>
        <w:trPr>
          <w:trHeight w:val="680"/>
        </w:trPr>
        <w:tc>
          <w:tcPr>
            <w:tcW w:w="1846" w:type="dxa"/>
            <w:vAlign w:val="center"/>
            <w:vMerge w:val="restart"/>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验收内容</w:t>
            </w:r>
            <w:r>
              <w:rPr>
                <w:rFonts w:hint="eastAsia" w:ascii="宋体" w:hAnsi="宋体" w:eastAsia="宋体" w:cs="宋体"/>
                <w:szCs w:val="21"/>
                <w:highlight w:val="none"/>
              </w:rPr>
            </w:r>
            <w:r/>
          </w:p>
        </w:tc>
        <w:tc>
          <w:tcPr>
            <w:tcW w:w="1860"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服务质量</w:t>
            </w:r>
            <w:r>
              <w:rPr>
                <w:rFonts w:hint="eastAsia" w:ascii="宋体" w:hAnsi="宋体" w:eastAsia="宋体" w:cs="宋体"/>
                <w:szCs w:val="21"/>
                <w:highlight w:val="none"/>
              </w:rPr>
            </w:r>
            <w:r/>
          </w:p>
        </w:tc>
        <w:tc>
          <w:tcPr>
            <w:tcW w:w="181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服务进度</w:t>
            </w:r>
            <w:r>
              <w:rPr>
                <w:rFonts w:hint="eastAsia" w:ascii="宋体" w:hAnsi="宋体" w:eastAsia="宋体" w:cs="宋体"/>
                <w:szCs w:val="21"/>
                <w:highlight w:val="none"/>
              </w:rPr>
            </w:r>
            <w:r/>
          </w:p>
        </w:tc>
        <w:tc>
          <w:tcPr>
            <w:gridSpan w:val="2"/>
            <w:tcW w:w="223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人员、设备 配备情况</w:t>
            </w:r>
            <w:r>
              <w:rPr>
                <w:rFonts w:hint="eastAsia" w:ascii="宋体" w:hAnsi="宋体" w:eastAsia="宋体" w:cs="宋体"/>
                <w:szCs w:val="21"/>
                <w:highlight w:val="none"/>
              </w:rPr>
            </w:r>
            <w:r/>
          </w:p>
        </w:tc>
        <w:tc>
          <w:tcPr>
            <w:tcW w:w="1740"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行业、安全标准</w:t>
            </w:r>
            <w:r>
              <w:rPr>
                <w:rFonts w:hint="eastAsia" w:ascii="宋体" w:hAnsi="宋体" w:eastAsia="宋体" w:cs="宋体"/>
                <w:szCs w:val="21"/>
                <w:highlight w:val="none"/>
              </w:rPr>
            </w:r>
            <w:r/>
          </w:p>
        </w:tc>
        <w:tc>
          <w:tcPr>
            <w:tcW w:w="2145" w:type="dxa"/>
            <w:vAlign w:val="center"/>
            <w:textDirection w:val="lrTb"/>
            <w:noWrap w:val="false"/>
          </w:tcPr>
          <w:p>
            <w:pPr>
              <w:pStyle w:val="1073"/>
              <w:jc w:val="center"/>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rPr>
                <w:rFonts w:hint="eastAsia" w:ascii="宋体" w:hAnsi="宋体" w:eastAsia="宋体" w:cs="宋体"/>
                <w:szCs w:val="21"/>
                <w:highlight w:val="none"/>
                <w:lang w:bidi="ar"/>
              </w:rPr>
            </w:r>
            <w:r/>
          </w:p>
        </w:tc>
        <w:tc>
          <w:tcPr>
            <w:tcW w:w="2805"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合同履约时间、 地点、方式</w:t>
            </w:r>
            <w:r>
              <w:rPr>
                <w:rFonts w:hint="eastAsia" w:ascii="宋体" w:hAnsi="宋体" w:eastAsia="宋体" w:cs="宋体"/>
                <w:szCs w:val="21"/>
                <w:highlight w:val="none"/>
              </w:rPr>
            </w:r>
            <w:r/>
          </w:p>
        </w:tc>
      </w:tr>
      <w:tr>
        <w:trPr>
          <w:trHeight w:val="850"/>
        </w:trPr>
        <w:tc>
          <w:tcPr>
            <w:tcW w:w="1846" w:type="dxa"/>
            <w:vAlign w:val="center"/>
            <w:vMerge w:val="continue"/>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860" w:type="dxa"/>
            <w:vAlign w:val="center"/>
            <w:textDirection w:val="lrTb"/>
            <w:noWrap w:val="false"/>
          </w:tcPr>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1815" w:type="dxa"/>
            <w:vAlign w:val="center"/>
            <w:textDirection w:val="lrTb"/>
            <w:noWrap w:val="false"/>
          </w:tcPr>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按时□</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不按时□</w:t>
            </w:r>
            <w:r>
              <w:rPr>
                <w:rFonts w:hint="eastAsia" w:ascii="宋体" w:hAnsi="宋体" w:eastAsia="宋体" w:cs="宋体"/>
                <w:szCs w:val="21"/>
                <w:highlight w:val="none"/>
              </w:rPr>
            </w:r>
            <w:r/>
          </w:p>
        </w:tc>
        <w:tc>
          <w:tcPr>
            <w:gridSpan w:val="2"/>
            <w:tcW w:w="2235" w:type="dxa"/>
            <w:vAlign w:val="center"/>
            <w:textDirection w:val="lrTb"/>
            <w:noWrap w:val="false"/>
          </w:tcPr>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1740" w:type="dxa"/>
            <w:vAlign w:val="center"/>
            <w:textDirection w:val="lrTb"/>
            <w:noWrap w:val="false"/>
          </w:tcPr>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2145" w:type="dxa"/>
            <w:vAlign w:val="center"/>
            <w:textDirection w:val="lrTb"/>
            <w:noWrap w:val="false"/>
          </w:tcPr>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c>
          <w:tcPr>
            <w:tcW w:w="2805" w:type="dxa"/>
            <w:vAlign w:val="center"/>
            <w:textDirection w:val="lrTb"/>
            <w:noWrap w:val="false"/>
          </w:tcPr>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w:t>
            </w:r>
            <w:r>
              <w:rPr>
                <w:rFonts w:hint="eastAsia" w:ascii="宋体" w:hAnsi="宋体" w:eastAsia="宋体" w:cs="宋体"/>
                <w:szCs w:val="21"/>
                <w:highlight w:val="none"/>
              </w:rPr>
            </w:r>
            <w:r/>
          </w:p>
          <w:p>
            <w:pPr>
              <w:pStyle w:val="1073"/>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不合格□</w:t>
            </w:r>
            <w:r>
              <w:rPr>
                <w:rFonts w:hint="eastAsia" w:ascii="宋体" w:hAnsi="宋体" w:eastAsia="宋体" w:cs="宋体"/>
                <w:szCs w:val="21"/>
                <w:highlight w:val="none"/>
              </w:rPr>
            </w:r>
            <w:r/>
          </w:p>
        </w:tc>
      </w:tr>
      <w:tr>
        <w:trPr>
          <w:trHeight w:val="1304"/>
        </w:trPr>
        <w:tc>
          <w:tcPr>
            <w:tcW w:w="1846"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专业检测机构情况说明</w:t>
            </w:r>
            <w:r>
              <w:rPr>
                <w:rFonts w:hint="eastAsia" w:ascii="宋体" w:hAnsi="宋体" w:eastAsia="宋体" w:cs="宋体"/>
                <w:szCs w:val="21"/>
                <w:highlight w:val="none"/>
              </w:rPr>
            </w:r>
            <w:r/>
          </w:p>
        </w:tc>
        <w:tc>
          <w:tcPr>
            <w:gridSpan w:val="7"/>
            <w:tcW w:w="12600"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1304"/>
        </w:trPr>
        <w:tc>
          <w:tcPr>
            <w:tcW w:w="1846"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存在问题和改进意见</w:t>
            </w:r>
            <w:r>
              <w:rPr>
                <w:rFonts w:hint="eastAsia" w:ascii="宋体" w:hAnsi="宋体" w:eastAsia="宋体" w:cs="宋体"/>
                <w:szCs w:val="21"/>
                <w:highlight w:val="none"/>
              </w:rPr>
            </w:r>
            <w:r/>
          </w:p>
        </w:tc>
        <w:tc>
          <w:tcPr>
            <w:gridSpan w:val="7"/>
            <w:tcW w:w="12600"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tcW w:w="1846"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最终结论</w:t>
            </w:r>
            <w:r>
              <w:rPr>
                <w:rFonts w:hint="eastAsia" w:ascii="宋体" w:hAnsi="宋体" w:eastAsia="宋体" w:cs="宋体"/>
                <w:szCs w:val="21"/>
                <w:highlight w:val="none"/>
              </w:rPr>
            </w:r>
            <w:r/>
          </w:p>
        </w:tc>
        <w:tc>
          <w:tcPr>
            <w:gridSpan w:val="7"/>
            <w:tcW w:w="12600" w:type="dxa"/>
            <w:vAlign w:val="center"/>
            <w:textDirection w:val="lrTb"/>
            <w:noWrap w:val="false"/>
          </w:tcPr>
          <w:p>
            <w:pPr>
              <w:pStyle w:val="1073"/>
              <w:jc w:val="center"/>
              <w:widowControl/>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格□           不合格□</w:t>
            </w:r>
            <w:r>
              <w:rPr>
                <w:rFonts w:hint="eastAsia" w:ascii="宋体" w:hAnsi="宋体" w:eastAsia="宋体" w:cs="宋体"/>
                <w:szCs w:val="21"/>
                <w:highlight w:val="none"/>
              </w:rPr>
            </w:r>
            <w:r/>
          </w:p>
        </w:tc>
      </w:tr>
      <w:tr>
        <w:trPr>
          <w:trHeight w:val="1134"/>
        </w:trPr>
        <w:tc>
          <w:tcPr>
            <w:tcW w:w="1846"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验收小组成员签字</w:t>
            </w:r>
            <w:r>
              <w:rPr>
                <w:rFonts w:hint="eastAsia" w:ascii="宋体" w:hAnsi="宋体" w:eastAsia="宋体" w:cs="宋体"/>
                <w:szCs w:val="21"/>
                <w:highlight w:val="none"/>
              </w:rPr>
            </w:r>
            <w:r/>
          </w:p>
        </w:tc>
        <w:tc>
          <w:tcPr>
            <w:gridSpan w:val="7"/>
            <w:tcW w:w="12600"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80"/>
        </w:trPr>
        <w:tc>
          <w:tcPr>
            <w:gridSpan w:val="4"/>
            <w:tcW w:w="7223"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采购代理机构意见</w:t>
            </w:r>
            <w:r>
              <w:rPr>
                <w:rFonts w:hint="eastAsia" w:ascii="宋体" w:hAnsi="宋体" w:eastAsia="宋体" w:cs="宋体"/>
                <w:szCs w:val="21"/>
                <w:highlight w:val="none"/>
              </w:rPr>
            </w:r>
            <w:r/>
          </w:p>
        </w:tc>
        <w:tc>
          <w:tcPr>
            <w:gridSpan w:val="4"/>
            <w:tcW w:w="7223" w:type="dxa"/>
            <w:vAlign w:val="center"/>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采购人意见</w:t>
            </w:r>
            <w:r>
              <w:rPr>
                <w:rFonts w:hint="eastAsia" w:ascii="宋体" w:hAnsi="宋体" w:eastAsia="宋体" w:cs="宋体"/>
                <w:szCs w:val="21"/>
                <w:highlight w:val="none"/>
              </w:rPr>
            </w:r>
            <w:r/>
          </w:p>
        </w:tc>
      </w:tr>
      <w:tr>
        <w:trPr>
          <w:trHeight w:val="1701"/>
        </w:trPr>
        <w:tc>
          <w:tcPr>
            <w:gridSpan w:val="4"/>
            <w:tcW w:w="7223" w:type="dxa"/>
            <w:vAlign w:val="bottom"/>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经办人：               负责人：              （采购代理机构公章）</w:t>
            </w:r>
            <w:r>
              <w:rPr>
                <w:rFonts w:hint="eastAsia" w:ascii="宋体" w:hAnsi="宋体" w:eastAsia="宋体" w:cs="宋体"/>
                <w:szCs w:val="21"/>
                <w:highlight w:val="none"/>
              </w:rPr>
            </w:r>
            <w:r/>
          </w:p>
        </w:tc>
        <w:tc>
          <w:tcPr>
            <w:gridSpan w:val="4"/>
            <w:tcW w:w="7223" w:type="dxa"/>
            <w:vAlign w:val="bottom"/>
            <w:textDirection w:val="lrTb"/>
            <w:noWrap w:val="false"/>
          </w:tcPr>
          <w:p>
            <w:pPr>
              <w:pStyle w:val="1073"/>
              <w:jc w:val="center"/>
              <w:rPr>
                <w:rFonts w:hint="eastAsia" w:ascii="宋体" w:hAnsi="宋体" w:eastAsia="宋体" w:cs="宋体"/>
                <w:szCs w:val="21"/>
                <w:highlight w:val="none"/>
              </w:rPr>
            </w:pPr>
            <w:r>
              <w:rPr>
                <w:rFonts w:hint="eastAsia" w:ascii="宋体" w:hAnsi="宋体" w:eastAsia="宋体" w:cs="宋体"/>
                <w:szCs w:val="21"/>
                <w:highlight w:val="none"/>
              </w:rPr>
              <w:t xml:space="preserve">经办人：               负责人：                  （采购人公章）</w:t>
            </w:r>
            <w:r>
              <w:rPr>
                <w:rFonts w:hint="eastAsia" w:ascii="宋体" w:hAnsi="宋体" w:eastAsia="宋体" w:cs="宋体"/>
                <w:szCs w:val="21"/>
                <w:highlight w:val="none"/>
              </w:rPr>
            </w:r>
            <w:r/>
          </w:p>
        </w:tc>
      </w:tr>
      <w:tr>
        <w:trPr>
          <w:trHeight w:val="1701"/>
        </w:trPr>
        <w:tc>
          <w:tcPr>
            <w:gridSpan w:val="8"/>
            <w:tcW w:w="14446" w:type="dxa"/>
            <w:vAlign w:val="center"/>
            <w:textDirection w:val="lrTb"/>
            <w:noWrap w:val="false"/>
          </w:tcPr>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供应商确认：</w:t>
            </w:r>
            <w:r>
              <w:rPr>
                <w:rFonts w:hint="eastAsia" w:ascii="宋体" w:hAnsi="宋体" w:eastAsia="宋体" w:cs="宋体"/>
                <w:szCs w:val="21"/>
                <w:highlight w:val="none"/>
              </w:rPr>
            </w:r>
            <w:r/>
          </w:p>
          <w:p>
            <w:pPr>
              <w:pStyle w:val="1109"/>
              <w:rPr>
                <w:rFonts w:hint="eastAsia"/>
                <w:highlight w:val="none"/>
              </w:rPr>
            </w:pPr>
            <w:r>
              <w:rPr>
                <w:rFonts w:hint="eastAsia"/>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r>
            <w:r/>
          </w:p>
          <w:p>
            <w:pPr>
              <w:pStyle w:val="1073"/>
              <w:rPr>
                <w:rFonts w:hint="eastAsia" w:ascii="宋体" w:hAnsi="宋体" w:eastAsia="宋体" w:cs="宋体"/>
                <w:szCs w:val="21"/>
                <w:highlight w:val="none"/>
              </w:rPr>
            </w:pPr>
            <w:r>
              <w:rPr>
                <w:rFonts w:hint="eastAsia" w:ascii="宋体" w:hAnsi="宋体" w:eastAsia="宋体" w:cs="宋体"/>
                <w:szCs w:val="21"/>
                <w:highlight w:val="none"/>
              </w:rPr>
              <w:t xml:space="preserve">（单位公章或授权代表签字）</w:t>
            </w:r>
            <w:r>
              <w:rPr>
                <w:rFonts w:hint="eastAsia" w:ascii="宋体" w:hAnsi="宋体" w:eastAsia="宋体" w:cs="宋体"/>
                <w:szCs w:val="21"/>
                <w:highlight w:val="none"/>
              </w:rPr>
            </w:r>
            <w:r/>
          </w:p>
        </w:tc>
      </w:tr>
    </w:tbl>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说明：1.该表为服务类项目履约验收的参考样表，采购人或采购代理机构可以根据工作实际进行调整。</w:t>
      </w:r>
      <w:r>
        <w:rPr>
          <w:rFonts w:hint="eastAsia" w:ascii="宋体" w:hAnsi="宋体" w:eastAsia="宋体" w:cs="宋体"/>
          <w:szCs w:val="21"/>
          <w:highlight w:val="none"/>
        </w:rPr>
      </w:r>
      <w:r/>
    </w:p>
    <w:p>
      <w:pPr>
        <w:pStyle w:val="107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2.未委托采购代理机构开展履约验收工作的，无需填写“采购代理机构意见”。</w:t>
      </w:r>
      <w:r>
        <w:rPr>
          <w:rFonts w:hint="eastAsia" w:ascii="宋体" w:hAnsi="宋体" w:eastAsia="宋体" w:cs="宋体"/>
          <w:szCs w:val="21"/>
          <w:highlight w:val="none"/>
        </w:rPr>
      </w:r>
      <w:r/>
    </w:p>
    <w:p>
      <w:pPr>
        <w:pStyle w:val="1073"/>
        <w:rPr>
          <w:rFonts w:hint="eastAsia"/>
          <w:highlight w:val="none"/>
        </w:rPr>
        <w:sectPr>
          <w:footnotePr/>
          <w:endnotePr/>
          <w:type w:val="nextPage"/>
          <w:pgSz w:w="16840" w:h="11907" w:orient="landscape"/>
          <w:pgMar w:top="1803" w:right="1440" w:bottom="1803" w:left="1440" w:header="851" w:footer="992" w:gutter="0"/>
          <w:cols w:num="1" w:sep="0" w:space="1701" w:equalWidth="1"/>
          <w:docGrid w:linePitch="360"/>
        </w:sectPr>
      </w:pPr>
      <w:r>
        <w:rPr>
          <w:rFonts w:hint="eastAsia"/>
          <w:highlight w:val="none"/>
        </w:rPr>
      </w:r>
      <w:r/>
    </w:p>
    <w:p>
      <w:pPr>
        <w:pStyle w:val="1109"/>
        <w:ind w:left="0"/>
        <w:rPr>
          <w:highlight w:val="none"/>
        </w:rPr>
      </w:pPr>
      <w:r>
        <w:rPr>
          <w:highlight w:val="none"/>
        </w:rPr>
      </w:r>
      <w:r/>
    </w:p>
    <w:p>
      <w:pPr>
        <w:pStyle w:val="1073"/>
        <w:jc w:val="center"/>
        <w:spacing w:line="360" w:lineRule="auto"/>
        <w:rPr>
          <w:rFonts w:ascii="宋体" w:hAnsi="宋体" w:eastAsia="宋体"/>
          <w:b/>
          <w:sz w:val="36"/>
          <w:szCs w:val="36"/>
          <w:highlight w:val="none"/>
        </w:rPr>
        <w:outlineLvl w:val="0"/>
      </w:pPr>
      <w:r>
        <w:rPr>
          <w:rFonts w:ascii="宋体" w:hAnsi="宋体" w:eastAsia="宋体"/>
          <w:b/>
          <w:sz w:val="36"/>
          <w:szCs w:val="36"/>
          <w:highlight w:val="none"/>
        </w:rPr>
        <w:t xml:space="preserve">第七章   投标文件格式</w:t>
      </w:r>
      <w:bookmarkEnd w:id="827"/>
      <w:r/>
      <w:bookmarkEnd w:id="828"/>
      <w:r>
        <w:rPr>
          <w:rFonts w:ascii="宋体" w:hAnsi="宋体" w:eastAsia="宋体"/>
          <w:b/>
          <w:sz w:val="36"/>
          <w:szCs w:val="36"/>
          <w:highlight w:val="none"/>
        </w:rPr>
      </w:r>
      <w:r/>
    </w:p>
    <w:p>
      <w:pPr>
        <w:pStyle w:val="1073"/>
        <w:ind w:left="142"/>
        <w:spacing w:line="360" w:lineRule="auto"/>
        <w:tabs>
          <w:tab w:val="left" w:pos="900" w:leader="none"/>
          <w:tab w:val="left" w:pos="1980" w:leader="none"/>
        </w:tabs>
        <w:rPr>
          <w:rFonts w:ascii="宋体" w:hAnsi="宋体" w:eastAsia="宋体"/>
          <w:sz w:val="24"/>
          <w:highlight w:val="none"/>
        </w:rPr>
      </w:pPr>
      <w:r>
        <w:rPr>
          <w:rFonts w:ascii="宋体" w:hAnsi="宋体" w:eastAsia="宋体"/>
          <w:b/>
          <w:sz w:val="24"/>
          <w:highlight w:val="none"/>
        </w:rPr>
        <w:t xml:space="preserve">投标人编制文件须知</w:t>
      </w:r>
      <w:r>
        <w:rPr>
          <w:rFonts w:ascii="宋体" w:hAnsi="宋体" w:eastAsia="宋体"/>
          <w:sz w:val="24"/>
          <w:highlight w:val="none"/>
        </w:rPr>
      </w:r>
      <w:r/>
    </w:p>
    <w:p>
      <w:pPr>
        <w:pStyle w:val="1073"/>
        <w:ind w:firstLine="480"/>
        <w:spacing w:line="360" w:lineRule="auto"/>
        <w:tabs>
          <w:tab w:val="left" w:pos="900" w:leader="none"/>
          <w:tab w:val="left" w:pos="1980" w:leader="none"/>
        </w:tabs>
        <w:rPr>
          <w:rFonts w:ascii="宋体" w:hAnsi="宋体" w:eastAsia="宋体"/>
          <w:sz w:val="24"/>
          <w:highlight w:val="none"/>
        </w:rPr>
      </w:pPr>
      <w:r>
        <w:rPr>
          <w:rFonts w:ascii="宋体" w:hAnsi="宋体" w:eastAsia="宋体"/>
          <w:sz w:val="24"/>
          <w:highlight w:val="none"/>
        </w:rPr>
        <w:t xml:space="preserve">1、投标人按照本部分的顺序编制投标文件（资格</w:t>
      </w:r>
      <w:r>
        <w:rPr>
          <w:rFonts w:hint="eastAsia" w:ascii="宋体" w:hAnsi="宋体" w:eastAsia="宋体"/>
          <w:sz w:val="24"/>
          <w:highlight w:val="none"/>
        </w:rPr>
        <w:t xml:space="preserve">、符合</w:t>
      </w:r>
      <w:r>
        <w:rPr>
          <w:rFonts w:ascii="宋体" w:hAnsi="宋体" w:eastAsia="宋体"/>
          <w:sz w:val="24"/>
          <w:highlight w:val="none"/>
        </w:rPr>
        <w:t xml:space="preserve">证明文件）、投标文件（商务技术文件），编制中涉及格式资料的，应按照本部分提供的内容和格式（所有表格的格式可扩展）填写提交。</w:t>
      </w:r>
      <w:r>
        <w:rPr>
          <w:rFonts w:ascii="宋体" w:hAnsi="宋体" w:eastAsia="宋体"/>
          <w:sz w:val="24"/>
          <w:highlight w:val="none"/>
        </w:rPr>
      </w:r>
      <w:r/>
    </w:p>
    <w:p>
      <w:pPr>
        <w:pStyle w:val="1073"/>
        <w:ind w:firstLine="480"/>
        <w:spacing w:line="360" w:lineRule="auto"/>
        <w:tabs>
          <w:tab w:val="left" w:pos="900" w:leader="none"/>
          <w:tab w:val="left" w:pos="1980" w:leader="none"/>
        </w:tabs>
        <w:rPr>
          <w:rFonts w:ascii="宋体" w:hAnsi="宋体" w:eastAsia="宋体"/>
          <w:sz w:val="24"/>
          <w:highlight w:val="none"/>
        </w:rPr>
      </w:pPr>
      <w:r>
        <w:rPr>
          <w:rFonts w:hint="eastAsia" w:ascii="宋体" w:hAnsi="宋体" w:eastAsia="宋体"/>
          <w:sz w:val="24"/>
          <w:highlight w:val="none"/>
        </w:rPr>
        <w:t xml:space="preserve">2、本章所附的投标文件格式仅供投标人编制投标文件时作为样式参考。投标文件的具体组成内容、编排顺序及格式要求，以“苏采云”系统提供的电子投标文件格式编制要求为准</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"http://www.ccgp-jiangsu.gov.cn/fileApi/320000/2e78791547c64be9b1addbe330049b5b.doc" \l "6#3" \t "https://chat.deepseek.com/a/chat/s/_blank" </w:instrText>
      </w:r>
      <w:r>
        <w:rPr>
          <w:rFonts w:hint="eastAsia" w:ascii="宋体" w:hAnsi="宋体" w:eastAsia="宋体"/>
          <w:sz w:val="24"/>
          <w:highlight w:val="none"/>
        </w:rPr>
        <w:fldChar w:fldCharType="separate"/>
      </w:r>
      <w:r>
        <w:rPr>
          <w:rFonts w:hint="eastAsia" w:ascii="宋体" w:hAnsi="宋体" w:eastAsia="宋体"/>
          <w:sz w:val="24"/>
          <w:highlight w:val="none"/>
        </w:rPr>
        <w:fldChar w:fldCharType="end"/>
      </w:r>
      <w:r>
        <w:rPr>
          <w:rFonts w:hint="eastAsia" w:ascii="宋体" w:hAnsi="宋体" w:eastAsia="宋体"/>
          <w:sz w:val="24"/>
          <w:highlight w:val="none"/>
        </w:rPr>
        <w:t xml:space="preserve">。投标人应通过“苏采云”系统下载采购文件，导入政府采购客户端工具后，按照系统提示的流程及格式编制投标文件。</w:t>
      </w:r>
      <w:r>
        <w:rPr>
          <w:rFonts w:ascii="宋体" w:hAnsi="宋体" w:eastAsia="宋体"/>
          <w:sz w:val="24"/>
          <w:highlight w:val="none"/>
        </w:rPr>
        <w:t xml:space="preserve">对于招标文件中标记了“实质性格式”文件的，</w:t>
      </w:r>
      <w:r>
        <w:rPr>
          <w:rFonts w:ascii="宋体" w:hAnsi="宋体" w:eastAsia="宋体"/>
          <w:sz w:val="24"/>
          <w:highlight w:val="none"/>
        </w:rPr>
        <w:t xml:space="preserve">投标人不得改变格式中给定的文字所表达的含义，不得删减格式中的实质性内容，不得自行添加与格式中给定的文字内容相矛盾的内容，不得对应当填写的空格不填写</w:t>
      </w:r>
      <w:r>
        <w:rPr>
          <w:rFonts w:hint="eastAsia" w:ascii="宋体" w:hAnsi="宋体" w:eastAsia="宋体"/>
          <w:sz w:val="24"/>
          <w:highlight w:val="none"/>
        </w:rPr>
        <w:t xml:space="preserve">（有说明的除外）</w:t>
      </w:r>
      <w:r>
        <w:rPr>
          <w:rFonts w:ascii="宋体" w:hAnsi="宋体" w:eastAsia="宋体"/>
          <w:sz w:val="24"/>
          <w:highlight w:val="none"/>
        </w:rPr>
        <w:t xml:space="preserve">或不实质性响应，</w:t>
      </w:r>
      <w:r>
        <w:rPr>
          <w:rFonts w:ascii="宋体" w:hAnsi="宋体" w:eastAsia="宋体"/>
          <w:sz w:val="24"/>
          <w:highlight w:val="none"/>
        </w:rPr>
        <w:t xml:space="preserve">否则</w:t>
      </w:r>
      <w:r>
        <w:rPr>
          <w:rFonts w:ascii="宋体" w:hAnsi="宋体" w:eastAsia="宋体"/>
          <w:b/>
          <w:sz w:val="24"/>
          <w:highlight w:val="none"/>
        </w:rPr>
        <w:t xml:space="preserve">投标无效</w:t>
      </w:r>
      <w:r>
        <w:rPr>
          <w:rFonts w:ascii="宋体" w:hAnsi="宋体" w:eastAsia="宋体"/>
          <w:sz w:val="24"/>
          <w:highlight w:val="none"/>
        </w:rPr>
        <w:t xml:space="preserve">。未标记“实质性格式”的文件和招标文件未提供格式的内容，可由投标人自行编写。</w:t>
      </w:r>
      <w:r>
        <w:rPr>
          <w:rFonts w:ascii="宋体" w:hAnsi="宋体" w:eastAsia="宋体"/>
          <w:sz w:val="24"/>
          <w:highlight w:val="none"/>
        </w:rPr>
      </w:r>
      <w:r/>
    </w:p>
    <w:p>
      <w:pPr>
        <w:pStyle w:val="1073"/>
        <w:ind w:firstLine="480"/>
        <w:spacing w:line="360" w:lineRule="auto"/>
        <w:tabs>
          <w:tab w:val="left" w:pos="900" w:leader="none"/>
          <w:tab w:val="left" w:pos="1980" w:leader="none"/>
        </w:tabs>
        <w:rPr>
          <w:rFonts w:ascii="宋体" w:hAnsi="宋体" w:eastAsia="宋体"/>
          <w:sz w:val="24"/>
          <w:highlight w:val="none"/>
        </w:rPr>
      </w:pPr>
      <w:r>
        <w:rPr>
          <w:rFonts w:hint="eastAsia" w:ascii="宋体" w:hAnsi="宋体" w:eastAsia="宋体"/>
          <w:sz w:val="24"/>
          <w:highlight w:val="none"/>
        </w:rPr>
        <w:t xml:space="preserve">3</w:t>
      </w:r>
      <w:r>
        <w:rPr>
          <w:rFonts w:ascii="宋体" w:hAnsi="宋体" w:eastAsia="宋体"/>
          <w:sz w:val="24"/>
          <w:highlight w:val="none"/>
        </w:rPr>
        <w:t xml:space="preserve">、全部声明和问题的回答及所附材料必须是真实的、准确的和完整的。</w:t>
      </w:r>
      <w:r>
        <w:rPr>
          <w:rFonts w:ascii="宋体" w:hAnsi="宋体" w:eastAsia="宋体"/>
          <w:sz w:val="24"/>
          <w:highlight w:val="none"/>
        </w:rPr>
      </w:r>
      <w:r/>
    </w:p>
    <w:p>
      <w:pPr>
        <w:pStyle w:val="1073"/>
        <w:jc w:val="left"/>
        <w:widowControl/>
        <w:rPr>
          <w:rFonts w:ascii="宋体" w:hAnsi="宋体" w:eastAsia="宋体"/>
          <w:b/>
          <w:sz w:val="24"/>
          <w:highlight w:val="none"/>
        </w:rPr>
      </w:pPr>
      <w:r>
        <w:rPr>
          <w:rFonts w:ascii="宋体" w:hAnsi="宋体" w:eastAsia="宋体"/>
          <w:sz w:val="24"/>
          <w:highlight w:val="none"/>
        </w:rPr>
        <w:br w:type="page" w:clear="all"/>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Start w:id="829" w:name="OLE_LINK10"/>
      <w:r>
        <w:rPr>
          <w:rFonts w:ascii="宋体" w:hAnsi="宋体" w:eastAsia="宋体"/>
          <w:b/>
          <w:spacing w:val="20"/>
          <w:sz w:val="24"/>
          <w:highlight w:val="none"/>
        </w:rPr>
        <w:t xml:space="preserve">封面：</w:t>
      </w:r>
      <w:r>
        <w:rPr>
          <w:rFonts w:ascii="宋体" w:hAnsi="宋体" w:eastAsia="宋体"/>
          <w:b/>
          <w:sz w:val="24"/>
          <w:highlight w:val="none"/>
        </w:rPr>
      </w:r>
      <w:r/>
    </w:p>
    <w:p>
      <w:pPr>
        <w:pStyle w:val="1073"/>
        <w:jc w:val="center"/>
        <w:rPr>
          <w:rFonts w:ascii="宋体" w:hAnsi="宋体" w:eastAsia="宋体"/>
          <w:szCs w:val="21"/>
          <w:highlight w:val="none"/>
        </w:rPr>
      </w:pPr>
      <w:r>
        <w:rPr>
          <w:rFonts w:ascii="宋体" w:hAnsi="宋体" w:eastAsia="宋体"/>
          <w:szCs w:val="21"/>
          <w:highlight w:val="none"/>
        </w:rPr>
      </w:r>
      <w:r/>
    </w:p>
    <w:p>
      <w:pPr>
        <w:pStyle w:val="1073"/>
        <w:jc w:val="center"/>
        <w:rPr>
          <w:rFonts w:hint="eastAsia" w:ascii="宋体" w:hAnsi="宋体" w:eastAsia="宋体"/>
          <w:b/>
          <w:spacing w:val="60"/>
          <w:sz w:val="84"/>
          <w:szCs w:val="84"/>
          <w:highlight w:val="none"/>
        </w:rPr>
      </w:pPr>
      <w:r>
        <w:rPr>
          <w:rFonts w:hint="eastAsia" w:ascii="宋体" w:hAnsi="宋体" w:eastAsia="宋体"/>
          <w:b/>
          <w:spacing w:val="60"/>
          <w:sz w:val="84"/>
          <w:szCs w:val="84"/>
          <w:highlight w:val="none"/>
        </w:rPr>
      </w:r>
      <w:r/>
    </w:p>
    <w:p>
      <w:pPr>
        <w:pStyle w:val="1073"/>
        <w:jc w:val="center"/>
        <w:rPr>
          <w:rFonts w:ascii="宋体" w:hAnsi="宋体" w:eastAsia="宋体"/>
          <w:b/>
          <w:spacing w:val="60"/>
          <w:sz w:val="84"/>
          <w:szCs w:val="84"/>
          <w:highlight w:val="none"/>
        </w:rPr>
      </w:pPr>
      <w:r>
        <w:rPr>
          <w:rFonts w:ascii="宋体" w:hAnsi="宋体" w:eastAsia="宋体"/>
          <w:b/>
          <w:spacing w:val="60"/>
          <w:sz w:val="84"/>
          <w:szCs w:val="84"/>
          <w:highlight w:val="none"/>
        </w:rPr>
        <w:t xml:space="preserve">投 标 文 件</w:t>
      </w:r>
      <w:r>
        <w:rPr>
          <w:rFonts w:ascii="宋体" w:hAnsi="宋体" w:eastAsia="宋体"/>
          <w:b/>
          <w:spacing w:val="60"/>
          <w:sz w:val="84"/>
          <w:szCs w:val="84"/>
          <w:highlight w:val="none"/>
        </w:rPr>
      </w:r>
      <w:r/>
    </w:p>
    <w:p>
      <w:pPr>
        <w:pStyle w:val="1073"/>
        <w:jc w:val="center"/>
        <w:rPr>
          <w:rFonts w:ascii="宋体" w:hAnsi="宋体" w:eastAsia="宋体"/>
          <w:b/>
          <w:spacing w:val="60"/>
          <w:sz w:val="52"/>
          <w:szCs w:val="52"/>
          <w:highlight w:val="none"/>
        </w:rPr>
      </w:pPr>
      <w:r>
        <w:rPr>
          <w:rFonts w:ascii="宋体" w:hAnsi="宋体" w:eastAsia="宋体"/>
          <w:b/>
          <w:spacing w:val="60"/>
          <w:sz w:val="52"/>
          <w:szCs w:val="52"/>
          <w:highlight w:val="none"/>
        </w:rPr>
      </w:r>
      <w:r/>
    </w:p>
    <w:p>
      <w:pPr>
        <w:pStyle w:val="1073"/>
        <w:ind w:firstLine="542"/>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3"/>
        <w:ind w:firstLine="542"/>
        <w:spacing w:line="360" w:lineRule="auto"/>
        <w:rPr>
          <w:rFonts w:hint="eastAsia" w:ascii="宋体" w:hAnsi="宋体" w:eastAsia="宋体"/>
          <w:b/>
          <w:spacing w:val="20"/>
          <w:sz w:val="32"/>
          <w:szCs w:val="32"/>
          <w:highlight w:val="none"/>
        </w:rPr>
      </w:pPr>
      <w:r>
        <w:rPr>
          <w:rFonts w:hint="eastAsia" w:ascii="宋体" w:hAnsi="宋体" w:eastAsia="宋体"/>
          <w:b/>
          <w:spacing w:val="20"/>
          <w:sz w:val="32"/>
          <w:szCs w:val="32"/>
          <w:highlight w:val="none"/>
        </w:rPr>
      </w:r>
      <w:r/>
    </w:p>
    <w:p>
      <w:pPr>
        <w:pStyle w:val="1073"/>
        <w:ind w:firstLine="542"/>
        <w:spacing w:line="360" w:lineRule="auto"/>
        <w:rPr>
          <w:rFonts w:hint="eastAsia" w:ascii="宋体" w:hAnsi="宋体" w:eastAsia="宋体"/>
          <w:b/>
          <w:spacing w:val="20"/>
          <w:sz w:val="32"/>
          <w:szCs w:val="32"/>
          <w:highlight w:val="none"/>
        </w:rPr>
      </w:pPr>
      <w:r>
        <w:rPr>
          <w:rFonts w:hint="eastAsia" w:ascii="宋体" w:hAnsi="宋体" w:eastAsia="宋体"/>
          <w:b/>
          <w:spacing w:val="20"/>
          <w:sz w:val="32"/>
          <w:szCs w:val="32"/>
          <w:highlight w:val="none"/>
        </w:rPr>
      </w:r>
      <w:r/>
    </w:p>
    <w:p>
      <w:pPr>
        <w:pStyle w:val="1073"/>
        <w:ind w:firstLine="723"/>
        <w:spacing w:line="360" w:lineRule="auto"/>
        <w:rPr>
          <w:rFonts w:ascii="宋体" w:hAnsi="宋体" w:eastAsia="宋体"/>
          <w:b/>
          <w:spacing w:val="20"/>
          <w:sz w:val="32"/>
          <w:szCs w:val="32"/>
          <w:highlight w:val="none"/>
        </w:rPr>
      </w:pPr>
      <w:r>
        <w:rPr>
          <w:rFonts w:hint="eastAsia" w:ascii="宋体" w:hAnsi="宋体" w:eastAsia="宋体"/>
          <w:b/>
          <w:spacing w:val="20"/>
          <w:sz w:val="32"/>
          <w:szCs w:val="32"/>
          <w:highlight w:val="none"/>
        </w:rPr>
        <w:t xml:space="preserve">采购单位：</w:t>
      </w:r>
      <w:r>
        <w:rPr>
          <w:rFonts w:ascii="宋体" w:hAnsi="宋体" w:eastAsia="宋体"/>
          <w:b/>
          <w:spacing w:val="20"/>
          <w:sz w:val="32"/>
          <w:szCs w:val="32"/>
          <w:highlight w:val="none"/>
        </w:rPr>
      </w:r>
      <w:r/>
    </w:p>
    <w:p>
      <w:pPr>
        <w:pStyle w:val="1073"/>
        <w:ind w:firstLine="723"/>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t xml:space="preserve">项目名称：</w:t>
      </w:r>
      <w:r>
        <w:rPr>
          <w:rFonts w:ascii="宋体" w:hAnsi="宋体" w:eastAsia="宋体"/>
          <w:b/>
          <w:spacing w:val="20"/>
          <w:sz w:val="32"/>
          <w:szCs w:val="32"/>
          <w:highlight w:val="none"/>
        </w:rPr>
      </w:r>
      <w:r/>
    </w:p>
    <w:p>
      <w:pPr>
        <w:pStyle w:val="1073"/>
        <w:ind w:firstLine="723"/>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t xml:space="preserve">项目编号：</w:t>
      </w:r>
      <w:r>
        <w:rPr>
          <w:rFonts w:ascii="宋体" w:hAnsi="宋体" w:eastAsia="宋体"/>
          <w:b/>
          <w:spacing w:val="20"/>
          <w:sz w:val="32"/>
          <w:szCs w:val="32"/>
          <w:highlight w:val="none"/>
        </w:rPr>
      </w:r>
      <w:r/>
    </w:p>
    <w:p>
      <w:pPr>
        <w:pStyle w:val="1073"/>
        <w:ind w:firstLine="542"/>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3"/>
        <w:ind w:firstLine="542"/>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3"/>
        <w:jc w:val="center"/>
        <w:rPr>
          <w:rFonts w:ascii="宋体" w:hAnsi="宋体" w:eastAsia="宋体"/>
          <w:b/>
          <w:sz w:val="32"/>
          <w:szCs w:val="32"/>
          <w:highlight w:val="none"/>
        </w:rPr>
      </w:pPr>
      <w:r>
        <w:rPr>
          <w:rFonts w:ascii="宋体" w:hAnsi="宋体" w:eastAsia="宋体"/>
          <w:b/>
          <w:sz w:val="32"/>
          <w:szCs w:val="32"/>
          <w:highlight w:val="none"/>
        </w:rPr>
      </w:r>
      <w:r/>
    </w:p>
    <w:p>
      <w:pPr>
        <w:pStyle w:val="1073"/>
        <w:jc w:val="center"/>
        <w:rPr>
          <w:rFonts w:ascii="宋体" w:hAnsi="宋体" w:eastAsia="宋体"/>
          <w:b/>
          <w:spacing w:val="20"/>
          <w:sz w:val="32"/>
          <w:szCs w:val="32"/>
          <w:highlight w:val="none"/>
        </w:rPr>
      </w:pPr>
      <w:r>
        <w:rPr>
          <w:rFonts w:ascii="宋体" w:hAnsi="宋体" w:eastAsia="宋体"/>
          <w:b/>
          <w:spacing w:val="20"/>
          <w:sz w:val="32"/>
          <w:szCs w:val="32"/>
          <w:highlight w:val="none"/>
        </w:rPr>
      </w:r>
      <w:r/>
    </w:p>
    <w:p>
      <w:pPr>
        <w:pStyle w:val="1073"/>
        <w:ind w:firstLine="723"/>
        <w:jc w:val="left"/>
        <w:spacing w:line="360" w:lineRule="auto"/>
        <w:rPr>
          <w:rFonts w:hint="eastAsia" w:ascii="宋体" w:hAnsi="宋体" w:eastAsia="宋体"/>
          <w:b/>
          <w:spacing w:val="20"/>
          <w:sz w:val="32"/>
          <w:szCs w:val="32"/>
          <w:highlight w:val="none"/>
        </w:rPr>
      </w:pPr>
      <w:r>
        <w:rPr>
          <w:rFonts w:ascii="宋体" w:hAnsi="宋体" w:eastAsia="宋体"/>
          <w:b/>
          <w:spacing w:val="20"/>
          <w:sz w:val="32"/>
          <w:szCs w:val="32"/>
          <w:highlight w:val="none"/>
        </w:rPr>
        <w:t xml:space="preserve">投标人名称：</w:t>
      </w:r>
      <w:r>
        <w:rPr>
          <w:rFonts w:hint="eastAsia" w:ascii="宋体" w:hAnsi="宋体" w:eastAsia="宋体"/>
          <w:b/>
          <w:spacing w:val="20"/>
          <w:sz w:val="32"/>
          <w:szCs w:val="32"/>
          <w:highlight w:val="none"/>
        </w:rPr>
      </w:r>
      <w:r/>
    </w:p>
    <w:p>
      <w:pPr>
        <w:pStyle w:val="1073"/>
        <w:ind w:firstLine="723"/>
        <w:jc w:val="left"/>
        <w:spacing w:line="360" w:lineRule="auto"/>
        <w:rPr>
          <w:rFonts w:hint="eastAsia" w:ascii="宋体" w:hAnsi="宋体" w:eastAsia="宋体"/>
          <w:b/>
          <w:spacing w:val="20"/>
          <w:sz w:val="32"/>
          <w:szCs w:val="32"/>
          <w:highlight w:val="none"/>
        </w:rPr>
      </w:pPr>
      <w:r>
        <w:rPr>
          <w:rFonts w:hint="eastAsia" w:ascii="宋体" w:hAnsi="宋体" w:eastAsia="宋体"/>
          <w:b/>
          <w:spacing w:val="20"/>
          <w:sz w:val="32"/>
          <w:szCs w:val="32"/>
          <w:highlight w:val="none"/>
        </w:rPr>
        <w:t xml:space="preserve">法定代表人或其委托代理人：</w:t>
      </w:r>
      <w:r>
        <w:rPr>
          <w:rFonts w:hint="eastAsia" w:ascii="宋体" w:hAnsi="宋体" w:eastAsia="宋体"/>
          <w:b/>
          <w:spacing w:val="20"/>
          <w:sz w:val="32"/>
          <w:szCs w:val="32"/>
          <w:highlight w:val="none"/>
        </w:rPr>
      </w:r>
      <w:r/>
    </w:p>
    <w:p>
      <w:pPr>
        <w:pStyle w:val="1073"/>
        <w:ind w:firstLine="723"/>
        <w:jc w:val="left"/>
        <w:spacing w:line="360" w:lineRule="auto"/>
        <w:rPr>
          <w:rFonts w:ascii="宋体" w:hAnsi="宋体" w:eastAsia="宋体"/>
          <w:b/>
          <w:spacing w:val="20"/>
          <w:sz w:val="32"/>
          <w:szCs w:val="32"/>
          <w:highlight w:val="none"/>
        </w:rPr>
      </w:pPr>
      <w:r>
        <w:rPr>
          <w:rFonts w:ascii="宋体" w:hAnsi="宋体" w:eastAsia="宋体"/>
          <w:b/>
          <w:spacing w:val="20"/>
          <w:sz w:val="32"/>
          <w:szCs w:val="32"/>
          <w:highlight w:val="none"/>
        </w:rPr>
        <w:t xml:space="preserve">日期：</w:t>
      </w:r>
      <w:r>
        <w:rPr>
          <w:rFonts w:hint="eastAsia" w:ascii="宋体" w:hAnsi="宋体" w:eastAsia="宋体"/>
          <w:b/>
          <w:spacing w:val="20"/>
          <w:sz w:val="32"/>
          <w:szCs w:val="32"/>
          <w:highlight w:val="none"/>
        </w:rPr>
        <w:t xml:space="preserve">   </w:t>
      </w:r>
      <w:r>
        <w:rPr>
          <w:rFonts w:ascii="宋体" w:hAnsi="宋体" w:eastAsia="宋体"/>
          <w:b/>
          <w:spacing w:val="20"/>
          <w:sz w:val="32"/>
          <w:szCs w:val="32"/>
          <w:highlight w:val="none"/>
        </w:rPr>
        <w:t xml:space="preserve">年</w:t>
      </w:r>
      <w:r>
        <w:rPr>
          <w:rFonts w:hint="eastAsia" w:ascii="宋体" w:hAnsi="宋体" w:eastAsia="宋体"/>
          <w:b/>
          <w:spacing w:val="20"/>
          <w:sz w:val="32"/>
          <w:szCs w:val="32"/>
          <w:highlight w:val="none"/>
        </w:rPr>
        <w:t xml:space="preserve">   </w:t>
      </w:r>
      <w:r>
        <w:rPr>
          <w:rFonts w:ascii="宋体" w:hAnsi="宋体" w:eastAsia="宋体"/>
          <w:b/>
          <w:spacing w:val="20"/>
          <w:sz w:val="32"/>
          <w:szCs w:val="32"/>
          <w:highlight w:val="none"/>
        </w:rPr>
        <w:t xml:space="preserve">月</w:t>
      </w:r>
      <w:r>
        <w:rPr>
          <w:rFonts w:hint="eastAsia" w:ascii="宋体" w:hAnsi="宋体" w:eastAsia="宋体"/>
          <w:b/>
          <w:spacing w:val="20"/>
          <w:sz w:val="32"/>
          <w:szCs w:val="32"/>
          <w:highlight w:val="none"/>
        </w:rPr>
        <w:t xml:space="preserve">   日</w:t>
      </w:r>
      <w:r>
        <w:rPr>
          <w:rFonts w:ascii="宋体" w:hAnsi="宋体" w:eastAsia="宋体"/>
          <w:b/>
          <w:spacing w:val="20"/>
          <w:sz w:val="32"/>
          <w:szCs w:val="32"/>
          <w:highlight w:val="none"/>
        </w:rPr>
      </w:r>
      <w:r/>
    </w:p>
    <w:p>
      <w:pPr>
        <w:pStyle w:val="1073"/>
        <w:rPr>
          <w:rFonts w:ascii="宋体" w:hAnsi="宋体" w:eastAsia="宋体"/>
          <w:sz w:val="24"/>
          <w:szCs w:val="20"/>
          <w:highlight w:val="none"/>
        </w:rPr>
      </w:pPr>
      <w:r/>
      <w:bookmarkEnd w:id="829"/>
      <w:r>
        <w:rPr>
          <w:rFonts w:ascii="宋体" w:hAnsi="宋体" w:eastAsia="宋体"/>
          <w:b/>
          <w:spacing w:val="20"/>
          <w:sz w:val="32"/>
          <w:szCs w:val="32"/>
          <w:highlight w:val="none"/>
        </w:rPr>
        <w:br w:type="page" w:clear="all"/>
      </w:r>
      <w:r>
        <w:rPr>
          <w:rFonts w:ascii="宋体" w:hAnsi="宋体" w:eastAsia="宋体"/>
          <w:sz w:val="24"/>
          <w:szCs w:val="20"/>
          <w:highlight w:val="none"/>
        </w:rPr>
        <w:t xml:space="preserve">1 </w:t>
      </w:r>
      <w:r>
        <w:rPr>
          <w:rFonts w:ascii="宋体" w:hAnsi="宋体" w:eastAsia="宋体"/>
          <w:sz w:val="24"/>
          <w:highlight w:val="none"/>
        </w:rPr>
        <w:t xml:space="preserve">满足《中华人民共和国政府采购法》第二十二条规定及法律法规的其他规定</w:t>
      </w:r>
      <w:r>
        <w:rPr>
          <w:rFonts w:ascii="宋体" w:hAnsi="宋体" w:eastAsia="宋体"/>
          <w:sz w:val="24"/>
          <w:szCs w:val="20"/>
          <w:highlight w:val="none"/>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t xml:space="preserve">1-1营业执照等证明文件</w:t>
      </w:r>
      <w:r>
        <w:rPr>
          <w:rFonts w:ascii="宋体" w:hAnsi="宋体" w:eastAsia="宋体"/>
          <w:sz w:val="24"/>
          <w:szCs w:val="20"/>
          <w:highlight w:val="none"/>
        </w:rPr>
      </w:r>
      <w:r/>
    </w:p>
    <w:p>
      <w:pPr>
        <w:pStyle w:val="1073"/>
        <w:tabs>
          <w:tab w:val="left" w:pos="1080" w:leader="none"/>
        </w:tabs>
        <w:rPr>
          <w:rFonts w:ascii="宋体" w:hAnsi="宋体" w:eastAsia="宋体"/>
          <w:sz w:val="24"/>
          <w:highlight w:val="none"/>
        </w:rPr>
      </w:pPr>
      <w:r>
        <w:rPr>
          <w:rFonts w:ascii="宋体" w:hAnsi="宋体" w:eastAsia="宋体"/>
          <w:sz w:val="24"/>
          <w:highlight w:val="none"/>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t xml:space="preserve">1-2投标人资格声明书</w:t>
      </w:r>
      <w:r>
        <w:rPr>
          <w:rFonts w:ascii="宋体" w:hAnsi="宋体" w:eastAsia="宋体"/>
          <w:sz w:val="24"/>
          <w:szCs w:val="20"/>
          <w:highlight w:val="none"/>
        </w:rPr>
      </w:r>
      <w:r/>
    </w:p>
    <w:p>
      <w:pPr>
        <w:pStyle w:val="1073"/>
        <w:jc w:val="center"/>
        <w:rPr>
          <w:rFonts w:ascii="宋体" w:hAnsi="宋体" w:eastAsia="宋体"/>
          <w:b/>
          <w:sz w:val="36"/>
          <w:szCs w:val="36"/>
          <w:highlight w:val="none"/>
        </w:rPr>
      </w:pPr>
      <w:r/>
      <w:bookmarkStart w:id="830" w:name="OLE_LINK3"/>
      <w:r/>
      <w:bookmarkStart w:id="831" w:name="OLE_LINK13"/>
      <w:r>
        <w:rPr>
          <w:rFonts w:hint="eastAsia" w:ascii="宋体" w:hAnsi="宋体" w:eastAsia="宋体"/>
          <w:b/>
          <w:sz w:val="36"/>
          <w:szCs w:val="36"/>
          <w:highlight w:val="none"/>
        </w:rPr>
        <w:t xml:space="preserve">投标人资格声明书</w:t>
      </w:r>
      <w:r>
        <w:rPr>
          <w:rFonts w:ascii="宋体" w:hAnsi="宋体" w:eastAsia="宋体"/>
          <w:b/>
          <w:sz w:val="36"/>
          <w:szCs w:val="36"/>
          <w:highlight w:val="none"/>
        </w:rPr>
      </w:r>
      <w:r/>
    </w:p>
    <w:p>
      <w:pPr>
        <w:pStyle w:val="1073"/>
        <w:spacing w:line="360" w:lineRule="auto"/>
        <w:tabs>
          <w:tab w:val="left" w:pos="5580" w:leader="none"/>
        </w:tabs>
        <w:rPr>
          <w:rFonts w:ascii="宋体" w:hAnsi="宋体" w:eastAsia="宋体"/>
          <w:sz w:val="24"/>
          <w:highlight w:val="none"/>
        </w:rPr>
      </w:pPr>
      <w:r/>
      <w:bookmarkEnd w:id="830"/>
      <w:r>
        <w:rPr>
          <w:rFonts w:ascii="宋体" w:hAnsi="宋体" w:eastAsia="宋体"/>
          <w:sz w:val="24"/>
          <w:highlight w:val="none"/>
        </w:rPr>
      </w:r>
      <w:r/>
    </w:p>
    <w:p>
      <w:pPr>
        <w:pStyle w:val="1073"/>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致：</w:t>
      </w:r>
      <w:r>
        <w:rPr>
          <w:rFonts w:ascii="宋体" w:hAnsi="宋体" w:eastAsia="宋体"/>
          <w:szCs w:val="21"/>
          <w:highlight w:val="none"/>
          <w:u w:val="single"/>
        </w:rPr>
        <w:t xml:space="preserve">采购人或采购代理机构</w:t>
      </w:r>
      <w:r>
        <w:rPr>
          <w:rFonts w:ascii="宋体" w:hAnsi="宋体" w:eastAsia="宋体"/>
          <w:szCs w:val="21"/>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t xml:space="preserve">在参与本次项目投标中，我单位承诺：</w:t>
      </w:r>
      <w:r>
        <w:rPr>
          <w:rFonts w:ascii="宋体" w:hAnsi="宋体" w:eastAsia="宋体"/>
          <w:szCs w:val="21"/>
          <w:highlight w:val="none"/>
        </w:rPr>
      </w:r>
      <w:r/>
    </w:p>
    <w:p>
      <w:pPr>
        <w:pStyle w:val="1073"/>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具有良好的商业信誉和健全的财务会计制度；</w:t>
      </w:r>
      <w:r>
        <w:rPr>
          <w:rFonts w:ascii="宋体" w:hAnsi="宋体" w:eastAsia="宋体"/>
          <w:szCs w:val="21"/>
          <w:highlight w:val="none"/>
        </w:rPr>
      </w:r>
      <w:r/>
    </w:p>
    <w:p>
      <w:pPr>
        <w:pStyle w:val="1073"/>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具有履行合同所必需的设备和专业技术能力；</w:t>
      </w:r>
      <w:r>
        <w:rPr>
          <w:rFonts w:ascii="宋体" w:hAnsi="宋体" w:eastAsia="宋体"/>
          <w:szCs w:val="21"/>
          <w:highlight w:val="none"/>
        </w:rPr>
      </w:r>
      <w:r/>
    </w:p>
    <w:p>
      <w:pPr>
        <w:pStyle w:val="1073"/>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有依法缴纳税收和社会保障资金的良好记录；</w:t>
      </w:r>
      <w:r>
        <w:rPr>
          <w:rFonts w:ascii="宋体" w:hAnsi="宋体" w:eastAsia="宋体"/>
          <w:szCs w:val="21"/>
          <w:highlight w:val="none"/>
        </w:rPr>
      </w:r>
      <w:r/>
    </w:p>
    <w:p>
      <w:pPr>
        <w:pStyle w:val="1073"/>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ascii="宋体" w:hAnsi="宋体" w:eastAsia="宋体"/>
          <w:szCs w:val="21"/>
          <w:highlight w:val="none"/>
        </w:rPr>
      </w:r>
      <w:r/>
    </w:p>
    <w:p>
      <w:pPr>
        <w:pStyle w:val="1073"/>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eastAsia="宋体"/>
          <w:szCs w:val="21"/>
          <w:highlight w:val="none"/>
        </w:rPr>
      </w:r>
      <w:r/>
    </w:p>
    <w:p>
      <w:pPr>
        <w:pStyle w:val="1073"/>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eastAsia="宋体"/>
          <w:szCs w:val="21"/>
          <w:highlight w:val="none"/>
        </w:rPr>
      </w:r>
      <w:r/>
    </w:p>
    <w:p>
      <w:pPr>
        <w:pStyle w:val="1073"/>
        <w:numPr>
          <w:ilvl w:val="0"/>
          <w:numId w:val="15"/>
        </w:numPr>
        <w:ind w:left="1134"/>
        <w:spacing w:line="360" w:lineRule="auto"/>
        <w:rPr>
          <w:rFonts w:ascii="宋体" w:hAnsi="宋体" w:eastAsia="宋体"/>
          <w:szCs w:val="21"/>
          <w:highlight w:val="none"/>
        </w:rPr>
      </w:pPr>
      <w:r>
        <w:rPr>
          <w:rFonts w:ascii="宋体" w:hAnsi="宋体" w:eastAsia="宋体"/>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eastAsia="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t xml:space="preserve">序号</w:t>
            </w:r>
            <w:r>
              <w:rPr>
                <w:rFonts w:ascii="宋体" w:hAnsi="宋体" w:eastAsia="宋体"/>
                <w:sz w:val="24"/>
                <w:highlight w:val="none"/>
              </w:rPr>
            </w:r>
            <w:r/>
          </w:p>
        </w:tc>
        <w:tc>
          <w:tcPr>
            <w:tcW w:w="4574"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t xml:space="preserve">单位名称</w:t>
            </w:r>
            <w:r>
              <w:rPr>
                <w:rFonts w:ascii="宋体" w:hAnsi="宋体" w:eastAsia="宋体"/>
                <w:sz w:val="24"/>
                <w:highlight w:val="none"/>
              </w:rPr>
            </w:r>
            <w:r/>
          </w:p>
        </w:tc>
        <w:tc>
          <w:tcPr>
            <w:tcW w:w="2976"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t xml:space="preserve">相互关系</w:t>
            </w:r>
            <w:r>
              <w:rPr>
                <w:rFonts w:ascii="宋体" w:hAnsi="宋体" w:eastAsia="宋体"/>
                <w:sz w:val="24"/>
                <w:highlight w:val="none"/>
              </w:rPr>
            </w:r>
            <w:r/>
          </w:p>
        </w:tc>
      </w:tr>
      <w:tr>
        <w:trPr>
          <w:trHeight w:val="430"/>
        </w:trPr>
        <w:tc>
          <w:tcPr>
            <w:tcW w:w="950"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t xml:space="preserve">1</w:t>
            </w:r>
            <w:r>
              <w:rPr>
                <w:rFonts w:ascii="宋体" w:hAnsi="宋体" w:eastAsia="宋体"/>
                <w:sz w:val="24"/>
                <w:highlight w:val="none"/>
              </w:rPr>
            </w:r>
            <w:r/>
          </w:p>
        </w:tc>
        <w:tc>
          <w:tcPr>
            <w:tcW w:w="4574"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r>
            <w:r/>
          </w:p>
        </w:tc>
        <w:tc>
          <w:tcPr>
            <w:tcW w:w="2976"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r>
            <w:r/>
          </w:p>
        </w:tc>
      </w:tr>
      <w:tr>
        <w:trPr>
          <w:trHeight w:val="430"/>
        </w:trPr>
        <w:tc>
          <w:tcPr>
            <w:tcW w:w="950"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t xml:space="preserve">2</w:t>
            </w:r>
            <w:r>
              <w:rPr>
                <w:rFonts w:ascii="宋体" w:hAnsi="宋体" w:eastAsia="宋体"/>
                <w:sz w:val="24"/>
                <w:highlight w:val="none"/>
              </w:rPr>
            </w:r>
            <w:r/>
          </w:p>
        </w:tc>
        <w:tc>
          <w:tcPr>
            <w:tcW w:w="4574"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r>
            <w:r/>
          </w:p>
        </w:tc>
        <w:tc>
          <w:tcPr>
            <w:tcW w:w="2976"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r>
            <w:r/>
          </w:p>
        </w:tc>
      </w:tr>
      <w:tr>
        <w:trPr>
          <w:trHeight w:val="430"/>
        </w:trPr>
        <w:tc>
          <w:tcPr>
            <w:tcW w:w="950"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t xml:space="preserve">…</w:t>
            </w:r>
            <w:r>
              <w:rPr>
                <w:rFonts w:ascii="宋体" w:hAnsi="宋体" w:eastAsia="宋体"/>
                <w:sz w:val="24"/>
                <w:highlight w:val="none"/>
              </w:rPr>
            </w:r>
            <w:r/>
          </w:p>
        </w:tc>
        <w:tc>
          <w:tcPr>
            <w:tcW w:w="4574"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r>
            <w:r/>
          </w:p>
        </w:tc>
        <w:tc>
          <w:tcPr>
            <w:tcW w:w="2976" w:type="dxa"/>
            <w:vAlign w:val="center"/>
            <w:textDirection w:val="lrTb"/>
            <w:noWrap w:val="false"/>
          </w:tcPr>
          <w:p>
            <w:pPr>
              <w:pStyle w:val="1073"/>
              <w:jc w:val="center"/>
              <w:rPr>
                <w:rFonts w:ascii="宋体" w:hAnsi="宋体" w:eastAsia="宋体"/>
                <w:sz w:val="24"/>
                <w:highlight w:val="none"/>
              </w:rPr>
            </w:pPr>
            <w:r>
              <w:rPr>
                <w:rFonts w:ascii="宋体" w:hAnsi="宋体" w:eastAsia="宋体"/>
                <w:sz w:val="24"/>
                <w:highlight w:val="none"/>
              </w:rPr>
            </w:r>
            <w:r/>
          </w:p>
        </w:tc>
      </w:tr>
    </w:tbl>
    <w:p>
      <w:pPr>
        <w:pStyle w:val="1073"/>
        <w:rPr>
          <w:rFonts w:ascii="宋体" w:hAnsi="宋体" w:eastAsia="宋体"/>
          <w:highlight w:val="none"/>
        </w:rPr>
      </w:pPr>
      <w:r>
        <w:rPr>
          <w:rFonts w:ascii="宋体" w:hAnsi="宋体" w:eastAsia="宋体"/>
          <w:highlight w:val="none"/>
        </w:rPr>
      </w:r>
      <w:r/>
    </w:p>
    <w:p>
      <w:pPr>
        <w:pStyle w:val="1073"/>
        <w:ind w:firstLine="480"/>
        <w:rPr>
          <w:rFonts w:ascii="宋体" w:hAnsi="宋体" w:eastAsia="宋体"/>
          <w:sz w:val="24"/>
          <w:szCs w:val="22"/>
          <w:highlight w:val="none"/>
        </w:rPr>
      </w:pPr>
      <w:r>
        <w:rPr>
          <w:rFonts w:ascii="宋体" w:hAnsi="宋体" w:eastAsia="宋体"/>
          <w:sz w:val="24"/>
          <w:highlight w:val="none"/>
        </w:rPr>
        <w:t xml:space="preserve">上述声明真实有效，否则我方负全部责任。</w:t>
      </w:r>
      <w:r>
        <w:rPr>
          <w:rFonts w:ascii="宋体" w:hAnsi="宋体" w:eastAsia="宋体"/>
          <w:sz w:val="24"/>
          <w:szCs w:val="22"/>
          <w:highlight w:val="none"/>
        </w:rPr>
      </w:r>
      <w:r/>
    </w:p>
    <w:p>
      <w:pPr>
        <w:pStyle w:val="1073"/>
        <w:spacing w:line="360" w:lineRule="auto"/>
        <w:rPr>
          <w:rFonts w:ascii="宋体" w:hAnsi="宋体" w:eastAsia="宋体"/>
          <w:sz w:val="24"/>
          <w:highlight w:val="none"/>
        </w:rPr>
      </w:pPr>
      <w:r>
        <w:rPr>
          <w:rFonts w:ascii="宋体" w:hAnsi="宋体" w:eastAsia="宋体"/>
          <w:sz w:val="24"/>
          <w:highlight w:val="none"/>
        </w:rPr>
      </w:r>
      <w:r/>
    </w:p>
    <w:p>
      <w:pPr>
        <w:pStyle w:val="1073"/>
        <w:jc w:val="right"/>
        <w:spacing w:before="25" w:after="25" w:line="360" w:lineRule="auto"/>
        <w:rPr>
          <w:rFonts w:ascii="宋体" w:hAnsi="宋体" w:eastAsia="宋体"/>
          <w:sz w:val="24"/>
          <w:highlight w:val="none"/>
          <w:lang w:val="zh-CN"/>
        </w:rPr>
      </w:pPr>
      <w:r>
        <w:rPr>
          <w:rFonts w:ascii="宋体" w:hAnsi="宋体" w:eastAsia="宋体"/>
          <w:sz w:val="24"/>
          <w:highlight w:val="none"/>
        </w:rPr>
        <w:t xml:space="preserve">投标人名称（加盖公章）</w:t>
      </w:r>
      <w:r>
        <w:rPr>
          <w:rFonts w:ascii="宋体" w:hAnsi="宋体" w:eastAsia="宋体"/>
          <w:sz w:val="24"/>
          <w:highlight w:val="none"/>
          <w:lang w:val="zh-CN"/>
        </w:rPr>
        <w:t xml:space="preserve">：    ____________</w:t>
      </w:r>
      <w:r>
        <w:rPr>
          <w:rFonts w:ascii="宋体" w:hAnsi="宋体" w:eastAsia="宋体"/>
          <w:sz w:val="24"/>
          <w:highlight w:val="none"/>
          <w:lang w:val="zh-CN"/>
        </w:rPr>
      </w:r>
      <w:r/>
    </w:p>
    <w:p>
      <w:pPr>
        <w:pStyle w:val="1073"/>
        <w:ind w:right="360" w:firstLine="480"/>
        <w:jc w:val="right"/>
        <w:spacing w:line="360" w:lineRule="auto"/>
        <w:rPr>
          <w:rFonts w:ascii="宋体" w:hAnsi="宋体" w:eastAsia="宋体"/>
          <w:sz w:val="24"/>
          <w:highlight w:val="none"/>
        </w:rPr>
      </w:pPr>
      <w:r>
        <w:rPr>
          <w:rFonts w:ascii="宋体" w:hAnsi="宋体" w:eastAsia="宋体"/>
          <w:sz w:val="24"/>
          <w:szCs w:val="20"/>
          <w:highlight w:val="none"/>
        </w:rPr>
        <w:t xml:space="preserve">日期：_____年______月______日   </w:t>
      </w:r>
      <w:r>
        <w:rPr>
          <w:rFonts w:ascii="宋体" w:hAnsi="宋体" w:eastAsia="宋体"/>
          <w:sz w:val="24"/>
          <w:highlight w:val="none"/>
        </w:rPr>
      </w:r>
      <w:r/>
    </w:p>
    <w:p>
      <w:pPr>
        <w:pStyle w:val="1073"/>
        <w:spacing w:line="360" w:lineRule="auto"/>
        <w:rPr>
          <w:rFonts w:ascii="宋体" w:hAnsi="宋体" w:eastAsia="宋体"/>
          <w:sz w:val="24"/>
          <w:highlight w:val="none"/>
        </w:rPr>
      </w:pPr>
      <w:r>
        <w:rPr>
          <w:rFonts w:ascii="宋体" w:hAnsi="宋体" w:eastAsia="宋体"/>
          <w:sz w:val="24"/>
          <w:highlight w:val="none"/>
        </w:rPr>
        <w:t xml:space="preserve">说明：</w:t>
      </w:r>
      <w:r>
        <w:rPr>
          <w:rFonts w:hint="eastAsia" w:ascii="宋体" w:hAnsi="宋体" w:eastAsia="宋体"/>
          <w:sz w:val="24"/>
          <w:highlight w:val="none"/>
        </w:rPr>
        <w:t xml:space="preserve">供应商承诺不实的，依据《政府采购法》第七十七条“提供虚假材料谋取中标、成交的”有关规定予以处理</w:t>
      </w:r>
      <w:r>
        <w:rPr>
          <w:rFonts w:ascii="宋体" w:hAnsi="宋体" w:eastAsia="宋体"/>
          <w:sz w:val="24"/>
          <w:highlight w:val="none"/>
        </w:rPr>
        <w:t xml:space="preserve">。</w:t>
      </w:r>
      <w:bookmarkEnd w:id="831"/>
      <w:r>
        <w:rPr>
          <w:rFonts w:ascii="宋体" w:hAnsi="宋体" w:eastAsia="宋体"/>
          <w:sz w:val="24"/>
          <w:highlight w:val="none"/>
        </w:rPr>
      </w:r>
      <w:r/>
    </w:p>
    <w:p>
      <w:pPr>
        <w:pStyle w:val="1073"/>
        <w:spacing w:line="360" w:lineRule="auto"/>
        <w:tabs>
          <w:tab w:val="left" w:pos="5580" w:leader="none"/>
        </w:tabs>
        <w:rPr>
          <w:rFonts w:ascii="宋体" w:hAnsi="宋体" w:eastAsia="宋体"/>
          <w:sz w:val="24"/>
          <w:highlight w:val="none"/>
        </w:rPr>
        <w:sectPr>
          <w:footnotePr/>
          <w:endnotePr/>
          <w:type w:val="nextPage"/>
          <w:pgSz w:w="11907" w:h="16840" w:orient="portrait"/>
          <w:pgMar w:top="1440" w:right="1800" w:bottom="1440" w:left="1800" w:header="851" w:footer="992" w:gutter="0"/>
          <w:cols w:num="1" w:sep="0" w:space="1701" w:equalWidth="1"/>
          <w:docGrid w:linePitch="360"/>
        </w:sectPr>
      </w:pPr>
      <w:r>
        <w:rPr>
          <w:rFonts w:ascii="宋体" w:hAnsi="宋体" w:eastAsia="宋体"/>
          <w:sz w:val="24"/>
          <w:highlight w:val="none"/>
        </w:rPr>
      </w:r>
      <w:r/>
    </w:p>
    <w:p>
      <w:pPr>
        <w:pStyle w:val="1073"/>
        <w:spacing w:line="360" w:lineRule="auto"/>
        <w:rPr>
          <w:rFonts w:ascii="宋体" w:hAnsi="宋体" w:eastAsia="宋体"/>
          <w:bCs/>
          <w:sz w:val="24"/>
          <w:highlight w:val="none"/>
          <w:lang w:val="zh-CN"/>
        </w:rPr>
      </w:pPr>
      <w:r>
        <w:rPr>
          <w:rFonts w:hint="eastAsia" w:ascii="宋体" w:hAnsi="宋体" w:eastAsia="宋体"/>
          <w:bCs/>
          <w:sz w:val="24"/>
          <w:highlight w:val="none"/>
          <w:lang w:val="zh-CN"/>
        </w:rPr>
        <w:t xml:space="preserve">1-3</w:t>
      </w:r>
      <w:r>
        <w:rPr>
          <w:rFonts w:ascii="宋体" w:hAnsi="宋体" w:eastAsia="宋体"/>
          <w:bCs/>
          <w:sz w:val="24"/>
          <w:highlight w:val="none"/>
          <w:lang w:val="zh-CN"/>
        </w:rPr>
        <w:t xml:space="preserve">投标单位情况表</w:t>
      </w:r>
      <w:r>
        <w:rPr>
          <w:rFonts w:ascii="宋体" w:hAnsi="宋体" w:eastAsia="宋体"/>
          <w:bCs/>
          <w:sz w:val="24"/>
          <w:highlight w:val="none"/>
          <w:lang w:val="zh-CN"/>
        </w:rPr>
      </w:r>
      <w:r/>
    </w:p>
    <w:p>
      <w:pPr>
        <w:pStyle w:val="1073"/>
        <w:jc w:val="center"/>
        <w:spacing w:line="360" w:lineRule="auto"/>
        <w:rPr>
          <w:rFonts w:ascii="宋体" w:hAnsi="宋体" w:eastAsia="宋体"/>
          <w:b/>
          <w:sz w:val="32"/>
          <w:szCs w:val="32"/>
          <w:highlight w:val="none"/>
        </w:rPr>
      </w:pPr>
      <w:r>
        <w:rPr>
          <w:rFonts w:ascii="宋体" w:hAnsi="宋体" w:eastAsia="宋体"/>
          <w:b/>
          <w:sz w:val="32"/>
          <w:szCs w:val="32"/>
          <w:highlight w:val="none"/>
          <w:lang w:val="zh-CN"/>
        </w:rPr>
        <w:t xml:space="preserve">投标单位情况表</w:t>
      </w:r>
      <w:r>
        <w:rPr>
          <w:rFonts w:ascii="宋体" w:hAnsi="宋体" w:eastAsia="宋体"/>
          <w:b/>
          <w:sz w:val="32"/>
          <w:szCs w:val="32"/>
          <w:highlight w:val="none"/>
        </w:rPr>
      </w:r>
      <w:r/>
    </w:p>
    <w:p>
      <w:pPr>
        <w:pStyle w:val="1073"/>
        <w:ind w:firstLine="210"/>
        <w:spacing w:line="360" w:lineRule="auto"/>
        <w:rPr>
          <w:rFonts w:ascii="宋体" w:hAnsi="宋体" w:eastAsia="宋体"/>
          <w:bCs/>
          <w:szCs w:val="21"/>
          <w:highlight w:val="none"/>
        </w:rPr>
      </w:pPr>
      <w:r>
        <w:rPr>
          <w:rFonts w:ascii="宋体" w:hAnsi="宋体" w:eastAsia="宋体"/>
          <w:bCs/>
          <w:szCs w:val="21"/>
          <w:highlight w:val="none"/>
        </w:rPr>
        <w:t xml:space="preserve">采购单位：                             采购编号：   </w:t>
      </w:r>
      <w:r>
        <w:rPr>
          <w:rFonts w:ascii="宋体" w:hAnsi="宋体" w:eastAsia="宋体"/>
          <w:bCs/>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法定代表人</w:t>
            </w:r>
            <w:r>
              <w:rPr>
                <w:rFonts w:ascii="宋体" w:hAnsi="宋体" w:eastAsia="宋体"/>
                <w:szCs w:val="21"/>
                <w:highlight w:val="none"/>
              </w:rPr>
            </w:r>
            <w:r/>
          </w:p>
        </w:tc>
        <w:tc>
          <w:tcPr>
            <w:tcW w:w="2005"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c>
          <w:tcPr>
            <w:tcW w:w="1461"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成立日期</w:t>
            </w:r>
            <w:r>
              <w:rPr>
                <w:rFonts w:ascii="宋体" w:hAnsi="宋体" w:eastAsia="宋体"/>
                <w:szCs w:val="21"/>
                <w:highlight w:val="none"/>
              </w:rPr>
            </w:r>
            <w:r/>
          </w:p>
        </w:tc>
        <w:tc>
          <w:tcPr>
            <w:gridSpan w:val="2"/>
            <w:tcW w:w="3292"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企业地址</w:t>
            </w:r>
            <w:r>
              <w:rPr>
                <w:rFonts w:ascii="宋体" w:hAnsi="宋体" w:eastAsia="宋体"/>
                <w:szCs w:val="21"/>
                <w:highlight w:val="none"/>
              </w:rPr>
            </w:r>
            <w:r/>
          </w:p>
        </w:tc>
        <w:tc>
          <w:tcPr>
            <w:tcW w:w="2005"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c>
          <w:tcPr>
            <w:tcW w:w="1461"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注册资本</w:t>
            </w:r>
            <w:r>
              <w:rPr>
                <w:rFonts w:ascii="宋体" w:hAnsi="宋体" w:eastAsia="宋体"/>
                <w:szCs w:val="21"/>
                <w:highlight w:val="none"/>
              </w:rPr>
            </w:r>
            <w:r/>
          </w:p>
        </w:tc>
        <w:tc>
          <w:tcPr>
            <w:gridSpan w:val="2"/>
            <w:tcW w:w="3292" w:type="dxa"/>
            <w:vAlign w:val="top"/>
            <w:textDirection w:val="lrTb"/>
            <w:noWrap w:val="false"/>
          </w:tcPr>
          <w:p>
            <w:pPr>
              <w:pStyle w:val="1073"/>
              <w:ind w:firstLine="2160"/>
              <w:spacing w:line="360" w:lineRule="auto"/>
              <w:rPr>
                <w:rFonts w:ascii="宋体" w:hAnsi="宋体" w:eastAsia="宋体"/>
                <w:szCs w:val="21"/>
                <w:highlight w:val="none"/>
              </w:rPr>
            </w:pPr>
            <w:r>
              <w:rPr>
                <w:rFonts w:ascii="宋体" w:hAnsi="宋体" w:eastAsia="宋体"/>
                <w:szCs w:val="21"/>
                <w:highlight w:val="none"/>
                <w:lang w:val="zh-CN"/>
              </w:rPr>
              <w:t xml:space="preserve">万元</w:t>
            </w:r>
            <w:r>
              <w:rPr>
                <w:rFonts w:ascii="宋体" w:hAnsi="宋体" w:eastAsia="宋体"/>
                <w:szCs w:val="21"/>
                <w:highlight w:val="none"/>
              </w:rPr>
            </w:r>
            <w:r/>
          </w:p>
        </w:tc>
      </w:tr>
      <w:tr>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经营范围</w:t>
            </w:r>
            <w:r>
              <w:rPr>
                <w:rFonts w:ascii="宋体" w:hAnsi="宋体" w:eastAsia="宋体"/>
                <w:szCs w:val="21"/>
                <w:highlight w:val="none"/>
              </w:rPr>
            </w:r>
            <w:r/>
          </w:p>
        </w:tc>
        <w:tc>
          <w:tcPr>
            <w:gridSpan w:val="4"/>
            <w:tcW w:w="6758"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职工人数</w:t>
            </w:r>
            <w:r>
              <w:rPr>
                <w:rFonts w:ascii="宋体" w:hAnsi="宋体" w:eastAsia="宋体"/>
                <w:szCs w:val="21"/>
                <w:highlight w:val="none"/>
              </w:rPr>
            </w:r>
            <w:r/>
          </w:p>
        </w:tc>
        <w:tc>
          <w:tcPr>
            <w:tcW w:w="2005"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c>
          <w:tcPr>
            <w:gridSpan w:val="2"/>
            <w:tcW w:w="3517"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其中：有中高级以上职称的人数</w:t>
            </w:r>
            <w:r>
              <w:rPr>
                <w:rFonts w:ascii="宋体" w:hAnsi="宋体" w:eastAsia="宋体"/>
                <w:szCs w:val="21"/>
                <w:highlight w:val="none"/>
              </w:rPr>
            </w:r>
            <w:r/>
          </w:p>
        </w:tc>
        <w:tc>
          <w:tcPr>
            <w:tcW w:w="1236"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center"/>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资产总计</w:t>
            </w:r>
            <w:r>
              <w:rPr>
                <w:rFonts w:ascii="宋体" w:hAnsi="宋体" w:eastAsia="宋体"/>
                <w:szCs w:val="21"/>
                <w:highlight w:val="none"/>
              </w:rPr>
            </w:r>
            <w:r/>
          </w:p>
        </w:tc>
        <w:tc>
          <w:tcPr>
            <w:tcW w:w="2005" w:type="dxa"/>
            <w:vAlign w:val="center"/>
            <w:textDirection w:val="lrTb"/>
            <w:noWrap w:val="false"/>
          </w:tcPr>
          <w:p>
            <w:pPr>
              <w:pStyle w:val="1073"/>
              <w:jc w:val="center"/>
              <w:spacing w:line="360" w:lineRule="auto"/>
              <w:rPr>
                <w:rFonts w:ascii="宋体" w:hAnsi="宋体" w:eastAsia="宋体"/>
                <w:szCs w:val="21"/>
                <w:highlight w:val="none"/>
              </w:rPr>
            </w:pPr>
            <w:r>
              <w:rPr>
                <w:rFonts w:ascii="宋体" w:hAnsi="宋体" w:eastAsia="宋体"/>
                <w:szCs w:val="21"/>
                <w:highlight w:val="none"/>
                <w:lang w:val="zh-CN"/>
              </w:rPr>
              <w:t xml:space="preserve">         万元</w:t>
            </w:r>
            <w:r>
              <w:rPr>
                <w:rFonts w:ascii="宋体" w:hAnsi="宋体" w:eastAsia="宋体"/>
                <w:szCs w:val="21"/>
                <w:highlight w:val="none"/>
              </w:rPr>
            </w:r>
            <w:r/>
          </w:p>
        </w:tc>
        <w:tc>
          <w:tcPr>
            <w:tcW w:w="1461" w:type="dxa"/>
            <w:vAlign w:val="center"/>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净资产</w:t>
            </w:r>
            <w:r>
              <w:rPr>
                <w:rFonts w:ascii="宋体" w:hAnsi="宋体" w:eastAsia="宋体"/>
                <w:szCs w:val="21"/>
                <w:highlight w:val="none"/>
              </w:rPr>
            </w:r>
            <w:r/>
          </w:p>
        </w:tc>
        <w:tc>
          <w:tcPr>
            <w:gridSpan w:val="2"/>
            <w:tcW w:w="3292" w:type="dxa"/>
            <w:vAlign w:val="center"/>
            <w:textDirection w:val="lrTb"/>
            <w:noWrap w:val="false"/>
          </w:tcPr>
          <w:p>
            <w:pPr>
              <w:pStyle w:val="1073"/>
              <w:jc w:val="center"/>
              <w:spacing w:line="360" w:lineRule="auto"/>
              <w:rPr>
                <w:rFonts w:ascii="宋体" w:hAnsi="宋体" w:eastAsia="宋体"/>
                <w:szCs w:val="21"/>
                <w:highlight w:val="none"/>
              </w:rPr>
            </w:pPr>
            <w:r>
              <w:rPr>
                <w:rFonts w:ascii="宋体" w:hAnsi="宋体" w:eastAsia="宋体"/>
                <w:szCs w:val="21"/>
                <w:highlight w:val="none"/>
                <w:lang w:val="zh-CN"/>
              </w:rPr>
              <w:t xml:space="preserve">       万元</w:t>
            </w:r>
            <w:r>
              <w:rPr>
                <w:rFonts w:ascii="宋体" w:hAnsi="宋体" w:eastAsia="宋体"/>
                <w:szCs w:val="21"/>
                <w:highlight w:val="none"/>
              </w:rPr>
            </w:r>
            <w:r/>
          </w:p>
        </w:tc>
      </w:tr>
      <w:tr>
        <w:trPr/>
        <w:tc>
          <w:tcPr>
            <w:tcW w:w="2510" w:type="dxa"/>
            <w:vAlign w:val="center"/>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股东权益</w:t>
            </w:r>
            <w:r>
              <w:rPr>
                <w:rFonts w:ascii="宋体" w:hAnsi="宋体" w:eastAsia="宋体"/>
                <w:szCs w:val="21"/>
                <w:highlight w:val="none"/>
              </w:rPr>
            </w:r>
            <w:r/>
          </w:p>
        </w:tc>
        <w:tc>
          <w:tcPr>
            <w:tcW w:w="2005" w:type="dxa"/>
            <w:vAlign w:val="center"/>
            <w:textDirection w:val="lrTb"/>
            <w:noWrap w:val="false"/>
          </w:tcPr>
          <w:p>
            <w:pPr>
              <w:pStyle w:val="1073"/>
              <w:jc w:val="center"/>
              <w:spacing w:line="360" w:lineRule="auto"/>
              <w:rPr>
                <w:rFonts w:ascii="宋体" w:hAnsi="宋体" w:eastAsia="宋体"/>
                <w:szCs w:val="21"/>
                <w:highlight w:val="none"/>
              </w:rPr>
            </w:pPr>
            <w:r>
              <w:rPr>
                <w:rFonts w:ascii="宋体" w:hAnsi="宋体" w:eastAsia="宋体"/>
                <w:szCs w:val="21"/>
                <w:highlight w:val="none"/>
                <w:lang w:val="zh-CN"/>
              </w:rPr>
              <w:t xml:space="preserve">         万元</w:t>
            </w:r>
            <w:r>
              <w:rPr>
                <w:rFonts w:ascii="宋体" w:hAnsi="宋体" w:eastAsia="宋体"/>
                <w:szCs w:val="21"/>
                <w:highlight w:val="none"/>
              </w:rPr>
            </w:r>
            <w:r/>
          </w:p>
        </w:tc>
        <w:tc>
          <w:tcPr>
            <w:tcW w:w="1461" w:type="dxa"/>
            <w:vAlign w:val="center"/>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销售收入</w:t>
            </w:r>
            <w:r>
              <w:rPr>
                <w:rFonts w:ascii="宋体" w:hAnsi="宋体" w:eastAsia="宋体"/>
                <w:szCs w:val="21"/>
                <w:highlight w:val="none"/>
              </w:rPr>
            </w:r>
            <w:r/>
          </w:p>
        </w:tc>
        <w:tc>
          <w:tcPr>
            <w:gridSpan w:val="2"/>
            <w:tcW w:w="3292" w:type="dxa"/>
            <w:vAlign w:val="center"/>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202</w:t>
            </w:r>
            <w:r>
              <w:rPr>
                <w:rFonts w:hint="eastAsia" w:ascii="宋体" w:hAnsi="宋体" w:eastAsia="宋体"/>
                <w:szCs w:val="21"/>
                <w:highlight w:val="none"/>
              </w:rPr>
              <w:t xml:space="preserve">5</w:t>
            </w:r>
            <w:r>
              <w:rPr>
                <w:rFonts w:ascii="宋体" w:hAnsi="宋体" w:eastAsia="宋体"/>
                <w:szCs w:val="21"/>
                <w:highlight w:val="none"/>
                <w:lang w:val="zh-CN"/>
              </w:rPr>
              <w:t xml:space="preserve">年          万元</w:t>
            </w:r>
            <w:r>
              <w:rPr>
                <w:rFonts w:ascii="宋体" w:hAnsi="宋体" w:eastAsia="宋体"/>
                <w:szCs w:val="21"/>
                <w:highlight w:val="none"/>
              </w:rPr>
            </w:r>
            <w:r/>
          </w:p>
        </w:tc>
      </w:tr>
      <w:tr>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实现利润</w:t>
            </w:r>
            <w:r>
              <w:rPr>
                <w:rFonts w:ascii="宋体" w:hAnsi="宋体" w:eastAsia="宋体"/>
                <w:szCs w:val="21"/>
                <w:highlight w:val="none"/>
              </w:rPr>
            </w:r>
            <w:r/>
          </w:p>
        </w:tc>
        <w:tc>
          <w:tcPr>
            <w:tcW w:w="2005"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202</w:t>
            </w:r>
            <w:r>
              <w:rPr>
                <w:rFonts w:hint="eastAsia" w:ascii="宋体" w:hAnsi="宋体" w:eastAsia="宋体"/>
                <w:szCs w:val="21"/>
                <w:highlight w:val="none"/>
              </w:rPr>
              <w:t xml:space="preserve">5</w:t>
            </w:r>
            <w:r>
              <w:rPr>
                <w:rFonts w:ascii="宋体" w:hAnsi="宋体" w:eastAsia="宋体"/>
                <w:szCs w:val="21"/>
                <w:highlight w:val="none"/>
                <w:lang w:val="zh-CN"/>
              </w:rPr>
              <w:t xml:space="preserve">年     万元</w:t>
            </w:r>
            <w:r>
              <w:rPr>
                <w:rFonts w:ascii="宋体" w:hAnsi="宋体" w:eastAsia="宋体"/>
                <w:szCs w:val="21"/>
                <w:highlight w:val="none"/>
              </w:rPr>
            </w:r>
            <w:r/>
          </w:p>
        </w:tc>
        <w:tc>
          <w:tcPr>
            <w:tcW w:w="1461"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c>
          <w:tcPr>
            <w:gridSpan w:val="2"/>
            <w:tcW w:w="3292"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营业面积（含厂房面积）</w:t>
            </w:r>
            <w:r>
              <w:rPr>
                <w:rFonts w:ascii="宋体" w:hAnsi="宋体" w:eastAsia="宋体"/>
                <w:szCs w:val="21"/>
                <w:highlight w:val="none"/>
              </w:rPr>
            </w:r>
            <w:r/>
          </w:p>
        </w:tc>
        <w:tc>
          <w:tcPr>
            <w:tcW w:w="2005" w:type="dxa"/>
            <w:vAlign w:val="center"/>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        平方米</w:t>
            </w:r>
            <w:r>
              <w:rPr>
                <w:rFonts w:ascii="宋体" w:hAnsi="宋体" w:eastAsia="宋体"/>
                <w:szCs w:val="21"/>
                <w:highlight w:val="none"/>
              </w:rPr>
            </w:r>
            <w:r/>
          </w:p>
        </w:tc>
        <w:tc>
          <w:tcPr>
            <w:tcW w:w="1461"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其中：</w:t>
            </w:r>
            <w:r>
              <w:rPr>
                <w:rFonts w:ascii="宋体" w:hAnsi="宋体" w:eastAsia="宋体"/>
                <w:szCs w:val="21"/>
                <w:highlight w:val="none"/>
              </w:rPr>
            </w:r>
            <w:r/>
          </w:p>
        </w:tc>
        <w:tc>
          <w:tcPr>
            <w:gridSpan w:val="2"/>
            <w:tcW w:w="3292"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自有面积         平方米</w:t>
            </w:r>
            <w:r>
              <w:rPr>
                <w:rFonts w:ascii="宋体" w:hAnsi="宋体" w:eastAsia="宋体"/>
                <w:szCs w:val="21"/>
                <w:highlight w:val="none"/>
              </w:rPr>
            </w:r>
            <w:r/>
          </w:p>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承租面积         平方米</w:t>
            </w:r>
            <w:r>
              <w:rPr>
                <w:rFonts w:ascii="宋体" w:hAnsi="宋体" w:eastAsia="宋体"/>
                <w:szCs w:val="21"/>
                <w:highlight w:val="none"/>
              </w:rPr>
            </w:r>
            <w:r/>
          </w:p>
        </w:tc>
      </w:tr>
      <w:tr>
        <w:trPr>
          <w:trHeight w:val="65"/>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单位简历及内设机构情况</w:t>
            </w:r>
            <w:r>
              <w:rPr>
                <w:rFonts w:ascii="宋体" w:hAnsi="宋体" w:eastAsia="宋体"/>
                <w:szCs w:val="21"/>
                <w:highlight w:val="none"/>
              </w:rPr>
            </w:r>
            <w:r/>
          </w:p>
        </w:tc>
        <w:tc>
          <w:tcPr>
            <w:gridSpan w:val="4"/>
            <w:tcW w:w="6758"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rHeight w:val="65"/>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单位优势及特长</w:t>
            </w:r>
            <w:r>
              <w:rPr>
                <w:rFonts w:ascii="宋体" w:hAnsi="宋体" w:eastAsia="宋体"/>
                <w:szCs w:val="21"/>
                <w:highlight w:val="none"/>
              </w:rPr>
            </w:r>
            <w:r/>
          </w:p>
        </w:tc>
        <w:tc>
          <w:tcPr>
            <w:gridSpan w:val="4"/>
            <w:tcW w:w="6758"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rHeight w:val="1389"/>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近三年来完成或正在履行的重大合同情况</w:t>
            </w:r>
            <w:r>
              <w:rPr>
                <w:rFonts w:ascii="宋体" w:hAnsi="宋体" w:eastAsia="宋体"/>
                <w:szCs w:val="21"/>
                <w:highlight w:val="none"/>
              </w:rPr>
            </w:r>
            <w:r/>
          </w:p>
        </w:tc>
        <w:tc>
          <w:tcPr>
            <w:gridSpan w:val="4"/>
            <w:tcW w:w="6758"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rHeight w:val="1259"/>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最近3年内在经营过程中受到何种奖励或处罚</w:t>
            </w:r>
            <w:r>
              <w:rPr>
                <w:rFonts w:ascii="宋体" w:hAnsi="宋体" w:eastAsia="宋体"/>
                <w:szCs w:val="21"/>
                <w:highlight w:val="none"/>
              </w:rPr>
            </w:r>
            <w:r/>
          </w:p>
        </w:tc>
        <w:tc>
          <w:tcPr>
            <w:gridSpan w:val="4"/>
            <w:tcW w:w="6758"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（包括财政、工商、税务、物价、技监部门稽查情况和结果）</w:t>
            </w:r>
            <w:r>
              <w:rPr>
                <w:rFonts w:ascii="宋体" w:hAnsi="宋体" w:eastAsia="宋体"/>
                <w:szCs w:val="21"/>
                <w:highlight w:val="none"/>
              </w:rPr>
            </w:r>
            <w:r/>
          </w:p>
        </w:tc>
      </w:tr>
      <w:tr>
        <w:trPr>
          <w:trHeight w:val="1115"/>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获得技术认证的工程师及简介</w:t>
            </w:r>
            <w:r>
              <w:rPr>
                <w:rFonts w:ascii="宋体" w:hAnsi="宋体" w:eastAsia="宋体"/>
                <w:szCs w:val="21"/>
                <w:highlight w:val="none"/>
              </w:rPr>
            </w:r>
            <w:r/>
          </w:p>
        </w:tc>
        <w:tc>
          <w:tcPr>
            <w:gridSpan w:val="4"/>
            <w:tcW w:w="6758"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r>
        <w:trPr>
          <w:trHeight w:val="1117"/>
        </w:trPr>
        <w:tc>
          <w:tcPr>
            <w:tcW w:w="2510"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lang w:val="zh-CN"/>
              </w:rPr>
              <w:t xml:space="preserve">其他需要说明的情况</w:t>
            </w:r>
            <w:r>
              <w:rPr>
                <w:rFonts w:ascii="宋体" w:hAnsi="宋体" w:eastAsia="宋体"/>
                <w:szCs w:val="21"/>
                <w:highlight w:val="none"/>
              </w:rPr>
            </w:r>
            <w:r/>
          </w:p>
        </w:tc>
        <w:tc>
          <w:tcPr>
            <w:gridSpan w:val="4"/>
            <w:tcW w:w="6758" w:type="dxa"/>
            <w:vAlign w:val="top"/>
            <w:textDirection w:val="lrTb"/>
            <w:noWrap w:val="false"/>
          </w:tcPr>
          <w:p>
            <w:pPr>
              <w:pStyle w:val="1073"/>
              <w:spacing w:line="360" w:lineRule="auto"/>
              <w:rPr>
                <w:rFonts w:ascii="宋体" w:hAnsi="宋体" w:eastAsia="宋体"/>
                <w:szCs w:val="21"/>
                <w:highlight w:val="none"/>
              </w:rPr>
            </w:pPr>
            <w:r>
              <w:rPr>
                <w:rFonts w:ascii="宋体" w:hAnsi="宋体" w:eastAsia="宋体"/>
                <w:szCs w:val="21"/>
                <w:highlight w:val="none"/>
              </w:rPr>
            </w:r>
            <w:r/>
          </w:p>
        </w:tc>
      </w:tr>
    </w:tbl>
    <w:p>
      <w:pPr>
        <w:pStyle w:val="1073"/>
        <w:ind w:firstLine="210"/>
        <w:spacing w:line="360" w:lineRule="auto"/>
        <w:rPr>
          <w:rFonts w:ascii="宋体" w:hAnsi="宋体" w:eastAsia="宋体"/>
          <w:szCs w:val="21"/>
          <w:highlight w:val="none"/>
        </w:rPr>
      </w:pPr>
      <w:r>
        <w:rPr>
          <w:rFonts w:ascii="宋体" w:hAnsi="宋体" w:eastAsia="宋体"/>
          <w:szCs w:val="21"/>
          <w:highlight w:val="none"/>
          <w:lang w:val="zh-CN"/>
        </w:rPr>
        <w:t xml:space="preserve">投标人（公章）：</w:t>
      </w:r>
      <w:r>
        <w:rPr>
          <w:rFonts w:ascii="宋体" w:hAnsi="宋体" w:eastAsia="宋体"/>
          <w:szCs w:val="21"/>
          <w:highlight w:val="none"/>
        </w:rPr>
      </w:r>
      <w:r/>
    </w:p>
    <w:p>
      <w:pPr>
        <w:pStyle w:val="1073"/>
        <w:ind w:firstLine="210"/>
        <w:spacing w:line="360" w:lineRule="auto"/>
        <w:rPr>
          <w:rFonts w:ascii="宋体" w:hAnsi="宋体" w:eastAsia="宋体"/>
          <w:szCs w:val="21"/>
          <w:highlight w:val="none"/>
        </w:rPr>
      </w:pPr>
      <w:r>
        <w:rPr>
          <w:rFonts w:ascii="宋体" w:hAnsi="宋体" w:eastAsia="宋体"/>
          <w:szCs w:val="21"/>
          <w:highlight w:val="none"/>
          <w:lang w:val="zh-CN"/>
        </w:rPr>
        <w:t xml:space="preserve">法定代表人或代理人：（签字或盖章）</w:t>
      </w:r>
      <w:r>
        <w:rPr>
          <w:rFonts w:ascii="宋体" w:hAnsi="宋体" w:eastAsia="宋体"/>
          <w:szCs w:val="21"/>
          <w:highlight w:val="none"/>
        </w:rPr>
      </w:r>
      <w:r/>
    </w:p>
    <w:p>
      <w:pPr>
        <w:pStyle w:val="1073"/>
        <w:ind w:firstLine="210"/>
        <w:spacing w:line="360" w:lineRule="auto"/>
        <w:rPr>
          <w:rFonts w:ascii="宋体" w:hAnsi="宋体" w:eastAsia="宋体"/>
          <w:szCs w:val="21"/>
          <w:highlight w:val="none"/>
          <w:lang w:val="zh-CN"/>
        </w:rPr>
      </w:pPr>
      <w:r>
        <w:rPr>
          <w:rFonts w:ascii="宋体" w:hAnsi="宋体" w:eastAsia="宋体"/>
          <w:szCs w:val="21"/>
          <w:highlight w:val="none"/>
          <w:lang w:val="zh-CN"/>
        </w:rPr>
        <w:t xml:space="preserve">日期：</w:t>
      </w:r>
      <w:r>
        <w:rPr>
          <w:rFonts w:ascii="宋体" w:hAnsi="宋体" w:eastAsia="宋体"/>
          <w:szCs w:val="21"/>
          <w:highlight w:val="none"/>
        </w:rPr>
        <w:t xml:space="preserve">      </w:t>
      </w:r>
      <w:r>
        <w:rPr>
          <w:rFonts w:ascii="宋体" w:hAnsi="宋体" w:eastAsia="宋体"/>
          <w:szCs w:val="21"/>
          <w:highlight w:val="none"/>
          <w:lang w:val="zh-CN"/>
        </w:rPr>
        <w:t xml:space="preserve">年</w:t>
      </w:r>
      <w:r>
        <w:rPr>
          <w:rFonts w:ascii="宋体" w:hAnsi="宋体" w:eastAsia="宋体"/>
          <w:szCs w:val="21"/>
          <w:highlight w:val="none"/>
        </w:rPr>
        <w:t xml:space="preserve">     </w:t>
      </w:r>
      <w:r>
        <w:rPr>
          <w:rFonts w:ascii="宋体" w:hAnsi="宋体" w:eastAsia="宋体"/>
          <w:szCs w:val="21"/>
          <w:highlight w:val="none"/>
          <w:lang w:val="zh-CN"/>
        </w:rPr>
        <w:t xml:space="preserve">月</w:t>
      </w:r>
      <w:r>
        <w:rPr>
          <w:rFonts w:ascii="宋体" w:hAnsi="宋体" w:eastAsia="宋体"/>
          <w:szCs w:val="21"/>
          <w:highlight w:val="none"/>
        </w:rPr>
        <w:t xml:space="preserve">     </w:t>
      </w:r>
      <w:r>
        <w:rPr>
          <w:rFonts w:ascii="宋体" w:hAnsi="宋体" w:eastAsia="宋体"/>
          <w:szCs w:val="21"/>
          <w:highlight w:val="none"/>
          <w:lang w:val="zh-CN"/>
        </w:rPr>
        <w:t xml:space="preserve">日</w:t>
      </w:r>
      <w:r>
        <w:rPr>
          <w:rFonts w:ascii="宋体" w:hAnsi="宋体" w:eastAsia="宋体"/>
          <w:szCs w:val="21"/>
          <w:highlight w:val="none"/>
          <w:lang w:val="zh-CN"/>
        </w:rPr>
      </w:r>
      <w:r/>
    </w:p>
    <w:p>
      <w:pPr>
        <w:pStyle w:val="1109"/>
        <w:rPr>
          <w:highlight w:val="none"/>
          <w:lang w:val="zh-CN"/>
        </w:rPr>
      </w:pPr>
      <w:r>
        <w:rPr>
          <w:highlight w:val="none"/>
          <w:lang w:val="zh-CN"/>
        </w:rPr>
      </w:r>
      <w:r/>
    </w:p>
    <w:p>
      <w:pPr>
        <w:pStyle w:val="1073"/>
        <w:spacing w:line="360" w:lineRule="auto"/>
        <w:tabs>
          <w:tab w:val="left" w:pos="5580" w:leader="none"/>
        </w:tabs>
        <w:rPr>
          <w:rFonts w:ascii="宋体" w:hAnsi="宋体" w:eastAsia="宋体"/>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eastAsia="宋体"/>
          <w:sz w:val="24"/>
          <w:highlight w:val="none"/>
        </w:rPr>
      </w:r>
      <w:r/>
    </w:p>
    <w:p>
      <w:pPr>
        <w:pStyle w:val="1073"/>
        <w:jc w:val="left"/>
        <w:widowControl/>
        <w:rPr>
          <w:rFonts w:ascii="宋体" w:hAnsi="宋体" w:eastAsia="宋体"/>
          <w:sz w:val="24"/>
          <w:highlight w:val="none"/>
        </w:rPr>
      </w:pPr>
      <w:r>
        <w:rPr>
          <w:rFonts w:hint="eastAsia" w:ascii="宋体" w:hAnsi="宋体" w:eastAsia="宋体"/>
          <w:sz w:val="24"/>
          <w:szCs w:val="20"/>
          <w:highlight w:val="none"/>
        </w:rPr>
        <w:t xml:space="preserve">1-4</w:t>
      </w:r>
      <w:r>
        <w:rPr>
          <w:rFonts w:ascii="宋体" w:hAnsi="宋体" w:eastAsia="宋体"/>
          <w:sz w:val="24"/>
          <w:highlight w:val="none"/>
        </w:rPr>
        <w:t xml:space="preserve">参加政府采购活动前三年内，在经营活动中没有重大违法记录声明</w:t>
      </w:r>
      <w:r>
        <w:rPr>
          <w:rFonts w:ascii="宋体" w:hAnsi="宋体" w:eastAsia="宋体"/>
          <w:sz w:val="24"/>
          <w:highlight w:val="none"/>
        </w:rPr>
      </w:r>
      <w:r/>
    </w:p>
    <w:p>
      <w:pPr>
        <w:pStyle w:val="1073"/>
        <w:jc w:val="center"/>
        <w:spacing w:line="360" w:lineRule="auto"/>
        <w:tabs>
          <w:tab w:val="left" w:pos="1320" w:leader="none"/>
        </w:tabs>
        <w:rPr>
          <w:rFonts w:ascii="宋体" w:hAnsi="宋体" w:eastAsia="宋体"/>
          <w:b/>
          <w:sz w:val="32"/>
          <w:szCs w:val="32"/>
          <w:highlight w:val="none"/>
        </w:rPr>
      </w:pPr>
      <w:r>
        <w:rPr>
          <w:rFonts w:ascii="宋体" w:hAnsi="宋体" w:eastAsia="宋体"/>
          <w:b/>
          <w:sz w:val="32"/>
          <w:szCs w:val="32"/>
          <w:highlight w:val="none"/>
        </w:rPr>
      </w:r>
      <w:r/>
    </w:p>
    <w:p>
      <w:pPr>
        <w:pStyle w:val="1073"/>
        <w:jc w:val="center"/>
        <w:spacing w:line="360" w:lineRule="auto"/>
        <w:tabs>
          <w:tab w:val="left" w:pos="1320" w:leader="none"/>
        </w:tabs>
        <w:rPr>
          <w:rFonts w:ascii="宋体" w:hAnsi="宋体" w:eastAsia="宋体"/>
          <w:b/>
          <w:sz w:val="30"/>
          <w:szCs w:val="30"/>
          <w:highlight w:val="none"/>
        </w:rPr>
      </w:pPr>
      <w:r>
        <w:rPr>
          <w:rFonts w:ascii="宋体" w:hAnsi="宋体" w:eastAsia="宋体"/>
          <w:b/>
          <w:sz w:val="30"/>
          <w:szCs w:val="30"/>
          <w:highlight w:val="none"/>
        </w:rPr>
        <w:t xml:space="preserve">参加政府采购活动前三年内，在经营活动中没有重大违法记录声明</w:t>
      </w:r>
      <w:r>
        <w:rPr>
          <w:rFonts w:ascii="宋体" w:hAnsi="宋体" w:eastAsia="宋体"/>
          <w:b/>
          <w:sz w:val="30"/>
          <w:szCs w:val="30"/>
          <w:highlight w:val="none"/>
        </w:rPr>
      </w:r>
      <w:r/>
    </w:p>
    <w:p>
      <w:pPr>
        <w:pStyle w:val="1165"/>
        <w:spacing w:line="360" w:lineRule="auto"/>
        <w:rPr>
          <w:rFonts w:hAnsi="宋体" w:eastAsia="宋体"/>
          <w:bCs/>
          <w:sz w:val="21"/>
          <w:szCs w:val="21"/>
          <w:highlight w:val="none"/>
          <w:lang w:val="zh-CN"/>
        </w:rPr>
      </w:pPr>
      <w:r>
        <w:rPr>
          <w:rFonts w:hAnsi="宋体" w:eastAsia="宋体"/>
          <w:bCs/>
          <w:sz w:val="21"/>
          <w:szCs w:val="21"/>
          <w:highlight w:val="none"/>
          <w:lang w:val="zh-CN"/>
        </w:rPr>
      </w:r>
      <w:r/>
    </w:p>
    <w:p>
      <w:pPr>
        <w:pStyle w:val="1073"/>
        <w:spacing w:line="360" w:lineRule="auto"/>
        <w:rPr>
          <w:rFonts w:ascii="宋体" w:hAnsi="宋体" w:eastAsia="宋体"/>
          <w:szCs w:val="21"/>
          <w:highlight w:val="none"/>
        </w:rPr>
      </w:pPr>
      <w:r>
        <w:rPr>
          <w:rFonts w:ascii="宋体" w:hAnsi="宋体" w:eastAsia="宋体"/>
          <w:szCs w:val="21"/>
          <w:highlight w:val="none"/>
        </w:rPr>
        <w:t xml:space="preserve">致：</w:t>
      </w:r>
      <w:r>
        <w:rPr>
          <w:rFonts w:ascii="宋体" w:hAnsi="宋体" w:eastAsia="宋体"/>
          <w:szCs w:val="21"/>
          <w:highlight w:val="none"/>
          <w:lang w:val="zh-CN"/>
        </w:rPr>
        <w:t xml:space="preserve">江苏正华新工程咨询有限公司</w:t>
      </w:r>
      <w:r>
        <w:rPr>
          <w:rFonts w:ascii="宋体" w:hAnsi="宋体" w:eastAsia="宋体"/>
          <w:szCs w:val="21"/>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t xml:space="preserve">我单位</w:t>
      </w:r>
      <w:r>
        <w:rPr>
          <w:rFonts w:ascii="宋体" w:hAnsi="宋体" w:eastAsia="宋体"/>
          <w:szCs w:val="21"/>
          <w:highlight w:val="none"/>
          <w:u w:val="single"/>
        </w:rPr>
        <w:t xml:space="preserve">         （供应商名称）        </w:t>
      </w:r>
      <w:r>
        <w:rPr>
          <w:rFonts w:ascii="宋体" w:hAnsi="宋体" w:eastAsia="宋体"/>
          <w:szCs w:val="21"/>
          <w:highlight w:val="none"/>
        </w:rPr>
        <w:t xml:space="preserve"> 在参加政府采购活动前三年内，没有重大违法记录，特此声明。</w:t>
      </w:r>
      <w:r>
        <w:rPr>
          <w:rFonts w:ascii="宋体" w:hAnsi="宋体" w:eastAsia="宋体"/>
          <w:szCs w:val="21"/>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t xml:space="preserve">若采购代理机构在本项目采购过程中发现我单位近三年内在经营活动中有重大违法记录，我单位将无条件退出本项目的招标，并承担因此引起的一起后果。</w:t>
      </w:r>
      <w:r>
        <w:rPr>
          <w:rFonts w:ascii="宋体" w:hAnsi="宋体" w:eastAsia="宋体"/>
          <w:szCs w:val="21"/>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r>
      <w:r/>
    </w:p>
    <w:p>
      <w:pPr>
        <w:pStyle w:val="1073"/>
        <w:ind w:firstLine="210"/>
        <w:spacing w:line="360" w:lineRule="auto"/>
        <w:rPr>
          <w:rFonts w:ascii="宋体" w:hAnsi="宋体" w:eastAsia="宋体"/>
          <w:bCs/>
          <w:szCs w:val="21"/>
          <w:highlight w:val="none"/>
        </w:rPr>
      </w:pPr>
      <w:r>
        <w:rPr>
          <w:rFonts w:ascii="宋体" w:hAnsi="宋体" w:eastAsia="宋体"/>
          <w:bCs/>
          <w:szCs w:val="21"/>
          <w:highlight w:val="none"/>
        </w:rPr>
        <w:t xml:space="preserve">投标人（公章）：</w:t>
      </w:r>
      <w:r>
        <w:rPr>
          <w:rFonts w:ascii="宋体" w:hAnsi="宋体" w:eastAsia="宋体"/>
          <w:bCs/>
          <w:szCs w:val="21"/>
          <w:highlight w:val="none"/>
        </w:rPr>
      </w:r>
      <w:r/>
    </w:p>
    <w:p>
      <w:pPr>
        <w:pStyle w:val="1073"/>
        <w:ind w:firstLine="210"/>
        <w:spacing w:line="360" w:lineRule="auto"/>
        <w:rPr>
          <w:rFonts w:ascii="宋体" w:hAnsi="宋体" w:eastAsia="宋体"/>
          <w:bCs/>
          <w:szCs w:val="21"/>
          <w:highlight w:val="none"/>
        </w:rPr>
      </w:pPr>
      <w:r>
        <w:rPr>
          <w:rFonts w:ascii="宋体" w:hAnsi="宋体" w:eastAsia="宋体"/>
          <w:bCs/>
          <w:szCs w:val="21"/>
          <w:highlight w:val="none"/>
        </w:rPr>
        <w:t xml:space="preserve">法定代表人或代理人：（签字或签章）</w:t>
      </w:r>
      <w:r>
        <w:rPr>
          <w:rFonts w:ascii="宋体" w:hAnsi="宋体" w:eastAsia="宋体"/>
          <w:bCs/>
          <w:szCs w:val="21"/>
          <w:highlight w:val="none"/>
        </w:rPr>
      </w:r>
      <w:r/>
    </w:p>
    <w:p>
      <w:pPr>
        <w:pStyle w:val="1073"/>
        <w:ind w:firstLine="210"/>
        <w:spacing w:line="360" w:lineRule="auto"/>
        <w:rPr>
          <w:rFonts w:ascii="宋体" w:hAnsi="宋体" w:eastAsia="宋体"/>
          <w:bCs/>
          <w:szCs w:val="21"/>
          <w:highlight w:val="none"/>
        </w:rPr>
      </w:pPr>
      <w:r>
        <w:rPr>
          <w:rFonts w:ascii="宋体" w:hAnsi="宋体" w:eastAsia="宋体"/>
          <w:bCs/>
          <w:szCs w:val="21"/>
          <w:highlight w:val="none"/>
        </w:rPr>
        <w:t xml:space="preserve">日期：        年     月     日</w:t>
      </w:r>
      <w:r>
        <w:rPr>
          <w:rFonts w:ascii="宋体" w:hAnsi="宋体" w:eastAsia="宋体"/>
          <w:bCs/>
          <w:szCs w:val="21"/>
          <w:highlight w:val="none"/>
        </w:rPr>
      </w:r>
      <w:r/>
    </w:p>
    <w:p>
      <w:pPr>
        <w:pStyle w:val="1073"/>
        <w:jc w:val="left"/>
        <w:widowControl/>
        <w:rPr>
          <w:rFonts w:ascii="宋体" w:hAnsi="宋体" w:eastAsia="宋体"/>
          <w:sz w:val="24"/>
          <w:szCs w:val="20"/>
          <w:highlight w:val="none"/>
        </w:rPr>
      </w:pPr>
      <w:r>
        <w:rPr>
          <w:rFonts w:ascii="宋体" w:hAnsi="宋体" w:eastAsia="宋体"/>
          <w:sz w:val="24"/>
          <w:szCs w:val="20"/>
          <w:highlight w:val="none"/>
        </w:rPr>
        <w:br w:type="page" w:clear="all"/>
      </w:r>
      <w:r>
        <w:rPr>
          <w:rFonts w:ascii="宋体" w:hAnsi="宋体" w:eastAsia="宋体"/>
          <w:sz w:val="24"/>
          <w:szCs w:val="20"/>
          <w:highlight w:val="none"/>
        </w:rPr>
        <w:t xml:space="preserve">2 落实政府采购政策需满足的资格要求</w:t>
      </w:r>
      <w:r>
        <w:rPr>
          <w:rFonts w:ascii="宋体" w:hAnsi="宋体" w:eastAsia="宋体"/>
          <w:sz w:val="24"/>
          <w:szCs w:val="20"/>
          <w:highlight w:val="none"/>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t xml:space="preserve">2-1中小企业声明函</w:t>
      </w:r>
      <w:r>
        <w:rPr>
          <w:rFonts w:ascii="宋体" w:hAnsi="宋体" w:eastAsia="宋体"/>
          <w:sz w:val="24"/>
          <w:szCs w:val="20"/>
          <w:highlight w:val="none"/>
        </w:rPr>
      </w:r>
      <w:r/>
    </w:p>
    <w:p>
      <w:pPr>
        <w:pStyle w:val="1073"/>
        <w:jc w:val="center"/>
        <w:rPr>
          <w:rFonts w:ascii="宋体" w:hAnsi="宋体" w:eastAsia="宋体"/>
          <w:sz w:val="24"/>
          <w:highlight w:val="none"/>
        </w:rPr>
      </w:pPr>
      <w:r>
        <w:rPr>
          <w:rFonts w:ascii="宋体" w:hAnsi="宋体" w:eastAsia="宋体"/>
          <w:sz w:val="24"/>
          <w:highlight w:val="none"/>
        </w:rPr>
        <w:t xml:space="preserve">中小企业声明函（服务）</w:t>
      </w:r>
      <w:r>
        <w:rPr>
          <w:rFonts w:ascii="宋体" w:hAnsi="宋体" w:eastAsia="宋体"/>
          <w:sz w:val="24"/>
          <w:highlight w:val="none"/>
        </w:rPr>
      </w:r>
      <w:r/>
    </w:p>
    <w:p>
      <w:pPr>
        <w:pStyle w:val="1073"/>
        <w:rPr>
          <w:rFonts w:ascii="宋体" w:hAnsi="宋体" w:eastAsia="宋体"/>
          <w:sz w:val="24"/>
          <w:highlight w:val="none"/>
        </w:rPr>
      </w:pPr>
      <w:r>
        <w:rPr>
          <w:rFonts w:ascii="宋体" w:hAnsi="宋体" w:eastAsia="宋体"/>
          <w:sz w:val="24"/>
          <w:highlight w:val="none"/>
        </w:rPr>
      </w:r>
      <w:r/>
    </w:p>
    <w:p>
      <w:pPr>
        <w:pStyle w:val="1073"/>
        <w:ind w:firstLine="480"/>
        <w:spacing w:line="480" w:lineRule="exact"/>
        <w:rPr>
          <w:rFonts w:ascii="宋体" w:hAnsi="宋体" w:eastAsia="宋体"/>
          <w:sz w:val="24"/>
          <w:highlight w:val="none"/>
        </w:rPr>
      </w:pPr>
      <w:r>
        <w:rPr>
          <w:rFonts w:ascii="宋体" w:hAnsi="宋体" w:eastAsia="宋体"/>
          <w:sz w:val="24"/>
          <w:highlight w:val="none"/>
        </w:rPr>
        <w:t xml:space="preserve">本公司（联合体）郑重声明，根据《政府采购促进中小企业发展管理办法》（财库</w:t>
      </w:r>
      <w:r>
        <w:rPr>
          <w:rFonts w:hint="eastAsia" w:ascii="宋体" w:hAnsi="宋体" w:eastAsia="宋体"/>
          <w:sz w:val="24"/>
          <w:highlight w:val="none"/>
        </w:rPr>
        <w:t xml:space="preserve">﹝</w:t>
      </w:r>
      <w:r>
        <w:rPr>
          <w:rFonts w:ascii="宋体" w:hAnsi="宋体" w:eastAsia="宋体"/>
          <w:sz w:val="24"/>
          <w:highlight w:val="none"/>
        </w:rPr>
        <w:t xml:space="preserve">2020</w:t>
      </w:r>
      <w:r>
        <w:rPr>
          <w:rFonts w:hint="eastAsia" w:ascii="宋体" w:hAnsi="宋体" w:eastAsia="宋体"/>
          <w:sz w:val="24"/>
          <w:highlight w:val="none"/>
        </w:rPr>
        <w:t xml:space="preserve">﹞</w:t>
      </w:r>
      <w:r>
        <w:rPr>
          <w:rFonts w:ascii="宋体" w:hAnsi="宋体" w:eastAsia="宋体"/>
          <w:sz w:val="24"/>
          <w:highlight w:val="none"/>
        </w:rPr>
        <w:t xml:space="preserve">46号）的规定，本公司（联合体）参加</w:t>
      </w:r>
      <w:r>
        <w:rPr>
          <w:rFonts w:hint="eastAsia" w:ascii="宋体" w:hAnsi="宋体" w:eastAsia="宋体"/>
          <w:i/>
          <w:sz w:val="24"/>
          <w:highlight w:val="none"/>
          <w:u w:val="single"/>
        </w:rPr>
        <w:t xml:space="preserve">（单位名称）</w:t>
      </w:r>
      <w:r>
        <w:rPr>
          <w:rFonts w:ascii="宋体" w:hAnsi="宋体" w:eastAsia="宋体"/>
          <w:sz w:val="24"/>
          <w:highlight w:val="none"/>
        </w:rPr>
        <w:t xml:space="preserve">的</w:t>
      </w:r>
      <w:r>
        <w:rPr>
          <w:rFonts w:hint="eastAsia" w:ascii="宋体" w:hAnsi="宋体" w:eastAsia="宋体"/>
          <w:i/>
          <w:sz w:val="24"/>
          <w:highlight w:val="none"/>
          <w:u w:val="single"/>
        </w:rPr>
        <w:t xml:space="preserve">（项目名称）</w:t>
      </w:r>
      <w:r>
        <w:rPr>
          <w:rFonts w:ascii="宋体" w:hAnsi="宋体" w:eastAsia="宋体"/>
          <w:sz w:val="24"/>
          <w:highlight w:val="none"/>
        </w:rPr>
        <w:t xml:space="preserve">采购活动，服务全部由符合政策要求的中小企业承接。相关企业的具体情况如下：</w:t>
      </w:r>
      <w:r>
        <w:rPr>
          <w:rFonts w:ascii="宋体" w:hAnsi="宋体" w:eastAsia="宋体"/>
          <w:sz w:val="24"/>
          <w:highlight w:val="none"/>
        </w:rPr>
      </w:r>
      <w:r/>
    </w:p>
    <w:p>
      <w:pPr>
        <w:pStyle w:val="1073"/>
        <w:ind w:firstLine="480"/>
        <w:spacing w:line="480" w:lineRule="exact"/>
        <w:rPr>
          <w:rFonts w:ascii="宋体" w:hAnsi="宋体" w:eastAsia="宋体"/>
          <w:sz w:val="24"/>
          <w:highlight w:val="none"/>
        </w:rPr>
      </w:pPr>
      <w:r>
        <w:rPr>
          <w:rFonts w:ascii="宋体" w:hAnsi="宋体" w:eastAsia="宋体"/>
          <w:sz w:val="24"/>
          <w:highlight w:val="none"/>
        </w:rPr>
        <w:t xml:space="preserve">1</w:t>
      </w:r>
      <w:r>
        <w:rPr>
          <w:rFonts w:hint="eastAsia" w:ascii="宋体" w:hAnsi="宋体" w:eastAsia="宋体"/>
          <w:sz w:val="24"/>
          <w:highlight w:val="none"/>
        </w:rPr>
        <w:t xml:space="preserve">、</w:t>
      </w:r>
      <w:r>
        <w:rPr>
          <w:rFonts w:hint="eastAsia" w:ascii="宋体" w:hAnsi="宋体" w:eastAsia="宋体"/>
          <w:i/>
          <w:sz w:val="24"/>
          <w:highlight w:val="none"/>
          <w:u w:val="single"/>
        </w:rPr>
        <w:t xml:space="preserve">（标的名称）</w:t>
      </w:r>
      <w:r>
        <w:rPr>
          <w:rFonts w:ascii="宋体" w:hAnsi="宋体" w:eastAsia="宋体"/>
          <w:sz w:val="24"/>
          <w:highlight w:val="none"/>
        </w:rPr>
        <w:t xml:space="preserve">，属于</w:t>
      </w:r>
      <w:r>
        <w:rPr>
          <w:rFonts w:hint="eastAsia" w:ascii="宋体" w:hAnsi="宋体" w:eastAsia="宋体"/>
          <w:sz w:val="24"/>
          <w:highlight w:val="none"/>
          <w:u w:val="single"/>
        </w:rPr>
        <w:t xml:space="preserve">            </w:t>
      </w:r>
      <w:r>
        <w:rPr>
          <w:rFonts w:hint="eastAsia" w:ascii="宋体" w:hAnsi="宋体" w:eastAsia="宋体"/>
          <w:i/>
          <w:sz w:val="24"/>
          <w:highlight w:val="none"/>
          <w:u w:val="single"/>
        </w:rPr>
        <w:t xml:space="preserve">  </w:t>
      </w:r>
      <w:r>
        <w:rPr>
          <w:rFonts w:hint="eastAsia" w:ascii="宋体" w:hAnsi="宋体" w:eastAsia="宋体"/>
          <w:sz w:val="24"/>
          <w:highlight w:val="none"/>
        </w:rPr>
        <w:t xml:space="preserve">行业</w:t>
      </w:r>
      <w:r>
        <w:rPr>
          <w:rFonts w:ascii="宋体" w:hAnsi="宋体" w:eastAsia="宋体"/>
          <w:sz w:val="24"/>
          <w:highlight w:val="none"/>
        </w:rPr>
        <w:t xml:space="preserve">；</w:t>
      </w:r>
      <w:r>
        <w:rPr>
          <w:rFonts w:hint="eastAsia" w:ascii="宋体" w:hAnsi="宋体" w:eastAsia="宋体"/>
          <w:sz w:val="24"/>
          <w:highlight w:val="none"/>
        </w:rPr>
        <w:t xml:space="preserve">承接企业为</w:t>
      </w:r>
      <w:r>
        <w:rPr>
          <w:rFonts w:hint="eastAsia" w:ascii="宋体" w:hAnsi="宋体" w:eastAsia="宋体"/>
          <w:i/>
          <w:sz w:val="24"/>
          <w:highlight w:val="none"/>
          <w:u w:val="single"/>
        </w:rPr>
        <w:t xml:space="preserve">（企业名称）</w:t>
      </w:r>
      <w:r>
        <w:rPr>
          <w:rFonts w:hint="eastAsia" w:ascii="宋体" w:hAnsi="宋体" w:eastAsia="宋体"/>
          <w:sz w:val="24"/>
          <w:highlight w:val="none"/>
        </w:rPr>
        <w:t xml:space="preserve">，</w:t>
      </w:r>
      <w:r>
        <w:rPr>
          <w:rFonts w:ascii="宋体" w:hAnsi="宋体" w:eastAsia="宋体"/>
          <w:sz w:val="24"/>
          <w:highlight w:val="none"/>
        </w:rPr>
        <w:t xml:space="preserve">从业人员</w:t>
      </w:r>
      <w:r>
        <w:rPr>
          <w:rFonts w:ascii="宋体" w:hAnsi="宋体" w:eastAsia="宋体"/>
          <w:sz w:val="24"/>
          <w:highlight w:val="none"/>
          <w:u w:val="single"/>
        </w:rPr>
        <w:t xml:space="preserve">  </w:t>
      </w:r>
      <w:r>
        <w:rPr>
          <w:rFonts w:ascii="宋体" w:hAnsi="宋体" w:eastAsia="宋体"/>
          <w:sz w:val="24"/>
          <w:highlight w:val="none"/>
          <w:u w:val="single"/>
        </w:rPr>
        <w:tab/>
      </w:r>
      <w:r>
        <w:rPr>
          <w:rFonts w:ascii="宋体" w:hAnsi="宋体" w:eastAsia="宋体"/>
          <w:sz w:val="24"/>
          <w:highlight w:val="none"/>
        </w:rPr>
        <w:t xml:space="preserve">人，营业收入为</w:t>
      </w:r>
      <w:r>
        <w:rPr>
          <w:rFonts w:ascii="宋体" w:hAnsi="宋体" w:eastAsia="宋体"/>
          <w:sz w:val="24"/>
          <w:highlight w:val="none"/>
          <w:u w:val="single"/>
        </w:rPr>
        <w:t xml:space="preserve"> </w:t>
      </w:r>
      <w:r>
        <w:rPr>
          <w:rFonts w:ascii="宋体" w:hAnsi="宋体" w:eastAsia="宋体"/>
          <w:sz w:val="24"/>
          <w:highlight w:val="none"/>
          <w:u w:val="single"/>
        </w:rPr>
        <w:tab/>
      </w:r>
      <w:r>
        <w:rPr>
          <w:rFonts w:ascii="宋体" w:hAnsi="宋体" w:eastAsia="宋体"/>
          <w:sz w:val="24"/>
          <w:highlight w:val="none"/>
          <w:u w:val="single"/>
        </w:rPr>
        <w:t xml:space="preserve"> </w:t>
      </w:r>
      <w:r>
        <w:rPr>
          <w:rFonts w:ascii="宋体" w:hAnsi="宋体" w:eastAsia="宋体"/>
          <w:sz w:val="24"/>
          <w:highlight w:val="none"/>
        </w:rPr>
        <w:t xml:space="preserve">万元，资产总额为</w:t>
      </w:r>
      <w:r>
        <w:rPr>
          <w:rFonts w:ascii="宋体" w:hAnsi="宋体" w:eastAsia="宋体"/>
          <w:sz w:val="24"/>
          <w:highlight w:val="none"/>
          <w:u w:val="single"/>
        </w:rPr>
        <w:t xml:space="preserve"> </w:t>
      </w:r>
      <w:r>
        <w:rPr>
          <w:rFonts w:ascii="宋体" w:hAnsi="宋体" w:eastAsia="宋体"/>
          <w:sz w:val="24"/>
          <w:highlight w:val="none"/>
          <w:u w:val="single"/>
        </w:rPr>
        <w:tab/>
      </w:r>
      <w:r>
        <w:rPr>
          <w:rFonts w:ascii="宋体" w:hAnsi="宋体" w:eastAsia="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ascii="宋体" w:hAnsi="宋体" w:eastAsia="宋体"/>
          <w:position w:val="16"/>
          <w:sz w:val="24"/>
          <w:highlight w:val="none"/>
        </w:rPr>
        <w:t xml:space="preserve">1</w:t>
      </w:r>
      <w:r>
        <w:rPr>
          <w:rFonts w:ascii="宋体" w:hAnsi="宋体" w:eastAsia="宋体"/>
          <w:position w:val="16"/>
          <w:sz w:val="24"/>
          <w:highlight w:val="none"/>
        </w:rPr>
        <w:fldChar w:fldCharType="end"/>
      </w:r>
      <w:r>
        <w:rPr>
          <w:rFonts w:hint="eastAsia" w:ascii="宋体" w:hAnsi="宋体" w:eastAsia="宋体"/>
          <w:sz w:val="24"/>
          <w:highlight w:val="none"/>
        </w:rPr>
        <w:t xml:space="preserve">，</w:t>
      </w:r>
      <w:r>
        <w:rPr>
          <w:rFonts w:ascii="宋体" w:hAnsi="宋体" w:eastAsia="宋体"/>
          <w:sz w:val="24"/>
          <w:highlight w:val="none"/>
        </w:rPr>
        <w:t xml:space="preserve">属于</w:t>
      </w:r>
      <w:r>
        <w:rPr>
          <w:rFonts w:hint="eastAsia" w:ascii="宋体" w:hAnsi="宋体" w:eastAsia="宋体"/>
          <w:i/>
          <w:sz w:val="24"/>
          <w:highlight w:val="none"/>
          <w:u w:val="single"/>
        </w:rPr>
        <w:t xml:space="preserve">（中型企业、小型企业、微型企业）</w:t>
      </w:r>
      <w:r>
        <w:rPr>
          <w:rFonts w:ascii="宋体" w:hAnsi="宋体" w:eastAsia="宋体"/>
          <w:sz w:val="24"/>
          <w:highlight w:val="none"/>
        </w:rPr>
        <w:t xml:space="preserve">；</w:t>
      </w:r>
      <w:r>
        <w:rPr>
          <w:rFonts w:ascii="宋体" w:hAnsi="宋体" w:eastAsia="宋体"/>
          <w:sz w:val="24"/>
          <w:highlight w:val="none"/>
        </w:rPr>
      </w:r>
      <w:r/>
    </w:p>
    <w:p>
      <w:pPr>
        <w:pStyle w:val="1073"/>
        <w:ind w:firstLine="480"/>
        <w:spacing w:line="480" w:lineRule="exact"/>
        <w:rPr>
          <w:rFonts w:ascii="宋体" w:hAnsi="宋体" w:eastAsia="宋体"/>
          <w:sz w:val="24"/>
          <w:highlight w:val="none"/>
        </w:rPr>
      </w:pPr>
      <w:r>
        <w:rPr>
          <w:rFonts w:ascii="宋体" w:hAnsi="宋体" w:eastAsia="宋体"/>
          <w:sz w:val="24"/>
          <w:highlight w:val="none"/>
        </w:rPr>
        <w:t xml:space="preserve">……</w:t>
      </w:r>
      <w:r>
        <w:rPr>
          <w:rFonts w:ascii="宋体" w:hAnsi="宋体" w:eastAsia="宋体"/>
          <w:sz w:val="24"/>
          <w:highlight w:val="none"/>
        </w:rPr>
      </w:r>
      <w:r/>
    </w:p>
    <w:p>
      <w:pPr>
        <w:pStyle w:val="1073"/>
        <w:ind w:firstLine="480"/>
        <w:spacing w:line="480" w:lineRule="exact"/>
        <w:rPr>
          <w:rFonts w:ascii="宋体" w:hAnsi="宋体" w:eastAsia="宋体"/>
          <w:sz w:val="24"/>
          <w:highlight w:val="none"/>
        </w:rPr>
      </w:pPr>
      <w:r>
        <w:rPr>
          <w:rFonts w:hint="eastAsia" w:ascii="宋体" w:hAnsi="宋体" w:eastAsia="宋体"/>
          <w:sz w:val="24"/>
          <w:highlight w:val="none"/>
        </w:rPr>
        <w:t xml:space="preserve">以上企业，不属于大企业的分支机构，不存在控股股东为大企业的情形，也不存在与大企业的负责人为同一人的情形。</w:t>
      </w:r>
      <w:r>
        <w:rPr>
          <w:rFonts w:ascii="宋体" w:hAnsi="宋体" w:eastAsia="宋体"/>
          <w:sz w:val="24"/>
          <w:highlight w:val="none"/>
        </w:rPr>
      </w:r>
      <w:r/>
    </w:p>
    <w:p>
      <w:pPr>
        <w:pStyle w:val="1073"/>
        <w:ind w:firstLine="480"/>
        <w:spacing w:line="480" w:lineRule="exact"/>
        <w:rPr>
          <w:rFonts w:ascii="宋体" w:hAnsi="宋体" w:eastAsia="宋体"/>
          <w:sz w:val="24"/>
          <w:highlight w:val="none"/>
        </w:rPr>
      </w:pPr>
      <w:r>
        <w:rPr>
          <w:rFonts w:hint="eastAsia" w:ascii="宋体" w:hAnsi="宋体" w:eastAsia="宋体"/>
          <w:sz w:val="24"/>
          <w:highlight w:val="none"/>
        </w:rPr>
        <w:t xml:space="preserve">本企业对上述声明内容的真实性负责。如有虚假，将依法承担相应责任。</w:t>
      </w:r>
      <w:r>
        <w:rPr>
          <w:rFonts w:ascii="宋体" w:hAnsi="宋体" w:eastAsia="宋体"/>
          <w:sz w:val="24"/>
          <w:highlight w:val="none"/>
        </w:rPr>
      </w:r>
      <w:r/>
    </w:p>
    <w:p>
      <w:pPr>
        <w:pStyle w:val="1073"/>
        <w:ind w:firstLine="4800"/>
        <w:jc w:val="left"/>
        <w:spacing w:line="480" w:lineRule="exact"/>
        <w:rPr>
          <w:rFonts w:ascii="宋体" w:hAnsi="宋体" w:eastAsia="宋体"/>
          <w:sz w:val="24"/>
          <w:highlight w:val="none"/>
        </w:rPr>
      </w:pPr>
      <w:r>
        <w:rPr>
          <w:rFonts w:ascii="宋体" w:hAnsi="宋体" w:eastAsia="宋体"/>
          <w:sz w:val="24"/>
          <w:highlight w:val="none"/>
        </w:rPr>
      </w:r>
      <w:r/>
    </w:p>
    <w:p>
      <w:pPr>
        <w:pStyle w:val="1073"/>
        <w:ind w:firstLine="4800"/>
        <w:jc w:val="left"/>
        <w:spacing w:line="480" w:lineRule="exact"/>
        <w:rPr>
          <w:rFonts w:ascii="宋体" w:hAnsi="宋体" w:eastAsia="宋体"/>
          <w:sz w:val="24"/>
          <w:highlight w:val="none"/>
        </w:rPr>
      </w:pPr>
      <w:r>
        <w:rPr>
          <w:rFonts w:hint="eastAsia" w:ascii="宋体" w:hAnsi="宋体" w:eastAsia="宋体"/>
          <w:sz w:val="24"/>
          <w:highlight w:val="none"/>
        </w:rPr>
        <w:t xml:space="preserve">企业名称（盖章）：</w:t>
      </w:r>
      <w:r>
        <w:rPr>
          <w:rFonts w:ascii="宋体" w:hAnsi="宋体" w:eastAsia="宋体"/>
          <w:sz w:val="24"/>
          <w:highlight w:val="none"/>
        </w:rPr>
      </w:r>
      <w:r/>
    </w:p>
    <w:p>
      <w:pPr>
        <w:pStyle w:val="1073"/>
        <w:ind w:right="1120" w:firstLine="4800"/>
        <w:jc w:val="left"/>
        <w:spacing w:line="480" w:lineRule="exact"/>
        <w:rPr>
          <w:rFonts w:ascii="宋体" w:hAnsi="宋体" w:eastAsia="宋体"/>
          <w:sz w:val="24"/>
          <w:highlight w:val="none"/>
        </w:rPr>
      </w:pPr>
      <w:r>
        <w:rPr>
          <w:rFonts w:hint="eastAsia" w:ascii="宋体" w:hAnsi="宋体" w:eastAsia="宋体"/>
          <w:sz w:val="24"/>
          <w:highlight w:val="none"/>
        </w:rPr>
        <w:t xml:space="preserve">日期：</w:t>
      </w:r>
      <w:r>
        <w:rPr>
          <w:rFonts w:ascii="宋体" w:hAnsi="宋体" w:eastAsia="宋体"/>
          <w:sz w:val="24"/>
          <w:highlight w:val="none"/>
        </w:rPr>
      </w:r>
      <w:r/>
    </w:p>
    <w:p>
      <w:pPr>
        <w:pStyle w:val="1073"/>
        <w:rPr>
          <w:rFonts w:ascii="宋体" w:hAnsi="宋体" w:eastAsia="宋体"/>
          <w:highlight w:val="none"/>
        </w:rPr>
      </w:pPr>
      <w:r>
        <w:rPr>
          <w:rFonts w:ascii="宋体" w:hAnsi="宋体" w:eastAsia="宋体"/>
          <w:highlight w:val="none"/>
        </w:rPr>
      </w:r>
      <w:r/>
    </w:p>
    <w:p>
      <w:pPr>
        <w:pStyle w:val="1073"/>
        <w:spacing w:line="480" w:lineRule="exact"/>
        <w:rPr>
          <w:rFonts w:ascii="宋体" w:hAnsi="宋体" w:eastAsia="宋体"/>
          <w:sz w:val="24"/>
          <w:highlight w:val="none"/>
        </w:rPr>
      </w:pPr>
      <w:r>
        <w:rPr>
          <w:highlight w:val="none"/>
        </w:rPr>
        <w:fldChar w:fldCharType="begin"/>
      </w:r>
      <w:r>
        <w:rPr>
          <w:highlight w:val="none"/>
        </w:rPr>
        <w:instrText xml:space="preserve"> HYPERLINK \l "_bookmark1" </w:instrText>
      </w:r>
      <w:r>
        <w:rPr>
          <w:highlight w:val="none"/>
        </w:rPr>
        <w:fldChar w:fldCharType="separate"/>
      </w:r>
      <w:r>
        <w:rPr>
          <w:rFonts w:ascii="宋体" w:hAnsi="宋体" w:eastAsia="宋体"/>
          <w:position w:val="16"/>
          <w:sz w:val="24"/>
          <w:highlight w:val="none"/>
        </w:rPr>
        <w:t xml:space="preserve">1</w:t>
      </w:r>
      <w:r>
        <w:rPr>
          <w:rFonts w:ascii="宋体" w:hAnsi="宋体" w:eastAsia="宋体"/>
          <w:position w:val="16"/>
          <w:sz w:val="24"/>
          <w:highlight w:val="none"/>
        </w:rPr>
        <w:fldChar w:fldCharType="end"/>
      </w:r>
      <w:r>
        <w:rPr>
          <w:rFonts w:hint="eastAsia" w:ascii="宋体" w:hAnsi="宋体" w:eastAsia="宋体"/>
          <w:sz w:val="24"/>
          <w:highlight w:val="none"/>
        </w:rPr>
        <w:t xml:space="preserve">从业人员、营业收入、资产总额填报上一年度数据，无上一年度数据的新成立企业可不填报。</w:t>
      </w:r>
      <w:r>
        <w:rPr>
          <w:rFonts w:ascii="宋体" w:hAnsi="宋体" w:eastAsia="宋体"/>
          <w:sz w:val="24"/>
          <w:highlight w:val="none"/>
        </w:rPr>
      </w:r>
      <w:r/>
    </w:p>
    <w:p>
      <w:pPr>
        <w:pStyle w:val="1073"/>
        <w:ind w:firstLine="482"/>
        <w:jc w:val="left"/>
        <w:spacing w:line="480" w:lineRule="exact"/>
        <w:rPr>
          <w:rFonts w:ascii="宋体" w:hAnsi="宋体" w:eastAsia="宋体"/>
          <w:b/>
          <w:sz w:val="24"/>
          <w:highlight w:val="none"/>
        </w:rPr>
      </w:pPr>
      <w:r>
        <w:rPr>
          <w:rFonts w:hint="eastAsia" w:ascii="宋体" w:hAnsi="宋体" w:eastAsia="宋体"/>
          <w:b/>
          <w:sz w:val="24"/>
          <w:highlight w:val="none"/>
        </w:rPr>
        <w:t xml:space="preserve">备注：</w:t>
      </w:r>
      <w:r>
        <w:rPr>
          <w:rFonts w:ascii="宋体" w:hAnsi="宋体" w:eastAsia="宋体"/>
          <w:b/>
          <w:sz w:val="24"/>
          <w:highlight w:val="none"/>
        </w:rPr>
      </w:r>
      <w:r/>
    </w:p>
    <w:p>
      <w:pPr>
        <w:pStyle w:val="1073"/>
        <w:ind w:firstLine="442"/>
        <w:spacing w:line="43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备注：</w:t>
      </w:r>
      <w:r>
        <w:rPr>
          <w:rFonts w:ascii="宋体" w:hAnsi="宋体" w:eastAsia="宋体"/>
        </w:rPr>
      </w:r>
      <w:r/>
    </w:p>
    <w:p>
      <w:pPr>
        <w:pStyle w:val="1073"/>
        <w:numPr>
          <w:ilvl w:val="0"/>
          <w:numId w:val="16"/>
        </w:numPr>
        <w:ind w:firstLine="480"/>
        <w:spacing w:line="519"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投标人应提供中小企业声明函或残疾人福利性单位声明函或省级以上监狱管理局、戒毒管理局（含新疆生产建设兵团）出具的属于监狱企业的证明文件或者满足要求的分包意向协议</w:t>
      </w:r>
      <w:r>
        <w:rPr>
          <w:rFonts w:hint="eastAsia" w:ascii="宋体" w:hAnsi="宋体" w:eastAsia="宋体" w:cs="宋体"/>
          <w:b/>
          <w:sz w:val="24"/>
          <w:lang w:eastAsia="zh-CN"/>
        </w:rPr>
        <w:t xml:space="preserve">。</w:t>
      </w:r>
      <w:r>
        <w:rPr>
          <w:rFonts w:ascii="宋体" w:hAnsi="宋体" w:eastAsia="宋体" w:cs="宋体"/>
          <w:b/>
          <w:sz w:val="24"/>
          <w:lang w:eastAsia="zh-CN"/>
        </w:rPr>
      </w:r>
      <w:r/>
    </w:p>
    <w:p>
      <w:pPr>
        <w:pStyle w:val="1073"/>
        <w:ind w:firstLine="480"/>
        <w:spacing w:line="51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2、投标人提供的中小企业声明函必须包含本项目所有服务及其服务承接企业，并按照声明函格式填写完整、明确，</w:t>
      </w:r>
      <w:r>
        <w:rPr>
          <w:rFonts w:ascii="宋体" w:hAnsi="宋体" w:eastAsia="宋体" w:cs="宋体"/>
          <w:b/>
          <w:bCs/>
          <w:sz w:val="24"/>
          <w:lang w:eastAsia="zh-CN"/>
        </w:rPr>
        <w:t xml:space="preserve">否则视为未按规定提供声明函，投标无效。</w:t>
      </w:r>
      <w:r>
        <w:rPr>
          <w:rFonts w:ascii="宋体" w:hAnsi="宋体" w:eastAsia="宋体"/>
          <w:lang w:eastAsia="zh-CN"/>
        </w:rPr>
      </w:r>
      <w:r/>
    </w:p>
    <w:p>
      <w:pPr>
        <w:pStyle w:val="1073"/>
        <w:ind w:firstLine="480"/>
        <w:spacing w:line="46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3、中标、成交供应商享受规定的中小企业扶持政策的，《中小企业声明函》应当随中标、成交结果同时公告，接受社会监督。</w:t>
      </w:r>
      <w:r>
        <w:rPr>
          <w:rFonts w:ascii="宋体" w:hAnsi="宋体" w:eastAsia="宋体" w:cs="宋体"/>
          <w:sz w:val="24"/>
          <w:lang w:eastAsia="zh-CN"/>
        </w:rPr>
      </w:r>
      <w:r/>
    </w:p>
    <w:p>
      <w:pPr>
        <w:pStyle w:val="1073"/>
        <w:jc w:val="left"/>
        <w:widowControl/>
        <w:rPr>
          <w:rFonts w:ascii="宋体" w:hAnsi="宋体" w:eastAsia="宋体"/>
          <w:sz w:val="24"/>
          <w:highlight w:val="none"/>
        </w:rPr>
      </w:pPr>
      <w:r>
        <w:rPr>
          <w:rFonts w:ascii="宋体" w:hAnsi="宋体" w:eastAsia="宋体"/>
          <w:sz w:val="24"/>
          <w:highlight w:val="none"/>
        </w:rPr>
      </w:r>
      <w:r/>
    </w:p>
    <w:p>
      <w:pPr>
        <w:pStyle w:val="1362"/>
        <w:spacing w:after="0" w:line="480" w:lineRule="exact"/>
        <w:rPr>
          <w:rFonts w:ascii="宋体" w:hAnsi="宋体" w:eastAsia="宋体"/>
          <w:b/>
          <w:sz w:val="21"/>
          <w:szCs w:val="21"/>
          <w:lang w:eastAsia="zh-CN"/>
        </w:rPr>
      </w:pPr>
      <w:r>
        <w:rPr>
          <w:rFonts w:hint="eastAsia" w:ascii="宋体" w:hAnsi="宋体" w:eastAsia="宋体"/>
          <w:b/>
          <w:sz w:val="21"/>
          <w:szCs w:val="21"/>
          <w:lang w:eastAsia="zh-CN"/>
        </w:rPr>
        <w:t xml:space="preserve">附：中小企业划型标准规定</w:t>
      </w:r>
      <w:r>
        <w:rPr>
          <w:rFonts w:ascii="宋体" w:hAnsi="宋体" w:eastAsia="宋体"/>
          <w:b/>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（一）农、林、牧、渔业。</w:t>
      </w:r>
      <w:r>
        <w:rPr>
          <w:rFonts w:hint="eastAsia" w:ascii="宋体" w:hAnsi="宋体" w:eastAsia="宋体"/>
          <w:sz w:val="21"/>
          <w:szCs w:val="21"/>
          <w:lang w:eastAsia="zh-CN"/>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（二）工业。</w:t>
      </w:r>
      <w:r>
        <w:rPr>
          <w:rFonts w:hint="eastAsia" w:ascii="宋体" w:hAnsi="宋体" w:eastAsia="宋体"/>
          <w:sz w:val="21"/>
          <w:szCs w:val="21"/>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（三）建筑业。</w:t>
      </w:r>
      <w:r>
        <w:rPr>
          <w:rFonts w:hint="eastAsia" w:ascii="宋体" w:hAnsi="宋体" w:eastAsia="宋体"/>
          <w:sz w:val="21"/>
          <w:szCs w:val="21"/>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（四）批发业。</w:t>
      </w:r>
      <w:r>
        <w:rPr>
          <w:rFonts w:hint="eastAsia" w:ascii="宋体" w:hAnsi="宋体" w:eastAsia="宋体"/>
          <w:sz w:val="21"/>
          <w:szCs w:val="21"/>
          <w:lang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（五）零售业。</w:t>
      </w:r>
      <w:r>
        <w:rPr>
          <w:rFonts w:hint="eastAsia" w:ascii="宋体" w:hAnsi="宋体" w:eastAsia="宋体"/>
          <w:sz w:val="21"/>
          <w:szCs w:val="21"/>
          <w:lang w:eastAsia="zh-C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（六）交通运输业。</w:t>
      </w:r>
      <w:r>
        <w:rPr>
          <w:rFonts w:hint="eastAsia" w:ascii="宋体" w:hAnsi="宋体" w:eastAsia="宋体"/>
          <w:sz w:val="21"/>
          <w:szCs w:val="21"/>
          <w:lang w:eastAsia="zh-C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（七）仓储业。</w:t>
      </w:r>
      <w:r>
        <w:rPr>
          <w:rFonts w:hint="eastAsia" w:ascii="宋体" w:hAnsi="宋体" w:eastAsia="宋体"/>
          <w:sz w:val="21"/>
          <w:szCs w:val="21"/>
          <w:lang w:eastAsia="zh-C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（八）邮政业。</w:t>
      </w:r>
      <w:r>
        <w:rPr>
          <w:rFonts w:hint="eastAsia" w:ascii="宋体" w:hAnsi="宋体" w:eastAsia="宋体"/>
          <w:sz w:val="21"/>
          <w:szCs w:val="21"/>
          <w:lang w:eastAsia="zh-C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（九）住宿业。</w:t>
      </w:r>
      <w:r>
        <w:rPr>
          <w:rFonts w:hint="eastAsia" w:ascii="宋体" w:hAnsi="宋体" w:eastAsia="宋体"/>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（十）餐饮业。</w:t>
      </w:r>
      <w:r>
        <w:rPr>
          <w:rFonts w:hint="eastAsia" w:ascii="宋体" w:hAnsi="宋体" w:eastAsia="宋体"/>
          <w:sz w:val="21"/>
          <w:szCs w:val="21"/>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（十一）信息传输业。</w:t>
      </w:r>
      <w:r>
        <w:rPr>
          <w:rFonts w:hint="eastAsia" w:ascii="宋体" w:hAnsi="宋体" w:eastAsia="宋体"/>
          <w:sz w:val="21"/>
          <w:szCs w:val="21"/>
          <w:lang w:eastAsia="zh-C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（十二）软件和信息技术服务业。</w:t>
      </w:r>
      <w:r>
        <w:rPr>
          <w:rFonts w:hint="eastAsia" w:ascii="宋体" w:hAnsi="宋体" w:eastAsia="宋体"/>
          <w:sz w:val="21"/>
          <w:szCs w:val="21"/>
          <w:lang w:eastAsia="zh-C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（十三）房地产开发经营。</w:t>
      </w:r>
      <w:r>
        <w:rPr>
          <w:rFonts w:hint="eastAsia" w:ascii="宋体" w:hAnsi="宋体" w:eastAsia="宋体"/>
          <w:sz w:val="21"/>
          <w:szCs w:val="21"/>
          <w:lang w:eastAsia="zh-C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（十四）物业管理。</w:t>
      </w:r>
      <w:r>
        <w:rPr>
          <w:rFonts w:hint="eastAsia" w:ascii="宋体" w:hAnsi="宋体" w:eastAsia="宋体"/>
          <w:sz w:val="21"/>
          <w:szCs w:val="21"/>
          <w:lang w:eastAsia="zh-C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sz w:val="21"/>
          <w:szCs w:val="21"/>
          <w:lang w:eastAsia="zh-CN"/>
        </w:rPr>
      </w:r>
      <w:r/>
    </w:p>
    <w:p>
      <w:pPr>
        <w:pStyle w:val="1362"/>
        <w:spacing w:after="0" w:line="480" w:lineRule="exact"/>
        <w:rPr>
          <w:rFonts w:ascii="宋体" w:hAnsi="宋体" w:eastAsia="宋体"/>
          <w:sz w:val="21"/>
          <w:szCs w:val="21"/>
          <w:lang w:eastAsia="zh-CN"/>
        </w:rPr>
      </w:pPr>
      <w:r>
        <w:rPr>
          <w:rFonts w:hint="eastAsia" w:ascii="宋体" w:hAnsi="宋体" w:eastAsia="宋体"/>
          <w:b/>
          <w:sz w:val="21"/>
          <w:szCs w:val="21"/>
          <w:lang w:eastAsia="zh-CN"/>
        </w:rPr>
        <w:t xml:space="preserve">（十五）租赁和商务服务业。</w:t>
      </w:r>
      <w:r>
        <w:rPr>
          <w:rFonts w:hint="eastAsia" w:ascii="宋体" w:hAnsi="宋体" w:eastAsia="宋体"/>
          <w:sz w:val="21"/>
          <w:szCs w:val="21"/>
          <w:lang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sz w:val="21"/>
          <w:szCs w:val="21"/>
          <w:lang w:eastAsia="zh-CN"/>
        </w:rPr>
      </w:r>
      <w:r/>
    </w:p>
    <w:p>
      <w:pPr>
        <w:pStyle w:val="1362"/>
        <w:spacing w:after="0" w:line="480" w:lineRule="exact"/>
        <w:rPr>
          <w:rFonts w:ascii="宋体" w:hAnsi="宋体" w:eastAsia="宋体" w:cs="宋体"/>
          <w:sz w:val="21"/>
          <w:szCs w:val="21"/>
          <w:lang w:eastAsia="zh-CN"/>
        </w:rPr>
      </w:pPr>
      <w:r>
        <w:rPr>
          <w:rFonts w:hint="eastAsia" w:ascii="宋体" w:hAnsi="宋体" w:eastAsia="宋体"/>
          <w:b/>
          <w:sz w:val="21"/>
          <w:szCs w:val="21"/>
          <w:lang w:eastAsia="zh-CN"/>
        </w:rPr>
        <w:t xml:space="preserve">（十六）其他未列明行业。</w:t>
      </w:r>
      <w:r>
        <w:rPr>
          <w:rFonts w:hint="eastAsia" w:ascii="宋体" w:hAnsi="宋体" w:eastAsia="宋体"/>
          <w:sz w:val="21"/>
          <w:szCs w:val="21"/>
          <w:lang w:eastAsia="zh-CN"/>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sz w:val="21"/>
          <w:szCs w:val="21"/>
          <w:lang w:eastAsia="zh-CN"/>
        </w:rPr>
      </w:r>
      <w:r/>
    </w:p>
    <w:p>
      <w:pPr>
        <w:pStyle w:val="1073"/>
        <w:spacing w:line="439" w:lineRule="atLeast"/>
        <w:rPr>
          <w:rFonts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lang w:eastAsia="zh-CN"/>
        </w:rPr>
      </w:r>
      <w:r/>
    </w:p>
    <w:p>
      <w:pPr>
        <w:pStyle w:val="1073"/>
        <w:jc w:val="left"/>
        <w:widowControl/>
        <w:rPr>
          <w:rFonts w:ascii="宋体" w:hAnsi="宋体" w:eastAsia="宋体"/>
          <w:sz w:val="24"/>
          <w:szCs w:val="20"/>
          <w:highlight w:val="none"/>
        </w:rPr>
      </w:pPr>
      <w:r>
        <w:rPr>
          <w:rFonts w:ascii="宋体" w:hAnsi="宋体" w:eastAsia="宋体"/>
          <w:sz w:val="24"/>
          <w:highlight w:val="none"/>
        </w:rPr>
        <w:br w:type="page" w:clear="all"/>
      </w:r>
      <w:r>
        <w:rPr>
          <w:rFonts w:ascii="宋体" w:hAnsi="宋体" w:eastAsia="宋体"/>
          <w:sz w:val="24"/>
          <w:highlight w:val="none"/>
        </w:rPr>
        <w:t xml:space="preserve">2-2残疾人福利性单位声明函（如有）</w:t>
      </w:r>
      <w:r>
        <w:rPr>
          <w:rFonts w:ascii="宋体" w:hAnsi="宋体" w:eastAsia="宋体"/>
          <w:sz w:val="24"/>
          <w:szCs w:val="20"/>
          <w:highlight w:val="none"/>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143"/>
        <w:jc w:val="center"/>
        <w:spacing w:before="0" w:beforeAutospacing="0" w:after="0" w:afterAutospacing="0" w:line="670" w:lineRule="atLeast"/>
        <w:rPr>
          <w:rFonts w:eastAsia="宋体"/>
          <w:b/>
          <w:sz w:val="32"/>
          <w:szCs w:val="32"/>
          <w:highlight w:val="none"/>
        </w:rPr>
      </w:pPr>
      <w:r>
        <w:rPr>
          <w:rFonts w:eastAsia="宋体"/>
          <w:b/>
          <w:sz w:val="32"/>
          <w:szCs w:val="32"/>
          <w:highlight w:val="none"/>
        </w:rPr>
        <w:t xml:space="preserve">残疾人福利性单位声明函</w:t>
      </w:r>
      <w:r>
        <w:rPr>
          <w:rFonts w:eastAsia="宋体"/>
          <w:b/>
          <w:sz w:val="32"/>
          <w:szCs w:val="32"/>
          <w:highlight w:val="none"/>
        </w:rPr>
      </w:r>
      <w:r/>
    </w:p>
    <w:p>
      <w:pPr>
        <w:pStyle w:val="1073"/>
        <w:ind w:firstLine="1928"/>
        <w:jc w:val="left"/>
        <w:spacing w:line="480" w:lineRule="atLeast"/>
        <w:widowControl/>
        <w:rPr>
          <w:rFonts w:ascii="宋体" w:hAnsi="宋体" w:eastAsia="宋体"/>
          <w:b/>
          <w:sz w:val="32"/>
          <w:szCs w:val="32"/>
          <w:highlight w:val="none"/>
        </w:rPr>
      </w:pPr>
      <w:r>
        <w:rPr>
          <w:rFonts w:ascii="宋体" w:hAnsi="宋体" w:eastAsia="宋体"/>
          <w:b/>
          <w:sz w:val="32"/>
          <w:szCs w:val="32"/>
          <w:highlight w:val="none"/>
        </w:rPr>
      </w:r>
      <w:r/>
    </w:p>
    <w:p>
      <w:pPr>
        <w:pStyle w:val="1073"/>
        <w:ind w:firstLine="480"/>
        <w:jc w:val="left"/>
        <w:spacing w:line="540" w:lineRule="atLeast"/>
        <w:widowControl/>
        <w:rPr>
          <w:rFonts w:ascii="宋体" w:hAnsi="宋体" w:eastAsia="宋体"/>
          <w:sz w:val="24"/>
          <w:highlight w:val="none"/>
        </w:rPr>
      </w:pPr>
      <w:r>
        <w:rPr>
          <w:rFonts w:ascii="宋体" w:hAnsi="宋体" w:eastAsia="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sz w:val="24"/>
          <w:highlight w:val="none"/>
        </w:rPr>
      </w:r>
      <w:r/>
    </w:p>
    <w:p>
      <w:pPr>
        <w:pStyle w:val="1073"/>
        <w:ind w:firstLine="480"/>
        <w:jc w:val="left"/>
        <w:spacing w:line="540" w:lineRule="atLeast"/>
        <w:widowControl/>
        <w:rPr>
          <w:rFonts w:ascii="宋体" w:hAnsi="宋体" w:eastAsia="宋体"/>
          <w:sz w:val="24"/>
          <w:highlight w:val="none"/>
        </w:rPr>
      </w:pPr>
      <w:r>
        <w:rPr>
          <w:rFonts w:ascii="宋体" w:hAnsi="宋体" w:eastAsia="宋体"/>
          <w:sz w:val="24"/>
          <w:highlight w:val="none"/>
        </w:rPr>
        <w:t xml:space="preserve">本单位对上述声明的真实性负责。如有虚假，将依法承担相应责任。</w:t>
      </w:r>
      <w:r>
        <w:rPr>
          <w:rFonts w:ascii="宋体" w:hAnsi="宋体" w:eastAsia="宋体"/>
          <w:sz w:val="24"/>
          <w:highlight w:val="none"/>
        </w:rPr>
      </w:r>
      <w:r/>
    </w:p>
    <w:p>
      <w:pPr>
        <w:pStyle w:val="1073"/>
        <w:jc w:val="left"/>
        <w:spacing w:line="540" w:lineRule="atLeast"/>
        <w:widowControl/>
        <w:rPr>
          <w:rFonts w:ascii="宋体" w:hAnsi="宋体" w:eastAsia="宋体"/>
          <w:sz w:val="24"/>
          <w:highlight w:val="none"/>
        </w:rPr>
      </w:pPr>
      <w:r>
        <w:rPr>
          <w:rFonts w:ascii="宋体" w:hAnsi="宋体" w:eastAsia="宋体"/>
          <w:sz w:val="24"/>
          <w:highlight w:val="none"/>
        </w:rPr>
      </w:r>
      <w:r/>
    </w:p>
    <w:p>
      <w:pPr>
        <w:pStyle w:val="1073"/>
        <w:jc w:val="left"/>
        <w:spacing w:line="540" w:lineRule="atLeast"/>
        <w:widowControl/>
        <w:rPr>
          <w:rFonts w:ascii="宋体" w:hAnsi="宋体" w:eastAsia="宋体"/>
          <w:sz w:val="24"/>
          <w:highlight w:val="none"/>
        </w:rPr>
      </w:pPr>
      <w:r>
        <w:rPr>
          <w:rFonts w:ascii="宋体" w:hAnsi="宋体" w:eastAsia="宋体"/>
          <w:sz w:val="24"/>
          <w:highlight w:val="none"/>
        </w:rPr>
      </w:r>
      <w:r/>
    </w:p>
    <w:p>
      <w:pPr>
        <w:pStyle w:val="1073"/>
        <w:jc w:val="left"/>
        <w:spacing w:line="540" w:lineRule="atLeast"/>
        <w:widowControl/>
        <w:rPr>
          <w:rFonts w:ascii="宋体" w:hAnsi="宋体" w:eastAsia="宋体"/>
          <w:sz w:val="24"/>
          <w:highlight w:val="none"/>
        </w:rPr>
      </w:pPr>
      <w:r>
        <w:rPr>
          <w:rFonts w:ascii="宋体" w:hAnsi="宋体" w:eastAsia="宋体"/>
          <w:sz w:val="24"/>
          <w:highlight w:val="none"/>
        </w:rPr>
        <w:t xml:space="preserve">                                         单位名称（盖章）：</w:t>
      </w:r>
      <w:r>
        <w:rPr>
          <w:rFonts w:ascii="宋体" w:hAnsi="宋体" w:eastAsia="宋体"/>
          <w:sz w:val="24"/>
          <w:highlight w:val="none"/>
        </w:rPr>
      </w:r>
      <w:r/>
    </w:p>
    <w:p>
      <w:pPr>
        <w:pStyle w:val="1073"/>
        <w:jc w:val="left"/>
        <w:spacing w:line="540" w:lineRule="atLeast"/>
        <w:widowControl/>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日 期：</w:t>
      </w:r>
      <w:r>
        <w:rPr>
          <w:rFonts w:ascii="宋体" w:hAnsi="宋体" w:eastAsia="宋体"/>
          <w:sz w:val="24"/>
          <w:highlight w:val="none"/>
        </w:rPr>
      </w:r>
      <w:r/>
    </w:p>
    <w:p>
      <w:pPr>
        <w:pStyle w:val="1073"/>
        <w:jc w:val="left"/>
        <w:widowControl/>
        <w:rPr>
          <w:rFonts w:ascii="宋体" w:hAnsi="宋体" w:eastAsia="宋体"/>
          <w:sz w:val="24"/>
          <w:highlight w:val="none"/>
        </w:rPr>
      </w:pPr>
      <w:r>
        <w:rPr>
          <w:rFonts w:ascii="宋体" w:hAnsi="宋体" w:eastAsia="宋体"/>
          <w:sz w:val="24"/>
          <w:highlight w:val="none"/>
        </w:rPr>
      </w:r>
      <w:r/>
    </w:p>
    <w:p>
      <w:pPr>
        <w:pStyle w:val="1073"/>
        <w:spacing w:line="360" w:lineRule="auto"/>
        <w:rPr>
          <w:rFonts w:ascii="宋体" w:hAnsi="宋体" w:eastAsia="宋体"/>
          <w:szCs w:val="21"/>
          <w:highlight w:val="none"/>
          <w:lang w:val="zh-CN"/>
        </w:rPr>
      </w:pPr>
      <w:r>
        <w:rPr>
          <w:rFonts w:ascii="宋体" w:hAnsi="宋体" w:eastAsia="宋体"/>
          <w:szCs w:val="21"/>
          <w:highlight w:val="none"/>
          <w:lang w:val="zh-CN"/>
        </w:rPr>
      </w:r>
      <w:r/>
    </w:p>
    <w:p>
      <w:pPr>
        <w:pStyle w:val="1073"/>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bookmarkStart w:id="832" w:name="OLE_LINK53"/>
      <w:r>
        <w:rPr>
          <w:rFonts w:hint="eastAsia" w:ascii="宋体" w:hAnsi="宋体" w:eastAsia="宋体" w:cs="Times New Roman"/>
          <w:sz w:val="24"/>
          <w:highlight w:val="none"/>
          <w:lang w:val="en-US" w:eastAsia="zh-CN"/>
        </w:rPr>
        <w:t xml:space="preserve">2-3</w:t>
      </w:r>
      <w:r>
        <w:rPr>
          <w:rFonts w:ascii="宋体" w:hAnsi="宋体" w:eastAsia="宋体" w:cs="Times New Roman"/>
          <w:sz w:val="24"/>
          <w:highlight w:val="none"/>
          <w:lang w:eastAsia="zh-CN"/>
        </w:rPr>
        <w:t xml:space="preserve">监狱企业证明文件（如有）</w:t>
      </w:r>
      <w:r>
        <w:rPr>
          <w:rFonts w:ascii="宋体" w:hAnsi="宋体" w:eastAsia="宋体" w:cs="Times New Roman"/>
          <w:sz w:val="24"/>
          <w:highlight w:val="none"/>
          <w:lang w:eastAsia="zh-CN"/>
        </w:rPr>
        <w:br w:type="textWrapping" w:clear="all"/>
      </w:r>
      <w:r>
        <w:rPr>
          <w:rFonts w:ascii="宋体" w:hAnsi="宋体" w:eastAsia="宋体" w:cs="宋体"/>
          <w:sz w:val="24"/>
          <w:szCs w:val="24"/>
          <w:lang w:eastAsia="zh-CN"/>
        </w:rPr>
        <w:br w:type="textWrapping" w:clear="all"/>
      </w:r>
      <w:r>
        <w:rPr>
          <w:rFonts w:ascii="宋体" w:hAnsi="宋体" w:eastAsia="宋体" w:cs="宋体"/>
          <w:sz w:val="24"/>
          <w:szCs w:val="24"/>
          <w:lang w:eastAsia="zh-CN"/>
        </w:rPr>
        <w:br w:type="textWrapping" w:clear="all"/>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highlight w:val="none"/>
          <w:lang w:eastAsia="zh-CN"/>
        </w:rPr>
      </w:r>
      <w:r/>
    </w:p>
    <w:p>
      <w:pPr>
        <w:pStyle w:val="1073"/>
        <w:jc w:val="left"/>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pStyle w:val="1073"/>
        <w:jc w:val="left"/>
        <w:spacing w:after="0" w:line="440" w:lineRule="exac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832"/>
      <w:r>
        <w:rPr>
          <w:rFonts w:ascii="宋体" w:hAnsi="宋体" w:eastAsia="宋体"/>
          <w:sz w:val="24"/>
          <w:szCs w:val="24"/>
          <w:lang w:eastAsia="zh-CN"/>
        </w:rPr>
      </w:r>
      <w:r/>
    </w:p>
    <w:p>
      <w:pPr>
        <w:pStyle w:val="1073"/>
        <w:spacing w:after="0"/>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pStyle w:val="1073"/>
        <w:ind w:firstLine="5520"/>
        <w:jc w:val="left"/>
        <w:spacing w:line="540" w:lineRule="atLeast"/>
        <w:widowControl/>
        <w:rPr>
          <w:rFonts w:ascii="宋体" w:hAnsi="宋体" w:eastAsia="宋体"/>
          <w:sz w:val="24"/>
          <w:highlight w:val="none"/>
        </w:rPr>
      </w:pPr>
      <w:r>
        <w:rPr>
          <w:rFonts w:ascii="宋体" w:hAnsi="宋体" w:eastAsia="宋体"/>
          <w:sz w:val="24"/>
          <w:highlight w:val="none"/>
        </w:rPr>
        <w:t xml:space="preserve">单位名称（盖章）：</w:t>
      </w:r>
      <w:r>
        <w:rPr>
          <w:rFonts w:ascii="宋体" w:hAnsi="宋体" w:eastAsia="宋体"/>
          <w:sz w:val="24"/>
          <w:highlight w:val="none"/>
        </w:rPr>
      </w:r>
      <w:r/>
    </w:p>
    <w:p>
      <w:pPr>
        <w:pStyle w:val="1073"/>
        <w:jc w:val="left"/>
        <w:spacing w:line="540" w:lineRule="atLeast"/>
        <w:widowControl/>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日 期：</w:t>
      </w:r>
      <w:r>
        <w:rPr>
          <w:rFonts w:ascii="宋体" w:hAnsi="宋体" w:eastAsia="宋体"/>
          <w:sz w:val="24"/>
          <w:highlight w:val="none"/>
        </w:rPr>
      </w:r>
      <w:r/>
    </w:p>
    <w:p>
      <w:pPr>
        <w:pStyle w:val="1073"/>
        <w:jc w:val="left"/>
        <w:widowControl/>
        <w:rPr>
          <w:rFonts w:ascii="宋体" w:hAnsi="宋体" w:eastAsia="宋体"/>
          <w:sz w:val="24"/>
          <w:highlight w:val="none"/>
        </w:rPr>
      </w:pPr>
      <w:r>
        <w:rPr>
          <w:rFonts w:ascii="宋体" w:hAnsi="宋体" w:eastAsia="宋体"/>
          <w:sz w:val="24"/>
          <w:highlight w:val="none"/>
        </w:rPr>
      </w:r>
      <w:r/>
    </w:p>
    <w:p>
      <w:pPr>
        <w:pStyle w:val="1073"/>
        <w:rPr>
          <w:rFonts w:ascii="宋体" w:hAnsi="宋体" w:eastAsia="宋体"/>
          <w:sz w:val="24"/>
          <w:highlight w:val="none"/>
        </w:rPr>
      </w:pPr>
      <w:r>
        <w:rPr>
          <w:highlight w:val="none"/>
        </w:rPr>
        <w:br w:type="page" w:clear="all"/>
      </w:r>
      <w:bookmarkStart w:id="833" w:name="_Hlt520271212"/>
      <w:r/>
      <w:bookmarkEnd w:id="833"/>
      <w:r/>
      <w:bookmarkStart w:id="834" w:name="_Hlt520274065"/>
      <w:r/>
      <w:bookmarkEnd w:id="834"/>
      <w:r/>
      <w:bookmarkStart w:id="835" w:name="_Hlt520273711"/>
      <w:r/>
      <w:bookmarkEnd w:id="835"/>
      <w:r/>
      <w:bookmarkStart w:id="836" w:name="_Hlt520274407"/>
      <w:r/>
      <w:bookmarkEnd w:id="836"/>
      <w:r/>
      <w:bookmarkStart w:id="837" w:name="_Hlt520343000"/>
      <w:r/>
      <w:bookmarkEnd w:id="837"/>
      <w:r/>
      <w:bookmarkStart w:id="838" w:name="_Hlt520350918"/>
      <w:r/>
      <w:bookmarkEnd w:id="838"/>
      <w:r/>
      <w:bookmarkStart w:id="839" w:name="_Hlt520343392"/>
      <w:r/>
      <w:bookmarkEnd w:id="839"/>
      <w:r/>
      <w:bookmarkStart w:id="840" w:name="_Hlt520355504"/>
      <w:r/>
      <w:bookmarkEnd w:id="840"/>
      <w:r/>
      <w:bookmarkStart w:id="841" w:name="_Hlt520274393"/>
      <w:r/>
      <w:bookmarkEnd w:id="841"/>
      <w:r/>
      <w:bookmarkStart w:id="842" w:name="_Hlt520274121"/>
      <w:r/>
      <w:bookmarkEnd w:id="842"/>
      <w:r/>
      <w:bookmarkStart w:id="843" w:name="_Toc480942349"/>
      <w:r/>
      <w:bookmarkStart w:id="844" w:name="_Ref467988698"/>
      <w:r/>
      <w:bookmarkStart w:id="845" w:name="_Toc150480794"/>
      <w:r/>
      <w:bookmarkStart w:id="846" w:name="_Toc127151556"/>
      <w:r/>
      <w:bookmarkStart w:id="847" w:name="_Toc226965746"/>
      <w:r/>
      <w:bookmarkStart w:id="848" w:name="_Toc226337252"/>
      <w:r/>
      <w:bookmarkStart w:id="849" w:name="_Toc150774761"/>
      <w:r/>
      <w:bookmarkStart w:id="850" w:name="_Toc142311058"/>
      <w:r/>
      <w:bookmarkStart w:id="851" w:name="_Toc226309800"/>
      <w:r/>
      <w:bookmarkStart w:id="852" w:name="_Toc226965829"/>
      <w:r/>
      <w:bookmarkStart w:id="853" w:name="_Toc520356217"/>
      <w:r/>
      <w:bookmarkStart w:id="854" w:name="_Toc195842921"/>
      <w:r>
        <w:rPr>
          <w:rFonts w:hint="eastAsia" w:ascii="宋体" w:hAnsi="宋体" w:eastAsia="宋体"/>
          <w:sz w:val="24"/>
          <w:highlight w:val="none"/>
        </w:rPr>
        <w:t xml:space="preserve">3</w:t>
      </w:r>
      <w:r>
        <w:rPr>
          <w:rFonts w:ascii="宋体" w:hAnsi="宋体" w:eastAsia="宋体"/>
          <w:sz w:val="24"/>
          <w:szCs w:val="20"/>
          <w:highlight w:val="none"/>
        </w:rPr>
        <w:t xml:space="preserve"> </w:t>
      </w:r>
      <w:bookmarkStart w:id="855" w:name="OLE_LINK5"/>
      <w:r>
        <w:rPr>
          <w:rFonts w:ascii="宋体" w:hAnsi="宋体" w:eastAsia="宋体"/>
          <w:sz w:val="24"/>
          <w:szCs w:val="20"/>
          <w:highlight w:val="none"/>
        </w:rPr>
        <w:t xml:space="preserve"> </w:t>
      </w:r>
      <w:r>
        <w:rPr>
          <w:rFonts w:ascii="宋体" w:hAnsi="宋体" w:eastAsia="宋体"/>
          <w:sz w:val="24"/>
          <w:highlight w:val="none"/>
        </w:rPr>
        <w:t xml:space="preserve">投标</w:t>
      </w:r>
      <w:bookmarkEnd w:id="843"/>
      <w:r/>
      <w:bookmarkEnd w:id="844"/>
      <w:r>
        <w:rPr>
          <w:rFonts w:ascii="宋体" w:hAnsi="宋体" w:eastAsia="宋体"/>
          <w:sz w:val="24"/>
          <w:highlight w:val="none"/>
        </w:rPr>
        <w:t xml:space="preserve">书</w:t>
      </w:r>
      <w:bookmarkEnd w:id="845"/>
      <w:r/>
      <w:bookmarkEnd w:id="846"/>
      <w:r/>
      <w:bookmarkEnd w:id="847"/>
      <w:r/>
      <w:bookmarkEnd w:id="848"/>
      <w:r/>
      <w:bookmarkEnd w:id="849"/>
      <w:r/>
      <w:bookmarkEnd w:id="850"/>
      <w:r/>
      <w:bookmarkEnd w:id="851"/>
      <w:r/>
      <w:bookmarkEnd w:id="852"/>
      <w:r/>
      <w:bookmarkEnd w:id="853"/>
      <w:r/>
      <w:bookmarkEnd w:id="854"/>
      <w:r/>
      <w:bookmarkEnd w:id="855"/>
      <w:r>
        <w:rPr>
          <w:rFonts w:ascii="宋体" w:hAnsi="宋体" w:eastAsia="宋体"/>
          <w:sz w:val="24"/>
          <w:szCs w:val="20"/>
          <w:highlight w:val="none"/>
        </w:rPr>
        <w:t xml:space="preserve">（实质性格式）</w:t>
      </w:r>
      <w:r>
        <w:rPr>
          <w:rFonts w:ascii="宋体" w:hAnsi="宋体" w:eastAsia="宋体"/>
          <w:sz w:val="24"/>
          <w:highlight w:val="none"/>
        </w:rPr>
      </w:r>
      <w:r/>
    </w:p>
    <w:p>
      <w:pPr>
        <w:pStyle w:val="1073"/>
        <w:jc w:val="center"/>
        <w:spacing w:line="360" w:lineRule="auto"/>
        <w:rPr>
          <w:rFonts w:ascii="宋体" w:hAnsi="宋体" w:eastAsia="宋体"/>
          <w:b/>
          <w:sz w:val="36"/>
          <w:szCs w:val="36"/>
          <w:highlight w:val="none"/>
        </w:rPr>
      </w:pPr>
      <w:r/>
      <w:bookmarkStart w:id="856" w:name="OLE_LINK12"/>
      <w:r>
        <w:rPr>
          <w:rFonts w:ascii="宋体" w:hAnsi="宋体" w:eastAsia="宋体"/>
          <w:b/>
          <w:sz w:val="36"/>
          <w:szCs w:val="36"/>
          <w:highlight w:val="none"/>
        </w:rPr>
        <w:t xml:space="preserve">投标书</w:t>
      </w:r>
      <w:r>
        <w:rPr>
          <w:rFonts w:ascii="宋体" w:hAnsi="宋体" w:eastAsia="宋体"/>
          <w:b/>
          <w:sz w:val="36"/>
          <w:szCs w:val="36"/>
          <w:highlight w:val="none"/>
        </w:rPr>
      </w:r>
      <w:r/>
    </w:p>
    <w:p>
      <w:pPr>
        <w:pStyle w:val="1073"/>
        <w:spacing w:line="380" w:lineRule="exact"/>
        <w:rPr>
          <w:rFonts w:ascii="宋体" w:hAnsi="宋体" w:eastAsia="宋体"/>
          <w:szCs w:val="21"/>
          <w:highlight w:val="none"/>
        </w:rPr>
      </w:pPr>
      <w:r>
        <w:rPr>
          <w:rFonts w:ascii="宋体" w:hAnsi="宋体" w:eastAsia="宋体"/>
          <w:szCs w:val="21"/>
          <w:highlight w:val="none"/>
        </w:rPr>
        <w:t xml:space="preserve">江苏正华新工程咨询有限公司 ：</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ascii="宋体" w:hAnsi="宋体" w:eastAsia="宋体"/>
          <w:szCs w:val="21"/>
          <w:highlight w:val="none"/>
        </w:rPr>
        <w:t xml:space="preserve">我方收到贵公司</w:t>
      </w:r>
      <w:r>
        <w:rPr>
          <w:rFonts w:ascii="宋体" w:hAnsi="宋体" w:eastAsia="宋体"/>
          <w:szCs w:val="21"/>
          <w:highlight w:val="none"/>
          <w:u w:val="single"/>
          <w:lang w:val="zh-CN"/>
        </w:rPr>
        <w:t xml:space="preserve">          </w:t>
      </w:r>
      <w:r>
        <w:rPr>
          <w:rFonts w:ascii="宋体" w:hAnsi="宋体" w:eastAsia="宋体"/>
          <w:szCs w:val="21"/>
          <w:highlight w:val="none"/>
        </w:rPr>
        <w:t xml:space="preserve">号招标文件，经仔细阅读和研究，我方决定参加投标。并向贵公司承诺：</w:t>
      </w:r>
      <w:r>
        <w:rPr>
          <w:rFonts w:ascii="宋体" w:hAnsi="宋体" w:eastAsia="宋体"/>
          <w:szCs w:val="21"/>
          <w:highlight w:val="none"/>
        </w:rPr>
      </w:r>
      <w:r/>
    </w:p>
    <w:p>
      <w:pPr>
        <w:pStyle w:val="1073"/>
        <w:ind w:right="-252" w:firstLine="420"/>
        <w:spacing w:line="360" w:lineRule="auto"/>
        <w:rPr>
          <w:rFonts w:ascii="宋体" w:hAnsi="宋体" w:eastAsia="宋体"/>
          <w:szCs w:val="21"/>
          <w:highlight w:val="none"/>
        </w:rPr>
      </w:pPr>
      <w:r>
        <w:rPr>
          <w:rFonts w:ascii="宋体" w:hAnsi="宋体" w:eastAsia="宋体"/>
          <w:szCs w:val="21"/>
          <w:highlight w:val="none"/>
        </w:rPr>
        <w:t xml:space="preserve">1、我们愿意按照招标文件的一切要求，提供包括完成该项目全部内容的</w:t>
      </w:r>
      <w:r>
        <w:rPr>
          <w:rFonts w:hint="eastAsia" w:ascii="宋体" w:hAnsi="宋体" w:eastAsia="宋体"/>
          <w:szCs w:val="21"/>
          <w:highlight w:val="none"/>
        </w:rPr>
        <w:t xml:space="preserve">报价</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包括系统维护维修、设备维护维修、检测、调试、应急支撑、验收、保险、利润、税金、人员、交通、食宿、加班、招标人向第三方咨询产生的费用等工作所发生的全部费用以及投标人企业利润、税金和政策性文件规定及合同包含的所有风险、责任等各项应有费用</w:t>
      </w:r>
      <w:r>
        <w:rPr>
          <w:rFonts w:ascii="宋体" w:hAnsi="宋体" w:eastAsia="宋体"/>
          <w:szCs w:val="21"/>
          <w:highlight w:val="none"/>
        </w:rPr>
        <w:t xml:space="preserve">。</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ascii="宋体" w:hAnsi="宋体" w:eastAsia="宋体"/>
          <w:szCs w:val="21"/>
          <w:highlight w:val="none"/>
        </w:rPr>
        <w:t xml:space="preserve">2、如果我方的投标书被接受，我方将严格履行招标文件中规定的每一项要求，严格履行合同的责任和义务，保证按期、按质履行合同，完成合同内容所规定的全部工作。</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ascii="宋体" w:hAnsi="宋体" w:eastAsia="宋体"/>
          <w:szCs w:val="21"/>
          <w:highlight w:val="none"/>
        </w:rPr>
        <w:t xml:space="preserve">3、我方同意按招标文件中的规定，本投标书的有效期限为开标后</w:t>
      </w:r>
      <w:r>
        <w:rPr>
          <w:rFonts w:hint="eastAsia" w:ascii="宋体" w:hAnsi="宋体" w:eastAsia="宋体"/>
          <w:szCs w:val="21"/>
          <w:highlight w:val="none"/>
          <w:u w:val="single"/>
        </w:rPr>
        <w:t xml:space="preserve">     </w:t>
      </w:r>
      <w:r>
        <w:rPr>
          <w:rFonts w:ascii="宋体" w:hAnsi="宋体" w:eastAsia="宋体"/>
          <w:szCs w:val="21"/>
          <w:highlight w:val="none"/>
        </w:rPr>
        <w:t xml:space="preserve">天。</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ascii="宋体" w:hAnsi="宋体" w:eastAsia="宋体"/>
          <w:szCs w:val="21"/>
          <w:highlight w:val="none"/>
        </w:rPr>
        <w:t xml:space="preserve">4、我方愿意提供采购人在招标文件中要求的所有资料。也同意向贵方提供贵方可能另外要求的与我方投标有关的任何证据或资料。并保证所提供的资料全部是真实的、有效的，若有虚假，我方愿承担一切责任。</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ascii="宋体" w:hAnsi="宋体" w:eastAsia="宋体"/>
          <w:szCs w:val="21"/>
          <w:highlight w:val="none"/>
        </w:rPr>
        <w:t xml:space="preserve">5、我方认为贵方有权根据评标委员会的评审结果决定中标者，还认为贵方有权根据评标委员会的评审结果接受或拒绝所有的投标者。</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6</w:t>
      </w:r>
      <w:r>
        <w:rPr>
          <w:rFonts w:ascii="宋体" w:hAnsi="宋体" w:eastAsia="宋体"/>
          <w:szCs w:val="21"/>
          <w:highlight w:val="none"/>
        </w:rPr>
        <w:t xml:space="preserve">、我方愿意遵守招标公告及招标文件中所列的收费标准。</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7</w:t>
      </w:r>
      <w:r>
        <w:rPr>
          <w:rFonts w:ascii="宋体" w:hAnsi="宋体" w:eastAsia="宋体"/>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8</w:t>
      </w:r>
      <w:r>
        <w:rPr>
          <w:rFonts w:ascii="宋体" w:hAnsi="宋体" w:eastAsia="宋体"/>
          <w:szCs w:val="21"/>
          <w:highlight w:val="none"/>
        </w:rPr>
        <w:t xml:space="preserve">、我方同意中标方若无法按约定条款履行义务等行为，采购人有权取消我方的中标资格。</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9</w:t>
      </w:r>
      <w:r>
        <w:rPr>
          <w:rFonts w:ascii="宋体" w:hAnsi="宋体" w:eastAsia="宋体"/>
          <w:szCs w:val="21"/>
          <w:highlight w:val="none"/>
        </w:rPr>
        <w:t xml:space="preserve">、如果我方中标，我方愿意在签订前按招标文件规定支付中标服务费，逾期按中国人民银行公布的同期人民币贷款最高利率计付利息；</w:t>
      </w:r>
      <w:r>
        <w:rPr>
          <w:rFonts w:ascii="宋体" w:hAnsi="宋体" w:eastAsia="宋体"/>
          <w:szCs w:val="21"/>
          <w:highlight w:val="none"/>
        </w:rPr>
      </w:r>
      <w:r/>
    </w:p>
    <w:p>
      <w:pPr>
        <w:pStyle w:val="1073"/>
        <w:ind w:firstLine="420"/>
        <w:spacing w:line="380" w:lineRule="exact"/>
        <w:rPr>
          <w:rFonts w:ascii="宋体" w:hAnsi="宋体" w:eastAsia="宋体"/>
          <w:szCs w:val="21"/>
          <w:highlight w:val="none"/>
        </w:rPr>
      </w:pPr>
      <w:r>
        <w:rPr>
          <w:rFonts w:hint="eastAsia" w:ascii="宋体" w:hAnsi="宋体" w:eastAsia="宋体"/>
          <w:szCs w:val="21"/>
          <w:highlight w:val="none"/>
        </w:rPr>
        <w:t xml:space="preserve">10</w:t>
      </w:r>
      <w:r>
        <w:rPr>
          <w:rFonts w:ascii="宋体" w:hAnsi="宋体" w:eastAsia="宋体"/>
          <w:szCs w:val="21"/>
          <w:highlight w:val="none"/>
        </w:rPr>
        <w:t xml:space="preserve">、与本投标有关的通讯地址：</w:t>
      </w:r>
      <w:r>
        <w:rPr>
          <w:rFonts w:ascii="宋体" w:hAnsi="宋体" w:eastAsia="宋体"/>
          <w:szCs w:val="21"/>
          <w:highlight w:val="none"/>
        </w:rPr>
      </w:r>
      <w:r/>
    </w:p>
    <w:p>
      <w:pPr>
        <w:pStyle w:val="1073"/>
        <w:spacing w:line="380" w:lineRule="exact"/>
        <w:rPr>
          <w:rFonts w:ascii="宋体" w:hAnsi="宋体" w:eastAsia="宋体"/>
          <w:szCs w:val="21"/>
          <w:highlight w:val="none"/>
        </w:rPr>
      </w:pPr>
      <w:r>
        <w:rPr>
          <w:rFonts w:ascii="宋体" w:hAnsi="宋体" w:eastAsia="宋体"/>
          <w:szCs w:val="21"/>
          <w:highlight w:val="none"/>
        </w:rPr>
        <w:t xml:space="preserve">单    位：                                 联 系 人：                   </w:t>
      </w:r>
      <w:r>
        <w:rPr>
          <w:rFonts w:ascii="宋体" w:hAnsi="宋体" w:eastAsia="宋体"/>
          <w:szCs w:val="21"/>
          <w:highlight w:val="none"/>
        </w:rPr>
      </w:r>
      <w:r/>
    </w:p>
    <w:p>
      <w:pPr>
        <w:pStyle w:val="1073"/>
        <w:spacing w:line="380" w:lineRule="exact"/>
        <w:rPr>
          <w:rFonts w:ascii="宋体" w:hAnsi="宋体" w:eastAsia="宋体"/>
          <w:szCs w:val="21"/>
          <w:highlight w:val="none"/>
        </w:rPr>
      </w:pPr>
      <w:r>
        <w:rPr>
          <w:rFonts w:ascii="宋体" w:hAnsi="宋体" w:eastAsia="宋体"/>
          <w:szCs w:val="21"/>
          <w:highlight w:val="none"/>
        </w:rPr>
        <w:t xml:space="preserve">地    址：                                 邮政编码：                   </w:t>
      </w:r>
      <w:r>
        <w:rPr>
          <w:rFonts w:ascii="宋体" w:hAnsi="宋体" w:eastAsia="宋体"/>
          <w:szCs w:val="21"/>
          <w:highlight w:val="none"/>
        </w:rPr>
      </w:r>
      <w:r/>
    </w:p>
    <w:p>
      <w:pPr>
        <w:pStyle w:val="1073"/>
        <w:spacing w:line="380" w:lineRule="exact"/>
        <w:rPr>
          <w:rFonts w:ascii="宋体" w:hAnsi="宋体" w:eastAsia="宋体"/>
          <w:szCs w:val="21"/>
          <w:highlight w:val="none"/>
        </w:rPr>
      </w:pPr>
      <w:r>
        <w:rPr>
          <w:rFonts w:ascii="宋体" w:hAnsi="宋体" w:eastAsia="宋体"/>
          <w:szCs w:val="21"/>
          <w:highlight w:val="none"/>
        </w:rPr>
        <w:t xml:space="preserve">联系电话：                                 传    真：                   </w:t>
      </w:r>
      <w:r>
        <w:rPr>
          <w:rFonts w:ascii="宋体" w:hAnsi="宋体" w:eastAsia="宋体"/>
          <w:szCs w:val="21"/>
          <w:highlight w:val="none"/>
        </w:rPr>
      </w:r>
      <w:r/>
    </w:p>
    <w:p>
      <w:pPr>
        <w:pStyle w:val="1073"/>
        <w:spacing w:line="400" w:lineRule="exact"/>
        <w:rPr>
          <w:rFonts w:ascii="宋体" w:hAnsi="宋体" w:eastAsia="宋体"/>
          <w:szCs w:val="21"/>
          <w:highlight w:val="none"/>
        </w:rPr>
      </w:pPr>
      <w:r/>
      <w:bookmarkStart w:id="857" w:name="_Hlt520356243"/>
      <w:r/>
      <w:bookmarkEnd w:id="857"/>
      <w:r/>
      <w:bookmarkStart w:id="858" w:name="_Hlt520355938"/>
      <w:r/>
      <w:bookmarkEnd w:id="858"/>
      <w:r/>
      <w:bookmarkStart w:id="859" w:name="_Toc142311059"/>
      <w:r/>
      <w:bookmarkStart w:id="860" w:name="_Toc150774762"/>
      <w:r/>
      <w:bookmarkStart w:id="861" w:name="_Toc305158825"/>
      <w:r/>
      <w:bookmarkStart w:id="862" w:name="_Toc265228395"/>
      <w:r/>
      <w:bookmarkStart w:id="863" w:name="_Toc226965747"/>
      <w:r/>
      <w:bookmarkStart w:id="864" w:name="_Toc264969247"/>
      <w:r/>
      <w:bookmarkStart w:id="865" w:name="_Toc226965830"/>
      <w:r/>
      <w:bookmarkStart w:id="866" w:name="_Toc305158899"/>
      <w:r/>
      <w:bookmarkStart w:id="867" w:name="_Toc226309801"/>
      <w:r/>
      <w:bookmarkStart w:id="868" w:name="_Toc480942350"/>
      <w:r/>
      <w:bookmarkStart w:id="869" w:name="_Toc520356218"/>
      <w:r/>
      <w:bookmarkStart w:id="870" w:name="_Toc226337253"/>
      <w:r/>
      <w:bookmarkStart w:id="871" w:name="_Toc195842922"/>
      <w:r/>
      <w:bookmarkStart w:id="872" w:name="_Toc127151557"/>
      <w:r/>
      <w:bookmarkStart w:id="873" w:name="_Toc150480795"/>
      <w:r/>
      <w:bookmarkStart w:id="874" w:name="_Ref467988705"/>
      <w:r>
        <w:rPr>
          <w:rFonts w:ascii="宋体" w:hAnsi="宋体" w:eastAsia="宋体"/>
          <w:szCs w:val="21"/>
          <w:highlight w:val="none"/>
        </w:rPr>
      </w:r>
      <w:r/>
    </w:p>
    <w:p>
      <w:pPr>
        <w:pStyle w:val="1073"/>
        <w:spacing w:line="400" w:lineRule="exact"/>
        <w:rPr>
          <w:rFonts w:ascii="宋体" w:hAnsi="宋体" w:eastAsia="宋体"/>
          <w:szCs w:val="21"/>
          <w:highlight w:val="none"/>
        </w:rPr>
      </w:pPr>
      <w:r>
        <w:rPr>
          <w:rFonts w:hint="eastAsia" w:ascii="宋体" w:hAnsi="宋体" w:eastAsia="宋体"/>
          <w:szCs w:val="21"/>
          <w:highlight w:val="none"/>
        </w:rPr>
        <w:t xml:space="preserve">投标人（单位盖章）：</w:t>
      </w:r>
      <w:r>
        <w:rPr>
          <w:rFonts w:ascii="宋体" w:hAnsi="宋体" w:eastAsia="宋体"/>
          <w:szCs w:val="21"/>
          <w:highlight w:val="none"/>
        </w:rPr>
      </w:r>
      <w:r/>
    </w:p>
    <w:p>
      <w:pPr>
        <w:pStyle w:val="1073"/>
        <w:spacing w:line="400" w:lineRule="exact"/>
        <w:rPr>
          <w:rFonts w:ascii="宋体" w:hAnsi="宋体" w:eastAsia="宋体"/>
          <w:szCs w:val="21"/>
          <w:highlight w:val="none"/>
        </w:rPr>
      </w:pPr>
      <w:r>
        <w:rPr>
          <w:rFonts w:hint="eastAsia" w:ascii="宋体" w:hAnsi="宋体" w:eastAsia="宋体"/>
          <w:szCs w:val="21"/>
          <w:highlight w:val="none"/>
        </w:rPr>
        <w:t xml:space="preserve">法定代表人或被授权人（签字或盖章）：</w:t>
      </w:r>
      <w:r>
        <w:rPr>
          <w:rFonts w:ascii="宋体" w:hAnsi="宋体" w:eastAsia="宋体"/>
          <w:szCs w:val="21"/>
          <w:highlight w:val="none"/>
        </w:rPr>
      </w:r>
      <w:r/>
    </w:p>
    <w:p>
      <w:pPr>
        <w:pStyle w:val="1073"/>
        <w:spacing w:line="400" w:lineRule="exact"/>
        <w:rPr>
          <w:rFonts w:hint="eastAsia" w:ascii="宋体" w:hAnsi="宋体" w:eastAsia="宋体"/>
          <w:sz w:val="24"/>
          <w:highlight w:val="none"/>
        </w:rPr>
      </w:pPr>
      <w:r>
        <w:rPr>
          <w:rFonts w:hint="eastAsia" w:ascii="宋体" w:hAnsi="宋体" w:eastAsia="宋体"/>
          <w:szCs w:val="21"/>
          <w:highlight w:val="none"/>
        </w:rPr>
        <w:t xml:space="preserve">日期：        年     月     日</w:t>
      </w:r>
      <w:r>
        <w:rPr>
          <w:rFonts w:ascii="宋体" w:hAnsi="宋体" w:eastAsia="宋体"/>
          <w:sz w:val="24"/>
          <w:highlight w:val="none"/>
        </w:rPr>
        <w:br w:type="page" w:clear="all"/>
      </w:r>
      <w:bookmarkEnd w:id="856"/>
      <w:r>
        <w:rPr>
          <w:rFonts w:hint="eastAsia" w:ascii="宋体" w:hAnsi="宋体" w:eastAsia="宋体"/>
          <w:sz w:val="24"/>
          <w:highlight w:val="none"/>
        </w:rPr>
        <w:t xml:space="preserve">4</w:t>
      </w:r>
      <w:r>
        <w:rPr>
          <w:rFonts w:ascii="宋体" w:hAnsi="宋体" w:eastAsia="宋体"/>
          <w:sz w:val="24"/>
          <w:highlight w:val="none"/>
        </w:rPr>
        <w:t xml:space="preserve">  </w:t>
      </w:r>
      <w:bookmarkStart w:id="875" w:name="OLE_LINK6"/>
      <w:r>
        <w:rPr>
          <w:rFonts w:ascii="宋体" w:hAnsi="宋体" w:eastAsia="宋体"/>
          <w:sz w:val="24"/>
          <w:highlight w:val="none"/>
        </w:rPr>
        <w:t xml:space="preserve">授权委托书（实质性格式）</w:t>
      </w:r>
      <w:r>
        <w:rPr>
          <w:rFonts w:hint="eastAsia" w:ascii="宋体" w:hAnsi="宋体" w:eastAsia="宋体"/>
          <w:sz w:val="24"/>
          <w:highlight w:val="none"/>
        </w:rPr>
        <w:t xml:space="preserve">（如有）</w:t>
      </w:r>
      <w:bookmarkEnd w:id="875"/>
      <w:r>
        <w:rPr>
          <w:rFonts w:hint="eastAsia" w:ascii="宋体" w:hAnsi="宋体" w:eastAsia="宋体"/>
          <w:sz w:val="24"/>
          <w:highlight w:val="none"/>
        </w:rPr>
      </w:r>
      <w:r/>
    </w:p>
    <w:p>
      <w:pPr>
        <w:pStyle w:val="1073"/>
        <w:jc w:val="center"/>
        <w:spacing w:line="360" w:lineRule="exact"/>
        <w:rPr>
          <w:rFonts w:ascii="宋体" w:hAnsi="宋体" w:eastAsia="宋体"/>
          <w:b/>
          <w:sz w:val="36"/>
          <w:szCs w:val="36"/>
          <w:highlight w:val="none"/>
        </w:rPr>
      </w:pPr>
      <w:r/>
      <w:bookmarkStart w:id="876" w:name="OLE_LINK14"/>
      <w:r>
        <w:rPr>
          <w:rFonts w:ascii="宋体" w:hAnsi="宋体" w:eastAsia="宋体"/>
          <w:b/>
          <w:sz w:val="36"/>
          <w:szCs w:val="36"/>
          <w:highlight w:val="none"/>
        </w:rPr>
        <w:t xml:space="preserve">授权委托书</w:t>
      </w:r>
      <w:r>
        <w:rPr>
          <w:rFonts w:ascii="宋体" w:hAnsi="宋体" w:eastAsia="宋体"/>
          <w:b/>
          <w:sz w:val="36"/>
          <w:szCs w:val="36"/>
          <w:highlight w:val="none"/>
        </w:rPr>
      </w:r>
      <w:r/>
    </w:p>
    <w:p>
      <w:pPr>
        <w:pStyle w:val="1073"/>
        <w:ind w:firstLine="420"/>
        <w:spacing w:line="360" w:lineRule="auto"/>
        <w:rPr>
          <w:rFonts w:ascii="宋体" w:hAnsi="宋体" w:eastAsia="宋体"/>
          <w:sz w:val="24"/>
          <w:szCs w:val="20"/>
          <w:highlight w:val="none"/>
        </w:rPr>
      </w:pPr>
      <w:r>
        <w:rPr>
          <w:rFonts w:ascii="宋体" w:hAnsi="宋体" w:eastAsia="宋体"/>
          <w:sz w:val="24"/>
          <w:szCs w:val="20"/>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t xml:space="preserve">本人</w:t>
      </w:r>
      <w:r>
        <w:rPr>
          <w:rFonts w:ascii="宋体" w:hAnsi="宋体" w:eastAsia="宋体"/>
          <w:szCs w:val="21"/>
          <w:highlight w:val="none"/>
          <w:lang w:val="zh-CN"/>
        </w:rPr>
        <w:t xml:space="preserve">_______</w:t>
      </w:r>
      <w:r>
        <w:rPr>
          <w:rFonts w:ascii="宋体" w:hAnsi="宋体" w:eastAsia="宋体"/>
          <w:szCs w:val="21"/>
          <w:highlight w:val="none"/>
        </w:rPr>
        <w:t xml:space="preserve">（姓名）系</w:t>
      </w:r>
      <w:r>
        <w:rPr>
          <w:rFonts w:ascii="宋体" w:hAnsi="宋体" w:eastAsia="宋体"/>
          <w:szCs w:val="21"/>
          <w:highlight w:val="none"/>
          <w:lang w:val="zh-CN"/>
        </w:rPr>
        <w:t xml:space="preserve">________________</w:t>
      </w:r>
      <w:r>
        <w:rPr>
          <w:rFonts w:ascii="宋体" w:hAnsi="宋体" w:eastAsia="宋体"/>
          <w:szCs w:val="21"/>
          <w:highlight w:val="none"/>
        </w:rPr>
        <w:t xml:space="preserve">（投标人名称）的法定代表人（单位负责人），现委托</w:t>
      </w:r>
      <w:r>
        <w:rPr>
          <w:rFonts w:ascii="宋体" w:hAnsi="宋体" w:eastAsia="宋体"/>
          <w:szCs w:val="21"/>
          <w:highlight w:val="none"/>
          <w:lang w:val="zh-CN"/>
        </w:rPr>
        <w:t xml:space="preserve">_______</w:t>
      </w:r>
      <w:r>
        <w:rPr>
          <w:rFonts w:ascii="宋体" w:hAnsi="宋体" w:eastAsia="宋体"/>
          <w:szCs w:val="21"/>
          <w:highlight w:val="none"/>
        </w:rPr>
        <w:t xml:space="preserve">（姓名）为我方代理人。代理人根据授权，以我方名义签署、澄清确认、递交、撤回、修改</w:t>
      </w:r>
      <w:r>
        <w:rPr>
          <w:rFonts w:ascii="宋体" w:hAnsi="宋体" w:eastAsia="宋体"/>
          <w:szCs w:val="21"/>
          <w:highlight w:val="none"/>
          <w:lang w:val="zh-CN"/>
        </w:rPr>
        <w:t xml:space="preserve">________________</w:t>
      </w:r>
      <w:r>
        <w:rPr>
          <w:rFonts w:ascii="宋体" w:hAnsi="宋体" w:eastAsia="宋体"/>
          <w:szCs w:val="21"/>
          <w:highlight w:val="none"/>
        </w:rPr>
        <w:t xml:space="preserve">（项目名称）响应文件和处理有关事宜，其法律后果由我方承担。</w:t>
      </w:r>
      <w:r>
        <w:rPr>
          <w:rFonts w:ascii="宋体" w:hAnsi="宋体" w:eastAsia="宋体"/>
          <w:szCs w:val="21"/>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t xml:space="preserve">委托期限：自本授权委托书签署之日起至响应有效期届满之日止。</w:t>
      </w:r>
      <w:r>
        <w:rPr>
          <w:rFonts w:ascii="宋体" w:hAnsi="宋体" w:eastAsia="宋体"/>
          <w:szCs w:val="21"/>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t xml:space="preserve">代理人无转委托权。</w:t>
      </w:r>
      <w:r>
        <w:rPr>
          <w:rFonts w:ascii="宋体" w:hAnsi="宋体" w:eastAsia="宋体"/>
          <w:szCs w:val="21"/>
          <w:highlight w:val="none"/>
        </w:rPr>
      </w:r>
      <w:r/>
    </w:p>
    <w:p>
      <w:pPr>
        <w:pStyle w:val="1073"/>
        <w:ind w:firstLine="420"/>
        <w:spacing w:line="360" w:lineRule="auto"/>
        <w:rPr>
          <w:rFonts w:ascii="宋体" w:hAnsi="宋体" w:eastAsia="宋体"/>
          <w:szCs w:val="21"/>
          <w:highlight w:val="none"/>
        </w:rPr>
      </w:pPr>
      <w:r>
        <w:rPr>
          <w:rFonts w:ascii="宋体" w:hAnsi="宋体" w:eastAsia="宋体"/>
          <w:szCs w:val="21"/>
          <w:highlight w:val="none"/>
        </w:rPr>
      </w:r>
      <w:r/>
    </w:p>
    <w:p>
      <w:pPr>
        <w:pStyle w:val="1073"/>
        <w:spacing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：________________</w:t>
      </w:r>
      <w:r>
        <w:rPr>
          <w:rFonts w:ascii="宋体" w:hAnsi="宋体" w:eastAsia="宋体"/>
          <w:szCs w:val="21"/>
          <w:highlight w:val="none"/>
          <w:lang w:val="zh-CN"/>
        </w:rPr>
      </w:r>
      <w:r/>
    </w:p>
    <w:p>
      <w:pPr>
        <w:pStyle w:val="1073"/>
        <w:spacing w:line="360" w:lineRule="auto"/>
        <w:rPr>
          <w:rFonts w:ascii="宋体" w:hAnsi="宋体" w:eastAsia="宋体"/>
          <w:szCs w:val="21"/>
          <w:highlight w:val="none"/>
        </w:rPr>
      </w:pPr>
      <w:r>
        <w:rPr>
          <w:rFonts w:ascii="宋体" w:hAnsi="宋体" w:eastAsia="宋体"/>
          <w:szCs w:val="21"/>
          <w:highlight w:val="none"/>
        </w:rPr>
        <w:t xml:space="preserve">法定代表人（单位负责人）（签字、签章或印鉴）：</w:t>
      </w:r>
      <w:r>
        <w:rPr>
          <w:rFonts w:ascii="宋体" w:hAnsi="宋体" w:eastAsia="宋体"/>
          <w:szCs w:val="21"/>
          <w:highlight w:val="none"/>
          <w:lang w:val="zh-CN"/>
        </w:rPr>
        <w:t xml:space="preserve">________________</w:t>
      </w:r>
      <w:r>
        <w:rPr>
          <w:rFonts w:ascii="宋体" w:hAnsi="宋体" w:eastAsia="宋体"/>
          <w:szCs w:val="21"/>
          <w:highlight w:val="none"/>
        </w:rPr>
      </w:r>
      <w:r/>
    </w:p>
    <w:p>
      <w:pPr>
        <w:pStyle w:val="1073"/>
        <w:spacing w:line="360" w:lineRule="auto"/>
        <w:rPr>
          <w:rFonts w:ascii="宋体" w:hAnsi="宋体" w:eastAsia="宋体"/>
          <w:szCs w:val="21"/>
          <w:highlight w:val="none"/>
          <w:lang w:val="zh-CN"/>
        </w:rPr>
      </w:pPr>
      <w:r>
        <w:rPr>
          <w:rFonts w:ascii="宋体" w:hAnsi="宋体" w:eastAsia="宋体"/>
          <w:szCs w:val="21"/>
          <w:highlight w:val="none"/>
        </w:rPr>
        <w:t xml:space="preserve">委托代理人（签字/签章）：</w:t>
      </w:r>
      <w:r>
        <w:rPr>
          <w:rFonts w:ascii="宋体" w:hAnsi="宋体" w:eastAsia="宋体"/>
          <w:szCs w:val="21"/>
          <w:highlight w:val="none"/>
          <w:lang w:val="zh-CN"/>
        </w:rPr>
        <w:t xml:space="preserve">________________</w:t>
      </w:r>
      <w:r>
        <w:rPr>
          <w:rFonts w:ascii="宋体" w:hAnsi="宋体" w:eastAsia="宋体"/>
          <w:szCs w:val="21"/>
          <w:highlight w:val="none"/>
        </w:rPr>
        <w:t xml:space="preserve">    </w:t>
      </w:r>
      <w:r>
        <w:rPr>
          <w:rFonts w:ascii="宋体" w:hAnsi="宋体" w:eastAsia="宋体"/>
          <w:szCs w:val="21"/>
          <w:highlight w:val="none"/>
          <w:lang w:val="zh-CN"/>
        </w:rPr>
        <w:t xml:space="preserve">                      </w:t>
      </w:r>
      <w:r>
        <w:rPr>
          <w:rFonts w:ascii="宋体" w:hAnsi="宋体" w:eastAsia="宋体"/>
          <w:szCs w:val="21"/>
          <w:highlight w:val="none"/>
          <w:lang w:val="zh-CN"/>
        </w:rPr>
      </w:r>
      <w:r/>
    </w:p>
    <w:p>
      <w:pPr>
        <w:pStyle w:val="1073"/>
        <w:spacing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w:t>
      </w:r>
      <w:r>
        <w:rPr>
          <w:rFonts w:ascii="宋体" w:hAnsi="宋体" w:eastAsia="宋体"/>
          <w:szCs w:val="21"/>
          <w:highlight w:val="none"/>
          <w:lang w:val="zh-CN"/>
        </w:rPr>
      </w:r>
      <w:r/>
    </w:p>
    <w:p>
      <w:pPr>
        <w:pStyle w:val="1073"/>
        <w:ind w:firstLine="420"/>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法定代表人（单位负责人）有效期内的身份证</w:t>
      </w:r>
      <w:r>
        <w:rPr>
          <w:rFonts w:ascii="宋体" w:hAnsi="宋体" w:eastAsia="宋体"/>
          <w:b/>
          <w:szCs w:val="21"/>
          <w:highlight w:val="none"/>
        </w:rPr>
        <w:t xml:space="preserve">正反面</w:t>
      </w:r>
      <w:r>
        <w:rPr>
          <w:rFonts w:hint="eastAsia" w:ascii="宋体" w:hAnsi="宋体" w:eastAsia="宋体"/>
          <w:szCs w:val="21"/>
          <w:highlight w:val="none"/>
        </w:rPr>
        <w:t xml:space="preserve">扫描件</w:t>
      </w:r>
      <w:r>
        <w:rPr>
          <w:rFonts w:ascii="宋体" w:hAnsi="宋体" w:eastAsia="宋体"/>
          <w:szCs w:val="21"/>
          <w:highlight w:val="none"/>
        </w:rPr>
        <w:t xml:space="preserve">：</w:t>
      </w:r>
      <w:r>
        <w:rPr>
          <w:rFonts w:ascii="宋体" w:hAnsi="宋体" w:eastAsia="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301"/>
        </w:trPr>
        <w:tc>
          <w:tcPr>
            <w:tcW w:w="4673" w:type="dxa"/>
            <w:vAlign w:val="top"/>
            <w:textDirection w:val="lrTb"/>
            <w:noWrap w:val="false"/>
          </w:tcPr>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c>
          <w:tcPr>
            <w:tcW w:w="4536" w:type="dxa"/>
            <w:vAlign w:val="top"/>
            <w:textDirection w:val="lrTb"/>
            <w:noWrap w:val="false"/>
          </w:tcPr>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r>
    </w:tbl>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委托代理人有效期内的身份证</w:t>
      </w:r>
      <w:r>
        <w:rPr>
          <w:rFonts w:ascii="宋体" w:hAnsi="宋体" w:eastAsia="宋体"/>
          <w:b/>
          <w:szCs w:val="21"/>
          <w:highlight w:val="none"/>
        </w:rPr>
        <w:t xml:space="preserve">正反面</w:t>
      </w:r>
      <w:r>
        <w:rPr>
          <w:rFonts w:hint="eastAsia" w:ascii="宋体" w:hAnsi="宋体" w:eastAsia="宋体"/>
          <w:szCs w:val="21"/>
          <w:highlight w:val="none"/>
        </w:rPr>
        <w:t xml:space="preserve">扫描件</w:t>
      </w:r>
      <w:r>
        <w:rPr>
          <w:rFonts w:ascii="宋体" w:hAnsi="宋体" w:eastAsia="宋体"/>
          <w:szCs w:val="21"/>
          <w:highlight w:val="none"/>
        </w:rPr>
        <w:t xml:space="preserve">：</w:t>
      </w:r>
      <w:r>
        <w:rPr>
          <w:rFonts w:ascii="宋体" w:hAnsi="宋体" w:eastAsia="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269"/>
        </w:trPr>
        <w:tc>
          <w:tcPr>
            <w:tcW w:w="4673" w:type="dxa"/>
            <w:vAlign w:val="top"/>
            <w:textDirection w:val="lrTb"/>
            <w:noWrap w:val="false"/>
          </w:tcPr>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c>
          <w:tcPr>
            <w:tcW w:w="4536" w:type="dxa"/>
            <w:vAlign w:val="top"/>
            <w:textDirection w:val="lrTb"/>
            <w:noWrap w:val="false"/>
          </w:tcPr>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tc>
      </w:tr>
    </w:tbl>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说明：</w:t>
      </w: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1.若供应商为事业单位或其他组织或分支机构（仅当招标文件注明允许分支机构投标的），则法定代表人（单位负责人）处的签署人可为单位负责人。</w:t>
      </w: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2.若投标文件中签字之处均为法定代表人（单位负责人）本人签署，则可不提供本《授权委托书》，但须提供《法定代表人（单位负责人）身份证明》（实质性格式）。</w:t>
      </w:r>
      <w:r>
        <w:rPr>
          <w:rFonts w:ascii="宋体" w:hAnsi="宋体" w:eastAsia="宋体"/>
          <w:szCs w:val="21"/>
          <w:highlight w:val="none"/>
        </w:rPr>
      </w:r>
      <w:r/>
    </w:p>
    <w:p>
      <w:pPr>
        <w:pStyle w:val="1073"/>
        <w:jc w:val="left"/>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3.供应商为自然人的情形，可不提供本《授权委托书》。</w:t>
      </w:r>
      <w:r>
        <w:rPr>
          <w:rFonts w:ascii="宋体" w:hAnsi="宋体" w:eastAsia="宋体"/>
          <w:szCs w:val="21"/>
          <w:highlight w:val="none"/>
        </w:rPr>
      </w:r>
      <w:r/>
    </w:p>
    <w:p>
      <w:pPr>
        <w:pStyle w:val="1073"/>
        <w:jc w:val="center"/>
        <w:spacing w:line="360" w:lineRule="exact"/>
        <w:rPr>
          <w:rFonts w:ascii="宋体" w:hAnsi="宋体" w:eastAsia="宋体"/>
          <w:b/>
          <w:sz w:val="36"/>
          <w:szCs w:val="36"/>
          <w:highlight w:val="none"/>
        </w:rPr>
      </w:pPr>
      <w:r/>
      <w:bookmarkEnd w:id="876"/>
      <w:r>
        <w:rPr>
          <w:rFonts w:ascii="宋体" w:hAnsi="宋体" w:eastAsia="宋体"/>
          <w:b/>
          <w:sz w:val="36"/>
          <w:szCs w:val="36"/>
          <w:highlight w:val="none"/>
        </w:rPr>
      </w:r>
      <w:r/>
    </w:p>
    <w:p>
      <w:pPr>
        <w:pStyle w:val="1073"/>
        <w:jc w:val="center"/>
        <w:spacing w:line="360" w:lineRule="exact"/>
        <w:rPr>
          <w:rFonts w:ascii="宋体" w:hAnsi="宋体" w:eastAsia="宋体"/>
          <w:b/>
          <w:sz w:val="36"/>
          <w:szCs w:val="36"/>
          <w:highlight w:val="none"/>
        </w:rPr>
      </w:pPr>
      <w:r/>
      <w:bookmarkStart w:id="877" w:name="OLE_LINK15"/>
      <w:r>
        <w:rPr>
          <w:rFonts w:ascii="宋体" w:hAnsi="宋体" w:eastAsia="宋体"/>
          <w:b/>
          <w:sz w:val="36"/>
          <w:szCs w:val="36"/>
          <w:highlight w:val="none"/>
        </w:rPr>
        <w:t xml:space="preserve">附：法定代表人（单位负责人）身份证明</w:t>
      </w:r>
      <w:r>
        <w:rPr>
          <w:rFonts w:ascii="宋体" w:hAnsi="宋体" w:eastAsia="宋体"/>
          <w:b/>
          <w:sz w:val="36"/>
          <w:szCs w:val="36"/>
          <w:highlight w:val="none"/>
        </w:rPr>
      </w:r>
      <w:r/>
    </w:p>
    <w:p>
      <w:pPr>
        <w:pStyle w:val="1073"/>
        <w:spacing w:line="200" w:lineRule="exact"/>
        <w:rPr>
          <w:rFonts w:ascii="宋体" w:hAnsi="宋体" w:eastAsia="宋体"/>
          <w:sz w:val="20"/>
          <w:szCs w:val="20"/>
          <w:highlight w:val="none"/>
        </w:rPr>
      </w:pPr>
      <w:r>
        <w:rPr>
          <w:rFonts w:ascii="宋体" w:hAnsi="宋体" w:eastAsia="宋体"/>
          <w:sz w:val="20"/>
          <w:szCs w:val="20"/>
          <w:highlight w:val="none"/>
        </w:rPr>
      </w:r>
      <w:r/>
    </w:p>
    <w:p>
      <w:pPr>
        <w:pStyle w:val="1073"/>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spacing w:line="360" w:lineRule="auto"/>
        <w:tabs>
          <w:tab w:val="left" w:pos="5580" w:leader="none"/>
        </w:tabs>
        <w:rPr>
          <w:rFonts w:ascii="宋体" w:hAnsi="宋体" w:eastAsia="宋体"/>
          <w:szCs w:val="21"/>
          <w:highlight w:val="none"/>
        </w:rPr>
      </w:pPr>
      <w:r>
        <w:rPr>
          <w:rFonts w:ascii="宋体" w:hAnsi="宋体" w:eastAsia="宋体"/>
          <w:szCs w:val="21"/>
          <w:highlight w:val="none"/>
        </w:rPr>
      </w:r>
      <w:r/>
    </w:p>
    <w:p>
      <w:pPr>
        <w:pStyle w:val="1073"/>
        <w:spacing w:line="360" w:lineRule="auto"/>
        <w:tabs>
          <w:tab w:val="left" w:pos="5580" w:leader="none"/>
        </w:tabs>
        <w:rPr>
          <w:rFonts w:ascii="宋体" w:hAnsi="宋体" w:eastAsia="宋体"/>
          <w:szCs w:val="21"/>
          <w:highlight w:val="none"/>
        </w:rPr>
      </w:pPr>
      <w:r>
        <w:rPr>
          <w:rFonts w:ascii="宋体" w:hAnsi="宋体" w:eastAsia="宋体"/>
          <w:szCs w:val="21"/>
          <w:highlight w:val="none"/>
        </w:rPr>
        <w:t xml:space="preserve">致：</w:t>
      </w:r>
      <w:r>
        <w:rPr>
          <w:rFonts w:ascii="宋体" w:hAnsi="宋体" w:eastAsia="宋体"/>
          <w:szCs w:val="21"/>
          <w:highlight w:val="none"/>
          <w:u w:val="single"/>
        </w:rPr>
        <w:t xml:space="preserve">（采购人或采购代理机构）</w:t>
      </w:r>
      <w:r>
        <w:rPr>
          <w:rFonts w:ascii="宋体" w:hAnsi="宋体" w:eastAsia="宋体"/>
          <w:szCs w:val="21"/>
          <w:highlight w:val="none"/>
        </w:rPr>
      </w:r>
      <w:r/>
    </w:p>
    <w:p>
      <w:pPr>
        <w:pStyle w:val="1085"/>
        <w:ind w:firstLine="420"/>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t xml:space="preserve">兹证明，</w:t>
      </w:r>
      <w:r>
        <w:rPr>
          <w:sz w:val="21"/>
          <w:szCs w:val="21"/>
          <w:highlight w:val="none"/>
        </w:rPr>
      </w:r>
      <w:r/>
    </w:p>
    <w:p>
      <w:pPr>
        <w:pStyle w:val="1085"/>
        <w:spacing w:line="335" w:lineRule="exact"/>
        <w:tabs>
          <w:tab w:val="left" w:pos="567" w:leader="none"/>
          <w:tab w:val="left" w:pos="1690" w:leader="none"/>
          <w:tab w:val="left" w:pos="3400" w:leader="none"/>
          <w:tab w:val="left" w:pos="5110" w:leader="none"/>
          <w:tab w:val="left" w:pos="6821" w:leader="none"/>
        </w:tabs>
        <w:rPr>
          <w:sz w:val="21"/>
          <w:szCs w:val="21"/>
          <w:highlight w:val="none"/>
        </w:rPr>
      </w:pPr>
      <w:r>
        <w:rPr>
          <w:sz w:val="21"/>
          <w:szCs w:val="21"/>
          <w:highlight w:val="none"/>
        </w:rPr>
        <w:t xml:space="preserve">姓名：____性别：____年龄：____职务：____</w:t>
      </w:r>
      <w:r>
        <w:rPr>
          <w:sz w:val="21"/>
          <w:szCs w:val="21"/>
          <w:highlight w:val="none"/>
        </w:rPr>
      </w:r>
      <w:r/>
    </w:p>
    <w:p>
      <w:pPr>
        <w:pStyle w:val="1085"/>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5"/>
        <w:spacing w:line="335" w:lineRule="exact"/>
        <w:tabs>
          <w:tab w:val="left" w:pos="2250" w:leader="none"/>
          <w:tab w:val="left" w:pos="2412" w:leader="none"/>
          <w:tab w:val="left" w:pos="3883" w:leader="none"/>
          <w:tab w:val="left" w:pos="5352" w:leader="none"/>
          <w:tab w:val="left" w:pos="6821" w:leader="none"/>
        </w:tabs>
        <w:rPr>
          <w:sz w:val="21"/>
          <w:szCs w:val="21"/>
          <w:highlight w:val="none"/>
        </w:rPr>
      </w:pPr>
      <w:r>
        <w:rPr>
          <w:sz w:val="21"/>
          <w:szCs w:val="21"/>
          <w:highlight w:val="none"/>
        </w:rPr>
        <w:t xml:space="preserve">系</w:t>
      </w:r>
      <w:r>
        <w:rPr>
          <w:sz w:val="21"/>
          <w:szCs w:val="21"/>
          <w:highlight w:val="none"/>
          <w:u w:val="single"/>
        </w:rPr>
        <w:tab/>
      </w:r>
      <w:r>
        <w:rPr>
          <w:sz w:val="21"/>
          <w:szCs w:val="21"/>
          <w:highlight w:val="none"/>
        </w:rPr>
        <w:t xml:space="preserve">（投标人名称）的法定代表人（单位负责人）。</w:t>
      </w:r>
      <w:r>
        <w:rPr>
          <w:sz w:val="21"/>
          <w:szCs w:val="21"/>
          <w:highlight w:val="none"/>
        </w:rPr>
      </w:r>
      <w:r/>
    </w:p>
    <w:p>
      <w:pPr>
        <w:pStyle w:val="1085"/>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5"/>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5"/>
        <w:spacing w:line="335" w:lineRule="exact"/>
        <w:tabs>
          <w:tab w:val="left" w:pos="567" w:leader="none"/>
          <w:tab w:val="left" w:pos="2412" w:leader="none"/>
          <w:tab w:val="left" w:pos="3883" w:leader="none"/>
          <w:tab w:val="left" w:pos="5352" w:leader="none"/>
          <w:tab w:val="left" w:pos="6821" w:leader="none"/>
        </w:tabs>
        <w:rPr>
          <w:sz w:val="21"/>
          <w:szCs w:val="21"/>
          <w:highlight w:val="none"/>
        </w:rPr>
      </w:pPr>
      <w:r>
        <w:rPr>
          <w:sz w:val="21"/>
          <w:szCs w:val="21"/>
          <w:highlight w:val="none"/>
        </w:rPr>
      </w:r>
      <w:r/>
    </w:p>
    <w:p>
      <w:pPr>
        <w:pStyle w:val="1085"/>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）有效期内的身份证正反面</w:t>
      </w:r>
      <w:r>
        <w:rPr>
          <w:rFonts w:hint="eastAsia"/>
          <w:spacing w:val="-3"/>
          <w:sz w:val="21"/>
          <w:szCs w:val="21"/>
          <w:highlight w:val="none"/>
        </w:rPr>
        <w:t xml:space="preserve">扫描件</w:t>
      </w:r>
      <w:r>
        <w:rPr>
          <w:spacing w:val="-3"/>
          <w:sz w:val="21"/>
          <w:szCs w:val="21"/>
          <w:highlight w:val="none"/>
        </w:rPr>
        <w:t xml:space="preserve">。</w:t>
      </w:r>
      <w:r>
        <w:rPr>
          <w:spacing w:val="-3"/>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top"/>
            <w:textDirection w:val="lrTb"/>
            <w:noWrap w:val="false"/>
          </w:tcPr>
          <w:p>
            <w:pPr>
              <w:pStyle w:val="1073"/>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3"/>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3"/>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tc>
        <w:tc>
          <w:tcPr>
            <w:tcW w:w="4536" w:type="dxa"/>
            <w:vAlign w:val="top"/>
            <w:textDirection w:val="lrTb"/>
            <w:noWrap w:val="false"/>
          </w:tcPr>
          <w:p>
            <w:pPr>
              <w:pStyle w:val="1073"/>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3"/>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p>
            <w:pPr>
              <w:pStyle w:val="1073"/>
              <w:jc w:val="left"/>
              <w:spacing w:line="360" w:lineRule="auto"/>
              <w:tabs>
                <w:tab w:val="left" w:pos="5580" w:leader="none"/>
              </w:tabs>
              <w:rPr>
                <w:rFonts w:ascii="宋体" w:hAnsi="宋体" w:eastAsia="宋体"/>
                <w:sz w:val="24"/>
                <w:szCs w:val="20"/>
                <w:highlight w:val="none"/>
              </w:rPr>
            </w:pPr>
            <w:r>
              <w:rPr>
                <w:rFonts w:ascii="宋体" w:hAnsi="宋体" w:eastAsia="宋体"/>
                <w:sz w:val="24"/>
                <w:szCs w:val="20"/>
                <w:highlight w:val="none"/>
              </w:rPr>
            </w:r>
            <w:r/>
          </w:p>
        </w:tc>
      </w:tr>
    </w:tbl>
    <w:p>
      <w:pPr>
        <w:pStyle w:val="1085"/>
        <w:ind w:right="4305"/>
        <w:spacing w:line="583" w:lineRule="auto"/>
        <w:tabs>
          <w:tab w:val="left" w:pos="567" w:leader="none"/>
        </w:tabs>
        <w:rPr>
          <w:spacing w:val="-3"/>
          <w:highlight w:val="none"/>
        </w:rPr>
      </w:pPr>
      <w:r>
        <w:rPr>
          <w:spacing w:val="-3"/>
          <w:highlight w:val="none"/>
        </w:rPr>
      </w:r>
      <w:r/>
    </w:p>
    <w:p>
      <w:pPr>
        <w:pStyle w:val="1085"/>
        <w:ind w:right="4305"/>
        <w:spacing w:line="583" w:lineRule="auto"/>
        <w:tabs>
          <w:tab w:val="left" w:pos="567" w:leader="none"/>
        </w:tabs>
        <w:rPr>
          <w:spacing w:val="-3"/>
          <w:sz w:val="21"/>
          <w:szCs w:val="21"/>
          <w:highlight w:val="none"/>
        </w:rPr>
      </w:pPr>
      <w:r>
        <w:rPr>
          <w:spacing w:val="-3"/>
          <w:sz w:val="21"/>
          <w:szCs w:val="21"/>
          <w:highlight w:val="none"/>
        </w:rPr>
      </w:r>
      <w:r/>
    </w:p>
    <w:p>
      <w:pPr>
        <w:pStyle w:val="1073"/>
        <w:spacing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：________________</w:t>
      </w:r>
      <w:r>
        <w:rPr>
          <w:rFonts w:ascii="宋体" w:hAnsi="宋体" w:eastAsia="宋体"/>
          <w:szCs w:val="21"/>
          <w:highlight w:val="none"/>
          <w:lang w:val="zh-CN"/>
        </w:rPr>
      </w:r>
      <w:r/>
    </w:p>
    <w:p>
      <w:pPr>
        <w:pStyle w:val="1085"/>
        <w:ind w:right="95"/>
        <w:spacing w:line="583" w:lineRule="auto"/>
        <w:tabs>
          <w:tab w:val="left" w:pos="567" w:leader="none"/>
        </w:tabs>
        <w:rPr>
          <w:spacing w:val="-3"/>
          <w:sz w:val="21"/>
          <w:szCs w:val="21"/>
          <w:highlight w:val="none"/>
        </w:rPr>
      </w:pPr>
      <w:r>
        <w:rPr>
          <w:spacing w:val="-3"/>
          <w:sz w:val="21"/>
          <w:szCs w:val="21"/>
          <w:highlight w:val="none"/>
        </w:rPr>
        <w:t xml:space="preserve">法定代表人（</w:t>
      </w:r>
      <w:r>
        <w:rPr>
          <w:sz w:val="21"/>
          <w:szCs w:val="21"/>
          <w:highlight w:val="none"/>
        </w:rPr>
        <w:t xml:space="preserve">单位负责人</w:t>
      </w:r>
      <w:r>
        <w:rPr>
          <w:spacing w:val="-3"/>
          <w:sz w:val="21"/>
          <w:szCs w:val="21"/>
          <w:highlight w:val="none"/>
        </w:rPr>
        <w:t xml:space="preserve">）（签字、签章或印鉴）：_______</w:t>
      </w:r>
      <w:r>
        <w:rPr>
          <w:spacing w:val="-3"/>
          <w:sz w:val="21"/>
          <w:szCs w:val="21"/>
          <w:highlight w:val="none"/>
        </w:rPr>
      </w:r>
      <w:r/>
    </w:p>
    <w:p>
      <w:pPr>
        <w:pStyle w:val="1073"/>
        <w:spacing w:line="360" w:lineRule="auto"/>
        <w:rPr>
          <w:rFonts w:ascii="宋体" w:hAnsi="宋体" w:eastAsia="宋体"/>
          <w:szCs w:val="21"/>
          <w:highlight w:val="none"/>
        </w:rPr>
      </w:pPr>
      <w:r>
        <w:rPr>
          <w:rFonts w:ascii="宋体" w:hAnsi="宋体" w:eastAsia="宋体"/>
          <w:szCs w:val="21"/>
          <w:highlight w:val="none"/>
        </w:rPr>
      </w:r>
      <w:r/>
    </w:p>
    <w:p>
      <w:pPr>
        <w:pStyle w:val="1073"/>
        <w:spacing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w:t>
      </w:r>
      <w:r>
        <w:rPr>
          <w:rFonts w:ascii="宋体" w:hAnsi="宋体" w:eastAsia="宋体"/>
          <w:szCs w:val="21"/>
          <w:highlight w:val="none"/>
          <w:lang w:val="zh-CN"/>
        </w:rPr>
      </w:r>
      <w:r/>
    </w:p>
    <w:p>
      <w:pPr>
        <w:pStyle w:val="1073"/>
        <w:jc w:val="left"/>
        <w:widowControl/>
        <w:rPr>
          <w:rFonts w:ascii="宋体" w:hAnsi="宋体" w:eastAsia="宋体"/>
          <w:i/>
          <w:sz w:val="24"/>
          <w:szCs w:val="20"/>
          <w:highlight w:val="none"/>
          <w:u w:val="single"/>
        </w:rPr>
      </w:pPr>
      <w:r/>
      <w:bookmarkEnd w:id="877"/>
      <w:r>
        <w:rPr>
          <w:rFonts w:ascii="宋体" w:hAnsi="宋体" w:eastAsia="宋体"/>
          <w:i/>
          <w:sz w:val="24"/>
          <w:szCs w:val="20"/>
          <w:highlight w:val="none"/>
          <w:u w:val="single"/>
        </w:rPr>
      </w:r>
      <w:r/>
    </w:p>
    <w:p>
      <w:pPr>
        <w:pStyle w:val="1073"/>
        <w:jc w:val="left"/>
        <w:widowControl/>
        <w:rPr>
          <w:rFonts w:ascii="宋体" w:hAnsi="宋体" w:eastAsia="宋体"/>
          <w:sz w:val="24"/>
          <w:highlight w:val="none"/>
        </w:rPr>
      </w:pPr>
      <w:r>
        <w:rPr>
          <w:rFonts w:ascii="宋体" w:hAnsi="宋体" w:eastAsia="宋体"/>
          <w:sz w:val="24"/>
          <w:szCs w:val="20"/>
          <w:highlight w:val="none"/>
        </w:rPr>
        <w:br w:type="page" w:clear="all"/>
      </w:r>
      <w:r>
        <w:rPr>
          <w:rFonts w:hint="eastAsia" w:ascii="宋体" w:hAnsi="宋体" w:eastAsia="宋体"/>
          <w:sz w:val="24"/>
          <w:szCs w:val="20"/>
          <w:highlight w:val="none"/>
        </w:rPr>
        <w:t xml:space="preserve">5</w:t>
      </w:r>
      <w:r>
        <w:rPr>
          <w:rFonts w:ascii="宋体" w:hAnsi="宋体" w:eastAsia="宋体"/>
          <w:sz w:val="24"/>
          <w:szCs w:val="20"/>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eastAsia="宋体"/>
          <w:sz w:val="24"/>
          <w:highlight w:val="none"/>
        </w:rPr>
      </w:r>
      <w:r/>
    </w:p>
    <w:p>
      <w:pPr>
        <w:pStyle w:val="1073"/>
        <w:jc w:val="left"/>
        <w:widowControl/>
        <w:rPr>
          <w:rFonts w:ascii="宋体" w:hAnsi="宋体" w:eastAsia="宋体"/>
          <w:sz w:val="24"/>
          <w:szCs w:val="20"/>
          <w:highlight w:val="none"/>
        </w:rPr>
      </w:pPr>
      <w:r>
        <w:rPr>
          <w:rFonts w:ascii="宋体" w:hAnsi="宋体" w:eastAsia="宋体"/>
          <w:sz w:val="24"/>
          <w:szCs w:val="20"/>
          <w:highlight w:val="none"/>
        </w:rPr>
      </w:r>
      <w:r/>
    </w:p>
    <w:p>
      <w:pPr>
        <w:pStyle w:val="1073"/>
        <w:jc w:val="center"/>
        <w:spacing w:line="360" w:lineRule="auto"/>
        <w:rPr>
          <w:rFonts w:ascii="宋体" w:hAnsi="宋体" w:eastAsia="宋体"/>
          <w:b/>
          <w:sz w:val="36"/>
          <w:szCs w:val="36"/>
          <w:highlight w:val="none"/>
        </w:rPr>
      </w:pPr>
      <w:r/>
      <w:bookmarkStart w:id="878" w:name="_Toc226337254"/>
      <w:r/>
      <w:bookmarkStart w:id="879" w:name="_Toc226965748"/>
      <w:r/>
      <w:bookmarkStart w:id="880" w:name="_Toc226965831"/>
      <w:r/>
      <w:bookmarkStart w:id="881" w:name="_Toc195842923"/>
      <w:r/>
      <w:bookmarkStart w:id="882" w:name="_Toc305158900"/>
      <w:r/>
      <w:bookmarkStart w:id="883" w:name="_Toc264969248"/>
      <w:r/>
      <w:bookmarkStart w:id="884" w:name="_Toc265228396"/>
      <w:r/>
      <w:bookmarkStart w:id="885" w:name="_Toc164608827"/>
      <w:r/>
      <w:bookmarkStart w:id="886" w:name="_Toc164608672"/>
      <w:r/>
      <w:bookmarkStart w:id="887" w:name="_Toc226309802"/>
      <w:r/>
      <w:bookmarkStart w:id="888" w:name="_Toc305158826"/>
      <w:r/>
      <w:bookmarkStart w:id="889" w:name="OLE_LINK9"/>
      <w:r/>
      <w:bookmarkStart w:id="890" w:name="OLE_LINK11"/>
      <w:r>
        <w:rPr>
          <w:rFonts w:ascii="宋体" w:hAnsi="宋体" w:eastAsia="宋体"/>
          <w:b/>
          <w:sz w:val="36"/>
          <w:szCs w:val="36"/>
          <w:highlight w:val="none"/>
        </w:rPr>
        <w:t xml:space="preserve">开标一览表</w:t>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eastAsia="宋体"/>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4"/>
        <w:gridCol w:w="5811"/>
      </w:tblGrid>
      <w:tr>
        <w:trPr>
          <w:trHeight w:val="737"/>
        </w:trPr>
        <w:tc>
          <w:tcPr>
            <w:tcW w:w="2694" w:type="dxa"/>
            <w:vAlign w:val="center"/>
            <w:textDirection w:val="lrTb"/>
            <w:noWrap w:val="false"/>
          </w:tcPr>
          <w:p>
            <w:pPr>
              <w:pStyle w:val="1073"/>
              <w:jc w:val="center"/>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项目名称</w:t>
            </w:r>
            <w:r>
              <w:rPr>
                <w:rFonts w:ascii="宋体" w:hAnsi="宋体" w:eastAsia="宋体"/>
                <w:sz w:val="24"/>
                <w:highlight w:val="none"/>
              </w:rPr>
            </w:r>
            <w:r/>
          </w:p>
        </w:tc>
        <w:tc>
          <w:tcPr>
            <w:tcW w:w="5811" w:type="dxa"/>
            <w:vAlign w:val="center"/>
            <w:textDirection w:val="lrTb"/>
            <w:noWrap w:val="false"/>
          </w:tcPr>
          <w:p>
            <w:pPr>
              <w:pStyle w:val="1073"/>
              <w:jc w:val="left"/>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r>
            <w:r/>
          </w:p>
        </w:tc>
      </w:tr>
      <w:tr>
        <w:trPr>
          <w:trHeight w:val="737"/>
        </w:trPr>
        <w:tc>
          <w:tcPr>
            <w:tcW w:w="2694" w:type="dxa"/>
            <w:vAlign w:val="center"/>
            <w:textDirection w:val="lrTb"/>
            <w:noWrap w:val="false"/>
          </w:tcPr>
          <w:p>
            <w:pPr>
              <w:pStyle w:val="1073"/>
              <w:jc w:val="center"/>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项目编号</w:t>
            </w:r>
            <w:r>
              <w:rPr>
                <w:rFonts w:ascii="宋体" w:hAnsi="宋体" w:eastAsia="宋体"/>
                <w:sz w:val="24"/>
                <w:highlight w:val="none"/>
              </w:rPr>
            </w:r>
            <w:r/>
          </w:p>
        </w:tc>
        <w:tc>
          <w:tcPr>
            <w:tcW w:w="5811" w:type="dxa"/>
            <w:vAlign w:val="center"/>
            <w:textDirection w:val="lrTb"/>
            <w:noWrap w:val="false"/>
          </w:tcPr>
          <w:p>
            <w:pPr>
              <w:pStyle w:val="1073"/>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 </w:t>
            </w:r>
            <w:r>
              <w:rPr>
                <w:rFonts w:ascii="宋体" w:hAnsi="宋体" w:eastAsia="宋体"/>
                <w:sz w:val="24"/>
                <w:highlight w:val="none"/>
              </w:rPr>
            </w:r>
            <w:r/>
          </w:p>
        </w:tc>
      </w:tr>
      <w:tr>
        <w:trPr>
          <w:trHeight w:val="737"/>
        </w:trPr>
        <w:tc>
          <w:tcPr>
            <w:tcW w:w="2694" w:type="dxa"/>
            <w:vAlign w:val="center"/>
            <w:textDirection w:val="lrTb"/>
            <w:noWrap w:val="false"/>
          </w:tcPr>
          <w:p>
            <w:pPr>
              <w:pStyle w:val="1073"/>
              <w:jc w:val="center"/>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合同履行期限</w:t>
            </w:r>
            <w:r>
              <w:rPr>
                <w:rFonts w:ascii="宋体" w:hAnsi="宋体" w:eastAsia="宋体"/>
                <w:sz w:val="24"/>
                <w:highlight w:val="none"/>
              </w:rPr>
            </w:r>
            <w:r/>
          </w:p>
        </w:tc>
        <w:tc>
          <w:tcPr>
            <w:tcW w:w="5811" w:type="dxa"/>
            <w:vAlign w:val="center"/>
            <w:textDirection w:val="lrTb"/>
            <w:noWrap w:val="false"/>
          </w:tcPr>
          <w:p>
            <w:pPr>
              <w:pStyle w:val="1073"/>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tc>
      </w:tr>
      <w:tr>
        <w:trPr>
          <w:trHeight w:val="2306"/>
        </w:trPr>
        <w:tc>
          <w:tcPr>
            <w:tcW w:w="2694" w:type="dxa"/>
            <w:vAlign w:val="center"/>
            <w:textDirection w:val="lrTb"/>
            <w:noWrap w:val="false"/>
          </w:tcPr>
          <w:p>
            <w:pPr>
              <w:pStyle w:val="1073"/>
              <w:jc w:val="center"/>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投标总价</w:t>
            </w:r>
            <w:r>
              <w:rPr>
                <w:rFonts w:ascii="宋体" w:hAnsi="宋体" w:eastAsia="宋体"/>
                <w:sz w:val="24"/>
                <w:highlight w:val="none"/>
              </w:rPr>
            </w:r>
            <w:r/>
          </w:p>
        </w:tc>
        <w:tc>
          <w:tcPr>
            <w:tcW w:w="5811" w:type="dxa"/>
            <w:vAlign w:val="center"/>
            <w:textDirection w:val="lrTb"/>
            <w:noWrap w:val="false"/>
          </w:tcPr>
          <w:p>
            <w:pPr>
              <w:pStyle w:val="1073"/>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小写：￥                              </w:t>
            </w:r>
            <w:r>
              <w:rPr>
                <w:rFonts w:ascii="宋体" w:hAnsi="宋体" w:eastAsia="宋体"/>
                <w:sz w:val="24"/>
                <w:highlight w:val="none"/>
              </w:rPr>
            </w:r>
            <w:r/>
          </w:p>
          <w:p>
            <w:pPr>
              <w:pStyle w:val="1073"/>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3"/>
              <w:jc w:val="left"/>
              <w:tabs>
                <w:tab w:val="left" w:pos="1800" w:leader="none"/>
                <w:tab w:val="left" w:pos="5580" w:leader="none"/>
              </w:tabs>
              <w:rPr>
                <w:rFonts w:ascii="宋体" w:hAnsi="宋体" w:eastAsia="宋体"/>
                <w:sz w:val="24"/>
                <w:highlight w:val="none"/>
              </w:rPr>
            </w:pPr>
            <w:r>
              <w:rPr>
                <w:rFonts w:ascii="宋体" w:hAnsi="宋体" w:eastAsia="宋体"/>
                <w:sz w:val="24"/>
                <w:highlight w:val="none"/>
              </w:rPr>
              <w:t xml:space="preserve">大写：人民币                          </w:t>
            </w:r>
            <w:r>
              <w:rPr>
                <w:rFonts w:ascii="宋体" w:hAnsi="宋体" w:eastAsia="宋体"/>
                <w:sz w:val="24"/>
                <w:highlight w:val="none"/>
              </w:rPr>
            </w:r>
            <w:r/>
          </w:p>
        </w:tc>
      </w:tr>
    </w:tbl>
    <w:p>
      <w:pPr>
        <w:pStyle w:val="1073"/>
        <w:jc w:val="left"/>
        <w:spacing w:line="360" w:lineRule="auto"/>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注：</w:t>
      </w:r>
      <w:r>
        <w:rPr>
          <w:rFonts w:ascii="宋体" w:hAnsi="宋体" w:eastAsia="宋体"/>
          <w:sz w:val="24"/>
          <w:highlight w:val="none"/>
        </w:rPr>
      </w:r>
      <w:r/>
    </w:p>
    <w:p>
      <w:pPr>
        <w:pStyle w:val="1073"/>
        <w:jc w:val="left"/>
        <w:spacing w:line="360" w:lineRule="auto"/>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1、“投标总价”请保留小数点后两位。</w:t>
      </w:r>
      <w:r>
        <w:rPr>
          <w:rFonts w:ascii="宋体" w:hAnsi="宋体" w:eastAsia="宋体"/>
          <w:sz w:val="24"/>
          <w:highlight w:val="none"/>
        </w:rPr>
      </w:r>
      <w:r/>
    </w:p>
    <w:p>
      <w:pPr>
        <w:pStyle w:val="1073"/>
        <w:jc w:val="left"/>
        <w:spacing w:line="360" w:lineRule="auto"/>
        <w:tabs>
          <w:tab w:val="left" w:pos="1800" w:leader="none"/>
          <w:tab w:val="left" w:pos="5580" w:leader="none"/>
        </w:tabs>
        <w:rPr>
          <w:rFonts w:hint="eastAsia" w:ascii="宋体" w:hAnsi="宋体" w:eastAsia="宋体"/>
          <w:sz w:val="24"/>
          <w:highlight w:val="none"/>
        </w:rPr>
      </w:pPr>
      <w:r>
        <w:rPr>
          <w:rFonts w:ascii="宋体" w:hAnsi="宋体" w:eastAsia="宋体"/>
          <w:sz w:val="24"/>
          <w:highlight w:val="none"/>
        </w:rPr>
        <w:t xml:space="preserve">2</w:t>
      </w:r>
      <w:r>
        <w:rPr>
          <w:rFonts w:hint="eastAsia" w:ascii="宋体" w:hAnsi="宋体" w:eastAsia="宋体"/>
          <w:sz w:val="24"/>
          <w:highlight w:val="none"/>
        </w:rPr>
        <w:t xml:space="preserve">、投标文件制作工具中手动填写的投标价格应与投标文件开标一览表及报价明细表中的投标总价相一致。</w:t>
      </w:r>
      <w:r>
        <w:rPr>
          <w:rFonts w:hint="eastAsia" w:ascii="宋体" w:hAnsi="宋体" w:eastAsia="宋体"/>
          <w:sz w:val="24"/>
          <w:highlight w:val="none"/>
        </w:rPr>
      </w:r>
      <w:r/>
    </w:p>
    <w:p>
      <w:pPr>
        <w:pStyle w:val="1073"/>
        <w:jc w:val="left"/>
        <w:spacing w:line="360" w:lineRule="auto"/>
        <w:tabs>
          <w:tab w:val="left" w:pos="1800" w:leader="none"/>
          <w:tab w:val="left" w:pos="5580" w:leader="none"/>
        </w:tabs>
        <w:rPr>
          <w:rFonts w:ascii="宋体" w:hAnsi="宋体" w:eastAsia="宋体"/>
          <w:sz w:val="24"/>
          <w:highlight w:val="none"/>
        </w:rPr>
      </w:pPr>
      <w:r>
        <w:rPr>
          <w:rFonts w:hint="eastAsia" w:ascii="宋体" w:hAnsi="宋体" w:eastAsia="宋体"/>
          <w:sz w:val="24"/>
          <w:highlight w:val="none"/>
        </w:rPr>
        <w:t xml:space="preserve">3、格式与苏采云平台格式不一致的，以苏采云平台文件格式为准。</w:t>
      </w:r>
      <w:r>
        <w:rPr>
          <w:rFonts w:ascii="宋体" w:hAnsi="宋体" w:eastAsia="宋体"/>
          <w:sz w:val="24"/>
          <w:highlight w:val="none"/>
        </w:rPr>
      </w:r>
      <w:r/>
    </w:p>
    <w:p>
      <w:pPr>
        <w:pStyle w:val="1073"/>
        <w:jc w:val="left"/>
        <w:spacing w:line="360" w:lineRule="auto"/>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3"/>
        <w:jc w:val="left"/>
        <w:spacing w:line="360" w:lineRule="auto"/>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bookmarkEnd w:id="889"/>
      <w:r>
        <w:rPr>
          <w:rFonts w:ascii="宋体" w:hAnsi="宋体" w:eastAsia="宋体"/>
          <w:szCs w:val="21"/>
          <w:highlight w:val="none"/>
        </w:rPr>
        <w:t xml:space="preserve">日期：_____年______月______日   </w:t>
      </w:r>
      <w:r>
        <w:rPr>
          <w:rFonts w:ascii="宋体" w:hAnsi="宋体" w:eastAsia="宋体"/>
          <w:szCs w:val="21"/>
          <w:highlight w:val="none"/>
          <w:lang w:val="zh-CN"/>
        </w:rPr>
      </w:r>
      <w:r/>
    </w:p>
    <w:p>
      <w:pPr>
        <w:pStyle w:val="1073"/>
        <w:jc w:val="left"/>
        <w:spacing w:line="360" w:lineRule="auto"/>
        <w:tabs>
          <w:tab w:val="left" w:pos="1800" w:leader="none"/>
          <w:tab w:val="left" w:pos="5580" w:leader="none"/>
        </w:tabs>
        <w:rPr>
          <w:rFonts w:ascii="宋体" w:hAnsi="宋体" w:eastAsia="宋体"/>
          <w:sz w:val="24"/>
          <w:highlight w:val="none"/>
        </w:rPr>
      </w:pPr>
      <w:r/>
      <w:bookmarkEnd w:id="890"/>
      <w:r>
        <w:rPr>
          <w:rFonts w:ascii="宋体" w:hAnsi="宋体" w:eastAsia="宋体"/>
          <w:sz w:val="24"/>
          <w:highlight w:val="none"/>
        </w:rPr>
        <w:br w:type="page" w:clear="all"/>
      </w:r>
      <w:r>
        <w:rPr>
          <w:rFonts w:hint="eastAsia" w:ascii="宋体" w:hAnsi="宋体" w:eastAsia="宋体"/>
          <w:sz w:val="24"/>
          <w:highlight w:val="none"/>
        </w:rPr>
        <w:t xml:space="preserve">6  报价明细表</w:t>
      </w:r>
      <w:r>
        <w:rPr>
          <w:rFonts w:ascii="宋体" w:hAnsi="宋体" w:eastAsia="宋体"/>
          <w:sz w:val="24"/>
          <w:highlight w:val="none"/>
        </w:rPr>
      </w:r>
      <w:r/>
    </w:p>
    <w:p>
      <w:pPr>
        <w:pStyle w:val="1073"/>
        <w:jc w:val="left"/>
        <w:spacing w:line="360" w:lineRule="auto"/>
        <w:tabs>
          <w:tab w:val="left" w:pos="1800" w:leader="none"/>
          <w:tab w:val="left" w:pos="5580" w:leader="none"/>
        </w:tabs>
        <w:rPr>
          <w:rFonts w:ascii="宋体" w:hAnsi="宋体" w:eastAsia="宋体"/>
          <w:sz w:val="24"/>
          <w:highlight w:val="none"/>
        </w:rPr>
      </w:pPr>
      <w:r>
        <w:rPr>
          <w:rFonts w:ascii="宋体" w:hAnsi="宋体" w:eastAsia="宋体"/>
          <w:sz w:val="24"/>
          <w:highlight w:val="none"/>
        </w:rPr>
      </w:r>
      <w:r/>
    </w:p>
    <w:p>
      <w:pPr>
        <w:pStyle w:val="1073"/>
        <w:jc w:val="center"/>
        <w:spacing w:line="360" w:lineRule="auto"/>
        <w:rPr>
          <w:rFonts w:ascii="宋体" w:hAnsi="宋体" w:eastAsia="宋体"/>
          <w:b/>
          <w:sz w:val="36"/>
          <w:szCs w:val="36"/>
          <w:highlight w:val="none"/>
        </w:rPr>
      </w:pPr>
      <w:r/>
      <w:bookmarkStart w:id="891" w:name="OLE_LINK7"/>
      <w:r/>
      <w:bookmarkStart w:id="892" w:name="OLE_LINK16"/>
      <w:r>
        <w:rPr>
          <w:rFonts w:hint="eastAsia" w:ascii="宋体" w:hAnsi="宋体" w:eastAsia="宋体"/>
          <w:b/>
          <w:sz w:val="36"/>
          <w:szCs w:val="36"/>
          <w:highlight w:val="none"/>
        </w:rPr>
        <w:t xml:space="preserve">报价明细表</w:t>
      </w:r>
      <w:r>
        <w:rPr>
          <w:rFonts w:ascii="宋体" w:hAnsi="宋体" w:eastAsia="宋体"/>
          <w:b/>
          <w:sz w:val="36"/>
          <w:szCs w:val="36"/>
          <w:highlight w:val="none"/>
        </w:rPr>
      </w:r>
      <w:r/>
    </w:p>
    <w:p>
      <w:pPr>
        <w:pStyle w:val="1073"/>
        <w:ind w:firstLine="315"/>
        <w:jc w:val="left"/>
        <w:spacing w:line="360" w:lineRule="auto"/>
        <w:tabs>
          <w:tab w:val="left" w:pos="1800" w:leader="none"/>
          <w:tab w:val="left" w:pos="5580" w:leader="none"/>
        </w:tabs>
        <w:rPr>
          <w:rFonts w:ascii="宋体" w:hAnsi="宋体" w:eastAsia="宋体"/>
          <w:szCs w:val="21"/>
          <w:highlight w:val="none"/>
        </w:rPr>
      </w:pPr>
      <w:r/>
      <w:bookmarkEnd w:id="891"/>
      <w:r>
        <w:rPr>
          <w:rFonts w:ascii="宋体" w:hAnsi="宋体" w:eastAsia="宋体"/>
          <w:szCs w:val="21"/>
          <w:highlight w:val="none"/>
        </w:rPr>
        <w:t xml:space="preserve">项目编号：_____________________     项目名称：_____________</w:t>
      </w:r>
      <w:r>
        <w:rPr>
          <w:rFonts w:ascii="宋体" w:hAnsi="宋体" w:eastAsia="宋体"/>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0"/>
        <w:gridCol w:w="3201"/>
        <w:gridCol w:w="939"/>
        <w:gridCol w:w="902"/>
        <w:gridCol w:w="1262"/>
        <w:gridCol w:w="1254"/>
        <w:gridCol w:w="1089"/>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费用条目</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单位</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数量</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单价（元）</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总价（元）</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备注</w:t>
            </w: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4</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6</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8</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top"/>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0"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01"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（视需要补充）</w:t>
            </w: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2"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9" w:type="dxa"/>
            <w:vAlign w:val="center"/>
            <w:textDirection w:val="lrTb"/>
            <w:noWrap w:val="false"/>
          </w:tcPr>
          <w:p>
            <w:pPr>
              <w:pStyle w:val="1073"/>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91"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合计</w:t>
            </w:r>
            <w:r>
              <w:rPr>
                <w:rFonts w:hint="eastAsia" w:ascii="宋体" w:hAnsi="宋体" w:eastAsia="宋体" w:cs="宋体"/>
                <w:bCs/>
                <w:szCs w:val="21"/>
                <w:highlight w:val="none"/>
              </w:rPr>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6" w:type="dxa"/>
            <w:vAlign w:val="center"/>
            <w:textDirection w:val="lrTb"/>
            <w:noWrap w:val="false"/>
          </w:tcPr>
          <w:p>
            <w:pPr>
              <w:pStyle w:val="1073"/>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大写：人民币：                 元整（￥：元）</w:t>
            </w:r>
            <w:r>
              <w:rPr>
                <w:rFonts w:hint="eastAsia" w:ascii="宋体" w:hAnsi="宋体" w:eastAsia="宋体" w:cs="宋体"/>
                <w:bCs/>
                <w:szCs w:val="21"/>
                <w:highlight w:val="none"/>
              </w:rPr>
            </w:r>
            <w:r/>
          </w:p>
        </w:tc>
      </w:tr>
    </w:tbl>
    <w:p>
      <w:pPr>
        <w:pStyle w:val="1073"/>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3"/>
        <w:spacing w:before="25" w:after="25" w:line="360" w:lineRule="auto"/>
        <w:rPr>
          <w:rFonts w:ascii="宋体" w:hAnsi="宋体" w:eastAsia="宋体"/>
          <w:szCs w:val="21"/>
          <w:highlight w:val="none"/>
          <w:lang w:val="zh-CN"/>
        </w:rPr>
      </w:pPr>
      <w:r>
        <w:rPr>
          <w:rFonts w:hint="eastAsia" w:ascii="宋体" w:hAnsi="宋体" w:eastAsia="宋体"/>
          <w:szCs w:val="21"/>
          <w:highlight w:val="none"/>
          <w:lang w:val="zh-CN"/>
        </w:rPr>
        <w:t xml:space="preserve">1、报价表包含投标单位各项成本核算和投入的成本明细，合计金额应与开标一览表投标总价一致；否则，以开标一览表为准。</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：____________</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bookmarkEnd w:id="892"/>
      <w:r>
        <w:rPr>
          <w:rFonts w:ascii="宋体" w:hAnsi="宋体" w:eastAsia="宋体"/>
          <w:szCs w:val="21"/>
          <w:highlight w:val="none"/>
          <w:lang w:val="zh-CN"/>
        </w:rPr>
      </w:r>
      <w:r/>
    </w:p>
    <w:p>
      <w:pPr>
        <w:pStyle w:val="1073"/>
        <w:spacing w:line="360" w:lineRule="auto"/>
        <w:rPr>
          <w:rFonts w:hint="eastAsia" w:ascii="宋体" w:hAnsi="宋体" w:eastAsia="宋体"/>
          <w:sz w:val="24"/>
          <w:szCs w:val="20"/>
          <w:highlight w:val="none"/>
        </w:rPr>
        <w:outlineLvl w:val="2"/>
      </w:pPr>
      <w:r/>
      <w:bookmarkStart w:id="893" w:name="_Toc264969252"/>
      <w:r/>
      <w:bookmarkStart w:id="894" w:name="_Toc226309806"/>
      <w:r/>
      <w:bookmarkStart w:id="895" w:name="_Toc265228400"/>
      <w:r/>
      <w:bookmarkStart w:id="896" w:name="_Toc226965835"/>
      <w:r/>
      <w:bookmarkStart w:id="897" w:name="_Toc142311062"/>
      <w:r/>
      <w:bookmarkStart w:id="898" w:name="_Toc195842927"/>
      <w:r/>
      <w:bookmarkStart w:id="899" w:name="_Toc226337258"/>
      <w:r/>
      <w:bookmarkStart w:id="900" w:name="_Toc150774765"/>
      <w:r/>
      <w:bookmarkStart w:id="901" w:name="_Toc127151562"/>
      <w:r/>
      <w:bookmarkStart w:id="902" w:name="_Toc226965752"/>
      <w:r/>
      <w:bookmarkStart w:id="903" w:name="_Toc150480798"/>
      <w:r/>
      <w:bookmarkStart w:id="904" w:name="_Toc305158904"/>
      <w:r/>
      <w:bookmarkStart w:id="905" w:name="_Toc305158830"/>
      <w:r/>
      <w:bookmarkStart w:id="906" w:name="_Toc305158903"/>
      <w:r/>
      <w:bookmarkStart w:id="907" w:name="_Toc195842926"/>
      <w:r/>
      <w:bookmarkStart w:id="908" w:name="_Toc226337257"/>
      <w:r/>
      <w:bookmarkStart w:id="909" w:name="_Toc127151561"/>
      <w:r/>
      <w:bookmarkStart w:id="910" w:name="_Toc150480797"/>
      <w:r/>
      <w:bookmarkStart w:id="911" w:name="_Toc264969251"/>
      <w:r/>
      <w:bookmarkStart w:id="912" w:name="_Toc265228399"/>
      <w:r/>
      <w:bookmarkStart w:id="913" w:name="_Toc226965834"/>
      <w:r/>
      <w:bookmarkStart w:id="914" w:name="_Toc142311061"/>
      <w:r/>
      <w:bookmarkStart w:id="915" w:name="_Toc226965751"/>
      <w:r/>
      <w:bookmarkStart w:id="916" w:name="_Toc305158829"/>
      <w:r/>
      <w:bookmarkStart w:id="917" w:name="_Toc150774764"/>
      <w:r/>
      <w:bookmarkStart w:id="918" w:name="_Toc226309805"/>
      <w:r>
        <w:rPr>
          <w:rFonts w:ascii="宋体" w:hAnsi="宋体" w:eastAsia="宋体"/>
          <w:sz w:val="24"/>
          <w:szCs w:val="20"/>
          <w:highlight w:val="none"/>
        </w:rPr>
        <w:br w:type="page" w:clear="all"/>
      </w:r>
      <w:r>
        <w:rPr>
          <w:rFonts w:hint="eastAsia" w:ascii="宋体" w:hAnsi="宋体" w:eastAsia="宋体"/>
          <w:sz w:val="24"/>
          <w:szCs w:val="20"/>
          <w:highlight w:val="none"/>
        </w:rPr>
        <w:t xml:space="preserve">7</w:t>
      </w:r>
      <w:r>
        <w:rPr>
          <w:rFonts w:ascii="宋体" w:hAnsi="宋体" w:eastAsia="宋体"/>
          <w:sz w:val="24"/>
          <w:szCs w:val="20"/>
          <w:highlight w:val="none"/>
        </w:rPr>
        <w:t xml:space="preserve">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hint="eastAsia" w:ascii="宋体" w:hAnsi="宋体" w:eastAsia="宋体"/>
          <w:sz w:val="24"/>
          <w:szCs w:val="20"/>
          <w:highlight w:val="none"/>
        </w:rPr>
        <w:t xml:space="preserve">服务要求偏离表</w:t>
      </w:r>
      <w:r>
        <w:rPr>
          <w:rFonts w:hint="eastAsia" w:ascii="宋体" w:hAnsi="宋体" w:eastAsia="宋体"/>
          <w:sz w:val="24"/>
          <w:szCs w:val="20"/>
          <w:highlight w:val="none"/>
        </w:rPr>
      </w:r>
      <w:r/>
    </w:p>
    <w:p>
      <w:pPr>
        <w:pStyle w:val="1073"/>
        <w:jc w:val="center"/>
        <w:spacing w:line="360" w:lineRule="auto"/>
        <w:tabs>
          <w:tab w:val="left" w:pos="2775" w:leader="none"/>
          <w:tab w:val="center" w:pos="4153" w:leader="none"/>
        </w:tabs>
        <w:rPr>
          <w:rFonts w:hint="eastAsia" w:ascii="宋体" w:hAnsi="宋体" w:eastAsia="宋体"/>
          <w:b/>
          <w:sz w:val="36"/>
          <w:szCs w:val="36"/>
          <w:highlight w:val="none"/>
        </w:rPr>
      </w:pPr>
      <w:r/>
      <w:bookmarkStart w:id="919" w:name="OLE_LINK4"/>
      <w:r/>
      <w:bookmarkStart w:id="920" w:name="OLE_LINK17"/>
      <w:r>
        <w:rPr>
          <w:rFonts w:hint="eastAsia" w:ascii="宋体" w:hAnsi="宋体" w:eastAsia="宋体"/>
          <w:b/>
          <w:sz w:val="36"/>
          <w:szCs w:val="36"/>
          <w:highlight w:val="none"/>
        </w:rPr>
        <w:t xml:space="preserve">服务要求偏离表</w:t>
      </w:r>
      <w:r>
        <w:rPr>
          <w:rFonts w:hint="eastAsia" w:ascii="宋体" w:hAnsi="宋体" w:eastAsia="宋体"/>
          <w:b/>
          <w:sz w:val="36"/>
          <w:szCs w:val="36"/>
          <w:highlight w:val="none"/>
        </w:rPr>
      </w:r>
      <w:r/>
    </w:p>
    <w:p>
      <w:pPr>
        <w:pStyle w:val="1073"/>
        <w:ind w:firstLine="315"/>
        <w:jc w:val="left"/>
        <w:spacing w:line="360" w:lineRule="auto"/>
        <w:tabs>
          <w:tab w:val="left" w:pos="1800" w:leader="none"/>
          <w:tab w:val="left" w:pos="5580" w:leader="none"/>
        </w:tabs>
        <w:rPr>
          <w:rFonts w:ascii="宋体" w:hAnsi="宋体" w:eastAsia="宋体"/>
          <w:szCs w:val="21"/>
          <w:highlight w:val="none"/>
        </w:rPr>
      </w:pPr>
      <w:r/>
      <w:bookmarkEnd w:id="919"/>
      <w:r>
        <w:rPr>
          <w:rFonts w:ascii="宋体" w:hAnsi="宋体" w:eastAsia="宋体"/>
          <w:szCs w:val="21"/>
          <w:highlight w:val="none"/>
        </w:rPr>
        <w:t xml:space="preserve">项目编号：_____________________     项目名称：_____________</w:t>
      </w:r>
      <w:r>
        <w:rPr>
          <w:rFonts w:ascii="宋体" w:hAnsi="宋体" w:eastAsia="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3367"/>
        <w:gridCol w:w="3118"/>
        <w:gridCol w:w="1559"/>
      </w:tblGrid>
      <w:tr>
        <w:trPr>
          <w:trHeight w:val="850"/>
        </w:trPr>
        <w:tc>
          <w:tcPr>
            <w:tcW w:w="743" w:type="dxa"/>
            <w:vAlign w:val="center"/>
            <w:textDirection w:val="lrTb"/>
            <w:noWrap w:val="false"/>
          </w:tcPr>
          <w:p>
            <w:pPr>
              <w:pStyle w:val="1073"/>
              <w:jc w:val="center"/>
              <w:rPr>
                <w:rFonts w:ascii="宋体" w:hAnsi="宋体" w:eastAsia="宋体"/>
                <w:bCs/>
                <w:szCs w:val="21"/>
                <w:highlight w:val="none"/>
              </w:rPr>
            </w:pPr>
            <w:r>
              <w:rPr>
                <w:rFonts w:ascii="宋体" w:hAnsi="宋体" w:eastAsia="宋体"/>
                <w:bCs/>
                <w:szCs w:val="21"/>
                <w:highlight w:val="none"/>
              </w:rPr>
              <w:t xml:space="preserve">序号</w:t>
            </w:r>
            <w:r>
              <w:rPr>
                <w:rFonts w:ascii="宋体" w:hAnsi="宋体" w:eastAsia="宋体"/>
                <w:bCs/>
                <w:szCs w:val="21"/>
                <w:highlight w:val="none"/>
              </w:rPr>
            </w:r>
            <w:r/>
          </w:p>
        </w:tc>
        <w:tc>
          <w:tcPr>
            <w:tcW w:w="3367" w:type="dxa"/>
            <w:vAlign w:val="center"/>
            <w:textDirection w:val="lrTb"/>
            <w:noWrap w:val="false"/>
          </w:tcPr>
          <w:p>
            <w:pPr>
              <w:pStyle w:val="1073"/>
              <w:jc w:val="center"/>
              <w:rPr>
                <w:rFonts w:ascii="宋体" w:hAnsi="宋体" w:eastAsia="宋体"/>
                <w:bCs/>
                <w:szCs w:val="21"/>
                <w:highlight w:val="none"/>
              </w:rPr>
            </w:pPr>
            <w:r>
              <w:rPr>
                <w:rFonts w:ascii="宋体" w:hAnsi="宋体" w:eastAsia="宋体"/>
                <w:bCs/>
                <w:szCs w:val="21"/>
                <w:highlight w:val="none"/>
              </w:rPr>
              <w:t xml:space="preserve">招标</w:t>
            </w:r>
            <w:r>
              <w:rPr>
                <w:rFonts w:hint="eastAsia" w:ascii="宋体" w:hAnsi="宋体" w:eastAsia="宋体"/>
                <w:bCs/>
                <w:szCs w:val="21"/>
                <w:highlight w:val="none"/>
              </w:rPr>
              <w:t xml:space="preserve">文件</w:t>
            </w:r>
            <w:r>
              <w:rPr>
                <w:rFonts w:ascii="宋体" w:hAnsi="宋体" w:eastAsia="宋体"/>
                <w:bCs/>
                <w:szCs w:val="21"/>
                <w:highlight w:val="none"/>
              </w:rPr>
              <w:t xml:space="preserve">要求</w:t>
            </w:r>
            <w:r>
              <w:rPr>
                <w:rFonts w:ascii="宋体" w:hAnsi="宋体" w:eastAsia="宋体"/>
                <w:bCs/>
                <w:szCs w:val="21"/>
                <w:highlight w:val="none"/>
              </w:rPr>
            </w:r>
            <w:r/>
          </w:p>
        </w:tc>
        <w:tc>
          <w:tcPr>
            <w:tcW w:w="3118" w:type="dxa"/>
            <w:vAlign w:val="center"/>
            <w:textDirection w:val="lrTb"/>
            <w:noWrap w:val="false"/>
          </w:tcPr>
          <w:p>
            <w:pPr>
              <w:pStyle w:val="1073"/>
              <w:jc w:val="center"/>
              <w:rPr>
                <w:rFonts w:ascii="宋体" w:hAnsi="宋体" w:eastAsia="宋体"/>
                <w:bCs/>
                <w:szCs w:val="21"/>
                <w:highlight w:val="none"/>
              </w:rPr>
            </w:pPr>
            <w:r>
              <w:rPr>
                <w:rFonts w:hint="eastAsia" w:ascii="宋体" w:hAnsi="宋体" w:eastAsia="宋体"/>
                <w:bCs/>
                <w:szCs w:val="21"/>
                <w:highlight w:val="none"/>
              </w:rPr>
              <w:t xml:space="preserve">响应</w:t>
            </w:r>
            <w:r>
              <w:rPr>
                <w:rFonts w:ascii="宋体" w:hAnsi="宋体" w:eastAsia="宋体"/>
                <w:bCs/>
                <w:szCs w:val="21"/>
                <w:highlight w:val="none"/>
              </w:rPr>
              <w:t xml:space="preserve">情况</w:t>
            </w:r>
            <w:r>
              <w:rPr>
                <w:rFonts w:ascii="宋体" w:hAnsi="宋体" w:eastAsia="宋体"/>
                <w:bCs/>
                <w:szCs w:val="21"/>
                <w:highlight w:val="none"/>
              </w:rPr>
            </w:r>
            <w:r/>
          </w:p>
        </w:tc>
        <w:tc>
          <w:tcPr>
            <w:tcW w:w="1559" w:type="dxa"/>
            <w:vAlign w:val="center"/>
            <w:textDirection w:val="lrTb"/>
            <w:noWrap w:val="false"/>
          </w:tcPr>
          <w:p>
            <w:pPr>
              <w:pStyle w:val="1073"/>
              <w:jc w:val="center"/>
              <w:rPr>
                <w:rFonts w:ascii="宋体" w:hAnsi="宋体" w:eastAsia="宋体"/>
                <w:bCs/>
                <w:szCs w:val="21"/>
                <w:highlight w:val="none"/>
              </w:rPr>
            </w:pPr>
            <w:r>
              <w:rPr>
                <w:rFonts w:hint="eastAsia" w:ascii="宋体" w:hAnsi="宋体" w:eastAsia="宋体"/>
                <w:bCs/>
                <w:szCs w:val="21"/>
                <w:highlight w:val="none"/>
              </w:rPr>
              <w:t xml:space="preserve">偏离说明</w:t>
            </w:r>
            <w:r>
              <w:rPr>
                <w:rFonts w:ascii="宋体" w:hAnsi="宋体" w:eastAsia="宋体"/>
                <w:bCs/>
                <w:szCs w:val="21"/>
                <w:highlight w:val="none"/>
              </w:rPr>
            </w:r>
            <w:r/>
          </w:p>
        </w:tc>
      </w:tr>
      <w:tr>
        <w:trPr>
          <w:trHeight w:val="850"/>
        </w:trPr>
        <w:tc>
          <w:tcPr>
            <w:tcW w:w="743"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367" w:type="dxa"/>
            <w:vAlign w:val="center"/>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367" w:type="dxa"/>
            <w:vAlign w:val="top"/>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367" w:type="dxa"/>
            <w:vAlign w:val="top"/>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367" w:type="dxa"/>
            <w:vAlign w:val="top"/>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3"/>
              <w:jc w:val="center"/>
              <w:rPr>
                <w:rFonts w:hint="eastAsia" w:ascii="宋体" w:hAnsi="宋体" w:eastAsia="宋体"/>
                <w:szCs w:val="21"/>
                <w:highlight w:val="none"/>
              </w:rPr>
            </w:pPr>
            <w:r>
              <w:rPr>
                <w:rFonts w:hint="eastAsia" w:ascii="宋体" w:hAnsi="宋体" w:eastAsia="宋体"/>
                <w:szCs w:val="21"/>
                <w:highlight w:val="none"/>
              </w:rPr>
            </w:r>
            <w:r/>
          </w:p>
        </w:tc>
        <w:tc>
          <w:tcPr>
            <w:tcW w:w="3367" w:type="dxa"/>
            <w:vAlign w:val="top"/>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0"/>
        </w:trPr>
        <w:tc>
          <w:tcPr>
            <w:tcW w:w="743" w:type="dxa"/>
            <w:vAlign w:val="center"/>
            <w:textDirection w:val="lrTb"/>
            <w:noWrap w:val="false"/>
          </w:tcPr>
          <w:p>
            <w:pPr>
              <w:pStyle w:val="1073"/>
              <w:jc w:val="center"/>
              <w:rPr>
                <w:rFonts w:hint="eastAsia" w:ascii="宋体" w:hAnsi="宋体" w:eastAsia="宋体"/>
                <w:szCs w:val="21"/>
                <w:highlight w:val="none"/>
              </w:rPr>
            </w:pPr>
            <w:r>
              <w:rPr>
                <w:rFonts w:hint="eastAsia" w:ascii="宋体" w:hAnsi="宋体" w:eastAsia="宋体"/>
                <w:szCs w:val="21"/>
                <w:highlight w:val="none"/>
              </w:rPr>
            </w:r>
            <w:r/>
          </w:p>
        </w:tc>
        <w:tc>
          <w:tcPr>
            <w:tcW w:w="3367" w:type="dxa"/>
            <w:vAlign w:val="top"/>
            <w:textDirection w:val="lrTb"/>
            <w:noWrap w:val="false"/>
          </w:tcPr>
          <w:p>
            <w:pPr>
              <w:pStyle w:val="1073"/>
              <w:jc w:val="left"/>
              <w:rPr>
                <w:rFonts w:ascii="宋体" w:hAnsi="宋体" w:eastAsia="宋体"/>
                <w:szCs w:val="21"/>
                <w:highlight w:val="none"/>
              </w:rPr>
            </w:pPr>
            <w:r>
              <w:rPr>
                <w:rFonts w:ascii="宋体" w:hAnsi="宋体" w:eastAsia="宋体"/>
                <w:szCs w:val="21"/>
                <w:highlight w:val="none"/>
              </w:rPr>
            </w:r>
            <w:r/>
          </w:p>
        </w:tc>
        <w:tc>
          <w:tcPr>
            <w:tcW w:w="311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55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bl>
    <w:p>
      <w:pPr>
        <w:pStyle w:val="1073"/>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spacing w:line="360" w:lineRule="auto"/>
        <w:tabs>
          <w:tab w:val="left" w:pos="1800" w:leader="none"/>
          <w:tab w:val="left" w:pos="5580" w:leader="none"/>
        </w:tabs>
        <w:rPr>
          <w:rFonts w:ascii="宋体" w:hAnsi="宋体" w:eastAsia="宋体"/>
          <w:szCs w:val="21"/>
          <w:highlight w:val="none"/>
        </w:rPr>
      </w:pPr>
      <w:r>
        <w:rPr>
          <w:rFonts w:ascii="宋体" w:hAnsi="宋体" w:eastAsia="宋体"/>
          <w:szCs w:val="21"/>
          <w:highlight w:val="none"/>
        </w:rPr>
        <w:t xml:space="preserve">注：</w:t>
      </w:r>
      <w:bookmarkStart w:id="921" w:name="OLE_LINK8"/>
      <w:r>
        <w:rPr>
          <w:rFonts w:hint="eastAsia" w:ascii="宋体" w:hAnsi="宋体" w:eastAsia="宋体"/>
          <w:szCs w:val="21"/>
          <w:highlight w:val="none"/>
        </w:rPr>
        <w:t xml:space="preserve">1.投标人应在本表中对照招标文件服务要求与实际投标服务要求逐项对应列出，并在“偏离说明”项下填写以下内容：优于的，填写“正偏离”；符合的，填写“无偏离”；低于的，填写“负偏离”。</w:t>
      </w:r>
      <w:bookmarkEnd w:id="921"/>
      <w:r>
        <w:rPr>
          <w:rFonts w:hint="eastAsia" w:ascii="宋体" w:hAnsi="宋体" w:eastAsia="宋体" w:cs="宋体"/>
          <w:szCs w:val="21"/>
          <w:highlight w:val="none"/>
        </w:rPr>
        <w:t xml:space="preserve">未在上表中说明的，如在响应文件其他内容中已有文字说明的，则以已有文字说明为准，否则，将被认为完全响应招标文件的规定。</w:t>
      </w:r>
      <w:r>
        <w:rPr>
          <w:rFonts w:ascii="宋体" w:hAnsi="宋体" w:eastAsia="宋体"/>
          <w:szCs w:val="21"/>
          <w:highlight w:val="none"/>
        </w:rPr>
      </w:r>
      <w:r/>
    </w:p>
    <w:p>
      <w:pPr>
        <w:pStyle w:val="1073"/>
        <w:jc w:val="left"/>
        <w:spacing w:line="360" w:lineRule="auto"/>
        <w:tabs>
          <w:tab w:val="left" w:pos="1800" w:leader="none"/>
          <w:tab w:val="left" w:pos="5580" w:leader="none"/>
        </w:tabs>
        <w:rPr>
          <w:rFonts w:ascii="宋体" w:hAnsi="宋体" w:eastAsia="宋体"/>
          <w:szCs w:val="21"/>
          <w:highlight w:val="none"/>
        </w:rPr>
      </w:pPr>
      <w:r>
        <w:rPr>
          <w:rFonts w:hint="eastAsia" w:ascii="宋体" w:hAnsi="宋体" w:eastAsia="宋体"/>
          <w:szCs w:val="21"/>
          <w:highlight w:val="none"/>
        </w:rPr>
        <w:t xml:space="preserve">2.若事项较多，投标人可根据响应内容的实际情况另纸说明。</w:t>
      </w:r>
      <w:r>
        <w:rPr>
          <w:rFonts w:ascii="宋体" w:hAnsi="宋体" w:eastAsia="宋体"/>
          <w:szCs w:val="21"/>
          <w:highlight w:val="none"/>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lang w:val="zh-CN"/>
        </w:rPr>
        <w:t xml:space="preserve">                      </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r>
        <w:rPr>
          <w:rFonts w:ascii="宋体" w:hAnsi="宋体" w:eastAsia="宋体"/>
          <w:szCs w:val="21"/>
          <w:highlight w:val="none"/>
          <w:lang w:val="zh-CN"/>
        </w:rPr>
      </w:r>
      <w:r/>
    </w:p>
    <w:p>
      <w:pPr>
        <w:pStyle w:val="1073"/>
        <w:spacing w:line="360" w:lineRule="auto"/>
        <w:rPr>
          <w:rFonts w:ascii="宋体" w:hAnsi="宋体" w:eastAsia="宋体"/>
          <w:sz w:val="24"/>
          <w:szCs w:val="20"/>
          <w:highlight w:val="none"/>
        </w:rPr>
        <w:outlineLvl w:val="2"/>
      </w:pPr>
      <w:r/>
      <w:bookmarkEnd w:id="920"/>
      <w:r>
        <w:rPr>
          <w:rFonts w:ascii="宋体" w:hAnsi="宋体" w:eastAsia="宋体"/>
          <w:szCs w:val="21"/>
          <w:highlight w:val="none"/>
        </w:rPr>
        <w:br w:type="page" w:clear="all"/>
      </w:r>
      <w:r>
        <w:rPr>
          <w:rFonts w:hint="eastAsia" w:ascii="宋体" w:hAnsi="宋体" w:eastAsia="宋体"/>
          <w:sz w:val="24"/>
          <w:szCs w:val="20"/>
          <w:highlight w:val="none"/>
        </w:rPr>
        <w:t xml:space="preserve">8</w:t>
      </w:r>
      <w:r>
        <w:rPr>
          <w:rFonts w:ascii="宋体" w:hAnsi="宋体" w:eastAsia="宋体"/>
          <w:sz w:val="24"/>
          <w:szCs w:val="20"/>
          <w:highlight w:val="none"/>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eastAsia="宋体"/>
          <w:sz w:val="24"/>
          <w:szCs w:val="20"/>
          <w:highlight w:val="none"/>
        </w:rPr>
        <w:t xml:space="preserve">商务条款偏离表</w:t>
      </w:r>
      <w:r>
        <w:rPr>
          <w:rFonts w:ascii="宋体" w:hAnsi="宋体" w:eastAsia="宋体"/>
          <w:sz w:val="24"/>
          <w:szCs w:val="20"/>
          <w:highlight w:val="none"/>
        </w:rPr>
      </w:r>
      <w:r/>
    </w:p>
    <w:p>
      <w:pPr>
        <w:pStyle w:val="1073"/>
        <w:jc w:val="center"/>
        <w:spacing w:line="360" w:lineRule="auto"/>
        <w:rPr>
          <w:rFonts w:ascii="宋体" w:hAnsi="宋体" w:eastAsia="宋体"/>
          <w:b/>
          <w:sz w:val="36"/>
          <w:szCs w:val="36"/>
          <w:highlight w:val="none"/>
        </w:rPr>
      </w:pPr>
      <w:r/>
      <w:bookmarkStart w:id="922" w:name="OLE_LINK18"/>
      <w:r>
        <w:rPr>
          <w:rFonts w:ascii="宋体" w:hAnsi="宋体" w:eastAsia="宋体"/>
          <w:b/>
          <w:sz w:val="36"/>
          <w:szCs w:val="36"/>
          <w:highlight w:val="none"/>
        </w:rPr>
        <w:t xml:space="preserve">商务条款偏离表</w:t>
      </w:r>
      <w:r>
        <w:rPr>
          <w:rFonts w:ascii="宋体" w:hAnsi="宋体" w:eastAsia="宋体"/>
          <w:b/>
          <w:sz w:val="36"/>
          <w:szCs w:val="36"/>
          <w:highlight w:val="none"/>
        </w:rPr>
      </w:r>
      <w:r/>
    </w:p>
    <w:p>
      <w:pPr>
        <w:pStyle w:val="1073"/>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rPr>
        <w:t xml:space="preserve">项目编号：_____________________     项目名称：____________</w:t>
      </w:r>
      <w:r>
        <w:rPr>
          <w:rFonts w:ascii="宋体" w:hAnsi="宋体" w:eastAsia="宋体"/>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851"/>
        </w:trPr>
        <w:tc>
          <w:tcPr>
            <w:tcW w:w="828" w:type="dxa"/>
            <w:vAlign w:val="center"/>
            <w:textDirection w:val="lrTb"/>
            <w:noWrap w:val="false"/>
          </w:tcPr>
          <w:p>
            <w:pPr>
              <w:pStyle w:val="1073"/>
              <w:jc w:val="center"/>
              <w:rPr>
                <w:rFonts w:ascii="宋体" w:hAnsi="宋体" w:eastAsia="宋体"/>
                <w:szCs w:val="21"/>
                <w:highlight w:val="none"/>
                <w:lang w:val="zh-CN"/>
              </w:rPr>
            </w:pPr>
            <w:r>
              <w:rPr>
                <w:rFonts w:ascii="宋体" w:hAnsi="宋体" w:eastAsia="宋体"/>
                <w:szCs w:val="21"/>
                <w:highlight w:val="none"/>
                <w:lang w:val="zh-CN"/>
              </w:rPr>
              <w:t xml:space="preserve">序号</w:t>
            </w:r>
            <w:r>
              <w:rPr>
                <w:rFonts w:ascii="宋体" w:hAnsi="宋体" w:eastAsia="宋体"/>
                <w:szCs w:val="21"/>
                <w:highlight w:val="none"/>
                <w:lang w:val="zh-CN"/>
              </w:rPr>
            </w:r>
            <w:r/>
          </w:p>
        </w:tc>
        <w:tc>
          <w:tcPr>
            <w:tcW w:w="3240" w:type="dxa"/>
            <w:vAlign w:val="center"/>
            <w:textDirection w:val="lrTb"/>
            <w:noWrap w:val="false"/>
          </w:tcPr>
          <w:p>
            <w:pPr>
              <w:pStyle w:val="1073"/>
              <w:jc w:val="center"/>
              <w:rPr>
                <w:rFonts w:ascii="宋体" w:hAnsi="宋体" w:eastAsia="宋体"/>
                <w:szCs w:val="21"/>
                <w:highlight w:val="none"/>
                <w:lang w:val="zh-CN"/>
              </w:rPr>
            </w:pPr>
            <w:r>
              <w:rPr>
                <w:rFonts w:ascii="宋体" w:hAnsi="宋体" w:eastAsia="宋体"/>
                <w:szCs w:val="21"/>
                <w:highlight w:val="none"/>
                <w:lang w:val="zh-CN"/>
              </w:rPr>
              <w:t xml:space="preserve">招标文件的商务条款</w:t>
            </w:r>
            <w:r>
              <w:rPr>
                <w:rFonts w:ascii="宋体" w:hAnsi="宋体" w:eastAsia="宋体"/>
                <w:szCs w:val="21"/>
                <w:highlight w:val="none"/>
                <w:lang w:val="zh-CN"/>
              </w:rPr>
            </w:r>
            <w:r/>
          </w:p>
        </w:tc>
        <w:tc>
          <w:tcPr>
            <w:tcW w:w="3060" w:type="dxa"/>
            <w:vAlign w:val="center"/>
            <w:textDirection w:val="lrTb"/>
            <w:noWrap w:val="false"/>
          </w:tcPr>
          <w:p>
            <w:pPr>
              <w:pStyle w:val="1073"/>
              <w:jc w:val="center"/>
              <w:rPr>
                <w:rFonts w:ascii="宋体" w:hAnsi="宋体" w:eastAsia="宋体"/>
                <w:szCs w:val="21"/>
                <w:highlight w:val="none"/>
                <w:lang w:val="zh-CN"/>
              </w:rPr>
            </w:pPr>
            <w:r>
              <w:rPr>
                <w:rFonts w:ascii="宋体" w:hAnsi="宋体" w:eastAsia="宋体"/>
                <w:szCs w:val="21"/>
                <w:highlight w:val="none"/>
                <w:lang w:val="zh-CN"/>
              </w:rPr>
              <w:t xml:space="preserve">投标文件的商务条款</w:t>
            </w:r>
            <w:r>
              <w:rPr>
                <w:rFonts w:ascii="宋体" w:hAnsi="宋体" w:eastAsia="宋体"/>
                <w:szCs w:val="21"/>
                <w:highlight w:val="none"/>
                <w:lang w:val="zh-CN"/>
              </w:rPr>
            </w:r>
            <w:r/>
          </w:p>
        </w:tc>
        <w:tc>
          <w:tcPr>
            <w:tcW w:w="1260" w:type="dxa"/>
            <w:vAlign w:val="center"/>
            <w:textDirection w:val="lrTb"/>
            <w:noWrap w:val="false"/>
          </w:tcPr>
          <w:p>
            <w:pPr>
              <w:pStyle w:val="1073"/>
              <w:jc w:val="center"/>
              <w:rPr>
                <w:rFonts w:ascii="宋体" w:hAnsi="宋体" w:eastAsia="宋体"/>
                <w:szCs w:val="21"/>
                <w:highlight w:val="none"/>
                <w:lang w:val="zh-CN"/>
              </w:rPr>
            </w:pPr>
            <w:r>
              <w:rPr>
                <w:rFonts w:ascii="宋体" w:hAnsi="宋体" w:eastAsia="宋体"/>
                <w:szCs w:val="21"/>
                <w:highlight w:val="none"/>
                <w:lang w:val="zh-CN"/>
              </w:rPr>
              <w:t xml:space="preserve">说明</w:t>
            </w:r>
            <w:r>
              <w:rPr>
                <w:rFonts w:ascii="宋体" w:hAnsi="宋体" w:eastAsia="宋体"/>
                <w:szCs w:val="21"/>
                <w:highlight w:val="none"/>
                <w:lang w:val="zh-CN"/>
              </w:rPr>
            </w:r>
            <w:r/>
          </w:p>
        </w:tc>
      </w:tr>
      <w:tr>
        <w:trPr>
          <w:trHeight w:val="851"/>
        </w:trPr>
        <w:tc>
          <w:tcPr>
            <w:tcW w:w="82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851"/>
        </w:trPr>
        <w:tc>
          <w:tcPr>
            <w:tcW w:w="828"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24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30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6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bl>
    <w:p>
      <w:pPr>
        <w:pStyle w:val="1073"/>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u w:val="single"/>
        </w:rPr>
      </w:r>
      <w:r/>
    </w:p>
    <w:p>
      <w:pPr>
        <w:pStyle w:val="1073"/>
        <w:jc w:val="left"/>
        <w:spacing w:line="360" w:lineRule="auto"/>
        <w:tabs>
          <w:tab w:val="left" w:pos="1800" w:leader="none"/>
          <w:tab w:val="left" w:pos="5580" w:leader="none"/>
        </w:tabs>
        <w:rPr>
          <w:rFonts w:ascii="宋体" w:hAnsi="宋体" w:eastAsia="宋体"/>
          <w:szCs w:val="21"/>
          <w:highlight w:val="none"/>
        </w:rPr>
      </w:pPr>
      <w:r>
        <w:rPr>
          <w:rFonts w:ascii="宋体" w:hAnsi="宋体" w:eastAsia="宋体"/>
          <w:szCs w:val="21"/>
          <w:highlight w:val="none"/>
        </w:rPr>
        <w:t xml:space="preserve">注：投标人的投标文件（除技术规格部分）与招标文件规定的有偏离的，应在此表中说明。</w:t>
      </w:r>
      <w:r>
        <w:rPr>
          <w:rFonts w:hint="eastAsia" w:ascii="宋体" w:hAnsi="宋体" w:eastAsia="宋体" w:cs="宋体"/>
          <w:szCs w:val="21"/>
          <w:highlight w:val="none"/>
        </w:rPr>
        <w:t xml:space="preserve">未在上表中说明的，如在响应文件其他内容中已有文字说明的，则以已有文字说明为准，否则，将被认为完全响应招标文件的规定。</w:t>
      </w:r>
      <w:r>
        <w:rPr>
          <w:rFonts w:ascii="宋体" w:hAnsi="宋体" w:eastAsia="宋体"/>
          <w:szCs w:val="21"/>
          <w:highlight w:val="none"/>
        </w:rPr>
      </w:r>
      <w:r/>
    </w:p>
    <w:p>
      <w:pPr>
        <w:pStyle w:val="1073"/>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3"/>
        <w:jc w:val="left"/>
        <w:tabs>
          <w:tab w:val="left" w:pos="1800" w:leader="none"/>
          <w:tab w:val="left" w:pos="5580" w:leader="none"/>
        </w:tabs>
        <w:rPr>
          <w:rFonts w:ascii="宋体" w:hAnsi="宋体" w:eastAsia="宋体"/>
          <w:szCs w:val="21"/>
          <w:highlight w:val="none"/>
        </w:rPr>
      </w:pPr>
      <w:r>
        <w:rPr>
          <w:rFonts w:ascii="宋体" w:hAnsi="宋体" w:eastAsia="宋体"/>
          <w:szCs w:val="21"/>
          <w:highlight w:val="none"/>
        </w:rPr>
      </w:r>
      <w:r/>
    </w:p>
    <w:p>
      <w:pPr>
        <w:pStyle w:val="1073"/>
        <w:rPr>
          <w:rFonts w:ascii="宋体" w:hAnsi="宋体" w:eastAsia="宋体"/>
          <w:szCs w:val="21"/>
          <w:highlight w:val="none"/>
        </w:rPr>
      </w:pPr>
      <w:r>
        <w:rPr>
          <w:rFonts w:ascii="宋体" w:hAnsi="宋体" w:eastAsia="宋体"/>
          <w:szCs w:val="21"/>
          <w:highlight w:val="none"/>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lang w:val="zh-CN"/>
        </w:rPr>
        <w:t xml:space="preserve">                  </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bookmarkEnd w:id="922"/>
      <w:r>
        <w:rPr>
          <w:rFonts w:ascii="宋体" w:hAnsi="宋体" w:eastAsia="宋体"/>
          <w:szCs w:val="21"/>
          <w:highlight w:val="none"/>
          <w:lang w:val="zh-CN"/>
        </w:rPr>
      </w:r>
      <w:r/>
    </w:p>
    <w:p>
      <w:pPr>
        <w:pStyle w:val="1073"/>
        <w:rPr>
          <w:rFonts w:ascii="宋体" w:hAnsi="宋体" w:eastAsia="宋体"/>
          <w:sz w:val="24"/>
          <w:szCs w:val="20"/>
          <w:highlight w:val="none"/>
        </w:rPr>
        <w:outlineLvl w:val="0"/>
      </w:pPr>
      <w:r>
        <w:rPr>
          <w:rFonts w:ascii="宋体" w:hAnsi="宋体" w:eastAsia="宋体"/>
          <w:sz w:val="24"/>
          <w:szCs w:val="20"/>
          <w:highlight w:val="none"/>
        </w:rPr>
        <w:br w:type="page" w:clear="all"/>
      </w:r>
      <w:r>
        <w:rPr>
          <w:rFonts w:hint="eastAsia" w:ascii="宋体" w:hAnsi="宋体" w:eastAsia="宋体"/>
          <w:sz w:val="24"/>
          <w:szCs w:val="20"/>
          <w:highlight w:val="none"/>
        </w:rPr>
        <w:t xml:space="preserve">9</w:t>
      </w:r>
      <w:r>
        <w:rPr>
          <w:rFonts w:ascii="宋体" w:hAnsi="宋体" w:eastAsia="宋体"/>
          <w:sz w:val="24"/>
          <w:szCs w:val="20"/>
          <w:highlight w:val="none"/>
        </w:rPr>
        <w:t xml:space="preserve">  拟投入本项目人员一览表</w:t>
      </w:r>
      <w:r>
        <w:rPr>
          <w:rFonts w:ascii="宋体" w:hAnsi="宋体" w:eastAsia="宋体"/>
          <w:sz w:val="24"/>
          <w:szCs w:val="20"/>
          <w:highlight w:val="none"/>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3"/>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拟投入本项目人员一览表</w:t>
      </w:r>
      <w:r>
        <w:rPr>
          <w:rFonts w:ascii="宋体" w:hAnsi="宋体" w:eastAsia="宋体"/>
          <w:b/>
          <w:sz w:val="30"/>
          <w:szCs w:val="30"/>
          <w:highlight w:val="none"/>
        </w:rPr>
      </w:r>
      <w:r/>
    </w:p>
    <w:p>
      <w:pPr>
        <w:pStyle w:val="1073"/>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rPr>
        <w:t xml:space="preserve">项目编号：_____________________     项目名称：____________</w:t>
      </w:r>
      <w:r>
        <w:rPr>
          <w:rFonts w:ascii="宋体" w:hAnsi="宋体" w:eastAsia="宋体"/>
          <w:szCs w:val="21"/>
          <w:highlight w:val="none"/>
          <w:u w:val="single"/>
        </w:rPr>
      </w:r>
      <w:r/>
    </w:p>
    <w:tbl>
      <w:tblPr>
        <w:tblW w:w="0" w:type="auto"/>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436"/>
        <w:gridCol w:w="1215"/>
        <w:gridCol w:w="705"/>
        <w:gridCol w:w="720"/>
        <w:gridCol w:w="1037"/>
        <w:gridCol w:w="2035"/>
        <w:gridCol w:w="729"/>
      </w:tblGrid>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hint="eastAsia" w:ascii="宋体" w:hAnsi="宋体" w:eastAsia="宋体"/>
                <w:szCs w:val="21"/>
                <w:highlight w:val="none"/>
              </w:rPr>
              <w:t xml:space="preserve">序号</w:t>
            </w: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hint="eastAsia" w:ascii="宋体" w:hAnsi="宋体" w:eastAsia="宋体"/>
                <w:szCs w:val="21"/>
                <w:highlight w:val="none"/>
              </w:rPr>
              <w:t xml:space="preserve">岗位</w:t>
            </w: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hint="eastAsia" w:ascii="宋体" w:hAnsi="宋体" w:eastAsia="宋体"/>
                <w:szCs w:val="21"/>
                <w:highlight w:val="none"/>
              </w:rPr>
              <w:t xml:space="preserve">姓名</w:t>
            </w: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hint="eastAsia" w:ascii="宋体" w:hAnsi="宋体" w:eastAsia="宋体"/>
                <w:szCs w:val="21"/>
                <w:highlight w:val="none"/>
              </w:rPr>
              <w:t xml:space="preserve">性别</w:t>
            </w: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hint="eastAsia" w:ascii="宋体" w:hAnsi="宋体" w:eastAsia="宋体"/>
                <w:szCs w:val="21"/>
                <w:highlight w:val="none"/>
              </w:rPr>
              <w:t xml:space="preserve">年龄</w:t>
            </w:r>
            <w:r>
              <w:rPr>
                <w:rFonts w:ascii="宋体" w:hAnsi="宋体" w:eastAsia="宋体"/>
                <w:szCs w:val="21"/>
                <w:highlight w:val="none"/>
              </w:rPr>
            </w:r>
            <w:r/>
          </w:p>
        </w:tc>
        <w:tc>
          <w:tcPr>
            <w:tcW w:w="1037" w:type="dxa"/>
            <w:vAlign w:val="center"/>
            <w:textDirection w:val="lrTb"/>
            <w:noWrap w:val="false"/>
          </w:tcPr>
          <w:p>
            <w:pPr>
              <w:pStyle w:val="1073"/>
              <w:jc w:val="center"/>
              <w:rPr>
                <w:rFonts w:hint="eastAsia" w:ascii="宋体" w:hAnsi="宋体" w:eastAsia="宋体"/>
                <w:szCs w:val="21"/>
                <w:highlight w:val="none"/>
              </w:rPr>
            </w:pPr>
            <w:r>
              <w:rPr>
                <w:rFonts w:hint="eastAsia" w:ascii="宋体" w:hAnsi="宋体" w:eastAsia="宋体" w:cs="宋体"/>
                <w:bCs/>
                <w:szCs w:val="21"/>
                <w:highlight w:val="none"/>
              </w:rPr>
              <w:t xml:space="preserve">学历</w:t>
            </w:r>
            <w:r>
              <w:rPr>
                <w:rFonts w:hint="eastAsia"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cs="宋体"/>
                <w:szCs w:val="21"/>
                <w:highlight w:val="none"/>
              </w:rPr>
            </w:pPr>
            <w:r>
              <w:rPr>
                <w:rFonts w:hint="eastAsia" w:ascii="宋体" w:hAnsi="宋体" w:eastAsia="宋体"/>
                <w:szCs w:val="21"/>
                <w:highlight w:val="none"/>
              </w:rPr>
              <w:t xml:space="preserve">专业</w:t>
            </w:r>
            <w:r>
              <w:rPr>
                <w:rFonts w:hint="eastAsia" w:ascii="宋体" w:hAnsi="宋体" w:eastAsia="宋体" w:cs="宋体"/>
                <w:szCs w:val="21"/>
                <w:highlight w:val="none"/>
              </w:rPr>
              <w:t xml:space="preserve">技术资格</w:t>
            </w:r>
            <w:r>
              <w:rPr>
                <w:rFonts w:ascii="宋体" w:hAnsi="宋体" w:eastAsia="宋体" w:cs="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hint="eastAsia" w:ascii="宋体" w:hAnsi="宋体" w:eastAsia="宋体"/>
                <w:szCs w:val="21"/>
                <w:highlight w:val="none"/>
              </w:rPr>
              <w:t xml:space="preserve">备注</w:t>
            </w: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r>
        <w:trPr>
          <w:trHeight w:val="680"/>
        </w:trPr>
        <w:tc>
          <w:tcPr>
            <w:tcW w:w="651"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436"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21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0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0"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2035"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c>
          <w:tcPr>
            <w:tcW w:w="729" w:type="dxa"/>
            <w:vAlign w:val="center"/>
            <w:textDirection w:val="lrTb"/>
            <w:noWrap w:val="false"/>
          </w:tcPr>
          <w:p>
            <w:pPr>
              <w:pStyle w:val="1073"/>
              <w:jc w:val="center"/>
              <w:rPr>
                <w:rFonts w:ascii="宋体" w:hAnsi="宋体" w:eastAsia="宋体"/>
                <w:szCs w:val="21"/>
                <w:highlight w:val="none"/>
              </w:rPr>
            </w:pPr>
            <w:r>
              <w:rPr>
                <w:rFonts w:ascii="宋体" w:hAnsi="宋体" w:eastAsia="宋体"/>
                <w:szCs w:val="21"/>
                <w:highlight w:val="none"/>
              </w:rPr>
            </w:r>
            <w:r/>
          </w:p>
        </w:tc>
      </w:tr>
    </w:tbl>
    <w:p>
      <w:pPr>
        <w:pStyle w:val="1099"/>
        <w:spacing w:line="360" w:lineRule="auto"/>
        <w:rPr>
          <w:rFonts w:hAnsi="宋体"/>
          <w:bCs/>
          <w:sz w:val="21"/>
          <w:szCs w:val="21"/>
          <w:highlight w:val="none"/>
        </w:rPr>
      </w:pPr>
      <w:r>
        <w:rPr>
          <w:rFonts w:hAnsi="宋体"/>
          <w:bCs/>
          <w:sz w:val="21"/>
          <w:szCs w:val="21"/>
          <w:highlight w:val="none"/>
        </w:rPr>
        <w:t xml:space="preserve">注</w:t>
      </w:r>
      <w:r>
        <w:rPr>
          <w:rFonts w:hint="eastAsia" w:hAnsi="宋体"/>
          <w:bCs/>
          <w:sz w:val="21"/>
          <w:szCs w:val="21"/>
          <w:highlight w:val="none"/>
        </w:rPr>
        <w:t xml:space="preserve">：1、本表格式仅供参考，投标人可根据自身情况自行增减；</w:t>
      </w:r>
      <w:r>
        <w:rPr>
          <w:rFonts w:hAnsi="宋体"/>
          <w:bCs/>
          <w:sz w:val="21"/>
          <w:szCs w:val="21"/>
          <w:highlight w:val="none"/>
        </w:rPr>
      </w:r>
      <w:r/>
    </w:p>
    <w:p>
      <w:pPr>
        <w:pStyle w:val="1099"/>
        <w:spacing w:line="360" w:lineRule="auto"/>
        <w:rPr>
          <w:rFonts w:hAnsi="宋体"/>
          <w:bCs/>
          <w:sz w:val="21"/>
          <w:szCs w:val="21"/>
          <w:highlight w:val="none"/>
        </w:rPr>
      </w:pPr>
      <w:r>
        <w:rPr>
          <w:rFonts w:hint="eastAsia" w:hAnsi="宋体"/>
          <w:bCs/>
          <w:sz w:val="21"/>
          <w:szCs w:val="21"/>
          <w:highlight w:val="none"/>
        </w:rPr>
        <w:t xml:space="preserve">2、如采购文件有要求，投标人拟投入人员数量、资格须满足招标文件要求；</w:t>
      </w:r>
      <w:r>
        <w:rPr>
          <w:rFonts w:hAnsi="宋体"/>
          <w:bCs/>
          <w:sz w:val="21"/>
          <w:szCs w:val="21"/>
          <w:highlight w:val="none"/>
        </w:rPr>
      </w:r>
      <w:r/>
    </w:p>
    <w:p>
      <w:pPr>
        <w:pStyle w:val="1099"/>
        <w:spacing w:line="360" w:lineRule="auto"/>
        <w:rPr>
          <w:rFonts w:hAnsi="宋体"/>
          <w:bCs/>
          <w:sz w:val="21"/>
          <w:szCs w:val="21"/>
          <w:highlight w:val="none"/>
        </w:rPr>
      </w:pPr>
      <w:r>
        <w:rPr>
          <w:rFonts w:hint="eastAsia" w:hAnsi="宋体"/>
          <w:bCs/>
          <w:sz w:val="21"/>
          <w:szCs w:val="21"/>
          <w:highlight w:val="none"/>
        </w:rPr>
        <w:t xml:space="preserve">3、如采购文件有要求，投标人应按采购文件要求提供拟投入人员的相关证书及社保证明等材料。</w:t>
      </w:r>
      <w:r>
        <w:rPr>
          <w:rFonts w:hAnsi="宋体"/>
          <w:bCs/>
          <w:sz w:val="21"/>
          <w:szCs w:val="21"/>
          <w:highlight w:val="none"/>
        </w:rPr>
      </w:r>
      <w:r/>
    </w:p>
    <w:p>
      <w:pPr>
        <w:pStyle w:val="1099"/>
        <w:ind w:firstLine="0"/>
        <w:jc w:val="both"/>
        <w:spacing w:line="360" w:lineRule="auto"/>
        <w:rPr>
          <w:rFonts w:hAnsi="宋体"/>
          <w:bCs/>
          <w:sz w:val="21"/>
          <w:szCs w:val="21"/>
          <w:highlight w:val="none"/>
        </w:rPr>
      </w:pPr>
      <w:r>
        <w:rPr>
          <w:rFonts w:hAnsi="宋体"/>
          <w:bCs/>
          <w:sz w:val="21"/>
          <w:szCs w:val="21"/>
          <w:highlight w:val="none"/>
        </w:rPr>
      </w:r>
      <w:r/>
    </w:p>
    <w:p>
      <w:pPr>
        <w:pStyle w:val="1099"/>
        <w:ind w:firstLine="0"/>
        <w:jc w:val="center"/>
        <w:spacing w:line="360" w:lineRule="auto"/>
        <w:rPr>
          <w:rFonts w:hAnsi="宋体"/>
          <w:bCs/>
          <w:sz w:val="21"/>
          <w:szCs w:val="21"/>
          <w:highlight w:val="none"/>
        </w:rPr>
      </w:pPr>
      <w:r>
        <w:rPr>
          <w:rFonts w:hAnsi="宋体"/>
          <w:bCs/>
          <w:sz w:val="21"/>
          <w:szCs w:val="21"/>
          <w:highlight w:val="none"/>
        </w:rPr>
      </w:r>
      <w:r/>
    </w:p>
    <w:p>
      <w:pPr>
        <w:pStyle w:val="1099"/>
        <w:ind w:firstLine="0"/>
        <w:jc w:val="center"/>
        <w:spacing w:line="360" w:lineRule="auto"/>
        <w:rPr>
          <w:rFonts w:hAnsi="宋体"/>
          <w:bCs/>
          <w:sz w:val="21"/>
          <w:szCs w:val="21"/>
          <w:highlight w:val="none"/>
        </w:rPr>
      </w:pPr>
      <w:r>
        <w:rPr>
          <w:rFonts w:hAnsi="宋体"/>
          <w:bCs/>
          <w:sz w:val="21"/>
          <w:szCs w:val="21"/>
          <w:highlight w:val="none"/>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rPr>
      </w:pPr>
      <w:r>
        <w:rPr>
          <w:rFonts w:ascii="宋体" w:hAnsi="宋体" w:eastAsia="宋体"/>
          <w:szCs w:val="21"/>
          <w:highlight w:val="none"/>
        </w:rPr>
        <w:t xml:space="preserve">日期：_____年______月______日   </w:t>
      </w:r>
      <w:r>
        <w:rPr>
          <w:rFonts w:ascii="宋体" w:hAnsi="宋体" w:eastAsia="宋体"/>
          <w:szCs w:val="21"/>
          <w:highlight w:val="none"/>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3"/>
        <w:rPr>
          <w:rFonts w:ascii="宋体" w:hAnsi="宋体" w:eastAsia="宋体"/>
          <w:sz w:val="24"/>
          <w:szCs w:val="20"/>
          <w:highlight w:val="none"/>
        </w:rPr>
        <w:outlineLvl w:val="0"/>
      </w:pPr>
      <w:r>
        <w:rPr>
          <w:rFonts w:hint="eastAsia" w:ascii="宋体" w:hAnsi="宋体" w:eastAsia="宋体"/>
          <w:sz w:val="24"/>
          <w:szCs w:val="20"/>
          <w:highlight w:val="none"/>
        </w:rPr>
        <w:t xml:space="preserve">10 </w:t>
      </w:r>
      <w:r>
        <w:rPr>
          <w:rFonts w:ascii="宋体" w:hAnsi="宋体" w:eastAsia="宋体"/>
          <w:sz w:val="24"/>
          <w:szCs w:val="20"/>
          <w:highlight w:val="none"/>
        </w:rPr>
        <w:t xml:space="preserve">投入本项目的</w:t>
      </w:r>
      <w:r>
        <w:rPr>
          <w:rFonts w:hint="eastAsia" w:ascii="宋体" w:hAnsi="宋体" w:eastAsia="宋体"/>
          <w:sz w:val="24"/>
          <w:szCs w:val="20"/>
          <w:highlight w:val="none"/>
        </w:rPr>
        <w:t xml:space="preserve">车辆</w:t>
      </w:r>
      <w:r>
        <w:rPr>
          <w:rFonts w:ascii="宋体" w:hAnsi="宋体" w:eastAsia="宋体"/>
          <w:sz w:val="24"/>
          <w:szCs w:val="20"/>
          <w:highlight w:val="none"/>
        </w:rPr>
      </w:r>
      <w:r/>
    </w:p>
    <w:p>
      <w:pPr>
        <w:pStyle w:val="1073"/>
        <w:jc w:val="center"/>
        <w:rPr>
          <w:rFonts w:ascii="宋体" w:hAnsi="宋体" w:eastAsia="宋体"/>
          <w:b/>
          <w:bCs/>
          <w:szCs w:val="21"/>
          <w:highlight w:val="none"/>
        </w:rPr>
      </w:pPr>
      <w:r>
        <w:rPr>
          <w:rFonts w:ascii="宋体" w:hAnsi="宋体" w:eastAsia="宋体"/>
          <w:b/>
          <w:bCs/>
          <w:szCs w:val="21"/>
          <w:highlight w:val="none"/>
        </w:rPr>
      </w:r>
      <w:r/>
    </w:p>
    <w:p>
      <w:pPr>
        <w:pStyle w:val="1073"/>
        <w:jc w:val="center"/>
        <w:rPr>
          <w:rFonts w:hint="eastAsia" w:ascii="宋体" w:hAnsi="宋体" w:eastAsia="宋体"/>
          <w:b/>
          <w:bCs/>
          <w:szCs w:val="21"/>
          <w:highlight w:val="none"/>
        </w:rPr>
      </w:pPr>
      <w:r>
        <w:rPr>
          <w:rFonts w:ascii="宋体" w:hAnsi="宋体" w:eastAsia="宋体" w:cs="宋体"/>
          <w:b/>
          <w:sz w:val="28"/>
          <w:highlight w:val="none"/>
        </w:rPr>
        <w:t xml:space="preserve">投入本项目的</w:t>
      </w:r>
      <w:r>
        <w:rPr>
          <w:rFonts w:hint="eastAsia" w:ascii="宋体" w:hAnsi="宋体" w:eastAsia="宋体" w:cs="宋体"/>
          <w:b/>
          <w:sz w:val="28"/>
          <w:highlight w:val="none"/>
        </w:rPr>
        <w:t xml:space="preserve">车辆</w:t>
      </w:r>
      <w:r>
        <w:rPr>
          <w:rFonts w:hint="eastAsia" w:ascii="宋体" w:hAnsi="宋体" w:eastAsia="宋体"/>
          <w:b/>
          <w:bCs/>
          <w:szCs w:val="21"/>
          <w:highlight w:val="none"/>
        </w:rPr>
      </w:r>
      <w:r/>
    </w:p>
    <w:tbl>
      <w:tblPr>
        <w:tblW w:w="8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260"/>
        <w:gridCol w:w="1039"/>
      </w:tblGrid>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t xml:space="preserve">序号</w:t>
            </w: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t xml:space="preserve">名称</w:t>
            </w: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t xml:space="preserve">品牌规格</w:t>
            </w: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t xml:space="preserve">生产厂家</w:t>
            </w: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t xml:space="preserve">单位</w:t>
            </w: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t xml:space="preserve">数量</w:t>
            </w: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Cs w:val="21"/>
                <w:highlight w:val="none"/>
              </w:rPr>
              <w:t xml:space="preserve">备注</w:t>
            </w:r>
            <w:r>
              <w:rPr>
                <w:rFonts w:hint="eastAsia" w:ascii="宋体" w:hAnsi="宋体" w:eastAsia="宋体"/>
                <w:szCs w:val="21"/>
                <w:highlight w:val="none"/>
              </w:rPr>
              <w:t xml:space="preserve">（自有/租赁</w:t>
            </w: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r>
        <w:trPr>
          <w:cantSplit/>
          <w:trHeight w:val="450"/>
        </w:trPr>
        <w:tc>
          <w:tcPr>
            <w:tcW w:w="704"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717"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62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90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260"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c>
          <w:tcPr>
            <w:tcW w:w="1039" w:type="dxa"/>
            <w:vAlign w:val="center"/>
            <w:textDirection w:val="lrTb"/>
            <w:noWrap w:val="false"/>
          </w:tcPr>
          <w:p>
            <w:pPr>
              <w:pStyle w:val="1073"/>
              <w:jc w:val="center"/>
              <w:spacing w:line="400" w:lineRule="exact"/>
              <w:rPr>
                <w:rFonts w:ascii="宋体" w:hAnsi="宋体" w:eastAsia="宋体"/>
                <w:sz w:val="24"/>
                <w:highlight w:val="none"/>
              </w:rPr>
            </w:pPr>
            <w:r>
              <w:rPr>
                <w:rFonts w:ascii="宋体" w:hAnsi="宋体" w:eastAsia="宋体"/>
                <w:sz w:val="24"/>
                <w:highlight w:val="none"/>
              </w:rPr>
            </w:r>
            <w:r/>
          </w:p>
        </w:tc>
      </w:tr>
    </w:tbl>
    <w:p>
      <w:pPr>
        <w:pStyle w:val="1073"/>
        <w:ind w:firstLine="480"/>
        <w:spacing w:line="480" w:lineRule="exact"/>
        <w:rPr>
          <w:rFonts w:hint="eastAsia" w:ascii="宋体" w:hAnsi="宋体" w:eastAsia="宋体"/>
          <w:b/>
          <w:bCs/>
          <w:szCs w:val="21"/>
          <w:highlight w:val="none"/>
        </w:rPr>
      </w:pPr>
      <w:r>
        <w:rPr>
          <w:rFonts w:hint="eastAsia" w:ascii="宋体" w:hAnsi="宋体" w:eastAsia="宋体"/>
          <w:b/>
          <w:bCs/>
          <w:szCs w:val="21"/>
          <w:highlight w:val="none"/>
        </w:rPr>
        <w:t xml:space="preserve">注：</w:t>
      </w:r>
      <w:r>
        <w:rPr>
          <w:rFonts w:hint="eastAsia" w:ascii="宋体" w:hAnsi="宋体" w:eastAsia="宋体"/>
          <w:b/>
          <w:bCs/>
          <w:szCs w:val="21"/>
          <w:highlight w:val="none"/>
        </w:rPr>
      </w:r>
      <w:r/>
    </w:p>
    <w:p>
      <w:pPr>
        <w:pStyle w:val="1073"/>
        <w:ind w:firstLine="480"/>
        <w:spacing w:line="480" w:lineRule="exact"/>
        <w:rPr>
          <w:rFonts w:ascii="宋体" w:hAnsi="宋体" w:eastAsia="宋体"/>
          <w:b/>
          <w:bCs/>
          <w:szCs w:val="21"/>
          <w:highlight w:val="none"/>
        </w:rPr>
      </w:pPr>
      <w:r>
        <w:rPr>
          <w:rFonts w:hint="eastAsia" w:ascii="宋体" w:hAnsi="宋体" w:eastAsia="宋体" w:cs="宋体"/>
          <w:szCs w:val="21"/>
          <w:highlight w:val="none"/>
        </w:rPr>
        <w:t xml:space="preserve">★</w:t>
      </w:r>
      <w:r>
        <w:rPr>
          <w:rFonts w:ascii="宋体" w:hAnsi="宋体" w:eastAsia="宋体"/>
          <w:szCs w:val="21"/>
          <w:highlight w:val="none"/>
        </w:rPr>
        <w:t xml:space="preserve">1、</w:t>
      </w:r>
      <w:r>
        <w:rPr>
          <w:rFonts w:hint="eastAsia" w:ascii="宋体" w:hAnsi="宋体" w:eastAsia="宋体"/>
          <w:szCs w:val="21"/>
          <w:highlight w:val="none"/>
        </w:rPr>
        <w:t xml:space="preserve">请按照</w:t>
      </w:r>
      <w:r>
        <w:rPr>
          <w:rFonts w:ascii="宋体" w:hAnsi="宋体" w:eastAsia="宋体"/>
          <w:szCs w:val="21"/>
          <w:highlight w:val="none"/>
        </w:rPr>
        <w:t xml:space="preserve">招标文件</w:t>
      </w:r>
      <w:r>
        <w:rPr>
          <w:rFonts w:hint="eastAsia" w:ascii="宋体" w:hAnsi="宋体" w:eastAsia="宋体"/>
          <w:szCs w:val="21"/>
          <w:highlight w:val="none"/>
        </w:rPr>
        <w:t xml:space="preserve">的</w:t>
      </w:r>
      <w:r>
        <w:rPr>
          <w:rFonts w:ascii="宋体" w:hAnsi="宋体" w:eastAsia="宋体"/>
          <w:szCs w:val="21"/>
          <w:highlight w:val="none"/>
        </w:rPr>
        <w:t xml:space="preserve">要求，提供应投入的</w:t>
      </w:r>
      <w:r>
        <w:rPr>
          <w:rFonts w:hint="eastAsia" w:ascii="宋体" w:hAnsi="宋体" w:eastAsia="宋体"/>
          <w:szCs w:val="21"/>
          <w:highlight w:val="none"/>
        </w:rPr>
        <w:t xml:space="preserve">车辆，</w:t>
      </w:r>
      <w:r>
        <w:rPr>
          <w:rFonts w:hint="eastAsia" w:ascii="宋体" w:hAnsi="宋体" w:eastAsia="宋体"/>
          <w:b/>
          <w:szCs w:val="21"/>
          <w:highlight w:val="none"/>
        </w:rPr>
        <w:t xml:space="preserve">设备配置要求不得低于采购需求中实质性响应要求</w:t>
      </w:r>
      <w:r>
        <w:rPr>
          <w:rFonts w:ascii="宋体" w:hAnsi="宋体" w:eastAsia="宋体"/>
          <w:szCs w:val="21"/>
          <w:highlight w:val="none"/>
        </w:rPr>
        <w:t xml:space="preserve">；</w:t>
      </w:r>
      <w:r>
        <w:rPr>
          <w:rFonts w:ascii="宋体" w:hAnsi="宋体" w:eastAsia="宋体"/>
          <w:b/>
          <w:bCs/>
          <w:szCs w:val="21"/>
          <w:highlight w:val="none"/>
        </w:rPr>
      </w:r>
      <w:r/>
    </w:p>
    <w:p>
      <w:pPr>
        <w:pStyle w:val="1073"/>
        <w:ind w:firstLine="480"/>
        <w:spacing w:line="360" w:lineRule="auto"/>
        <w:rPr>
          <w:rFonts w:ascii="宋体" w:hAnsi="宋体" w:eastAsia="宋体"/>
          <w:szCs w:val="21"/>
          <w:highlight w:val="none"/>
        </w:rPr>
      </w:pPr>
      <w:r>
        <w:rPr>
          <w:rFonts w:hint="eastAsia" w:ascii="宋体" w:hAnsi="宋体" w:eastAsia="宋体" w:cs="宋体"/>
          <w:szCs w:val="21"/>
          <w:highlight w:val="none"/>
        </w:rPr>
        <w:t xml:space="preserve">★</w:t>
      </w:r>
      <w:r>
        <w:rPr>
          <w:rFonts w:hint="eastAsia" w:ascii="宋体" w:hAnsi="宋体" w:eastAsia="宋体"/>
          <w:szCs w:val="21"/>
          <w:highlight w:val="none"/>
        </w:rPr>
        <w:t xml:space="preserve">2、基础维修车辆1辆，车辆需带自动升降设备满足登高作业要求。自有车辆提供行驶证扫描件（权属单位与投标单位或其分支机构一致）；租赁车辆提供有效期内正规租赁合同。同时提供能够证明车辆配备自动升降设备的证明材料（如车辆工信部公告、3C 认证、设备出厂合格证、检验检测报告、原厂说明书等）。</w:t>
      </w:r>
      <w:r>
        <w:rPr>
          <w:rFonts w:ascii="宋体" w:hAnsi="宋体" w:eastAsia="宋体"/>
          <w:szCs w:val="21"/>
          <w:highlight w:val="none"/>
        </w:rPr>
      </w:r>
      <w:r/>
    </w:p>
    <w:p>
      <w:pPr>
        <w:pStyle w:val="1073"/>
        <w:spacing w:before="25" w:after="25" w:line="360" w:lineRule="auto"/>
        <w:rPr>
          <w:rFonts w:ascii="宋体" w:hAnsi="宋体" w:eastAsia="宋体"/>
          <w:szCs w:val="21"/>
          <w:highlight w:val="none"/>
        </w:rPr>
      </w:pPr>
      <w:r>
        <w:rPr>
          <w:rFonts w:ascii="宋体" w:hAnsi="宋体" w:eastAsia="宋体"/>
          <w:szCs w:val="21"/>
          <w:highlight w:val="none"/>
        </w:rPr>
      </w:r>
      <w:r/>
    </w:p>
    <w:p>
      <w:pPr>
        <w:pStyle w:val="1073"/>
        <w:spacing w:before="25" w:after="25" w:line="360" w:lineRule="auto"/>
        <w:rPr>
          <w:rFonts w:ascii="宋体" w:hAnsi="宋体" w:eastAsia="宋体"/>
          <w:szCs w:val="21"/>
          <w:highlight w:val="none"/>
        </w:rPr>
      </w:pPr>
      <w:r>
        <w:rPr>
          <w:rFonts w:ascii="宋体" w:hAnsi="宋体" w:eastAsia="宋体"/>
          <w:szCs w:val="21"/>
          <w:highlight w:val="none"/>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rPr>
      </w:pPr>
      <w:r>
        <w:rPr>
          <w:rFonts w:ascii="宋体" w:hAnsi="宋体" w:eastAsia="宋体"/>
          <w:szCs w:val="21"/>
          <w:highlight w:val="none"/>
        </w:rPr>
        <w:t xml:space="preserve">日期：_____年______月______日   </w:t>
      </w:r>
      <w:r>
        <w:rPr>
          <w:rFonts w:ascii="宋体" w:hAnsi="宋体" w:eastAsia="宋体"/>
          <w:szCs w:val="21"/>
          <w:highlight w:val="none"/>
        </w:rPr>
      </w:r>
      <w:r/>
    </w:p>
    <w:p>
      <w:pPr>
        <w:pStyle w:val="1073"/>
        <w:spacing w:line="499"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p>
      <w:pPr>
        <w:pStyle w:val="1073"/>
        <w:spacing w:line="360" w:lineRule="auto"/>
        <w:rPr>
          <w:rFonts w:ascii="宋体" w:hAnsi="宋体" w:eastAsia="宋体"/>
          <w:sz w:val="24"/>
          <w:szCs w:val="20"/>
          <w:highlight w:val="none"/>
          <w:lang w:val="zh-CN"/>
        </w:rPr>
        <w:outlineLvl w:val="2"/>
      </w:pPr>
      <w:r>
        <w:rPr>
          <w:rFonts w:ascii="宋体" w:hAnsi="宋体" w:eastAsia="宋体"/>
          <w:sz w:val="24"/>
          <w:szCs w:val="20"/>
          <w:highlight w:val="none"/>
          <w:lang w:val="zh-CN"/>
        </w:rPr>
      </w:r>
      <w:r/>
    </w:p>
    <w:p>
      <w:pPr>
        <w:pStyle w:val="1073"/>
        <w:spacing w:line="360" w:lineRule="auto"/>
        <w:rPr>
          <w:rFonts w:ascii="宋体" w:hAnsi="宋体" w:eastAsia="宋体"/>
          <w:sz w:val="24"/>
          <w:szCs w:val="20"/>
          <w:highlight w:val="none"/>
        </w:rPr>
        <w:outlineLvl w:val="2"/>
      </w:pPr>
      <w:r>
        <w:rPr>
          <w:rFonts w:ascii="宋体" w:hAnsi="宋体" w:eastAsia="宋体"/>
          <w:sz w:val="24"/>
          <w:szCs w:val="20"/>
          <w:highlight w:val="none"/>
        </w:rPr>
      </w:r>
      <w:r/>
    </w:p>
    <w:p>
      <w:pPr>
        <w:pStyle w:val="1073"/>
        <w:spacing w:line="360" w:lineRule="auto"/>
        <w:rPr>
          <w:rFonts w:hint="eastAsia" w:ascii="宋体" w:hAnsi="宋体" w:eastAsia="宋体"/>
          <w:sz w:val="24"/>
          <w:szCs w:val="20"/>
          <w:highlight w:val="none"/>
        </w:rPr>
        <w:outlineLvl w:val="2"/>
      </w:pPr>
      <w:r>
        <w:rPr>
          <w:rFonts w:ascii="宋体" w:hAnsi="宋体" w:eastAsia="宋体"/>
          <w:sz w:val="24"/>
          <w:szCs w:val="20"/>
          <w:highlight w:val="none"/>
        </w:rPr>
        <w:br w:type="page" w:clear="all"/>
      </w:r>
      <w:r>
        <w:rPr>
          <w:rFonts w:hint="eastAsia" w:ascii="宋体" w:hAnsi="宋体" w:eastAsia="宋体"/>
          <w:sz w:val="24"/>
          <w:szCs w:val="20"/>
          <w:highlight w:val="none"/>
        </w:rPr>
        <w:t xml:space="preserve">11</w:t>
      </w:r>
      <w:r>
        <w:rPr>
          <w:rFonts w:ascii="宋体" w:hAnsi="宋体" w:eastAsia="宋体"/>
          <w:sz w:val="24"/>
          <w:szCs w:val="20"/>
          <w:highlight w:val="none"/>
        </w:rPr>
        <w:t xml:space="preserve">  </w:t>
      </w:r>
      <w:r>
        <w:rPr>
          <w:rFonts w:hint="eastAsia" w:ascii="宋体" w:hAnsi="宋体" w:eastAsia="宋体"/>
          <w:sz w:val="24"/>
          <w:szCs w:val="20"/>
          <w:highlight w:val="none"/>
        </w:rPr>
        <w:t xml:space="preserve">业绩一览表</w:t>
      </w:r>
      <w:r>
        <w:rPr>
          <w:rFonts w:hint="eastAsia" w:ascii="宋体" w:hAnsi="宋体" w:eastAsia="宋体"/>
          <w:sz w:val="24"/>
          <w:szCs w:val="20"/>
          <w:highlight w:val="none"/>
        </w:rPr>
      </w:r>
      <w:r/>
    </w:p>
    <w:p>
      <w:pPr>
        <w:pStyle w:val="1073"/>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3"/>
        <w:jc w:val="center"/>
        <w:spacing w:line="360" w:lineRule="auto"/>
        <w:rPr>
          <w:rFonts w:hint="eastAsia" w:ascii="宋体" w:hAnsi="宋体" w:eastAsia="宋体"/>
          <w:b/>
          <w:sz w:val="30"/>
          <w:szCs w:val="30"/>
          <w:highlight w:val="none"/>
        </w:rPr>
      </w:pPr>
      <w:r/>
      <w:bookmarkStart w:id="923" w:name="_Toc70066765"/>
      <w:r/>
      <w:bookmarkStart w:id="924" w:name="_Toc56068091"/>
      <w:r>
        <w:rPr>
          <w:rFonts w:ascii="宋体" w:hAnsi="宋体" w:eastAsia="宋体"/>
          <w:b/>
          <w:sz w:val="30"/>
          <w:szCs w:val="30"/>
          <w:highlight w:val="none"/>
        </w:rPr>
        <w:t xml:space="preserve">业绩一览表</w:t>
      </w:r>
      <w:bookmarkEnd w:id="923"/>
      <w:r/>
      <w:bookmarkEnd w:id="924"/>
      <w:r>
        <w:rPr>
          <w:rFonts w:hint="eastAsia" w:ascii="宋体" w:hAnsi="宋体" w:eastAsia="宋体"/>
          <w:b/>
          <w:sz w:val="30"/>
          <w:szCs w:val="30"/>
          <w:highlight w:val="none"/>
        </w:rPr>
      </w:r>
      <w:r/>
    </w:p>
    <w:p>
      <w:pPr>
        <w:pStyle w:val="1073"/>
        <w:ind w:firstLine="315"/>
        <w:jc w:val="left"/>
        <w:spacing w:line="360" w:lineRule="auto"/>
        <w:tabs>
          <w:tab w:val="left" w:pos="1800" w:leader="none"/>
          <w:tab w:val="left" w:pos="5580" w:leader="none"/>
        </w:tabs>
        <w:rPr>
          <w:rFonts w:ascii="宋体" w:hAnsi="宋体" w:eastAsia="宋体"/>
          <w:szCs w:val="21"/>
          <w:highlight w:val="none"/>
          <w:u w:val="single"/>
        </w:rPr>
      </w:pPr>
      <w:r>
        <w:rPr>
          <w:rFonts w:ascii="宋体" w:hAnsi="宋体" w:eastAsia="宋体"/>
          <w:szCs w:val="21"/>
          <w:highlight w:val="none"/>
        </w:rPr>
        <w:t xml:space="preserve">项目编号：_____________________     项目名称：____________</w:t>
      </w:r>
      <w:r>
        <w:rPr>
          <w:rFonts w:ascii="宋体" w:hAnsi="宋体" w:eastAsia="宋体"/>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243"/>
        <w:gridCol w:w="2427"/>
        <w:gridCol w:w="1843"/>
        <w:gridCol w:w="1166"/>
      </w:tblGrid>
      <w:tr>
        <w:trPr>
          <w:trHeight w:val="851"/>
        </w:trPr>
        <w:tc>
          <w:tcPr>
            <w:tcW w:w="725"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序号</w:t>
            </w:r>
            <w:r>
              <w:rPr>
                <w:rFonts w:hint="eastAsia"/>
                <w:sz w:val="21"/>
                <w:szCs w:val="21"/>
                <w:highlight w:val="none"/>
              </w:rPr>
            </w:r>
            <w:r/>
          </w:p>
        </w:tc>
        <w:tc>
          <w:tcPr>
            <w:tcW w:w="32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项目名称</w:t>
            </w:r>
            <w:r>
              <w:rPr>
                <w:rFonts w:hint="eastAsia"/>
                <w:sz w:val="21"/>
                <w:szCs w:val="21"/>
                <w:highlight w:val="none"/>
              </w:rPr>
            </w:r>
            <w:r/>
          </w:p>
        </w:tc>
        <w:tc>
          <w:tcPr>
            <w:tcW w:w="2427"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采购人名称</w:t>
            </w:r>
            <w:r>
              <w:rPr>
                <w:rFonts w:hint="eastAsia"/>
                <w:sz w:val="21"/>
                <w:szCs w:val="21"/>
                <w:highlight w:val="none"/>
              </w:rPr>
            </w:r>
            <w:r/>
          </w:p>
        </w:tc>
        <w:tc>
          <w:tcPr>
            <w:tcW w:w="18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实施日期</w:t>
            </w:r>
            <w:r>
              <w:rPr>
                <w:rFonts w:hint="eastAsia"/>
                <w:sz w:val="21"/>
                <w:szCs w:val="21"/>
                <w:highlight w:val="none"/>
              </w:rPr>
            </w:r>
            <w:r/>
          </w:p>
        </w:tc>
        <w:tc>
          <w:tcPr>
            <w:tcW w:w="1166"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t xml:space="preserve">备注</w:t>
            </w:r>
            <w:r>
              <w:rPr>
                <w:rFonts w:hint="eastAsia"/>
                <w:sz w:val="21"/>
                <w:szCs w:val="21"/>
                <w:highlight w:val="none"/>
              </w:rPr>
            </w:r>
            <w:r/>
          </w:p>
        </w:tc>
      </w:tr>
      <w:tr>
        <w:trPr>
          <w:trHeight w:val="851"/>
        </w:trPr>
        <w:tc>
          <w:tcPr>
            <w:tcW w:w="725"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r>
        <w:trPr>
          <w:trHeight w:val="851"/>
        </w:trPr>
        <w:tc>
          <w:tcPr>
            <w:tcW w:w="725"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32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2427"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843"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c>
          <w:tcPr>
            <w:tcW w:w="1166" w:type="dxa"/>
            <w:vAlign w:val="center"/>
            <w:textDirection w:val="lrTb"/>
            <w:noWrap w:val="false"/>
          </w:tcPr>
          <w:p>
            <w:pPr>
              <w:pStyle w:val="1085"/>
              <w:jc w:val="center"/>
              <w:spacing w:before="0" w:line="240" w:lineRule="auto"/>
              <w:tabs>
                <w:tab w:val="left" w:pos="567" w:leader="none"/>
              </w:tabs>
              <w:rPr>
                <w:rFonts w:hint="eastAsia"/>
                <w:sz w:val="21"/>
                <w:szCs w:val="21"/>
                <w:highlight w:val="none"/>
              </w:rPr>
            </w:pPr>
            <w:r>
              <w:rPr>
                <w:rFonts w:hint="eastAsia"/>
                <w:sz w:val="21"/>
                <w:szCs w:val="21"/>
                <w:highlight w:val="none"/>
              </w:rPr>
            </w:r>
            <w:r/>
          </w:p>
        </w:tc>
      </w:tr>
    </w:tbl>
    <w:p>
      <w:pPr>
        <w:pStyle w:val="1085"/>
        <w:spacing w:line="400" w:lineRule="exact"/>
        <w:tabs>
          <w:tab w:val="left" w:pos="567" w:leader="none"/>
        </w:tabs>
        <w:rPr>
          <w:rFonts w:hint="eastAsia"/>
          <w:sz w:val="21"/>
          <w:szCs w:val="21"/>
          <w:highlight w:val="none"/>
        </w:rPr>
      </w:pPr>
      <w:r>
        <w:rPr>
          <w:sz w:val="21"/>
          <w:szCs w:val="21"/>
          <w:highlight w:val="none"/>
        </w:rPr>
        <w:t xml:space="preserve">注：</w:t>
      </w:r>
      <w:r>
        <w:rPr>
          <w:rFonts w:hint="eastAsia"/>
          <w:sz w:val="21"/>
          <w:szCs w:val="21"/>
          <w:highlight w:val="none"/>
        </w:rPr>
        <w:t xml:space="preserve">按采购文件要求提供证明材料。</w:t>
      </w:r>
      <w:r>
        <w:rPr>
          <w:rFonts w:hint="eastAsia"/>
          <w:sz w:val="21"/>
          <w:szCs w:val="21"/>
          <w:highlight w:val="none"/>
        </w:rPr>
      </w:r>
      <w:r/>
    </w:p>
    <w:p>
      <w:pPr>
        <w:pStyle w:val="1073"/>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投标人名称（加盖公章）</w:t>
      </w:r>
      <w:r>
        <w:rPr>
          <w:rFonts w:ascii="宋体" w:hAnsi="宋体" w:eastAsia="宋体"/>
          <w:szCs w:val="21"/>
          <w:highlight w:val="none"/>
          <w:lang w:val="zh-CN"/>
        </w:rPr>
        <w:t xml:space="preserve">：    ____________</w:t>
      </w:r>
      <w:r>
        <w:rPr>
          <w:rFonts w:ascii="宋体" w:hAnsi="宋体" w:eastAsia="宋体"/>
          <w:szCs w:val="21"/>
          <w:highlight w:val="none"/>
          <w:lang w:val="zh-CN"/>
        </w:rPr>
      </w:r>
      <w:r/>
    </w:p>
    <w:p>
      <w:pPr>
        <w:pStyle w:val="1073"/>
        <w:spacing w:before="25" w:after="25" w:line="360" w:lineRule="auto"/>
        <w:rPr>
          <w:rFonts w:ascii="宋体" w:hAnsi="宋体" w:eastAsia="宋体"/>
          <w:szCs w:val="21"/>
          <w:highlight w:val="none"/>
          <w:lang w:val="zh-CN"/>
        </w:rPr>
      </w:pPr>
      <w:r>
        <w:rPr>
          <w:rFonts w:ascii="宋体" w:hAnsi="宋体" w:eastAsia="宋体"/>
          <w:szCs w:val="21"/>
          <w:highlight w:val="none"/>
        </w:rPr>
        <w:t xml:space="preserve">日期：_____年______月______日   </w:t>
      </w:r>
      <w:r>
        <w:rPr>
          <w:rFonts w:ascii="宋体" w:hAnsi="宋体" w:eastAsia="宋体"/>
          <w:szCs w:val="21"/>
          <w:highlight w:val="none"/>
          <w:lang w:val="zh-CN"/>
        </w:rPr>
      </w:r>
      <w:r/>
    </w:p>
    <w:p>
      <w:pPr>
        <w:pStyle w:val="1073"/>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3"/>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3"/>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3"/>
        <w:spacing w:line="360" w:lineRule="auto"/>
        <w:rPr>
          <w:rFonts w:hint="eastAsia" w:ascii="宋体" w:hAnsi="宋体" w:eastAsia="宋体"/>
          <w:sz w:val="24"/>
          <w:szCs w:val="20"/>
          <w:highlight w:val="none"/>
        </w:rPr>
        <w:outlineLvl w:val="2"/>
      </w:pPr>
      <w:r>
        <w:rPr>
          <w:rFonts w:hint="eastAsia" w:ascii="宋体" w:hAnsi="宋体" w:eastAsia="宋体"/>
          <w:sz w:val="24"/>
          <w:szCs w:val="20"/>
          <w:highlight w:val="none"/>
        </w:rPr>
      </w:r>
      <w:r/>
    </w:p>
    <w:p>
      <w:pPr>
        <w:pStyle w:val="1073"/>
        <w:spacing w:line="360" w:lineRule="auto"/>
        <w:rPr>
          <w:rFonts w:ascii="宋体" w:hAnsi="宋体" w:eastAsia="宋体"/>
          <w:b/>
          <w:bCs/>
          <w:sz w:val="24"/>
          <w:szCs w:val="20"/>
          <w:highlight w:val="none"/>
        </w:rPr>
        <w:outlineLvl w:val="2"/>
      </w:pPr>
      <w:r>
        <w:rPr>
          <w:rFonts w:hint="eastAsia" w:ascii="宋体" w:hAnsi="宋体" w:eastAsia="宋体"/>
          <w:b/>
          <w:bCs/>
          <w:sz w:val="24"/>
          <w:szCs w:val="20"/>
          <w:highlight w:val="none"/>
        </w:rPr>
        <w:t xml:space="preserve">12  </w:t>
      </w:r>
      <w:r>
        <w:rPr>
          <w:rFonts w:ascii="宋体" w:hAnsi="宋体" w:eastAsia="宋体"/>
          <w:b/>
          <w:bCs/>
          <w:sz w:val="24"/>
          <w:szCs w:val="20"/>
          <w:highlight w:val="none"/>
        </w:rPr>
        <w:t xml:space="preserve">招标文件要求提供或投标人认为应附的其他材料</w:t>
      </w:r>
      <w:r>
        <w:rPr>
          <w:rFonts w:ascii="宋体" w:hAnsi="宋体" w:eastAsia="宋体"/>
          <w:b/>
          <w:bCs/>
          <w:sz w:val="24"/>
          <w:szCs w:val="20"/>
          <w:highlight w:val="none"/>
        </w:rPr>
      </w:r>
      <w:r/>
    </w:p>
    <w:p>
      <w:pPr>
        <w:pStyle w:val="1073"/>
        <w:jc w:val="left"/>
        <w:widowControl/>
        <w:rPr>
          <w:rFonts w:ascii="宋体" w:hAnsi="宋体" w:eastAsia="宋体"/>
          <w:b/>
          <w:sz w:val="36"/>
          <w:szCs w:val="36"/>
          <w:highlight w:val="none"/>
        </w:rPr>
      </w:pPr>
      <w:r>
        <w:rPr>
          <w:rFonts w:ascii="宋体" w:hAnsi="宋体" w:eastAsia="宋体"/>
          <w:b/>
          <w:sz w:val="36"/>
          <w:szCs w:val="36"/>
          <w:highlight w:val="none"/>
        </w:rPr>
      </w:r>
      <w:r/>
    </w:p>
    <w:p>
      <w:pPr>
        <w:pStyle w:val="1073"/>
        <w:jc w:val="right"/>
        <w:widowControl/>
        <w:rPr>
          <w:rFonts w:ascii="宋体" w:hAnsi="宋体" w:eastAsia="宋体"/>
          <w:b/>
          <w:szCs w:val="21"/>
          <w:highlight w:val="none"/>
        </w:rPr>
      </w:pPr>
      <w:r>
        <w:rPr>
          <w:rFonts w:ascii="宋体" w:hAnsi="宋体" w:eastAsia="宋体"/>
          <w:b/>
          <w:szCs w:val="21"/>
          <w:highlight w:val="none"/>
        </w:rPr>
        <w:t xml:space="preserve">（全文完）</w:t>
      </w:r>
      <w:r>
        <w:rPr>
          <w:rFonts w:ascii="宋体" w:hAnsi="宋体" w:eastAsia="宋体"/>
          <w:b/>
          <w:szCs w:val="21"/>
          <w:highlight w:val="none"/>
        </w:rPr>
      </w:r>
      <w:r/>
    </w:p>
    <w:sectPr>
      <w:headerReference w:type="even" r:id="rId13"/>
      <w:headerReference w:type="first" r:id="rId14"/>
      <w:footerReference w:type="even" r:id="rId22"/>
      <w:footerReference w:type="first" r:id="rId23"/>
      <w:footnotePr/>
      <w:endnotePr/>
      <w:type w:val="nextPage"/>
      <w:pgSz w:w="11907" w:h="16840" w:orient="portrait"/>
      <w:pgMar w:top="1440" w:right="1800" w:bottom="1440" w:left="180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
    <w:panose1 w:val="02010609060101010101"/>
  </w:font>
  <w:font w:name="等线">
    <w:panose1 w:val="02010600030101010101"/>
  </w:font>
  <w:font w:name="楷体_GB2312">
    <w:panose1 w:val="02010609060101010101"/>
  </w:font>
  <w:font w:name="ˎ̥">
    <w:panose1 w:val="020B0503020202020204"/>
  </w:font>
  <w:font w:name="Tahoma">
    <w:panose1 w:val="020B0604030504040204"/>
  </w:font>
  <w:font w:name="Courier New">
    <w:panose1 w:val="02070309020205020404"/>
  </w:font>
  <w:font w:name="Cambria">
    <w:panose1 w:val="020405030504060302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firstLine="21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rPr>
        <w:rStyle w:val="1157"/>
      </w:rPr>
      <w:framePr w:wrap="around" w:vAnchor="text" w:hAnchor="margin" w:xAlign="right" w:y="1"/>
    </w:pPr>
    <w:r>
      <w:fldChar w:fldCharType="begin"/>
    </w:r>
    <w:r>
      <w:rPr>
        <w:rStyle w:val="1157"/>
      </w:rPr>
      <w:instrText xml:space="preserve">PAGE  </w:instrText>
    </w:r>
    <w:r>
      <w:fldChar w:fldCharType="end"/>
    </w:r>
    <w:r>
      <w:rPr>
        <w:rStyle w:val="1157"/>
      </w:rPr>
    </w:r>
    <w:r/>
  </w:p>
  <w:p>
    <w:pPr>
      <w:pStyle w:val="1125"/>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rPr>
        <w:rFonts w:ascii="宋体" w:hAnsi="Times New Roman" w:eastAsia="宋体"/>
        <w:sz w:val="18"/>
        <w:szCs w:val="18"/>
      </w:rPr>
      <w:framePr w:wrap="around" w:vAnchor="text" w:hAnchor="margin" w:xAlign="center" w:y="1"/>
    </w:pPr>
    <w:r>
      <w:rPr>
        <w:rFonts w:ascii="宋体" w:hAnsi="Times New Roman" w:eastAsia="宋体"/>
        <w:sz w:val="18"/>
        <w:szCs w:val="18"/>
      </w:rPr>
      <w:fldChar w:fldCharType="begin"/>
    </w:r>
    <w:r>
      <w:rPr>
        <w:rFonts w:ascii="Times New Roman" w:hAnsi="Times New Roman" w:eastAsia="宋体"/>
        <w:sz w:val="18"/>
        <w:szCs w:val="18"/>
      </w:rPr>
      <w:instrText xml:space="preserve">PAGE  </w:instrText>
    </w:r>
    <w:r>
      <w:rPr>
        <w:rFonts w:ascii="宋体" w:hAnsi="Times New Roman" w:eastAsia="宋体"/>
        <w:sz w:val="18"/>
        <w:szCs w:val="18"/>
      </w:rPr>
      <w:fldChar w:fldCharType="separate"/>
    </w:r>
    <w:r>
      <w:rPr>
        <w:rFonts w:ascii="Times New Roman" w:hAnsi="Times New Roman" w:eastAsia="宋体"/>
        <w:sz w:val="18"/>
        <w:szCs w:val="18"/>
      </w:rPr>
      <w:t xml:space="preserve">88</w:t>
    </w:r>
    <w:r>
      <w:rPr>
        <w:rFonts w:ascii="宋体" w:hAnsi="Times New Roman" w:eastAsia="宋体"/>
        <w:sz w:val="18"/>
        <w:szCs w:val="18"/>
      </w:rPr>
      <w:fldChar w:fldCharType="end"/>
    </w:r>
    <w:r>
      <w:rPr>
        <w:rFonts w:ascii="宋体" w:hAnsi="Times New Roman" w:eastAsia="宋体"/>
        <w:sz w:val="18"/>
        <w:szCs w:val="18"/>
      </w:rPr>
    </w:r>
    <w:r/>
  </w:p>
  <w:p>
    <w:pPr>
      <w:pStyle w:val="1073"/>
      <w:tabs>
        <w:tab w:val="center" w:pos="4153" w:leader="none"/>
        <w:tab w:val="right" w:pos="8306" w:leader="none"/>
      </w:tabs>
      <w:rPr>
        <w:rFonts w:ascii="宋体" w:hAnsi="Times New Roman" w:eastAsia="宋体"/>
        <w:sz w:val="18"/>
        <w:szCs w:val="18"/>
      </w:rPr>
    </w:pPr>
    <w:r>
      <w:rPr>
        <w:rFonts w:ascii="宋体" w:hAnsi="Times New Roman" w:eastAsia="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rPr>
        <w:rStyle w:val="1157"/>
      </w:rPr>
      <w:framePr w:wrap="around" w:vAnchor="text" w:hAnchor="margin" w:xAlign="right" w:y="1"/>
    </w:pPr>
    <w:r>
      <w:fldChar w:fldCharType="begin"/>
    </w:r>
    <w:r>
      <w:rPr>
        <w:rStyle w:val="1157"/>
      </w:rPr>
      <w:instrText xml:space="preserve">PAGE  </w:instrText>
    </w:r>
    <w:r>
      <w:fldChar w:fldCharType="end"/>
    </w:r>
    <w:r>
      <w:rPr>
        <w:rStyle w:val="1157"/>
      </w:rPr>
    </w:r>
    <w:r/>
  </w:p>
  <w:p>
    <w:pPr>
      <w:pStyle w:val="1125"/>
      <w:ind w:right="360"/>
      <w:tabs>
        <w:tab w:val="center" w:pos="4153" w:leader="none"/>
        <w:tab w:val="right" w:pos="8306" w:leader="none"/>
      </w:tabs>
    </w:pPr>
    <w:r/>
    <w:r/>
  </w:p>
  <w:p>
    <w:pPr>
      <w:pStyle w:val="107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left="1620" w:hanging="1620"/>
      <w:jc w:val="left"/>
      <w:tabs>
        <w:tab w:val="center" w:pos="4153" w:leader="none"/>
        <w:tab w:val="right" w:pos="8306" w:leader="none"/>
      </w:tabs>
      <w:rPr>
        <w:rFonts w:hint="eastAsia" w:ascii="宋体" w:hAnsi="宋体" w:eastAsia="微软雅黑"/>
        <w:lang w:eastAsia="zh-CN"/>
      </w:rPr>
    </w:pPr>
    <w:r>
      <w:rPr>
        <w:rFonts w:ascii="宋体" w:hAnsi="宋体"/>
      </w:rPr>
      <mc:AlternateContent>
        <mc:Choice Requires="wpg">
          <w:drawing>
            <wp:inline xmlns:wp="http://schemas.openxmlformats.org/drawingml/2006/wordprocessingDrawing" distT="0" distB="0" distL="0" distR="0">
              <wp:extent cx="342892" cy="12381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2892" cy="123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9.7pt;mso-wrap-distance-left:0.0pt;mso-wrap-distance-top:0.0pt;mso-wrap-distance-right:0.0pt;mso-wrap-distance-bottom:0.0pt;" stroked="f">
              <v:path textboxrect="0,0,0,0"/>
              <v:imagedata r:id="rId1" o:title=""/>
            </v:shape>
          </w:pict>
        </mc:Fallback>
      </mc:AlternateContent>
    </w:r>
    <w:r>
      <w:rPr>
        <w:rFonts w:hint="eastAsia" w:ascii="宋体" w:hAnsi="宋体" w:eastAsia="宋体"/>
      </w:rPr>
      <w:t xml:space="preserve">江苏正华新工程咨询有限公司 </w:t>
    </w:r>
    <w:r>
      <w:rPr>
        <w:rFonts w:ascii="宋体" w:hAnsi="宋体" w:eastAsia="宋体"/>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hint="eastAsia" w:ascii="宋体" w:hAnsi="宋体"/>
        <w:lang w:eastAsia="zh-CN"/>
      </w:rPr>
      <w:t xml:space="preserve">JSZC-320585-SZZH-G2026-0016</w:t>
    </w:r>
    <w:r>
      <w:rPr>
        <w:rFonts w:hint="eastAsia" w:ascii="宋体" w:hAnsi="宋体" w:eastAsia="微软雅黑"/>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tabs>
        <w:tab w:val="center" w:pos="4153" w:leader="none"/>
        <w:tab w:val="right" w:pos="8306" w:leader="none"/>
      </w:tabs>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42892" cy="1238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42892" cy="123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0pt;height:9.7pt;mso-wrap-distance-left:0.0pt;mso-wrap-distance-top:0.0pt;mso-wrap-distance-right:0.0pt;mso-wrap-distance-bottom:0.0pt;" stroked="f">
              <v:path textboxrect="0,0,0,0"/>
              <v:imagedata r:id="rId1" o:title=""/>
            </v:shape>
          </w:pict>
        </mc:Fallback>
      </mc:AlternateContent>
    </w:r>
    <w:r>
      <w:rPr>
        <w:rFonts w:hint="eastAsia" w:ascii="宋体" w:hAnsi="宋体" w:eastAsia="宋体"/>
      </w:rPr>
      <w:t xml:space="preserve">江苏正华新工程咨询有限公司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lang w:eastAsia="zh-CN"/>
      </w:rPr>
      <w:t xml:space="preserve">JSZC-320585-SZZH-G2026-0016</w:t>
    </w:r>
    <w:r>
      <w:rPr>
        <w:rFonts w:hint="eastAsia" w:ascii="宋体" w:hAnsi="宋体"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p>
    <w:pPr>
      <w:pStyle w:val="107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pStyle w:val="1073"/>
        <w:ind w:left="1440" w:hanging="360"/>
      </w:pPr>
      <w:rPr>
        <w:rFonts w:ascii="Courier New" w:hAnsi="Courier New" w:eastAsia="Courier New" w:cs="Courier New"/>
      </w:rPr>
    </w:lvl>
    <w:lvl w:ilvl="2">
      <w:start w:val="1"/>
      <w:numFmt w:val="bullet"/>
      <w:isLgl w:val="false"/>
      <w:suff w:val="tab"/>
      <w:lvlText w:val="§"/>
      <w:lvlJc w:val="left"/>
      <w:pPr>
        <w:pStyle w:val="1073"/>
        <w:ind w:left="2160" w:hanging="360"/>
      </w:pPr>
      <w:rPr>
        <w:rFonts w:ascii="Wingdings" w:hAnsi="Wingdings" w:eastAsia="Wingdings" w:cs="Wingdings"/>
      </w:rPr>
    </w:lvl>
    <w:lvl w:ilvl="3">
      <w:start w:val="1"/>
      <w:numFmt w:val="bullet"/>
      <w:isLgl w:val="false"/>
      <w:suff w:val="tab"/>
      <w:lvlText w:val="·"/>
      <w:lvlJc w:val="left"/>
      <w:pPr>
        <w:pStyle w:val="1073"/>
        <w:ind w:left="2880" w:hanging="360"/>
      </w:pPr>
      <w:rPr>
        <w:rFonts w:ascii="Symbol" w:hAnsi="Symbol" w:eastAsia="Symbol" w:cs="Symbol"/>
      </w:rPr>
    </w:lvl>
    <w:lvl w:ilvl="4">
      <w:start w:val="1"/>
      <w:numFmt w:val="bullet"/>
      <w:isLgl w:val="false"/>
      <w:suff w:val="tab"/>
      <w:lvlText w:val="o"/>
      <w:lvlJc w:val="left"/>
      <w:pPr>
        <w:pStyle w:val="1073"/>
        <w:ind w:left="3600" w:hanging="360"/>
      </w:pPr>
      <w:rPr>
        <w:rFonts w:ascii="Courier New" w:hAnsi="Courier New" w:eastAsia="Courier New" w:cs="Courier New"/>
      </w:rPr>
    </w:lvl>
    <w:lvl w:ilvl="5">
      <w:start w:val="1"/>
      <w:numFmt w:val="bullet"/>
      <w:isLgl w:val="false"/>
      <w:suff w:val="tab"/>
      <w:lvlText w:val="§"/>
      <w:lvlJc w:val="left"/>
      <w:pPr>
        <w:pStyle w:val="1073"/>
        <w:ind w:left="4320" w:hanging="360"/>
      </w:pPr>
      <w:rPr>
        <w:rFonts w:ascii="Wingdings" w:hAnsi="Wingdings" w:eastAsia="Wingdings" w:cs="Wingdings"/>
      </w:rPr>
    </w:lvl>
    <w:lvl w:ilvl="6">
      <w:start w:val="1"/>
      <w:numFmt w:val="bullet"/>
      <w:isLgl w:val="false"/>
      <w:suff w:val="tab"/>
      <w:lvlText w:val="·"/>
      <w:lvlJc w:val="left"/>
      <w:pPr>
        <w:pStyle w:val="1073"/>
        <w:ind w:left="5040" w:hanging="360"/>
      </w:pPr>
      <w:rPr>
        <w:rFonts w:ascii="Symbol" w:hAnsi="Symbol" w:eastAsia="Symbol" w:cs="Symbol"/>
      </w:rPr>
    </w:lvl>
    <w:lvl w:ilvl="7">
      <w:start w:val="1"/>
      <w:numFmt w:val="bullet"/>
      <w:isLgl w:val="false"/>
      <w:suff w:val="tab"/>
      <w:lvlText w:val="o"/>
      <w:lvlJc w:val="left"/>
      <w:pPr>
        <w:pStyle w:val="1073"/>
        <w:ind w:left="5760" w:hanging="360"/>
      </w:pPr>
      <w:rPr>
        <w:rFonts w:ascii="Courier New" w:hAnsi="Courier New" w:eastAsia="Courier New" w:cs="Courier New"/>
      </w:rPr>
    </w:lvl>
    <w:lvl w:ilvl="8">
      <w:start w:val="1"/>
      <w:numFmt w:val="bullet"/>
      <w:isLgl w:val="false"/>
      <w:suff w:val="tab"/>
      <w:lvlText w:val="§"/>
      <w:lvlJc w:val="left"/>
      <w:pPr>
        <w:pStyle w:val="1073"/>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3"/>
        <w:ind w:left="4941" w:hanging="1140"/>
        <w:tabs>
          <w:tab w:val="num" w:pos="4941" w:leader="none"/>
        </w:tabs>
      </w:pPr>
      <w:rPr>
        <w:rFonts w:hint="eastAsia"/>
      </w:rPr>
    </w:lvl>
    <w:lvl w:ilvl="1">
      <w:start w:val="1"/>
      <w:numFmt w:val="lowerLetter"/>
      <w:isLgl w:val="false"/>
      <w:suff w:val="tab"/>
      <w:lvlText w:val="%2)"/>
      <w:lvlJc w:val="left"/>
      <w:pPr>
        <w:pStyle w:val="1073"/>
        <w:ind w:left="4641" w:hanging="420"/>
        <w:tabs>
          <w:tab w:val="num" w:pos="4641" w:leader="none"/>
        </w:tabs>
      </w:pPr>
    </w:lvl>
    <w:lvl w:ilvl="2">
      <w:start w:val="1"/>
      <w:numFmt w:val="lowerRoman"/>
      <w:isLgl w:val="false"/>
      <w:suff w:val="tab"/>
      <w:lvlText w:val="%3."/>
      <w:lvlJc w:val="right"/>
      <w:pPr>
        <w:pStyle w:val="1073"/>
        <w:ind w:left="5061" w:hanging="420"/>
        <w:tabs>
          <w:tab w:val="num" w:pos="5061" w:leader="none"/>
        </w:tabs>
      </w:pPr>
    </w:lvl>
    <w:lvl w:ilvl="3">
      <w:start w:val="1"/>
      <w:numFmt w:val="decimal"/>
      <w:isLgl w:val="false"/>
      <w:suff w:val="tab"/>
      <w:lvlText w:val="%4."/>
      <w:lvlJc w:val="left"/>
      <w:pPr>
        <w:pStyle w:val="1073"/>
        <w:ind w:left="5481" w:hanging="420"/>
        <w:tabs>
          <w:tab w:val="num" w:pos="5481" w:leader="none"/>
        </w:tabs>
      </w:pPr>
    </w:lvl>
    <w:lvl w:ilvl="4">
      <w:start w:val="1"/>
      <w:numFmt w:val="lowerLetter"/>
      <w:isLgl w:val="false"/>
      <w:suff w:val="tab"/>
      <w:lvlText w:val="%5)"/>
      <w:lvlJc w:val="left"/>
      <w:pPr>
        <w:pStyle w:val="1073"/>
        <w:ind w:left="5901" w:hanging="420"/>
        <w:tabs>
          <w:tab w:val="num" w:pos="5901" w:leader="none"/>
        </w:tabs>
      </w:pPr>
    </w:lvl>
    <w:lvl w:ilvl="5">
      <w:start w:val="1"/>
      <w:numFmt w:val="lowerRoman"/>
      <w:isLgl w:val="false"/>
      <w:suff w:val="tab"/>
      <w:lvlText w:val="%6."/>
      <w:lvlJc w:val="right"/>
      <w:pPr>
        <w:pStyle w:val="1073"/>
        <w:ind w:left="6321" w:hanging="420"/>
        <w:tabs>
          <w:tab w:val="num" w:pos="6321" w:leader="none"/>
        </w:tabs>
      </w:pPr>
    </w:lvl>
    <w:lvl w:ilvl="6">
      <w:start w:val="1"/>
      <w:numFmt w:val="decimal"/>
      <w:isLgl w:val="false"/>
      <w:suff w:val="tab"/>
      <w:lvlText w:val="%7."/>
      <w:lvlJc w:val="left"/>
      <w:pPr>
        <w:pStyle w:val="1073"/>
        <w:ind w:left="6741" w:hanging="420"/>
        <w:tabs>
          <w:tab w:val="num" w:pos="6741" w:leader="none"/>
        </w:tabs>
      </w:pPr>
    </w:lvl>
    <w:lvl w:ilvl="7">
      <w:start w:val="1"/>
      <w:numFmt w:val="lowerLetter"/>
      <w:isLgl w:val="false"/>
      <w:suff w:val="tab"/>
      <w:lvlText w:val="%8)"/>
      <w:lvlJc w:val="left"/>
      <w:pPr>
        <w:pStyle w:val="1073"/>
        <w:ind w:left="7161" w:hanging="420"/>
        <w:tabs>
          <w:tab w:val="num" w:pos="7161" w:leader="none"/>
        </w:tabs>
      </w:pPr>
    </w:lvl>
    <w:lvl w:ilvl="8">
      <w:start w:val="1"/>
      <w:numFmt w:val="lowerRoman"/>
      <w:isLgl w:val="false"/>
      <w:suff w:val="tab"/>
      <w:lvlText w:val="%9."/>
      <w:lvlJc w:val="right"/>
      <w:pPr>
        <w:pStyle w:val="1073"/>
        <w:ind w:left="7581" w:hanging="420"/>
        <w:tabs>
          <w:tab w:val="num" w:pos="7581" w:leader="none"/>
        </w:tabs>
      </w:pPr>
    </w:lvl>
  </w:abstractNum>
  <w:abstractNum w:abstractNumId="2">
    <w:multiLevelType w:val="hybridMultilevel"/>
    <w:lvl w:ilvl="0">
      <w:start w:val="1"/>
      <w:numFmt w:val="decimal"/>
      <w:pStyle w:val="1398"/>
      <w:isLgl w:val="false"/>
      <w:suff w:val="tab"/>
      <w:lvlText w:val="%1."/>
      <w:lvlJc w:val="left"/>
      <w:pPr>
        <w:pStyle w:val="1073"/>
        <w:ind w:left="420" w:hanging="420"/>
      </w:pPr>
    </w:lvl>
    <w:lvl w:ilvl="1">
      <w:start w:val="1"/>
      <w:numFmt w:val="decimal"/>
      <w:isLgl w:val="false"/>
      <w:suff w:val="tab"/>
      <w:lvlText w:val="（%2）"/>
      <w:lvlJc w:val="left"/>
      <w:pPr>
        <w:pStyle w:val="1073"/>
        <w:ind w:left="1140" w:hanging="720"/>
        <w:tabs>
          <w:tab w:val="num" w:pos="1140" w:leader="none"/>
        </w:tabs>
      </w:pPr>
      <w:rPr>
        <w:rFonts w:hint="eastAsia"/>
      </w:rPr>
    </w:lvl>
    <w:lvl w:ilvl="2">
      <w:start w:val="1"/>
      <w:numFmt w:val="lowerRoman"/>
      <w:isLgl w:val="false"/>
      <w:suff w:val="tab"/>
      <w:lvlText w:val="%3."/>
      <w:lvlJc w:val="right"/>
      <w:pPr>
        <w:pStyle w:val="1073"/>
        <w:ind w:left="1260" w:hanging="420"/>
      </w:pPr>
    </w:lvl>
    <w:lvl w:ilvl="3">
      <w:start w:val="1"/>
      <w:numFmt w:val="decimal"/>
      <w:isLgl w:val="false"/>
      <w:suff w:val="tab"/>
      <w:lvlText w:val="%4."/>
      <w:lvlJc w:val="left"/>
      <w:pPr>
        <w:pStyle w:val="1073"/>
        <w:ind w:left="1680" w:hanging="420"/>
      </w:pPr>
    </w:lvl>
    <w:lvl w:ilvl="4">
      <w:start w:val="1"/>
      <w:numFmt w:val="lowerLetter"/>
      <w:isLgl w:val="false"/>
      <w:suff w:val="tab"/>
      <w:lvlText w:val="%5)"/>
      <w:lvlJc w:val="left"/>
      <w:pPr>
        <w:pStyle w:val="1073"/>
        <w:ind w:left="2100" w:hanging="420"/>
      </w:pPr>
    </w:lvl>
    <w:lvl w:ilvl="5">
      <w:start w:val="1"/>
      <w:numFmt w:val="lowerRoman"/>
      <w:isLgl w:val="false"/>
      <w:suff w:val="tab"/>
      <w:lvlText w:val="%6."/>
      <w:lvlJc w:val="right"/>
      <w:pPr>
        <w:pStyle w:val="1073"/>
        <w:ind w:left="2520" w:hanging="420"/>
      </w:pPr>
    </w:lvl>
    <w:lvl w:ilvl="6">
      <w:start w:val="1"/>
      <w:numFmt w:val="decimal"/>
      <w:isLgl w:val="false"/>
      <w:suff w:val="tab"/>
      <w:lvlText w:val="%7."/>
      <w:lvlJc w:val="left"/>
      <w:pPr>
        <w:pStyle w:val="1073"/>
        <w:ind w:left="2940" w:hanging="420"/>
      </w:pPr>
    </w:lvl>
    <w:lvl w:ilvl="7">
      <w:start w:val="1"/>
      <w:numFmt w:val="lowerLetter"/>
      <w:isLgl w:val="false"/>
      <w:suff w:val="tab"/>
      <w:lvlText w:val="%8)"/>
      <w:lvlJc w:val="left"/>
      <w:pPr>
        <w:pStyle w:val="1073"/>
        <w:ind w:left="3360" w:hanging="420"/>
      </w:pPr>
    </w:lvl>
    <w:lvl w:ilvl="8">
      <w:start w:val="1"/>
      <w:numFmt w:val="lowerRoman"/>
      <w:isLgl w:val="false"/>
      <w:suff w:val="tab"/>
      <w:lvlText w:val="%9."/>
      <w:lvlJc w:val="right"/>
      <w:pPr>
        <w:pStyle w:val="1073"/>
        <w:ind w:left="3780" w:hanging="420"/>
      </w:pPr>
    </w:lvl>
  </w:abstractNum>
  <w:abstractNum w:abstractNumId="3">
    <w:multiLevelType w:val="hybridMultilevel"/>
    <w:lvl w:ilvl="0">
      <w:start w:val="1"/>
      <w:numFmt w:val="lowerLetter"/>
      <w:pStyle w:val="1429"/>
      <w:isLgl w:val="false"/>
      <w:suff w:val="tab"/>
      <w:lvlText w:val="%1)"/>
      <w:lvlJc w:val="left"/>
      <w:pPr>
        <w:pStyle w:val="1073"/>
        <w:ind w:left="902" w:hanging="420"/>
      </w:pPr>
      <w:rPr>
        <w:color w:val="000000"/>
      </w:rPr>
    </w:lvl>
    <w:lvl w:ilvl="1">
      <w:start w:val="1"/>
      <w:numFmt w:val="lowerLetter"/>
      <w:isLgl w:val="false"/>
      <w:suff w:val="tab"/>
      <w:lvlText w:val="%2)"/>
      <w:lvlJc w:val="left"/>
      <w:pPr>
        <w:pStyle w:val="1073"/>
        <w:ind w:left="1322" w:hanging="420"/>
      </w:pPr>
    </w:lvl>
    <w:lvl w:ilvl="2">
      <w:start w:val="1"/>
      <w:numFmt w:val="lowerRoman"/>
      <w:isLgl w:val="false"/>
      <w:suff w:val="tab"/>
      <w:lvlText w:val="%3."/>
      <w:lvlJc w:val="right"/>
      <w:pPr>
        <w:pStyle w:val="1073"/>
        <w:ind w:left="1742" w:hanging="420"/>
      </w:pPr>
    </w:lvl>
    <w:lvl w:ilvl="3">
      <w:start w:val="1"/>
      <w:numFmt w:val="decimal"/>
      <w:isLgl w:val="false"/>
      <w:suff w:val="tab"/>
      <w:lvlText w:val="%4."/>
      <w:lvlJc w:val="left"/>
      <w:pPr>
        <w:pStyle w:val="1073"/>
        <w:ind w:left="2162" w:hanging="420"/>
      </w:pPr>
    </w:lvl>
    <w:lvl w:ilvl="4">
      <w:start w:val="1"/>
      <w:numFmt w:val="lowerLetter"/>
      <w:isLgl w:val="false"/>
      <w:suff w:val="tab"/>
      <w:lvlText w:val="%5)"/>
      <w:lvlJc w:val="left"/>
      <w:pPr>
        <w:pStyle w:val="1073"/>
        <w:ind w:left="2582" w:hanging="420"/>
      </w:pPr>
    </w:lvl>
    <w:lvl w:ilvl="5">
      <w:start w:val="1"/>
      <w:numFmt w:val="lowerRoman"/>
      <w:isLgl w:val="false"/>
      <w:suff w:val="tab"/>
      <w:lvlText w:val="%6."/>
      <w:lvlJc w:val="right"/>
      <w:pPr>
        <w:pStyle w:val="1073"/>
        <w:ind w:left="3002" w:hanging="420"/>
      </w:pPr>
    </w:lvl>
    <w:lvl w:ilvl="6">
      <w:start w:val="1"/>
      <w:numFmt w:val="decimal"/>
      <w:isLgl w:val="false"/>
      <w:suff w:val="tab"/>
      <w:lvlText w:val="%7."/>
      <w:lvlJc w:val="left"/>
      <w:pPr>
        <w:pStyle w:val="1073"/>
        <w:ind w:left="3422" w:hanging="420"/>
      </w:pPr>
    </w:lvl>
    <w:lvl w:ilvl="7">
      <w:start w:val="1"/>
      <w:numFmt w:val="lowerLetter"/>
      <w:isLgl w:val="false"/>
      <w:suff w:val="tab"/>
      <w:lvlText w:val="%8)"/>
      <w:lvlJc w:val="left"/>
      <w:pPr>
        <w:pStyle w:val="1073"/>
        <w:ind w:left="3842" w:hanging="420"/>
      </w:pPr>
    </w:lvl>
    <w:lvl w:ilvl="8">
      <w:start w:val="1"/>
      <w:numFmt w:val="lowerRoman"/>
      <w:isLgl w:val="false"/>
      <w:suff w:val="tab"/>
      <w:lvlText w:val="%9."/>
      <w:lvlJc w:val="right"/>
      <w:pPr>
        <w:pStyle w:val="1073"/>
        <w:ind w:left="4262" w:hanging="420"/>
      </w:pPr>
    </w:lvl>
  </w:abstractNum>
  <w:abstractNum w:abstractNumId="4">
    <w:multiLevelType w:val="hybridMultilevel"/>
    <w:lvl w:ilvl="0">
      <w:start w:val="1"/>
      <w:numFmt w:val="japaneseCounting"/>
      <w:isLgl w:val="false"/>
      <w:suff w:val="tab"/>
      <w:lvlText w:val="（%1）"/>
      <w:lvlJc w:val="left"/>
      <w:pPr>
        <w:pStyle w:val="1073"/>
        <w:ind w:left="1560" w:hanging="720"/>
      </w:pPr>
    </w:lvl>
    <w:lvl w:ilvl="1">
      <w:start w:val="1"/>
      <w:numFmt w:val="lowerLetter"/>
      <w:isLgl w:val="false"/>
      <w:suff w:val="tab"/>
      <w:lvlText w:val="%2)"/>
      <w:lvlJc w:val="left"/>
      <w:pPr>
        <w:pStyle w:val="1073"/>
        <w:ind w:left="1680" w:hanging="420"/>
      </w:pPr>
    </w:lvl>
    <w:lvl w:ilvl="2">
      <w:start w:val="1"/>
      <w:numFmt w:val="lowerRoman"/>
      <w:isLgl w:val="false"/>
      <w:suff w:val="tab"/>
      <w:lvlText w:val="%3."/>
      <w:lvlJc w:val="right"/>
      <w:pPr>
        <w:pStyle w:val="1073"/>
        <w:ind w:left="2100" w:hanging="420"/>
      </w:pPr>
    </w:lvl>
    <w:lvl w:ilvl="3">
      <w:start w:val="1"/>
      <w:numFmt w:val="decimal"/>
      <w:isLgl w:val="false"/>
      <w:suff w:val="tab"/>
      <w:lvlText w:val="%4."/>
      <w:lvlJc w:val="left"/>
      <w:pPr>
        <w:pStyle w:val="1073"/>
        <w:ind w:left="2520" w:hanging="420"/>
      </w:pPr>
    </w:lvl>
    <w:lvl w:ilvl="4">
      <w:start w:val="1"/>
      <w:numFmt w:val="lowerLetter"/>
      <w:isLgl w:val="false"/>
      <w:suff w:val="tab"/>
      <w:lvlText w:val="%5)"/>
      <w:lvlJc w:val="left"/>
      <w:pPr>
        <w:pStyle w:val="1073"/>
        <w:ind w:left="2940" w:hanging="420"/>
      </w:pPr>
    </w:lvl>
    <w:lvl w:ilvl="5">
      <w:start w:val="1"/>
      <w:numFmt w:val="lowerRoman"/>
      <w:isLgl w:val="false"/>
      <w:suff w:val="tab"/>
      <w:lvlText w:val="%6."/>
      <w:lvlJc w:val="right"/>
      <w:pPr>
        <w:pStyle w:val="1073"/>
        <w:ind w:left="3360" w:hanging="420"/>
      </w:pPr>
    </w:lvl>
    <w:lvl w:ilvl="6">
      <w:start w:val="1"/>
      <w:numFmt w:val="decimal"/>
      <w:isLgl w:val="false"/>
      <w:suff w:val="tab"/>
      <w:lvlText w:val="%7."/>
      <w:lvlJc w:val="left"/>
      <w:pPr>
        <w:pStyle w:val="1073"/>
        <w:ind w:left="3780" w:hanging="420"/>
      </w:pPr>
    </w:lvl>
    <w:lvl w:ilvl="7">
      <w:start w:val="1"/>
      <w:numFmt w:val="lowerLetter"/>
      <w:isLgl w:val="false"/>
      <w:suff w:val="tab"/>
      <w:lvlText w:val="%8)"/>
      <w:lvlJc w:val="left"/>
      <w:pPr>
        <w:pStyle w:val="1073"/>
        <w:ind w:left="4200" w:hanging="420"/>
      </w:pPr>
    </w:lvl>
    <w:lvl w:ilvl="8">
      <w:start w:val="1"/>
      <w:numFmt w:val="lowerRoman"/>
      <w:isLgl w:val="false"/>
      <w:suff w:val="tab"/>
      <w:lvlText w:val="%9."/>
      <w:lvlJc w:val="right"/>
      <w:pPr>
        <w:pStyle w:val="1073"/>
        <w:ind w:left="4620" w:hanging="420"/>
      </w:pPr>
    </w:lvl>
  </w:abstractNum>
  <w:abstractNum w:abstractNumId="5">
    <w:multiLevelType w:val="hybridMultilevel"/>
    <w:lvl w:ilvl="0">
      <w:start w:val="1"/>
      <w:numFmt w:val="decimal"/>
      <w:pStyle w:val="1393"/>
      <w:isLgl w:val="false"/>
      <w:suff w:val="tab"/>
      <w:lvlText w:val="%1."/>
      <w:lvlJc w:val="left"/>
      <w:pPr>
        <w:pStyle w:val="10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30"/>
      <w:isLgl w:val="false"/>
      <w:suff w:val="nothing"/>
      <w:lvlText w:val="%1　"/>
      <w:lvlJc w:val="left"/>
      <w:pPr>
        <w:pStyle w:val="107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3"/>
        <w:ind w:left="-25" w:firstLine="0"/>
      </w:pPr>
      <w:rPr>
        <w:rFonts w:ascii="Times New Roman" w:hAnsi="Times New Roman" w:eastAsia="黑体"/>
        <w:b/>
        <w:i w:val="0"/>
        <w:sz w:val="28"/>
      </w:rPr>
    </w:lvl>
    <w:lvl w:ilvl="3">
      <w:start w:val="1"/>
      <w:numFmt w:val="decimal"/>
      <w:pStyle w:val="1327"/>
      <w:isLgl w:val="false"/>
      <w:suff w:val="nothing"/>
      <w:lvlText w:val="%1.%2.%3.%4　"/>
      <w:lvlJc w:val="left"/>
      <w:pPr>
        <w:pStyle w:val="107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3"/>
        <w:ind w:left="-25" w:firstLine="0"/>
      </w:pPr>
      <w:rPr>
        <w:rFonts w:ascii="Times New Roman" w:hAnsi="Times New Roman" w:eastAsia="宋体"/>
        <w:b/>
        <w:i w:val="0"/>
        <w:sz w:val="28"/>
      </w:rPr>
    </w:lvl>
    <w:lvl w:ilvl="6">
      <w:start w:val="1"/>
      <w:numFmt w:val="lowerLetter"/>
      <w:pStyle w:val="1352"/>
      <w:isLgl w:val="false"/>
      <w:suff w:val="tab"/>
      <w:lvlText w:val="%7) "/>
      <w:lvlJc w:val="left"/>
      <w:pPr>
        <w:pStyle w:val="1073"/>
        <w:ind w:left="-125" w:firstLine="400"/>
        <w:tabs>
          <w:tab w:val="num" w:pos="635" w:leader="none"/>
        </w:tabs>
      </w:pPr>
      <w:rPr>
        <w:rFonts w:ascii="Times New Roman" w:hAnsi="Times New Roman" w:eastAsia="宋体"/>
        <w:b/>
        <w:i w:val="0"/>
        <w:color w:val="000000"/>
        <w:sz w:val="28"/>
        <w:u w:val="none"/>
      </w:rPr>
    </w:lvl>
    <w:lvl w:ilvl="7">
      <w:start w:val="1"/>
      <w:numFmt w:val="decimal"/>
      <w:pStyle w:val="1372"/>
      <w:isLgl w:val="false"/>
      <w:suff w:val="tab"/>
      <w:lvlText w:val="%8) "/>
      <w:lvlJc w:val="left"/>
      <w:pPr>
        <w:pStyle w:val="10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3"/>
        <w:ind w:left="768" w:hanging="360"/>
        <w:tabs>
          <w:tab w:val="num" w:pos="768" w:leader="none"/>
        </w:tabs>
      </w:pPr>
      <w:rPr>
        <w:rFonts w:hint="eastAsia"/>
      </w:rPr>
    </w:lvl>
    <w:lvl w:ilvl="1">
      <w:start w:val="1"/>
      <w:numFmt w:val="decimal"/>
      <w:pStyle w:val="1387"/>
      <w:isLgl w:val="false"/>
      <w:suff w:val="tab"/>
      <w:lvlText w:val="%2、"/>
      <w:lvlJc w:val="left"/>
      <w:pPr>
        <w:pStyle w:val="1073"/>
        <w:ind w:left="1188" w:hanging="360"/>
        <w:tabs>
          <w:tab w:val="num" w:pos="1188" w:leader="none"/>
        </w:tabs>
      </w:pPr>
      <w:rPr>
        <w:rFonts w:hint="eastAsia"/>
      </w:rPr>
    </w:lvl>
    <w:lvl w:ilvl="2">
      <w:start w:val="1"/>
      <w:numFmt w:val="decimal"/>
      <w:isLgl w:val="false"/>
      <w:suff w:val="tab"/>
      <w:lvlText w:val="（%3）"/>
      <w:lvlJc w:val="left"/>
      <w:pPr>
        <w:pStyle w:val="1073"/>
        <w:ind w:left="1968" w:hanging="720"/>
        <w:tabs>
          <w:tab w:val="num" w:pos="1968" w:leader="none"/>
        </w:tabs>
      </w:pPr>
      <w:rPr>
        <w:rFonts w:hint="eastAsia"/>
        <w:u w:val="none"/>
      </w:rPr>
    </w:lvl>
    <w:lvl w:ilvl="3">
      <w:start w:val="1"/>
      <w:numFmt w:val="decimal"/>
      <w:isLgl w:val="false"/>
      <w:suff w:val="tab"/>
      <w:lvlText w:val="%4."/>
      <w:lvlJc w:val="left"/>
      <w:pPr>
        <w:pStyle w:val="1073"/>
        <w:ind w:left="2088" w:hanging="420"/>
        <w:tabs>
          <w:tab w:val="num" w:pos="2088" w:leader="none"/>
        </w:tabs>
      </w:pPr>
    </w:lvl>
    <w:lvl w:ilvl="4">
      <w:start w:val="1"/>
      <w:numFmt w:val="lowerLetter"/>
      <w:isLgl w:val="false"/>
      <w:suff w:val="tab"/>
      <w:lvlText w:val="%5)"/>
      <w:lvlJc w:val="left"/>
      <w:pPr>
        <w:pStyle w:val="1073"/>
        <w:ind w:left="2508" w:hanging="420"/>
        <w:tabs>
          <w:tab w:val="num" w:pos="2508" w:leader="none"/>
        </w:tabs>
      </w:pPr>
    </w:lvl>
    <w:lvl w:ilvl="5">
      <w:start w:val="1"/>
      <w:numFmt w:val="lowerRoman"/>
      <w:isLgl w:val="false"/>
      <w:suff w:val="tab"/>
      <w:lvlText w:val="%6."/>
      <w:lvlJc w:val="right"/>
      <w:pPr>
        <w:pStyle w:val="1073"/>
        <w:ind w:left="2928" w:hanging="420"/>
        <w:tabs>
          <w:tab w:val="num" w:pos="2928" w:leader="none"/>
        </w:tabs>
      </w:pPr>
    </w:lvl>
    <w:lvl w:ilvl="6">
      <w:start w:val="1"/>
      <w:numFmt w:val="decimal"/>
      <w:isLgl w:val="false"/>
      <w:suff w:val="tab"/>
      <w:lvlText w:val="%7."/>
      <w:lvlJc w:val="left"/>
      <w:pPr>
        <w:pStyle w:val="1073"/>
        <w:ind w:left="3348" w:hanging="420"/>
        <w:tabs>
          <w:tab w:val="num" w:pos="3348" w:leader="none"/>
        </w:tabs>
      </w:pPr>
    </w:lvl>
    <w:lvl w:ilvl="7">
      <w:start w:val="1"/>
      <w:numFmt w:val="lowerLetter"/>
      <w:isLgl w:val="false"/>
      <w:suff w:val="tab"/>
      <w:lvlText w:val="%8)"/>
      <w:lvlJc w:val="left"/>
      <w:pPr>
        <w:pStyle w:val="1073"/>
        <w:ind w:left="3768" w:hanging="420"/>
        <w:tabs>
          <w:tab w:val="num" w:pos="3768" w:leader="none"/>
        </w:tabs>
      </w:pPr>
    </w:lvl>
    <w:lvl w:ilvl="8">
      <w:start w:val="1"/>
      <w:numFmt w:val="lowerRoman"/>
      <w:isLgl w:val="false"/>
      <w:suff w:val="tab"/>
      <w:lvlText w:val="%9."/>
      <w:lvlJc w:val="right"/>
      <w:pPr>
        <w:pStyle w:val="1073"/>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abstractNum w:abstractNumId="9">
    <w:multiLevelType w:val="hybridMultilevel"/>
    <w:lvl w:ilvl="0">
      <w:start w:val="1"/>
      <w:numFmt w:val="decimal"/>
      <w:pStyle w:val="1409"/>
      <w:isLgl w:val="false"/>
      <w:suff w:val="tab"/>
      <w:lvlText w:val="%1)"/>
      <w:lvlJc w:val="left"/>
      <w:pPr>
        <w:pStyle w:val="1073"/>
        <w:ind w:left="420" w:hanging="420"/>
      </w:pPr>
    </w:lvl>
    <w:lvl w:ilvl="1">
      <w:start w:val="1"/>
      <w:numFmt w:val="lowerLetter"/>
      <w:isLgl w:val="false"/>
      <w:suff w:val="tab"/>
      <w:lvlText w:val="%2)"/>
      <w:lvlJc w:val="left"/>
      <w:pPr>
        <w:pStyle w:val="1073"/>
        <w:ind w:left="840" w:hanging="420"/>
      </w:pPr>
    </w:lvl>
    <w:lvl w:ilvl="2">
      <w:start w:val="1"/>
      <w:numFmt w:val="lowerRoman"/>
      <w:isLgl w:val="false"/>
      <w:suff w:val="tab"/>
      <w:lvlText w:val="%3."/>
      <w:lvlJc w:val="right"/>
      <w:pPr>
        <w:pStyle w:val="1073"/>
        <w:ind w:left="1260" w:hanging="420"/>
      </w:pPr>
    </w:lvl>
    <w:lvl w:ilvl="3">
      <w:start w:val="1"/>
      <w:numFmt w:val="decimal"/>
      <w:isLgl w:val="false"/>
      <w:suff w:val="tab"/>
      <w:lvlText w:val="%4."/>
      <w:lvlJc w:val="left"/>
      <w:pPr>
        <w:pStyle w:val="1073"/>
        <w:ind w:left="1680" w:hanging="420"/>
      </w:pPr>
    </w:lvl>
    <w:lvl w:ilvl="4">
      <w:start w:val="1"/>
      <w:numFmt w:val="lowerLetter"/>
      <w:isLgl w:val="false"/>
      <w:suff w:val="tab"/>
      <w:lvlText w:val="%5)"/>
      <w:lvlJc w:val="left"/>
      <w:pPr>
        <w:pStyle w:val="1073"/>
        <w:ind w:left="2100" w:hanging="420"/>
      </w:pPr>
    </w:lvl>
    <w:lvl w:ilvl="5">
      <w:start w:val="1"/>
      <w:numFmt w:val="lowerRoman"/>
      <w:isLgl w:val="false"/>
      <w:suff w:val="tab"/>
      <w:lvlText w:val="%6."/>
      <w:lvlJc w:val="right"/>
      <w:pPr>
        <w:pStyle w:val="1073"/>
        <w:ind w:left="2520" w:hanging="420"/>
      </w:pPr>
    </w:lvl>
    <w:lvl w:ilvl="6">
      <w:start w:val="1"/>
      <w:numFmt w:val="decimal"/>
      <w:isLgl w:val="false"/>
      <w:suff w:val="tab"/>
      <w:lvlText w:val="%7."/>
      <w:lvlJc w:val="left"/>
      <w:pPr>
        <w:pStyle w:val="1073"/>
        <w:ind w:left="2940" w:hanging="420"/>
      </w:pPr>
    </w:lvl>
    <w:lvl w:ilvl="7">
      <w:start w:val="1"/>
      <w:numFmt w:val="lowerLetter"/>
      <w:isLgl w:val="false"/>
      <w:suff w:val="tab"/>
      <w:lvlText w:val="%8)"/>
      <w:lvlJc w:val="left"/>
      <w:pPr>
        <w:pStyle w:val="1073"/>
        <w:ind w:left="3360" w:hanging="420"/>
      </w:pPr>
    </w:lvl>
    <w:lvl w:ilvl="8">
      <w:start w:val="1"/>
      <w:numFmt w:val="lowerRoman"/>
      <w:isLgl w:val="false"/>
      <w:suff w:val="tab"/>
      <w:lvlText w:val="%9."/>
      <w:lvlJc w:val="right"/>
      <w:pPr>
        <w:pStyle w:val="1073"/>
        <w:ind w:left="3780" w:hanging="420"/>
      </w:pPr>
    </w:lvl>
  </w:abstractNum>
  <w:abstractNum w:abstractNumId="10">
    <w:multiLevelType w:val="hybridMultilevel"/>
    <w:lvl w:ilvl="0">
      <w:start w:val="1"/>
      <w:numFmt w:val="decimal"/>
      <w:isLgl w:val="false"/>
      <w:suff w:val="space"/>
      <w:lvlText w:val="%1"/>
      <w:lvlJc w:val="left"/>
      <w:pPr>
        <w:pStyle w:val="1073"/>
        <w:ind w:left="0" w:firstLine="0"/>
      </w:pPr>
      <w:rPr>
        <w:rFonts w:hint="eastAsia" w:ascii="宋体" w:hAnsi="宋体" w:eastAsia="宋体"/>
        <w:b/>
      </w:rPr>
    </w:lvl>
    <w:lvl w:ilvl="1">
      <w:start w:val="1"/>
      <w:numFmt w:val="decimal"/>
      <w:isLgl w:val="false"/>
      <w:suff w:val="space"/>
      <w:lvlText w:val="%1.%2"/>
      <w:lvlJc w:val="left"/>
      <w:pPr>
        <w:pStyle w:val="1073"/>
        <w:ind w:left="-84" w:firstLine="510"/>
      </w:pPr>
      <w:rPr>
        <w:rFonts w:hint="eastAsia" w:ascii="宋体" w:hAnsi="宋体" w:eastAsia="宋体"/>
      </w:rPr>
    </w:lvl>
    <w:lvl w:ilvl="2">
      <w:start w:val="1"/>
      <w:numFmt w:val="decimal"/>
      <w:pStyle w:val="1185"/>
      <w:isLgl w:val="false"/>
      <w:suff w:val="tab"/>
      <w:lvlText w:val="%1.%2.%3"/>
      <w:lvlJc w:val="left"/>
      <w:pPr>
        <w:pStyle w:val="1073"/>
        <w:ind w:left="0" w:firstLine="510"/>
      </w:pPr>
      <w:rPr>
        <w:rFonts w:hint="eastAsia"/>
      </w:rPr>
    </w:lvl>
    <w:lvl w:ilvl="3">
      <w:start w:val="1"/>
      <w:numFmt w:val="decimal"/>
      <w:isLgl w:val="false"/>
      <w:suff w:val="tab"/>
      <w:lvlText w:val="%1.%2.%3.%4"/>
      <w:lvlJc w:val="left"/>
      <w:pPr>
        <w:pStyle w:val="1073"/>
        <w:ind w:left="0" w:firstLine="425"/>
      </w:pPr>
      <w:rPr>
        <w:rFonts w:hint="eastAsia" w:ascii="宋体" w:hAnsi="宋体" w:eastAsia="宋体"/>
      </w:rPr>
    </w:lvl>
    <w:lvl w:ilvl="4">
      <w:start w:val="1"/>
      <w:numFmt w:val="decimal"/>
      <w:isLgl w:val="false"/>
      <w:suff w:val="tab"/>
      <w:lvlText w:val="%1.%2.%3.%4.%5"/>
      <w:lvlJc w:val="left"/>
      <w:pPr>
        <w:pStyle w:val="1073"/>
        <w:ind w:left="2551" w:hanging="850"/>
      </w:pPr>
      <w:rPr>
        <w:rFonts w:hint="eastAsia"/>
      </w:rPr>
    </w:lvl>
    <w:lvl w:ilvl="5">
      <w:start w:val="1"/>
      <w:numFmt w:val="decimal"/>
      <w:isLgl w:val="false"/>
      <w:suff w:val="tab"/>
      <w:lvlText w:val="%1.%2.%3.%4.%5.%6"/>
      <w:lvlJc w:val="left"/>
      <w:pPr>
        <w:pStyle w:val="1073"/>
        <w:ind w:left="3260" w:hanging="1134"/>
      </w:pPr>
      <w:rPr>
        <w:rFonts w:hint="eastAsia"/>
      </w:rPr>
    </w:lvl>
    <w:lvl w:ilvl="6">
      <w:start w:val="1"/>
      <w:numFmt w:val="decimal"/>
      <w:isLgl w:val="false"/>
      <w:suff w:val="tab"/>
      <w:lvlText w:val="%1.%2.%3.%4.%5.%6.%7"/>
      <w:lvlJc w:val="left"/>
      <w:pPr>
        <w:pStyle w:val="1073"/>
        <w:ind w:left="3827" w:hanging="1276"/>
      </w:pPr>
      <w:rPr>
        <w:rFonts w:hint="eastAsia"/>
      </w:rPr>
    </w:lvl>
    <w:lvl w:ilvl="7">
      <w:start w:val="1"/>
      <w:numFmt w:val="decimal"/>
      <w:isLgl w:val="false"/>
      <w:suff w:val="tab"/>
      <w:lvlText w:val="%1.%2.%3.%4.%5.%6.%7.%8"/>
      <w:lvlJc w:val="left"/>
      <w:pPr>
        <w:pStyle w:val="1073"/>
        <w:ind w:left="4394" w:hanging="1418"/>
      </w:pPr>
      <w:rPr>
        <w:rFonts w:hint="eastAsia"/>
      </w:rPr>
    </w:lvl>
    <w:lvl w:ilvl="8">
      <w:start w:val="1"/>
      <w:numFmt w:val="decimal"/>
      <w:isLgl w:val="false"/>
      <w:suff w:val="tab"/>
      <w:lvlText w:val="%1.%2.%3.%4.%5.%6.%7.%8.%9"/>
      <w:lvlJc w:val="left"/>
      <w:pPr>
        <w:pStyle w:val="1073"/>
        <w:ind w:left="5102" w:hanging="1700"/>
      </w:pPr>
      <w:rPr>
        <w:rFonts w:hint="eastAsia"/>
      </w:rPr>
    </w:lvl>
  </w:abstractNum>
  <w:abstractNum w:abstractNumId="11">
    <w:multiLevelType w:val="hybridMultilevel"/>
    <w:lvl w:ilvl="0">
      <w:start w:val="1"/>
      <w:numFmt w:val="decimal"/>
      <w:pStyle w:val="1354"/>
      <w:isLgl w:val="false"/>
      <w:suff w:val="tab"/>
      <w:lvlText w:val="%1"/>
      <w:lvlJc w:val="left"/>
      <w:pPr>
        <w:pStyle w:val="1073"/>
        <w:ind w:left="680" w:hanging="680"/>
      </w:pPr>
      <w:rPr>
        <w:rFonts w:hint="eastAsia" w:ascii="宋体" w:hAnsi="宋体" w:eastAsia="宋体"/>
      </w:rPr>
    </w:lvl>
    <w:lvl w:ilvl="1">
      <w:start w:val="1"/>
      <w:numFmt w:val="decimal"/>
      <w:pStyle w:val="1430"/>
      <w:isLgl w:val="false"/>
      <w:suff w:val="tab"/>
      <w:lvlText w:val="%1.%2"/>
      <w:lvlJc w:val="left"/>
      <w:pPr>
        <w:pStyle w:val="1073"/>
        <w:ind w:left="851" w:hanging="851"/>
      </w:pPr>
      <w:rPr>
        <w:rFonts w:hint="eastAsia" w:ascii="宋体" w:hAnsi="宋体" w:eastAsia="宋体"/>
        <w:color w:val="000000"/>
      </w:rPr>
    </w:lvl>
    <w:lvl w:ilvl="2">
      <w:start w:val="1"/>
      <w:numFmt w:val="decimal"/>
      <w:pStyle w:val="1351"/>
      <w:isLgl w:val="false"/>
      <w:suff w:val="tab"/>
      <w:lvlText w:val="%1.%2.%3"/>
      <w:lvlJc w:val="left"/>
      <w:pPr>
        <w:pStyle w:val="1073"/>
        <w:ind w:left="851" w:hanging="851"/>
      </w:pPr>
      <w:rPr>
        <w:rFonts w:hint="eastAsia"/>
      </w:rPr>
    </w:lvl>
    <w:lvl w:ilvl="3">
      <w:start w:val="1"/>
      <w:numFmt w:val="decimal"/>
      <w:isLgl w:val="false"/>
      <w:suff w:val="tab"/>
      <w:lvlText w:val="%1.%2.%3.%4"/>
      <w:lvlJc w:val="left"/>
      <w:pPr>
        <w:pStyle w:val="1073"/>
        <w:ind w:left="680" w:hanging="680"/>
      </w:pPr>
      <w:rPr>
        <w:rFonts w:hint="eastAsia"/>
      </w:rPr>
    </w:lvl>
    <w:lvl w:ilvl="4">
      <w:start w:val="1"/>
      <w:numFmt w:val="decimal"/>
      <w:isLgl w:val="false"/>
      <w:suff w:val="tab"/>
      <w:lvlText w:val="%1.%2.%3.%4.%5"/>
      <w:lvlJc w:val="left"/>
      <w:pPr>
        <w:pStyle w:val="1073"/>
        <w:ind w:left="680" w:hanging="680"/>
      </w:pPr>
      <w:rPr>
        <w:rFonts w:hint="eastAsia"/>
      </w:rPr>
    </w:lvl>
    <w:lvl w:ilvl="5">
      <w:start w:val="1"/>
      <w:numFmt w:val="decimal"/>
      <w:isLgl w:val="false"/>
      <w:suff w:val="tab"/>
      <w:lvlText w:val="%1.%2.%3.%4.%5.%6"/>
      <w:lvlJc w:val="left"/>
      <w:pPr>
        <w:pStyle w:val="1073"/>
        <w:ind w:left="680" w:hanging="680"/>
      </w:pPr>
      <w:rPr>
        <w:rFonts w:hint="eastAsia"/>
      </w:rPr>
    </w:lvl>
    <w:lvl w:ilvl="6">
      <w:start w:val="1"/>
      <w:numFmt w:val="decimal"/>
      <w:isLgl w:val="false"/>
      <w:suff w:val="tab"/>
      <w:lvlText w:val="%1.%2.%3.%4.%5.%6.%7"/>
      <w:lvlJc w:val="left"/>
      <w:pPr>
        <w:pStyle w:val="1073"/>
        <w:ind w:left="680" w:hanging="680"/>
      </w:pPr>
      <w:rPr>
        <w:rFonts w:hint="eastAsia"/>
      </w:rPr>
    </w:lvl>
    <w:lvl w:ilvl="7">
      <w:start w:val="1"/>
      <w:numFmt w:val="decimal"/>
      <w:isLgl w:val="false"/>
      <w:suff w:val="tab"/>
      <w:lvlText w:val="%1.%2.%3.%4.%5.%6.%7.%8"/>
      <w:lvlJc w:val="left"/>
      <w:pPr>
        <w:pStyle w:val="1073"/>
        <w:ind w:left="680" w:hanging="680"/>
      </w:pPr>
      <w:rPr>
        <w:rFonts w:hint="eastAsia"/>
      </w:rPr>
    </w:lvl>
    <w:lvl w:ilvl="8">
      <w:start w:val="1"/>
      <w:numFmt w:val="decimal"/>
      <w:isLgl w:val="false"/>
      <w:suff w:val="tab"/>
      <w:lvlText w:val="%1.%2.%3.%4.%5.%6.%7.%8.%9"/>
      <w:lvlJc w:val="left"/>
      <w:pPr>
        <w:pStyle w:val="1073"/>
        <w:ind w:left="680" w:hanging="680"/>
      </w:pPr>
      <w:rPr>
        <w:rFonts w:hint="eastAsia"/>
      </w:rPr>
    </w:lvl>
  </w:abstractNum>
  <w:abstractNum w:abstractNumId="12">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num w:numId="1">
    <w:abstractNumId w:val="10"/>
  </w:num>
  <w:num w:numId="2">
    <w:abstractNumId w:val="6"/>
  </w:num>
  <w:num w:numId="3">
    <w:abstractNumId w:val="11"/>
  </w:num>
  <w:num w:numId="4">
    <w:abstractNumId w:val="7"/>
  </w:num>
  <w:num w:numId="5">
    <w:abstractNumId w:val="5"/>
  </w:num>
  <w:num w:numId="6">
    <w:abstractNumId w:val="2"/>
  </w:num>
  <w:num w:numId="7">
    <w:abstractNumId w:val="9"/>
  </w:num>
  <w:num w:numId="8">
    <w:abstractNumId w:val="3"/>
  </w:num>
  <w:num w:numId="9">
    <w:abstractNumId w:val="8"/>
  </w:num>
  <w:num w:numId="10">
    <w:abstractNumId w:val="13"/>
  </w:num>
  <w:num w:numId="11">
    <w:abstractNumId w:val="1"/>
  </w:num>
  <w:num w:numId="12">
    <w:abstractNumId w:val="14"/>
  </w:num>
  <w:num w:numId="13">
    <w:abstractNumId w:val="12"/>
  </w:num>
  <w:num w:numId="14">
    <w:abstractNumId w:val="15"/>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Heading 1"/>
    <w:basedOn w:val="1073"/>
    <w:next w:val="1073"/>
    <w:link w:val="896"/>
    <w:uiPriority w:val="9"/>
    <w:qFormat/>
    <w:pPr>
      <w:keepLines/>
      <w:keepNext/>
      <w:spacing w:before="480" w:after="200"/>
      <w:outlineLvl w:val="0"/>
    </w:pPr>
    <w:rPr>
      <w:rFonts w:ascii="Arial" w:hAnsi="Arial" w:eastAsia="Arial" w:cs="Arial"/>
      <w:sz w:val="40"/>
      <w:szCs w:val="40"/>
    </w:rPr>
  </w:style>
  <w:style w:type="character" w:styleId="896">
    <w:name w:val="Heading 1 Char"/>
    <w:link w:val="895"/>
    <w:uiPriority w:val="9"/>
    <w:rPr>
      <w:rFonts w:ascii="Arial" w:hAnsi="Arial" w:eastAsia="Arial" w:cs="Arial"/>
      <w:sz w:val="40"/>
      <w:szCs w:val="40"/>
    </w:rPr>
  </w:style>
  <w:style w:type="paragraph" w:styleId="897">
    <w:name w:val="Heading 2"/>
    <w:basedOn w:val="1073"/>
    <w:next w:val="1073"/>
    <w:link w:val="898"/>
    <w:uiPriority w:val="9"/>
    <w:unhideWhenUsed/>
    <w:qFormat/>
    <w:pPr>
      <w:keepLines/>
      <w:keepNext/>
      <w:spacing w:before="360" w:after="200"/>
      <w:outlineLvl w:val="1"/>
    </w:pPr>
    <w:rPr>
      <w:rFonts w:ascii="Arial" w:hAnsi="Arial" w:eastAsia="Arial" w:cs="Arial"/>
      <w:sz w:val="34"/>
    </w:rPr>
  </w:style>
  <w:style w:type="character" w:styleId="898">
    <w:name w:val="Heading 2 Char"/>
    <w:link w:val="897"/>
    <w:uiPriority w:val="9"/>
    <w:rPr>
      <w:rFonts w:ascii="Arial" w:hAnsi="Arial" w:eastAsia="Arial" w:cs="Arial"/>
      <w:sz w:val="34"/>
    </w:rPr>
  </w:style>
  <w:style w:type="paragraph" w:styleId="899">
    <w:name w:val="Heading 3"/>
    <w:basedOn w:val="1073"/>
    <w:next w:val="1073"/>
    <w:link w:val="900"/>
    <w:uiPriority w:val="9"/>
    <w:unhideWhenUsed/>
    <w:qFormat/>
    <w:pPr>
      <w:keepLines/>
      <w:keepNext/>
      <w:spacing w:before="320" w:after="200"/>
      <w:outlineLvl w:val="2"/>
    </w:pPr>
    <w:rPr>
      <w:rFonts w:ascii="Arial" w:hAnsi="Arial" w:eastAsia="Arial" w:cs="Arial"/>
      <w:sz w:val="30"/>
      <w:szCs w:val="30"/>
    </w:rPr>
  </w:style>
  <w:style w:type="character" w:styleId="900">
    <w:name w:val="Heading 3 Char"/>
    <w:link w:val="899"/>
    <w:uiPriority w:val="9"/>
    <w:rPr>
      <w:rFonts w:ascii="Arial" w:hAnsi="Arial" w:eastAsia="Arial" w:cs="Arial"/>
      <w:sz w:val="30"/>
      <w:szCs w:val="30"/>
    </w:rPr>
  </w:style>
  <w:style w:type="paragraph" w:styleId="901">
    <w:name w:val="Heading 4"/>
    <w:basedOn w:val="1073"/>
    <w:next w:val="1073"/>
    <w:link w:val="902"/>
    <w:uiPriority w:val="9"/>
    <w:unhideWhenUsed/>
    <w:qFormat/>
    <w:pPr>
      <w:keepLines/>
      <w:keepNext/>
      <w:spacing w:before="320" w:after="200"/>
      <w:outlineLvl w:val="3"/>
    </w:pPr>
    <w:rPr>
      <w:rFonts w:ascii="Arial" w:hAnsi="Arial" w:eastAsia="Arial" w:cs="Arial"/>
      <w:b/>
      <w:bCs/>
      <w:sz w:val="26"/>
      <w:szCs w:val="26"/>
    </w:rPr>
  </w:style>
  <w:style w:type="character" w:styleId="902">
    <w:name w:val="Heading 4 Char"/>
    <w:link w:val="901"/>
    <w:uiPriority w:val="9"/>
    <w:rPr>
      <w:rFonts w:ascii="Arial" w:hAnsi="Arial" w:eastAsia="Arial" w:cs="Arial"/>
      <w:b/>
      <w:bCs/>
      <w:sz w:val="26"/>
      <w:szCs w:val="26"/>
    </w:rPr>
  </w:style>
  <w:style w:type="paragraph" w:styleId="903">
    <w:name w:val="Heading 5"/>
    <w:basedOn w:val="1073"/>
    <w:next w:val="1073"/>
    <w:link w:val="904"/>
    <w:uiPriority w:val="9"/>
    <w:unhideWhenUsed/>
    <w:qFormat/>
    <w:pPr>
      <w:keepLines/>
      <w:keepNext/>
      <w:spacing w:before="320" w:after="200"/>
      <w:outlineLvl w:val="4"/>
    </w:pPr>
    <w:rPr>
      <w:rFonts w:ascii="Arial" w:hAnsi="Arial" w:eastAsia="Arial" w:cs="Arial"/>
      <w:b/>
      <w:bCs/>
      <w:sz w:val="24"/>
      <w:szCs w:val="24"/>
    </w:rPr>
  </w:style>
  <w:style w:type="character" w:styleId="904">
    <w:name w:val="Heading 5 Char"/>
    <w:link w:val="903"/>
    <w:uiPriority w:val="9"/>
    <w:rPr>
      <w:rFonts w:ascii="Arial" w:hAnsi="Arial" w:eastAsia="Arial" w:cs="Arial"/>
      <w:b/>
      <w:bCs/>
      <w:sz w:val="24"/>
      <w:szCs w:val="24"/>
    </w:rPr>
  </w:style>
  <w:style w:type="paragraph" w:styleId="905">
    <w:name w:val="Heading 6"/>
    <w:basedOn w:val="1073"/>
    <w:next w:val="1073"/>
    <w:link w:val="906"/>
    <w:uiPriority w:val="9"/>
    <w:unhideWhenUsed/>
    <w:qFormat/>
    <w:pPr>
      <w:keepLines/>
      <w:keepNext/>
      <w:spacing w:before="320" w:after="200"/>
      <w:outlineLvl w:val="5"/>
    </w:pPr>
    <w:rPr>
      <w:rFonts w:ascii="Arial" w:hAnsi="Arial" w:eastAsia="Arial" w:cs="Arial"/>
      <w:b/>
      <w:bCs/>
      <w:sz w:val="22"/>
      <w:szCs w:val="22"/>
    </w:rPr>
  </w:style>
  <w:style w:type="character" w:styleId="906">
    <w:name w:val="Heading 6 Char"/>
    <w:link w:val="905"/>
    <w:uiPriority w:val="9"/>
    <w:rPr>
      <w:rFonts w:ascii="Arial" w:hAnsi="Arial" w:eastAsia="Arial" w:cs="Arial"/>
      <w:b/>
      <w:bCs/>
      <w:sz w:val="22"/>
      <w:szCs w:val="22"/>
    </w:rPr>
  </w:style>
  <w:style w:type="paragraph" w:styleId="907">
    <w:name w:val="Heading 7"/>
    <w:basedOn w:val="1073"/>
    <w:next w:val="1073"/>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08">
    <w:name w:val="Heading 7 Char"/>
    <w:link w:val="907"/>
    <w:uiPriority w:val="9"/>
    <w:rPr>
      <w:rFonts w:ascii="Arial" w:hAnsi="Arial" w:eastAsia="Arial" w:cs="Arial"/>
      <w:b/>
      <w:bCs/>
      <w:i/>
      <w:iCs/>
      <w:sz w:val="22"/>
      <w:szCs w:val="22"/>
    </w:rPr>
  </w:style>
  <w:style w:type="paragraph" w:styleId="909">
    <w:name w:val="Heading 8"/>
    <w:basedOn w:val="1073"/>
    <w:next w:val="1073"/>
    <w:link w:val="910"/>
    <w:uiPriority w:val="9"/>
    <w:unhideWhenUsed/>
    <w:qFormat/>
    <w:pPr>
      <w:keepLines/>
      <w:keepNext/>
      <w:spacing w:before="320" w:after="200"/>
      <w:outlineLvl w:val="7"/>
    </w:pPr>
    <w:rPr>
      <w:rFonts w:ascii="Arial" w:hAnsi="Arial" w:eastAsia="Arial" w:cs="Arial"/>
      <w:i/>
      <w:iCs/>
      <w:sz w:val="22"/>
      <w:szCs w:val="22"/>
    </w:rPr>
  </w:style>
  <w:style w:type="character" w:styleId="910">
    <w:name w:val="Heading 8 Char"/>
    <w:link w:val="909"/>
    <w:uiPriority w:val="9"/>
    <w:rPr>
      <w:rFonts w:ascii="Arial" w:hAnsi="Arial" w:eastAsia="Arial" w:cs="Arial"/>
      <w:i/>
      <w:iCs/>
      <w:sz w:val="22"/>
      <w:szCs w:val="22"/>
    </w:rPr>
  </w:style>
  <w:style w:type="paragraph" w:styleId="911">
    <w:name w:val="Heading 9"/>
    <w:basedOn w:val="1073"/>
    <w:next w:val="1073"/>
    <w:link w:val="912"/>
    <w:uiPriority w:val="9"/>
    <w:unhideWhenUsed/>
    <w:qFormat/>
    <w:pPr>
      <w:keepLines/>
      <w:keepNext/>
      <w:spacing w:before="320" w:after="200"/>
      <w:outlineLvl w:val="8"/>
    </w:pPr>
    <w:rPr>
      <w:rFonts w:ascii="Arial" w:hAnsi="Arial" w:eastAsia="Arial" w:cs="Arial"/>
      <w:i/>
      <w:iCs/>
      <w:sz w:val="21"/>
      <w:szCs w:val="21"/>
    </w:rPr>
  </w:style>
  <w:style w:type="character" w:styleId="912">
    <w:name w:val="Heading 9 Char"/>
    <w:link w:val="911"/>
    <w:uiPriority w:val="9"/>
    <w:rPr>
      <w:rFonts w:ascii="Arial" w:hAnsi="Arial" w:eastAsia="Arial" w:cs="Arial"/>
      <w:i/>
      <w:iCs/>
      <w:sz w:val="21"/>
      <w:szCs w:val="21"/>
    </w:rPr>
  </w:style>
  <w:style w:type="paragraph" w:styleId="913">
    <w:name w:val="List Paragraph"/>
    <w:basedOn w:val="1073"/>
    <w:uiPriority w:val="34"/>
    <w:qFormat/>
    <w:pPr>
      <w:contextualSpacing/>
      <w:ind w:left="720"/>
    </w:pPr>
  </w:style>
  <w:style w:type="paragraph" w:styleId="914">
    <w:name w:val="No Spacing"/>
    <w:uiPriority w:val="1"/>
    <w:qFormat/>
    <w:pPr>
      <w:spacing w:before="0" w:after="0" w:line="240" w:lineRule="auto"/>
    </w:pPr>
  </w:style>
  <w:style w:type="paragraph" w:styleId="915">
    <w:name w:val="Title"/>
    <w:basedOn w:val="1073"/>
    <w:next w:val="1073"/>
    <w:link w:val="916"/>
    <w:uiPriority w:val="10"/>
    <w:qFormat/>
    <w:pPr>
      <w:contextualSpacing/>
      <w:spacing w:before="300" w:after="200"/>
    </w:pPr>
    <w:rPr>
      <w:sz w:val="48"/>
      <w:szCs w:val="48"/>
    </w:rPr>
  </w:style>
  <w:style w:type="character" w:styleId="916">
    <w:name w:val="Title Char"/>
    <w:link w:val="915"/>
    <w:uiPriority w:val="10"/>
    <w:rPr>
      <w:sz w:val="48"/>
      <w:szCs w:val="48"/>
    </w:rPr>
  </w:style>
  <w:style w:type="paragraph" w:styleId="917">
    <w:name w:val="Subtitle"/>
    <w:basedOn w:val="1073"/>
    <w:next w:val="1073"/>
    <w:link w:val="918"/>
    <w:uiPriority w:val="11"/>
    <w:qFormat/>
    <w:pPr>
      <w:spacing w:before="200" w:after="200"/>
    </w:pPr>
    <w:rPr>
      <w:sz w:val="24"/>
      <w:szCs w:val="24"/>
    </w:rPr>
  </w:style>
  <w:style w:type="character" w:styleId="918">
    <w:name w:val="Subtitle Char"/>
    <w:link w:val="917"/>
    <w:uiPriority w:val="11"/>
    <w:rPr>
      <w:sz w:val="24"/>
      <w:szCs w:val="24"/>
    </w:rPr>
  </w:style>
  <w:style w:type="paragraph" w:styleId="919">
    <w:name w:val="Quote"/>
    <w:basedOn w:val="1073"/>
    <w:next w:val="1073"/>
    <w:link w:val="920"/>
    <w:uiPriority w:val="29"/>
    <w:qFormat/>
    <w:pPr>
      <w:ind w:left="720" w:right="720"/>
    </w:pPr>
    <w:rPr>
      <w:i/>
    </w:rPr>
  </w:style>
  <w:style w:type="character" w:styleId="920">
    <w:name w:val="Quote Char"/>
    <w:link w:val="919"/>
    <w:uiPriority w:val="29"/>
    <w:rPr>
      <w:i/>
    </w:rPr>
  </w:style>
  <w:style w:type="paragraph" w:styleId="921">
    <w:name w:val="Intense Quote"/>
    <w:basedOn w:val="1073"/>
    <w:next w:val="1073"/>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name w:val="Intense Quote Char"/>
    <w:link w:val="921"/>
    <w:uiPriority w:val="30"/>
    <w:rPr>
      <w:i/>
    </w:rPr>
  </w:style>
  <w:style w:type="paragraph" w:styleId="923">
    <w:name w:val="Header"/>
    <w:basedOn w:val="1073"/>
    <w:link w:val="924"/>
    <w:uiPriority w:val="99"/>
    <w:unhideWhenUsed/>
    <w:pPr>
      <w:spacing w:after="0" w:line="240" w:lineRule="auto"/>
      <w:tabs>
        <w:tab w:val="center" w:pos="7143" w:leader="none"/>
        <w:tab w:val="right" w:pos="14287" w:leader="none"/>
      </w:tabs>
    </w:pPr>
  </w:style>
  <w:style w:type="character" w:styleId="924">
    <w:name w:val="Header Char"/>
    <w:link w:val="923"/>
    <w:uiPriority w:val="99"/>
  </w:style>
  <w:style w:type="paragraph" w:styleId="925">
    <w:name w:val="Footer"/>
    <w:basedOn w:val="1073"/>
    <w:link w:val="928"/>
    <w:uiPriority w:val="99"/>
    <w:unhideWhenUsed/>
    <w:pPr>
      <w:spacing w:after="0" w:line="240" w:lineRule="auto"/>
      <w:tabs>
        <w:tab w:val="center" w:pos="7143" w:leader="none"/>
        <w:tab w:val="right" w:pos="14287" w:leader="none"/>
      </w:tabs>
    </w:pPr>
  </w:style>
  <w:style w:type="character" w:styleId="926">
    <w:name w:val="Footer Char"/>
    <w:link w:val="925"/>
    <w:uiPriority w:val="99"/>
  </w:style>
  <w:style w:type="paragraph" w:styleId="927">
    <w:name w:val="Caption"/>
    <w:basedOn w:val="1073"/>
    <w:next w:val="1073"/>
    <w:uiPriority w:val="35"/>
    <w:semiHidden/>
    <w:unhideWhenUsed/>
    <w:qFormat/>
    <w:pPr>
      <w:spacing w:line="276" w:lineRule="auto"/>
    </w:pPr>
    <w:rPr>
      <w:b/>
      <w:bCs/>
      <w:color w:val="4f81bd" w:themeColor="accent1"/>
      <w:sz w:val="18"/>
      <w:szCs w:val="18"/>
    </w:rPr>
  </w:style>
  <w:style w:type="character" w:styleId="928">
    <w:name w:val="Caption Char"/>
    <w:basedOn w:val="927"/>
    <w:link w:val="925"/>
    <w:uiPriority w:val="99"/>
  </w:style>
  <w:style w:type="table" w:styleId="9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5">
    <w:name w:val="Hyperlink"/>
    <w:uiPriority w:val="99"/>
    <w:unhideWhenUsed/>
    <w:rPr>
      <w:color w:val="0000ff" w:themeColor="hyperlink"/>
      <w:u w:val="single"/>
    </w:rPr>
  </w:style>
  <w:style w:type="paragraph" w:styleId="1056">
    <w:name w:val="footnote text"/>
    <w:basedOn w:val="1073"/>
    <w:link w:val="1057"/>
    <w:uiPriority w:val="99"/>
    <w:semiHidden/>
    <w:unhideWhenUsed/>
    <w:pPr>
      <w:spacing w:after="40" w:line="240" w:lineRule="auto"/>
    </w:pPr>
    <w:rPr>
      <w:sz w:val="18"/>
    </w:rPr>
  </w:style>
  <w:style w:type="character" w:styleId="1057">
    <w:name w:val="Footnote Text Char"/>
    <w:link w:val="1056"/>
    <w:uiPriority w:val="99"/>
    <w:rPr>
      <w:sz w:val="18"/>
    </w:rPr>
  </w:style>
  <w:style w:type="character" w:styleId="1058">
    <w:name w:val="footnote reference"/>
    <w:uiPriority w:val="99"/>
    <w:unhideWhenUsed/>
    <w:rPr>
      <w:vertAlign w:val="superscript"/>
    </w:rPr>
  </w:style>
  <w:style w:type="paragraph" w:styleId="1059">
    <w:name w:val="endnote text"/>
    <w:basedOn w:val="1073"/>
    <w:link w:val="1060"/>
    <w:uiPriority w:val="99"/>
    <w:semiHidden/>
    <w:unhideWhenUsed/>
    <w:pPr>
      <w:spacing w:after="0" w:line="240" w:lineRule="auto"/>
    </w:pPr>
    <w:rPr>
      <w:sz w:val="20"/>
    </w:rPr>
  </w:style>
  <w:style w:type="character" w:styleId="1060">
    <w:name w:val="Endnote Text Char"/>
    <w:link w:val="1059"/>
    <w:uiPriority w:val="99"/>
    <w:rPr>
      <w:sz w:val="20"/>
    </w:rPr>
  </w:style>
  <w:style w:type="character" w:styleId="1061">
    <w:name w:val="endnote reference"/>
    <w:uiPriority w:val="99"/>
    <w:semiHidden/>
    <w:unhideWhenUsed/>
    <w:rPr>
      <w:vertAlign w:val="superscript"/>
    </w:rPr>
  </w:style>
  <w:style w:type="paragraph" w:styleId="1062">
    <w:name w:val="toc 1"/>
    <w:basedOn w:val="1073"/>
    <w:next w:val="1073"/>
    <w:uiPriority w:val="39"/>
    <w:unhideWhenUsed/>
    <w:pPr>
      <w:ind w:left="0" w:right="0" w:firstLine="0"/>
      <w:spacing w:after="57"/>
    </w:pPr>
  </w:style>
  <w:style w:type="paragraph" w:styleId="1063">
    <w:name w:val="toc 2"/>
    <w:basedOn w:val="1073"/>
    <w:next w:val="1073"/>
    <w:uiPriority w:val="39"/>
    <w:unhideWhenUsed/>
    <w:pPr>
      <w:ind w:left="283" w:right="0" w:firstLine="0"/>
      <w:spacing w:after="57"/>
    </w:pPr>
  </w:style>
  <w:style w:type="paragraph" w:styleId="1064">
    <w:name w:val="toc 3"/>
    <w:basedOn w:val="1073"/>
    <w:next w:val="1073"/>
    <w:uiPriority w:val="39"/>
    <w:unhideWhenUsed/>
    <w:pPr>
      <w:ind w:left="567" w:right="0" w:firstLine="0"/>
      <w:spacing w:after="57"/>
    </w:p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next w:val="1085"/>
    <w:link w:val="1073"/>
    <w:qFormat/>
    <w:pPr>
      <w:jc w:val="both"/>
      <w:widowControl w:val="off"/>
    </w:pPr>
    <w:rPr>
      <w:rFonts w:ascii="Calibri" w:hAnsi="Calibri" w:eastAsia="微软雅黑"/>
      <w:sz w:val="21"/>
      <w:szCs w:val="24"/>
      <w:lang w:val="en-US" w:eastAsia="zh-CN" w:bidi="ar-SA"/>
    </w:rPr>
  </w:style>
  <w:style w:type="paragraph" w:styleId="1074">
    <w:name w:val="标题 1"/>
    <w:basedOn w:val="1073"/>
    <w:next w:val="1073"/>
    <w:link w:val="1087"/>
    <w:qFormat/>
    <w:pPr>
      <w:jc w:val="center"/>
      <w:keepLines/>
      <w:keepNext/>
      <w:spacing w:before="240" w:after="120" w:line="300" w:lineRule="auto"/>
      <w:outlineLvl w:val="0"/>
    </w:pPr>
    <w:rPr>
      <w:rFonts w:ascii="宋体"/>
      <w:b/>
      <w:sz w:val="32"/>
      <w:szCs w:val="20"/>
    </w:rPr>
  </w:style>
  <w:style w:type="paragraph" w:styleId="1075">
    <w:name w:val="标题 2"/>
    <w:basedOn w:val="1073"/>
    <w:next w:val="1073"/>
    <w:link w:val="1088"/>
    <w:qFormat/>
    <w:pPr>
      <w:jc w:val="center"/>
      <w:keepLines/>
      <w:keepNext/>
      <w:spacing w:before="120" w:line="300" w:lineRule="auto"/>
      <w:outlineLvl w:val="1"/>
    </w:pPr>
    <w:rPr>
      <w:rFonts w:ascii="Arial" w:hAnsi="Arial" w:eastAsia="黑体"/>
      <w:b/>
      <w:sz w:val="30"/>
      <w:szCs w:val="20"/>
    </w:rPr>
  </w:style>
  <w:style w:type="paragraph" w:styleId="1076">
    <w:name w:val="标题 3"/>
    <w:basedOn w:val="1073"/>
    <w:next w:val="1073"/>
    <w:link w:val="1089"/>
    <w:qFormat/>
    <w:pPr>
      <w:jc w:val="left"/>
      <w:keepLines/>
      <w:keepNext/>
      <w:spacing w:before="360" w:after="120"/>
      <w:outlineLvl w:val="2"/>
    </w:pPr>
    <w:rPr>
      <w:rFonts w:ascii="宋体"/>
      <w:b/>
      <w:sz w:val="24"/>
      <w:szCs w:val="20"/>
      <w:u w:val="single"/>
    </w:rPr>
  </w:style>
  <w:style w:type="paragraph" w:styleId="1077">
    <w:name w:val="标题 4"/>
    <w:basedOn w:val="1073"/>
    <w:next w:val="1073"/>
    <w:link w:val="1090"/>
    <w:qFormat/>
    <w:pPr>
      <w:keepLines/>
      <w:keepNext/>
      <w:spacing w:before="280" w:after="290" w:line="376" w:lineRule="atLeast"/>
      <w:outlineLvl w:val="3"/>
    </w:pPr>
    <w:rPr>
      <w:rFonts w:ascii="Arial" w:hAnsi="Arial" w:eastAsia="黑体"/>
      <w:b/>
      <w:sz w:val="28"/>
      <w:szCs w:val="20"/>
    </w:rPr>
  </w:style>
  <w:style w:type="paragraph" w:styleId="1078">
    <w:name w:val="标题 5"/>
    <w:basedOn w:val="1073"/>
    <w:next w:val="1073"/>
    <w:link w:val="1091"/>
    <w:qFormat/>
    <w:pPr>
      <w:keepLines/>
      <w:keepNext/>
      <w:spacing w:before="280" w:after="290" w:line="376" w:lineRule="atLeast"/>
      <w:outlineLvl w:val="4"/>
    </w:pPr>
    <w:rPr>
      <w:b/>
      <w:sz w:val="28"/>
      <w:szCs w:val="20"/>
    </w:rPr>
  </w:style>
  <w:style w:type="paragraph" w:styleId="1079">
    <w:name w:val="标题 6"/>
    <w:basedOn w:val="1073"/>
    <w:next w:val="1073"/>
    <w:link w:val="1092"/>
    <w:qFormat/>
    <w:pPr>
      <w:keepLines/>
      <w:keepNext/>
      <w:spacing w:before="240" w:after="64" w:line="320" w:lineRule="atLeast"/>
      <w:outlineLvl w:val="5"/>
    </w:pPr>
    <w:rPr>
      <w:rFonts w:ascii="Arial" w:hAnsi="Arial" w:eastAsia="黑体"/>
      <w:b/>
      <w:sz w:val="24"/>
      <w:szCs w:val="20"/>
    </w:rPr>
  </w:style>
  <w:style w:type="paragraph" w:styleId="1080">
    <w:name w:val="标题 7"/>
    <w:basedOn w:val="1073"/>
    <w:next w:val="1073"/>
    <w:link w:val="1093"/>
    <w:qFormat/>
    <w:pPr>
      <w:keepLines/>
      <w:keepNext/>
      <w:spacing w:before="240" w:after="64" w:line="320" w:lineRule="atLeast"/>
      <w:outlineLvl w:val="6"/>
    </w:pPr>
    <w:rPr>
      <w:b/>
      <w:sz w:val="24"/>
      <w:szCs w:val="20"/>
    </w:rPr>
  </w:style>
  <w:style w:type="paragraph" w:styleId="1081">
    <w:name w:val="标题 8"/>
    <w:basedOn w:val="1073"/>
    <w:next w:val="1073"/>
    <w:link w:val="1094"/>
    <w:qFormat/>
    <w:pPr>
      <w:keepLines/>
      <w:keepNext/>
      <w:spacing w:before="240" w:after="64" w:line="320" w:lineRule="atLeast"/>
      <w:outlineLvl w:val="7"/>
    </w:pPr>
    <w:rPr>
      <w:rFonts w:ascii="Arial" w:hAnsi="Arial" w:eastAsia="黑体"/>
      <w:sz w:val="24"/>
      <w:szCs w:val="20"/>
    </w:rPr>
  </w:style>
  <w:style w:type="paragraph" w:styleId="1082">
    <w:name w:val="标题 9"/>
    <w:basedOn w:val="1073"/>
    <w:next w:val="1073"/>
    <w:link w:val="1095"/>
    <w:qFormat/>
    <w:pPr>
      <w:keepLines/>
      <w:keepNext/>
      <w:spacing w:before="240" w:after="64" w:line="320" w:lineRule="atLeast"/>
      <w:outlineLvl w:val="8"/>
    </w:pPr>
    <w:rPr>
      <w:rFonts w:ascii="Arial" w:hAnsi="Arial" w:eastAsia="黑体"/>
      <w:szCs w:val="20"/>
    </w:rPr>
  </w:style>
  <w:style w:type="character" w:styleId="1083">
    <w:name w:val="默认段落字体"/>
    <w:next w:val="1083"/>
    <w:link w:val="1073"/>
    <w:uiPriority w:val="1"/>
    <w:unhideWhenUsed/>
    <w:qFormat/>
  </w:style>
  <w:style w:type="table" w:styleId="1084">
    <w:name w:val="普通表格"/>
    <w:next w:val="1084"/>
    <w:link w:val="1073"/>
    <w:uiPriority w:val="99"/>
    <w:unhideWhenUsed/>
    <w:qFormat/>
    <w:tblPr/>
  </w:style>
  <w:style w:type="paragraph" w:styleId="1085">
    <w:name w:val="正文文本"/>
    <w:basedOn w:val="1073"/>
    <w:next w:val="1073"/>
    <w:link w:val="1086"/>
    <w:qFormat/>
    <w:pPr>
      <w:spacing w:before="120" w:line="22" w:lineRule="atLeast"/>
      <w:tabs>
        <w:tab w:val="left" w:pos="567" w:leader="none"/>
      </w:tabs>
    </w:pPr>
    <w:rPr>
      <w:rFonts w:ascii="宋体" w:hAnsi="宋体" w:eastAsia="宋体" w:cs="Times New Roman"/>
      <w:sz w:val="24"/>
    </w:rPr>
  </w:style>
  <w:style w:type="character" w:styleId="1086">
    <w:name w:val="正文文本 Char1"/>
    <w:next w:val="1086"/>
    <w:link w:val="1085"/>
    <w:uiPriority w:val="99"/>
    <w:semiHidden/>
    <w:qFormat/>
    <w:rPr>
      <w:rFonts w:ascii="Calibri" w:hAnsi="Calibri" w:eastAsia="微软雅黑" w:cs="Times New Roman"/>
      <w:szCs w:val="24"/>
    </w:rPr>
  </w:style>
  <w:style w:type="character" w:styleId="1087">
    <w:name w:val="标题 1 Char"/>
    <w:next w:val="1087"/>
    <w:link w:val="1074"/>
    <w:qFormat/>
    <w:rPr>
      <w:rFonts w:ascii="宋体" w:hAnsi="Calibri" w:eastAsia="微软雅黑" w:cs="Times New Roman"/>
      <w:b/>
      <w:sz w:val="32"/>
      <w:szCs w:val="20"/>
    </w:rPr>
  </w:style>
  <w:style w:type="character" w:styleId="1088">
    <w:name w:val="标题 2 Char"/>
    <w:next w:val="1088"/>
    <w:link w:val="1075"/>
    <w:qFormat/>
    <w:rPr>
      <w:rFonts w:ascii="Cambria" w:hAnsi="Cambria" w:eastAsia="宋体" w:cs="Times New Roman"/>
      <w:b/>
      <w:bCs/>
      <w:sz w:val="32"/>
      <w:szCs w:val="32"/>
    </w:rPr>
  </w:style>
  <w:style w:type="character" w:styleId="1089">
    <w:name w:val="标题 3 Char"/>
    <w:next w:val="1089"/>
    <w:link w:val="1076"/>
    <w:qFormat/>
    <w:rPr>
      <w:rFonts w:ascii="Calibri" w:hAnsi="Calibri" w:eastAsia="微软雅黑" w:cs="Times New Roman"/>
      <w:b/>
      <w:bCs/>
      <w:sz w:val="32"/>
      <w:szCs w:val="32"/>
    </w:rPr>
  </w:style>
  <w:style w:type="character" w:styleId="1090">
    <w:name w:val="标题 4 Char"/>
    <w:next w:val="1090"/>
    <w:link w:val="1077"/>
    <w:qFormat/>
    <w:rPr>
      <w:rFonts w:ascii="Arial" w:hAnsi="Arial" w:eastAsia="黑体" w:cs="Times New Roman"/>
      <w:b/>
      <w:sz w:val="28"/>
      <w:szCs w:val="20"/>
    </w:rPr>
  </w:style>
  <w:style w:type="character" w:styleId="1091">
    <w:name w:val="标题 5 Char"/>
    <w:next w:val="1091"/>
    <w:link w:val="1078"/>
    <w:qFormat/>
    <w:rPr>
      <w:rFonts w:ascii="Calibri" w:hAnsi="Calibri" w:eastAsia="微软雅黑" w:cs="Times New Roman"/>
      <w:b/>
      <w:sz w:val="28"/>
      <w:szCs w:val="20"/>
    </w:rPr>
  </w:style>
  <w:style w:type="character" w:styleId="1092">
    <w:name w:val="标题 6 Char"/>
    <w:next w:val="1092"/>
    <w:link w:val="1079"/>
    <w:qFormat/>
    <w:rPr>
      <w:rFonts w:ascii="Arial" w:hAnsi="Arial" w:eastAsia="黑体" w:cs="Times New Roman"/>
      <w:b/>
      <w:sz w:val="24"/>
      <w:szCs w:val="20"/>
    </w:rPr>
  </w:style>
  <w:style w:type="character" w:styleId="1093">
    <w:name w:val="标题 7 Char"/>
    <w:next w:val="1093"/>
    <w:link w:val="1080"/>
    <w:qFormat/>
    <w:rPr>
      <w:rFonts w:ascii="Calibri" w:hAnsi="Calibri" w:eastAsia="微软雅黑" w:cs="Times New Roman"/>
      <w:b/>
      <w:sz w:val="24"/>
      <w:szCs w:val="20"/>
    </w:rPr>
  </w:style>
  <w:style w:type="character" w:styleId="1094">
    <w:name w:val="标题 8 Char"/>
    <w:next w:val="1094"/>
    <w:link w:val="1081"/>
    <w:qFormat/>
    <w:rPr>
      <w:rFonts w:ascii="Arial" w:hAnsi="Arial" w:eastAsia="黑体" w:cs="Times New Roman"/>
      <w:sz w:val="24"/>
      <w:szCs w:val="20"/>
    </w:rPr>
  </w:style>
  <w:style w:type="character" w:styleId="1095">
    <w:name w:val="标题 9 Char"/>
    <w:next w:val="1095"/>
    <w:link w:val="1082"/>
    <w:qFormat/>
    <w:rPr>
      <w:rFonts w:ascii="Arial" w:hAnsi="Arial" w:eastAsia="黑体" w:cs="Times New Roman"/>
      <w:szCs w:val="20"/>
    </w:rPr>
  </w:style>
  <w:style w:type="paragraph" w:styleId="1096">
    <w:name w:val="目录 7"/>
    <w:basedOn w:val="1073"/>
    <w:next w:val="1073"/>
    <w:link w:val="1073"/>
    <w:uiPriority w:val="39"/>
    <w:qFormat/>
    <w:pPr>
      <w:ind w:left="2520"/>
    </w:pPr>
  </w:style>
  <w:style w:type="paragraph" w:styleId="1097">
    <w:name w:val="注释标题"/>
    <w:basedOn w:val="1073"/>
    <w:next w:val="1073"/>
    <w:link w:val="1098"/>
    <w:qFormat/>
    <w:pPr>
      <w:jc w:val="center"/>
      <w:spacing w:line="360" w:lineRule="auto"/>
    </w:pPr>
    <w:rPr>
      <w:sz w:val="24"/>
    </w:rPr>
  </w:style>
  <w:style w:type="character" w:styleId="1098">
    <w:name w:val="注释标题 Char"/>
    <w:next w:val="1098"/>
    <w:link w:val="1097"/>
    <w:qFormat/>
    <w:rPr>
      <w:rFonts w:ascii="Calibri" w:hAnsi="Calibri" w:eastAsia="微软雅黑"/>
      <w:sz w:val="24"/>
      <w:szCs w:val="24"/>
    </w:rPr>
  </w:style>
  <w:style w:type="paragraph" w:styleId="1099">
    <w:name w:val="正文缩进"/>
    <w:basedOn w:val="1073"/>
    <w:next w:val="1099"/>
    <w:link w:val="1100"/>
    <w:qFormat/>
    <w:pPr>
      <w:ind w:firstLine="420"/>
      <w:jc w:val="left"/>
    </w:pPr>
    <w:rPr>
      <w:rFonts w:ascii="宋体" w:hAnsi="Times New Roman" w:eastAsia="宋体"/>
      <w:sz w:val="24"/>
    </w:rPr>
  </w:style>
  <w:style w:type="character" w:styleId="1100">
    <w:name w:val="正文缩进 Char1"/>
    <w:next w:val="1100"/>
    <w:link w:val="1099"/>
    <w:qFormat/>
    <w:rPr>
      <w:rFonts w:ascii="宋体" w:eastAsia="宋体"/>
      <w:sz w:val="24"/>
      <w:szCs w:val="24"/>
    </w:rPr>
  </w:style>
  <w:style w:type="paragraph" w:styleId="1101">
    <w:name w:val="题注"/>
    <w:basedOn w:val="1073"/>
    <w:next w:val="1073"/>
    <w:link w:val="1102"/>
    <w:qFormat/>
    <w:pPr>
      <w:spacing w:line="480" w:lineRule="auto"/>
    </w:pPr>
    <w:rPr>
      <w:rFonts w:ascii="华文中宋" w:hAnsi="华文中宋" w:eastAsia="华文中宋"/>
      <w:sz w:val="36"/>
      <w:szCs w:val="20"/>
    </w:rPr>
  </w:style>
  <w:style w:type="character" w:styleId="1102">
    <w:name w:val="题注 Char"/>
    <w:next w:val="1102"/>
    <w:link w:val="1101"/>
    <w:qFormat/>
    <w:rPr>
      <w:rFonts w:ascii="华文中宋" w:hAnsi="华文中宋" w:eastAsia="华文中宋"/>
      <w:sz w:val="36"/>
    </w:rPr>
  </w:style>
  <w:style w:type="paragraph" w:styleId="1103">
    <w:name w:val="文档结构图"/>
    <w:basedOn w:val="1073"/>
    <w:next w:val="1103"/>
    <w:link w:val="1104"/>
    <w:qFormat/>
    <w:pPr>
      <w:shd w:val="clear" w:color="auto" w:fill="000080"/>
    </w:pPr>
    <w:rPr>
      <w:rFonts w:ascii="Calibri" w:hAnsi="Calibri" w:eastAsia="宋体" w:cs="Times New Roman"/>
    </w:rPr>
  </w:style>
  <w:style w:type="character" w:styleId="1104">
    <w:name w:val="文档结构图 Char1"/>
    <w:next w:val="1104"/>
    <w:link w:val="1103"/>
    <w:qFormat/>
    <w:rPr>
      <w:rFonts w:ascii="宋体" w:hAnsi="Calibri" w:eastAsia="宋体" w:cs="Times New Roman"/>
      <w:sz w:val="18"/>
      <w:szCs w:val="18"/>
    </w:rPr>
  </w:style>
  <w:style w:type="paragraph" w:styleId="1105">
    <w:name w:val="批注文字"/>
    <w:basedOn w:val="1073"/>
    <w:next w:val="1105"/>
    <w:link w:val="1106"/>
    <w:uiPriority w:val="99"/>
    <w:qFormat/>
    <w:pPr>
      <w:jc w:val="left"/>
    </w:pPr>
    <w:rPr>
      <w:rFonts w:ascii="Times New Roman" w:hAnsi="Times New Roman" w:eastAsia="宋体"/>
      <w:sz w:val="20"/>
    </w:rPr>
  </w:style>
  <w:style w:type="character" w:styleId="1106">
    <w:name w:val="批注文字 Char2"/>
    <w:next w:val="1106"/>
    <w:link w:val="1105"/>
    <w:uiPriority w:val="99"/>
    <w:semiHidden/>
    <w:qFormat/>
    <w:rPr>
      <w:rFonts w:ascii="Calibri" w:hAnsi="Calibri" w:eastAsia="微软雅黑" w:cs="Times New Roman"/>
      <w:szCs w:val="24"/>
    </w:rPr>
  </w:style>
  <w:style w:type="paragraph" w:styleId="1107">
    <w:name w:val="正文文本 3"/>
    <w:basedOn w:val="1073"/>
    <w:next w:val="1107"/>
    <w:link w:val="1108"/>
    <w:uiPriority w:val="99"/>
    <w:qFormat/>
    <w:pPr>
      <w:spacing w:after="120"/>
    </w:pPr>
    <w:rPr>
      <w:rFonts w:ascii="Calibri" w:hAnsi="Calibri" w:eastAsia="宋体" w:cs="Times New Roman"/>
      <w:sz w:val="16"/>
      <w:szCs w:val="16"/>
    </w:rPr>
  </w:style>
  <w:style w:type="character" w:styleId="1108">
    <w:name w:val="正文文本 3 Char1"/>
    <w:next w:val="1108"/>
    <w:link w:val="1107"/>
    <w:uiPriority w:val="99"/>
    <w:semiHidden/>
    <w:qFormat/>
    <w:rPr>
      <w:rFonts w:ascii="Calibri" w:hAnsi="Calibri" w:eastAsia="微软雅黑" w:cs="Times New Roman"/>
      <w:sz w:val="16"/>
      <w:szCs w:val="16"/>
    </w:rPr>
  </w:style>
  <w:style w:type="paragraph" w:styleId="1109">
    <w:name w:val="正文文本缩进"/>
    <w:basedOn w:val="1073"/>
    <w:next w:val="1073"/>
    <w:link w:val="1110"/>
    <w:unhideWhenUsed/>
    <w:qFormat/>
    <w:pPr>
      <w:ind w:left="420"/>
      <w:spacing w:after="120"/>
    </w:pPr>
  </w:style>
  <w:style w:type="character" w:styleId="1110">
    <w:name w:val="正文文本缩进 Char3"/>
    <w:next w:val="1110"/>
    <w:link w:val="1109"/>
    <w:uiPriority w:val="99"/>
    <w:semiHidden/>
    <w:qFormat/>
    <w:rPr>
      <w:rFonts w:ascii="Calibri" w:hAnsi="Calibri" w:eastAsia="微软雅黑" w:cs="Times New Roman"/>
      <w:szCs w:val="24"/>
    </w:rPr>
  </w:style>
  <w:style w:type="paragraph" w:styleId="1111">
    <w:name w:val="列表 2"/>
    <w:basedOn w:val="1073"/>
    <w:next w:val="1111"/>
    <w:link w:val="1073"/>
    <w:qFormat/>
    <w:pPr>
      <w:ind w:left="100" w:hanging="200"/>
    </w:pPr>
  </w:style>
  <w:style w:type="paragraph" w:styleId="1112">
    <w:name w:val="文本块"/>
    <w:basedOn w:val="1073"/>
    <w:next w:val="1112"/>
    <w:link w:val="1073"/>
    <w:qFormat/>
    <w:pPr>
      <w:ind w:left="480" w:right="-341" w:firstLine="513"/>
      <w:widowControl/>
    </w:pPr>
    <w:rPr>
      <w:sz w:val="24"/>
      <w:szCs w:val="20"/>
    </w:rPr>
  </w:style>
  <w:style w:type="paragraph" w:styleId="1113">
    <w:name w:val="索引 4"/>
    <w:basedOn w:val="1073"/>
    <w:next w:val="1073"/>
    <w:link w:val="1073"/>
    <w:qFormat/>
    <w:pPr>
      <w:ind w:left="600"/>
    </w:pPr>
    <w:rPr>
      <w:szCs w:val="20"/>
    </w:rPr>
  </w:style>
  <w:style w:type="paragraph" w:styleId="1114">
    <w:name w:val="目录 5"/>
    <w:basedOn w:val="1073"/>
    <w:next w:val="1073"/>
    <w:link w:val="1073"/>
    <w:uiPriority w:val="39"/>
    <w:qFormat/>
    <w:pPr>
      <w:ind w:left="1680"/>
    </w:pPr>
  </w:style>
  <w:style w:type="paragraph" w:styleId="1115">
    <w:name w:val="目录 3"/>
    <w:basedOn w:val="1073"/>
    <w:next w:val="1073"/>
    <w:link w:val="1073"/>
    <w:qFormat/>
    <w:pPr>
      <w:ind w:left="840"/>
    </w:pPr>
  </w:style>
  <w:style w:type="paragraph" w:styleId="1116">
    <w:name w:val="纯文本"/>
    <w:basedOn w:val="1073"/>
    <w:next w:val="1116"/>
    <w:link w:val="1117"/>
    <w:qFormat/>
    <w:rPr>
      <w:rFonts w:hint="eastAsia" w:ascii="宋体" w:hAnsi="Courier New" w:eastAsia="宋体" w:cs="宋体"/>
      <w:szCs w:val="22"/>
    </w:rPr>
  </w:style>
  <w:style w:type="character" w:styleId="1117">
    <w:name w:val="纯文本 Char2"/>
    <w:next w:val="1117"/>
    <w:link w:val="1116"/>
    <w:qFormat/>
    <w:rPr>
      <w:rFonts w:ascii="宋体" w:hAnsi="Courier New" w:eastAsia="宋体" w:cs="Courier New"/>
      <w:szCs w:val="21"/>
    </w:rPr>
  </w:style>
  <w:style w:type="paragraph" w:styleId="1118">
    <w:name w:val="目录 8"/>
    <w:basedOn w:val="1073"/>
    <w:next w:val="1073"/>
    <w:link w:val="1073"/>
    <w:uiPriority w:val="39"/>
    <w:qFormat/>
    <w:pPr>
      <w:ind w:left="2940"/>
    </w:pPr>
  </w:style>
  <w:style w:type="paragraph" w:styleId="1119">
    <w:name w:val="日期"/>
    <w:basedOn w:val="1073"/>
    <w:next w:val="1073"/>
    <w:link w:val="1120"/>
    <w:qFormat/>
    <w:pPr>
      <w:ind w:left="100"/>
    </w:pPr>
    <w:rPr>
      <w:rFonts w:ascii="仿宋_GB2312" w:hAnsi="宋体" w:eastAsia="仿宋_GB2312" w:cs="Times New Roman"/>
      <w:color w:val="000000"/>
      <w:sz w:val="24"/>
    </w:rPr>
  </w:style>
  <w:style w:type="character" w:styleId="1120">
    <w:name w:val="日期 Char1"/>
    <w:next w:val="1120"/>
    <w:link w:val="1119"/>
    <w:qFormat/>
    <w:rPr>
      <w:rFonts w:ascii="Calibri" w:hAnsi="Calibri" w:eastAsia="微软雅黑" w:cs="Times New Roman"/>
      <w:szCs w:val="24"/>
    </w:rPr>
  </w:style>
  <w:style w:type="paragraph" w:styleId="1121">
    <w:name w:val="正文文本缩进 2"/>
    <w:basedOn w:val="1073"/>
    <w:next w:val="1121"/>
    <w:link w:val="1122"/>
    <w:qFormat/>
    <w:pPr>
      <w:ind w:firstLine="480"/>
    </w:pPr>
    <w:rPr>
      <w:rFonts w:ascii="仿宋_GB2312" w:hAnsi="Calibri" w:eastAsia="仿宋_GB2312" w:cs="Times New Roman"/>
      <w:sz w:val="24"/>
    </w:rPr>
  </w:style>
  <w:style w:type="character" w:styleId="1122">
    <w:name w:val="正文文本缩进 2 Char1"/>
    <w:next w:val="1122"/>
    <w:link w:val="1121"/>
    <w:uiPriority w:val="99"/>
    <w:semiHidden/>
    <w:qFormat/>
    <w:rPr>
      <w:rFonts w:ascii="Calibri" w:hAnsi="Calibri" w:eastAsia="微软雅黑" w:cs="Times New Roman"/>
      <w:szCs w:val="24"/>
    </w:rPr>
  </w:style>
  <w:style w:type="paragraph" w:styleId="1123">
    <w:name w:val="批注框文本"/>
    <w:basedOn w:val="1073"/>
    <w:next w:val="1123"/>
    <w:link w:val="1124"/>
    <w:uiPriority w:val="99"/>
    <w:qFormat/>
    <w:rPr>
      <w:rFonts w:ascii="Calibri" w:hAnsi="Calibri" w:eastAsia="宋体" w:cs="Times New Roman"/>
      <w:sz w:val="18"/>
      <w:szCs w:val="18"/>
    </w:rPr>
  </w:style>
  <w:style w:type="character" w:styleId="1124">
    <w:name w:val="批注框文本 Char1"/>
    <w:next w:val="1124"/>
    <w:link w:val="1123"/>
    <w:qFormat/>
    <w:rPr>
      <w:rFonts w:ascii="Calibri" w:hAnsi="Calibri" w:eastAsia="微软雅黑" w:cs="Times New Roman"/>
      <w:sz w:val="18"/>
      <w:szCs w:val="18"/>
    </w:rPr>
  </w:style>
  <w:style w:type="paragraph" w:styleId="1125">
    <w:name w:val="页脚"/>
    <w:basedOn w:val="1073"/>
    <w:next w:val="1125"/>
    <w:link w:val="1126"/>
    <w:uiPriority w:val="99"/>
    <w:unhideWhenUsed/>
    <w:qFormat/>
    <w:pPr>
      <w:jc w:val="left"/>
      <w:tabs>
        <w:tab w:val="center" w:pos="4153" w:leader="none"/>
        <w:tab w:val="right" w:pos="8306" w:leader="none"/>
      </w:tabs>
    </w:pPr>
    <w:rPr>
      <w:sz w:val="18"/>
      <w:szCs w:val="18"/>
    </w:rPr>
  </w:style>
  <w:style w:type="character" w:styleId="1126">
    <w:name w:val="页脚 Char"/>
    <w:next w:val="1126"/>
    <w:link w:val="1125"/>
    <w:uiPriority w:val="99"/>
    <w:qFormat/>
    <w:rPr>
      <w:sz w:val="18"/>
      <w:szCs w:val="18"/>
    </w:rPr>
  </w:style>
  <w:style w:type="paragraph" w:styleId="1127">
    <w:name w:val="寄信人地址"/>
    <w:basedOn w:val="1073"/>
    <w:next w:val="1127"/>
    <w:link w:val="1073"/>
    <w:qFormat/>
    <w:pPr>
      <w:jc w:val="left"/>
      <w:widowControl/>
    </w:pPr>
    <w:rPr>
      <w:rFonts w:ascii="Arial" w:hAnsi="Arial" w:eastAsia="宋体"/>
      <w:sz w:val="24"/>
    </w:rPr>
  </w:style>
  <w:style w:type="paragraph" w:styleId="1128">
    <w:name w:val="页眉"/>
    <w:basedOn w:val="1073"/>
    <w:next w:val="1128"/>
    <w:link w:val="112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9">
    <w:name w:val="页眉 Char"/>
    <w:next w:val="1129"/>
    <w:link w:val="1128"/>
    <w:uiPriority w:val="99"/>
    <w:qFormat/>
    <w:rPr>
      <w:sz w:val="18"/>
      <w:szCs w:val="18"/>
    </w:rPr>
  </w:style>
  <w:style w:type="paragraph" w:styleId="1130">
    <w:name w:val="签名"/>
    <w:basedOn w:val="1073"/>
    <w:next w:val="1130"/>
    <w:link w:val="1131"/>
    <w:qFormat/>
    <w:pPr>
      <w:jc w:val="center"/>
      <w:spacing w:after="600" w:line="312" w:lineRule="atLeast"/>
    </w:pPr>
    <w:rPr>
      <w:rFonts w:ascii="Times New Roman" w:hAnsi="Times New Roman" w:eastAsia="仿宋_GB2312"/>
      <w:sz w:val="24"/>
      <w:szCs w:val="20"/>
    </w:rPr>
  </w:style>
  <w:style w:type="character" w:styleId="1131">
    <w:name w:val="签名 Char"/>
    <w:next w:val="1131"/>
    <w:link w:val="1130"/>
    <w:qFormat/>
    <w:rPr>
      <w:rFonts w:eastAsia="仿宋_GB2312"/>
      <w:sz w:val="24"/>
    </w:rPr>
  </w:style>
  <w:style w:type="paragraph" w:styleId="1132">
    <w:name w:val="目录 1"/>
    <w:basedOn w:val="1073"/>
    <w:next w:val="1073"/>
    <w:link w:val="1073"/>
    <w:uiPriority w:val="39"/>
    <w:qFormat/>
    <w:pPr>
      <w:spacing w:line="300" w:lineRule="auto"/>
      <w:tabs>
        <w:tab w:val="left" w:pos="1050" w:leader="none"/>
        <w:tab w:val="right" w:pos="8937" w:leader="dot"/>
      </w:tabs>
    </w:pPr>
    <w:rPr>
      <w:rFonts w:ascii="宋体" w:hAnsi="宋体"/>
      <w:b/>
      <w:sz w:val="24"/>
    </w:rPr>
  </w:style>
  <w:style w:type="paragraph" w:styleId="1133">
    <w:name w:val="目录 4"/>
    <w:basedOn w:val="1073"/>
    <w:next w:val="1073"/>
    <w:link w:val="1073"/>
    <w:qFormat/>
    <w:pPr>
      <w:ind w:left="1260"/>
    </w:pPr>
  </w:style>
  <w:style w:type="paragraph" w:styleId="1134">
    <w:name w:val="副标题"/>
    <w:basedOn w:val="1073"/>
    <w:next w:val="1073"/>
    <w:link w:val="1135"/>
    <w:qFormat/>
    <w:pPr>
      <w:jc w:val="center"/>
      <w:spacing w:before="240" w:after="60" w:line="312" w:lineRule="auto"/>
      <w:outlineLvl w:val="1"/>
    </w:pPr>
    <w:rPr>
      <w:rFonts w:ascii="Cambria" w:hAnsi="Cambria" w:eastAsia="宋体"/>
      <w:b/>
      <w:bCs/>
      <w:sz w:val="32"/>
      <w:szCs w:val="32"/>
    </w:rPr>
  </w:style>
  <w:style w:type="character" w:styleId="1135">
    <w:name w:val="副标题 Char"/>
    <w:next w:val="1135"/>
    <w:link w:val="1134"/>
    <w:qFormat/>
    <w:rPr>
      <w:rFonts w:ascii="Cambria" w:hAnsi="Cambria"/>
      <w:b/>
      <w:bCs/>
      <w:sz w:val="32"/>
      <w:szCs w:val="32"/>
    </w:rPr>
  </w:style>
  <w:style w:type="paragraph" w:styleId="1136">
    <w:name w:val="目录 6"/>
    <w:basedOn w:val="1073"/>
    <w:next w:val="1073"/>
    <w:link w:val="1073"/>
    <w:uiPriority w:val="39"/>
    <w:qFormat/>
    <w:pPr>
      <w:ind w:left="2100"/>
    </w:pPr>
  </w:style>
  <w:style w:type="paragraph" w:styleId="1137">
    <w:name w:val="正文文本缩进 3"/>
    <w:basedOn w:val="1073"/>
    <w:next w:val="1137"/>
    <w:link w:val="1138"/>
    <w:uiPriority w:val="99"/>
    <w:qFormat/>
    <w:pPr>
      <w:ind w:left="720" w:firstLine="480"/>
      <w:jc w:val="left"/>
      <w:spacing w:before="120" w:line="22" w:lineRule="atLeast"/>
    </w:pPr>
    <w:rPr>
      <w:rFonts w:ascii="宋体" w:hAnsi="Calibri" w:eastAsia="宋体" w:cs="Times New Roman"/>
      <w:sz w:val="24"/>
      <w:szCs w:val="22"/>
    </w:rPr>
  </w:style>
  <w:style w:type="character" w:styleId="1138">
    <w:name w:val="正文文本缩进 3 Char1"/>
    <w:next w:val="1138"/>
    <w:link w:val="1137"/>
    <w:qFormat/>
    <w:rPr>
      <w:rFonts w:ascii="Calibri" w:hAnsi="Calibri" w:eastAsia="微软雅黑" w:cs="Times New Roman"/>
      <w:sz w:val="16"/>
      <w:szCs w:val="16"/>
    </w:rPr>
  </w:style>
  <w:style w:type="paragraph" w:styleId="1139">
    <w:name w:val="目录 2"/>
    <w:basedOn w:val="1073"/>
    <w:next w:val="1073"/>
    <w:link w:val="1073"/>
    <w:uiPriority w:val="39"/>
    <w:qFormat/>
    <w:pPr>
      <w:ind w:left="420"/>
      <w:spacing w:line="312" w:lineRule="auto"/>
      <w:tabs>
        <w:tab w:val="right" w:pos="8937" w:leader="dot"/>
      </w:tabs>
    </w:pPr>
  </w:style>
  <w:style w:type="paragraph" w:styleId="1140">
    <w:name w:val="目录 9"/>
    <w:basedOn w:val="1073"/>
    <w:next w:val="1073"/>
    <w:link w:val="1073"/>
    <w:qFormat/>
    <w:pPr>
      <w:ind w:left="3360"/>
    </w:pPr>
  </w:style>
  <w:style w:type="paragraph" w:styleId="1141">
    <w:name w:val="HTML 预设格式"/>
    <w:basedOn w:val="1073"/>
    <w:next w:val="1141"/>
    <w:link w:val="11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1142">
    <w:name w:val="HTML 预设格式 Char1"/>
    <w:next w:val="1142"/>
    <w:link w:val="1141"/>
    <w:qFormat/>
    <w:rPr>
      <w:rFonts w:ascii="Courier New" w:hAnsi="Courier New" w:eastAsia="微软雅黑" w:cs="Courier New"/>
      <w:sz w:val="20"/>
      <w:szCs w:val="20"/>
    </w:rPr>
  </w:style>
  <w:style w:type="paragraph" w:styleId="1143">
    <w:name w:val="普通(网站)"/>
    <w:basedOn w:val="1073"/>
    <w:next w:val="1143"/>
    <w:link w:val="1144"/>
    <w:uiPriority w:val="99"/>
    <w:unhideWhenUsed/>
    <w:qFormat/>
    <w:pPr>
      <w:jc w:val="left"/>
      <w:spacing w:before="100" w:beforeAutospacing="1" w:after="100" w:afterAutospacing="1"/>
      <w:widowControl/>
    </w:pPr>
    <w:rPr>
      <w:rFonts w:ascii="宋体" w:hAnsi="宋体"/>
      <w:sz w:val="24"/>
    </w:rPr>
  </w:style>
  <w:style w:type="character" w:styleId="1144">
    <w:name w:val="普通(网站) Char"/>
    <w:next w:val="1144"/>
    <w:link w:val="1143"/>
    <w:uiPriority w:val="99"/>
    <w:qFormat/>
    <w:rPr>
      <w:rFonts w:ascii="宋体" w:hAnsi="宋体" w:eastAsia="微软雅黑" w:cs="宋体"/>
      <w:sz w:val="24"/>
      <w:szCs w:val="24"/>
    </w:rPr>
  </w:style>
  <w:style w:type="paragraph" w:styleId="1145">
    <w:name w:val="索引 1"/>
    <w:basedOn w:val="1073"/>
    <w:next w:val="1073"/>
    <w:link w:val="1073"/>
    <w:qFormat/>
    <w:rPr>
      <w:szCs w:val="20"/>
    </w:rPr>
  </w:style>
  <w:style w:type="paragraph" w:styleId="1146">
    <w:name w:val="标题"/>
    <w:basedOn w:val="1073"/>
    <w:next w:val="1146"/>
    <w:link w:val="1147"/>
    <w:qFormat/>
    <w:pPr>
      <w:jc w:val="center"/>
      <w:outlineLvl w:val="0"/>
    </w:pPr>
    <w:rPr>
      <w:rFonts w:ascii="Times New Roman" w:hAnsi="Times New Roman" w:eastAsia="宋体"/>
      <w:b/>
      <w:sz w:val="32"/>
      <w:szCs w:val="20"/>
    </w:rPr>
  </w:style>
  <w:style w:type="character" w:styleId="1147">
    <w:name w:val="标题 Char2"/>
    <w:next w:val="1147"/>
    <w:link w:val="1146"/>
    <w:uiPriority w:val="10"/>
    <w:qFormat/>
    <w:rPr>
      <w:rFonts w:ascii="Cambria" w:hAnsi="Cambria" w:eastAsia="宋体" w:cs="Times New Roman"/>
      <w:b/>
      <w:bCs/>
      <w:sz w:val="32"/>
      <w:szCs w:val="32"/>
    </w:rPr>
  </w:style>
  <w:style w:type="paragraph" w:styleId="1148">
    <w:name w:val="批注主题"/>
    <w:basedOn w:val="1105"/>
    <w:next w:val="1105"/>
    <w:link w:val="1149"/>
    <w:uiPriority w:val="99"/>
    <w:qFormat/>
    <w:rPr>
      <w:rFonts w:ascii="Times New Roman" w:hAnsi="Times New Roman" w:eastAsia="宋体"/>
      <w:b/>
      <w:bCs/>
    </w:rPr>
  </w:style>
  <w:style w:type="character" w:styleId="1149">
    <w:name w:val="批注主题 Char1"/>
    <w:next w:val="1149"/>
    <w:link w:val="1148"/>
    <w:uiPriority w:val="99"/>
    <w:semiHidden/>
    <w:qFormat/>
    <w:rPr>
      <w:b/>
      <w:bCs/>
    </w:rPr>
  </w:style>
  <w:style w:type="paragraph" w:styleId="1150">
    <w:name w:val="正文首行缩进"/>
    <w:basedOn w:val="1085"/>
    <w:next w:val="1152"/>
    <w:link w:val="1151"/>
    <w:qFormat/>
    <w:pPr>
      <w:ind w:firstLine="420"/>
      <w:spacing w:after="120"/>
      <w:tabs>
        <w:tab w:val="left" w:pos="567" w:leader="none"/>
      </w:tabs>
    </w:pPr>
    <w:rPr>
      <w:rFonts w:ascii="Tahoma" w:hAnsi="Tahoma" w:eastAsia="Times New Roman"/>
      <w:sz w:val="21"/>
      <w:szCs w:val="24"/>
    </w:rPr>
  </w:style>
  <w:style w:type="character" w:styleId="1151">
    <w:name w:val="正文首行缩进 Char"/>
    <w:next w:val="1151"/>
    <w:link w:val="1150"/>
    <w:qFormat/>
    <w:rPr>
      <w:lang w:val="en-US" w:eastAsia="zh-CN" w:bidi="ar-SA"/>
    </w:rPr>
  </w:style>
  <w:style w:type="paragraph" w:styleId="1152">
    <w:name w:val="正文首行缩进 2"/>
    <w:basedOn w:val="1109"/>
    <w:next w:val="1152"/>
    <w:link w:val="1153"/>
    <w:qFormat/>
    <w:pPr>
      <w:ind w:firstLine="420"/>
      <w:spacing w:line="480" w:lineRule="exact"/>
    </w:pPr>
    <w:rPr>
      <w:rFonts w:ascii="Calibri" w:hAnsi="Calibri" w:eastAsia="宋体" w:cs="Times New Roman"/>
      <w:sz w:val="24"/>
    </w:rPr>
  </w:style>
  <w:style w:type="character" w:styleId="1153">
    <w:name w:val="正文首行缩进 2 Char1"/>
    <w:next w:val="1153"/>
    <w:link w:val="1152"/>
    <w:qFormat/>
  </w:style>
  <w:style w:type="table" w:styleId="1154">
    <w:name w:val="网格型"/>
    <w:basedOn w:val="1084"/>
    <w:next w:val="1154"/>
    <w:link w:val="1073"/>
    <w:uiPriority w:val="59"/>
    <w:qFormat/>
    <w:rPr>
      <w:rFonts w:ascii="Calibri" w:hAnsi="Calibri" w:eastAsia="微软雅黑"/>
    </w:rPr>
    <w:tblPr/>
  </w:style>
  <w:style w:type="table" w:styleId="1155">
    <w:name w:val="中等深浅网格 1 - 强调文字颜色 2"/>
    <w:basedOn w:val="1084"/>
    <w:next w:val="1155"/>
    <w:link w:val="1073"/>
    <w:qFormat/>
    <w:rPr>
      <w:rFonts w:ascii="Calibri" w:hAnsi="Calibri" w:eastAsia="微软雅黑"/>
      <w:szCs w:val="24"/>
    </w:rPr>
    <w:tblPr/>
  </w:style>
  <w:style w:type="character" w:styleId="1156">
    <w:name w:val="要点"/>
    <w:next w:val="1156"/>
    <w:link w:val="1073"/>
    <w:qFormat/>
    <w:rPr>
      <w:b/>
      <w:bCs/>
    </w:rPr>
  </w:style>
  <w:style w:type="character" w:styleId="1157">
    <w:name w:val="页码"/>
    <w:next w:val="1157"/>
    <w:link w:val="1073"/>
    <w:qFormat/>
  </w:style>
  <w:style w:type="character" w:styleId="1158">
    <w:name w:val="已访问的超链接"/>
    <w:next w:val="1158"/>
    <w:link w:val="1073"/>
    <w:qFormat/>
    <w:rPr>
      <w:color w:val="800080"/>
      <w:u w:val="single"/>
    </w:rPr>
  </w:style>
  <w:style w:type="character" w:styleId="1159">
    <w:name w:val="强调"/>
    <w:next w:val="1159"/>
    <w:link w:val="1073"/>
    <w:uiPriority w:val="20"/>
    <w:qFormat/>
    <w:rPr>
      <w:color w:val="cc0033"/>
    </w:rPr>
  </w:style>
  <w:style w:type="character" w:styleId="1160">
    <w:name w:val="超链接"/>
    <w:next w:val="1160"/>
    <w:link w:val="1073"/>
    <w:uiPriority w:val="99"/>
    <w:qFormat/>
    <w:rPr>
      <w:color w:val="0000ff"/>
      <w:u w:val="single"/>
    </w:rPr>
  </w:style>
  <w:style w:type="character" w:styleId="1161">
    <w:name w:val="批注引用"/>
    <w:next w:val="1161"/>
    <w:link w:val="1073"/>
    <w:uiPriority w:val="99"/>
    <w:qFormat/>
    <w:rPr>
      <w:sz w:val="21"/>
      <w:szCs w:val="21"/>
    </w:rPr>
  </w:style>
  <w:style w:type="character" w:styleId="1162">
    <w:name w:val="HTML 引文"/>
    <w:next w:val="1162"/>
    <w:link w:val="1073"/>
    <w:qFormat/>
    <w:rPr>
      <w:i/>
      <w:iCs/>
    </w:rPr>
  </w:style>
  <w:style w:type="character" w:styleId="1163">
    <w:name w:val="正文文本 字符"/>
    <w:next w:val="1163"/>
    <w:link w:val="1073"/>
    <w:qFormat/>
    <w:rPr>
      <w:rFonts w:ascii="Tahoma" w:hAnsi="Tahoma" w:eastAsia="Times New Roman"/>
      <w:sz w:val="21"/>
      <w:szCs w:val="24"/>
      <w:lang w:val="en-US" w:eastAsia="zh-CN" w:bidi="ar-SA"/>
    </w:rPr>
  </w:style>
  <w:style w:type="character" w:styleId="1164">
    <w:name w:val="Plain Text Char Char"/>
    <w:next w:val="1164"/>
    <w:link w:val="1165"/>
    <w:qFormat/>
    <w:rPr>
      <w:rFonts w:ascii="宋体" w:hAnsi="Courier New" w:eastAsia="楷体_GB2312"/>
      <w:sz w:val="26"/>
    </w:rPr>
  </w:style>
  <w:style w:type="paragraph" w:styleId="1165">
    <w:name w:val="纯文本1"/>
    <w:basedOn w:val="1073"/>
    <w:next w:val="1165"/>
    <w:link w:val="1164"/>
    <w:qFormat/>
    <w:pPr>
      <w:jc w:val="left"/>
      <w:widowControl/>
    </w:pPr>
    <w:rPr>
      <w:rFonts w:ascii="宋体" w:hAnsi="Courier New" w:eastAsia="楷体_GB2312"/>
      <w:sz w:val="26"/>
      <w:szCs w:val="20"/>
    </w:rPr>
  </w:style>
  <w:style w:type="character" w:styleId="1166">
    <w:name w:val="3级方案标题 字符"/>
    <w:next w:val="1166"/>
    <w:link w:val="1167"/>
    <w:qFormat/>
    <w:rPr>
      <w:rFonts w:ascii="宋体" w:hAnsi="宋体"/>
      <w:b/>
      <w:color w:val="000000"/>
      <w:sz w:val="32"/>
      <w:szCs w:val="32"/>
    </w:rPr>
  </w:style>
  <w:style w:type="paragraph" w:styleId="1167">
    <w:name w:val="3级方案标题"/>
    <w:basedOn w:val="1076"/>
    <w:next w:val="1167"/>
    <w:link w:val="1166"/>
    <w:qFormat/>
    <w:pPr>
      <w:ind w:left="1260" w:hanging="420"/>
      <w:jc w:val="both"/>
      <w:spacing w:before="100" w:beforeAutospacing="1" w:after="100" w:afterAutospacing="1" w:line="360" w:lineRule="auto"/>
      <w:tabs>
        <w:tab w:val="left" w:pos="2717" w:leader="none"/>
        <w:tab w:val="left" w:pos="3556" w:leader="none"/>
      </w:tabs>
    </w:pPr>
    <w:rPr>
      <w:rFonts w:hAnsi="宋体" w:eastAsia="宋体"/>
      <w:color w:val="000000"/>
      <w:sz w:val="32"/>
      <w:szCs w:val="32"/>
      <w:u w:val="none"/>
    </w:rPr>
  </w:style>
  <w:style w:type="character" w:styleId="1168">
    <w:name w:val="wen Char1"/>
    <w:next w:val="1168"/>
    <w:link w:val="1169"/>
    <w:qFormat/>
    <w:rPr>
      <w:rFonts w:ascii="微软雅黑" w:hAnsi="微软雅黑" w:eastAsia="微软雅黑"/>
      <w:sz w:val="21"/>
      <w:szCs w:val="24"/>
    </w:rPr>
  </w:style>
  <w:style w:type="paragraph" w:styleId="1169">
    <w:name w:val="wen"/>
    <w:basedOn w:val="1073"/>
    <w:next w:val="1169"/>
    <w:link w:val="1168"/>
    <w:qFormat/>
    <w:pPr>
      <w:ind w:firstLine="425"/>
      <w:spacing w:line="269" w:lineRule="auto"/>
    </w:pPr>
    <w:rPr>
      <w:rFonts w:ascii="微软雅黑" w:hAnsi="微软雅黑"/>
    </w:rPr>
  </w:style>
  <w:style w:type="character" w:styleId="1170">
    <w:name w:val="正文缩进 Char Char"/>
    <w:next w:val="1170"/>
    <w:link w:val="1171"/>
    <w:qFormat/>
    <w:rPr>
      <w:rFonts w:ascii="宋体" w:eastAsia="宋体"/>
      <w:color w:val="000000"/>
      <w:sz w:val="28"/>
    </w:rPr>
  </w:style>
  <w:style w:type="paragraph" w:styleId="1171">
    <w:name w:val="正文缩进1"/>
    <w:basedOn w:val="1073"/>
    <w:next w:val="1073"/>
    <w:link w:val="1170"/>
    <w:qFormat/>
    <w:pPr>
      <w:ind w:firstLine="567"/>
      <w:spacing w:line="480" w:lineRule="exact"/>
      <w:widowControl/>
    </w:pPr>
    <w:rPr>
      <w:rFonts w:ascii="宋体" w:hAnsi="Times New Roman" w:eastAsia="宋体"/>
      <w:color w:val="000000"/>
      <w:sz w:val="28"/>
      <w:szCs w:val="20"/>
    </w:rPr>
  </w:style>
  <w:style w:type="character" w:styleId="1172">
    <w:name w:val="一. 字符"/>
    <w:next w:val="1172"/>
    <w:link w:val="1173"/>
    <w:qFormat/>
    <w:rPr>
      <w:b/>
      <w:bCs/>
      <w:sz w:val="28"/>
      <w:szCs w:val="28"/>
    </w:rPr>
  </w:style>
  <w:style w:type="paragraph" w:styleId="1173">
    <w:name w:val="一."/>
    <w:basedOn w:val="1073"/>
    <w:next w:val="1173"/>
    <w:link w:val="1172"/>
    <w:qFormat/>
    <w:pPr>
      <w:jc w:val="left"/>
      <w:spacing w:line="360" w:lineRule="auto"/>
    </w:pPr>
    <w:rPr>
      <w:rFonts w:ascii="Times New Roman" w:hAnsi="Times New Roman" w:eastAsia="宋体"/>
      <w:b/>
      <w:bCs/>
      <w:sz w:val="28"/>
      <w:szCs w:val="28"/>
    </w:rPr>
  </w:style>
  <w:style w:type="character" w:styleId="1174">
    <w:name w:val="street-address"/>
    <w:next w:val="1174"/>
    <w:link w:val="1073"/>
    <w:qFormat/>
  </w:style>
  <w:style w:type="character" w:styleId="1175">
    <w:name w:val="03 正文 Char"/>
    <w:next w:val="1175"/>
    <w:link w:val="1176"/>
    <w:qFormat/>
    <w:rPr>
      <w:sz w:val="21"/>
      <w:szCs w:val="22"/>
    </w:rPr>
  </w:style>
  <w:style w:type="paragraph" w:styleId="1176">
    <w:name w:val="03 正文"/>
    <w:basedOn w:val="1073"/>
    <w:next w:val="1176"/>
    <w:link w:val="1175"/>
    <w:qFormat/>
    <w:pPr>
      <w:ind w:firstLine="420"/>
      <w:spacing w:line="500" w:lineRule="atLeast"/>
      <w:widowControl/>
    </w:pPr>
    <w:rPr>
      <w:rFonts w:ascii="Times New Roman" w:hAnsi="Times New Roman" w:eastAsia="宋体"/>
      <w:szCs w:val="22"/>
    </w:rPr>
  </w:style>
  <w:style w:type="character" w:styleId="1177">
    <w:name w:val="正文大标题 Char"/>
    <w:next w:val="1177"/>
    <w:link w:val="1178"/>
    <w:qFormat/>
    <w:rPr>
      <w:rFonts w:ascii="宋体" w:hAnsi="宋体"/>
      <w:b/>
      <w:color w:val="000000"/>
      <w:sz w:val="28"/>
      <w:szCs w:val="21"/>
    </w:rPr>
  </w:style>
  <w:style w:type="paragraph" w:styleId="1178">
    <w:name w:val="正文大标题"/>
    <w:basedOn w:val="1179"/>
    <w:next w:val="1099"/>
    <w:link w:val="1177"/>
    <w:qFormat/>
    <w:pPr>
      <w:jc w:val="center"/>
    </w:pPr>
    <w:rPr>
      <w:i w:val="0"/>
      <w:color w:val="000000"/>
      <w:sz w:val="28"/>
      <w:szCs w:val="21"/>
    </w:rPr>
  </w:style>
  <w:style w:type="paragraph" w:styleId="1179">
    <w:name w:val="正文小标题"/>
    <w:basedOn w:val="1073"/>
    <w:next w:val="1099"/>
    <w:link w:val="1180"/>
    <w:qFormat/>
    <w:pPr>
      <w:ind w:firstLine="482"/>
      <w:jc w:val="left"/>
    </w:pPr>
    <w:rPr>
      <w:rFonts w:ascii="宋体" w:hAnsi="宋体" w:eastAsia="宋体"/>
      <w:b/>
      <w:i/>
      <w:color w:val="ff0000"/>
      <w:sz w:val="24"/>
      <w:szCs w:val="20"/>
    </w:rPr>
  </w:style>
  <w:style w:type="character" w:styleId="1180">
    <w:name w:val="正文小标题 Char"/>
    <w:next w:val="1180"/>
    <w:link w:val="1179"/>
    <w:qFormat/>
    <w:rPr>
      <w:rFonts w:ascii="宋体" w:hAnsi="宋体"/>
      <w:b/>
      <w:i/>
      <w:color w:val="ff0000"/>
      <w:sz w:val="24"/>
    </w:rPr>
  </w:style>
  <w:style w:type="character" w:styleId="1181">
    <w:name w:val="标题 3 Char1"/>
    <w:next w:val="1181"/>
    <w:link w:val="1073"/>
    <w:qFormat/>
    <w:rPr>
      <w:rFonts w:ascii="宋体" w:hAnsi="Calibri" w:eastAsia="微软雅黑" w:cs="Times New Roman"/>
      <w:b/>
      <w:sz w:val="24"/>
      <w:szCs w:val="20"/>
      <w:u w:val="single"/>
    </w:rPr>
  </w:style>
  <w:style w:type="character" w:styleId="1182">
    <w:name w:val="正文 首行缩进:  2 字符 Char Char Char"/>
    <w:next w:val="1182"/>
    <w:link w:val="1183"/>
    <w:qFormat/>
    <w:rPr>
      <w:sz w:val="21"/>
    </w:rPr>
  </w:style>
  <w:style w:type="paragraph" w:styleId="1183">
    <w:name w:val="正文 首行缩进:  2 字符 Char"/>
    <w:basedOn w:val="1073"/>
    <w:next w:val="1183"/>
    <w:link w:val="1182"/>
    <w:qFormat/>
    <w:pPr>
      <w:ind w:firstLine="480"/>
      <w:jc w:val="left"/>
      <w:spacing w:line="360" w:lineRule="auto"/>
    </w:pPr>
    <w:rPr>
      <w:rFonts w:ascii="Times New Roman" w:hAnsi="Times New Roman" w:eastAsia="宋体"/>
      <w:szCs w:val="20"/>
    </w:rPr>
  </w:style>
  <w:style w:type="character" w:styleId="1184">
    <w:name w:val="Andy_3级 Char"/>
    <w:next w:val="1184"/>
    <w:link w:val="1185"/>
    <w:qFormat/>
    <w:rPr>
      <w:rFonts w:ascii="Calibri" w:hAnsi="Calibri" w:eastAsia="微软雅黑"/>
      <w:sz w:val="24"/>
    </w:rPr>
  </w:style>
  <w:style w:type="paragraph" w:styleId="1185">
    <w:name w:val="Andy_3级"/>
    <w:basedOn w:val="1073"/>
    <w:next w:val="1185"/>
    <w:link w:val="1184"/>
    <w:qFormat/>
    <w:pPr>
      <w:numPr>
        <w:ilvl w:val="2"/>
        <w:numId w:val="1"/>
      </w:numPr>
      <w:spacing w:line="360" w:lineRule="auto"/>
    </w:pPr>
    <w:rPr>
      <w:sz w:val="24"/>
      <w:szCs w:val="20"/>
    </w:rPr>
  </w:style>
  <w:style w:type="character" w:styleId="1186">
    <w:name w:val="_正文段落 Char"/>
    <w:next w:val="1186"/>
    <w:link w:val="1187"/>
    <w:qFormat/>
    <w:rPr>
      <w:rFonts w:ascii="宋体" w:hAnsi="宋体"/>
      <w:sz w:val="24"/>
      <w:szCs w:val="24"/>
    </w:rPr>
  </w:style>
  <w:style w:type="paragraph" w:styleId="1187">
    <w:name w:val="_正文段落"/>
    <w:basedOn w:val="1073"/>
    <w:next w:val="1073"/>
    <w:link w:val="1186"/>
    <w:qFormat/>
    <w:pPr>
      <w:ind w:firstLine="200"/>
      <w:spacing w:line="360" w:lineRule="auto"/>
    </w:pPr>
    <w:rPr>
      <w:rFonts w:ascii="宋体" w:hAnsi="宋体" w:eastAsia="宋体"/>
      <w:sz w:val="24"/>
    </w:rPr>
  </w:style>
  <w:style w:type="character" w:styleId="1188">
    <w:name w:val="页脚 Char1"/>
    <w:next w:val="1188"/>
    <w:link w:val="1073"/>
    <w:uiPriority w:val="99"/>
    <w:qFormat/>
    <w:rPr>
      <w:rFonts w:ascii="宋体" w:eastAsia="宋体"/>
      <w:sz w:val="18"/>
      <w:lang w:val="en-US" w:eastAsia="zh-CN" w:bidi="ar-SA"/>
    </w:rPr>
  </w:style>
  <w:style w:type="character" w:styleId="1189">
    <w:name w:val="正文文本 3 Char"/>
    <w:next w:val="1189"/>
    <w:link w:val="1073"/>
    <w:uiPriority w:val="99"/>
    <w:qFormat/>
    <w:rPr>
      <w:sz w:val="16"/>
      <w:szCs w:val="16"/>
    </w:rPr>
  </w:style>
  <w:style w:type="character" w:styleId="1190">
    <w:name w:val="apple-style-span"/>
    <w:next w:val="1190"/>
    <w:link w:val="1073"/>
    <w:qFormat/>
    <w:rPr>
      <w:rFonts w:cs="Times New Roman"/>
    </w:rPr>
  </w:style>
  <w:style w:type="character" w:styleId="1191">
    <w:name w:val="09汇 表 Char"/>
    <w:next w:val="1191"/>
    <w:link w:val="1192"/>
    <w:qFormat/>
    <w:rPr>
      <w:bCs/>
      <w:color w:val="000000"/>
      <w:sz w:val="22"/>
      <w:szCs w:val="24"/>
    </w:rPr>
  </w:style>
  <w:style w:type="paragraph" w:styleId="1192">
    <w:name w:val="09汇 表"/>
    <w:basedOn w:val="1073"/>
    <w:next w:val="1192"/>
    <w:link w:val="1191"/>
    <w:qFormat/>
    <w:pPr>
      <w:jc w:val="center"/>
      <w:widowControl/>
    </w:pPr>
    <w:rPr>
      <w:rFonts w:ascii="Times New Roman" w:hAnsi="Times New Roman" w:eastAsia="宋体"/>
      <w:bCs/>
      <w:color w:val="000000"/>
      <w:sz w:val="22"/>
    </w:rPr>
  </w:style>
  <w:style w:type="character" w:styleId="1193">
    <w:name w:val="标题 3 Char Char"/>
    <w:next w:val="1193"/>
    <w:link w:val="1073"/>
    <w:qFormat/>
    <w:rPr>
      <w:rFonts w:eastAsia="宋体"/>
      <w:b/>
      <w:bCs/>
      <w:sz w:val="32"/>
      <w:szCs w:val="32"/>
      <w:lang w:val="en-US" w:eastAsia="zh-CN" w:bidi="ar-SA"/>
    </w:rPr>
  </w:style>
  <w:style w:type="character" w:styleId="1194">
    <w:name w:val="正文首行缩进 Char Char"/>
    <w:next w:val="1194"/>
    <w:link w:val="1195"/>
    <w:qFormat/>
    <w:rPr>
      <w:szCs w:val="24"/>
    </w:rPr>
  </w:style>
  <w:style w:type="paragraph" w:styleId="1195">
    <w:name w:val="正文首行缩进1"/>
    <w:basedOn w:val="1085"/>
    <w:next w:val="1195"/>
    <w:link w:val="1194"/>
    <w:qFormat/>
    <w:pPr>
      <w:ind w:firstLine="420"/>
      <w:spacing w:before="0" w:after="120" w:line="240" w:lineRule="auto"/>
      <w:widowControl/>
      <w:tabs>
        <w:tab w:val="clear" w:pos="567" w:leader="none"/>
      </w:tabs>
    </w:pPr>
    <w:rPr>
      <w:rFonts w:ascii="Times New Roman" w:hAnsi="Times New Roman"/>
      <w:sz w:val="20"/>
    </w:rPr>
  </w:style>
  <w:style w:type="character" w:styleId="1196">
    <w:name w:val="标题 2 Char Char"/>
    <w:next w:val="1196"/>
    <w:link w:val="1073"/>
    <w:qFormat/>
    <w:rPr>
      <w:rFonts w:ascii="Arial" w:hAnsi="Arial" w:eastAsia="黑体"/>
      <w:b/>
      <w:bCs/>
      <w:sz w:val="32"/>
      <w:szCs w:val="32"/>
      <w:lang w:val="en-US" w:eastAsia="zh-CN" w:bidi="ar-SA"/>
    </w:rPr>
  </w:style>
  <w:style w:type="character" w:styleId="1197">
    <w:name w:val="列表段落 字符"/>
    <w:next w:val="1197"/>
    <w:link w:val="1198"/>
    <w:uiPriority w:val="34"/>
    <w:qFormat/>
    <w:rPr>
      <w:rFonts w:ascii="Calibri" w:hAnsi="Calibri"/>
    </w:rPr>
  </w:style>
  <w:style w:type="paragraph" w:styleId="1198">
    <w:name w:val="列表段落1"/>
    <w:basedOn w:val="1073"/>
    <w:next w:val="1198"/>
    <w:link w:val="1197"/>
    <w:uiPriority w:val="34"/>
    <w:qFormat/>
    <w:pPr>
      <w:ind w:firstLine="420"/>
    </w:pPr>
    <w:rPr>
      <w:rFonts w:eastAsia="宋体"/>
      <w:sz w:val="20"/>
      <w:szCs w:val="20"/>
    </w:rPr>
  </w:style>
  <w:style w:type="character" w:styleId="1199">
    <w:name w:val="_标题3 Char"/>
    <w:next w:val="1199"/>
    <w:link w:val="1200"/>
    <w:qFormat/>
    <w:rPr>
      <w:rFonts w:ascii="Calibri" w:hAnsi="Calibri"/>
      <w:b/>
      <w:sz w:val="28"/>
      <w:szCs w:val="21"/>
    </w:rPr>
  </w:style>
  <w:style w:type="paragraph" w:styleId="1200">
    <w:name w:val="_标题3"/>
    <w:basedOn w:val="1073"/>
    <w:next w:val="1073"/>
    <w:link w:val="1199"/>
    <w:qFormat/>
    <w:pPr>
      <w:jc w:val="left"/>
      <w:keepNext/>
      <w:spacing w:line="360" w:lineRule="auto"/>
      <w:outlineLvl w:val="2"/>
    </w:pPr>
    <w:rPr>
      <w:rFonts w:eastAsia="宋体"/>
      <w:b/>
      <w:sz w:val="28"/>
      <w:szCs w:val="21"/>
    </w:rPr>
  </w:style>
  <w:style w:type="character" w:styleId="1201">
    <w:name w:val="01 章标 Char"/>
    <w:next w:val="1201"/>
    <w:link w:val="1202"/>
    <w:qFormat/>
    <w:rPr>
      <w:rFonts w:ascii="Calibri" w:hAnsi="Calibri"/>
      <w:b/>
      <w:sz w:val="44"/>
      <w:szCs w:val="44"/>
    </w:rPr>
  </w:style>
  <w:style w:type="paragraph" w:styleId="1202">
    <w:name w:val="01 章标"/>
    <w:basedOn w:val="1073"/>
    <w:next w:val="1202"/>
    <w:link w:val="1201"/>
    <w:qFormat/>
    <w:pPr>
      <w:ind w:firstLine="883"/>
      <w:jc w:val="center"/>
      <w:outlineLvl w:val="0"/>
    </w:pPr>
    <w:rPr>
      <w:rFonts w:eastAsia="宋体"/>
      <w:b/>
      <w:sz w:val="44"/>
      <w:szCs w:val="44"/>
    </w:rPr>
  </w:style>
  <w:style w:type="character" w:styleId="1203">
    <w:name w:val="02 标题 Char"/>
    <w:next w:val="1203"/>
    <w:link w:val="1204"/>
    <w:qFormat/>
    <w:rPr>
      <w:b/>
      <w:sz w:val="21"/>
      <w:szCs w:val="21"/>
    </w:rPr>
  </w:style>
  <w:style w:type="paragraph" w:styleId="1204">
    <w:name w:val="02 标题"/>
    <w:basedOn w:val="1073"/>
    <w:next w:val="1204"/>
    <w:link w:val="1203"/>
    <w:qFormat/>
    <w:pPr>
      <w:keepNext/>
      <w:spacing w:line="360" w:lineRule="auto"/>
      <w:widowControl/>
      <w:outlineLvl w:val="0"/>
    </w:pPr>
    <w:rPr>
      <w:rFonts w:ascii="Times New Roman" w:hAnsi="Times New Roman" w:eastAsia="宋体"/>
      <w:b/>
      <w:szCs w:val="21"/>
    </w:rPr>
  </w:style>
  <w:style w:type="character" w:styleId="1205">
    <w:name w:val="列出段落 Char1"/>
    <w:next w:val="1205"/>
    <w:link w:val="1206"/>
    <w:uiPriority w:val="34"/>
    <w:qFormat/>
    <w:rPr>
      <w:rFonts w:ascii="Calibri" w:hAnsi="Calibri" w:eastAsia="宋体"/>
    </w:rPr>
  </w:style>
  <w:style w:type="paragraph" w:styleId="1206">
    <w:name w:val="列出段落"/>
    <w:basedOn w:val="1073"/>
    <w:next w:val="1206"/>
    <w:link w:val="1205"/>
    <w:uiPriority w:val="34"/>
    <w:qFormat/>
    <w:pPr>
      <w:ind w:firstLine="420"/>
    </w:pPr>
    <w:rPr>
      <w:rFonts w:eastAsia="宋体"/>
      <w:sz w:val="20"/>
      <w:szCs w:val="20"/>
    </w:rPr>
  </w:style>
  <w:style w:type="character" w:styleId="1207">
    <w:name w:val="locality"/>
    <w:next w:val="1207"/>
    <w:link w:val="1073"/>
    <w:qFormat/>
  </w:style>
  <w:style w:type="character" w:styleId="1208">
    <w:name w:val="段1 Char"/>
    <w:next w:val="1208"/>
    <w:link w:val="1073"/>
    <w:qFormat/>
    <w:rPr>
      <w:rFonts w:ascii="宋体" w:eastAsia="宋体"/>
      <w:sz w:val="24"/>
      <w:lang w:val="en-US" w:eastAsia="zh-CN" w:bidi="ar-SA"/>
    </w:rPr>
  </w:style>
  <w:style w:type="character" w:styleId="1209">
    <w:name w:val="UH正文 Char"/>
    <w:next w:val="1209"/>
    <w:link w:val="1210"/>
    <w:qFormat/>
    <w:rPr>
      <w:rFonts w:ascii="Arial" w:hAnsi="Arial"/>
      <w:sz w:val="24"/>
      <w:szCs w:val="21"/>
      <w:lang w:val="en-US" w:eastAsia="zh-CN" w:bidi="ar-SA"/>
    </w:rPr>
  </w:style>
  <w:style w:type="paragraph" w:styleId="1210">
    <w:name w:val="UH正文"/>
    <w:next w:val="1210"/>
    <w:link w:val="1209"/>
    <w:qFormat/>
    <w:pPr>
      <w:ind w:firstLine="200"/>
      <w:spacing w:line="360" w:lineRule="auto"/>
    </w:pPr>
    <w:rPr>
      <w:rFonts w:ascii="Arial" w:hAnsi="Arial"/>
      <w:sz w:val="24"/>
      <w:szCs w:val="21"/>
      <w:lang w:val="en-US" w:eastAsia="zh-CN" w:bidi="ar-SA"/>
    </w:rPr>
  </w:style>
  <w:style w:type="character" w:styleId="1211">
    <w:name w:val="正文表格 Char"/>
    <w:next w:val="1211"/>
    <w:link w:val="1212"/>
    <w:qFormat/>
    <w:rPr>
      <w:rFonts w:ascii="宋体" w:hAnsi="宋体"/>
      <w:color w:val="000000"/>
      <w:szCs w:val="21"/>
    </w:rPr>
  </w:style>
  <w:style w:type="paragraph" w:styleId="1212">
    <w:name w:val="正文表格"/>
    <w:basedOn w:val="1073"/>
    <w:next w:val="1212"/>
    <w:link w:val="1211"/>
    <w:qFormat/>
    <w:pPr>
      <w:jc w:val="left"/>
    </w:pPr>
    <w:rPr>
      <w:rFonts w:ascii="宋体" w:hAnsi="宋体" w:eastAsia="宋体"/>
      <w:color w:val="000000"/>
      <w:sz w:val="20"/>
      <w:szCs w:val="21"/>
    </w:rPr>
  </w:style>
  <w:style w:type="character" w:styleId="1213">
    <w:name w:val="纯文本 Char1"/>
    <w:next w:val="1213"/>
    <w:link w:val="1073"/>
    <w:qFormat/>
    <w:rPr>
      <w:rFonts w:ascii="宋体" w:hAnsi="Courier New" w:eastAsia="宋体"/>
      <w:sz w:val="21"/>
      <w:lang w:val="en-US" w:eastAsia="zh-CN" w:bidi="ar-SA"/>
    </w:rPr>
  </w:style>
  <w:style w:type="character" w:styleId="1214">
    <w:name w:val="文档结构图 Char"/>
    <w:next w:val="1214"/>
    <w:link w:val="1073"/>
    <w:qFormat/>
    <w:rPr>
      <w:szCs w:val="24"/>
      <w:shd w:val="clear" w:color="auto" w:fill="000080"/>
    </w:rPr>
  </w:style>
  <w:style w:type="character" w:styleId="1215">
    <w:name w:val="批注文字 字符"/>
    <w:next w:val="1215"/>
    <w:link w:val="1073"/>
    <w:qFormat/>
    <w:rPr>
      <w:rFonts w:ascii="Times New Roman" w:hAnsi="Times New Roman" w:eastAsia="宋体" w:cs="Times New Roman"/>
      <w:sz w:val="24"/>
      <w:lang w:val="en-US" w:eastAsia="zh-CN" w:bidi="ar-SA"/>
    </w:rPr>
  </w:style>
  <w:style w:type="character" w:styleId="1216">
    <w:name w:val="NormalCharacter1"/>
    <w:next w:val="1216"/>
    <w:link w:val="1073"/>
    <w:qFormat/>
  </w:style>
  <w:style w:type="character" w:styleId="1217">
    <w:name w:val="页眉 Char1"/>
    <w:next w:val="1217"/>
    <w:link w:val="1073"/>
    <w:qFormat/>
    <w:rPr>
      <w:rFonts w:eastAsia="宋体"/>
      <w:sz w:val="18"/>
      <w:szCs w:val="18"/>
      <w:lang w:val="en-US" w:eastAsia="zh-CN" w:bidi="ar-SA"/>
    </w:rPr>
  </w:style>
  <w:style w:type="character" w:styleId="1218">
    <w:name w:val="普通文字1 Char1"/>
    <w:next w:val="1218"/>
    <w:link w:val="1073"/>
    <w:qFormat/>
    <w:rPr>
      <w:rFonts w:ascii="宋体" w:hAnsi="Courier New" w:eastAsia="宋体"/>
      <w:sz w:val="21"/>
      <w:lang w:val="en-US" w:eastAsia="zh-CN" w:bidi="ar-SA"/>
    </w:rPr>
  </w:style>
  <w:style w:type="character" w:styleId="1219">
    <w:name w:val="日期 Char"/>
    <w:next w:val="1219"/>
    <w:link w:val="1073"/>
    <w:qFormat/>
    <w:rPr>
      <w:rFonts w:ascii="仿宋_GB2312" w:hAnsi="宋体" w:eastAsia="仿宋_GB2312"/>
      <w:color w:val="000000"/>
      <w:sz w:val="24"/>
      <w:szCs w:val="24"/>
    </w:rPr>
  </w:style>
  <w:style w:type="character" w:styleId="1220">
    <w:name w:val="列出段落 Char2"/>
    <w:next w:val="1220"/>
    <w:link w:val="1221"/>
    <w:uiPriority w:val="34"/>
    <w:qFormat/>
    <w:rPr>
      <w:rFonts w:ascii="Calibri" w:hAnsi="Calibri"/>
      <w:sz w:val="24"/>
    </w:rPr>
  </w:style>
  <w:style w:type="paragraph" w:styleId="1221">
    <w:name w:val="List Paragraph11"/>
    <w:basedOn w:val="1073"/>
    <w:next w:val="1221"/>
    <w:link w:val="1220"/>
    <w:uiPriority w:val="34"/>
    <w:qFormat/>
    <w:pPr>
      <w:ind w:firstLine="420"/>
      <w:spacing w:line="360" w:lineRule="auto"/>
    </w:pPr>
    <w:rPr>
      <w:rFonts w:eastAsia="宋体"/>
      <w:sz w:val="24"/>
      <w:szCs w:val="20"/>
    </w:rPr>
  </w:style>
  <w:style w:type="character" w:styleId="1222">
    <w:name w:val="方案正文 Char"/>
    <w:next w:val="1222"/>
    <w:link w:val="1223"/>
    <w:qFormat/>
    <w:rPr>
      <w:sz w:val="24"/>
    </w:rPr>
  </w:style>
  <w:style w:type="paragraph" w:styleId="1223">
    <w:name w:val="方案正文"/>
    <w:basedOn w:val="1073"/>
    <w:next w:val="1223"/>
    <w:link w:val="1222"/>
    <w:qFormat/>
    <w:pPr>
      <w:spacing w:line="440" w:lineRule="atLeast"/>
    </w:pPr>
    <w:rPr>
      <w:rFonts w:ascii="Times New Roman" w:hAnsi="Times New Roman" w:eastAsia="宋体"/>
      <w:sz w:val="24"/>
      <w:szCs w:val="20"/>
    </w:rPr>
  </w:style>
  <w:style w:type="character" w:styleId="1224">
    <w:name w:val="批注文字 Char"/>
    <w:next w:val="1224"/>
    <w:link w:val="1073"/>
    <w:uiPriority w:val="99"/>
    <w:qFormat/>
    <w:rPr>
      <w:sz w:val="21"/>
      <w:szCs w:val="24"/>
    </w:rPr>
  </w:style>
  <w:style w:type="character" w:styleId="1225">
    <w:name w:val="无间隔 Char1"/>
    <w:next w:val="1225"/>
    <w:link w:val="1226"/>
    <w:qFormat/>
    <w:rPr>
      <w:sz w:val="24"/>
      <w:szCs w:val="24"/>
      <w:lang w:val="en-US" w:eastAsia="zh-CN" w:bidi="ar-SA"/>
    </w:rPr>
  </w:style>
  <w:style w:type="paragraph" w:styleId="1226">
    <w:name w:val="No Spacing1"/>
    <w:next w:val="1226"/>
    <w:link w:val="1225"/>
    <w:qFormat/>
    <w:pPr>
      <w:ind w:firstLine="200"/>
      <w:jc w:val="both"/>
      <w:spacing w:line="360" w:lineRule="auto"/>
      <w:widowControl w:val="off"/>
    </w:pPr>
    <w:rPr>
      <w:sz w:val="24"/>
      <w:szCs w:val="24"/>
      <w:lang w:val="en-US" w:eastAsia="zh-CN" w:bidi="ar-SA"/>
    </w:rPr>
  </w:style>
  <w:style w:type="character" w:styleId="1227">
    <w:name w:val="王兴华的论文正文 Char"/>
    <w:next w:val="1227"/>
    <w:link w:val="1228"/>
    <w:qFormat/>
    <w:rPr>
      <w:sz w:val="24"/>
      <w:szCs w:val="24"/>
    </w:rPr>
  </w:style>
  <w:style w:type="paragraph" w:styleId="1228">
    <w:name w:val="王兴华的论文正文"/>
    <w:basedOn w:val="1099"/>
    <w:next w:val="1228"/>
    <w:link w:val="1227"/>
    <w:qFormat/>
    <w:pPr>
      <w:ind w:firstLine="200"/>
      <w:jc w:val="both"/>
      <w:spacing w:line="360" w:lineRule="auto"/>
    </w:pPr>
    <w:rPr>
      <w:rFonts w:ascii="Times New Roman"/>
    </w:rPr>
  </w:style>
  <w:style w:type="character" w:styleId="1229">
    <w:name w:val="标题 2 Char1"/>
    <w:next w:val="1229"/>
    <w:link w:val="1073"/>
    <w:qFormat/>
    <w:rPr>
      <w:rFonts w:ascii="Arial" w:hAnsi="Arial" w:eastAsia="黑体" w:cs="Times New Roman"/>
      <w:b/>
      <w:sz w:val="30"/>
      <w:szCs w:val="20"/>
    </w:rPr>
  </w:style>
  <w:style w:type="character" w:styleId="1230">
    <w:name w:val="chanpin1"/>
    <w:next w:val="1230"/>
    <w:link w:val="1073"/>
    <w:qFormat/>
    <w:rPr>
      <w:rFonts w:ascii="ˎ̥" w:hAnsi="ˎ̥"/>
      <w:color w:val="000000"/>
      <w:sz w:val="20"/>
      <w:szCs w:val="20"/>
      <w:u w:val="none"/>
    </w:rPr>
  </w:style>
  <w:style w:type="character" w:styleId="1231">
    <w:name w:val="black1"/>
    <w:next w:val="1231"/>
    <w:link w:val="1073"/>
    <w:qFormat/>
    <w:rPr>
      <w:color w:val="000000"/>
    </w:rPr>
  </w:style>
  <w:style w:type="character" w:styleId="1232">
    <w:name w:val="纯文本 Char"/>
    <w:next w:val="1232"/>
    <w:link w:val="1073"/>
    <w:qFormat/>
    <w:rPr>
      <w:rFonts w:ascii="宋体" w:hAnsi="Courier New" w:eastAsia="宋体" w:cs="宋体"/>
    </w:rPr>
  </w:style>
  <w:style w:type="character" w:styleId="1233">
    <w:name w:val="纯文本 字符1"/>
    <w:next w:val="1233"/>
    <w:link w:val="1073"/>
    <w:qFormat/>
    <w:rPr>
      <w:rFonts w:ascii="宋体" w:hAnsi="Courier New"/>
    </w:rPr>
  </w:style>
  <w:style w:type="character" w:styleId="1234">
    <w:name w:val="正文2 字符"/>
    <w:next w:val="1234"/>
    <w:link w:val="1235"/>
    <w:qFormat/>
    <w:rPr>
      <w:sz w:val="24"/>
      <w:szCs w:val="24"/>
    </w:rPr>
  </w:style>
  <w:style w:type="paragraph" w:styleId="1235">
    <w:name w:val="正文2"/>
    <w:basedOn w:val="1073"/>
    <w:next w:val="1235"/>
    <w:link w:val="1234"/>
    <w:qFormat/>
    <w:pPr>
      <w:ind w:firstLine="420"/>
      <w:spacing w:line="360" w:lineRule="auto"/>
    </w:pPr>
    <w:rPr>
      <w:rFonts w:ascii="Times New Roman" w:hAnsi="Times New Roman" w:eastAsia="宋体"/>
      <w:sz w:val="24"/>
    </w:rPr>
  </w:style>
  <w:style w:type="character" w:styleId="1236">
    <w:name w:val="HTML 预设格式 Char"/>
    <w:next w:val="1236"/>
    <w:link w:val="1073"/>
    <w:qFormat/>
    <w:rPr>
      <w:rFonts w:ascii="宋体" w:hAnsi="宋体" w:cs="宋体"/>
      <w:sz w:val="24"/>
      <w:szCs w:val="24"/>
    </w:rPr>
  </w:style>
  <w:style w:type="character" w:styleId="1237">
    <w:name w:val="c21"/>
    <w:next w:val="1237"/>
    <w:link w:val="1073"/>
    <w:qFormat/>
    <w:rPr>
      <w:rFonts w:ascii="ˎ̥" w:hAnsi="ˎ̥"/>
      <w:color w:val="000000"/>
      <w:sz w:val="20"/>
      <w:szCs w:val="20"/>
      <w:u w:val="none"/>
    </w:rPr>
  </w:style>
  <w:style w:type="character" w:styleId="1238">
    <w:name w:val="_正文 Char"/>
    <w:next w:val="1238"/>
    <w:link w:val="1239"/>
    <w:qFormat/>
    <w:rPr>
      <w:sz w:val="24"/>
      <w:szCs w:val="24"/>
    </w:rPr>
  </w:style>
  <w:style w:type="paragraph" w:styleId="1239">
    <w:name w:val="_正文"/>
    <w:basedOn w:val="1073"/>
    <w:next w:val="1239"/>
    <w:link w:val="1238"/>
    <w:qFormat/>
    <w:pPr>
      <w:ind w:firstLine="200"/>
      <w:spacing w:line="360" w:lineRule="auto"/>
    </w:pPr>
    <w:rPr>
      <w:rFonts w:ascii="Times New Roman" w:hAnsi="Times New Roman" w:eastAsia="宋体"/>
      <w:sz w:val="24"/>
    </w:rPr>
  </w:style>
  <w:style w:type="character" w:styleId="1240">
    <w:name w:val="纯文本 字符"/>
    <w:next w:val="1240"/>
    <w:link w:val="1073"/>
    <w:qFormat/>
    <w:rPr>
      <w:rFonts w:ascii="宋体" w:hAnsi="Courier New" w:eastAsia="宋体" w:cs="Times New Roman"/>
      <w:sz w:val="21"/>
      <w:szCs w:val="21"/>
      <w:lang w:val="en-US" w:eastAsia="zh-CN" w:bidi="ar-SA"/>
    </w:rPr>
  </w:style>
  <w:style w:type="character" w:styleId="1241">
    <w:name w:val="正文文本缩进 Char"/>
    <w:next w:val="1241"/>
    <w:link w:val="1073"/>
    <w:uiPriority w:val="99"/>
    <w:qFormat/>
    <w:rPr>
      <w:rFonts w:eastAsia="宋体"/>
      <w:sz w:val="24"/>
      <w:szCs w:val="24"/>
      <w:lang w:val="en-US" w:eastAsia="zh-CN" w:bidi="ar-SA"/>
    </w:rPr>
  </w:style>
  <w:style w:type="character" w:styleId="1242">
    <w:name w:val="Char Char111"/>
    <w:next w:val="1242"/>
    <w:link w:val="1073"/>
    <w:qFormat/>
    <w:rPr>
      <w:rFonts w:ascii="宋体" w:eastAsia="宋体"/>
      <w:b/>
      <w:sz w:val="24"/>
      <w:u w:val="single"/>
      <w:lang w:val="en-US" w:eastAsia="zh-CN" w:bidi="ar-SA"/>
    </w:rPr>
  </w:style>
  <w:style w:type="character" w:styleId="1243">
    <w:name w:val="*正文 Char"/>
    <w:next w:val="1243"/>
    <w:link w:val="1244"/>
    <w:qFormat/>
    <w:rPr>
      <w:rFonts w:ascii="宋体" w:hAnsi="宋体" w:eastAsia="微软雅黑" w:cs="Times New Roman"/>
      <w:sz w:val="24"/>
      <w:szCs w:val="24"/>
      <w:lang w:val="zh-CN"/>
    </w:rPr>
  </w:style>
  <w:style w:type="paragraph" w:styleId="1244">
    <w:name w:val="*正文"/>
    <w:basedOn w:val="1073"/>
    <w:next w:val="1073"/>
    <w:link w:val="1243"/>
    <w:qFormat/>
    <w:rPr>
      <w:rFonts w:ascii="宋体" w:hAnsi="宋体"/>
      <w:sz w:val="24"/>
      <w:lang w:val="zh-CN"/>
    </w:rPr>
  </w:style>
  <w:style w:type="character" w:styleId="1245">
    <w:name w:val="列出段落 Char"/>
    <w:next w:val="1245"/>
    <w:link w:val="1073"/>
    <w:uiPriority w:val="34"/>
    <w:qFormat/>
    <w:rPr>
      <w:rFonts w:ascii="Calibri" w:hAnsi="Calibri" w:eastAsia="宋体"/>
      <w:sz w:val="21"/>
      <w:szCs w:val="22"/>
      <w:lang w:val="en-US" w:eastAsia="zh-CN" w:bidi="ar-SA"/>
    </w:rPr>
  </w:style>
  <w:style w:type="character" w:styleId="1246">
    <w:name w:val="Char Char11"/>
    <w:next w:val="1246"/>
    <w:link w:val="1073"/>
    <w:qFormat/>
    <w:rPr>
      <w:rFonts w:ascii="宋体" w:eastAsia="宋体"/>
      <w:b/>
      <w:sz w:val="24"/>
      <w:u w:val="single"/>
      <w:lang w:val="en-US" w:eastAsia="zh-CN" w:bidi="ar-SA"/>
    </w:rPr>
  </w:style>
  <w:style w:type="character" w:styleId="1247">
    <w:name w:val="注释 Char"/>
    <w:next w:val="1247"/>
    <w:link w:val="1248"/>
    <w:qFormat/>
    <w:rPr>
      <w:rFonts w:ascii="宋体" w:hAnsi="宋体"/>
      <w:szCs w:val="21"/>
    </w:rPr>
  </w:style>
  <w:style w:type="paragraph" w:styleId="1248">
    <w:name w:val="注释"/>
    <w:basedOn w:val="1073"/>
    <w:next w:val="1248"/>
    <w:link w:val="1247"/>
    <w:qFormat/>
    <w:pPr>
      <w:ind w:left="420" w:hanging="420"/>
      <w:jc w:val="left"/>
    </w:pPr>
    <w:rPr>
      <w:rFonts w:ascii="宋体" w:hAnsi="宋体" w:eastAsia="宋体"/>
      <w:sz w:val="20"/>
      <w:szCs w:val="21"/>
    </w:rPr>
  </w:style>
  <w:style w:type="character" w:styleId="1249">
    <w:name w:val="chanpin拷贝"/>
    <w:next w:val="1249"/>
    <w:link w:val="1073"/>
    <w:qFormat/>
  </w:style>
  <w:style w:type="character" w:styleId="1250">
    <w:name w:val="正文重点 Char"/>
    <w:next w:val="1250"/>
    <w:link w:val="1251"/>
    <w:qFormat/>
    <w:rPr>
      <w:b/>
      <w:sz w:val="24"/>
    </w:rPr>
  </w:style>
  <w:style w:type="paragraph" w:styleId="1251">
    <w:name w:val="正文重点"/>
    <w:basedOn w:val="1073"/>
    <w:next w:val="1251"/>
    <w:link w:val="1250"/>
    <w:qFormat/>
    <w:pPr>
      <w:ind w:firstLine="482"/>
      <w:jc w:val="left"/>
      <w:spacing w:line="360" w:lineRule="auto"/>
    </w:pPr>
    <w:rPr>
      <w:rFonts w:ascii="Times New Roman" w:hAnsi="Times New Roman" w:eastAsia="宋体"/>
      <w:b/>
      <w:sz w:val="24"/>
      <w:szCs w:val="20"/>
    </w:rPr>
  </w:style>
  <w:style w:type="character" w:styleId="1252">
    <w:name w:val="Plain Text Char"/>
    <w:next w:val="1252"/>
    <w:link w:val="1253"/>
    <w:qFormat/>
    <w:rPr>
      <w:rFonts w:ascii="宋体" w:hAnsi="Courier New" w:eastAsia="楷体_GB2312"/>
      <w:sz w:val="26"/>
    </w:rPr>
  </w:style>
  <w:style w:type="paragraph" w:styleId="1253">
    <w:name w:val="纯文本5"/>
    <w:basedOn w:val="1073"/>
    <w:next w:val="1253"/>
    <w:link w:val="1252"/>
    <w:qFormat/>
    <w:rPr>
      <w:rFonts w:ascii="宋体" w:hAnsi="Courier New" w:eastAsia="楷体_GB2312"/>
      <w:sz w:val="26"/>
      <w:szCs w:val="20"/>
    </w:rPr>
  </w:style>
  <w:style w:type="character" w:styleId="1254">
    <w:name w:val="正文文本缩进 Char2"/>
    <w:next w:val="1254"/>
    <w:link w:val="1073"/>
    <w:qFormat/>
    <w:rPr>
      <w:rFonts w:eastAsia="宋体"/>
      <w:sz w:val="24"/>
      <w:szCs w:val="24"/>
      <w:lang w:val="en-US" w:eastAsia="zh-CN" w:bidi="ar-SA"/>
    </w:rPr>
  </w:style>
  <w:style w:type="character" w:styleId="1255">
    <w:name w:val="列出段落 字符"/>
    <w:next w:val="1255"/>
    <w:link w:val="1256"/>
    <w:uiPriority w:val="34"/>
    <w:qFormat/>
    <w:rPr>
      <w:rFonts w:ascii="Calibri" w:hAnsi="Calibri" w:eastAsia="微软雅黑"/>
      <w:sz w:val="21"/>
      <w:szCs w:val="22"/>
    </w:rPr>
  </w:style>
  <w:style w:type="paragraph" w:styleId="1256">
    <w:name w:val="列出段落1"/>
    <w:basedOn w:val="1073"/>
    <w:next w:val="1256"/>
    <w:link w:val="1255"/>
    <w:uiPriority w:val="34"/>
    <w:qFormat/>
    <w:pPr>
      <w:ind w:firstLine="420"/>
    </w:pPr>
    <w:rPr>
      <w:szCs w:val="22"/>
    </w:rPr>
  </w:style>
  <w:style w:type="character" w:styleId="1257">
    <w:name w:val="正文格式 Char"/>
    <w:next w:val="1257"/>
    <w:link w:val="1258"/>
    <w:qFormat/>
    <w:rPr>
      <w:rFonts w:ascii="宋体" w:hAnsi="宋体"/>
      <w:sz w:val="24"/>
      <w:szCs w:val="24"/>
      <w:lang w:val="en-GB"/>
    </w:rPr>
  </w:style>
  <w:style w:type="paragraph" w:styleId="1258">
    <w:name w:val="正文格式"/>
    <w:basedOn w:val="1073"/>
    <w:next w:val="1258"/>
    <w:link w:val="1257"/>
    <w:qFormat/>
    <w:pPr>
      <w:ind w:firstLine="480"/>
      <w:spacing w:line="360" w:lineRule="auto"/>
    </w:pPr>
    <w:rPr>
      <w:rFonts w:ascii="宋体" w:hAnsi="宋体" w:eastAsia="宋体"/>
      <w:sz w:val="24"/>
      <w:lang w:val="en-GB"/>
    </w:rPr>
  </w:style>
  <w:style w:type="character" w:styleId="1259">
    <w:name w:val="Andy_正文 Char"/>
    <w:next w:val="1259"/>
    <w:link w:val="1260"/>
    <w:qFormat/>
    <w:rPr>
      <w:rFonts w:ascii="Calibri" w:hAnsi="Calibri"/>
      <w:sz w:val="24"/>
      <w:szCs w:val="24"/>
    </w:rPr>
  </w:style>
  <w:style w:type="paragraph" w:styleId="1260">
    <w:name w:val="Andy_正文"/>
    <w:basedOn w:val="1073"/>
    <w:next w:val="1260"/>
    <w:link w:val="1259"/>
    <w:qFormat/>
    <w:pPr>
      <w:ind w:firstLine="480"/>
      <w:spacing w:line="360" w:lineRule="auto"/>
    </w:pPr>
    <w:rPr>
      <w:rFonts w:eastAsia="宋体"/>
      <w:sz w:val="24"/>
    </w:rPr>
  </w:style>
  <w:style w:type="character" w:styleId="1261">
    <w:name w:val="正文缩进 Char"/>
    <w:next w:val="1261"/>
    <w:link w:val="1073"/>
    <w:qFormat/>
    <w:rPr>
      <w:rFonts w:ascii="宋体" w:eastAsia="宋体"/>
      <w:sz w:val="24"/>
      <w:szCs w:val="24"/>
      <w:lang w:val="en-US" w:eastAsia="zh-CN" w:bidi="ar-SA"/>
    </w:rPr>
  </w:style>
  <w:style w:type="character" w:styleId="1262">
    <w:name w:val="表格正文 Char"/>
    <w:next w:val="1262"/>
    <w:link w:val="1263"/>
    <w:qFormat/>
    <w:rPr>
      <w:rFonts w:ascii="等线" w:hAnsi="等线"/>
      <w:sz w:val="21"/>
      <w:szCs w:val="21"/>
    </w:rPr>
  </w:style>
  <w:style w:type="paragraph" w:styleId="1263">
    <w:name w:val="表格正文"/>
    <w:basedOn w:val="1073"/>
    <w:next w:val="1263"/>
    <w:link w:val="1262"/>
    <w:qFormat/>
    <w:rPr>
      <w:rFonts w:ascii="等线" w:hAnsi="等线" w:eastAsia="宋体"/>
      <w:szCs w:val="21"/>
    </w:rPr>
  </w:style>
  <w:style w:type="character" w:styleId="1264">
    <w:name w:val="bjh-p"/>
    <w:next w:val="1264"/>
    <w:link w:val="1073"/>
    <w:qFormat/>
  </w:style>
  <w:style w:type="character" w:styleId="1265">
    <w:name w:val="表格 Char"/>
    <w:next w:val="1265"/>
    <w:link w:val="1266"/>
    <w:qFormat/>
    <w:rPr>
      <w:rFonts w:ascii="等线" w:hAnsi="等线"/>
      <w:color w:val="000000"/>
      <w:szCs w:val="21"/>
      <w:lang w:val="en-US" w:eastAsia="zh-CN" w:bidi="ar-SA"/>
    </w:rPr>
  </w:style>
  <w:style w:type="paragraph" w:styleId="1266">
    <w:name w:val="表格"/>
    <w:next w:val="1073"/>
    <w:link w:val="1265"/>
    <w:qFormat/>
    <w:rPr>
      <w:rFonts w:ascii="等线" w:hAnsi="等线"/>
      <w:color w:val="000000"/>
      <w:szCs w:val="21"/>
      <w:lang w:val="en-US" w:eastAsia="zh-CN" w:bidi="ar-SA"/>
    </w:rPr>
  </w:style>
  <w:style w:type="character" w:styleId="1267">
    <w:name w:val="无"/>
    <w:next w:val="1267"/>
    <w:link w:val="1073"/>
    <w:uiPriority w:val="99"/>
    <w:qFormat/>
  </w:style>
  <w:style w:type="character" w:styleId="1268">
    <w:name w:val="批注文字 Char1"/>
    <w:next w:val="1268"/>
    <w:link w:val="1073"/>
    <w:uiPriority w:val="99"/>
    <w:qFormat/>
    <w:rPr>
      <w:szCs w:val="24"/>
    </w:rPr>
  </w:style>
  <w:style w:type="character" w:styleId="1269">
    <w:name w:val="样式6 Char"/>
    <w:next w:val="1269"/>
    <w:link w:val="1270"/>
    <w:qFormat/>
    <w:rPr>
      <w:rFonts w:ascii="Arial" w:hAnsi="Arial"/>
      <w:b/>
      <w:bCs/>
      <w:sz w:val="28"/>
      <w:szCs w:val="32"/>
    </w:rPr>
  </w:style>
  <w:style w:type="paragraph" w:styleId="1270">
    <w:name w:val="样式6"/>
    <w:basedOn w:val="1075"/>
    <w:next w:val="1270"/>
    <w:link w:val="1269"/>
    <w:qFormat/>
    <w:pPr>
      <w:jc w:val="both"/>
      <w:spacing w:before="0" w:line="240" w:lineRule="auto"/>
    </w:pPr>
    <w:rPr>
      <w:rFonts w:eastAsia="宋体"/>
      <w:bCs/>
      <w:sz w:val="28"/>
      <w:szCs w:val="32"/>
    </w:rPr>
  </w:style>
  <w:style w:type="character" w:styleId="1271">
    <w:name w:val="title4"/>
    <w:next w:val="1271"/>
    <w:link w:val="1073"/>
    <w:qFormat/>
    <w:rPr>
      <w:b/>
      <w:bCs/>
      <w:color w:val="1d87b3"/>
      <w:sz w:val="15"/>
      <w:szCs w:val="15"/>
    </w:rPr>
  </w:style>
  <w:style w:type="character" w:styleId="1272">
    <w:name w:val="标题 Char1"/>
    <w:next w:val="1272"/>
    <w:link w:val="1073"/>
    <w:qFormat/>
    <w:rPr>
      <w:b/>
      <w:sz w:val="32"/>
    </w:rPr>
  </w:style>
  <w:style w:type="character" w:styleId="1273">
    <w:name w:val="正文文本 Char"/>
    <w:next w:val="1273"/>
    <w:link w:val="1073"/>
    <w:qFormat/>
    <w:rPr>
      <w:rFonts w:ascii="宋体" w:hAnsi="宋体"/>
      <w:sz w:val="24"/>
      <w:szCs w:val="24"/>
    </w:rPr>
  </w:style>
  <w:style w:type="character" w:styleId="1274">
    <w:name w:val="纯文本 Char Char"/>
    <w:next w:val="1274"/>
    <w:link w:val="1275"/>
    <w:qFormat/>
    <w:rPr>
      <w:rFonts w:ascii="宋体" w:hAnsi="Courier New" w:eastAsia="楷体_GB2312"/>
      <w:sz w:val="26"/>
      <w:szCs w:val="24"/>
    </w:rPr>
  </w:style>
  <w:style w:type="paragraph" w:styleId="1275">
    <w:name w:val="纯文本11"/>
    <w:basedOn w:val="1073"/>
    <w:next w:val="1276"/>
    <w:link w:val="1274"/>
    <w:qFormat/>
    <w:pPr>
      <w:jc w:val="left"/>
      <w:widowControl/>
    </w:pPr>
    <w:rPr>
      <w:rFonts w:ascii="宋体" w:hAnsi="Courier New" w:eastAsia="楷体_GB2312"/>
      <w:sz w:val="26"/>
    </w:rPr>
  </w:style>
  <w:style w:type="paragraph" w:styleId="1276">
    <w:name w:val="页眉1"/>
    <w:basedOn w:val="1073"/>
    <w:next w:val="1073"/>
    <w:link w:val="107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277">
    <w:name w:val="正文文本缩进 3 Char"/>
    <w:next w:val="1277"/>
    <w:link w:val="1073"/>
    <w:uiPriority w:val="99"/>
    <w:qFormat/>
    <w:rPr>
      <w:rFonts w:ascii="宋体"/>
      <w:sz w:val="24"/>
    </w:rPr>
  </w:style>
  <w:style w:type="character" w:styleId="1278">
    <w:name w:val="正文文本缩进 2 Char"/>
    <w:next w:val="1278"/>
    <w:link w:val="1073"/>
    <w:qFormat/>
    <w:rPr>
      <w:rFonts w:ascii="仿宋_GB2312" w:eastAsia="仿宋_GB2312"/>
      <w:sz w:val="24"/>
      <w:szCs w:val="24"/>
    </w:rPr>
  </w:style>
  <w:style w:type="character" w:styleId="1279">
    <w:name w:val="中等深浅网格 1 - 强调文字颜色 2 Char"/>
    <w:next w:val="1279"/>
    <w:link w:val="1280"/>
    <w:qFormat/>
    <w:rPr>
      <w:rFonts w:ascii="Calibri" w:hAnsi="Calibri"/>
      <w:sz w:val="21"/>
      <w:szCs w:val="24"/>
      <w:lang w:val="zh-CN" w:eastAsia="zh-CN" w:bidi="ar-SA"/>
    </w:rPr>
  </w:style>
  <w:style w:type="paragraph" w:styleId="1280">
    <w:name w:val="1"/>
    <w:next w:val="1280"/>
    <w:link w:val="1279"/>
    <w:qFormat/>
    <w:rPr>
      <w:rFonts w:ascii="Calibri" w:hAnsi="Calibri"/>
      <w:sz w:val="21"/>
      <w:szCs w:val="24"/>
      <w:lang w:val="zh-CN" w:eastAsia="zh-CN" w:bidi="ar-SA"/>
    </w:rPr>
  </w:style>
  <w:style w:type="character" w:styleId="1281">
    <w:name w:val="Andy_2级 Char"/>
    <w:next w:val="1281"/>
    <w:link w:val="1282"/>
    <w:qFormat/>
    <w:rPr>
      <w:rFonts w:ascii="Calibri" w:hAnsi="Calibri"/>
      <w:sz w:val="24"/>
    </w:rPr>
  </w:style>
  <w:style w:type="paragraph" w:styleId="1282">
    <w:name w:val="Andy_2级"/>
    <w:basedOn w:val="1073"/>
    <w:next w:val="1282"/>
    <w:link w:val="1281"/>
    <w:qFormat/>
    <w:pPr>
      <w:ind w:left="840" w:hanging="420"/>
      <w:spacing w:line="360" w:lineRule="auto"/>
      <w:tabs>
        <w:tab w:val="left" w:pos="840" w:leader="none"/>
      </w:tabs>
    </w:pPr>
    <w:rPr>
      <w:rFonts w:eastAsia="宋体"/>
      <w:sz w:val="24"/>
      <w:szCs w:val="20"/>
    </w:rPr>
  </w:style>
  <w:style w:type="character" w:styleId="1283">
    <w:name w:val="标题 Char"/>
    <w:next w:val="1283"/>
    <w:link w:val="1073"/>
    <w:qFormat/>
    <w:rPr>
      <w:b/>
      <w:sz w:val="32"/>
    </w:rPr>
  </w:style>
  <w:style w:type="character" w:styleId="1284">
    <w:name w:val="正文首行缩进 2 Char"/>
    <w:next w:val="1284"/>
    <w:link w:val="1073"/>
    <w:qFormat/>
    <w:rPr>
      <w:lang w:val="en-US" w:eastAsia="zh-CN" w:bidi="ar-SA"/>
    </w:rPr>
  </w:style>
  <w:style w:type="character" w:styleId="1285">
    <w:name w:val="正文文本缩进 Char1"/>
    <w:next w:val="1285"/>
    <w:link w:val="1286"/>
    <w:qFormat/>
    <w:rPr>
      <w:rFonts w:ascii="宋体" w:hAnsi="宋体" w:eastAsia="宋体"/>
      <w:sz w:val="24"/>
      <w:szCs w:val="24"/>
    </w:rPr>
  </w:style>
  <w:style w:type="paragraph" w:styleId="1286">
    <w:name w:val="正文文本缩进1"/>
    <w:basedOn w:val="1073"/>
    <w:next w:val="1287"/>
    <w:link w:val="1285"/>
    <w:qFormat/>
    <w:pPr>
      <w:ind w:firstLine="480"/>
      <w:spacing w:line="480" w:lineRule="exact"/>
    </w:pPr>
    <w:rPr>
      <w:rFonts w:ascii="宋体" w:hAnsi="宋体" w:eastAsia="宋体"/>
      <w:sz w:val="24"/>
    </w:rPr>
  </w:style>
  <w:style w:type="paragraph" w:styleId="1287">
    <w:name w:val="寄信人地址1"/>
    <w:basedOn w:val="1073"/>
    <w:next w:val="1287"/>
    <w:link w:val="1073"/>
    <w:qFormat/>
    <w:rPr>
      <w:sz w:val="26"/>
    </w:rPr>
  </w:style>
  <w:style w:type="character" w:styleId="1288">
    <w:name w:val="txt"/>
    <w:next w:val="1288"/>
    <w:link w:val="1073"/>
    <w:qFormat/>
  </w:style>
  <w:style w:type="character" w:styleId="1289">
    <w:name w:val="批注框文本 Char"/>
    <w:next w:val="1289"/>
    <w:link w:val="1073"/>
    <w:uiPriority w:val="99"/>
    <w:qFormat/>
    <w:rPr>
      <w:sz w:val="18"/>
      <w:szCs w:val="18"/>
    </w:rPr>
  </w:style>
  <w:style w:type="character" w:styleId="1290">
    <w:name w:val="无间隔 Char"/>
    <w:next w:val="1290"/>
    <w:link w:val="1291"/>
    <w:uiPriority w:val="1"/>
    <w:qFormat/>
    <w:rPr>
      <w:rFonts w:ascii="Calibri" w:hAnsi="Calibri"/>
      <w:sz w:val="22"/>
      <w:szCs w:val="22"/>
      <w:lang w:val="en-US" w:eastAsia="zh-CN" w:bidi="ar-SA"/>
    </w:rPr>
  </w:style>
  <w:style w:type="paragraph" w:styleId="1291">
    <w:name w:val="无间隔1"/>
    <w:next w:val="1291"/>
    <w:link w:val="1290"/>
    <w:uiPriority w:val="1"/>
    <w:qFormat/>
    <w:rPr>
      <w:rFonts w:ascii="Calibri" w:hAnsi="Calibri"/>
      <w:sz w:val="22"/>
      <w:szCs w:val="22"/>
      <w:lang w:val="en-US" w:eastAsia="zh-CN" w:bidi="ar-SA"/>
    </w:rPr>
  </w:style>
  <w:style w:type="character" w:styleId="1292">
    <w:name w:val="正文首行缩进2字 Char"/>
    <w:next w:val="1292"/>
    <w:link w:val="1293"/>
    <w:qFormat/>
    <w:rPr>
      <w:rFonts w:eastAsia="楷体_GB2312"/>
      <w:sz w:val="24"/>
      <w:szCs w:val="24"/>
    </w:rPr>
  </w:style>
  <w:style w:type="paragraph" w:styleId="1293">
    <w:name w:val="正文首行缩进2字"/>
    <w:basedOn w:val="1073"/>
    <w:next w:val="1293"/>
    <w:link w:val="1292"/>
    <w:qFormat/>
    <w:pPr>
      <w:ind w:firstLine="540"/>
      <w:spacing w:line="288" w:lineRule="auto"/>
    </w:pPr>
    <w:rPr>
      <w:rFonts w:ascii="Times New Roman" w:hAnsi="Times New Roman" w:eastAsia="楷体_GB2312"/>
      <w:sz w:val="24"/>
    </w:rPr>
  </w:style>
  <w:style w:type="character" w:styleId="1294">
    <w:name w:val="批注主题 Char"/>
    <w:next w:val="1294"/>
    <w:link w:val="1073"/>
    <w:uiPriority w:val="99"/>
    <w:qFormat/>
    <w:rPr>
      <w:b/>
      <w:bCs/>
      <w:szCs w:val="24"/>
      <w:lang w:val="en-US" w:eastAsia="zh-CN" w:bidi="ar-SA"/>
    </w:rPr>
  </w:style>
  <w:style w:type="character" w:styleId="1295">
    <w:name w:val="文章正文 字符"/>
    <w:next w:val="1295"/>
    <w:link w:val="1296"/>
    <w:qFormat/>
    <w:rPr>
      <w:sz w:val="24"/>
    </w:rPr>
  </w:style>
  <w:style w:type="paragraph" w:styleId="1296">
    <w:name w:val="文章正文"/>
    <w:basedOn w:val="1073"/>
    <w:next w:val="1296"/>
    <w:link w:val="1295"/>
    <w:qFormat/>
    <w:pPr>
      <w:ind w:firstLine="560"/>
      <w:jc w:val="left"/>
      <w:spacing w:line="360" w:lineRule="auto"/>
      <w:widowControl/>
    </w:pPr>
    <w:rPr>
      <w:rFonts w:ascii="Times New Roman" w:hAnsi="Times New Roman" w:eastAsia="宋体"/>
      <w:sz w:val="24"/>
      <w:szCs w:val="20"/>
    </w:rPr>
  </w:style>
  <w:style w:type="paragraph" w:styleId="1297">
    <w:name w:val="项目符号1"/>
    <w:basedOn w:val="1298"/>
    <w:next w:val="1297"/>
    <w:link w:val="1073"/>
    <w:qFormat/>
    <w:pPr>
      <w:ind w:left="-25" w:firstLine="0"/>
    </w:pPr>
  </w:style>
  <w:style w:type="paragraph" w:styleId="1298">
    <w:name w:val="正文文本样式"/>
    <w:basedOn w:val="1073"/>
    <w:next w:val="1298"/>
    <w:link w:val="1073"/>
    <w:qFormat/>
    <w:pPr>
      <w:ind w:firstLine="482"/>
      <w:spacing w:line="360" w:lineRule="auto"/>
    </w:pPr>
    <w:rPr>
      <w:rFonts w:cs="宋体"/>
      <w:sz w:val="24"/>
      <w:szCs w:val="20"/>
    </w:rPr>
  </w:style>
  <w:style w:type="paragraph" w:styleId="1299">
    <w:name w:val="正文 + 宋体"/>
    <w:basedOn w:val="1073"/>
    <w:next w:val="1299"/>
    <w:link w:val="1073"/>
    <w:qFormat/>
    <w:pPr>
      <w:ind w:left="360" w:hanging="360"/>
      <w:jc w:val="left"/>
      <w:widowControl/>
    </w:pPr>
    <w:rPr>
      <w:rFonts w:ascii="宋体" w:hAnsi="宋体" w:cs="宋体"/>
      <w:b/>
      <w:bCs/>
      <w:color w:val="000000"/>
      <w:sz w:val="18"/>
      <w:szCs w:val="18"/>
    </w:rPr>
  </w:style>
  <w:style w:type="paragraph" w:styleId="1300">
    <w:name w:val="xl24"/>
    <w:basedOn w:val="1073"/>
    <w:next w:val="1300"/>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1 Char Char Char Char"/>
    <w:basedOn w:val="1073"/>
    <w:next w:val="1301"/>
    <w:link w:val="1073"/>
    <w:qFormat/>
    <w:rPr>
      <w:rFonts w:ascii="Tahoma" w:hAnsi="Tahoma"/>
      <w:sz w:val="24"/>
      <w:szCs w:val="20"/>
    </w:rPr>
  </w:style>
  <w:style w:type="paragraph" w:styleId="1302">
    <w:name w:val="表格文字"/>
    <w:basedOn w:val="1109"/>
    <w:next w:val="1302"/>
    <w:link w:val="1073"/>
    <w:qFormat/>
    <w:pPr>
      <w:ind w:left="0"/>
      <w:spacing w:before="20" w:after="20"/>
    </w:pPr>
    <w:rPr>
      <w:rFonts w:ascii="Century Gothic" w:hAnsi="Century Gothic"/>
      <w:sz w:val="20"/>
      <w:szCs w:val="20"/>
    </w:rPr>
  </w:style>
  <w:style w:type="paragraph" w:styleId="1303">
    <w:name w:val="xl35"/>
    <w:basedOn w:val="1073"/>
    <w:next w:val="1303"/>
    <w:link w:val="10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4">
    <w:name w:val="xl45"/>
    <w:basedOn w:val="1073"/>
    <w:next w:val="1304"/>
    <w:link w:val="10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5">
    <w:name w:val="xl30"/>
    <w:basedOn w:val="1073"/>
    <w:next w:val="1305"/>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name w:val="缺省文本"/>
    <w:basedOn w:val="1073"/>
    <w:next w:val="1306"/>
    <w:link w:val="1073"/>
    <w:qFormat/>
    <w:pPr>
      <w:jc w:val="left"/>
    </w:pPr>
    <w:rPr>
      <w:sz w:val="24"/>
    </w:rPr>
  </w:style>
  <w:style w:type="paragraph" w:styleId="1307">
    <w:name w:val="xl51"/>
    <w:basedOn w:val="1073"/>
    <w:next w:val="1307"/>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8">
    <w:name w:val="样式 首行缩进:  0 字符"/>
    <w:basedOn w:val="1073"/>
    <w:next w:val="1308"/>
    <w:link w:val="1073"/>
    <w:qFormat/>
    <w:pPr>
      <w:ind w:firstLine="200"/>
      <w:spacing w:line="360" w:lineRule="auto"/>
    </w:pPr>
    <w:rPr>
      <w:rFonts w:ascii="Arial" w:hAnsi="Arial" w:cs="宋体"/>
      <w:sz w:val="24"/>
      <w:szCs w:val="20"/>
    </w:rPr>
  </w:style>
  <w:style w:type="paragraph" w:styleId="1309">
    <w:name w:val="Char Char1 Char Char Char Char Char Char Char Char"/>
    <w:basedOn w:val="1073"/>
    <w:next w:val="1309"/>
    <w:link w:val="1073"/>
    <w:qFormat/>
    <w:pPr>
      <w:jc w:val="left"/>
      <w:spacing w:after="160" w:line="240" w:lineRule="exact"/>
      <w:widowControl/>
    </w:pPr>
    <w:rPr>
      <w:rFonts w:ascii="Verdana" w:hAnsi="Verdana"/>
      <w:sz w:val="20"/>
      <w:szCs w:val="20"/>
      <w:lang w:eastAsia="en-US"/>
    </w:rPr>
  </w:style>
  <w:style w:type="paragraph" w:styleId="1310">
    <w:name w:val="xl25"/>
    <w:basedOn w:val="1073"/>
    <w:next w:val="1310"/>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name w:val="正文 A"/>
    <w:next w:val="1311"/>
    <w:link w:val="1073"/>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微软雅黑"/>
      <w:color w:val="000000"/>
      <w:sz w:val="21"/>
      <w:szCs w:val="21"/>
      <w:lang w:val="en-US" w:eastAsia="zh-CN" w:bidi="ar-SA"/>
    </w:rPr>
  </w:style>
  <w:style w:type="paragraph" w:styleId="1312">
    <w:name w:val="Char Char Char Char Char Char Char Char Char Char Char Char Char Char Char Char"/>
    <w:basedOn w:val="1073"/>
    <w:next w:val="1312"/>
    <w:link w:val="1073"/>
    <w:qFormat/>
    <w:pPr>
      <w:jc w:val="center"/>
      <w:spacing w:after="160" w:line="240" w:lineRule="exact"/>
      <w:widowControl/>
    </w:pPr>
    <w:rPr>
      <w:rFonts w:ascii="宋体" w:hAnsi="宋体"/>
      <w:b/>
      <w:sz w:val="30"/>
      <w:szCs w:val="30"/>
      <w:lang w:eastAsia="en-US"/>
    </w:rPr>
  </w:style>
  <w:style w:type="paragraph" w:styleId="1313">
    <w:name w:val="Table Paragraph"/>
    <w:basedOn w:val="1073"/>
    <w:next w:val="1313"/>
    <w:link w:val="1073"/>
    <w:uiPriority w:val="99"/>
    <w:qFormat/>
    <w:pPr>
      <w:jc w:val="left"/>
    </w:pPr>
    <w:rPr>
      <w:rFonts w:ascii="宋体" w:hAnsi="宋体" w:cs="宋体"/>
      <w:sz w:val="22"/>
      <w:szCs w:val="22"/>
      <w:lang w:eastAsia="en-US"/>
    </w:rPr>
  </w:style>
  <w:style w:type="paragraph" w:styleId="1314">
    <w:name w:val="xl28"/>
    <w:basedOn w:val="1073"/>
    <w:next w:val="1314"/>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5">
    <w:name w:val="段"/>
    <w:next w:val="1073"/>
    <w:link w:val="1073"/>
    <w:qFormat/>
    <w:pPr>
      <w:ind w:firstLine="200"/>
      <w:jc w:val="both"/>
    </w:pPr>
    <w:rPr>
      <w:rFonts w:ascii="宋体"/>
      <w:sz w:val="21"/>
      <w:szCs w:val="22"/>
      <w:lang w:val="en-US" w:eastAsia="zh-CN" w:bidi="ar-SA"/>
    </w:rPr>
  </w:style>
  <w:style w:type="paragraph" w:styleId="1316">
    <w:name w:val="正文 + 楷体_GB2312"/>
    <w:basedOn w:val="1073"/>
    <w:next w:val="1316"/>
    <w:link w:val="1073"/>
    <w:qFormat/>
    <w:pPr>
      <w:jc w:val="left"/>
      <w:widowControl/>
    </w:pPr>
    <w:rPr>
      <w:rFonts w:ascii="楷体_GB2312" w:eastAsia="楷体_GB2312" w:cs="Arial"/>
      <w:sz w:val="24"/>
    </w:rPr>
  </w:style>
  <w:style w:type="paragraph" w:styleId="1317">
    <w:name w:val="xl41"/>
    <w:basedOn w:val="1073"/>
    <w:next w:val="1317"/>
    <w:link w:val="10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8">
    <w:name w:val="xl26"/>
    <w:basedOn w:val="1073"/>
    <w:next w:val="1318"/>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9">
    <w:name w:val="xl43"/>
    <w:basedOn w:val="1073"/>
    <w:next w:val="1319"/>
    <w:link w:val="10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0">
    <w:name w:val="default"/>
    <w:basedOn w:val="1073"/>
    <w:next w:val="1320"/>
    <w:link w:val="1073"/>
    <w:qFormat/>
    <w:pPr>
      <w:jc w:val="left"/>
      <w:spacing w:before="100" w:beforeAutospacing="1" w:after="100" w:afterAutospacing="1"/>
      <w:widowControl/>
    </w:pPr>
    <w:rPr>
      <w:rFonts w:ascii="宋体" w:hAnsi="宋体" w:cs="宋体"/>
      <w:sz w:val="24"/>
    </w:rPr>
  </w:style>
  <w:style w:type="paragraph" w:styleId="1321">
    <w:name w:val="Char2"/>
    <w:basedOn w:val="1073"/>
    <w:next w:val="1321"/>
    <w:link w:val="1073"/>
    <w:qFormat/>
    <w:rPr>
      <w:rFonts w:ascii="Tahoma" w:hAnsi="Tahoma"/>
      <w:sz w:val="24"/>
      <w:szCs w:val="20"/>
    </w:rPr>
  </w:style>
  <w:style w:type="paragraph" w:styleId="1322">
    <w:name w:val="Char Char Char Char Char Char Char2"/>
    <w:basedOn w:val="1073"/>
    <w:next w:val="1322"/>
    <w:link w:val="1073"/>
    <w:qFormat/>
    <w:pPr>
      <w:ind w:firstLine="200"/>
      <w:spacing w:line="360" w:lineRule="auto"/>
    </w:pPr>
    <w:rPr>
      <w:rFonts w:eastAsia="仿宋_GB2312"/>
      <w:sz w:val="24"/>
    </w:rPr>
  </w:style>
  <w:style w:type="paragraph" w:styleId="1323">
    <w:name w:val="Char1"/>
    <w:basedOn w:val="1073"/>
    <w:next w:val="1323"/>
    <w:link w:val="1073"/>
    <w:qFormat/>
    <w:pPr>
      <w:tabs>
        <w:tab w:val="left" w:pos="360" w:leader="none"/>
      </w:tabs>
    </w:pPr>
    <w:rPr>
      <w:sz w:val="24"/>
    </w:rPr>
  </w:style>
  <w:style w:type="paragraph" w:styleId="1324">
    <w:name w:val="xl29"/>
    <w:basedOn w:val="1073"/>
    <w:next w:val="1324"/>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5">
    <w:name w:val="五级条标题"/>
    <w:basedOn w:val="1326"/>
    <w:next w:val="1073"/>
    <w:link w:val="1073"/>
    <w:qFormat/>
    <w:pPr>
      <w:numPr>
        <w:ilvl w:val="5"/>
      </w:numPr>
      <w:ind w:left="0" w:hanging="840"/>
      <w:tabs>
        <w:tab w:val="left" w:pos="360" w:leader="none"/>
        <w:tab w:val="left" w:pos="840" w:leader="none"/>
      </w:tabs>
      <w:outlineLvl w:val="5"/>
    </w:pPr>
  </w:style>
  <w:style w:type="paragraph" w:styleId="1326">
    <w:name w:val="四级条标题"/>
    <w:basedOn w:val="1327"/>
    <w:next w:val="1073"/>
    <w:link w:val="1073"/>
    <w:qFormat/>
    <w:pPr>
      <w:numPr>
        <w:ilvl w:val="4"/>
      </w:numPr>
      <w:ind w:left="0" w:hanging="840"/>
      <w:tabs>
        <w:tab w:val="left" w:pos="360" w:leader="none"/>
        <w:tab w:val="left" w:pos="840" w:leader="none"/>
      </w:tabs>
      <w:outlineLvl w:val="4"/>
    </w:pPr>
  </w:style>
  <w:style w:type="paragraph" w:styleId="1327">
    <w:name w:val="三级条标题"/>
    <w:basedOn w:val="1328"/>
    <w:next w:val="1073"/>
    <w:link w:val="1073"/>
    <w:qFormat/>
    <w:pPr>
      <w:numPr>
        <w:ilvl w:val="3"/>
        <w:numId w:val="2"/>
      </w:numPr>
      <w:ind w:left="0" w:hanging="840"/>
      <w:tabs>
        <w:tab w:val="left" w:pos="360" w:leader="none"/>
        <w:tab w:val="left" w:pos="840" w:leader="none"/>
      </w:tabs>
      <w:outlineLvl w:val="3"/>
    </w:pPr>
  </w:style>
  <w:style w:type="paragraph" w:styleId="1328">
    <w:name w:val="二级条标题"/>
    <w:basedOn w:val="1329"/>
    <w:next w:val="1073"/>
    <w:link w:val="1073"/>
    <w:qFormat/>
    <w:pPr>
      <w:numPr>
        <w:ilvl w:val="0"/>
        <w:numId w:val="0"/>
      </w:numPr>
      <w:ind w:hanging="840"/>
      <w:tabs>
        <w:tab w:val="left" w:pos="360" w:leader="none"/>
        <w:tab w:val="left" w:pos="840" w:leader="none"/>
      </w:tabs>
      <w:outlineLvl w:val="2"/>
    </w:pPr>
    <w:rPr>
      <w:rFonts w:ascii="宋体" w:eastAsia="宋体"/>
      <w:b w:val="0"/>
    </w:rPr>
  </w:style>
  <w:style w:type="paragraph" w:styleId="1329">
    <w:name w:val="一级条标题"/>
    <w:basedOn w:val="1330"/>
    <w:next w:val="1073"/>
    <w:link w:val="1073"/>
    <w:qFormat/>
    <w:pPr>
      <w:numPr>
        <w:ilvl w:val="1"/>
      </w:numPr>
      <w:ind w:left="0" w:hanging="840"/>
      <w:tabs>
        <w:tab w:val="left" w:pos="360" w:leader="none"/>
        <w:tab w:val="left" w:pos="840" w:leader="none"/>
      </w:tabs>
      <w:outlineLvl w:val="1"/>
    </w:pPr>
  </w:style>
  <w:style w:type="paragraph" w:styleId="1330">
    <w:name w:val="章标题"/>
    <w:next w:val="1073"/>
    <w:link w:val="1073"/>
    <w:qFormat/>
    <w:pPr>
      <w:numPr>
        <w:ilvl w:val="0"/>
        <w:numId w:val="2"/>
      </w:numPr>
      <w:ind w:left="0"/>
      <w:jc w:val="both"/>
      <w:spacing w:line="460" w:lineRule="exact"/>
      <w:outlineLvl w:val="0"/>
    </w:pPr>
    <w:rPr>
      <w:rFonts w:ascii="黑体" w:hAnsi="Calibri" w:eastAsia="黑体"/>
      <w:b/>
      <w:sz w:val="28"/>
      <w:lang w:val="en-US" w:eastAsia="zh-CN" w:bidi="ar-SA"/>
    </w:rPr>
  </w:style>
  <w:style w:type="paragraph" w:styleId="1331">
    <w:name w:val="Default"/>
    <w:next w:val="1331"/>
    <w:link w:val="1073"/>
    <w:qFormat/>
    <w:pPr>
      <w:widowControl w:val="off"/>
    </w:pPr>
    <w:rPr>
      <w:rFonts w:ascii="Symbol" w:hAnsi="Symbol" w:eastAsia="微软雅黑" w:cs="Symbol"/>
      <w:color w:val="000000"/>
      <w:sz w:val="24"/>
      <w:szCs w:val="24"/>
      <w:lang w:val="en-US" w:eastAsia="zh-CN" w:bidi="ar-SA"/>
    </w:rPr>
  </w:style>
  <w:style w:type="paragraph" w:styleId="1332">
    <w:name w:val="无间隔"/>
    <w:basedOn w:val="1073"/>
    <w:next w:val="1332"/>
    <w:link w:val="1073"/>
    <w:qFormat/>
    <w:pPr>
      <w:jc w:val="both"/>
      <w:widowControl w:val="off"/>
    </w:pPr>
    <w:rPr>
      <w:rFonts w:ascii="Calibri" w:hAnsi="Calibri" w:eastAsia="微软雅黑"/>
      <w:sz w:val="21"/>
      <w:szCs w:val="24"/>
      <w:lang w:val="en-US" w:eastAsia="zh-CN" w:bidi="ar-SA"/>
    </w:rPr>
  </w:style>
  <w:style w:type="paragraph" w:styleId="1333">
    <w:name w:val="修订1"/>
    <w:next w:val="1333"/>
    <w:link w:val="1073"/>
    <w:uiPriority w:val="99"/>
    <w:qFormat/>
    <w:rPr>
      <w:rFonts w:ascii="Calibri" w:hAnsi="Calibri" w:eastAsia="微软雅黑"/>
      <w:sz w:val="21"/>
      <w:szCs w:val="24"/>
      <w:lang w:val="en-US" w:eastAsia="zh-CN" w:bidi="ar-SA"/>
    </w:rPr>
  </w:style>
  <w:style w:type="paragraph" w:styleId="1334">
    <w:name w:val="文档正文"/>
    <w:basedOn w:val="1073"/>
    <w:next w:val="1334"/>
    <w:link w:val="1073"/>
    <w:qFormat/>
    <w:pPr>
      <w:spacing w:before="120" w:after="120" w:line="180" w:lineRule="auto"/>
    </w:pPr>
    <w:rPr>
      <w:rFonts w:ascii="Arial" w:hAnsi="Arial"/>
      <w:szCs w:val="20"/>
    </w:rPr>
  </w:style>
  <w:style w:type="paragraph" w:styleId="1335">
    <w:name w:val="Char"/>
    <w:basedOn w:val="1073"/>
    <w:next w:val="1335"/>
    <w:link w:val="1073"/>
    <w:qFormat/>
    <w:pPr>
      <w:tabs>
        <w:tab w:val="left" w:pos="360" w:leader="none"/>
      </w:tabs>
    </w:pPr>
    <w:rPr>
      <w:sz w:val="24"/>
    </w:rPr>
  </w:style>
  <w:style w:type="paragraph" w:styleId="1336">
    <w:name w:val="p17"/>
    <w:basedOn w:val="1073"/>
    <w:next w:val="1336"/>
    <w:link w:val="1073"/>
    <w:qFormat/>
    <w:pPr>
      <w:widowControl/>
    </w:pPr>
    <w:rPr>
      <w:rFonts w:ascii="宋体" w:hAnsi="宋体" w:eastAsia="宋体" w:cs="宋体"/>
      <w:sz w:val="26"/>
      <w:szCs w:val="26"/>
    </w:rPr>
  </w:style>
  <w:style w:type="paragraph" w:styleId="1337">
    <w:name w:val="xl49"/>
    <w:basedOn w:val="1073"/>
    <w:next w:val="1337"/>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8">
    <w:name w:val="正文文本样式 加粗"/>
    <w:basedOn w:val="1298"/>
    <w:next w:val="1338"/>
    <w:link w:val="1073"/>
    <w:qFormat/>
    <w:rPr>
      <w:b/>
    </w:rPr>
  </w:style>
  <w:style w:type="paragraph" w:styleId="1339">
    <w:name w:val="样式 宋体 五号 行距: 单倍行距"/>
    <w:basedOn w:val="1073"/>
    <w:next w:val="1339"/>
    <w:link w:val="1073"/>
    <w:qFormat/>
    <w:pPr>
      <w:jc w:val="left"/>
    </w:pPr>
    <w:rPr>
      <w:rFonts w:ascii="宋体" w:hAnsi="宋体"/>
      <w:szCs w:val="20"/>
    </w:rPr>
  </w:style>
  <w:style w:type="paragraph" w:styleId="1340">
    <w:name w:val="xl52"/>
    <w:basedOn w:val="1073"/>
    <w:next w:val="1340"/>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1">
    <w:name w:val="默认段落字体 Para Char Char Char Char"/>
    <w:basedOn w:val="1073"/>
    <w:next w:val="1341"/>
    <w:link w:val="1073"/>
    <w:qFormat/>
    <w:rPr>
      <w:rFonts w:ascii="Arial" w:hAnsi="Arial" w:cs="Arial"/>
      <w:szCs w:val="21"/>
    </w:rPr>
  </w:style>
  <w:style w:type="paragraph" w:styleId="1342">
    <w:name w:val="xl42"/>
    <w:basedOn w:val="1073"/>
    <w:next w:val="1342"/>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3">
    <w:name w:val="字元 字元2"/>
    <w:basedOn w:val="1073"/>
    <w:next w:val="1343"/>
    <w:link w:val="1073"/>
    <w:qFormat/>
    <w:rPr>
      <w:rFonts w:ascii="Tahoma" w:hAnsi="Tahoma"/>
      <w:sz w:val="24"/>
      <w:szCs w:val="20"/>
    </w:rPr>
  </w:style>
  <w:style w:type="paragraph" w:styleId="1344">
    <w:name w:val="Plain Text2"/>
    <w:basedOn w:val="1073"/>
    <w:next w:val="1344"/>
    <w:link w:val="1073"/>
    <w:uiPriority w:val="99"/>
    <w:qFormat/>
    <w:rPr>
      <w:rFonts w:ascii="宋体" w:hAnsi="Courier New" w:eastAsia="楷体_GB2312"/>
      <w:sz w:val="28"/>
    </w:rPr>
  </w:style>
  <w:style w:type="paragraph" w:styleId="1345">
    <w:name w:val="字元 字元"/>
    <w:basedOn w:val="1073"/>
    <w:next w:val="1345"/>
    <w:link w:val="1073"/>
    <w:qFormat/>
    <w:rPr>
      <w:rFonts w:ascii="Tahoma" w:hAnsi="Tahoma"/>
      <w:sz w:val="24"/>
      <w:szCs w:val="20"/>
    </w:rPr>
  </w:style>
  <w:style w:type="paragraph" w:styleId="1346">
    <w:name w:val="正文文本缩进2"/>
    <w:basedOn w:val="1073"/>
    <w:next w:val="1346"/>
    <w:link w:val="1073"/>
    <w:qFormat/>
    <w:pPr>
      <w:ind w:firstLine="480"/>
      <w:spacing w:line="480" w:lineRule="exact"/>
    </w:pPr>
    <w:rPr>
      <w:rFonts w:ascii="宋体" w:hAnsi="宋体"/>
      <w:sz w:val="24"/>
      <w:lang w:val="zh-CN"/>
    </w:rPr>
  </w:style>
  <w:style w:type="paragraph" w:styleId="1347">
    <w:name w:val="字元 字元1"/>
    <w:basedOn w:val="1073"/>
    <w:next w:val="1347"/>
    <w:link w:val="1073"/>
    <w:qFormat/>
    <w:rPr>
      <w:rFonts w:ascii="Tahoma" w:hAnsi="Tahoma"/>
      <w:sz w:val="24"/>
      <w:szCs w:val="20"/>
    </w:rPr>
  </w:style>
  <w:style w:type="paragraph" w:styleId="1348">
    <w:name w:val="Char Char4"/>
    <w:basedOn w:val="1073"/>
    <w:next w:val="1348"/>
    <w:link w:val="1073"/>
    <w:qFormat/>
    <w:pPr>
      <w:jc w:val="center"/>
      <w:spacing w:line="400" w:lineRule="exact"/>
      <w:widowControl/>
    </w:pPr>
  </w:style>
  <w:style w:type="paragraph" w:styleId="1349">
    <w:name w:val="font7"/>
    <w:basedOn w:val="1073"/>
    <w:next w:val="1349"/>
    <w:link w:val="1073"/>
    <w:qFormat/>
    <w:pPr>
      <w:jc w:val="left"/>
      <w:spacing w:before="100" w:beforeAutospacing="1" w:after="100" w:afterAutospacing="1"/>
      <w:widowControl/>
    </w:pPr>
    <w:rPr>
      <w:rFonts w:eastAsia="Arial Unicode MS"/>
      <w:b/>
      <w:bCs/>
      <w:color w:val="000000"/>
      <w:sz w:val="20"/>
      <w:szCs w:val="20"/>
    </w:rPr>
  </w:style>
  <w:style w:type="paragraph" w:styleId="1350">
    <w:name w:val="??"/>
    <w:next w:val="1350"/>
    <w:link w:val="1073"/>
    <w:qFormat/>
    <w:pPr>
      <w:jc w:val="both"/>
      <w:widowControl w:val="off"/>
    </w:pPr>
    <w:rPr>
      <w:rFonts w:ascii="Calibri" w:hAnsi="Calibri" w:eastAsia="微软雅黑"/>
      <w:sz w:val="21"/>
      <w:lang w:val="en-US" w:eastAsia="en-US" w:bidi="ar-SA"/>
    </w:rPr>
  </w:style>
  <w:style w:type="paragraph" w:styleId="1351">
    <w:name w:val="正文须知-3级"/>
    <w:basedOn w:val="1073"/>
    <w:next w:val="1351"/>
    <w:link w:val="1073"/>
    <w:qFormat/>
    <w:pPr>
      <w:numPr>
        <w:ilvl w:val="2"/>
        <w:numId w:val="3"/>
      </w:numPr>
      <w:ind w:hanging="355"/>
      <w:spacing w:line="300" w:lineRule="auto"/>
    </w:pPr>
    <w:rPr>
      <w:rFonts w:ascii="宋体"/>
      <w:sz w:val="24"/>
      <w:szCs w:val="21"/>
    </w:rPr>
  </w:style>
  <w:style w:type="paragraph" w:styleId="1352">
    <w:name w:val="正文列项_字母"/>
    <w:basedOn w:val="1073"/>
    <w:next w:val="1352"/>
    <w:link w:val="1073"/>
    <w:qFormat/>
    <w:pPr>
      <w:numPr>
        <w:ilvl w:val="6"/>
        <w:numId w:val="2"/>
      </w:numPr>
      <w:ind w:left="480" w:hanging="180"/>
      <w:spacing w:line="460" w:lineRule="exact"/>
      <w:tabs>
        <w:tab w:val="clear" w:pos="635" w:leader="none"/>
      </w:tabs>
      <w:outlineLvl w:val="6"/>
    </w:pPr>
    <w:rPr>
      <w:rFonts w:ascii="宋体"/>
      <w:sz w:val="28"/>
      <w:szCs w:val="20"/>
    </w:rPr>
  </w:style>
  <w:style w:type="paragraph" w:styleId="1353">
    <w:name w:val="Char Char Char1 Char"/>
    <w:basedOn w:val="1073"/>
    <w:next w:val="1353"/>
    <w:link w:val="1073"/>
    <w:qFormat/>
    <w:rPr>
      <w:rFonts w:ascii="Tahoma" w:hAnsi="Tahoma"/>
      <w:sz w:val="24"/>
      <w:szCs w:val="20"/>
    </w:rPr>
  </w:style>
  <w:style w:type="paragraph" w:styleId="1354">
    <w:name w:val="正文须知-1级"/>
    <w:basedOn w:val="1073"/>
    <w:next w:val="1073"/>
    <w:link w:val="1073"/>
    <w:qFormat/>
    <w:pPr>
      <w:numPr>
        <w:ilvl w:val="0"/>
        <w:numId w:val="3"/>
      </w:numPr>
      <w:spacing w:line="300" w:lineRule="auto"/>
    </w:pPr>
    <w:rPr>
      <w:rFonts w:ascii="宋体"/>
      <w:sz w:val="24"/>
      <w:szCs w:val="21"/>
    </w:rPr>
  </w:style>
  <w:style w:type="paragraph" w:styleId="1355">
    <w:name w:val="xl38"/>
    <w:basedOn w:val="1073"/>
    <w:next w:val="1355"/>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56">
    <w:name w:val="普通正文"/>
    <w:basedOn w:val="1073"/>
    <w:next w:val="1356"/>
    <w:link w:val="1073"/>
    <w:qFormat/>
    <w:pPr>
      <w:ind w:firstLine="480"/>
      <w:jc w:val="left"/>
      <w:spacing w:before="120" w:after="120" w:line="360" w:lineRule="auto"/>
    </w:pPr>
    <w:rPr>
      <w:rFonts w:ascii="Arial" w:hAnsi="Arial"/>
      <w:sz w:val="24"/>
    </w:rPr>
  </w:style>
  <w:style w:type="paragraph" w:styleId="1357">
    <w:name w:val="Char Char1"/>
    <w:basedOn w:val="1103"/>
    <w:next w:val="1357"/>
    <w:link w:val="1073"/>
    <w:qFormat/>
    <w:rPr>
      <w:rFonts w:ascii="Tahoma" w:hAnsi="Tahoma"/>
      <w:sz w:val="24"/>
    </w:rPr>
  </w:style>
  <w:style w:type="paragraph" w:styleId="1358">
    <w:name w:val="xl44"/>
    <w:basedOn w:val="1073"/>
    <w:next w:val="1358"/>
    <w:link w:val="10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9">
    <w:name w:val="Andy_一级"/>
    <w:basedOn w:val="1221"/>
    <w:next w:val="1359"/>
    <w:link w:val="1073"/>
    <w:qFormat/>
    <w:pPr>
      <w:ind w:left="360" w:hanging="360"/>
      <w:keepNext/>
      <w:tabs>
        <w:tab w:val="left" w:pos="360" w:leader="none"/>
      </w:tabs>
    </w:pPr>
    <w:rPr>
      <w:rFonts w:ascii="Times New Roman" w:hAnsi="Times New Roman"/>
      <w:b/>
      <w:szCs w:val="22"/>
    </w:rPr>
  </w:style>
  <w:style w:type="paragraph" w:styleId="1360">
    <w:name w:val="Char Char Char Char Char Char Char Char Char Char"/>
    <w:basedOn w:val="1073"/>
    <w:next w:val="1360"/>
    <w:link w:val="1073"/>
    <w:qFormat/>
  </w:style>
  <w:style w:type="paragraph" w:styleId="1361">
    <w:name w:val="正文（缩进）"/>
    <w:basedOn w:val="1073"/>
    <w:next w:val="1361"/>
    <w:link w:val="1073"/>
    <w:qFormat/>
    <w:pPr>
      <w:ind w:firstLine="480"/>
      <w:jc w:val="left"/>
      <w:spacing w:line="360" w:lineRule="auto"/>
      <w:widowControl/>
    </w:pPr>
    <w:rPr>
      <w:rFonts w:ascii="宋体" w:hAnsi="宋体" w:eastAsia="宋体"/>
      <w:sz w:val="24"/>
    </w:rPr>
  </w:style>
  <w:style w:type="paragraph" w:styleId="1362">
    <w:name w:val="纯文本2"/>
    <w:basedOn w:val="1073"/>
    <w:next w:val="1362"/>
    <w:link w:val="1073"/>
    <w:qFormat/>
    <w:rPr>
      <w:rFonts w:ascii="宋体" w:hAnsi="Courier New" w:eastAsia="楷体_GB2312"/>
      <w:sz w:val="26"/>
      <w:szCs w:val="20"/>
    </w:rPr>
  </w:style>
  <w:style w:type="paragraph" w:styleId="1363">
    <w:name w:val="xl48"/>
    <w:basedOn w:val="1073"/>
    <w:next w:val="1363"/>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4">
    <w:name w:val="Char22"/>
    <w:basedOn w:val="1073"/>
    <w:next w:val="1364"/>
    <w:link w:val="1073"/>
    <w:qFormat/>
    <w:rPr>
      <w:rFonts w:ascii="Tahoma" w:hAnsi="Tahoma"/>
      <w:sz w:val="24"/>
      <w:szCs w:val="20"/>
    </w:rPr>
  </w:style>
  <w:style w:type="paragraph" w:styleId="1365">
    <w:name w:val="表格1"/>
    <w:basedOn w:val="1073"/>
    <w:next w:val="1365"/>
    <w:link w:val="1073"/>
    <w:qFormat/>
    <w:pPr>
      <w:ind w:firstLine="480"/>
      <w:jc w:val="center"/>
    </w:pPr>
    <w:rPr>
      <w:sz w:val="24"/>
      <w:szCs w:val="20"/>
    </w:rPr>
  </w:style>
  <w:style w:type="paragraph" w:styleId="1366">
    <w:name w:val="Char3 Char Char Char"/>
    <w:basedOn w:val="1073"/>
    <w:next w:val="1366"/>
    <w:link w:val="1073"/>
    <w:qFormat/>
    <w:rPr>
      <w:rFonts w:ascii="Tahoma" w:hAnsi="Tahoma"/>
      <w:sz w:val="24"/>
      <w:szCs w:val="20"/>
    </w:rPr>
  </w:style>
  <w:style w:type="paragraph" w:styleId="1367">
    <w:name w:val="xl40"/>
    <w:basedOn w:val="1073"/>
    <w:next w:val="1367"/>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8">
    <w:name w:val="样式2"/>
    <w:basedOn w:val="1145"/>
    <w:next w:val="1368"/>
    <w:link w:val="1073"/>
    <w:qFormat/>
    <w:pPr>
      <w:jc w:val="center"/>
      <w:spacing w:line="360" w:lineRule="auto"/>
    </w:pPr>
    <w:rPr>
      <w:sz w:val="24"/>
    </w:rPr>
  </w:style>
  <w:style w:type="paragraph" w:styleId="1369">
    <w:name w:val="列出段落2"/>
    <w:basedOn w:val="1073"/>
    <w:next w:val="1369"/>
    <w:link w:val="1073"/>
    <w:uiPriority w:val="34"/>
    <w:qFormat/>
    <w:pPr>
      <w:ind w:firstLine="420"/>
    </w:pPr>
    <w:rPr>
      <w:szCs w:val="22"/>
    </w:rPr>
  </w:style>
  <w:style w:type="paragraph" w:styleId="1370">
    <w:name w:val="彩色列表1"/>
    <w:basedOn w:val="1073"/>
    <w:next w:val="1370"/>
    <w:link w:val="1073"/>
    <w:qFormat/>
    <w:pPr>
      <w:contextualSpacing/>
      <w:ind w:left="720"/>
      <w:jc w:val="left"/>
      <w:widowControl/>
    </w:pPr>
    <w:rPr>
      <w:rFonts w:eastAsia="宋体" w:cs="宋体"/>
      <w:sz w:val="24"/>
      <w:lang w:eastAsia="en-US"/>
    </w:rPr>
  </w:style>
  <w:style w:type="paragraph" w:styleId="1371">
    <w:name w:val="xl36"/>
    <w:basedOn w:val="1073"/>
    <w:next w:val="1371"/>
    <w:link w:val="10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2">
    <w:name w:val="正文列项_数字"/>
    <w:basedOn w:val="1073"/>
    <w:next w:val="1372"/>
    <w:link w:val="1073"/>
    <w:qFormat/>
    <w:pPr>
      <w:numPr>
        <w:ilvl w:val="7"/>
        <w:numId w:val="2"/>
      </w:numPr>
      <w:ind w:left="680" w:hanging="150"/>
      <w:spacing w:line="460" w:lineRule="exact"/>
      <w:tabs>
        <w:tab w:val="clear" w:pos="860" w:leader="none"/>
      </w:tabs>
      <w:outlineLvl w:val="7"/>
    </w:pPr>
    <w:rPr>
      <w:rFonts w:ascii="宋体"/>
      <w:sz w:val="28"/>
      <w:szCs w:val="20"/>
    </w:rPr>
  </w:style>
  <w:style w:type="paragraph" w:styleId="1373">
    <w:name w:val="Char Char Char Char Char Char Char Char Char Char1"/>
    <w:basedOn w:val="1073"/>
    <w:next w:val="1373"/>
    <w:link w:val="1073"/>
    <w:qFormat/>
    <w:rPr>
      <w:rFonts w:ascii="宋体" w:hAnsi="宋体" w:cs="Courier New"/>
      <w:sz w:val="32"/>
      <w:szCs w:val="32"/>
    </w:rPr>
  </w:style>
  <w:style w:type="paragraph" w:styleId="1374">
    <w:name w:val="标题1-附件"/>
    <w:basedOn w:val="1074"/>
    <w:next w:val="1374"/>
    <w:link w:val="1073"/>
    <w:qFormat/>
    <w:pPr>
      <w:jc w:val="left"/>
    </w:pPr>
    <w:rPr>
      <w:sz w:val="24"/>
      <w:szCs w:val="24"/>
    </w:rPr>
  </w:style>
  <w:style w:type="paragraph" w:styleId="1375">
    <w:name w:val="Char3"/>
    <w:basedOn w:val="1073"/>
    <w:next w:val="1375"/>
    <w:link w:val="1073"/>
    <w:qFormat/>
    <w:pPr>
      <w:tabs>
        <w:tab w:val="left" w:pos="360" w:leader="none"/>
      </w:tabs>
    </w:pPr>
    <w:rPr>
      <w:sz w:val="24"/>
    </w:rPr>
  </w:style>
  <w:style w:type="paragraph" w:styleId="1376">
    <w:name w:val="正文缩进2"/>
    <w:basedOn w:val="1073"/>
    <w:next w:val="1376"/>
    <w:link w:val="1073"/>
    <w:qFormat/>
    <w:pPr>
      <w:ind w:firstLine="567"/>
      <w:spacing w:line="480" w:lineRule="exact"/>
      <w:widowControl/>
    </w:pPr>
    <w:rPr>
      <w:rFonts w:ascii="宋体"/>
      <w:color w:val="000000"/>
      <w:sz w:val="28"/>
      <w:szCs w:val="20"/>
      <w:lang w:val="zh-CN"/>
    </w:rPr>
  </w:style>
  <w:style w:type="paragraph" w:styleId="1377">
    <w:name w:val="Char Char Char"/>
    <w:basedOn w:val="1073"/>
    <w:next w:val="1377"/>
    <w:link w:val="1073"/>
    <w:qFormat/>
    <w:rPr>
      <w:rFonts w:ascii="Tahoma" w:hAnsi="Tahoma"/>
      <w:sz w:val="24"/>
      <w:szCs w:val="20"/>
    </w:rPr>
  </w:style>
  <w:style w:type="paragraph" w:styleId="1378">
    <w:name w:val="Char1 Char Char Char1"/>
    <w:basedOn w:val="1073"/>
    <w:next w:val="1378"/>
    <w:link w:val="1073"/>
    <w:qFormat/>
    <w:rPr>
      <w:rFonts w:ascii="Tahoma" w:hAnsi="Tahoma" w:cs="仿宋_GB2312"/>
      <w:sz w:val="24"/>
      <w:szCs w:val="28"/>
    </w:rPr>
  </w:style>
  <w:style w:type="paragraph" w:styleId="1379">
    <w:name w:val="xl50"/>
    <w:basedOn w:val="1073"/>
    <w:next w:val="137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0">
    <w:name w:val="Char3 Char Char Char1"/>
    <w:basedOn w:val="1073"/>
    <w:next w:val="1380"/>
    <w:link w:val="1073"/>
    <w:qFormat/>
    <w:rPr>
      <w:rFonts w:ascii="Tahoma" w:hAnsi="Tahoma"/>
      <w:sz w:val="24"/>
      <w:szCs w:val="20"/>
    </w:rPr>
  </w:style>
  <w:style w:type="paragraph" w:styleId="1381">
    <w:name w:val="Char Char Char Char Char Char Char Char Char Char Char Char Char Char Char Char1"/>
    <w:basedOn w:val="1073"/>
    <w:next w:val="1381"/>
    <w:link w:val="1073"/>
    <w:qFormat/>
    <w:pPr>
      <w:jc w:val="center"/>
      <w:spacing w:after="160" w:line="240" w:lineRule="exact"/>
      <w:widowControl/>
    </w:pPr>
    <w:rPr>
      <w:rFonts w:ascii="宋体" w:hAnsi="宋体"/>
      <w:b/>
      <w:sz w:val="30"/>
      <w:szCs w:val="30"/>
      <w:lang w:eastAsia="en-US"/>
    </w:rPr>
  </w:style>
  <w:style w:type="paragraph" w:styleId="1382">
    <w:name w:val="p18"/>
    <w:basedOn w:val="1073"/>
    <w:next w:val="1382"/>
    <w:link w:val="1073"/>
    <w:qFormat/>
  </w:style>
  <w:style w:type="paragraph" w:styleId="1383">
    <w:name w:val="Char Char1 Char Char Char Char Char Char"/>
    <w:basedOn w:val="1073"/>
    <w:next w:val="1383"/>
    <w:link w:val="1073"/>
    <w:qFormat/>
    <w:pPr>
      <w:jc w:val="left"/>
      <w:spacing w:after="160" w:line="240" w:lineRule="exact"/>
      <w:widowControl/>
    </w:pPr>
    <w:rPr>
      <w:rFonts w:ascii="Verdana" w:hAnsi="Verdana" w:eastAsia="仿宋_GB2312"/>
      <w:sz w:val="24"/>
      <w:szCs w:val="20"/>
      <w:lang w:eastAsia="en-US"/>
    </w:rPr>
  </w:style>
  <w:style w:type="paragraph" w:styleId="1384">
    <w:name w:val="Char2 Char Char Char Char Char Char"/>
    <w:basedOn w:val="1073"/>
    <w:next w:val="1384"/>
    <w:link w:val="1073"/>
    <w:qFormat/>
    <w:pPr>
      <w:jc w:val="center"/>
      <w:spacing w:line="400" w:lineRule="exact"/>
      <w:widowControl/>
    </w:pPr>
  </w:style>
  <w:style w:type="paragraph" w:styleId="1385">
    <w:name w:val="Table Text"/>
    <w:next w:val="1385"/>
    <w:link w:val="1073"/>
    <w:semiHidden/>
    <w:qFormat/>
    <w:rPr>
      <w:rFonts w:ascii="Arial" w:hAnsi="Arial" w:eastAsia="Arial" w:cs="Arial"/>
      <w:color w:val="000000"/>
      <w:sz w:val="21"/>
      <w:szCs w:val="21"/>
      <w:lang w:val="en-US" w:eastAsia="en-US" w:bidi="ar-SA"/>
    </w:rPr>
  </w:style>
  <w:style w:type="paragraph" w:styleId="1386">
    <w:name w:val="xl46"/>
    <w:basedOn w:val="1073"/>
    <w:next w:val="1386"/>
    <w:link w:val="10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7">
    <w:name w:val="样式 标题 2 + 宋体 五号 行距: 单倍行距"/>
    <w:basedOn w:val="1075"/>
    <w:next w:val="1387"/>
    <w:link w:val="107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88">
    <w:name w:val="_Style 160"/>
    <w:next w:val="1388"/>
    <w:link w:val="1073"/>
    <w:qFormat/>
    <w:rPr>
      <w:rFonts w:ascii="Calibri" w:hAnsi="Calibri" w:eastAsia="微软雅黑"/>
      <w:sz w:val="21"/>
      <w:szCs w:val="24"/>
      <w:lang w:val="en-US" w:eastAsia="zh-CN" w:bidi="ar-SA"/>
    </w:rPr>
  </w:style>
  <w:style w:type="paragraph" w:styleId="1389">
    <w:name w:val="xl32"/>
    <w:basedOn w:val="1073"/>
    <w:next w:val="1389"/>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0">
    <w:name w:val="正文空2格  1."/>
    <w:basedOn w:val="1073"/>
    <w:next w:val="1390"/>
    <w:link w:val="1073"/>
    <w:qFormat/>
    <w:pPr>
      <w:ind w:firstLine="480"/>
      <w:spacing w:line="360" w:lineRule="auto"/>
    </w:pPr>
    <w:rPr>
      <w:rFonts w:hint="eastAsia" w:ascii="宋体" w:hAnsi="Times New Roman" w:eastAsia="仿宋"/>
      <w:sz w:val="28"/>
      <w:szCs w:val="20"/>
    </w:rPr>
  </w:style>
  <w:style w:type="paragraph" w:styleId="1391">
    <w:name w:val="xl27"/>
    <w:basedOn w:val="1073"/>
    <w:next w:val="1391"/>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2">
    <w:name w:val="Char Char Char Char Char Char Char1"/>
    <w:basedOn w:val="1073"/>
    <w:next w:val="1392"/>
    <w:link w:val="1073"/>
    <w:qFormat/>
    <w:pPr>
      <w:ind w:firstLine="200"/>
      <w:spacing w:line="360" w:lineRule="auto"/>
    </w:pPr>
    <w:rPr>
      <w:rFonts w:eastAsia="仿宋_GB2312"/>
      <w:sz w:val="24"/>
    </w:rPr>
  </w:style>
  <w:style w:type="paragraph" w:styleId="1393">
    <w:name w:val="1名"/>
    <w:basedOn w:val="1073"/>
    <w:next w:val="1393"/>
    <w:link w:val="1073"/>
    <w:qFormat/>
    <w:pPr>
      <w:numPr>
        <w:ilvl w:val="0"/>
        <w:numId w:val="5"/>
      </w:numPr>
      <w:spacing w:before="120"/>
      <w:tabs>
        <w:tab w:val="left" w:pos="360" w:leader="none"/>
      </w:tabs>
    </w:pPr>
    <w:rPr>
      <w:rFonts w:ascii="宋体"/>
      <w:sz w:val="28"/>
      <w:szCs w:val="20"/>
    </w:rPr>
  </w:style>
  <w:style w:type="paragraph" w:styleId="1394">
    <w:name w:val="Plain Text"/>
    <w:basedOn w:val="1073"/>
    <w:next w:val="1394"/>
    <w:link w:val="1073"/>
    <w:qFormat/>
    <w:rPr>
      <w:rFonts w:ascii="宋体" w:hAnsi="Courier New" w:eastAsia="楷体_GB2312"/>
      <w:sz w:val="28"/>
      <w:szCs w:val="20"/>
    </w:rPr>
  </w:style>
  <w:style w:type="paragraph" w:styleId="1395">
    <w:name w:val="正文符号1"/>
    <w:basedOn w:val="1293"/>
    <w:next w:val="1395"/>
    <w:link w:val="1073"/>
    <w:qFormat/>
    <w:pPr>
      <w:ind w:left="975" w:hanging="340"/>
      <w:tabs>
        <w:tab w:val="left" w:pos="840" w:leader="none"/>
        <w:tab w:val="left" w:pos="975" w:leader="none"/>
        <w:tab w:val="left" w:pos="1080" w:leader="none"/>
      </w:tabs>
    </w:pPr>
  </w:style>
  <w:style w:type="paragraph" w:styleId="1396">
    <w:name w:val="font6"/>
    <w:basedOn w:val="1073"/>
    <w:next w:val="1396"/>
    <w:link w:val="1073"/>
    <w:qFormat/>
    <w:pPr>
      <w:jc w:val="left"/>
      <w:spacing w:before="100" w:beforeAutospacing="1" w:after="100" w:afterAutospacing="1"/>
      <w:widowControl/>
    </w:pPr>
    <w:rPr>
      <w:rFonts w:ascii="宋体" w:hAnsi="宋体" w:cs="宋体"/>
      <w:sz w:val="20"/>
      <w:szCs w:val="20"/>
    </w:rPr>
  </w:style>
  <w:style w:type="paragraph" w:styleId="1397">
    <w:name w:val="Char Char41"/>
    <w:basedOn w:val="1073"/>
    <w:next w:val="1397"/>
    <w:link w:val="1073"/>
    <w:qFormat/>
    <w:pPr>
      <w:jc w:val="center"/>
      <w:spacing w:line="400" w:lineRule="exact"/>
      <w:widowControl/>
    </w:pPr>
  </w:style>
  <w:style w:type="paragraph" w:styleId="1398">
    <w:name w:val="项目编号1"/>
    <w:basedOn w:val="1073"/>
    <w:next w:val="1398"/>
    <w:link w:val="1073"/>
    <w:qFormat/>
    <w:pPr>
      <w:numPr>
        <w:ilvl w:val="0"/>
        <w:numId w:val="6"/>
      </w:numPr>
      <w:spacing w:before="100" w:beforeAutospacing="1" w:after="100" w:afterAutospacing="1" w:line="360" w:lineRule="auto"/>
    </w:pPr>
    <w:rPr>
      <w:sz w:val="24"/>
    </w:rPr>
  </w:style>
  <w:style w:type="paragraph" w:styleId="1399">
    <w:name w:val="Char Char Char Char Char Char Char"/>
    <w:basedOn w:val="1073"/>
    <w:next w:val="1399"/>
    <w:link w:val="1073"/>
    <w:qFormat/>
    <w:pPr>
      <w:ind w:firstLine="200"/>
      <w:spacing w:line="360" w:lineRule="auto"/>
    </w:pPr>
    <w:rPr>
      <w:rFonts w:eastAsia="仿宋_GB2312"/>
      <w:sz w:val="24"/>
    </w:rPr>
  </w:style>
  <w:style w:type="paragraph" w:styleId="1400">
    <w:name w:val="Char Char Char Char Char Char Char Char Char Char2"/>
    <w:basedOn w:val="1073"/>
    <w:next w:val="1400"/>
    <w:link w:val="1073"/>
    <w:qFormat/>
    <w:rPr>
      <w:rFonts w:ascii="宋体" w:hAnsi="宋体" w:cs="Courier New"/>
      <w:sz w:val="32"/>
      <w:szCs w:val="32"/>
    </w:rPr>
  </w:style>
  <w:style w:type="paragraph" w:styleId="1401">
    <w:name w:val="无标题条"/>
    <w:next w:val="1073"/>
    <w:link w:val="1073"/>
    <w:qFormat/>
    <w:pPr>
      <w:jc w:val="both"/>
    </w:pPr>
    <w:rPr>
      <w:rFonts w:ascii="Calibri" w:hAnsi="Calibri" w:eastAsia="微软雅黑"/>
      <w:sz w:val="21"/>
      <w:lang w:val="en-US" w:eastAsia="zh-CN" w:bidi="ar-SA"/>
    </w:rPr>
  </w:style>
  <w:style w:type="paragraph" w:styleId="1402">
    <w:name w:val="font5"/>
    <w:basedOn w:val="1073"/>
    <w:next w:val="1402"/>
    <w:link w:val="1073"/>
    <w:qFormat/>
    <w:pPr>
      <w:jc w:val="left"/>
      <w:spacing w:before="100" w:beforeAutospacing="1" w:after="100" w:afterAutospacing="1"/>
      <w:widowControl/>
    </w:pPr>
    <w:rPr>
      <w:rFonts w:ascii="宋体" w:hAnsi="宋体" w:cs="宋体"/>
      <w:sz w:val="18"/>
      <w:szCs w:val="18"/>
    </w:rPr>
  </w:style>
  <w:style w:type="paragraph" w:styleId="1403">
    <w:name w:val="xl34"/>
    <w:basedOn w:val="1073"/>
    <w:next w:val="1403"/>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4">
    <w:name w:val="p0"/>
    <w:basedOn w:val="1073"/>
    <w:next w:val="1404"/>
    <w:link w:val="1073"/>
    <w:qFormat/>
    <w:pPr>
      <w:jc w:val="both"/>
    </w:pPr>
    <w:rPr>
      <w:rFonts w:ascii="Calibri" w:hAnsi="Calibri" w:cs="Calibri"/>
      <w:sz w:val="21"/>
      <w:szCs w:val="21"/>
    </w:rPr>
  </w:style>
  <w:style w:type="paragraph" w:styleId="1405">
    <w:name w:val="background1"/>
    <w:basedOn w:val="1073"/>
    <w:next w:val="1405"/>
    <w:link w:val="1073"/>
    <w:qFormat/>
    <w:pPr>
      <w:jc w:val="left"/>
      <w:spacing w:before="100" w:beforeAutospacing="1" w:after="100" w:afterAutospacing="1"/>
      <w:widowControl/>
    </w:pPr>
    <w:rPr>
      <w:rFonts w:ascii="宋体" w:hAnsi="宋体" w:cs="宋体"/>
      <w:sz w:val="24"/>
    </w:rPr>
  </w:style>
  <w:style w:type="paragraph" w:styleId="1406">
    <w:name w:val="首行缩进"/>
    <w:basedOn w:val="1073"/>
    <w:next w:val="1073"/>
    <w:link w:val="1073"/>
    <w:qFormat/>
    <w:pPr>
      <w:ind w:firstLine="480"/>
    </w:pPr>
    <w:rPr>
      <w:szCs w:val="20"/>
      <w:lang w:val="zh-CN"/>
    </w:rPr>
  </w:style>
  <w:style w:type="paragraph" w:styleId="1407">
    <w:name w:val="xl23"/>
    <w:basedOn w:val="1073"/>
    <w:next w:val="1407"/>
    <w:link w:val="1073"/>
    <w:qFormat/>
    <w:pPr>
      <w:spacing w:before="100" w:beforeAutospacing="1" w:after="100" w:afterAutospacing="1" w:line="360" w:lineRule="auto"/>
      <w:widowControl/>
    </w:pPr>
    <w:rPr>
      <w:sz w:val="24"/>
      <w:szCs w:val="20"/>
    </w:rPr>
  </w:style>
  <w:style w:type="paragraph" w:styleId="1408">
    <w:name w:val="Char Char Char2"/>
    <w:basedOn w:val="1073"/>
    <w:next w:val="1408"/>
    <w:link w:val="1073"/>
    <w:qFormat/>
    <w:rPr>
      <w:rFonts w:ascii="Tahoma" w:hAnsi="Tahoma"/>
      <w:sz w:val="24"/>
      <w:szCs w:val="20"/>
    </w:rPr>
  </w:style>
  <w:style w:type="paragraph" w:styleId="1409">
    <w:name w:val="项目编号2"/>
    <w:basedOn w:val="1398"/>
    <w:next w:val="1409"/>
    <w:link w:val="1073"/>
    <w:qFormat/>
    <w:pPr>
      <w:numPr>
        <w:numId w:val="7"/>
      </w:numPr>
    </w:pPr>
  </w:style>
  <w:style w:type="paragraph" w:styleId="1410">
    <w:name w:val="Char2 Char Char Char Char Char Char1"/>
    <w:basedOn w:val="1073"/>
    <w:next w:val="1410"/>
    <w:link w:val="1073"/>
    <w:qFormat/>
    <w:pPr>
      <w:jc w:val="center"/>
      <w:spacing w:line="400" w:lineRule="exact"/>
      <w:widowControl/>
    </w:pPr>
  </w:style>
  <w:style w:type="paragraph" w:styleId="1411">
    <w:name w:val="xl47"/>
    <w:basedOn w:val="1073"/>
    <w:next w:val="1411"/>
    <w:link w:val="10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2">
    <w:name w:val="List Paragraph1"/>
    <w:basedOn w:val="1073"/>
    <w:next w:val="1412"/>
    <w:link w:val="1073"/>
    <w:qFormat/>
    <w:pPr>
      <w:ind w:firstLine="420"/>
    </w:pPr>
    <w:rPr>
      <w:szCs w:val="22"/>
    </w:rPr>
  </w:style>
  <w:style w:type="paragraph" w:styleId="1413">
    <w:name w:val="Char Char Char1"/>
    <w:basedOn w:val="1073"/>
    <w:next w:val="1413"/>
    <w:link w:val="1073"/>
    <w:qFormat/>
    <w:rPr>
      <w:rFonts w:ascii="Tahoma" w:hAnsi="Tahoma"/>
      <w:sz w:val="24"/>
      <w:szCs w:val="20"/>
    </w:rPr>
  </w:style>
  <w:style w:type="paragraph" w:styleId="1414">
    <w:name w:val="Char Char Char1 Char2"/>
    <w:basedOn w:val="1073"/>
    <w:next w:val="1414"/>
    <w:link w:val="1073"/>
    <w:qFormat/>
    <w:rPr>
      <w:rFonts w:ascii="Tahoma" w:hAnsi="Tahoma"/>
      <w:sz w:val="24"/>
      <w:szCs w:val="20"/>
    </w:rPr>
  </w:style>
  <w:style w:type="paragraph" w:styleId="1415">
    <w:name w:val="文档结构图1"/>
    <w:basedOn w:val="1073"/>
    <w:next w:val="1275"/>
    <w:link w:val="1073"/>
    <w:qFormat/>
    <w:pPr>
      <w:widowControl/>
      <w:framePr w:wrap="around" w:vAnchor="margin" w:hAnchor="text" w:y="1"/>
    </w:pPr>
    <w:rPr>
      <w:rFonts w:eastAsia="Arial Unicode MS" w:cs="Times New Roman"/>
      <w:sz w:val="18"/>
      <w:szCs w:val="18"/>
      <w:lang w:eastAsia="en-US"/>
    </w:rPr>
  </w:style>
  <w:style w:type="paragraph" w:styleId="1416">
    <w:name w:val="Char3 Char Char Char2"/>
    <w:basedOn w:val="1073"/>
    <w:next w:val="1416"/>
    <w:link w:val="1073"/>
    <w:qFormat/>
    <w:rPr>
      <w:rFonts w:ascii="Tahoma" w:hAnsi="Tahoma"/>
      <w:sz w:val="24"/>
      <w:szCs w:val="20"/>
    </w:rPr>
  </w:style>
  <w:style w:type="paragraph" w:styleId="1417">
    <w:name w:val="Char Char Char1 Char1"/>
    <w:basedOn w:val="1073"/>
    <w:next w:val="1417"/>
    <w:link w:val="1073"/>
    <w:qFormat/>
    <w:rPr>
      <w:rFonts w:ascii="Tahoma" w:hAnsi="Tahoma"/>
      <w:sz w:val="24"/>
      <w:szCs w:val="20"/>
    </w:rPr>
  </w:style>
  <w:style w:type="paragraph" w:styleId="1418">
    <w:name w:val="xl39"/>
    <w:basedOn w:val="1073"/>
    <w:next w:val="1418"/>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9">
    <w:name w:val="图中文字"/>
    <w:basedOn w:val="1073"/>
    <w:next w:val="1419"/>
    <w:link w:val="1073"/>
    <w:qFormat/>
    <w:pPr>
      <w:jc w:val="center"/>
      <w:spacing w:line="0" w:lineRule="atLeast"/>
    </w:pPr>
    <w:rPr>
      <w:sz w:val="24"/>
      <w:szCs w:val="20"/>
    </w:rPr>
  </w:style>
  <w:style w:type="paragraph" w:styleId="1420">
    <w:name w:val="图例"/>
    <w:basedOn w:val="1073"/>
    <w:next w:val="1420"/>
    <w:link w:val="1073"/>
    <w:qFormat/>
    <w:pPr>
      <w:jc w:val="center"/>
      <w:spacing w:before="120" w:after="120" w:line="360" w:lineRule="auto"/>
    </w:pPr>
    <w:rPr>
      <w:rFonts w:eastAsia="仿宋_GB2312"/>
      <w:b/>
      <w:sz w:val="24"/>
      <w:szCs w:val="20"/>
    </w:rPr>
  </w:style>
  <w:style w:type="paragraph" w:styleId="1421">
    <w:name w:val="图文"/>
    <w:basedOn w:val="1073"/>
    <w:next w:val="1421"/>
    <w:link w:val="1073"/>
    <w:qFormat/>
    <w:pPr>
      <w:spacing w:after="50" w:line="360" w:lineRule="auto"/>
    </w:pPr>
    <w:rPr>
      <w:sz w:val="24"/>
    </w:rPr>
  </w:style>
  <w:style w:type="paragraph" w:styleId="1422">
    <w:name w:val="xl31"/>
    <w:basedOn w:val="1073"/>
    <w:next w:val="1422"/>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3">
    <w:name w:val="Char Char1 Char Char Char Char Char Char1"/>
    <w:basedOn w:val="1073"/>
    <w:next w:val="1423"/>
    <w:link w:val="1073"/>
    <w:qFormat/>
    <w:pPr>
      <w:jc w:val="left"/>
      <w:spacing w:after="160" w:line="240" w:lineRule="exact"/>
      <w:widowControl/>
    </w:pPr>
    <w:rPr>
      <w:rFonts w:ascii="Verdana" w:hAnsi="Verdana" w:eastAsia="仿宋_GB2312"/>
      <w:sz w:val="24"/>
      <w:szCs w:val="20"/>
      <w:lang w:eastAsia="en-US"/>
    </w:rPr>
  </w:style>
  <w:style w:type="paragraph" w:styleId="1424">
    <w:name w:val="xl33"/>
    <w:basedOn w:val="1073"/>
    <w:next w:val="1424"/>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5">
    <w:name w:val="xl53"/>
    <w:basedOn w:val="1073"/>
    <w:next w:val="1425"/>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6">
    <w:name w:val="font9"/>
    <w:basedOn w:val="1073"/>
    <w:next w:val="1426"/>
    <w:link w:val="1073"/>
    <w:qFormat/>
    <w:pPr>
      <w:jc w:val="left"/>
      <w:spacing w:before="100" w:beforeAutospacing="1" w:after="100" w:afterAutospacing="1"/>
      <w:widowControl/>
    </w:pPr>
    <w:rPr>
      <w:rFonts w:hint="eastAsia" w:ascii="宋体" w:hAnsi="宋体" w:cs="Arial Unicode MS"/>
      <w:color w:val="000000"/>
      <w:sz w:val="20"/>
      <w:szCs w:val="20"/>
    </w:rPr>
  </w:style>
  <w:style w:type="paragraph" w:styleId="1427">
    <w:name w:val="xl37"/>
    <w:basedOn w:val="1073"/>
    <w:next w:val="1427"/>
    <w:link w:val="10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28">
    <w:name w:val="22222222222222"/>
    <w:basedOn w:val="1073"/>
    <w:next w:val="1428"/>
    <w:link w:val="1073"/>
    <w:qFormat/>
    <w:pPr>
      <w:ind w:firstLine="480"/>
      <w:jc w:val="left"/>
      <w:spacing w:line="360" w:lineRule="auto"/>
      <w:widowControl/>
    </w:pPr>
    <w:rPr>
      <w:color w:val="ff0000"/>
      <w:sz w:val="24"/>
      <w:szCs w:val="20"/>
    </w:rPr>
  </w:style>
  <w:style w:type="paragraph" w:styleId="1429">
    <w:name w:val="项目编号3"/>
    <w:basedOn w:val="1298"/>
    <w:next w:val="1429"/>
    <w:link w:val="1073"/>
    <w:qFormat/>
    <w:pPr>
      <w:numPr>
        <w:ilvl w:val="0"/>
        <w:numId w:val="8"/>
      </w:numPr>
    </w:pPr>
  </w:style>
  <w:style w:type="paragraph" w:styleId="1430">
    <w:name w:val="正文须知-2级"/>
    <w:basedOn w:val="1073"/>
    <w:next w:val="1430"/>
    <w:link w:val="1073"/>
    <w:qFormat/>
    <w:pPr>
      <w:numPr>
        <w:ilvl w:val="1"/>
        <w:numId w:val="3"/>
      </w:numPr>
      <w:spacing w:line="300" w:lineRule="auto"/>
    </w:pPr>
    <w:rPr>
      <w:rFonts w:ascii="宋体"/>
      <w:sz w:val="24"/>
      <w:szCs w:val="21"/>
    </w:rPr>
  </w:style>
  <w:style w:type="paragraph" w:styleId="1431">
    <w:name w:val="Char21"/>
    <w:basedOn w:val="1073"/>
    <w:next w:val="1431"/>
    <w:link w:val="1073"/>
    <w:qFormat/>
    <w:rPr>
      <w:rFonts w:ascii="Tahoma" w:hAnsi="Tahoma"/>
      <w:sz w:val="24"/>
      <w:szCs w:val="20"/>
    </w:rPr>
  </w:style>
  <w:style w:type="paragraph" w:styleId="1432">
    <w:name w:val="font8"/>
    <w:basedOn w:val="1073"/>
    <w:next w:val="1432"/>
    <w:link w:val="1073"/>
    <w:qFormat/>
    <w:pPr>
      <w:jc w:val="left"/>
      <w:spacing w:before="100" w:beforeAutospacing="1" w:after="100" w:afterAutospacing="1"/>
      <w:widowControl/>
    </w:pPr>
    <w:rPr>
      <w:sz w:val="36"/>
      <w:szCs w:val="36"/>
    </w:rPr>
  </w:style>
  <w:style w:type="table" w:styleId="1433">
    <w:name w:val="Table Normal"/>
    <w:next w:val="1433"/>
    <w:link w:val="1073"/>
    <w:uiPriority w:val="2"/>
    <w:unhideWhenUsed/>
    <w:qFormat/>
    <w:pPr>
      <w:widowControl w:val="off"/>
    </w:pPr>
    <w:rPr>
      <w:rFonts w:ascii="Calibri" w:hAnsi="Calibri" w:eastAsia="微软雅黑"/>
      <w:sz w:val="22"/>
      <w:lang w:val="en-US" w:eastAsia="en-US" w:bidi="ar-SA"/>
    </w:rPr>
    <w:tblPr/>
  </w:style>
  <w:style w:type="paragraph" w:styleId="1434">
    <w:name w:val="标题 211"/>
    <w:basedOn w:val="1073"/>
    <w:next w:val="1073"/>
    <w:link w:val="1073"/>
    <w:uiPriority w:val="9"/>
    <w:unhideWhenUsed/>
    <w:qFormat/>
    <w:pPr>
      <w:keepLines/>
      <w:keepNext/>
      <w:spacing w:before="360" w:after="200"/>
      <w:outlineLvl w:val="1"/>
    </w:pPr>
    <w:rPr>
      <w:rFonts w:ascii="Arial" w:hAnsi="Arial" w:cs="Arial"/>
      <w:sz w:val="34"/>
      <w:szCs w:val="22"/>
    </w:rPr>
  </w:style>
  <w:style w:type="character" w:styleId="1435" w:default="1">
    <w:name w:val="Default Paragraph Font"/>
    <w:uiPriority w:val="1"/>
    <w:semiHidden/>
    <w:unhideWhenUsed/>
  </w:style>
  <w:style w:type="numbering" w:styleId="1436" w:default="1">
    <w:name w:val="No List"/>
    <w:uiPriority w:val="99"/>
    <w:semiHidden/>
    <w:unhideWhenUsed/>
  </w:style>
  <w:style w:type="table" w:styleId="14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dc:creator>
  <cp:lastModifiedBy>严丽珍</cp:lastModifiedBy>
  <cp:revision>4</cp:revision>
  <dcterms:created xsi:type="dcterms:W3CDTF">2026-09-08T05:33:00Z</dcterms:created>
  <dcterms:modified xsi:type="dcterms:W3CDTF">2026-10-15T06:08:37Z</dcterms:modified>
</cp:coreProperties>
</file>