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0A09A">
      <w:pPr>
        <w:pStyle w:val="8"/>
        <w:spacing w:before="120" w:beforeAutospacing="0" w:after="120" w:afterAutospacing="0" w:line="360" w:lineRule="auto"/>
        <w:rPr>
          <w:highlight w:val="none"/>
        </w:rPr>
      </w:pPr>
      <w:r>
        <w:rPr>
          <w:highlight w:val="none"/>
        </w:rPr>
        <w:t> </w:t>
      </w:r>
    </w:p>
    <w:p w14:paraId="6310309D">
      <w:pPr>
        <w:pStyle w:val="8"/>
        <w:spacing w:before="120" w:beforeAutospacing="0" w:after="120" w:afterAutospacing="0" w:line="360" w:lineRule="auto"/>
        <w:jc w:val="center"/>
        <w:rPr>
          <w:rFonts w:ascii="Arial" w:hAnsi="Arial" w:cs="Arial"/>
          <w:b/>
          <w:color w:val="000000"/>
          <w:sz w:val="84"/>
          <w:szCs w:val="84"/>
          <w:highlight w:val="none"/>
        </w:rPr>
      </w:pPr>
    </w:p>
    <w:p w14:paraId="08129F8D">
      <w:pPr>
        <w:pStyle w:val="8"/>
        <w:spacing w:before="120" w:beforeAutospacing="0" w:after="120" w:afterAutospacing="0" w:line="360" w:lineRule="auto"/>
        <w:jc w:val="center"/>
        <w:rPr>
          <w:highlight w:val="none"/>
        </w:rPr>
      </w:pPr>
      <w:r>
        <w:rPr>
          <w:rFonts w:ascii="Arial" w:hAnsi="Arial" w:cs="Arial"/>
          <w:b/>
          <w:color w:val="000000"/>
          <w:sz w:val="84"/>
          <w:szCs w:val="84"/>
          <w:highlight w:val="none"/>
        </w:rPr>
        <w:t>单一来源采购文件</w:t>
      </w:r>
    </w:p>
    <w:p w14:paraId="0BC24C1F">
      <w:pPr>
        <w:pStyle w:val="8"/>
        <w:spacing w:before="120" w:beforeAutospacing="0" w:after="120" w:afterAutospacing="0" w:line="360" w:lineRule="auto"/>
        <w:jc w:val="center"/>
        <w:rPr>
          <w:rFonts w:ascii="Arial" w:hAnsi="Arial" w:cs="Arial"/>
          <w:b/>
          <w:color w:val="000000"/>
          <w:sz w:val="32"/>
          <w:szCs w:val="32"/>
          <w:highlight w:val="none"/>
        </w:rPr>
      </w:pPr>
    </w:p>
    <w:p w14:paraId="5B421C77">
      <w:pPr>
        <w:pStyle w:val="8"/>
        <w:spacing w:before="120" w:beforeAutospacing="0" w:after="120" w:afterAutospacing="0" w:line="360" w:lineRule="auto"/>
        <w:jc w:val="center"/>
        <w:rPr>
          <w:rFonts w:ascii="Arial" w:hAnsi="Arial" w:cs="Arial"/>
          <w:b/>
          <w:color w:val="000000"/>
          <w:sz w:val="32"/>
          <w:szCs w:val="32"/>
          <w:highlight w:val="none"/>
        </w:rPr>
      </w:pPr>
    </w:p>
    <w:p w14:paraId="784CB7E0">
      <w:pPr>
        <w:pStyle w:val="8"/>
        <w:spacing w:before="120" w:beforeAutospacing="0" w:after="120" w:afterAutospacing="0" w:line="360" w:lineRule="auto"/>
        <w:jc w:val="center"/>
        <w:rPr>
          <w:rFonts w:ascii="Arial" w:hAnsi="Arial" w:cs="Arial"/>
          <w:b/>
          <w:color w:val="000000"/>
          <w:sz w:val="32"/>
          <w:szCs w:val="32"/>
          <w:highlight w:val="none"/>
        </w:rPr>
      </w:pPr>
      <w:r>
        <w:rPr>
          <w:rFonts w:ascii="Arial" w:hAnsi="Arial" w:cs="Arial"/>
          <w:b/>
          <w:color w:val="000000"/>
          <w:sz w:val="32"/>
          <w:szCs w:val="32"/>
          <w:highlight w:val="none"/>
        </w:rPr>
        <w:t>项目名称：黄海新区形象宣传省级媒体发布项目</w:t>
      </w:r>
    </w:p>
    <w:p w14:paraId="377E254F">
      <w:pPr>
        <w:pStyle w:val="8"/>
        <w:spacing w:before="120" w:beforeAutospacing="0" w:after="120" w:afterAutospacing="0" w:line="360" w:lineRule="auto"/>
        <w:jc w:val="center"/>
        <w:rPr>
          <w:rFonts w:ascii="Arial" w:hAnsi="Arial" w:cs="Arial"/>
          <w:b/>
          <w:color w:val="000000"/>
          <w:sz w:val="32"/>
          <w:szCs w:val="32"/>
          <w:highlight w:val="none"/>
        </w:rPr>
      </w:pPr>
      <w:r>
        <w:rPr>
          <w:rFonts w:ascii="Arial" w:hAnsi="Arial" w:cs="Arial"/>
          <w:b/>
          <w:color w:val="000000"/>
          <w:sz w:val="32"/>
          <w:szCs w:val="32"/>
          <w:highlight w:val="none"/>
        </w:rPr>
        <w:t>项目编号：JSZC-320900-JSZC-D2026-0042</w:t>
      </w:r>
    </w:p>
    <w:p w14:paraId="006199E3">
      <w:pPr>
        <w:pStyle w:val="8"/>
        <w:spacing w:beforeAutospacing="0" w:afterAutospacing="0" w:line="360" w:lineRule="auto"/>
        <w:rPr>
          <w:highlight w:val="none"/>
        </w:rPr>
      </w:pPr>
      <w:r>
        <w:rPr>
          <w:highlight w:val="none"/>
        </w:rPr>
        <w:t> </w:t>
      </w:r>
    </w:p>
    <w:p w14:paraId="708CE6EE">
      <w:pPr>
        <w:pStyle w:val="8"/>
        <w:spacing w:beforeAutospacing="0" w:afterAutospacing="0" w:line="360" w:lineRule="auto"/>
        <w:rPr>
          <w:highlight w:val="none"/>
        </w:rPr>
      </w:pPr>
      <w:r>
        <w:rPr>
          <w:highlight w:val="none"/>
        </w:rPr>
        <w:t> </w:t>
      </w:r>
    </w:p>
    <w:p w14:paraId="6D982732">
      <w:pPr>
        <w:pStyle w:val="8"/>
        <w:spacing w:beforeAutospacing="0" w:afterAutospacing="0" w:line="360" w:lineRule="auto"/>
        <w:rPr>
          <w:highlight w:val="none"/>
        </w:rPr>
      </w:pPr>
      <w:r>
        <w:rPr>
          <w:highlight w:val="none"/>
        </w:rPr>
        <w:t> </w:t>
      </w:r>
    </w:p>
    <w:p w14:paraId="07EA2D6F">
      <w:pPr>
        <w:pStyle w:val="8"/>
        <w:spacing w:beforeAutospacing="0" w:afterAutospacing="0" w:line="360" w:lineRule="auto"/>
        <w:rPr>
          <w:highlight w:val="none"/>
        </w:rPr>
      </w:pPr>
      <w:r>
        <w:rPr>
          <w:highlight w:val="none"/>
        </w:rPr>
        <w:t> </w:t>
      </w:r>
    </w:p>
    <w:p w14:paraId="248E3D89">
      <w:pPr>
        <w:pStyle w:val="8"/>
        <w:spacing w:beforeAutospacing="0" w:afterAutospacing="0" w:line="360" w:lineRule="auto"/>
        <w:rPr>
          <w:highlight w:val="none"/>
        </w:rPr>
      </w:pPr>
      <w:r>
        <w:rPr>
          <w:highlight w:val="none"/>
        </w:rPr>
        <w:t> </w:t>
      </w:r>
    </w:p>
    <w:p w14:paraId="137D1B31">
      <w:pPr>
        <w:pStyle w:val="8"/>
        <w:spacing w:beforeAutospacing="0" w:afterAutospacing="0" w:line="360" w:lineRule="auto"/>
        <w:rPr>
          <w:highlight w:val="none"/>
        </w:rPr>
      </w:pPr>
      <w:r>
        <w:rPr>
          <w:highlight w:val="none"/>
        </w:rPr>
        <w:t> </w:t>
      </w:r>
    </w:p>
    <w:p w14:paraId="643FBF12">
      <w:pPr>
        <w:pStyle w:val="8"/>
        <w:spacing w:beforeAutospacing="0" w:afterAutospacing="0" w:line="360" w:lineRule="auto"/>
        <w:rPr>
          <w:highlight w:val="none"/>
        </w:rPr>
      </w:pPr>
      <w:r>
        <w:rPr>
          <w:highlight w:val="none"/>
        </w:rPr>
        <w:t> </w:t>
      </w:r>
    </w:p>
    <w:p w14:paraId="2230AC80">
      <w:pPr>
        <w:pStyle w:val="8"/>
        <w:spacing w:before="120" w:beforeAutospacing="0" w:after="120" w:afterAutospacing="0" w:line="360" w:lineRule="auto"/>
        <w:jc w:val="center"/>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盐城经济技术开发区管委会滨海港工业园区</w:t>
      </w:r>
    </w:p>
    <w:p w14:paraId="38A1F757">
      <w:pPr>
        <w:pStyle w:val="8"/>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lang w:val="en-US" w:eastAsia="zh-CN"/>
        </w:rPr>
        <w:t>管理办公室</w:t>
      </w:r>
    </w:p>
    <w:p w14:paraId="53D3DA13">
      <w:pPr>
        <w:pStyle w:val="8"/>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10</w:t>
      </w:r>
      <w:r>
        <w:rPr>
          <w:rFonts w:ascii="Arial" w:hAnsi="Arial" w:cs="Arial"/>
          <w:b/>
          <w:color w:val="000000"/>
          <w:sz w:val="32"/>
          <w:szCs w:val="32"/>
          <w:highlight w:val="none"/>
        </w:rPr>
        <w:t>月</w:t>
      </w:r>
    </w:p>
    <w:p w14:paraId="0E5EDC98">
      <w:pPr>
        <w:pStyle w:val="8"/>
        <w:spacing w:before="120" w:beforeAutospacing="0" w:after="120" w:afterAutospacing="0" w:line="360" w:lineRule="auto"/>
        <w:rPr>
          <w:highlight w:val="none"/>
        </w:rPr>
      </w:pPr>
      <w:r>
        <w:rPr>
          <w:rFonts w:ascii="Arial" w:hAnsi="Arial" w:cs="Arial"/>
          <w:color w:val="000000"/>
          <w:highlight w:val="none"/>
        </w:rPr>
        <w:t xml:space="preserve">                        </w:t>
      </w:r>
    </w:p>
    <w:p w14:paraId="7AA0C273">
      <w:pPr>
        <w:pStyle w:val="8"/>
        <w:spacing w:before="120" w:beforeAutospacing="0" w:after="120" w:afterAutospacing="0" w:line="360" w:lineRule="auto"/>
        <w:jc w:val="center"/>
        <w:rPr>
          <w:highlight w:val="none"/>
        </w:rPr>
      </w:pPr>
      <w:r>
        <w:rPr>
          <w:highlight w:val="none"/>
        </w:rPr>
        <w:t> </w:t>
      </w:r>
    </w:p>
    <w:p w14:paraId="682C4828">
      <w:pPr>
        <w:pStyle w:val="8"/>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523127445"/>
      <w:bookmarkStart w:id="1" w:name="_Toc120614210"/>
      <w:bookmarkStart w:id="2" w:name="_Toc513029200"/>
      <w:bookmarkStart w:id="3" w:name="_Toc20823272"/>
      <w:bookmarkStart w:id="4" w:name="_Toc479757206"/>
      <w:bookmarkStart w:id="5" w:name="_Toc16938516"/>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265B6F68">
      <w:pPr>
        <w:pStyle w:val="8"/>
        <w:spacing w:beforeAutospacing="0" w:afterAutospacing="0" w:line="480" w:lineRule="auto"/>
        <w:jc w:val="both"/>
        <w:rPr>
          <w:highlight w:val="none"/>
        </w:rPr>
      </w:pPr>
      <w:r>
        <w:rPr>
          <w:highlight w:val="none"/>
        </w:rPr>
        <w:t> </w:t>
      </w:r>
    </w:p>
    <w:p w14:paraId="60C5DB26">
      <w:pPr>
        <w:pStyle w:val="8"/>
        <w:tabs>
          <w:tab w:val="left" w:pos="1441"/>
        </w:tabs>
        <w:spacing w:beforeAutospacing="0" w:afterAutospacing="0" w:line="480" w:lineRule="auto"/>
        <w:ind w:left="2160" w:hanging="1440"/>
        <w:jc w:val="both"/>
        <w:rPr>
          <w:rFonts w:hint="eastAsia" w:eastAsia="黑体"/>
          <w:highlight w:val="none"/>
          <w:lang w:val="en-US" w:eastAsia="zh-CN"/>
        </w:rPr>
      </w:pPr>
      <w:r>
        <w:rPr>
          <w:rFonts w:hint="eastAsia" w:ascii="黑体" w:hAnsi="宋体" w:eastAsia="黑体" w:cs="黑体"/>
          <w:color w:val="000000"/>
          <w:sz w:val="36"/>
          <w:szCs w:val="36"/>
          <w:highlight w:val="none"/>
        </w:rPr>
        <w:t>单一来源采购邀请…………………………</w:t>
      </w:r>
      <w:r>
        <w:rPr>
          <w:rFonts w:hint="eastAsia" w:ascii="黑体" w:hAnsi="宋体" w:eastAsia="黑体" w:cs="黑体"/>
          <w:color w:val="000000"/>
          <w:sz w:val="36"/>
          <w:szCs w:val="36"/>
          <w:highlight w:val="none"/>
          <w:lang w:val="en-US" w:eastAsia="zh-CN"/>
        </w:rPr>
        <w:t>3</w:t>
      </w:r>
    </w:p>
    <w:p w14:paraId="4306147D">
      <w:pPr>
        <w:pStyle w:val="8"/>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rPr>
        <w:t>供应商须知…………………………………</w:t>
      </w:r>
      <w:r>
        <w:rPr>
          <w:rFonts w:hint="eastAsia" w:ascii="黑体" w:hAnsi="宋体" w:eastAsia="黑体" w:cs="黑体"/>
          <w:color w:val="000000"/>
          <w:sz w:val="36"/>
          <w:szCs w:val="36"/>
          <w:highlight w:val="none"/>
          <w:lang w:val="en-US" w:eastAsia="zh-CN"/>
        </w:rPr>
        <w:t>7</w:t>
      </w:r>
      <w:r>
        <w:rPr>
          <w:rFonts w:hint="eastAsia" w:ascii="黑体" w:hAnsi="宋体" w:eastAsia="黑体" w:cs="黑体"/>
          <w:color w:val="000000"/>
          <w:sz w:val="36"/>
          <w:szCs w:val="36"/>
          <w:highlight w:val="none"/>
        </w:rPr>
        <w:t xml:space="preserve">  </w:t>
      </w:r>
    </w:p>
    <w:p w14:paraId="666AAF2E">
      <w:pPr>
        <w:pStyle w:val="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22</w:t>
      </w:r>
    </w:p>
    <w:p w14:paraId="61F86014">
      <w:pPr>
        <w:pStyle w:val="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28</w:t>
      </w:r>
    </w:p>
    <w:p w14:paraId="6FDED2CE">
      <w:pPr>
        <w:pStyle w:val="8"/>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响应文件格式………………………………</w:t>
      </w:r>
      <w:r>
        <w:rPr>
          <w:rFonts w:hint="eastAsia" w:ascii="黑体" w:hAnsi="宋体" w:eastAsia="黑体" w:cs="黑体"/>
          <w:color w:val="000000"/>
          <w:sz w:val="36"/>
          <w:szCs w:val="36"/>
          <w:highlight w:val="none"/>
          <w:lang w:val="en-US" w:eastAsia="zh-CN"/>
        </w:rPr>
        <w:t>32</w:t>
      </w:r>
    </w:p>
    <w:p w14:paraId="219D4F43">
      <w:pPr>
        <w:pStyle w:val="8"/>
        <w:spacing w:beforeAutospacing="0" w:afterAutospacing="0"/>
        <w:jc w:val="both"/>
        <w:rPr>
          <w:highlight w:val="none"/>
        </w:rPr>
      </w:pPr>
      <w:r>
        <w:rPr>
          <w:highlight w:val="none"/>
        </w:rPr>
        <w:t> </w:t>
      </w:r>
    </w:p>
    <w:p w14:paraId="33FF8EA5">
      <w:pPr>
        <w:pStyle w:val="8"/>
        <w:spacing w:beforeAutospacing="0" w:afterAutospacing="0"/>
        <w:jc w:val="both"/>
        <w:rPr>
          <w:highlight w:val="none"/>
        </w:rPr>
      </w:pPr>
      <w:r>
        <w:rPr>
          <w:highlight w:val="none"/>
        </w:rPr>
        <w:t> </w:t>
      </w:r>
    </w:p>
    <w:p w14:paraId="1CCD27CC">
      <w:pPr>
        <w:pStyle w:val="8"/>
        <w:spacing w:beforeAutospacing="0" w:afterAutospacing="0"/>
        <w:jc w:val="both"/>
        <w:rPr>
          <w:highlight w:val="none"/>
        </w:rPr>
      </w:pPr>
      <w:r>
        <w:rPr>
          <w:highlight w:val="none"/>
        </w:rPr>
        <w:t> </w:t>
      </w:r>
    </w:p>
    <w:p w14:paraId="3324A9D2">
      <w:pPr>
        <w:pStyle w:val="8"/>
        <w:spacing w:beforeAutospacing="0" w:afterAutospacing="0"/>
        <w:jc w:val="both"/>
        <w:rPr>
          <w:highlight w:val="none"/>
        </w:rPr>
      </w:pPr>
      <w:r>
        <w:rPr>
          <w:highlight w:val="none"/>
        </w:rPr>
        <w:t> </w:t>
      </w:r>
    </w:p>
    <w:p w14:paraId="365BFCD6">
      <w:pPr>
        <w:pStyle w:val="8"/>
        <w:spacing w:beforeAutospacing="0" w:afterAutospacing="0"/>
        <w:jc w:val="both"/>
        <w:rPr>
          <w:highlight w:val="none"/>
        </w:rPr>
      </w:pPr>
      <w:r>
        <w:rPr>
          <w:highlight w:val="none"/>
        </w:rPr>
        <w:t> </w:t>
      </w:r>
    </w:p>
    <w:p w14:paraId="1A2F2C77">
      <w:pPr>
        <w:pStyle w:val="8"/>
        <w:spacing w:beforeAutospacing="0" w:afterAutospacing="0"/>
        <w:jc w:val="both"/>
        <w:rPr>
          <w:highlight w:val="none"/>
        </w:rPr>
      </w:pPr>
      <w:r>
        <w:rPr>
          <w:highlight w:val="none"/>
        </w:rPr>
        <w:t> </w:t>
      </w:r>
    </w:p>
    <w:p w14:paraId="7A4539AC">
      <w:pPr>
        <w:pStyle w:val="8"/>
        <w:spacing w:beforeAutospacing="0" w:afterAutospacing="0"/>
        <w:jc w:val="both"/>
        <w:rPr>
          <w:highlight w:val="none"/>
        </w:rPr>
      </w:pPr>
      <w:r>
        <w:rPr>
          <w:highlight w:val="none"/>
        </w:rPr>
        <w:t> </w:t>
      </w:r>
    </w:p>
    <w:p w14:paraId="7CD91F45">
      <w:pPr>
        <w:pStyle w:val="8"/>
        <w:spacing w:beforeAutospacing="0" w:afterAutospacing="0"/>
        <w:jc w:val="both"/>
        <w:rPr>
          <w:highlight w:val="none"/>
        </w:rPr>
      </w:pPr>
      <w:r>
        <w:rPr>
          <w:highlight w:val="none"/>
        </w:rPr>
        <w:t> </w:t>
      </w:r>
    </w:p>
    <w:p w14:paraId="37CFC316">
      <w:pPr>
        <w:pStyle w:val="8"/>
        <w:spacing w:beforeAutospacing="0" w:afterAutospacing="0"/>
        <w:jc w:val="both"/>
        <w:rPr>
          <w:highlight w:val="none"/>
        </w:rPr>
      </w:pPr>
      <w:r>
        <w:rPr>
          <w:highlight w:val="none"/>
        </w:rPr>
        <w:t> </w:t>
      </w:r>
    </w:p>
    <w:p w14:paraId="70FDE0FD">
      <w:pPr>
        <w:pStyle w:val="8"/>
        <w:spacing w:beforeAutospacing="0" w:afterAutospacing="0"/>
        <w:jc w:val="both"/>
        <w:rPr>
          <w:highlight w:val="none"/>
        </w:rPr>
      </w:pPr>
      <w:r>
        <w:rPr>
          <w:highlight w:val="none"/>
        </w:rPr>
        <w:t> </w:t>
      </w:r>
    </w:p>
    <w:p w14:paraId="715E0B6B">
      <w:pPr>
        <w:pStyle w:val="8"/>
        <w:spacing w:beforeAutospacing="0" w:afterAutospacing="0"/>
        <w:jc w:val="both"/>
        <w:rPr>
          <w:highlight w:val="none"/>
        </w:rPr>
      </w:pPr>
      <w:r>
        <w:rPr>
          <w:highlight w:val="none"/>
        </w:rPr>
        <w:t> </w:t>
      </w:r>
    </w:p>
    <w:p w14:paraId="4DC7546E">
      <w:pPr>
        <w:pStyle w:val="8"/>
        <w:spacing w:beforeAutospacing="0" w:afterAutospacing="0"/>
        <w:jc w:val="both"/>
        <w:rPr>
          <w:highlight w:val="none"/>
        </w:rPr>
      </w:pPr>
      <w:r>
        <w:rPr>
          <w:highlight w:val="none"/>
        </w:rPr>
        <w:t> </w:t>
      </w:r>
    </w:p>
    <w:p w14:paraId="0F2365D2">
      <w:pPr>
        <w:pStyle w:val="8"/>
        <w:spacing w:beforeAutospacing="0" w:afterAutospacing="0"/>
        <w:jc w:val="both"/>
        <w:rPr>
          <w:highlight w:val="none"/>
        </w:rPr>
      </w:pPr>
      <w:r>
        <w:rPr>
          <w:highlight w:val="none"/>
        </w:rPr>
        <w:t> </w:t>
      </w:r>
    </w:p>
    <w:p w14:paraId="6C02CD95">
      <w:pPr>
        <w:pStyle w:val="8"/>
        <w:spacing w:beforeAutospacing="0" w:afterAutospacing="0"/>
        <w:jc w:val="both"/>
        <w:rPr>
          <w:highlight w:val="none"/>
        </w:rPr>
      </w:pPr>
      <w:r>
        <w:rPr>
          <w:highlight w:val="none"/>
        </w:rPr>
        <w:t> </w:t>
      </w:r>
    </w:p>
    <w:p w14:paraId="4DC3E1BF">
      <w:pPr>
        <w:pStyle w:val="8"/>
        <w:spacing w:beforeAutospacing="0" w:afterAutospacing="0"/>
        <w:jc w:val="both"/>
        <w:rPr>
          <w:highlight w:val="none"/>
        </w:rPr>
      </w:pPr>
      <w:r>
        <w:rPr>
          <w:highlight w:val="none"/>
        </w:rPr>
        <w:t> </w:t>
      </w:r>
    </w:p>
    <w:p w14:paraId="457D9141">
      <w:pPr>
        <w:pStyle w:val="8"/>
        <w:spacing w:beforeAutospacing="0" w:afterAutospacing="0"/>
        <w:jc w:val="both"/>
        <w:rPr>
          <w:highlight w:val="none"/>
        </w:rPr>
      </w:pPr>
      <w:r>
        <w:rPr>
          <w:highlight w:val="none"/>
        </w:rPr>
        <w:t> </w:t>
      </w:r>
    </w:p>
    <w:p w14:paraId="38D8F94D">
      <w:pPr>
        <w:pStyle w:val="8"/>
        <w:spacing w:beforeAutospacing="0" w:afterAutospacing="0"/>
        <w:jc w:val="both"/>
        <w:rPr>
          <w:highlight w:val="none"/>
        </w:rPr>
      </w:pPr>
      <w:r>
        <w:rPr>
          <w:highlight w:val="none"/>
        </w:rPr>
        <w:t> </w:t>
      </w:r>
    </w:p>
    <w:p w14:paraId="3AC52119">
      <w:pPr>
        <w:pStyle w:val="8"/>
        <w:spacing w:beforeAutospacing="0" w:afterAutospacing="0"/>
        <w:jc w:val="both"/>
        <w:rPr>
          <w:highlight w:val="none"/>
        </w:rPr>
      </w:pPr>
      <w:r>
        <w:rPr>
          <w:highlight w:val="none"/>
        </w:rPr>
        <w:t> </w:t>
      </w:r>
    </w:p>
    <w:p w14:paraId="66FE6C60">
      <w:pPr>
        <w:pStyle w:val="8"/>
        <w:spacing w:beforeAutospacing="0" w:afterAutospacing="0"/>
        <w:jc w:val="both"/>
        <w:rPr>
          <w:highlight w:val="none"/>
        </w:rPr>
      </w:pPr>
      <w:r>
        <w:rPr>
          <w:highlight w:val="none"/>
        </w:rPr>
        <w:t> </w:t>
      </w:r>
    </w:p>
    <w:p w14:paraId="623B0045">
      <w:pPr>
        <w:pStyle w:val="8"/>
        <w:spacing w:beforeAutospacing="0" w:afterAutospacing="0"/>
        <w:jc w:val="both"/>
        <w:rPr>
          <w:highlight w:val="none"/>
        </w:rPr>
      </w:pPr>
      <w:r>
        <w:rPr>
          <w:highlight w:val="none"/>
        </w:rPr>
        <w:t> </w:t>
      </w:r>
    </w:p>
    <w:p w14:paraId="65ED9565">
      <w:pPr>
        <w:pStyle w:val="8"/>
        <w:spacing w:beforeAutospacing="0" w:afterAutospacing="0"/>
        <w:jc w:val="both"/>
        <w:rPr>
          <w:highlight w:val="none"/>
        </w:rPr>
      </w:pPr>
      <w:r>
        <w:rPr>
          <w:highlight w:val="none"/>
        </w:rPr>
        <w:t> </w:t>
      </w:r>
    </w:p>
    <w:p w14:paraId="4797C26D">
      <w:pPr>
        <w:pStyle w:val="8"/>
        <w:spacing w:beforeAutospacing="0" w:afterAutospacing="0"/>
        <w:jc w:val="both"/>
        <w:rPr>
          <w:highlight w:val="none"/>
        </w:rPr>
      </w:pPr>
      <w:r>
        <w:rPr>
          <w:highlight w:val="none"/>
        </w:rPr>
        <w:t> </w:t>
      </w:r>
    </w:p>
    <w:p w14:paraId="25E32EAB">
      <w:pPr>
        <w:pStyle w:val="8"/>
        <w:spacing w:beforeAutospacing="0" w:afterAutospacing="0"/>
        <w:jc w:val="both"/>
        <w:rPr>
          <w:highlight w:val="none"/>
        </w:rPr>
      </w:pPr>
      <w:r>
        <w:rPr>
          <w:highlight w:val="none"/>
        </w:rPr>
        <w:t> </w:t>
      </w:r>
    </w:p>
    <w:p w14:paraId="4D205274">
      <w:pPr>
        <w:pStyle w:val="8"/>
        <w:spacing w:beforeAutospacing="0" w:afterAutospacing="0"/>
        <w:jc w:val="both"/>
        <w:rPr>
          <w:highlight w:val="none"/>
        </w:rPr>
      </w:pPr>
      <w:r>
        <w:rPr>
          <w:highlight w:val="none"/>
        </w:rPr>
        <w:t> </w:t>
      </w:r>
    </w:p>
    <w:p w14:paraId="7A022074">
      <w:pPr>
        <w:pStyle w:val="8"/>
        <w:spacing w:beforeAutospacing="0" w:afterAutospacing="0"/>
        <w:jc w:val="both"/>
        <w:rPr>
          <w:highlight w:val="none"/>
        </w:rPr>
      </w:pPr>
      <w:r>
        <w:rPr>
          <w:highlight w:val="none"/>
        </w:rPr>
        <w:t> </w:t>
      </w:r>
    </w:p>
    <w:p w14:paraId="11BE4F66">
      <w:pPr>
        <w:pStyle w:val="8"/>
        <w:spacing w:beforeAutospacing="0" w:afterAutospacing="0"/>
        <w:jc w:val="both"/>
        <w:rPr>
          <w:highlight w:val="none"/>
        </w:rPr>
      </w:pPr>
      <w:r>
        <w:rPr>
          <w:highlight w:val="none"/>
        </w:rPr>
        <w:t> </w:t>
      </w:r>
    </w:p>
    <w:p w14:paraId="278149E7">
      <w:pPr>
        <w:pStyle w:val="8"/>
        <w:spacing w:beforeAutospacing="0" w:afterAutospacing="0"/>
        <w:jc w:val="both"/>
        <w:rPr>
          <w:highlight w:val="none"/>
        </w:rPr>
      </w:pPr>
      <w:r>
        <w:rPr>
          <w:highlight w:val="none"/>
        </w:rPr>
        <w:t> </w:t>
      </w:r>
    </w:p>
    <w:p w14:paraId="6F2E919F">
      <w:pPr>
        <w:pStyle w:val="8"/>
        <w:spacing w:beforeAutospacing="0" w:afterAutospacing="0"/>
        <w:jc w:val="both"/>
        <w:rPr>
          <w:highlight w:val="none"/>
        </w:rPr>
      </w:pPr>
      <w:r>
        <w:rPr>
          <w:highlight w:val="none"/>
        </w:rPr>
        <w:t> </w:t>
      </w:r>
    </w:p>
    <w:p w14:paraId="54410AC1">
      <w:pPr>
        <w:pStyle w:val="8"/>
        <w:spacing w:beforeAutospacing="0" w:afterAutospacing="0"/>
        <w:jc w:val="both"/>
        <w:rPr>
          <w:highlight w:val="none"/>
        </w:rPr>
      </w:pPr>
      <w:r>
        <w:rPr>
          <w:highlight w:val="none"/>
        </w:rPr>
        <w:t> </w:t>
      </w:r>
    </w:p>
    <w:p w14:paraId="391D10EB">
      <w:pPr>
        <w:pStyle w:val="8"/>
        <w:keepNext/>
        <w:keepLines/>
        <w:spacing w:before="260" w:beforeAutospacing="0" w:after="260" w:afterAutospacing="0" w:line="415" w:lineRule="auto"/>
        <w:jc w:val="center"/>
        <w:rPr>
          <w:rFonts w:hint="eastAsia" w:ascii="黑体" w:hAnsi="宋体" w:eastAsia="黑体" w:cs="黑体"/>
          <w:b/>
          <w:color w:val="auto"/>
          <w:sz w:val="44"/>
          <w:szCs w:val="44"/>
          <w:highlight w:val="none"/>
          <w:shd w:val="clear" w:color="auto" w:fill="auto"/>
        </w:rPr>
      </w:pPr>
      <w:r>
        <w:rPr>
          <w:rFonts w:hint="eastAsia" w:ascii="黑体" w:hAnsi="宋体" w:eastAsia="黑体" w:cs="黑体"/>
          <w:b/>
          <w:color w:val="auto"/>
          <w:sz w:val="44"/>
          <w:szCs w:val="44"/>
          <w:highlight w:val="none"/>
          <w:shd w:val="clear" w:color="auto" w:fill="auto"/>
        </w:rPr>
        <w:t>第一章  单一来源采购邀请</w:t>
      </w:r>
    </w:p>
    <w:p w14:paraId="335A27A0">
      <w:pPr>
        <w:pStyle w:val="8"/>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000000"/>
          <w:sz w:val="24"/>
          <w:szCs w:val="24"/>
          <w:highlight w:val="none"/>
        </w:rPr>
        <w:t>受</w:t>
      </w:r>
      <w:r>
        <w:rPr>
          <w:rFonts w:hint="eastAsia" w:ascii="宋体" w:hAnsi="宋体" w:eastAsia="宋体" w:cs="宋体"/>
          <w:b w:val="0"/>
          <w:bCs w:val="0"/>
          <w:color w:val="000000"/>
          <w:sz w:val="24"/>
          <w:szCs w:val="24"/>
          <w:highlight w:val="none"/>
          <w:lang w:val="en-US" w:eastAsia="zh-CN"/>
        </w:rPr>
        <w:t>盐城经济技术开发区管委会滨海港工业园区管理办公室</w:t>
      </w:r>
      <w:r>
        <w:rPr>
          <w:rFonts w:hint="eastAsia" w:ascii="宋体" w:hAnsi="宋体" w:eastAsia="宋体" w:cs="宋体"/>
          <w:b w:val="0"/>
          <w:bCs w:val="0"/>
          <w:color w:val="000000"/>
          <w:sz w:val="24"/>
          <w:szCs w:val="24"/>
          <w:highlight w:val="none"/>
        </w:rPr>
        <w:t>的委托，</w:t>
      </w:r>
      <w:r>
        <w:rPr>
          <w:rFonts w:hint="eastAsia" w:ascii="宋体" w:hAnsi="宋体" w:eastAsia="宋体" w:cs="宋体"/>
          <w:b w:val="0"/>
          <w:bCs w:val="0"/>
          <w:color w:val="000000"/>
          <w:sz w:val="24"/>
          <w:szCs w:val="24"/>
          <w:highlight w:val="none"/>
          <w:lang w:eastAsia="zh-CN"/>
        </w:rPr>
        <w:t>江苏志诚工程咨询管理有限公司</w:t>
      </w:r>
      <w:r>
        <w:rPr>
          <w:rFonts w:hint="eastAsia" w:ascii="宋体" w:hAnsi="宋体" w:eastAsia="宋体" w:cs="宋体"/>
          <w:b w:val="0"/>
          <w:bCs w:val="0"/>
          <w:color w:val="000000"/>
          <w:sz w:val="24"/>
          <w:szCs w:val="24"/>
          <w:highlight w:val="none"/>
        </w:rPr>
        <w:t>就黄海新区形象宣传省级媒体发布项目(JSZC-320900-JSZC-D2026-0042)</w:t>
      </w:r>
      <w:r>
        <w:rPr>
          <w:rFonts w:hint="eastAsia" w:ascii="宋体" w:hAnsi="宋体" w:eastAsia="宋体" w:cs="宋体"/>
          <w:b w:val="0"/>
          <w:bCs w:val="0"/>
          <w:color w:val="auto"/>
          <w:sz w:val="24"/>
          <w:szCs w:val="24"/>
          <w:highlight w:val="none"/>
          <w:shd w:val="clear" w:color="auto" w:fill="auto"/>
        </w:rPr>
        <w:t>项目进行单一来源采购，欢迎符合相关条件的合格供应商参加采购活动。</w:t>
      </w:r>
    </w:p>
    <w:p w14:paraId="4F2E7AA2">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bookmarkStart w:id="6" w:name="_Toc35393790"/>
      <w:bookmarkStart w:id="7" w:name="_Toc38985263"/>
      <w:bookmarkStart w:id="8" w:name="_Toc28359002"/>
      <w:bookmarkStart w:id="9" w:name="_Toc28359079"/>
      <w:bookmarkStart w:id="10" w:name="_Toc35393621"/>
      <w:bookmarkStart w:id="11" w:name="_Hlk24379207"/>
      <w:r>
        <w:rPr>
          <w:rFonts w:hint="eastAsia" w:ascii="宋体" w:hAnsi="宋体" w:eastAsia="宋体" w:cs="宋体"/>
          <w:b/>
          <w:color w:val="auto"/>
          <w:sz w:val="24"/>
          <w:szCs w:val="24"/>
          <w:highlight w:val="none"/>
          <w:shd w:val="clear" w:color="auto" w:fill="auto"/>
        </w:rPr>
        <w:t>一、项目基本情况</w:t>
      </w:r>
      <w:bookmarkEnd w:id="6"/>
      <w:bookmarkEnd w:id="7"/>
      <w:bookmarkEnd w:id="8"/>
      <w:bookmarkEnd w:id="9"/>
      <w:bookmarkEnd w:id="10"/>
      <w:bookmarkEnd w:id="11"/>
    </w:p>
    <w:p w14:paraId="12C93848">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12" w:name="_Toc35393791"/>
      <w:bookmarkStart w:id="13" w:name="_Toc35393622"/>
      <w:bookmarkStart w:id="14" w:name="_Toc38985264"/>
      <w:bookmarkStart w:id="15" w:name="_Toc28359080"/>
      <w:bookmarkStart w:id="16" w:name="_Toc28359003"/>
      <w:r>
        <w:rPr>
          <w:rFonts w:hint="eastAsia" w:ascii="宋体" w:hAnsi="宋体" w:eastAsia="宋体" w:cs="宋体"/>
          <w:color w:val="auto"/>
          <w:sz w:val="24"/>
          <w:szCs w:val="24"/>
          <w:highlight w:val="none"/>
          <w:shd w:val="clear" w:color="auto" w:fill="auto"/>
        </w:rPr>
        <w:t>1.项目编号：JSZC-320900-JSZC-D2026-0042</w:t>
      </w:r>
    </w:p>
    <w:p w14:paraId="24793C5B">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2.项目名称：黄海新区形象宣传省级媒体发布项目</w:t>
      </w:r>
    </w:p>
    <w:p w14:paraId="4EA4426E">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val="en-US" w:eastAsia="zh-CN"/>
        </w:rPr>
        <w:t>单一来源采购</w:t>
      </w:r>
    </w:p>
    <w:p w14:paraId="55D304B4">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4.预算金额：人民币180万元</w:t>
      </w:r>
    </w:p>
    <w:p w14:paraId="0309B88F">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最高限价（如有）：人民币</w:t>
      </w:r>
      <w:r>
        <w:rPr>
          <w:rFonts w:hint="eastAsia" w:ascii="宋体" w:hAnsi="宋体" w:eastAsia="宋体" w:cs="宋体"/>
          <w:i w:val="0"/>
          <w:iCs w:val="0"/>
          <w:caps w:val="0"/>
          <w:color w:val="auto"/>
          <w:spacing w:val="0"/>
          <w:sz w:val="24"/>
          <w:szCs w:val="24"/>
          <w:highlight w:val="none"/>
          <w:shd w:val="clear" w:color="auto" w:fill="auto"/>
          <w:lang w:eastAsia="zh-CN"/>
        </w:rPr>
        <w:t>180万</w:t>
      </w:r>
      <w:r>
        <w:rPr>
          <w:rFonts w:hint="eastAsia" w:ascii="宋体" w:hAnsi="宋体" w:eastAsia="宋体" w:cs="宋体"/>
          <w:i w:val="0"/>
          <w:iCs w:val="0"/>
          <w:caps w:val="0"/>
          <w:color w:val="auto"/>
          <w:spacing w:val="0"/>
          <w:sz w:val="24"/>
          <w:szCs w:val="24"/>
          <w:highlight w:val="none"/>
          <w:shd w:val="clear" w:color="auto" w:fill="auto"/>
        </w:rPr>
        <w:t>元（投标报价高于最高限价的，视为无效投标）</w:t>
      </w:r>
    </w:p>
    <w:p w14:paraId="3C2FA4A3">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为落实黄海新区城市品牌与产业招商宣传工作要求，依托江苏省省级媒体资源，开展电视端宣传投放、国家级媒体推广、省级新媒体矩阵传播、定制化内容制作及线下活动支撑等服务，构建“媒体+招商”融合宣传体系，全面提升新区在省内政务、投资圈层的品牌影响力，助力招商引资工作。</w:t>
      </w:r>
      <w:r>
        <w:rPr>
          <w:rFonts w:hint="eastAsia" w:ascii="宋体" w:hAnsi="宋体" w:eastAsia="宋体" w:cs="宋体"/>
          <w:color w:val="auto"/>
          <w:sz w:val="24"/>
          <w:szCs w:val="24"/>
          <w:highlight w:val="none"/>
          <w:shd w:val="clear" w:color="auto" w:fill="auto"/>
        </w:rPr>
        <w:t>（详细内容见本</w:t>
      </w:r>
      <w:r>
        <w:rPr>
          <w:rFonts w:hint="eastAsia" w:ascii="宋体" w:hAnsi="宋体" w:eastAsia="宋体" w:cs="宋体"/>
          <w:color w:val="auto"/>
          <w:sz w:val="24"/>
          <w:szCs w:val="24"/>
          <w:highlight w:val="none"/>
          <w:shd w:val="clear" w:color="auto" w:fill="auto"/>
          <w:lang w:val="en-US" w:eastAsia="zh-CN"/>
        </w:rPr>
        <w:t>单一来源</w:t>
      </w:r>
      <w:r>
        <w:rPr>
          <w:rFonts w:hint="eastAsia" w:ascii="宋体" w:hAnsi="宋体" w:eastAsia="宋体" w:cs="宋体"/>
          <w:color w:val="auto"/>
          <w:sz w:val="24"/>
          <w:szCs w:val="24"/>
          <w:highlight w:val="none"/>
          <w:shd w:val="clear" w:color="auto" w:fill="auto"/>
        </w:rPr>
        <w:t>文件第四章）</w:t>
      </w:r>
    </w:p>
    <w:p w14:paraId="22F126E1">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7.发包范围与标段划分：本次采购为一个标段，涵盖宣传内容策划制作、媒体投放、活动执行及效果监测等全部服务内容，具体要求详见采购文件。</w:t>
      </w:r>
    </w:p>
    <w:p w14:paraId="62421165">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自合同签订之日起一年，具体时间按合同签订为准。</w:t>
      </w:r>
    </w:p>
    <w:p w14:paraId="191B9A2D">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9.本项目不接受联合体参与单一来源采购活动。</w:t>
      </w:r>
    </w:p>
    <w:p w14:paraId="137E06FC">
      <w:pPr>
        <w:pStyle w:val="8"/>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2"/>
      <w:bookmarkEnd w:id="13"/>
      <w:bookmarkEnd w:id="14"/>
      <w:bookmarkEnd w:id="15"/>
      <w:bookmarkEnd w:id="16"/>
      <w:r>
        <w:rPr>
          <w:rFonts w:hint="eastAsia" w:ascii="宋体" w:hAnsi="宋体" w:eastAsia="宋体" w:cs="宋体"/>
          <w:b/>
          <w:color w:val="auto"/>
          <w:sz w:val="24"/>
          <w:szCs w:val="24"/>
          <w:highlight w:val="none"/>
          <w:shd w:val="clear" w:color="auto" w:fill="auto"/>
        </w:rPr>
        <w:t>合格单一来源供应商资格要求</w:t>
      </w:r>
    </w:p>
    <w:p w14:paraId="24550C0D">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13EE01E6">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2B42B3C1">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w:t>
      </w:r>
      <w:r>
        <w:rPr>
          <w:rFonts w:hint="eastAsia" w:ascii="宋体" w:hAnsi="宋体" w:eastAsia="宋体" w:cs="宋体"/>
          <w:color w:val="auto"/>
          <w:sz w:val="24"/>
          <w:szCs w:val="24"/>
          <w:highlight w:val="none"/>
          <w:shd w:val="clear" w:color="auto" w:fill="auto"/>
          <w:lang w:val="en-US" w:eastAsia="zh-CN"/>
        </w:rPr>
        <w:t>告</w:t>
      </w:r>
      <w:r>
        <w:rPr>
          <w:rFonts w:hint="eastAsia" w:ascii="宋体" w:hAnsi="宋体" w:eastAsia="宋体" w:cs="宋体"/>
          <w:color w:val="auto"/>
          <w:sz w:val="24"/>
          <w:szCs w:val="24"/>
          <w:highlight w:val="none"/>
          <w:shd w:val="clear" w:color="auto" w:fill="auto"/>
        </w:rPr>
        <w:t>（成立不满一年无需提供）；</w:t>
      </w:r>
    </w:p>
    <w:p w14:paraId="487302E6">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451A448F">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1F167B4">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2ACC13F3">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115C8D42">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落实政府采购政策需满足的资格要求：无</w:t>
      </w:r>
    </w:p>
    <w:p w14:paraId="46BF280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320107C2">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3.1</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8FBC802">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3.2</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关系的不同供应商，不得参加同一合同项下的政府采购活动。（响应文件中无需提供证明材料）</w:t>
      </w:r>
    </w:p>
    <w:p w14:paraId="7465FC1E">
      <w:pPr>
        <w:pStyle w:val="8"/>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14:paraId="7D64D965">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14:paraId="3FE7E4A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1222EE16">
      <w:pPr>
        <w:pageBreakBefore w:val="0"/>
        <w:widowControl/>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14:paraId="1B9195CD">
      <w:pPr>
        <w:pStyle w:val="8"/>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outlineLvl w:val="9"/>
        <w:rPr>
          <w:rFonts w:hint="eastAsia" w:ascii="宋体" w:hAnsi="宋体" w:eastAsia="宋体" w:cs="宋体"/>
          <w:color w:val="auto"/>
          <w:sz w:val="24"/>
          <w:szCs w:val="24"/>
          <w:highlight w:val="none"/>
          <w:shd w:val="clear" w:color="auto" w:fill="auto"/>
        </w:rPr>
      </w:pPr>
      <w:bookmarkStart w:id="17" w:name="_Toc35393624"/>
      <w:bookmarkStart w:id="18" w:name="_Toc38985266"/>
      <w:bookmarkStart w:id="19" w:name="_Toc28359082"/>
      <w:bookmarkStart w:id="20" w:name="_Toc28359005"/>
      <w:bookmarkStart w:id="21" w:name="_Toc35393793"/>
      <w:r>
        <w:rPr>
          <w:rFonts w:hint="eastAsia" w:ascii="宋体" w:hAnsi="宋体" w:eastAsia="宋体" w:cs="宋体"/>
          <w:b/>
          <w:color w:val="auto"/>
          <w:sz w:val="24"/>
          <w:szCs w:val="24"/>
          <w:highlight w:val="none"/>
          <w:shd w:val="clear" w:color="auto" w:fill="auto"/>
        </w:rPr>
        <w:t>三、提交</w:t>
      </w:r>
      <w:bookmarkEnd w:id="17"/>
      <w:bookmarkEnd w:id="18"/>
      <w:r>
        <w:rPr>
          <w:rFonts w:hint="eastAsia" w:ascii="宋体" w:hAnsi="宋体" w:eastAsia="宋体" w:cs="宋体"/>
          <w:b/>
          <w:color w:val="auto"/>
          <w:sz w:val="24"/>
          <w:szCs w:val="24"/>
          <w:highlight w:val="none"/>
          <w:shd w:val="clear" w:color="auto" w:fill="auto"/>
        </w:rPr>
        <w:t>响应文件截止时间</w:t>
      </w:r>
      <w:bookmarkEnd w:id="19"/>
      <w:bookmarkEnd w:id="20"/>
      <w:bookmarkEnd w:id="21"/>
    </w:p>
    <w:p w14:paraId="487BD437">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rPr>
      </w:pPr>
      <w:bookmarkStart w:id="22" w:name="_Toc38985269"/>
      <w:bookmarkStart w:id="23" w:name="_Toc35393627"/>
      <w:bookmarkStart w:id="24" w:name="_Toc35393796"/>
      <w:bookmarkStart w:id="25" w:name="_Toc28359008"/>
      <w:bookmarkStart w:id="26" w:name="_Toc28359085"/>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single"/>
          <w:shd w:val="clear" w:color="auto" w:fill="auto"/>
        </w:rPr>
        <w:t xml:space="preserve"> 年</w:t>
      </w:r>
      <w:r>
        <w:rPr>
          <w:rFonts w:hint="eastAsia" w:ascii="宋体" w:hAnsi="宋体" w:eastAsia="宋体" w:cs="宋体"/>
          <w:color w:val="auto"/>
          <w:sz w:val="24"/>
          <w:szCs w:val="24"/>
          <w:highlight w:val="none"/>
          <w:u w:val="single"/>
          <w:shd w:val="clear" w:color="auto" w:fill="auto"/>
          <w:lang w:val="en-US" w:eastAsia="zh-CN"/>
        </w:rPr>
        <w:t>10</w:t>
      </w:r>
      <w:r>
        <w:rPr>
          <w:rFonts w:hint="eastAsia" w:ascii="宋体" w:hAnsi="宋体" w:eastAsia="宋体" w:cs="宋体"/>
          <w:color w:val="auto"/>
          <w:sz w:val="24"/>
          <w:szCs w:val="24"/>
          <w:highlight w:val="none"/>
          <w:u w:val="singl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16</w:t>
      </w:r>
      <w:r>
        <w:rPr>
          <w:rFonts w:hint="eastAsia" w:ascii="宋体" w:hAnsi="宋体" w:eastAsia="宋体" w:cs="宋体"/>
          <w:color w:val="auto"/>
          <w:sz w:val="24"/>
          <w:szCs w:val="24"/>
          <w:highlight w:val="none"/>
          <w:u w:val="singl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9</w:t>
      </w:r>
      <w:r>
        <w:rPr>
          <w:rFonts w:hint="eastAsia" w:ascii="宋体" w:hAnsi="宋体" w:eastAsia="宋体" w:cs="宋体"/>
          <w:color w:val="auto"/>
          <w:sz w:val="24"/>
          <w:szCs w:val="24"/>
          <w:highlight w:val="none"/>
          <w:u w:val="singl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00</w:t>
      </w:r>
      <w:r>
        <w:rPr>
          <w:rFonts w:hint="eastAsia" w:ascii="宋体" w:hAnsi="宋体" w:eastAsia="宋体" w:cs="宋体"/>
          <w:color w:val="auto"/>
          <w:sz w:val="24"/>
          <w:szCs w:val="24"/>
          <w:highlight w:val="none"/>
          <w:u w:val="single"/>
          <w:shd w:val="clear" w:color="auto" w:fill="auto"/>
        </w:rPr>
        <w:t>分</w:t>
      </w:r>
      <w:r>
        <w:rPr>
          <w:rFonts w:hint="eastAsia" w:ascii="宋体" w:hAnsi="宋体" w:eastAsia="宋体" w:cs="宋体"/>
          <w:color w:val="auto"/>
          <w:sz w:val="24"/>
          <w:szCs w:val="24"/>
          <w:highlight w:val="none"/>
          <w:shd w:val="clear" w:color="auto" w:fill="auto"/>
        </w:rPr>
        <w:t>（北京时间）。</w:t>
      </w:r>
    </w:p>
    <w:p w14:paraId="077143D5">
      <w:pPr>
        <w:pStyle w:val="8"/>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苏采云“不见面”开标大厅</w:t>
      </w:r>
      <w:r>
        <w:rPr>
          <w:rFonts w:hint="eastAsia" w:ascii="宋体" w:hAnsi="宋体" w:eastAsia="宋体" w:cs="宋体"/>
          <w:color w:val="auto"/>
          <w:sz w:val="24"/>
          <w:szCs w:val="24"/>
          <w:highlight w:val="none"/>
          <w:shd w:val="clear" w:color="auto" w:fill="auto"/>
          <w:lang w:eastAsia="zh-CN"/>
        </w:rPr>
        <w:t>。</w:t>
      </w:r>
    </w:p>
    <w:p w14:paraId="00DE35F3">
      <w:pPr>
        <w:pStyle w:val="8"/>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outlineLvl w:val="9"/>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color w:val="auto"/>
          <w:sz w:val="24"/>
          <w:szCs w:val="24"/>
          <w:highlight w:val="none"/>
          <w:shd w:val="clear" w:color="auto" w:fill="auto"/>
          <w:lang w:val="en-US" w:eastAsia="zh-CN"/>
        </w:rPr>
        <w:t>其他</w:t>
      </w:r>
    </w:p>
    <w:bookmarkEnd w:id="22"/>
    <w:bookmarkEnd w:id="23"/>
    <w:bookmarkEnd w:id="24"/>
    <w:bookmarkEnd w:id="25"/>
    <w:bookmarkEnd w:id="26"/>
    <w:p w14:paraId="2CFE123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24862521">
      <w:pPr>
        <w:pageBreakBefore w:val="0"/>
        <w:numPr>
          <w:ilvl w:val="0"/>
          <w:numId w:val="0"/>
        </w:numPr>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lang w:val="en-US" w:eastAsia="zh-CN" w:bidi="ar-SA"/>
        </w:rPr>
        <w:t>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color w:val="auto"/>
          <w:kern w:val="2"/>
          <w:sz w:val="24"/>
          <w:szCs w:val="24"/>
          <w:highlight w:val="none"/>
          <w:shd w:val="clear" w:color="auto" w:fill="auto"/>
          <w:lang w:val="en-US" w:eastAsia="zh-CN" w:bidi="ar-SA"/>
        </w:rPr>
        <w:t>，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2F7278A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2.潜在供应商访问电子招标响应交易平台的网络地址和方法：</w:t>
      </w:r>
    </w:p>
    <w:p w14:paraId="5AE3BD8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0081A587">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2.2潜在投标人访问“苏采云”系统方法：江苏省政府采购网首页-“苏采云”链接。</w:t>
      </w:r>
    </w:p>
    <w:p w14:paraId="69C8D88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2.3采购文件（后缀名为“.kedt”）、供应商操作手册及政府采购客户端工具可通过“苏采云”系统相应链接进行下载。</w:t>
      </w:r>
    </w:p>
    <w:p w14:paraId="5B70A284">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2.4采购代理机构将数据电文形式的采购文件加载至“苏采云”系统，供潜在供应商下载或者查阅。</w:t>
      </w:r>
    </w:p>
    <w:p w14:paraId="4A747B44">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2.5请潜在投标单位提前安装相应的控件（详见《“苏采云”系统供应商操作手册》）并使用谷歌浏览器登录“苏采云”系统参与不见面开评标。</w:t>
      </w:r>
    </w:p>
    <w:p w14:paraId="640A00F5">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202D7D56">
      <w:pPr>
        <w:pStyle w:val="8"/>
        <w:pageBreakBefore w:val="0"/>
        <w:tabs>
          <w:tab w:val="left" w:pos="901"/>
        </w:tabs>
        <w:kinsoku/>
        <w:wordWrap/>
        <w:overflowPunct/>
        <w:topLinePunct w:val="0"/>
        <w:autoSpaceDE/>
        <w:autoSpaceDN/>
        <w:bidi w:val="0"/>
        <w:adjustRightInd/>
        <w:snapToGrid/>
        <w:spacing w:beforeAutospacing="0" w:afterAutospacing="0" w:line="480" w:lineRule="exact"/>
        <w:ind w:firstLine="480" w:firstLineChars="200"/>
        <w:jc w:val="both"/>
        <w:textAlignment w:val="auto"/>
        <w:outlineLvl w:val="9"/>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color w:val="auto"/>
          <w:kern w:val="2"/>
          <w:sz w:val="24"/>
          <w:szCs w:val="24"/>
          <w:highlight w:val="none"/>
          <w:shd w:val="clear" w:color="auto" w:fill="auto"/>
          <w:lang w:val="en-US" w:eastAsia="zh-CN" w:bidi="ar-SA"/>
        </w:rPr>
        <w:t>.本次单一来源采购不收取投标保证金，不收取质量保证金。</w:t>
      </w:r>
    </w:p>
    <w:p w14:paraId="52BB43A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outlineLvl w:val="9"/>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五、凡对本次采购提出询问，请按以下方式联系。</w:t>
      </w:r>
    </w:p>
    <w:p w14:paraId="06515F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2130325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名称：</w:t>
      </w:r>
      <w:r>
        <w:rPr>
          <w:rFonts w:hint="eastAsia" w:ascii="宋体" w:hAnsi="宋体" w:eastAsia="宋体" w:cs="宋体"/>
          <w:kern w:val="2"/>
          <w:sz w:val="24"/>
          <w:szCs w:val="24"/>
          <w:lang w:val="en-US" w:eastAsia="zh-CN" w:bidi="ar"/>
        </w:rPr>
        <w:t>盐城经济技术开发区管委会滨海港工业园区管理办公室</w:t>
      </w:r>
    </w:p>
    <w:p w14:paraId="5F30C51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ascii="宋体" w:hAnsi="宋体" w:eastAsia="宋体" w:cs="宋体"/>
          <w:kern w:val="2"/>
          <w:sz w:val="24"/>
          <w:szCs w:val="24"/>
          <w:lang w:val="en-US" w:eastAsia="zh-CN" w:bidi="ar"/>
        </w:rPr>
        <w:t>盐城市滨海港工业园区新滩邻里中心</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58BD7E0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联系人：孟先生</w:t>
      </w:r>
    </w:p>
    <w:p w14:paraId="4F584F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联系方式：13655103583</w:t>
      </w:r>
    </w:p>
    <w:p w14:paraId="340B33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62D183C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名称：江苏志诚工程咨询管理有限公司</w:t>
      </w:r>
    </w:p>
    <w:p w14:paraId="75E057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地址：盐城市盐都区新都路640号1#楼2楼</w:t>
      </w:r>
    </w:p>
    <w:p w14:paraId="56FF613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联系人：羊先生</w:t>
      </w:r>
    </w:p>
    <w:p w14:paraId="12E47FD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8" w:name="_Toc28359087"/>
      <w:bookmarkStart w:id="29"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15365762271</w:t>
      </w:r>
      <w:bookmarkEnd w:id="28"/>
      <w:bookmarkEnd w:id="29"/>
    </w:p>
    <w:p w14:paraId="691B3197">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r>
    </w:p>
    <w:p w14:paraId="4B33FA28">
      <w:pPr>
        <w:pStyle w:val="8"/>
        <w:keepNext/>
        <w:keepLines/>
        <w:spacing w:before="260" w:beforeAutospacing="0" w:after="260" w:afterAutospacing="0" w:line="415" w:lineRule="auto"/>
        <w:jc w:val="center"/>
        <w:rPr>
          <w:color w:val="auto"/>
          <w:highlight w:val="none"/>
          <w:shd w:val="clear" w:color="auto" w:fill="auto"/>
        </w:rPr>
      </w:pPr>
      <w:bookmarkStart w:id="30" w:name="_Toc120614211"/>
      <w:r>
        <w:rPr>
          <w:rFonts w:hint="eastAsia" w:ascii="黑体" w:hAnsi="宋体" w:eastAsia="黑体" w:cs="黑体"/>
          <w:b/>
          <w:color w:val="auto"/>
          <w:sz w:val="44"/>
          <w:szCs w:val="44"/>
          <w:highlight w:val="none"/>
          <w:shd w:val="clear" w:color="auto" w:fill="auto"/>
        </w:rPr>
        <w:t xml:space="preserve">第二章  </w:t>
      </w:r>
      <w:bookmarkEnd w:id="30"/>
      <w:r>
        <w:rPr>
          <w:rFonts w:hint="eastAsia" w:ascii="黑体" w:hAnsi="宋体" w:eastAsia="黑体" w:cs="黑体"/>
          <w:b/>
          <w:color w:val="auto"/>
          <w:sz w:val="44"/>
          <w:szCs w:val="44"/>
          <w:highlight w:val="none"/>
          <w:shd w:val="clear" w:color="auto" w:fill="auto"/>
        </w:rPr>
        <w:t>供应商须知</w:t>
      </w:r>
    </w:p>
    <w:p w14:paraId="35BB6A59">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31" w:name="_Toc20823275"/>
      <w:bookmarkStart w:id="32" w:name="_Toc513029203"/>
      <w:bookmarkStart w:id="33" w:name="_Toc16938519"/>
      <w:bookmarkStart w:id="34" w:name="_Toc120614214"/>
      <w:r>
        <w:rPr>
          <w:rFonts w:hint="eastAsia" w:asciiTheme="minorEastAsia" w:hAnsiTheme="minorEastAsia" w:eastAsiaTheme="minorEastAsia" w:cstheme="minorEastAsia"/>
          <w:b/>
          <w:color w:val="auto"/>
          <w:sz w:val="24"/>
          <w:szCs w:val="24"/>
          <w:highlight w:val="none"/>
          <w:shd w:val="clear" w:color="auto" w:fill="auto"/>
        </w:rPr>
        <w:t>一、总则</w:t>
      </w:r>
      <w:bookmarkEnd w:id="31"/>
      <w:bookmarkEnd w:id="32"/>
      <w:bookmarkEnd w:id="33"/>
      <w:bookmarkEnd w:id="34"/>
    </w:p>
    <w:p w14:paraId="61522336">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35" w:name="_Toc20823276"/>
      <w:bookmarkStart w:id="36" w:name="_Toc16938520"/>
      <w:bookmarkStart w:id="37" w:name="_Toc513029204"/>
      <w:bookmarkStart w:id="38" w:name="_Toc458694821"/>
      <w:bookmarkStart w:id="39" w:name="_Hlt16619475"/>
      <w:r>
        <w:rPr>
          <w:rFonts w:hint="eastAsia" w:asciiTheme="minorEastAsia" w:hAnsiTheme="minorEastAsia" w:eastAsiaTheme="minorEastAsia" w:cstheme="minorEastAsia"/>
          <w:color w:val="auto"/>
          <w:sz w:val="24"/>
          <w:szCs w:val="24"/>
          <w:highlight w:val="none"/>
          <w:shd w:val="clear" w:color="auto" w:fill="auto"/>
        </w:rPr>
        <w:t>1</w:t>
      </w:r>
      <w:bookmarkEnd w:id="35"/>
      <w:r>
        <w:rPr>
          <w:rFonts w:hint="eastAsia" w:asciiTheme="minorEastAsia" w:hAnsiTheme="minorEastAsia" w:eastAsiaTheme="minorEastAsia" w:cstheme="minorEastAsia"/>
          <w:color w:val="auto"/>
          <w:sz w:val="24"/>
          <w:szCs w:val="24"/>
          <w:highlight w:val="none"/>
          <w:shd w:val="clear" w:color="auto" w:fill="auto"/>
        </w:rPr>
        <w:t>、采购方式</w:t>
      </w:r>
      <w:bookmarkEnd w:id="36"/>
      <w:bookmarkEnd w:id="37"/>
      <w:bookmarkEnd w:id="38"/>
    </w:p>
    <w:p w14:paraId="65406254">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1.1本次政府采购活动采取单一来源采购方式。</w:t>
      </w:r>
    </w:p>
    <w:p w14:paraId="64868E6F">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40" w:name="_Toc20823277"/>
      <w:bookmarkStart w:id="41" w:name="_Toc16938521"/>
      <w:bookmarkStart w:id="42" w:name="_Toc513029205"/>
      <w:r>
        <w:rPr>
          <w:rFonts w:hint="eastAsia" w:asciiTheme="minorEastAsia" w:hAnsiTheme="minorEastAsia" w:eastAsiaTheme="minorEastAsia" w:cstheme="minorEastAsia"/>
          <w:color w:val="auto"/>
          <w:sz w:val="24"/>
          <w:szCs w:val="24"/>
          <w:highlight w:val="none"/>
          <w:shd w:val="clear" w:color="auto" w:fill="auto"/>
        </w:rPr>
        <w:t>2、合格的</w:t>
      </w:r>
      <w:bookmarkEnd w:id="40"/>
      <w:bookmarkEnd w:id="41"/>
      <w:bookmarkEnd w:id="42"/>
      <w:r>
        <w:rPr>
          <w:rFonts w:hint="eastAsia" w:asciiTheme="minorEastAsia" w:hAnsiTheme="minorEastAsia" w:eastAsiaTheme="minorEastAsia" w:cstheme="minorEastAsia"/>
          <w:color w:val="auto"/>
          <w:sz w:val="24"/>
          <w:szCs w:val="24"/>
          <w:highlight w:val="none"/>
          <w:shd w:val="clear" w:color="auto" w:fill="auto"/>
        </w:rPr>
        <w:t>供应商</w:t>
      </w:r>
    </w:p>
    <w:p w14:paraId="6B582E28">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43" w:name="_Toc20823278"/>
      <w:bookmarkStart w:id="44" w:name="_Toc16938522"/>
      <w:bookmarkStart w:id="45" w:name="_Toc513029206"/>
      <w:r>
        <w:rPr>
          <w:rFonts w:hint="eastAsia" w:asciiTheme="minorEastAsia" w:hAnsiTheme="minorEastAsia" w:eastAsiaTheme="minorEastAsia" w:cstheme="minorEastAsia"/>
          <w:color w:val="auto"/>
          <w:sz w:val="24"/>
          <w:szCs w:val="24"/>
          <w:highlight w:val="none"/>
          <w:shd w:val="clear" w:color="auto" w:fill="auto"/>
        </w:rPr>
        <w:t>2.1满足采购文件中合格单一来源供应商资格要求的规定。</w:t>
      </w:r>
      <w:bookmarkEnd w:id="43"/>
      <w:bookmarkEnd w:id="44"/>
      <w:bookmarkEnd w:id="45"/>
    </w:p>
    <w:p w14:paraId="4F54A98C">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2.2满足本采购文件实质性条款的规定。</w:t>
      </w:r>
    </w:p>
    <w:p w14:paraId="4170807A">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rPr>
      </w:pPr>
      <w:bookmarkStart w:id="46" w:name="_Toc513029207"/>
      <w:bookmarkStart w:id="47" w:name="_Toc16938523"/>
      <w:bookmarkStart w:id="48" w:name="_Toc462564067"/>
      <w:bookmarkStart w:id="49" w:name="_Toc20823279"/>
      <w:r>
        <w:rPr>
          <w:rFonts w:hint="eastAsia" w:asciiTheme="minorEastAsia" w:hAnsiTheme="minorEastAsia" w:eastAsiaTheme="minorEastAsia" w:cstheme="minorEastAsia"/>
          <w:color w:val="auto"/>
          <w:sz w:val="24"/>
          <w:szCs w:val="24"/>
        </w:rPr>
        <w:t>3、适用法律和标准</w:t>
      </w:r>
    </w:p>
    <w:p w14:paraId="60757E93">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rPr>
        <w:t>3.2在本项目政府采购活动过程中，如果所执行的标准有更新的，按照最新标准执行。</w:t>
      </w:r>
    </w:p>
    <w:p w14:paraId="7DC796F6">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4、相关费用</w:t>
      </w:r>
      <w:bookmarkEnd w:id="46"/>
      <w:bookmarkEnd w:id="47"/>
      <w:bookmarkEnd w:id="48"/>
      <w:bookmarkEnd w:id="49"/>
    </w:p>
    <w:p w14:paraId="5998F17E">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4.1供应商应自行承担所有与参加本次采购有关的费用，无论采购过程中的做法和结果如何，</w:t>
      </w:r>
      <w:r>
        <w:rPr>
          <w:rFonts w:hint="eastAsia" w:asciiTheme="minorEastAsia" w:hAnsiTheme="minorEastAsia" w:eastAsiaTheme="minorEastAsia" w:cstheme="minorEastAsia"/>
          <w:color w:val="auto"/>
          <w:sz w:val="24"/>
          <w:szCs w:val="24"/>
          <w:highlight w:val="none"/>
          <w:shd w:val="clear" w:color="auto" w:fill="auto"/>
          <w:lang w:eastAsia="zh-CN"/>
        </w:rPr>
        <w:t>江苏志诚工程咨询管理有限公司</w:t>
      </w:r>
      <w:r>
        <w:rPr>
          <w:rFonts w:hint="eastAsia" w:asciiTheme="minorEastAsia" w:hAnsiTheme="minorEastAsia" w:eastAsiaTheme="minorEastAsia" w:cstheme="minorEastAsia"/>
          <w:color w:val="auto"/>
          <w:sz w:val="24"/>
          <w:szCs w:val="24"/>
          <w:highlight w:val="none"/>
          <w:shd w:val="clear" w:color="auto" w:fill="auto"/>
        </w:rPr>
        <w:t>（以下简称</w:t>
      </w:r>
      <w:r>
        <w:rPr>
          <w:rFonts w:hint="eastAsia" w:asciiTheme="minorEastAsia" w:hAnsi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）在任何情况下均无义务和责任承担这些费用。</w:t>
      </w:r>
    </w:p>
    <w:p w14:paraId="047E47D5">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4.2本次</w:t>
      </w:r>
      <w:r>
        <w:rPr>
          <w:rFonts w:hint="eastAsia" w:asciiTheme="minorEastAsia" w:hAnsi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和采购人不收取标书工本费与成交服务费。</w:t>
      </w:r>
    </w:p>
    <w:p w14:paraId="31746A44">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5、</w:t>
      </w:r>
      <w:r>
        <w:rPr>
          <w:rFonts w:hint="eastAsia" w:asciiTheme="minorEastAsia" w:hAnsiTheme="minorEastAsia" w:eastAsiaTheme="minorEastAsia" w:cstheme="minorEastAsia"/>
          <w:color w:val="auto"/>
          <w:sz w:val="24"/>
          <w:szCs w:val="24"/>
          <w:highlight w:val="none"/>
          <w:shd w:val="clear" w:color="auto" w:fill="auto"/>
        </w:rPr>
        <w:t>采购文件的约束力</w:t>
      </w:r>
    </w:p>
    <w:p w14:paraId="57C6A25C">
      <w:pPr>
        <w:pStyle w:val="8"/>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301F254C">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0" w:name="_Toc120614215"/>
      <w:bookmarkStart w:id="51" w:name="_Toc20823281"/>
      <w:bookmarkStart w:id="52" w:name="_Toc16938525"/>
      <w:bookmarkStart w:id="53" w:name="_Toc513029209"/>
      <w:r>
        <w:rPr>
          <w:rFonts w:hint="eastAsia" w:asciiTheme="minorEastAsia" w:hAnsiTheme="minorEastAsia" w:eastAsiaTheme="minorEastAsia" w:cstheme="minorEastAsia"/>
          <w:b/>
          <w:color w:val="auto"/>
          <w:sz w:val="24"/>
          <w:szCs w:val="24"/>
          <w:highlight w:val="none"/>
          <w:shd w:val="clear" w:color="auto" w:fill="auto"/>
        </w:rPr>
        <w:t>二、</w:t>
      </w:r>
      <w:bookmarkEnd w:id="50"/>
      <w:bookmarkEnd w:id="51"/>
      <w:bookmarkEnd w:id="52"/>
      <w:bookmarkEnd w:id="53"/>
      <w:r>
        <w:rPr>
          <w:rFonts w:hint="eastAsia" w:asciiTheme="minorEastAsia" w:hAnsiTheme="minorEastAsia" w:eastAsiaTheme="minorEastAsia" w:cstheme="minorEastAsia"/>
          <w:b/>
          <w:color w:val="auto"/>
          <w:sz w:val="24"/>
          <w:szCs w:val="24"/>
          <w:highlight w:val="none"/>
          <w:shd w:val="clear" w:color="auto" w:fill="auto"/>
        </w:rPr>
        <w:t>采购文件</w:t>
      </w:r>
    </w:p>
    <w:p w14:paraId="3E4F2F43">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4" w:name="_Toc513029210"/>
      <w:bookmarkStart w:id="55" w:name="_Toc20823282"/>
      <w:bookmarkStart w:id="56" w:name="_Toc16938526"/>
      <w:r>
        <w:rPr>
          <w:rFonts w:hint="eastAsia" w:asciiTheme="minorEastAsia" w:hAnsiTheme="minorEastAsia" w:eastAsiaTheme="minorEastAsia" w:cstheme="minorEastAsia"/>
          <w:color w:val="auto"/>
          <w:sz w:val="24"/>
          <w:szCs w:val="24"/>
          <w:highlight w:val="none"/>
          <w:shd w:val="clear" w:color="auto" w:fill="auto"/>
        </w:rPr>
        <w:t>6、采购文件构成</w:t>
      </w:r>
      <w:bookmarkEnd w:id="54"/>
      <w:bookmarkEnd w:id="55"/>
      <w:bookmarkEnd w:id="56"/>
    </w:p>
    <w:p w14:paraId="55B91BA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6.1采购文件由以下部分组成：</w:t>
      </w:r>
    </w:p>
    <w:p w14:paraId="458101C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（1）单一来源采购邀请</w:t>
      </w:r>
    </w:p>
    <w:p w14:paraId="50EA0FF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（2）供应商须知</w:t>
      </w:r>
    </w:p>
    <w:p w14:paraId="54B77EC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（3）合同文本</w:t>
      </w:r>
    </w:p>
    <w:p w14:paraId="2127F72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（4）采购需求</w:t>
      </w:r>
    </w:p>
    <w:p w14:paraId="7A20570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（6）响应文件格式</w:t>
      </w:r>
    </w:p>
    <w:p w14:paraId="5B39F38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请仔细检查采购文件是否齐全，如有缺漏请立即与</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联系解决。</w:t>
      </w:r>
    </w:p>
    <w:p w14:paraId="4EDC48D4">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045A94E9">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57" w:name="_Toc20823283"/>
      <w:bookmarkStart w:id="58" w:name="_Toc513029211"/>
      <w:bookmarkStart w:id="59" w:name="_Toc462564070"/>
      <w:bookmarkStart w:id="60" w:name="_Toc16938527"/>
      <w:r>
        <w:rPr>
          <w:rFonts w:hint="eastAsia" w:asciiTheme="minorEastAsia" w:hAnsiTheme="minorEastAsia" w:eastAsiaTheme="minorEastAsia" w:cstheme="minorEastAsia"/>
          <w:color w:val="auto"/>
          <w:sz w:val="24"/>
          <w:szCs w:val="24"/>
          <w:highlight w:val="none"/>
          <w:shd w:val="clear" w:color="auto" w:fill="auto"/>
        </w:rPr>
        <w:t>7、采购文件的澄清</w:t>
      </w:r>
      <w:bookmarkEnd w:id="57"/>
      <w:bookmarkEnd w:id="58"/>
      <w:bookmarkEnd w:id="59"/>
      <w:bookmarkEnd w:id="60"/>
    </w:p>
    <w:p w14:paraId="052BC4F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61" w:name="_Toc20823284"/>
      <w:bookmarkStart w:id="62" w:name="_Toc16938528"/>
      <w:bookmarkStart w:id="63" w:name="_Toc462564071"/>
      <w:bookmarkStart w:id="64" w:name="_Toc513029212"/>
      <w:r>
        <w:rPr>
          <w:rFonts w:hint="eastAsia" w:asciiTheme="minorEastAsia" w:hAnsiTheme="minorEastAsia" w:eastAsiaTheme="minorEastAsia" w:cstheme="minorEastAsia"/>
          <w:color w:val="auto"/>
          <w:sz w:val="24"/>
          <w:szCs w:val="24"/>
          <w:highlight w:val="none"/>
          <w:shd w:val="clear" w:color="auto" w:fill="auto"/>
        </w:rPr>
        <w:t>7.1供应商如果要求对采购文件进行澄清的，应在响应文件接收截止时间（以下简称“截止时间”）</w:t>
      </w:r>
      <w:r>
        <w:rPr>
          <w:rFonts w:hint="eastAsia" w:asciiTheme="minorEastAsia" w:hAnsiTheme="minorEastAsia" w:eastAsiaTheme="minorEastAsia" w:cstheme="minorEastAsia"/>
          <w:b/>
          <w:color w:val="auto"/>
          <w:sz w:val="24"/>
          <w:szCs w:val="24"/>
          <w:highlight w:val="none"/>
          <w:shd w:val="clear" w:color="auto" w:fill="auto"/>
        </w:rPr>
        <w:t>三天</w:t>
      </w:r>
      <w:r>
        <w:rPr>
          <w:rFonts w:hint="eastAsia" w:asciiTheme="minorEastAsia" w:hAnsiTheme="minorEastAsia" w:eastAsiaTheme="minorEastAsia" w:cstheme="minorEastAsia"/>
          <w:color w:val="auto"/>
          <w:sz w:val="24"/>
          <w:szCs w:val="24"/>
          <w:highlight w:val="none"/>
          <w:shd w:val="clear" w:color="auto" w:fill="auto"/>
        </w:rPr>
        <w:t>前，在苏采云系统中通知</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将在苏采云系统中对澄清要求予以答复。</w:t>
      </w:r>
      <w:bookmarkEnd w:id="61"/>
      <w:bookmarkEnd w:id="62"/>
      <w:bookmarkEnd w:id="63"/>
      <w:bookmarkEnd w:id="64"/>
    </w:p>
    <w:p w14:paraId="27F80E2A">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65" w:name="_Toc513029213"/>
      <w:bookmarkStart w:id="66" w:name="_Toc120614216"/>
      <w:bookmarkStart w:id="67" w:name="_Toc16938529"/>
      <w:bookmarkStart w:id="68" w:name="_Toc20823285"/>
      <w:bookmarkStart w:id="69" w:name="_Toc462564072"/>
      <w:r>
        <w:rPr>
          <w:rFonts w:hint="eastAsia" w:asciiTheme="minorEastAsia" w:hAnsiTheme="minorEastAsia" w:eastAsiaTheme="minorEastAsia" w:cstheme="minorEastAsia"/>
          <w:color w:val="auto"/>
          <w:sz w:val="24"/>
          <w:szCs w:val="24"/>
          <w:highlight w:val="none"/>
          <w:shd w:val="clear" w:color="auto" w:fill="auto"/>
        </w:rPr>
        <w:t>8、采购文件的修改</w:t>
      </w:r>
      <w:bookmarkEnd w:id="65"/>
      <w:bookmarkEnd w:id="66"/>
      <w:bookmarkEnd w:id="67"/>
      <w:bookmarkEnd w:id="68"/>
      <w:bookmarkEnd w:id="69"/>
    </w:p>
    <w:p w14:paraId="3F86A97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8.1在截止时间前，</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可以以补充文件的方式对采购文件进行修改。</w:t>
      </w:r>
    </w:p>
    <w:p w14:paraId="1D70A49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8.2</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有权按照政府采购的有关要求推迟截止时间。</w:t>
      </w:r>
    </w:p>
    <w:p w14:paraId="2EC147E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8.3采购文件的补充文件将作为采购文件的组成部分，并对供应商具有约束力。</w:t>
      </w:r>
    </w:p>
    <w:p w14:paraId="7A4B018B">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三、响应文件的编制</w:t>
      </w:r>
    </w:p>
    <w:p w14:paraId="3D80480D">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0" w:name="_Toc462564073"/>
      <w:bookmarkStart w:id="71" w:name="_Toc16938530"/>
      <w:bookmarkStart w:id="72" w:name="_Toc513029214"/>
      <w:bookmarkStart w:id="73" w:name="_Toc20823286"/>
      <w:r>
        <w:rPr>
          <w:rFonts w:hint="eastAsia" w:asciiTheme="minorEastAsia" w:hAnsiTheme="minorEastAsia" w:eastAsiaTheme="minorEastAsia" w:cstheme="minorEastAsia"/>
          <w:color w:val="auto"/>
          <w:sz w:val="24"/>
          <w:szCs w:val="24"/>
          <w:highlight w:val="none"/>
          <w:shd w:val="clear" w:color="auto" w:fill="auto"/>
        </w:rPr>
        <w:t>9、响应文件的语言及度量衡单位</w:t>
      </w:r>
      <w:bookmarkEnd w:id="70"/>
      <w:bookmarkEnd w:id="71"/>
      <w:bookmarkEnd w:id="72"/>
      <w:bookmarkEnd w:id="73"/>
    </w:p>
    <w:p w14:paraId="59B9309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9.1供应商提交的响应文件以及供应商与</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就有关采购活动的所有来往通知、函件和文件均应使用</w:t>
      </w:r>
      <w:r>
        <w:rPr>
          <w:rFonts w:hint="eastAsia" w:asciiTheme="minorEastAsia" w:hAnsiTheme="minorEastAsia" w:eastAsiaTheme="minorEastAsia" w:cstheme="minorEastAsia"/>
          <w:b/>
          <w:color w:val="auto"/>
          <w:sz w:val="24"/>
          <w:szCs w:val="24"/>
          <w:highlight w:val="none"/>
          <w:shd w:val="clear" w:color="auto" w:fill="auto"/>
        </w:rPr>
        <w:t>简体中文</w:t>
      </w:r>
      <w:r>
        <w:rPr>
          <w:rFonts w:hint="eastAsia" w:asciiTheme="minorEastAsia" w:hAnsiTheme="minorEastAsia" w:eastAsiaTheme="minorEastAsia" w:cstheme="minorEastAsia"/>
          <w:color w:val="auto"/>
          <w:sz w:val="24"/>
          <w:szCs w:val="24"/>
          <w:highlight w:val="none"/>
          <w:shd w:val="clear" w:color="auto" w:fill="auto"/>
        </w:rPr>
        <w:t>。</w:t>
      </w:r>
    </w:p>
    <w:p w14:paraId="767ACC9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9.2除技术性能另有规定外，响应文件所使用的度量衡单位，均须采用国家法定计量单位。</w:t>
      </w:r>
    </w:p>
    <w:p w14:paraId="28A9FB25">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4" w:name="_Toc513029215"/>
      <w:bookmarkStart w:id="75" w:name="_Toc20823287"/>
      <w:bookmarkStart w:id="76" w:name="_Toc16938531"/>
      <w:bookmarkStart w:id="77" w:name="_Toc462564074"/>
      <w:r>
        <w:rPr>
          <w:rFonts w:hint="eastAsia" w:asciiTheme="minorEastAsia" w:hAnsiTheme="minorEastAsia" w:eastAsiaTheme="minorEastAsia" w:cstheme="minorEastAsia"/>
          <w:color w:val="auto"/>
          <w:sz w:val="24"/>
          <w:szCs w:val="24"/>
          <w:highlight w:val="none"/>
          <w:shd w:val="clear" w:color="auto" w:fill="auto"/>
        </w:rPr>
        <w:t>10、响应文件构成</w:t>
      </w:r>
      <w:bookmarkEnd w:id="74"/>
      <w:bookmarkEnd w:id="75"/>
      <w:bookmarkEnd w:id="76"/>
      <w:bookmarkEnd w:id="77"/>
    </w:p>
    <w:p w14:paraId="49C6AC5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78" w:name="_Toc14577357"/>
      <w:bookmarkStart w:id="79" w:name="_Toc513029219"/>
      <w:bookmarkStart w:id="80" w:name="_Toc14577355"/>
      <w:bookmarkStart w:id="81" w:name="_Toc49090507"/>
      <w:bookmarkStart w:id="82" w:name="_Toc513029216"/>
      <w:bookmarkStart w:id="83" w:name="_Toc49090509"/>
      <w:bookmarkStart w:id="84" w:name="_Toc49090508"/>
      <w:bookmarkStart w:id="85" w:name="_Toc14577354"/>
      <w:bookmarkStart w:id="86" w:name="_Hlt26668975"/>
      <w:bookmarkStart w:id="87" w:name="_Hlt26954838"/>
      <w:bookmarkStart w:id="88" w:name="_Hlt26670360"/>
      <w:r>
        <w:rPr>
          <w:rFonts w:hint="eastAsia" w:asciiTheme="minorEastAsia" w:hAnsiTheme="minorEastAsia" w:eastAsiaTheme="minorEastAsia" w:cstheme="minorEastAsia"/>
          <w:color w:val="auto"/>
          <w:sz w:val="24"/>
          <w:szCs w:val="24"/>
          <w:highlight w:val="none"/>
          <w:shd w:val="clear" w:color="auto" w:fill="auto"/>
        </w:rPr>
        <w:t>10.1供应商编写的响应文件应包括资格证明文件、符合性证明文件、分项报价表、技术要求响应及偏离表、商务要求响应及偏离表、其他证明文件、单一来源响应函等部分。</w:t>
      </w:r>
      <w:bookmarkEnd w:id="78"/>
      <w:bookmarkEnd w:id="79"/>
      <w:bookmarkEnd w:id="80"/>
      <w:bookmarkEnd w:id="81"/>
      <w:bookmarkEnd w:id="82"/>
      <w:bookmarkEnd w:id="83"/>
      <w:bookmarkEnd w:id="84"/>
      <w:bookmarkEnd w:id="85"/>
    </w:p>
    <w:p w14:paraId="4D79A7DA">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11、证明供应商及响应标的符合采购文件规定的文件</w:t>
      </w:r>
    </w:p>
    <w:p w14:paraId="274CC85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11.1供应商应按照法律、法规、规章和规范性文件以及采购文件要求提交证明文件，证明</w:t>
      </w:r>
      <w:r>
        <w:rPr>
          <w:rFonts w:hint="eastAsia" w:asciiTheme="minorEastAsia" w:hAnsiTheme="minorEastAsia" w:eastAsiaTheme="minorEastAsia" w:cstheme="minorEastAsia"/>
          <w:color w:val="auto"/>
          <w:sz w:val="24"/>
          <w:szCs w:val="24"/>
          <w:highlight w:val="none"/>
          <w:shd w:val="clear" w:color="auto" w:fill="auto"/>
          <w:lang w:eastAsia="zh-CN"/>
        </w:rPr>
        <w:t>其</w:t>
      </w:r>
      <w:r>
        <w:rPr>
          <w:rFonts w:hint="eastAsia" w:asciiTheme="minorEastAsia" w:hAnsiTheme="minorEastAsia" w:eastAsiaTheme="minorEastAsia" w:cstheme="minorEastAsia"/>
          <w:color w:val="auto"/>
          <w:sz w:val="24"/>
          <w:szCs w:val="24"/>
          <w:highlight w:val="none"/>
          <w:shd w:val="clear" w:color="auto" w:fill="auto"/>
        </w:rPr>
        <w:t>响应标的符合采购文件规定。</w:t>
      </w:r>
    </w:p>
    <w:p w14:paraId="4F1E06C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11.2采购文件对证明文件无明确形式要求的，证明文件可以以文字资料、图纸和数据等形式提交。</w:t>
      </w:r>
    </w:p>
    <w:p w14:paraId="3CCFAFA8">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12、分项报价表</w:t>
      </w:r>
    </w:p>
    <w:p w14:paraId="684FE42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89" w:name="_Hlt26954846"/>
      <w:bookmarkStart w:id="90" w:name="_Hlt26954731"/>
      <w:bookmarkStart w:id="91" w:name="_Hlt26670482"/>
      <w:bookmarkStart w:id="92" w:name="_Hlt26670486"/>
      <w:bookmarkStart w:id="93" w:name="_Hlt26954848"/>
      <w:r>
        <w:rPr>
          <w:rFonts w:hint="eastAsia" w:asciiTheme="minorEastAsia" w:hAnsiTheme="minorEastAsia" w:eastAsiaTheme="minorEastAsia" w:cstheme="minorEastAsia"/>
          <w:color w:val="auto"/>
          <w:sz w:val="24"/>
          <w:szCs w:val="24"/>
          <w:highlight w:val="none"/>
          <w:shd w:val="clear" w:color="auto" w:fill="auto"/>
        </w:rPr>
        <w:t>12.1供应商应按照采购文件规定格式填报分项报价表。</w:t>
      </w:r>
    </w:p>
    <w:p w14:paraId="21DF1D29">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12.2报价货币。响应文件中的单价和总价无特殊规定的采用人民币报价，以元为单位标注。采购文件中另有规定的按规定执行。</w:t>
      </w:r>
    </w:p>
    <w:p w14:paraId="3300F6CE">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13、技术要求响应及偏离表、商务要求响应及偏离表</w:t>
      </w:r>
    </w:p>
    <w:p w14:paraId="55450E32">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13.1供应商需对采购文件中的技术要求与商务要求逐项作出响应或偏离，并说明原因。</w:t>
      </w:r>
    </w:p>
    <w:p w14:paraId="1C0B81E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13.2供应商可在响应文件中提供认为需要的其他技术文件或说明。</w:t>
      </w:r>
    </w:p>
    <w:p w14:paraId="2AC7C147">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4" w:name="_Toc14577359"/>
      <w:bookmarkStart w:id="95" w:name="_Toc49090510"/>
      <w:r>
        <w:rPr>
          <w:rFonts w:hint="eastAsia" w:asciiTheme="minorEastAsia" w:hAnsiTheme="minorEastAsia" w:eastAsiaTheme="minorEastAsia" w:cstheme="minorEastAsia"/>
          <w:color w:val="auto"/>
          <w:sz w:val="24"/>
          <w:szCs w:val="24"/>
          <w:highlight w:val="none"/>
          <w:shd w:val="clear" w:color="auto" w:fill="auto"/>
        </w:rPr>
        <w:t>14、服务承诺、培训计划、人员安排及其他</w:t>
      </w:r>
      <w:bookmarkEnd w:id="94"/>
      <w:bookmarkEnd w:id="95"/>
    </w:p>
    <w:p w14:paraId="44B58BF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14.1供应商需根据采购文件要求提供有关售后服务的管理制度，售后服务机构的分布情况，售后服务人员的数量、素质、技术水平及售后服务的反应能力等。</w:t>
      </w:r>
    </w:p>
    <w:p w14:paraId="16007C4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14.2供应商需根据采购文件要求提供培训计划。</w:t>
      </w:r>
    </w:p>
    <w:p w14:paraId="0F0A968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14.3供应商需根据采购文件要求提供所投标的的主要组成部分、功能设计、实现思路及关键技术等。</w:t>
      </w:r>
    </w:p>
    <w:p w14:paraId="7C3BE48A">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6" w:name="_Toc49090511"/>
      <w:bookmarkStart w:id="97" w:name="_Toc14577360"/>
      <w:r>
        <w:rPr>
          <w:rFonts w:hint="eastAsia" w:asciiTheme="minorEastAsia" w:hAnsiTheme="minorEastAsia" w:eastAsiaTheme="minorEastAsia" w:cstheme="minorEastAsia"/>
          <w:color w:val="auto"/>
          <w:sz w:val="24"/>
          <w:szCs w:val="24"/>
          <w:highlight w:val="none"/>
          <w:shd w:val="clear" w:color="auto" w:fill="auto"/>
        </w:rPr>
        <w:t>15、单一来源响应函</w:t>
      </w:r>
      <w:bookmarkEnd w:id="96"/>
      <w:bookmarkEnd w:id="97"/>
    </w:p>
    <w:p w14:paraId="35A1A2E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15.1供应商应按照采购文件中提供的格式完整、正确填写单一来源响应函。</w:t>
      </w:r>
    </w:p>
    <w:p w14:paraId="1522FBD2">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16、单一来源采购有效期</w:t>
      </w:r>
    </w:p>
    <w:p w14:paraId="0B4C1F6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16.1 单一来源采购有效期（以下简称“有效期”）为</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规定的响应文件接收截止之日后</w:t>
      </w:r>
      <w:r>
        <w:rPr>
          <w:rFonts w:hint="eastAsia" w:asciiTheme="minorEastAsia" w:hAnsiTheme="minorEastAsia" w:eastAsiaTheme="minorEastAsia" w:cstheme="minorEastAsia"/>
          <w:b/>
          <w:color w:val="auto"/>
          <w:sz w:val="24"/>
          <w:szCs w:val="24"/>
          <w:highlight w:val="none"/>
          <w:u w:val="single"/>
          <w:shd w:val="clear" w:color="auto" w:fill="auto"/>
        </w:rPr>
        <w:t>三十（30）天</w:t>
      </w:r>
      <w:r>
        <w:rPr>
          <w:rFonts w:hint="eastAsia" w:asciiTheme="minorEastAsia" w:hAnsiTheme="minorEastAsia" w:eastAsiaTheme="minorEastAsia" w:cstheme="minorEastAsia"/>
          <w:color w:val="auto"/>
          <w:sz w:val="24"/>
          <w:szCs w:val="24"/>
          <w:highlight w:val="none"/>
          <w:shd w:val="clear" w:color="auto" w:fill="auto"/>
        </w:rPr>
        <w:t>。有效期比规定期限短的将被视为未响应采购文件要求而予以拒绝。</w:t>
      </w:r>
    </w:p>
    <w:p w14:paraId="10493D5F">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17、有效期的延长</w:t>
      </w:r>
    </w:p>
    <w:p w14:paraId="6DE9CA7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17.1在特殊情况下，</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于原有效期满之前，可向供应商提出延长有效期的要求。这种要求与答复均应采用书面形式。供应商可以拒绝</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14:paraId="5ED0F2FC">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98" w:name="_Toc20823296"/>
      <w:bookmarkStart w:id="99" w:name="_Toc513029224"/>
      <w:bookmarkStart w:id="100" w:name="_Toc120614217"/>
      <w:bookmarkStart w:id="101" w:name="_Toc16938540"/>
      <w:bookmarkStart w:id="102" w:name="_Hlt26954739"/>
      <w:bookmarkStart w:id="103" w:name="_Hlt26954852"/>
      <w:r>
        <w:rPr>
          <w:rFonts w:hint="eastAsia" w:asciiTheme="minorEastAsia" w:hAnsiTheme="minorEastAsia" w:eastAsiaTheme="minorEastAsia" w:cstheme="minorEastAsia"/>
          <w:b/>
          <w:color w:val="auto"/>
          <w:sz w:val="24"/>
          <w:szCs w:val="24"/>
          <w:highlight w:val="none"/>
          <w:shd w:val="clear" w:color="auto" w:fill="auto"/>
        </w:rPr>
        <w:t>四、响应文件的递交</w:t>
      </w:r>
      <w:bookmarkEnd w:id="98"/>
      <w:bookmarkEnd w:id="99"/>
      <w:bookmarkEnd w:id="100"/>
      <w:bookmarkEnd w:id="101"/>
    </w:p>
    <w:p w14:paraId="2F35E747">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04" w:name="_Toc462564084"/>
      <w:bookmarkStart w:id="105" w:name="_Toc20823297"/>
      <w:bookmarkStart w:id="106" w:name="_Toc513029225"/>
      <w:bookmarkStart w:id="107" w:name="_Toc16938541"/>
      <w:r>
        <w:rPr>
          <w:rFonts w:hint="eastAsia" w:asciiTheme="minorEastAsia" w:hAnsiTheme="minorEastAsia" w:eastAsiaTheme="minorEastAsia" w:cstheme="minorEastAsia"/>
          <w:color w:val="auto"/>
          <w:sz w:val="24"/>
          <w:szCs w:val="24"/>
          <w:highlight w:val="none"/>
          <w:shd w:val="clear" w:color="auto" w:fill="auto"/>
        </w:rPr>
        <w:t>18、电子</w:t>
      </w:r>
      <w:bookmarkEnd w:id="104"/>
      <w:bookmarkEnd w:id="105"/>
      <w:bookmarkEnd w:id="106"/>
      <w:bookmarkEnd w:id="107"/>
      <w:r>
        <w:rPr>
          <w:rFonts w:hint="eastAsia" w:asciiTheme="minorEastAsia" w:hAnsiTheme="minorEastAsia" w:eastAsiaTheme="minorEastAsia" w:cstheme="minorEastAsia"/>
          <w:color w:val="auto"/>
          <w:sz w:val="24"/>
          <w:szCs w:val="24"/>
          <w:highlight w:val="none"/>
          <w:shd w:val="clear" w:color="auto" w:fill="auto"/>
        </w:rPr>
        <w:t>响应文件的递交</w:t>
      </w:r>
    </w:p>
    <w:p w14:paraId="1BCFFFF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18.1供应商应当按照《操作手册》规定，在截止时间前制作并上传电子响应文件。</w:t>
      </w:r>
      <w:bookmarkStart w:id="108" w:name="_Toc16938542"/>
      <w:bookmarkEnd w:id="108"/>
      <w:bookmarkStart w:id="109" w:name="_Toc20823298"/>
      <w:bookmarkEnd w:id="109"/>
      <w:bookmarkStart w:id="110" w:name="_Toc513029226"/>
    </w:p>
    <w:p w14:paraId="753E78E2">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19、提交响应文件截止时间</w:t>
      </w:r>
    </w:p>
    <w:p w14:paraId="2174788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i/>
          <w:color w:val="auto"/>
          <w:sz w:val="24"/>
          <w:szCs w:val="24"/>
          <w:highlight w:val="none"/>
          <w:u w:val="single"/>
          <w:shd w:val="clear" w:color="auto" w:fill="auto"/>
        </w:rPr>
        <w:t>19.1供应商上传电子响应文件的时间不得迟于单一来源采购邀请中规定的截止时间。</w:t>
      </w:r>
    </w:p>
    <w:p w14:paraId="1B97F92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11" w:name="_Toc16938543"/>
      <w:bookmarkStart w:id="112" w:name="_Toc20823299"/>
      <w:bookmarkStart w:id="113" w:name="_Toc513029227"/>
      <w:r>
        <w:rPr>
          <w:rFonts w:hint="eastAsia" w:asciiTheme="minorEastAsia" w:hAnsiTheme="minorEastAsia" w:eastAsiaTheme="minorEastAsia" w:cstheme="minorEastAsia"/>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1"/>
      <w:bookmarkEnd w:id="112"/>
      <w:bookmarkEnd w:id="113"/>
    </w:p>
    <w:p w14:paraId="1981C492">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19.2</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14:paraId="2777F260">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20、响应文件的拒收</w:t>
      </w:r>
    </w:p>
    <w:p w14:paraId="6320BA3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20.1</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拒绝接收在其规定的截止时间后上传的任何电子响应文件。</w:t>
      </w:r>
    </w:p>
    <w:p w14:paraId="0B89B77F">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14" w:name="_Toc513029228"/>
      <w:bookmarkStart w:id="115" w:name="_Toc16938544"/>
      <w:bookmarkStart w:id="116" w:name="_Toc20823300"/>
      <w:r>
        <w:rPr>
          <w:rFonts w:hint="eastAsia" w:asciiTheme="minorEastAsia" w:hAnsiTheme="minorEastAsia" w:eastAsiaTheme="minorEastAsia" w:cstheme="minorEastAsia"/>
          <w:color w:val="auto"/>
          <w:sz w:val="24"/>
          <w:szCs w:val="24"/>
          <w:highlight w:val="none"/>
          <w:shd w:val="clear" w:color="auto" w:fill="auto"/>
        </w:rPr>
        <w:t>21、响应文件的撤回和修改</w:t>
      </w:r>
      <w:bookmarkEnd w:id="114"/>
      <w:bookmarkEnd w:id="115"/>
      <w:bookmarkEnd w:id="116"/>
    </w:p>
    <w:p w14:paraId="5AB2955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21.1响应文件的撤回</w:t>
      </w:r>
    </w:p>
    <w:p w14:paraId="773C2D4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21.1.1电子响应文件的撤回</w:t>
      </w:r>
    </w:p>
    <w:p w14:paraId="144035C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供应商可在截止时间前，撤回其电子响应文件，具体操作方法见《操作手册》。</w:t>
      </w:r>
    </w:p>
    <w:p w14:paraId="0AA21274">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21.1.2供应商撤回电子响应文件，则认为其不再参与本项目采购活动。</w:t>
      </w:r>
    </w:p>
    <w:p w14:paraId="32212B4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21.2响应文件的修改</w:t>
      </w:r>
    </w:p>
    <w:p w14:paraId="7C29A72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供应商可在截止时间前，对其电子响应文件进行修改，具体操作方法见《操作手册》。</w:t>
      </w:r>
    </w:p>
    <w:p w14:paraId="57C0CA9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21.3在截止时间之后，供应商不得对其电子响应文件作任何修改。</w:t>
      </w:r>
    </w:p>
    <w:p w14:paraId="3F0B7922">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21.4在截止时间至有效期满之间的这段时间内，供应商不得撤回其响应文件。</w:t>
      </w:r>
    </w:p>
    <w:p w14:paraId="7FB4B1C5">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17" w:name="_Toc16938545"/>
      <w:bookmarkStart w:id="118" w:name="_Toc513029229"/>
      <w:bookmarkStart w:id="119" w:name="_Toc120614218"/>
      <w:bookmarkStart w:id="120" w:name="_Toc20823301"/>
      <w:r>
        <w:rPr>
          <w:rFonts w:hint="eastAsia" w:asciiTheme="minorEastAsia" w:hAnsiTheme="minorEastAsia" w:eastAsiaTheme="minorEastAsia" w:cstheme="minorEastAsia"/>
          <w:b/>
          <w:color w:val="auto"/>
          <w:sz w:val="24"/>
          <w:szCs w:val="24"/>
          <w:highlight w:val="none"/>
          <w:shd w:val="clear" w:color="auto" w:fill="auto"/>
        </w:rPr>
        <w:t>五、响应文件的解密与评审</w:t>
      </w:r>
      <w:bookmarkEnd w:id="117"/>
      <w:bookmarkEnd w:id="118"/>
      <w:bookmarkEnd w:id="119"/>
      <w:bookmarkEnd w:id="120"/>
    </w:p>
    <w:p w14:paraId="6341D5D0">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21" w:name="_Toc513029230"/>
      <w:bookmarkStart w:id="122" w:name="_Toc20823302"/>
      <w:bookmarkStart w:id="123" w:name="_Toc16938546"/>
      <w:r>
        <w:rPr>
          <w:rFonts w:hint="eastAsia" w:asciiTheme="minorEastAsia" w:hAnsiTheme="minorEastAsia" w:eastAsiaTheme="minorEastAsia" w:cstheme="minorEastAsia"/>
          <w:color w:val="auto"/>
          <w:sz w:val="24"/>
          <w:szCs w:val="24"/>
          <w:highlight w:val="none"/>
          <w:shd w:val="clear" w:color="auto" w:fill="auto"/>
        </w:rPr>
        <w:t>22、</w:t>
      </w:r>
      <w:bookmarkEnd w:id="121"/>
      <w:bookmarkEnd w:id="122"/>
      <w:bookmarkEnd w:id="123"/>
      <w:r>
        <w:rPr>
          <w:rFonts w:hint="eastAsia" w:asciiTheme="minorEastAsia" w:hAnsiTheme="minorEastAsia" w:eastAsiaTheme="minorEastAsia" w:cstheme="minorEastAsia"/>
          <w:color w:val="auto"/>
          <w:sz w:val="24"/>
          <w:szCs w:val="24"/>
          <w:highlight w:val="none"/>
          <w:shd w:val="clear" w:color="auto" w:fill="auto"/>
        </w:rPr>
        <w:t>响应文件解密</w:t>
      </w:r>
    </w:p>
    <w:p w14:paraId="2F4A661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22.1供应商应当按照《操作手册》规定，在苏采云系统规定的时间内对响应文件进行解密。</w:t>
      </w:r>
    </w:p>
    <w:p w14:paraId="54E1BC9E">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24" w:name="_Toc16938547"/>
      <w:bookmarkStart w:id="125" w:name="_Toc20823303"/>
      <w:bookmarkStart w:id="126" w:name="_Toc513029231"/>
      <w:r>
        <w:rPr>
          <w:rFonts w:hint="eastAsia" w:asciiTheme="minorEastAsia" w:hAnsiTheme="minorEastAsia" w:eastAsiaTheme="minorEastAsia" w:cstheme="minorEastAsia"/>
          <w:color w:val="auto"/>
          <w:sz w:val="24"/>
          <w:szCs w:val="24"/>
          <w:highlight w:val="none"/>
          <w:shd w:val="clear" w:color="auto" w:fill="auto"/>
        </w:rPr>
        <w:t>23、单一来源协商小组</w:t>
      </w:r>
      <w:bookmarkEnd w:id="124"/>
      <w:bookmarkEnd w:id="125"/>
      <w:bookmarkEnd w:id="126"/>
    </w:p>
    <w:p w14:paraId="55902E8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23.1单一来源协商小组（以下简称“协商小组”）由政府采购评审专家、采购人代表组成，且人员构成符合政府采购有关规定。</w:t>
      </w:r>
    </w:p>
    <w:p w14:paraId="1A84CCE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23.2协商小组应当按照客观、公正、审慎的原则评审供应商的响应文件，并与供应商协商采购标的的价格。</w:t>
      </w:r>
    </w:p>
    <w:p w14:paraId="15C4A6B7">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24、单一来源协商过程的保密与公正</w:t>
      </w:r>
    </w:p>
    <w:p w14:paraId="69D57DC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27" w:name="_Toc16938548"/>
      <w:bookmarkStart w:id="128" w:name="_Toc20823304"/>
      <w:bookmarkStart w:id="129" w:name="_Toc513029232"/>
      <w:r>
        <w:rPr>
          <w:rFonts w:hint="eastAsia" w:asciiTheme="minorEastAsia" w:hAnsiTheme="minorEastAsia" w:eastAsiaTheme="minorEastAsia" w:cstheme="minorEastAsia"/>
          <w:color w:val="auto"/>
          <w:sz w:val="24"/>
          <w:szCs w:val="24"/>
          <w:highlight w:val="none"/>
          <w:shd w:val="clear" w:color="auto" w:fill="auto"/>
        </w:rPr>
        <w:t>24.1协商小组、采购人和</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7"/>
      <w:bookmarkEnd w:id="128"/>
      <w:bookmarkEnd w:id="129"/>
    </w:p>
    <w:p w14:paraId="190BB1E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24.2在协商过程中，供应商不得以任何行为影响评审及协商过程，否则将会导致其响应文件被拒绝。</w:t>
      </w:r>
    </w:p>
    <w:p w14:paraId="2D14609E">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25、评审及协商过程中的澄清</w:t>
      </w:r>
    </w:p>
    <w:p w14:paraId="74DA9EC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14:paraId="6B9584F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324D4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25.3接到协商小组澄清、说明和更正要求的供应商如未按规定</w:t>
      </w:r>
      <w:r>
        <w:rPr>
          <w:rFonts w:hint="eastAsia" w:asciiTheme="minorEastAsia" w:hAnsiTheme="minorEastAsia" w:eastAsiaTheme="minorEastAsia" w:cstheme="minorEastAsia"/>
          <w:color w:val="auto"/>
          <w:sz w:val="24"/>
          <w:szCs w:val="24"/>
          <w:highlight w:val="none"/>
          <w:shd w:val="clear" w:color="auto" w:fill="auto"/>
          <w:lang w:eastAsia="zh-CN"/>
        </w:rPr>
        <w:t>作出</w:t>
      </w:r>
      <w:r>
        <w:rPr>
          <w:rFonts w:hint="eastAsia" w:asciiTheme="minorEastAsia" w:hAnsiTheme="minorEastAsia" w:eastAsiaTheme="minorEastAsia" w:cstheme="minorEastAsia"/>
          <w:color w:val="auto"/>
          <w:sz w:val="24"/>
          <w:szCs w:val="24"/>
          <w:highlight w:val="none"/>
          <w:shd w:val="clear" w:color="auto" w:fill="auto"/>
        </w:rPr>
        <w:t>澄清、说明和更正，其风险由供应商自行承担。</w:t>
      </w:r>
    </w:p>
    <w:p w14:paraId="12801BFC">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30" w:name="_Toc20823305"/>
      <w:bookmarkStart w:id="131" w:name="_Toc513029233"/>
      <w:bookmarkStart w:id="132" w:name="_Toc16938549"/>
      <w:r>
        <w:rPr>
          <w:rFonts w:hint="eastAsia" w:asciiTheme="minorEastAsia" w:hAnsiTheme="minorEastAsia" w:eastAsiaTheme="minorEastAsia" w:cstheme="minorEastAsia"/>
          <w:color w:val="auto"/>
          <w:sz w:val="24"/>
          <w:szCs w:val="24"/>
          <w:highlight w:val="none"/>
          <w:shd w:val="clear" w:color="auto" w:fill="auto"/>
        </w:rPr>
        <w:t>26、对响应文件的审</w:t>
      </w:r>
      <w:bookmarkEnd w:id="130"/>
      <w:bookmarkEnd w:id="131"/>
      <w:bookmarkEnd w:id="132"/>
      <w:r>
        <w:rPr>
          <w:rFonts w:hint="eastAsia" w:asciiTheme="minorEastAsia" w:hAnsiTheme="minorEastAsia" w:eastAsiaTheme="minorEastAsia" w:cstheme="minorEastAsia"/>
          <w:color w:val="auto"/>
          <w:sz w:val="24"/>
          <w:szCs w:val="24"/>
          <w:highlight w:val="none"/>
          <w:shd w:val="clear" w:color="auto" w:fill="auto"/>
        </w:rPr>
        <w:t>查</w:t>
      </w:r>
    </w:p>
    <w:p w14:paraId="08BCEE1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26.1响应文件审查分为资格审查和符合性审查。</w:t>
      </w:r>
    </w:p>
    <w:p w14:paraId="60FE28D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26.1.1资格审查：由协商小组依据法律法规和</w:t>
      </w:r>
      <w:r>
        <w:rPr>
          <w:rFonts w:hint="eastAsia" w:asciiTheme="minorEastAsia" w:hAnsiTheme="minorEastAsia" w:eastAsiaTheme="minorEastAsia" w:cstheme="minorEastAsia"/>
          <w:color w:val="auto"/>
          <w:sz w:val="24"/>
          <w:szCs w:val="24"/>
          <w:highlight w:val="none"/>
          <w:shd w:val="clear" w:color="auto" w:fill="auto"/>
          <w:lang w:val="en-US" w:eastAsia="zh-CN"/>
        </w:rPr>
        <w:t>采购</w:t>
      </w:r>
      <w:r>
        <w:rPr>
          <w:rFonts w:hint="eastAsia" w:asciiTheme="minorEastAsia" w:hAnsiTheme="minorEastAsia" w:eastAsiaTheme="minorEastAsia" w:cstheme="minorEastAsia"/>
          <w:color w:val="auto"/>
          <w:sz w:val="24"/>
          <w:szCs w:val="24"/>
          <w:highlight w:val="none"/>
          <w:shd w:val="clear" w:color="auto" w:fill="auto"/>
        </w:rPr>
        <w:t>文件的规定，对响应文件中的资格证明文件进行审查，以确定供应商是否具备参加单一来源协商的资格。</w:t>
      </w:r>
    </w:p>
    <w:p w14:paraId="2795194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协商小组在进行资格审查的同时，将在“信用中国”网站（www.creditchina.gov.cn）查询供应商的信用记录，以确定供应商是否具备协商资格,查询结果留存并归档。</w:t>
      </w:r>
    </w:p>
    <w:p w14:paraId="417D0FF2">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5D3353D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26.1.2符合性审查：依据采购文件的规定，由协商小组从响应文件的有效性、完整性和对采购文件的响应程度进行审查，以确定是否对</w:t>
      </w:r>
      <w:r>
        <w:rPr>
          <w:rFonts w:hint="eastAsia" w:asciiTheme="minorEastAsia" w:hAnsiTheme="minorEastAsia" w:eastAsiaTheme="minorEastAsia" w:cstheme="minorEastAsia"/>
          <w:color w:val="auto"/>
          <w:sz w:val="24"/>
          <w:szCs w:val="24"/>
          <w:highlight w:val="none"/>
          <w:shd w:val="clear" w:color="auto" w:fill="auto"/>
          <w:lang w:val="en-US" w:eastAsia="zh-CN"/>
        </w:rPr>
        <w:t>采购</w:t>
      </w:r>
      <w:r>
        <w:rPr>
          <w:rFonts w:hint="eastAsia" w:asciiTheme="minorEastAsia" w:hAnsiTheme="minorEastAsia" w:eastAsiaTheme="minorEastAsia" w:cstheme="minorEastAsia"/>
          <w:color w:val="auto"/>
          <w:sz w:val="24"/>
          <w:szCs w:val="24"/>
          <w:highlight w:val="none"/>
          <w:shd w:val="clear" w:color="auto" w:fill="auto"/>
        </w:rPr>
        <w:t>文件的实质性要求作出响应。</w:t>
      </w:r>
    </w:p>
    <w:p w14:paraId="461CCA8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26.1.3未通过资格审查或符合性审查的供应商，协商小组将在苏采云系统中告知未通过资格审查或符合性审查的原因，评审结束后，协商小组将不再告知未通过资格审查或符合性审查的原因。</w:t>
      </w:r>
    </w:p>
    <w:p w14:paraId="28AD13F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14:paraId="6C78FF3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297A3F3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26.3未实质性响应采购文件的情形</w:t>
      </w:r>
    </w:p>
    <w:p w14:paraId="22A43B3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26.3.1供应商在苏采云系统规定的时间内未成功解密电子响应文件的。</w:t>
      </w:r>
    </w:p>
    <w:p w14:paraId="163D3F2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26.3.2供应商未按照采购文件要求上传电子响应文件的。</w:t>
      </w:r>
    </w:p>
    <w:p w14:paraId="2091C16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26.3.3供应商提交两个（含两个）以上不同的响应文件或者最后报价的。</w:t>
      </w:r>
    </w:p>
    <w:p w14:paraId="5B0CA65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26.3.4供应商不具备采购文件中规定资格要求的。</w:t>
      </w:r>
    </w:p>
    <w:p w14:paraId="44CBA39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26.3.5供应商的最后报价超过了采购预算。</w:t>
      </w:r>
    </w:p>
    <w:p w14:paraId="6E0EDCD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26.3.6不符合采购文件中规定的实质性要求和条件的</w:t>
      </w:r>
      <w:r>
        <w:rPr>
          <w:rFonts w:hint="eastAsia" w:asciiTheme="minorEastAsia" w:hAnsiTheme="minorEastAsia" w:eastAsiaTheme="minorEastAsia" w:cstheme="minorEastAsia"/>
          <w:i/>
          <w:color w:val="auto"/>
          <w:sz w:val="24"/>
          <w:szCs w:val="24"/>
          <w:highlight w:val="none"/>
          <w:u w:val="single"/>
          <w:shd w:val="clear" w:color="auto" w:fill="auto"/>
        </w:rPr>
        <w:t>（本采购文件中斜体且有下划线部分为实质性要求和条件）。</w:t>
      </w:r>
    </w:p>
    <w:p w14:paraId="5A9BD59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82328B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26.3.8响应文件含有采购人不能接受的附加条件的。</w:t>
      </w:r>
    </w:p>
    <w:p w14:paraId="0AB2CAD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shd w:val="clear" w:color="auto" w:fill="auto"/>
        </w:rPr>
        <w:t>26.3.</w:t>
      </w:r>
      <w:r>
        <w:rPr>
          <w:rFonts w:hint="eastAsia" w:asciiTheme="minorEastAsia" w:hAnsiTheme="minorEastAsia" w:eastAsiaTheme="minorEastAsia" w:cstheme="minorEastAsia"/>
          <w:color w:val="auto"/>
          <w:sz w:val="24"/>
          <w:szCs w:val="24"/>
          <w:highlight w:val="none"/>
          <w:shd w:val="clear" w:color="auto" w:fill="auto"/>
          <w:lang w:val="en-US" w:eastAsia="zh-CN"/>
        </w:rPr>
        <w:t>9</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不能证明其报价合理性的，</w:t>
      </w:r>
      <w:r>
        <w:rPr>
          <w:rFonts w:hint="eastAsia" w:asciiTheme="minorEastAsia" w:hAnsiTheme="minorEastAsia" w:eastAsiaTheme="minorEastAsia" w:cstheme="minorEastAsia"/>
          <w:color w:val="auto"/>
          <w:sz w:val="24"/>
          <w:szCs w:val="24"/>
          <w:highlight w:val="none"/>
          <w:lang w:val="en-US" w:eastAsia="zh-CN"/>
        </w:rPr>
        <w:t>协商小组</w:t>
      </w:r>
      <w:r>
        <w:rPr>
          <w:rFonts w:hint="eastAsia" w:asciiTheme="minorEastAsia" w:hAnsiTheme="minorEastAsia" w:eastAsiaTheme="minorEastAsia" w:cstheme="minorEastAsia"/>
          <w:color w:val="auto"/>
          <w:sz w:val="24"/>
          <w:szCs w:val="24"/>
          <w:highlight w:val="none"/>
        </w:rPr>
        <w:t>应当将其作为无效</w:t>
      </w:r>
      <w:r>
        <w:rPr>
          <w:rFonts w:hint="eastAsia" w:asciiTheme="minorEastAsia" w:hAnsiTheme="minorEastAsia" w:eastAsiaTheme="minorEastAsia" w:cstheme="minorEastAsia"/>
          <w:color w:val="000000"/>
          <w:kern w:val="0"/>
          <w:sz w:val="24"/>
          <w:szCs w:val="24"/>
          <w:highlight w:val="none"/>
          <w:lang w:val="en-US" w:eastAsia="zh-CN" w:bidi="ar-SA"/>
        </w:rPr>
        <w:t>响应</w:t>
      </w:r>
      <w:r>
        <w:rPr>
          <w:rFonts w:hint="eastAsia" w:asciiTheme="minorEastAsia" w:hAnsiTheme="minorEastAsia" w:eastAsiaTheme="minorEastAsia" w:cstheme="minorEastAsia"/>
          <w:color w:val="auto"/>
          <w:sz w:val="24"/>
          <w:szCs w:val="24"/>
          <w:highlight w:val="none"/>
        </w:rPr>
        <w:t>处理。</w:t>
      </w:r>
    </w:p>
    <w:p w14:paraId="2D0657B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b/>
          <w:bCs/>
          <w:color w:val="auto"/>
          <w:sz w:val="24"/>
          <w:szCs w:val="24"/>
          <w:highlight w:val="none"/>
          <w:shd w:val="clear" w:color="auto" w:fill="auto"/>
          <w:lang w:val="en-US" w:eastAsia="zh-CN"/>
        </w:rPr>
      </w:pPr>
      <w:r>
        <w:rPr>
          <w:rFonts w:hint="eastAsia" w:asciiTheme="minorEastAsia" w:hAnsiTheme="minorEastAsia" w:eastAsiaTheme="minorEastAsia" w:cstheme="minorEastAsia"/>
          <w:b/>
          <w:bCs/>
          <w:color w:val="auto"/>
          <w:sz w:val="24"/>
          <w:szCs w:val="24"/>
          <w:highlight w:val="none"/>
          <w:shd w:val="clear" w:color="auto" w:fill="auto"/>
          <w:lang w:val="en-US" w:eastAsia="zh-CN"/>
        </w:rPr>
        <w:t>评审过程中出现下列情形之一的，协商小组应当启动异常低价响应审查程序：</w:t>
      </w:r>
    </w:p>
    <w:p w14:paraId="08E26264">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1.投标（响应）报价低于采购项目最高限价45%的，即投标（响应）报价&lt;采购项目最高限价×45%；</w:t>
      </w:r>
    </w:p>
    <w:p w14:paraId="6B93ED46">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2</w:t>
      </w:r>
      <w:r>
        <w:rPr>
          <w:rFonts w:hint="eastAsia" w:asciiTheme="minorEastAsia" w:hAnsiTheme="minorEastAsia" w:cstheme="minorEastAsia"/>
          <w:b/>
          <w:bCs/>
          <w:color w:val="FF0000"/>
          <w:sz w:val="24"/>
          <w:szCs w:val="24"/>
          <w:highlight w:val="none"/>
          <w:lang w:val="en-US" w:eastAsia="zh-CN" w:bidi="ar-SA"/>
        </w:rPr>
        <w:t>.</w:t>
      </w:r>
      <w:r>
        <w:rPr>
          <w:rFonts w:hint="eastAsia" w:asciiTheme="minorEastAsia" w:hAnsiTheme="minorEastAsia" w:eastAsiaTheme="minorEastAsia" w:cstheme="minorEastAsia"/>
          <w:b/>
          <w:bCs/>
          <w:color w:val="FF0000"/>
          <w:sz w:val="24"/>
          <w:szCs w:val="24"/>
          <w:highlight w:val="none"/>
          <w:lang w:val="en-US" w:eastAsia="zh-CN" w:bidi="ar-SA"/>
        </w:rPr>
        <w:t>评审委员会基于专业判断，认为供应商报价过低，有可能影响产品质量或者不能诚信履约的其他情形。</w:t>
      </w:r>
    </w:p>
    <w:p w14:paraId="6E14DBF3">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相关法律法规对供应商报价有规定的，从其规定。</w:t>
      </w:r>
    </w:p>
    <w:p w14:paraId="209516AE">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219CBEC1">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8"/>
        <w:pageBreakBefore w:val="0"/>
        <w:widowControl w:val="0"/>
        <w:kinsoku/>
        <w:wordWrap/>
        <w:overflowPunct/>
        <w:topLinePunct w:val="0"/>
        <w:autoSpaceDE/>
        <w:autoSpaceDN/>
        <w:bidi w:val="0"/>
        <w:adjustRightInd/>
        <w:snapToGrid/>
        <w:spacing w:beforeAutospacing="0" w:afterAutospacing="0" w:line="480" w:lineRule="exact"/>
        <w:ind w:left="0" w:right="0" w:firstLine="482" w:firstLineChars="200"/>
        <w:jc w:val="both"/>
        <w:textAlignment w:val="auto"/>
        <w:rPr>
          <w:rFonts w:hint="eastAsia" w:asciiTheme="minorEastAsia" w:hAnsiTheme="minorEastAsia" w:eastAsiaTheme="minorEastAsia" w:cstheme="minorEastAsia"/>
          <w:b/>
          <w:bCs/>
          <w:color w:val="FF0000"/>
          <w:sz w:val="24"/>
          <w:szCs w:val="24"/>
          <w:highlight w:val="none"/>
          <w:lang w:val="en-US" w:eastAsia="zh-CN" w:bidi="ar-SA"/>
        </w:rPr>
      </w:pPr>
      <w:r>
        <w:rPr>
          <w:rFonts w:hint="eastAsia" w:asciiTheme="minorEastAsia" w:hAnsiTheme="minorEastAsia" w:eastAsiaTheme="minorEastAsia" w:cstheme="minorEastAsia"/>
          <w:b/>
          <w:bCs/>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CA7C34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26.3.10</w:t>
      </w:r>
      <w:r>
        <w:rPr>
          <w:rFonts w:hint="eastAsia" w:asciiTheme="minorEastAsia" w:hAnsiTheme="minorEastAsia" w:eastAsiaTheme="minorEastAsia" w:cstheme="minorEastAsia"/>
          <w:color w:val="auto"/>
          <w:sz w:val="24"/>
          <w:szCs w:val="24"/>
          <w:highlight w:val="none"/>
          <w:shd w:val="clear" w:color="auto" w:fill="auto"/>
        </w:rPr>
        <w:t>响应文件未按照</w:t>
      </w:r>
      <w:r>
        <w:rPr>
          <w:rFonts w:hint="eastAsia" w:asciiTheme="minorEastAsia" w:hAnsiTheme="minorEastAsia" w:eastAsiaTheme="minorEastAsia" w:cstheme="minorEastAsia"/>
          <w:color w:val="auto"/>
          <w:sz w:val="24"/>
          <w:szCs w:val="24"/>
          <w:highlight w:val="none"/>
          <w:shd w:val="clear" w:color="auto" w:fill="auto"/>
          <w:lang w:val="en-US" w:eastAsia="zh-CN"/>
        </w:rPr>
        <w:t>采购</w:t>
      </w:r>
      <w:r>
        <w:rPr>
          <w:rFonts w:hint="eastAsia" w:asciiTheme="minorEastAsia" w:hAnsiTheme="minorEastAsia" w:eastAsiaTheme="minorEastAsia" w:cstheme="minorEastAsia"/>
          <w:color w:val="auto"/>
          <w:sz w:val="24"/>
          <w:szCs w:val="24"/>
          <w:highlight w:val="none"/>
          <w:shd w:val="clear" w:color="auto" w:fill="auto"/>
        </w:rPr>
        <w:t>文件要求加盖CA电子公章的。</w:t>
      </w:r>
    </w:p>
    <w:p w14:paraId="098C4C0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26.4未实质性响应采购文件的响应文件按无效响应处理。</w:t>
      </w:r>
    </w:p>
    <w:p w14:paraId="6E08265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26.5如果响应文件实质上没有响应采购文件的要求，协商小组将予以拒绝。</w:t>
      </w:r>
    </w:p>
    <w:p w14:paraId="7227727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33" w:name="_Toc513029234"/>
      <w:bookmarkStart w:id="134" w:name="_Toc20823306"/>
      <w:bookmarkStart w:id="135" w:name="_Toc16938550"/>
      <w:r>
        <w:rPr>
          <w:rFonts w:hint="eastAsia" w:asciiTheme="minorEastAsia" w:hAnsiTheme="minorEastAsia" w:eastAsiaTheme="minorEastAsia" w:cstheme="minorEastAsia"/>
          <w:color w:val="auto"/>
          <w:sz w:val="24"/>
          <w:szCs w:val="24"/>
          <w:highlight w:val="none"/>
          <w:shd w:val="clear" w:color="auto" w:fill="auto"/>
        </w:rPr>
        <w:t>26.6供应商在项目评审及协商全过程中应</w:t>
      </w:r>
      <w:r>
        <w:rPr>
          <w:rFonts w:hint="eastAsia" w:asciiTheme="minorEastAsia" w:hAnsiTheme="minorEastAsia" w:eastAsiaTheme="minorEastAsia" w:cstheme="minorEastAsia"/>
          <w:color w:val="auto"/>
          <w:sz w:val="24"/>
          <w:szCs w:val="24"/>
          <w:highlight w:val="none"/>
          <w:shd w:val="clear" w:color="auto" w:fill="auto"/>
          <w:lang w:eastAsia="zh-CN"/>
        </w:rPr>
        <w:t>保持通信畅通</w:t>
      </w:r>
      <w:r>
        <w:rPr>
          <w:rFonts w:hint="eastAsia" w:asciiTheme="minorEastAsia" w:hAnsiTheme="minorEastAsia" w:eastAsiaTheme="minorEastAsia" w:cstheme="minorEastAsia"/>
          <w:color w:val="auto"/>
          <w:sz w:val="24"/>
          <w:szCs w:val="24"/>
          <w:highlight w:val="none"/>
          <w:shd w:val="clear" w:color="auto" w:fill="auto"/>
        </w:rPr>
        <w:t>，并安排专人与</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及协商小组联系。</w:t>
      </w:r>
      <w:bookmarkEnd w:id="133"/>
      <w:bookmarkEnd w:id="134"/>
      <w:bookmarkEnd w:id="135"/>
    </w:p>
    <w:p w14:paraId="1F2D8CD9">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27、单一来源协商及成交原则</w:t>
      </w:r>
    </w:p>
    <w:p w14:paraId="3B986E9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27.1单一来源协商</w:t>
      </w:r>
    </w:p>
    <w:p w14:paraId="0074F6A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27.1.1对于通过资格审查和符合性审查的供应商，协商小组将通过苏采云系统与其就采购标的的价格、服务等内容进行单一来源协商。</w:t>
      </w:r>
    </w:p>
    <w:p w14:paraId="11941D3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14:paraId="6D0DB914">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27.1.3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9EE4BB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27.2成交原则</w:t>
      </w:r>
    </w:p>
    <w:p w14:paraId="3D0A9CB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0DFEA3D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27.3单一来源协商终止情形处理</w:t>
      </w:r>
    </w:p>
    <w:p w14:paraId="63E132D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出现下列情形之一的，</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将终止采购活动，发布项目终止公告并说明原因，重新开展采购活动：</w:t>
      </w:r>
      <w:r>
        <w:rPr>
          <w:rFonts w:hint="eastAsia" w:asciiTheme="minorEastAsia" w:hAnsiTheme="minorEastAsia" w:eastAsiaTheme="minorEastAsia" w:cstheme="minorEastAsia"/>
          <w:color w:val="auto"/>
          <w:sz w:val="24"/>
          <w:szCs w:val="24"/>
          <w:highlight w:val="none"/>
          <w:shd w:val="clear" w:color="auto" w:fill="auto"/>
        </w:rPr>
        <w:br w:type="textWrapping"/>
      </w:r>
      <w:r>
        <w:rPr>
          <w:rFonts w:hint="eastAsia" w:asciiTheme="minorEastAsia" w:hAnsiTheme="minorEastAsia" w:eastAsiaTheme="minorEastAsia" w:cstheme="minorEastAsia"/>
          <w:color w:val="auto"/>
          <w:sz w:val="24"/>
          <w:szCs w:val="24"/>
          <w:highlight w:val="none"/>
          <w:shd w:val="clear" w:color="auto" w:fill="auto"/>
        </w:rPr>
        <w:t>  27.3.1因情况变化，不再符合规定的单一来源采购方式适用情形的；</w:t>
      </w:r>
      <w:r>
        <w:rPr>
          <w:rFonts w:hint="eastAsia" w:asciiTheme="minorEastAsia" w:hAnsiTheme="minorEastAsia" w:eastAsiaTheme="minorEastAsia" w:cstheme="minorEastAsia"/>
          <w:color w:val="auto"/>
          <w:sz w:val="24"/>
          <w:szCs w:val="24"/>
          <w:highlight w:val="none"/>
          <w:shd w:val="clear" w:color="auto" w:fill="auto"/>
        </w:rPr>
        <w:br w:type="textWrapping"/>
      </w:r>
      <w:r>
        <w:rPr>
          <w:rFonts w:hint="eastAsia" w:asciiTheme="minorEastAsia" w:hAnsiTheme="minorEastAsia" w:eastAsiaTheme="minorEastAsia" w:cstheme="minorEastAsia"/>
          <w:color w:val="auto"/>
          <w:sz w:val="24"/>
          <w:szCs w:val="24"/>
          <w:highlight w:val="none"/>
          <w:shd w:val="clear" w:color="auto" w:fill="auto"/>
        </w:rPr>
        <w:t>  27.3.2出现影响采购公正的违法、违规行为的；</w:t>
      </w:r>
      <w:r>
        <w:rPr>
          <w:rFonts w:hint="eastAsia" w:asciiTheme="minorEastAsia" w:hAnsiTheme="minorEastAsia" w:eastAsiaTheme="minorEastAsia" w:cstheme="minorEastAsia"/>
          <w:color w:val="auto"/>
          <w:sz w:val="24"/>
          <w:szCs w:val="24"/>
          <w:highlight w:val="none"/>
          <w:shd w:val="clear" w:color="auto" w:fill="auto"/>
        </w:rPr>
        <w:br w:type="textWrapping"/>
      </w:r>
      <w:r>
        <w:rPr>
          <w:rFonts w:hint="eastAsia" w:asciiTheme="minorEastAsia" w:hAnsiTheme="minorEastAsia" w:eastAsiaTheme="minorEastAsia" w:cstheme="minorEastAsia"/>
          <w:color w:val="auto"/>
          <w:sz w:val="24"/>
          <w:szCs w:val="24"/>
          <w:highlight w:val="none"/>
          <w:shd w:val="clear" w:color="auto" w:fill="auto"/>
        </w:rPr>
        <w:t>  27.3.3供应商最后报价超过采购预算的；</w:t>
      </w:r>
    </w:p>
    <w:p w14:paraId="0CB4A3A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27.3.4供应商的技术方案、服务承诺、商务条款等不能满足采购人或协商小组的要求；</w:t>
      </w:r>
    </w:p>
    <w:p w14:paraId="44739D1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27.3.5法律、法规、规章规定的其他应当终止的情形。</w:t>
      </w:r>
    </w:p>
    <w:p w14:paraId="0B9D31A9">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rPr>
        <w:t>六、成交</w:t>
      </w:r>
    </w:p>
    <w:p w14:paraId="5165CDAC">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28、确定成交供应商</w:t>
      </w:r>
    </w:p>
    <w:p w14:paraId="36B2E0A9">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28.1协商小组根据协商情况编写单一来源评审报告，推荐成交候选供应商。</w:t>
      </w:r>
    </w:p>
    <w:p w14:paraId="6579043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28.2采购人根据协商小组推荐的成交候选供应商确定成交供应商。</w:t>
      </w:r>
    </w:p>
    <w:p w14:paraId="47490B1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28.3若有充分证据证明，成交供应商出现下列情况之一的，一经查实，将被取消成交资格：</w:t>
      </w:r>
    </w:p>
    <w:p w14:paraId="25C9AD0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28.3.1提供虚假材料谋取成交的。</w:t>
      </w:r>
    </w:p>
    <w:p w14:paraId="0C17364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28.3.2与评审专家、采购人、其他供应商或者</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工作人员恶意串通的。</w:t>
      </w:r>
    </w:p>
    <w:p w14:paraId="5CD60AE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28.3.3向评审专家、采购人或</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工作人员行贿或者提供其他不正当利益的。</w:t>
      </w:r>
    </w:p>
    <w:p w14:paraId="1D9377B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28.3.4恶意竞争，最后报价明显低于其自身合理成本且又无法提供证明的。</w:t>
      </w:r>
    </w:p>
    <w:p w14:paraId="458CB094">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28.3.5不满足本采购文件规定的实质性要求，但在评审过程中又未被协商小组发现的。</w:t>
      </w:r>
    </w:p>
    <w:p w14:paraId="6DF73A0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28.3.6成交后无正当理由拒不与采购人签订政府采购合同或者未按照采购文件确定的事项签订政府采购合同的。</w:t>
      </w:r>
    </w:p>
    <w:p w14:paraId="1E03F24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28.3.7将政府采购合同转包的。</w:t>
      </w:r>
    </w:p>
    <w:p w14:paraId="7C6B7B0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成交供应商被取消成交资格后，</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有权重新组织采购。</w:t>
      </w:r>
    </w:p>
    <w:p w14:paraId="693676AB">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36" w:name="_Toc200451960"/>
      <w:r>
        <w:rPr>
          <w:rFonts w:hint="eastAsia" w:asciiTheme="minorEastAsia" w:hAnsiTheme="minorEastAsia" w:eastAsiaTheme="minorEastAsia" w:cstheme="minorEastAsia"/>
          <w:color w:val="auto"/>
          <w:sz w:val="24"/>
          <w:szCs w:val="24"/>
          <w:highlight w:val="none"/>
          <w:shd w:val="clear" w:color="auto" w:fill="auto"/>
        </w:rPr>
        <w:t>29、质疑处理</w:t>
      </w:r>
      <w:bookmarkEnd w:id="136"/>
    </w:p>
    <w:p w14:paraId="12DFB3E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29.1供应商认为采购过程和采购结果使自己的权益受到损害的，可以从采购结果公布之日起七个工作日内，以书面形式向</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提出质疑。</w:t>
      </w:r>
    </w:p>
    <w:p w14:paraId="5BB10E9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29.2供应商应当在法定质疑期内一次性提出针对同一采购程序环节的质疑。供应商如在法定期限内对同一采购程序环节提出多次质疑的，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、采购人将只对供应商第一次质疑作出答复。</w:t>
      </w:r>
    </w:p>
    <w:p w14:paraId="3F4D3680">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29.3质疑函必须按照本采购文件中《质疑函范本》要求的格式和内容进行填写。供应商如组成联合体参加协商，则《质疑函范本》中要求签字、盖章、加盖公章之处，联合体各方均须按要求签字、盖章、加盖公章。</w:t>
      </w:r>
    </w:p>
    <w:p w14:paraId="18D8F6CC">
      <w:pPr>
        <w:pageBreakBefore w:val="0"/>
        <w:widowControl w:val="0"/>
        <w:tabs>
          <w:tab w:val="left" w:pos="133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29.4代理机构只接收以纸质原件形式送达的质疑,采购人和代理机构不接受未填写快递运单的快件。质疑接收部门为公共资源交易中心业务受理处，联系地址：盐城市府西路1号市公共资源交易中心522，联系电话：0515-86665052。</w:t>
      </w:r>
    </w:p>
    <w:p w14:paraId="0FAE8F7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29.5以下情形的质疑不予受理</w:t>
      </w:r>
    </w:p>
    <w:p w14:paraId="376D677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29.5.1内容不符合《政府采购质疑和投诉办法》第十二条规定的质疑。</w:t>
      </w:r>
    </w:p>
    <w:p w14:paraId="649FFA8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29.5.2超出政府采购法定期限的质疑。</w:t>
      </w:r>
    </w:p>
    <w:p w14:paraId="305F9F62">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29.5.3以传真、电子邮件等方式递交的非原件形式的质疑。</w:t>
      </w:r>
    </w:p>
    <w:p w14:paraId="295FE40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29.5.4未参加单一来源采购活动的供应商所提出的质疑。</w:t>
      </w:r>
    </w:p>
    <w:p w14:paraId="063B21D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29.5.5供应商组成联合体参加协商，联合体中任何一方或多方未按要求签字、盖章、加盖公章的质疑。</w:t>
      </w:r>
    </w:p>
    <w:p w14:paraId="7DC78E5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29.6供应商提出书面质疑必须有理、有据，不得捏造事实、提供虚假材料进行恶意质疑。否则，一经查实，</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有权依据政府采购的有关规定，报请政府采购监管部门对该供应商进行相应的行政处罚和记录该供应商的失信信息。</w:t>
      </w:r>
    </w:p>
    <w:p w14:paraId="19FB263C">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30、成交通知书</w:t>
      </w:r>
    </w:p>
    <w:p w14:paraId="0DE2888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30.1成交结果确定后，</w:t>
      </w:r>
      <w:r>
        <w:rPr>
          <w:rFonts w:hint="eastAsia" w:asciiTheme="minorEastAsia" w:hAnsiTheme="minorEastAsia" w:eastAsiaTheme="minorEastAsia" w:cstheme="minorEastAsia"/>
          <w:color w:val="auto"/>
          <w:sz w:val="24"/>
          <w:szCs w:val="24"/>
          <w:highlight w:val="none"/>
          <w:shd w:val="clear" w:color="auto" w:fill="auto"/>
          <w:lang w:eastAsia="zh-CN"/>
        </w:rPr>
        <w:t>代理机构</w:t>
      </w:r>
      <w:r>
        <w:rPr>
          <w:rFonts w:hint="eastAsia" w:asciiTheme="minorEastAsia" w:hAnsiTheme="minorEastAsia" w:eastAsiaTheme="minorEastAsia" w:cstheme="minorEastAsia"/>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A47613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36D97A38">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37" w:name="_Toc20823308"/>
      <w:bookmarkStart w:id="138" w:name="_Toc120614220"/>
      <w:bookmarkStart w:id="139" w:name="_Toc513029236"/>
      <w:bookmarkStart w:id="140" w:name="_Toc16938552"/>
      <w:r>
        <w:rPr>
          <w:rFonts w:hint="eastAsia" w:asciiTheme="minorEastAsia" w:hAnsiTheme="minorEastAsia" w:eastAsiaTheme="minorEastAsia" w:cstheme="minorEastAsia"/>
          <w:b/>
          <w:color w:val="auto"/>
          <w:sz w:val="24"/>
          <w:szCs w:val="24"/>
          <w:highlight w:val="none"/>
          <w:shd w:val="clear" w:color="auto" w:fill="auto"/>
        </w:rPr>
        <w:t>七、授予合同</w:t>
      </w:r>
      <w:bookmarkEnd w:id="137"/>
      <w:bookmarkEnd w:id="138"/>
      <w:bookmarkEnd w:id="139"/>
      <w:bookmarkEnd w:id="140"/>
    </w:p>
    <w:p w14:paraId="6720A6E2">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bookmarkStart w:id="141" w:name="_Toc20823309"/>
      <w:bookmarkStart w:id="142" w:name="_Toc16938553"/>
      <w:bookmarkStart w:id="143" w:name="_Toc513029237"/>
      <w:r>
        <w:rPr>
          <w:rFonts w:hint="eastAsia" w:asciiTheme="minorEastAsia" w:hAnsiTheme="minorEastAsia" w:eastAsiaTheme="minorEastAsia" w:cstheme="minorEastAsia"/>
          <w:color w:val="auto"/>
          <w:sz w:val="24"/>
          <w:szCs w:val="24"/>
          <w:highlight w:val="none"/>
          <w:shd w:val="clear" w:color="auto" w:fill="auto"/>
        </w:rPr>
        <w:t>31.签订合同</w:t>
      </w:r>
      <w:bookmarkEnd w:id="141"/>
      <w:bookmarkEnd w:id="142"/>
      <w:bookmarkEnd w:id="143"/>
    </w:p>
    <w:p w14:paraId="625211A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31.l成交供应商应当在成交通知书发出之日起三十日内，按照采购文件确定的事项与采购人签订政府采购合同。</w:t>
      </w:r>
    </w:p>
    <w:p w14:paraId="068648DC">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31.2采购文件、成交供应商的响应文件及协商过程中有关澄清、承诺文件均应作为合同附件。</w:t>
      </w:r>
    </w:p>
    <w:p w14:paraId="7AB25E08">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31.3签订合同后，</w:t>
      </w:r>
      <w:r>
        <w:rPr>
          <w:rFonts w:hint="eastAsia" w:asciiTheme="minorEastAsia" w:hAnsiTheme="minorEastAsia" w:eastAsiaTheme="minorEastAsia" w:cstheme="minorEastAsia"/>
          <w:i/>
          <w:color w:val="auto"/>
          <w:sz w:val="24"/>
          <w:szCs w:val="24"/>
          <w:highlight w:val="none"/>
          <w:u w:val="single"/>
          <w:shd w:val="clear" w:color="auto" w:fill="auto"/>
        </w:rPr>
        <w:t>成交供应商不得将合同标的进行转包</w:t>
      </w:r>
      <w:r>
        <w:rPr>
          <w:rFonts w:hint="eastAsia" w:asciiTheme="minorEastAsia" w:hAnsiTheme="minorEastAsia" w:eastAsiaTheme="minorEastAsia" w:cstheme="minorEastAsia"/>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42610D7B">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32、标的物的追加</w:t>
      </w:r>
    </w:p>
    <w:p w14:paraId="443B60E1">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8"/>
        <w:pageBreakBefore w:val="0"/>
        <w:widowControl w:val="0"/>
        <w:numPr>
          <w:ilvl w:val="0"/>
          <w:numId w:val="0"/>
        </w:numPr>
        <w:kinsoku/>
        <w:wordWrap/>
        <w:overflowPunct/>
        <w:topLinePunct w:val="0"/>
        <w:autoSpaceDE/>
        <w:autoSpaceDN/>
        <w:bidi w:val="0"/>
        <w:adjustRightInd/>
        <w:snapToGrid/>
        <w:spacing w:beforeAutospacing="0" w:afterAutospacing="0" w:line="480" w:lineRule="exact"/>
        <w:ind w:left="0" w:leftChars="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33.政府采购政策功能落实</w:t>
      </w:r>
    </w:p>
    <w:p w14:paraId="3EA2C724">
      <w:pPr>
        <w:pStyle w:val="8"/>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33.1</w:t>
      </w:r>
      <w:r>
        <w:rPr>
          <w:rFonts w:hint="eastAsia" w:asciiTheme="minorEastAsia" w:hAnsiTheme="minorEastAsia" w:eastAsiaTheme="minorEastAsia" w:cstheme="minorEastAsia"/>
          <w:color w:val="auto"/>
          <w:sz w:val="24"/>
          <w:szCs w:val="24"/>
          <w:highlight w:val="none"/>
          <w:shd w:val="clear" w:color="auto" w:fill="auto"/>
        </w:rPr>
        <w:t>政府采购</w:t>
      </w:r>
      <w:r>
        <w:rPr>
          <w:rFonts w:hint="eastAsia" w:asciiTheme="minorEastAsia" w:hAnsiTheme="minorEastAsia" w:eastAsiaTheme="minorEastAsia" w:cstheme="minorEastAsia"/>
          <w:color w:val="auto"/>
          <w:sz w:val="24"/>
          <w:szCs w:val="24"/>
          <w:highlight w:val="none"/>
          <w:shd w:val="clear" w:color="auto" w:fill="auto"/>
          <w:lang w:eastAsia="zh-CN"/>
        </w:rPr>
        <w:t>线上合同信用融资</w:t>
      </w:r>
      <w:r>
        <w:rPr>
          <w:rFonts w:hint="eastAsia" w:asciiTheme="minorEastAsia" w:hAnsiTheme="minorEastAsia" w:eastAsiaTheme="minorEastAsia" w:cstheme="minorEastAsia"/>
          <w:color w:val="auto"/>
          <w:sz w:val="24"/>
          <w:szCs w:val="24"/>
          <w:highlight w:val="none"/>
          <w:shd w:val="clear" w:color="auto" w:fill="auto"/>
        </w:rPr>
        <w:t>政策</w:t>
      </w:r>
    </w:p>
    <w:p w14:paraId="7831DEF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4"/>
          <w:szCs w:val="24"/>
          <w:highlight w:val="none"/>
          <w:shd w:val="clear" w:color="auto" w:fill="auto"/>
          <w:lang w:val="en-US" w:eastAsia="zh-CN"/>
        </w:rPr>
        <w:t>江苏省</w:t>
      </w:r>
      <w:r>
        <w:rPr>
          <w:rFonts w:hint="eastAsia" w:asciiTheme="minorEastAsia" w:hAnsiTheme="minorEastAsia" w:eastAsiaTheme="minorEastAsia" w:cstheme="minorEastAsia"/>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33.2进口产品</w:t>
      </w:r>
    </w:p>
    <w:p w14:paraId="5E25FDB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进口产品</w:t>
      </w:r>
      <w:r>
        <w:rPr>
          <w:rFonts w:hint="eastAsia" w:asciiTheme="minorEastAsia" w:hAnsiTheme="minorEastAsia" w:eastAsiaTheme="minorEastAsia" w:cstheme="minorEastAsia"/>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.3.1中小企业定义：</w:t>
      </w:r>
    </w:p>
    <w:p w14:paraId="4C9CBD8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0D4ACC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.3.2供应商提供的货物、工程或者服务符合下列情形的，享受中小企业扶持政策：</w:t>
      </w:r>
    </w:p>
    <w:p w14:paraId="6761BEF4">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.3.2.2在工程采购项目中，工程由中小企业承建，即工程施工单位为中小企业；</w:t>
      </w:r>
    </w:p>
    <w:p w14:paraId="4DFC19B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.3.6残疾人福利单位定义：享受政府采购支持政策的残疾人福利性单位应当同时满足以下条件：</w:t>
      </w:r>
    </w:p>
    <w:p w14:paraId="2C10A4F6">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.3.6.1安置的残疾人占本单位在职职工人数的比例不低于25%（含25%），并且安置的残疾人人数不少于10人（含10人）；</w:t>
      </w:r>
    </w:p>
    <w:p w14:paraId="273AB3B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.3.6.2依法与安置的每位残疾人签订了一年以上（含一年）的劳动合同或服务协议；</w:t>
      </w:r>
    </w:p>
    <w:p w14:paraId="25054FF3">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6777715">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.3.7本项目是否专门面向中小企业预留采购份额见第一章《单一来源采购邀请》。</w:t>
      </w:r>
    </w:p>
    <w:p w14:paraId="66321B5E">
      <w:pPr>
        <w:pStyle w:val="8"/>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lang w:val="en-US" w:eastAsia="zh-CN"/>
        </w:rPr>
        <w:t>33</w:t>
      </w:r>
      <w:r>
        <w:rPr>
          <w:rFonts w:hint="eastAsia" w:asciiTheme="minorEastAsia" w:hAnsiTheme="minorEastAsia" w:eastAsiaTheme="minorEastAsia" w:cstheme="minorEastAsia"/>
          <w:color w:val="auto"/>
          <w:sz w:val="24"/>
          <w:szCs w:val="24"/>
          <w:highlight w:val="none"/>
          <w:shd w:val="clear" w:color="auto" w:fill="auto"/>
        </w:rPr>
        <w:t>.3.8采购标的对应的中小企业划分标准所属行业见第四章《采购需求》。</w:t>
      </w:r>
    </w:p>
    <w:p w14:paraId="24130294">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.4.1</w:t>
      </w:r>
      <w:r>
        <w:rPr>
          <w:rFonts w:hint="eastAsia" w:asciiTheme="minorEastAsia" w:hAnsiTheme="minorEastAsia" w:eastAsiaTheme="minorEastAsia" w:cstheme="minorEastAsia"/>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Theme="minorEastAsia" w:hAnsiTheme="minorEastAsia" w:eastAsiaTheme="minorEastAsia" w:cstheme="minorEastAsia"/>
          <w:i/>
          <w:color w:val="auto"/>
          <w:kern w:val="0"/>
          <w:sz w:val="24"/>
          <w:szCs w:val="24"/>
          <w:highlight w:val="none"/>
          <w:shd w:val="clear" w:color="auto" w:fill="auto"/>
        </w:rPr>
        <w:t>。</w:t>
      </w:r>
      <w:r>
        <w:rPr>
          <w:rFonts w:hint="eastAsia" w:asciiTheme="minorEastAsia" w:hAnsiTheme="minorEastAsia" w:eastAsiaTheme="minorEastAsia" w:cstheme="minorEastAsia"/>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3</w:t>
      </w:r>
      <w:r>
        <w:rPr>
          <w:rFonts w:hint="eastAsia" w:asciiTheme="minorEastAsia" w:hAnsiTheme="minorEastAsia" w:eastAsiaTheme="minorEastAsia" w:cstheme="minorEastAsia"/>
          <w:color w:val="auto"/>
          <w:sz w:val="24"/>
          <w:szCs w:val="24"/>
          <w:highlight w:val="none"/>
          <w:shd w:val="clear" w:color="auto" w:fill="auto"/>
          <w:lang w:val="en-US" w:eastAsia="zh-CN"/>
        </w:rPr>
        <w:t>3</w:t>
      </w:r>
      <w:r>
        <w:rPr>
          <w:rFonts w:hint="eastAsia" w:asciiTheme="minorEastAsia" w:hAnsiTheme="minorEastAsia" w:eastAsiaTheme="minorEastAsia" w:cstheme="minorEastAsia"/>
          <w:color w:val="auto"/>
          <w:sz w:val="24"/>
          <w:szCs w:val="24"/>
          <w:highlight w:val="none"/>
          <w:shd w:val="clear" w:color="auto" w:fill="auto"/>
        </w:rPr>
        <w:t>.4.2</w:t>
      </w:r>
      <w:r>
        <w:rPr>
          <w:rFonts w:hint="eastAsia" w:asciiTheme="minorEastAsia" w:hAnsiTheme="minorEastAsia" w:eastAsiaTheme="minorEastAsia" w:cstheme="minorEastAsia"/>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Theme="minorEastAsia" w:hAnsiTheme="minorEastAsia" w:eastAsiaTheme="minorEastAsia" w:cstheme="minorEastAsia"/>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33.7绿色数据中心政策</w:t>
      </w:r>
    </w:p>
    <w:p w14:paraId="722A8D32">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480" w:lineRule="exact"/>
        <w:ind w:left="0" w:firstLine="482" w:firstLineChars="200"/>
        <w:jc w:val="both"/>
        <w:textAlignment w:val="auto"/>
        <w:rPr>
          <w:rFonts w:hint="eastAsia" w:asciiTheme="minorEastAsia" w:hAnsiTheme="minorEastAsia" w:eastAsiaTheme="minorEastAsia" w:cstheme="minorEastAsia"/>
          <w:b/>
          <w:bCs/>
          <w:color w:val="FF0000"/>
          <w:kern w:val="0"/>
          <w:sz w:val="24"/>
          <w:szCs w:val="24"/>
          <w:highlight w:val="none"/>
          <w:lang w:val="en-US" w:eastAsia="zh-CN" w:bidi="ar-SA"/>
        </w:rPr>
      </w:pPr>
      <w:r>
        <w:rPr>
          <w:rFonts w:hint="eastAsia" w:asciiTheme="minorEastAsia" w:hAnsiTheme="minorEastAsia" w:eastAsiaTheme="minorEastAsia" w:cstheme="minorEastAsia"/>
          <w:b/>
          <w:bCs/>
          <w:color w:val="FF0000"/>
          <w:kern w:val="0"/>
          <w:sz w:val="24"/>
          <w:szCs w:val="24"/>
          <w:highlight w:val="none"/>
          <w:lang w:val="en-US" w:eastAsia="zh-CN" w:bidi="ar-SA"/>
        </w:rPr>
        <w:t>33.8实施本国产品标准及相关政策</w:t>
      </w:r>
    </w:p>
    <w:p w14:paraId="510E6799">
      <w:pPr>
        <w:pageBreakBefore w:val="0"/>
        <w:widowControl w:val="0"/>
        <w:kinsoku/>
        <w:wordWrap/>
        <w:overflowPunct/>
        <w:topLinePunct w:val="0"/>
        <w:autoSpaceDE/>
        <w:autoSpaceDN/>
        <w:bidi w:val="0"/>
        <w:adjustRightInd/>
        <w:snapToGrid/>
        <w:spacing w:line="480" w:lineRule="exact"/>
        <w:ind w:left="0" w:firstLine="482" w:firstLineChars="200"/>
        <w:jc w:val="both"/>
        <w:textAlignment w:val="auto"/>
        <w:rPr>
          <w:rFonts w:hint="eastAsia" w:asciiTheme="minorEastAsia" w:hAnsiTheme="minorEastAsia" w:eastAsiaTheme="minorEastAsia" w:cstheme="minorEastAsia"/>
          <w:b/>
          <w:bCs/>
          <w:color w:val="FF0000"/>
          <w:kern w:val="0"/>
          <w:sz w:val="24"/>
          <w:szCs w:val="24"/>
          <w:highlight w:val="none"/>
          <w:lang w:val="en-US" w:eastAsia="zh-CN" w:bidi="ar-SA"/>
        </w:rPr>
      </w:pPr>
      <w:r>
        <w:rPr>
          <w:rFonts w:hint="eastAsia" w:asciiTheme="minorEastAsia" w:hAnsiTheme="minorEastAsia" w:eastAsiaTheme="minorEastAsia" w:cstheme="minorEastAsia"/>
          <w:b/>
          <w:bCs/>
          <w:color w:val="FF0000"/>
          <w:kern w:val="0"/>
          <w:sz w:val="24"/>
          <w:szCs w:val="24"/>
          <w:highlight w:val="none"/>
          <w:lang w:val="en-US" w:eastAsia="zh-CN" w:bidi="ar-SA"/>
        </w:rPr>
        <w:t>1.本项目对采购本国产品给予政策支持</w:t>
      </w:r>
    </w:p>
    <w:p w14:paraId="6E8BCEDC">
      <w:pPr>
        <w:pageBreakBefore w:val="0"/>
        <w:widowControl w:val="0"/>
        <w:kinsoku/>
        <w:wordWrap/>
        <w:overflowPunct/>
        <w:topLinePunct w:val="0"/>
        <w:autoSpaceDE/>
        <w:autoSpaceDN/>
        <w:bidi w:val="0"/>
        <w:adjustRightInd/>
        <w:snapToGrid/>
        <w:spacing w:line="480" w:lineRule="exact"/>
        <w:ind w:left="0" w:firstLine="482" w:firstLineChars="200"/>
        <w:jc w:val="both"/>
        <w:textAlignment w:val="auto"/>
        <w:rPr>
          <w:rFonts w:hint="eastAsia" w:asciiTheme="minorEastAsia" w:hAnsiTheme="minorEastAsia" w:eastAsiaTheme="minorEastAsia" w:cstheme="minorEastAsia"/>
          <w:b/>
          <w:bCs/>
          <w:color w:val="FF0000"/>
          <w:kern w:val="0"/>
          <w:sz w:val="24"/>
          <w:szCs w:val="24"/>
          <w:highlight w:val="none"/>
          <w:lang w:val="en-US" w:eastAsia="zh-CN" w:bidi="ar-SA"/>
        </w:rPr>
      </w:pPr>
      <w:r>
        <w:rPr>
          <w:rFonts w:hint="eastAsia" w:asciiTheme="minorEastAsia" w:hAnsiTheme="minorEastAsia" w:eastAsiaTheme="minorEastAsia" w:cstheme="minorEastAsia"/>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CC8712">
      <w:pPr>
        <w:pageBreakBefore w:val="0"/>
        <w:widowControl w:val="0"/>
        <w:kinsoku/>
        <w:wordWrap/>
        <w:overflowPunct/>
        <w:topLinePunct w:val="0"/>
        <w:autoSpaceDE/>
        <w:autoSpaceDN/>
        <w:bidi w:val="0"/>
        <w:adjustRightInd/>
        <w:snapToGrid/>
        <w:spacing w:line="480" w:lineRule="exact"/>
        <w:ind w:left="0" w:firstLine="482" w:firstLineChars="200"/>
        <w:jc w:val="both"/>
        <w:textAlignment w:val="auto"/>
        <w:rPr>
          <w:rFonts w:hint="eastAsia" w:asciiTheme="minorEastAsia" w:hAnsiTheme="minorEastAsia" w:eastAsiaTheme="minorEastAsia" w:cstheme="minorEastAsia"/>
          <w:b/>
          <w:bCs/>
          <w:color w:val="FF0000"/>
          <w:kern w:val="0"/>
          <w:sz w:val="24"/>
          <w:szCs w:val="24"/>
          <w:highlight w:val="none"/>
          <w:lang w:val="en-US" w:eastAsia="zh-CN" w:bidi="ar-SA"/>
        </w:rPr>
      </w:pPr>
      <w:r>
        <w:rPr>
          <w:rFonts w:hint="eastAsia" w:asciiTheme="minorEastAsia" w:hAnsiTheme="minorEastAsia" w:eastAsiaTheme="minorEastAsia" w:cstheme="minorEastAsia"/>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480" w:lineRule="exact"/>
        <w:ind w:left="0" w:firstLine="482" w:firstLineChars="200"/>
        <w:jc w:val="both"/>
        <w:textAlignment w:val="auto"/>
        <w:rPr>
          <w:rFonts w:hint="eastAsia" w:asciiTheme="minorEastAsia" w:hAnsiTheme="minorEastAsia" w:eastAsiaTheme="minorEastAsia" w:cstheme="minorEastAsia"/>
          <w:b/>
          <w:bCs/>
          <w:color w:val="FF0000"/>
          <w:kern w:val="0"/>
          <w:sz w:val="24"/>
          <w:szCs w:val="24"/>
          <w:highlight w:val="none"/>
          <w:lang w:val="en-US" w:eastAsia="zh-CN" w:bidi="ar-SA"/>
        </w:rPr>
      </w:pPr>
      <w:r>
        <w:rPr>
          <w:rFonts w:hint="eastAsia" w:asciiTheme="minorEastAsia" w:hAnsiTheme="minorEastAsia" w:eastAsiaTheme="minorEastAsia" w:cstheme="minorEastAsia"/>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eastAsiaTheme="minorEastAsia" w:cstheme="minorEastAsia"/>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33.9履约保证金政策</w:t>
      </w:r>
    </w:p>
    <w:p w14:paraId="40F02B3A">
      <w:pPr>
        <w:pStyle w:val="15"/>
        <w:pageBreakBefore w:val="0"/>
        <w:widowControl w:val="0"/>
        <w:kinsoku/>
        <w:wordWrap/>
        <w:overflowPunct/>
        <w:topLinePunct w:val="0"/>
        <w:autoSpaceDE/>
        <w:autoSpaceDN/>
        <w:bidi w:val="0"/>
        <w:adjustRightInd/>
        <w:snapToGrid/>
        <w:spacing w:after="0"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jc w:val="both"/>
        <w:textAlignment w:val="auto"/>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34.预付款制度</w:t>
      </w:r>
    </w:p>
    <w:p w14:paraId="23108FD2">
      <w:pPr>
        <w:pageBreakBefore w:val="0"/>
        <w:widowControl w:val="0"/>
        <w:kinsoku/>
        <w:wordWrap/>
        <w:overflowPunct/>
        <w:topLinePunct w:val="0"/>
        <w:autoSpaceDE/>
        <w:autoSpaceDN/>
        <w:bidi w:val="0"/>
        <w:adjustRightInd/>
        <w:snapToGrid/>
        <w:spacing w:line="480" w:lineRule="exact"/>
        <w:ind w:lef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本项目落实预付款制度，预付款比例为</w:t>
      </w:r>
      <w:r>
        <w:rPr>
          <w:rFonts w:hint="eastAsia" w:asciiTheme="minorEastAsia" w:hAnsiTheme="minorEastAsia" w:cstheme="minorEastAsia"/>
          <w:color w:val="auto"/>
          <w:kern w:val="0"/>
          <w:sz w:val="24"/>
          <w:szCs w:val="24"/>
          <w:highlight w:val="none"/>
          <w:shd w:val="clear" w:color="auto" w:fill="auto"/>
          <w:lang w:val="en-US" w:eastAsia="zh-CN" w:bidi="ar-SA"/>
        </w:rPr>
        <w:t>30</w:t>
      </w:r>
      <w:r>
        <w:rPr>
          <w:rFonts w:hint="eastAsia" w:asciiTheme="minorEastAsia" w:hAnsiTheme="minorEastAsia" w:eastAsiaTheme="minorEastAsia" w:cstheme="minorEastAsia"/>
          <w:color w:val="auto"/>
          <w:kern w:val="0"/>
          <w:sz w:val="24"/>
          <w:szCs w:val="24"/>
          <w:highlight w:val="none"/>
          <w:shd w:val="clear" w:color="auto" w:fill="auto"/>
          <w:lang w:val="en-US" w:eastAsia="zh-CN" w:bidi="ar-SA"/>
        </w:rPr>
        <w:t>%（原则上不低于合同金额的30%）。在签订合同时，中标、成交供应商明确书面表示无需预付款或者主动要求降低预付款比例的，采购人可就预付款比例作相应调整。</w:t>
      </w:r>
    </w:p>
    <w:p w14:paraId="53289C7D">
      <w:pPr>
        <w:pStyle w:val="15"/>
        <w:spacing w:after="0" w:line="520" w:lineRule="exact"/>
        <w:ind w:left="0" w:firstLine="560"/>
        <w:rPr>
          <w:rFonts w:hint="eastAsia" w:ascii="宋体" w:hAnsi="宋体" w:eastAsia="宋体" w:cs="宋体"/>
          <w:color w:val="auto"/>
          <w:kern w:val="0"/>
          <w:sz w:val="24"/>
          <w:szCs w:val="24"/>
          <w:highlight w:val="none"/>
          <w:shd w:val="clear" w:color="auto" w:fill="auto"/>
          <w:lang w:val="en-US" w:eastAsia="zh-CN" w:bidi="ar-SA"/>
        </w:rPr>
      </w:pPr>
    </w:p>
    <w:p w14:paraId="62F3E57B">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1226A962">
      <w:pPr>
        <w:pStyle w:val="8"/>
        <w:keepNext/>
        <w:keepLines/>
        <w:spacing w:before="260" w:beforeAutospacing="0" w:after="260" w:afterAutospacing="0" w:line="415" w:lineRule="auto"/>
        <w:jc w:val="center"/>
        <w:rPr>
          <w:rFonts w:hint="eastAsia" w:ascii="黑体" w:hAnsi="宋体" w:eastAsia="黑体" w:cs="黑体"/>
          <w:b/>
          <w:color w:val="auto"/>
          <w:sz w:val="44"/>
          <w:szCs w:val="44"/>
          <w:highlight w:val="none"/>
          <w:shd w:val="clear" w:color="auto" w:fill="auto"/>
        </w:rPr>
      </w:pPr>
      <w:r>
        <w:rPr>
          <w:rFonts w:hint="eastAsia" w:ascii="黑体" w:hAnsi="宋体" w:eastAsia="黑体" w:cs="黑体"/>
          <w:b/>
          <w:color w:val="auto"/>
          <w:sz w:val="44"/>
          <w:szCs w:val="44"/>
          <w:highlight w:val="none"/>
          <w:shd w:val="clear" w:color="auto" w:fill="auto"/>
        </w:rPr>
        <w:t>第三章  合同文本</w:t>
      </w:r>
    </w:p>
    <w:p w14:paraId="36B8287F">
      <w:pPr>
        <w:pStyle w:val="8"/>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44" w:name="_Toc513029243"/>
      <w:bookmarkStart w:id="145" w:name="_Toc16938559"/>
      <w:bookmarkStart w:id="146" w:name="_Toc20823315"/>
      <w:r>
        <w:rPr>
          <w:rFonts w:hint="eastAsia" w:ascii="宋体" w:hAnsi="宋体" w:eastAsia="宋体" w:cs="宋体"/>
          <w:color w:val="auto"/>
          <w:sz w:val="24"/>
          <w:szCs w:val="24"/>
          <w:highlight w:val="none"/>
          <w:shd w:val="clear" w:color="auto" w:fill="auto"/>
        </w:rPr>
        <w:t>以下为成交后</w:t>
      </w:r>
      <w:r>
        <w:rPr>
          <w:rFonts w:hint="eastAsia" w:ascii="宋体" w:hAnsi="宋体" w:eastAsia="宋体" w:cs="宋体"/>
          <w:color w:val="auto"/>
          <w:sz w:val="24"/>
          <w:szCs w:val="24"/>
          <w:highlight w:val="none"/>
          <w:shd w:val="clear" w:color="auto" w:fill="auto"/>
          <w:lang w:eastAsia="zh-CN"/>
        </w:rPr>
        <w:t>签订</w:t>
      </w:r>
      <w:r>
        <w:rPr>
          <w:rFonts w:hint="eastAsia" w:ascii="宋体" w:hAnsi="宋体" w:eastAsia="宋体" w:cs="宋体"/>
          <w:color w:val="auto"/>
          <w:sz w:val="24"/>
          <w:szCs w:val="24"/>
          <w:highlight w:val="none"/>
          <w:shd w:val="clear" w:color="auto" w:fill="auto"/>
        </w:rPr>
        <w:t>本项目合同的通用条款，成交供应商不得提出实质性的修改。</w:t>
      </w:r>
      <w:bookmarkEnd w:id="144"/>
      <w:bookmarkEnd w:id="145"/>
      <w:bookmarkEnd w:id="146"/>
    </w:p>
    <w:p w14:paraId="4803C170">
      <w:pPr>
        <w:jc w:val="center"/>
        <w:rPr>
          <w:rFonts w:hint="eastAsia" w:asciiTheme="minorEastAsia" w:hAnsiTheme="minorEastAsia" w:eastAsiaTheme="minorEastAsia" w:cstheme="minorEastAsia"/>
          <w:b/>
          <w:bCs/>
          <w:sz w:val="24"/>
          <w:szCs w:val="24"/>
          <w:u w:val="none"/>
        </w:rPr>
      </w:pPr>
    </w:p>
    <w:p w14:paraId="65DC4024">
      <w:pPr>
        <w:jc w:val="center"/>
        <w:rPr>
          <w:rFonts w:hint="eastAsia" w:ascii="宋体" w:hAnsi="宋体" w:cs="宋体"/>
          <w:b/>
          <w:bCs/>
          <w:sz w:val="40"/>
          <w:szCs w:val="40"/>
          <w:u w:val="none"/>
        </w:rPr>
      </w:pPr>
    </w:p>
    <w:p w14:paraId="5EA9A55A">
      <w:pPr>
        <w:jc w:val="center"/>
        <w:rPr>
          <w:rFonts w:hint="eastAsia" w:ascii="宋体" w:hAnsi="宋体" w:cs="宋体"/>
          <w:b/>
          <w:bCs/>
          <w:sz w:val="40"/>
          <w:szCs w:val="40"/>
          <w:u w:val="none"/>
        </w:rPr>
      </w:pPr>
    </w:p>
    <w:p w14:paraId="390508F4">
      <w:pPr>
        <w:spacing w:line="360" w:lineRule="auto"/>
        <w:jc w:val="center"/>
        <w:rPr>
          <w:rFonts w:hint="eastAsia" w:ascii="宋体" w:hAnsi="宋体" w:cs="宋体"/>
          <w:b/>
          <w:bCs/>
          <w:sz w:val="48"/>
          <w:szCs w:val="48"/>
          <w:u w:val="none"/>
        </w:rPr>
      </w:pPr>
      <w:r>
        <w:rPr>
          <w:rFonts w:hint="eastAsia" w:ascii="宋体" w:hAnsi="宋体" w:cs="宋体"/>
          <w:b/>
          <w:bCs/>
          <w:sz w:val="48"/>
          <w:szCs w:val="48"/>
          <w:u w:val="none"/>
        </w:rPr>
        <w:t>黄海新区形象宣传省级媒体发布项目</w:t>
      </w:r>
    </w:p>
    <w:p w14:paraId="00BE0C26">
      <w:pPr>
        <w:pStyle w:val="9"/>
        <w:ind w:left="0" w:leftChars="0" w:firstLine="0" w:firstLineChars="0"/>
        <w:jc w:val="center"/>
        <w:rPr>
          <w:rFonts w:hint="eastAsia" w:ascii="宋体" w:hAnsi="宋体" w:cs="宋体"/>
          <w:sz w:val="44"/>
          <w:szCs w:val="44"/>
          <w:u w:val="none"/>
        </w:rPr>
      </w:pPr>
    </w:p>
    <w:p w14:paraId="778A9ADF">
      <w:pPr>
        <w:pStyle w:val="9"/>
        <w:ind w:left="0" w:leftChars="0" w:firstLine="0" w:firstLineChars="0"/>
        <w:jc w:val="center"/>
        <w:rPr>
          <w:rFonts w:hint="eastAsia" w:ascii="宋体" w:hAnsi="宋体" w:cs="宋体"/>
          <w:sz w:val="44"/>
          <w:szCs w:val="44"/>
          <w:u w:val="none"/>
        </w:rPr>
      </w:pPr>
    </w:p>
    <w:p w14:paraId="12D14371">
      <w:pPr>
        <w:pStyle w:val="9"/>
        <w:ind w:left="0" w:leftChars="0" w:firstLine="0" w:firstLineChars="0"/>
        <w:jc w:val="center"/>
        <w:rPr>
          <w:rFonts w:hint="eastAsia" w:ascii="宋体" w:hAnsi="宋体" w:cs="宋体"/>
          <w:sz w:val="44"/>
          <w:szCs w:val="44"/>
          <w:u w:val="none"/>
        </w:rPr>
      </w:pPr>
    </w:p>
    <w:p w14:paraId="6522388C">
      <w:pPr>
        <w:pStyle w:val="9"/>
        <w:ind w:left="0" w:leftChars="0" w:firstLine="0" w:firstLineChars="0"/>
        <w:jc w:val="center"/>
        <w:rPr>
          <w:rFonts w:hint="eastAsia" w:ascii="宋体" w:hAnsi="宋体" w:cs="宋体"/>
          <w:sz w:val="44"/>
          <w:szCs w:val="44"/>
          <w:u w:val="none"/>
        </w:rPr>
      </w:pPr>
    </w:p>
    <w:p w14:paraId="0E15716D">
      <w:pPr>
        <w:pStyle w:val="9"/>
        <w:ind w:left="0" w:leftChars="0" w:firstLine="0" w:firstLineChars="0"/>
        <w:jc w:val="center"/>
        <w:rPr>
          <w:rFonts w:hint="eastAsia" w:ascii="宋体" w:hAnsi="宋体" w:cs="宋体"/>
          <w:sz w:val="44"/>
          <w:szCs w:val="44"/>
          <w:u w:val="none"/>
        </w:rPr>
      </w:pPr>
    </w:p>
    <w:p w14:paraId="5DE6C19E">
      <w:pPr>
        <w:pStyle w:val="9"/>
        <w:ind w:left="0" w:leftChars="0" w:firstLine="0" w:firstLineChars="0"/>
        <w:jc w:val="center"/>
        <w:rPr>
          <w:rFonts w:hint="default" w:ascii="宋体" w:hAnsi="宋体" w:eastAsia="宋体" w:cs="宋体"/>
          <w:sz w:val="44"/>
          <w:szCs w:val="44"/>
          <w:u w:val="none"/>
          <w:lang w:val="en-US" w:eastAsia="zh-CN"/>
        </w:rPr>
      </w:pPr>
      <w:r>
        <w:rPr>
          <w:rFonts w:hint="eastAsia" w:cs="宋体"/>
          <w:sz w:val="44"/>
          <w:szCs w:val="44"/>
          <w:u w:val="none"/>
          <w:lang w:val="en-US" w:eastAsia="zh-CN"/>
        </w:rPr>
        <w:t>政府采购合同</w:t>
      </w:r>
    </w:p>
    <w:p w14:paraId="57029E05">
      <w:pPr>
        <w:ind w:firstLine="560" w:firstLineChars="200"/>
        <w:rPr>
          <w:rFonts w:hint="eastAsia" w:ascii="宋体" w:hAnsi="宋体" w:cs="宋体"/>
          <w:sz w:val="28"/>
          <w:szCs w:val="28"/>
        </w:rPr>
      </w:pPr>
    </w:p>
    <w:p w14:paraId="0A4A75FE">
      <w:pPr>
        <w:ind w:firstLine="560" w:firstLineChars="200"/>
        <w:rPr>
          <w:rFonts w:hint="eastAsia" w:ascii="宋体" w:hAnsi="宋体" w:cs="宋体"/>
          <w:sz w:val="28"/>
          <w:szCs w:val="28"/>
        </w:rPr>
      </w:pPr>
    </w:p>
    <w:p w14:paraId="05272C81">
      <w:pPr>
        <w:ind w:firstLine="560" w:firstLineChars="200"/>
        <w:rPr>
          <w:rFonts w:hint="eastAsia" w:ascii="宋体" w:hAnsi="宋体" w:cs="宋体"/>
          <w:sz w:val="28"/>
          <w:szCs w:val="28"/>
        </w:rPr>
      </w:pPr>
    </w:p>
    <w:p w14:paraId="71074D10">
      <w:pPr>
        <w:ind w:firstLine="560" w:firstLineChars="200"/>
        <w:rPr>
          <w:rFonts w:hint="eastAsia" w:ascii="宋体" w:hAnsi="宋体" w:cs="宋体"/>
          <w:sz w:val="28"/>
          <w:szCs w:val="28"/>
        </w:rPr>
      </w:pPr>
    </w:p>
    <w:p w14:paraId="1C5FC450">
      <w:pPr>
        <w:spacing w:line="360" w:lineRule="auto"/>
        <w:ind w:firstLine="560" w:firstLineChars="200"/>
        <w:rPr>
          <w:rFonts w:hint="eastAsia" w:ascii="宋体" w:hAnsi="宋体" w:cs="宋体"/>
          <w:sz w:val="28"/>
          <w:szCs w:val="28"/>
        </w:rPr>
      </w:pPr>
      <w:r>
        <w:rPr>
          <w:rFonts w:hint="eastAsia" w:ascii="宋体" w:hAnsi="宋体" w:cs="宋体"/>
          <w:sz w:val="28"/>
          <w:szCs w:val="28"/>
        </w:rPr>
        <w:t>甲方：盐城经济技术开发区管委会滨海港工业园区管理办公室</w:t>
      </w:r>
    </w:p>
    <w:p w14:paraId="494C2689">
      <w:pPr>
        <w:spacing w:line="360" w:lineRule="auto"/>
        <w:ind w:firstLine="560" w:firstLineChars="200"/>
        <w:rPr>
          <w:rFonts w:hint="eastAsia" w:ascii="宋体" w:hAnsi="宋体" w:cs="宋体"/>
          <w:b/>
          <w:sz w:val="28"/>
          <w:szCs w:val="28"/>
        </w:rPr>
      </w:pPr>
      <w:r>
        <w:rPr>
          <w:rFonts w:hint="eastAsia" w:ascii="宋体" w:hAnsi="宋体" w:cs="宋体"/>
          <w:sz w:val="28"/>
          <w:szCs w:val="28"/>
        </w:rPr>
        <w:t>乙方：</w:t>
      </w:r>
    </w:p>
    <w:p w14:paraId="635C5079">
      <w:pPr>
        <w:pStyle w:val="9"/>
        <w:spacing w:line="360" w:lineRule="auto"/>
        <w:ind w:left="0" w:leftChars="0" w:firstLine="0" w:firstLineChars="0"/>
        <w:jc w:val="center"/>
        <w:rPr>
          <w:rFonts w:hint="eastAsia" w:cs="宋体"/>
          <w:sz w:val="36"/>
          <w:szCs w:val="36"/>
          <w:lang w:val="en-US" w:eastAsia="zh-CN"/>
        </w:rPr>
      </w:pPr>
    </w:p>
    <w:p w14:paraId="5FF14A16">
      <w:pPr>
        <w:pStyle w:val="9"/>
        <w:spacing w:line="360" w:lineRule="auto"/>
        <w:ind w:left="0" w:leftChars="0" w:firstLine="0" w:firstLineChars="0"/>
        <w:jc w:val="center"/>
        <w:rPr>
          <w:rFonts w:hint="default" w:ascii="宋体" w:hAnsi="宋体" w:eastAsia="宋体" w:cs="宋体"/>
          <w:sz w:val="36"/>
          <w:szCs w:val="36"/>
          <w:lang w:val="en-US" w:eastAsia="zh-CN"/>
        </w:rPr>
      </w:pPr>
      <w:r>
        <w:rPr>
          <w:rFonts w:hint="eastAsia" w:cs="宋体"/>
          <w:sz w:val="36"/>
          <w:szCs w:val="36"/>
          <w:lang w:val="en-US" w:eastAsia="zh-CN"/>
        </w:rPr>
        <w:t>二〇二六年  月  日</w:t>
      </w:r>
    </w:p>
    <w:p w14:paraId="4C460110">
      <w:pPr>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br w:type="page"/>
      </w:r>
    </w:p>
    <w:p w14:paraId="6028550C">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甲乙双方根据《中华人民共和国民法典》及其他有关法律、法规规定，在诚实信用原则的基础上，经双方友好协商，签订本合同并共同遵守。</w:t>
      </w:r>
    </w:p>
    <w:p w14:paraId="5CF3D4A6">
      <w:pPr>
        <w:pStyle w:val="8"/>
        <w:widowControl w:val="0"/>
        <w:numPr>
          <w:ilvl w:val="0"/>
          <w:numId w:val="0"/>
        </w:numPr>
        <w:snapToGrid w:val="0"/>
        <w:spacing w:before="0" w:beforeAutospacing="0" w:after="0" w:afterAutospacing="0" w:line="500" w:lineRule="exact"/>
        <w:ind w:firstLine="482" w:firstLineChars="200"/>
        <w:jc w:val="both"/>
        <w:rPr>
          <w:rFonts w:hint="eastAsia" w:asciiTheme="minorEastAsia" w:hAnsiTheme="minorEastAsia" w:cstheme="minorEastAsia"/>
          <w:b/>
          <w:bCs/>
          <w:color w:val="000000"/>
          <w:kern w:val="2"/>
          <w:sz w:val="24"/>
          <w:szCs w:val="24"/>
          <w:lang w:val="en-US" w:eastAsia="zh-CN"/>
        </w:rPr>
      </w:pPr>
      <w:r>
        <w:rPr>
          <w:rFonts w:hint="eastAsia" w:asciiTheme="minorEastAsia" w:hAnsiTheme="minorEastAsia" w:eastAsiaTheme="minorEastAsia" w:cstheme="minorEastAsia"/>
          <w:b/>
          <w:bCs/>
          <w:color w:val="000000"/>
          <w:kern w:val="2"/>
          <w:sz w:val="24"/>
          <w:szCs w:val="24"/>
          <w:lang w:val="en-US" w:eastAsia="zh-CN" w:bidi="ar-SA"/>
        </w:rPr>
        <w:t>一、</w:t>
      </w:r>
      <w:r>
        <w:rPr>
          <w:rFonts w:hint="eastAsia" w:asciiTheme="minorEastAsia" w:hAnsiTheme="minorEastAsia" w:cstheme="minorEastAsia"/>
          <w:b/>
          <w:bCs/>
          <w:color w:val="000000"/>
          <w:kern w:val="2"/>
          <w:sz w:val="24"/>
          <w:szCs w:val="24"/>
          <w:lang w:val="en-US" w:eastAsia="zh-CN"/>
        </w:rPr>
        <w:t>服务内容</w:t>
      </w:r>
    </w:p>
    <w:p w14:paraId="4D19C8CF">
      <w:pPr>
        <w:pStyle w:val="8"/>
        <w:widowControl w:val="0"/>
        <w:snapToGrid w:val="0"/>
        <w:spacing w:before="0" w:beforeAutospacing="0" w:after="0" w:afterAutospacing="0" w:line="500" w:lineRule="exact"/>
        <w:ind w:firstLine="480" w:firstLineChars="200"/>
        <w:jc w:val="both"/>
        <w:rPr>
          <w:rFonts w:ascii="宋体" w:hAnsi="宋体" w:eastAsia="宋体" w:cs="宋体"/>
          <w:sz w:val="24"/>
          <w:szCs w:val="24"/>
          <w:lang w:val="en-US"/>
        </w:rPr>
      </w:pPr>
      <w:r>
        <w:rPr>
          <w:rFonts w:ascii="宋体" w:hAnsi="宋体" w:eastAsia="宋体" w:cs="宋体"/>
          <w:sz w:val="24"/>
          <w:szCs w:val="24"/>
          <w:lang w:eastAsia="zh-CN"/>
        </w:rPr>
        <w:t>服务名称：黄海新区省级媒体形象宣传发布项目</w:t>
      </w:r>
    </w:p>
    <w:p w14:paraId="349CA8EA">
      <w:pPr>
        <w:pStyle w:val="8"/>
        <w:widowControl w:val="0"/>
        <w:snapToGrid w:val="0"/>
        <w:spacing w:before="0" w:beforeAutospacing="0" w:after="0" w:afterAutospacing="0" w:line="500" w:lineRule="exact"/>
        <w:ind w:firstLine="480" w:firstLineChars="200"/>
        <w:jc w:val="both"/>
        <w:rPr>
          <w:rFonts w:ascii="宋体" w:hAnsi="宋体" w:eastAsia="宋体" w:cs="宋体"/>
          <w:sz w:val="24"/>
          <w:szCs w:val="24"/>
        </w:rPr>
      </w:pPr>
      <w:bookmarkStart w:id="147" w:name="OLE_LINK1"/>
      <w:r>
        <w:rPr>
          <w:rFonts w:hint="eastAsia" w:ascii="宋体" w:hAnsi="宋体" w:eastAsia="宋体" w:cs="宋体"/>
          <w:sz w:val="24"/>
          <w:szCs w:val="24"/>
          <w:lang w:val="en-US" w:eastAsia="zh-CN"/>
        </w:rPr>
        <w:t>服务期限：</w:t>
      </w:r>
      <w:bookmarkEnd w:id="147"/>
      <w:r>
        <w:rPr>
          <w:rFonts w:hint="eastAsia" w:ascii="宋体" w:hAnsi="宋体" w:eastAsia="宋体" w:cs="宋体"/>
          <w:i w:val="0"/>
          <w:iCs w:val="0"/>
          <w:caps w:val="0"/>
          <w:color w:val="auto"/>
          <w:spacing w:val="0"/>
          <w:sz w:val="24"/>
          <w:szCs w:val="24"/>
          <w:highlight w:val="none"/>
          <w:shd w:val="clear" w:color="auto" w:fill="auto"/>
          <w:lang w:val="en-US" w:eastAsia="zh-CN"/>
        </w:rPr>
        <w:t>自合同签订之日起一年</w:t>
      </w:r>
    </w:p>
    <w:p w14:paraId="6C0EC02A">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ascii="宋体" w:hAnsi="宋体" w:eastAsia="宋体" w:cs="宋体"/>
          <w:sz w:val="24"/>
          <w:szCs w:val="24"/>
        </w:rPr>
        <w:t>甲方委托乙方以省台融媒赋能为核心，通过专业内容制作与全层级平台矩阵传播，提升新区招商吸引力与国内外知名度，为新区招商引资工作提供全方位宣传支撑，助力打响新区城市与产业品牌；以“媒体+招商”创新模式为核心，围绕黄海新区518主题活动核心节点，全链路策划执行全周期宣传系列活动，构建黄海新区宣传招商综合服务体系，联合打造招商新平台、构建招商朋友圈，精准吸引优质投资商落地创业。具体</w:t>
      </w:r>
      <w:r>
        <w:rPr>
          <w:rFonts w:hint="eastAsia" w:ascii="宋体" w:hAnsi="宋体" w:eastAsia="宋体" w:cs="宋体"/>
          <w:sz w:val="24"/>
          <w:szCs w:val="24"/>
          <w:lang w:val="en-US" w:eastAsia="zh-CN"/>
        </w:rPr>
        <w:t>服务</w:t>
      </w:r>
      <w:r>
        <w:rPr>
          <w:rFonts w:ascii="宋体" w:hAnsi="宋体" w:eastAsia="宋体" w:cs="宋体"/>
          <w:sz w:val="24"/>
          <w:szCs w:val="24"/>
        </w:rPr>
        <w:t>内容如下：</w:t>
      </w:r>
    </w:p>
    <w:p w14:paraId="4A0A6F58">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cstheme="minorEastAsia"/>
          <w:color w:val="000000"/>
          <w:kern w:val="2"/>
          <w:sz w:val="24"/>
          <w:szCs w:val="24"/>
          <w:lang w:val="en-US" w:eastAsia="zh-CN"/>
        </w:rPr>
        <w:t>1.</w:t>
      </w:r>
      <w:r>
        <w:rPr>
          <w:rFonts w:hint="eastAsia" w:asciiTheme="minorEastAsia" w:hAnsiTheme="minorEastAsia" w:eastAsiaTheme="minorEastAsia" w:cstheme="minorEastAsia"/>
          <w:color w:val="000000"/>
          <w:kern w:val="2"/>
          <w:sz w:val="24"/>
          <w:szCs w:val="24"/>
        </w:rPr>
        <w:t>电视端宣传投放</w:t>
      </w:r>
    </w:p>
    <w:p w14:paraId="23FC90E4">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依托江苏省级电视媒体核心频道，在5个关键节点（含518主题活动、招商攻坚节点）的核心栏目完成投放，总次数≥15次；单条资讯中黄海新区相关内容时长≥1分钟，内容突出新区发展视角与招商导向，筑牢新区在省内政务、投资圈层的品牌认知。</w:t>
      </w:r>
    </w:p>
    <w:p w14:paraId="67FEB7A6">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2.</w:t>
      </w:r>
      <w:r>
        <w:rPr>
          <w:rFonts w:hint="eastAsia" w:asciiTheme="minorEastAsia" w:hAnsiTheme="minorEastAsia" w:eastAsiaTheme="minorEastAsia" w:cstheme="minorEastAsia"/>
          <w:color w:val="000000"/>
          <w:kern w:val="2"/>
          <w:sz w:val="24"/>
          <w:szCs w:val="24"/>
        </w:rPr>
        <w:t>国家级媒体宣传推广</w:t>
      </w:r>
    </w:p>
    <w:p w14:paraId="20033A7D">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联动中央主流媒体平台，围绕新区重大项目、标杆发展成果开展宣传，实现国家级主流媒体平台曝光≥2次，提供官方发布链接/版面证明，形成权威招商背书，实现全国级曝光突破。</w:t>
      </w:r>
    </w:p>
    <w:p w14:paraId="58E8533D">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3.</w:t>
      </w:r>
      <w:r>
        <w:rPr>
          <w:rFonts w:hint="eastAsia" w:asciiTheme="minorEastAsia" w:hAnsiTheme="minorEastAsia" w:eastAsiaTheme="minorEastAsia" w:cstheme="minorEastAsia"/>
          <w:color w:val="000000"/>
          <w:kern w:val="2"/>
          <w:sz w:val="24"/>
          <w:szCs w:val="24"/>
        </w:rPr>
        <w:t>省级新媒体常规内容推送</w:t>
      </w:r>
    </w:p>
    <w:p w14:paraId="26729CA5">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采用“关键节点集中推送+月度常态化推送”模式，在省台新媒体平台发布黄海新区内容≥10次，同步覆盖广电全新媒体矩阵，精准触达省内核心商务人群，打造常态化省级宣传阵地。</w:t>
      </w:r>
    </w:p>
    <w:p w14:paraId="52EA9123">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4.</w:t>
      </w:r>
      <w:r>
        <w:rPr>
          <w:rFonts w:hint="eastAsia" w:asciiTheme="minorEastAsia" w:hAnsiTheme="minorEastAsia" w:eastAsiaTheme="minorEastAsia" w:cstheme="minorEastAsia"/>
          <w:color w:val="000000"/>
          <w:kern w:val="2"/>
          <w:sz w:val="24"/>
          <w:szCs w:val="24"/>
        </w:rPr>
        <w:t>省级新媒体宣传视频投放</w:t>
      </w:r>
    </w:p>
    <w:p w14:paraId="1876F5C8">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与专题内容联动，在省台新媒体平台投放宣传视频≥10次，适配短视频平台传播特性，扩大新区品牌对年轻投资群体、行业从业者的覆盖。</w:t>
      </w:r>
    </w:p>
    <w:p w14:paraId="0F3C9620">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5.</w:t>
      </w:r>
      <w:r>
        <w:rPr>
          <w:rFonts w:hint="eastAsia" w:asciiTheme="minorEastAsia" w:hAnsiTheme="minorEastAsia" w:eastAsiaTheme="minorEastAsia" w:cstheme="minorEastAsia"/>
          <w:color w:val="000000"/>
          <w:kern w:val="2"/>
          <w:sz w:val="24"/>
          <w:szCs w:val="24"/>
        </w:rPr>
        <w:t>招商宣传片动态更新</w:t>
      </w:r>
    </w:p>
    <w:p w14:paraId="028A1962">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结合新区发展动态，由省台制作团队修改更新招商宣传片2-3次，重点呈现新区“两港、两城、四片区、五大产业”核心布局，确保宣传片实时匹配新区发展现状，适配全场景招商使用。</w:t>
      </w:r>
    </w:p>
    <w:p w14:paraId="3B8AEAB0">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6.</w:t>
      </w:r>
      <w:r>
        <w:rPr>
          <w:rFonts w:hint="eastAsia" w:asciiTheme="minorEastAsia" w:hAnsiTheme="minorEastAsia" w:eastAsiaTheme="minorEastAsia" w:cstheme="minorEastAsia"/>
          <w:color w:val="000000"/>
          <w:kern w:val="2"/>
          <w:sz w:val="24"/>
          <w:szCs w:val="24"/>
        </w:rPr>
        <w:t>数字AI宣传视频制作</w:t>
      </w:r>
    </w:p>
    <w:p w14:paraId="7121816C">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省台在新媒体端为黄海新区每月制作1条数字AI宣传视频，累计完成12条制作，适配新媒体全平台传播，以创新形式打造新区科技化品牌形象，拓宽招商受众圈层。</w:t>
      </w:r>
    </w:p>
    <w:p w14:paraId="63C175DF">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7.</w:t>
      </w:r>
      <w:r>
        <w:rPr>
          <w:rFonts w:hint="eastAsia" w:asciiTheme="minorEastAsia" w:hAnsiTheme="minorEastAsia" w:eastAsiaTheme="minorEastAsia" w:cstheme="minorEastAsia"/>
          <w:color w:val="000000"/>
          <w:kern w:val="2"/>
          <w:sz w:val="24"/>
          <w:szCs w:val="24"/>
        </w:rPr>
        <w:t>主题专题报道制作</w:t>
      </w:r>
    </w:p>
    <w:p w14:paraId="35331C76">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省台为黄海新区定制制作主题专题报道2条，每条时长≥3分钟，分别聚焦产业招商、年度发展成果，适配全平台投放与招商场景，全面传递核心发展价值，提升行业认可度与品牌公信力。</w:t>
      </w:r>
    </w:p>
    <w:p w14:paraId="17C12F34">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8.</w:t>
      </w:r>
      <w:r>
        <w:rPr>
          <w:rFonts w:hint="eastAsia" w:asciiTheme="minorEastAsia" w:hAnsiTheme="minorEastAsia" w:eastAsiaTheme="minorEastAsia" w:cstheme="minorEastAsia"/>
          <w:color w:val="000000"/>
          <w:kern w:val="2"/>
          <w:sz w:val="24"/>
          <w:szCs w:val="24"/>
        </w:rPr>
        <w:t>媒体宣传活动支持</w:t>
      </w:r>
    </w:p>
    <w:p w14:paraId="532FF597">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为黄海新区提供1次大型媒体宣传活动全流程服务，包含前期设计、舞美搭建、活动策划、现场执行、多平台宣传推广等工作，确保活动高质量完成，可持续提升黄海新区影响力和吸引力。</w:t>
      </w:r>
    </w:p>
    <w:p w14:paraId="5A09528D">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9.</w:t>
      </w:r>
      <w:r>
        <w:rPr>
          <w:rFonts w:hint="eastAsia" w:asciiTheme="minorEastAsia" w:hAnsiTheme="minorEastAsia" w:eastAsiaTheme="minorEastAsia" w:cstheme="minorEastAsia"/>
          <w:color w:val="000000"/>
          <w:kern w:val="2"/>
          <w:sz w:val="24"/>
          <w:szCs w:val="24"/>
        </w:rPr>
        <w:t>联名宣传推介会举办</w:t>
      </w:r>
    </w:p>
    <w:p w14:paraId="503A2A3F">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落地举办1场江苏省台与黄海新区联名宣传推介会，依托省台媒体资源、省内头部企业资源库及国资国企合作渠道，全方位展现区域发展风貌与综合实力。</w:t>
      </w:r>
    </w:p>
    <w:p w14:paraId="3B140B62">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lang w:val="en-US" w:eastAsia="zh-CN" w:bidi="ar-SA"/>
        </w:rPr>
        <w:t>10.</w:t>
      </w:r>
      <w:r>
        <w:rPr>
          <w:rFonts w:hint="eastAsia" w:asciiTheme="minorEastAsia" w:hAnsiTheme="minorEastAsia" w:eastAsiaTheme="minorEastAsia" w:cstheme="minorEastAsia"/>
          <w:color w:val="000000"/>
          <w:kern w:val="2"/>
          <w:sz w:val="24"/>
          <w:szCs w:val="24"/>
        </w:rPr>
        <w:t>重点产业巡礼专题片制作</w:t>
      </w:r>
    </w:p>
    <w:p w14:paraId="7EBED986">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江苏省台制作5条重点产业巡礼专题片，围绕黄海新区主导产业，全面呈现产业发展状况和潜力，每条时长5分钟。</w:t>
      </w:r>
    </w:p>
    <w:p w14:paraId="4E116902">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eastAsiaTheme="minorEastAsia" w:cstheme="minorEastAsia"/>
          <w:b/>
          <w:bCs/>
          <w:color w:val="000000"/>
          <w:kern w:val="2"/>
          <w:sz w:val="24"/>
          <w:szCs w:val="24"/>
        </w:rPr>
        <w:t>二、合同价款及支付方式</w:t>
      </w:r>
    </w:p>
    <w:p w14:paraId="1D3FC4BF">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cstheme="minorEastAsia"/>
          <w:color w:val="000000"/>
          <w:kern w:val="2"/>
          <w:sz w:val="24"/>
          <w:szCs w:val="24"/>
          <w:lang w:val="en-US" w:eastAsia="zh-CN" w:bidi="ar-SA"/>
        </w:rPr>
        <w:t>1.</w:t>
      </w:r>
      <w:r>
        <w:rPr>
          <w:rFonts w:hint="eastAsia" w:asciiTheme="minorEastAsia" w:hAnsiTheme="minorEastAsia" w:eastAsiaTheme="minorEastAsia" w:cstheme="minorEastAsia"/>
          <w:color w:val="000000"/>
          <w:kern w:val="2"/>
          <w:sz w:val="24"/>
          <w:szCs w:val="24"/>
          <w:lang w:val="en-US" w:eastAsia="zh-CN" w:bidi="ar-SA"/>
        </w:rPr>
        <w:t>合同价款</w:t>
      </w:r>
    </w:p>
    <w:p w14:paraId="55BBBDB5">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本项目采用固定总价包干模式，最终结算价款为人民币</w:t>
      </w:r>
      <w:r>
        <w:rPr>
          <w:rFonts w:hint="eastAsia" w:asciiTheme="minorEastAsia" w:hAnsiTheme="minorEastAsia" w:cstheme="minorEastAsia"/>
          <w:color w:val="000000"/>
          <w:kern w:val="2"/>
          <w:sz w:val="24"/>
          <w:szCs w:val="24"/>
          <w:u w:val="single"/>
          <w:lang w:val="en-US" w:eastAsia="zh-CN" w:bidi="ar-SA"/>
        </w:rPr>
        <w:t xml:space="preserve">  </w:t>
      </w:r>
      <w:r>
        <w:rPr>
          <w:rFonts w:hint="eastAsia" w:asciiTheme="minorEastAsia" w:hAnsiTheme="minorEastAsia" w:eastAsiaTheme="minorEastAsia" w:cstheme="minorEastAsia"/>
          <w:color w:val="000000"/>
          <w:kern w:val="2"/>
          <w:sz w:val="24"/>
          <w:szCs w:val="24"/>
          <w:lang w:val="en-US" w:eastAsia="zh-CN" w:bidi="ar-SA"/>
        </w:rPr>
        <w:t>万元（大写：</w:t>
      </w:r>
      <w:r>
        <w:rPr>
          <w:rFonts w:hint="eastAsia" w:asciiTheme="minorEastAsia" w:hAnsiTheme="minorEastAsia" w:cstheme="minorEastAsia"/>
          <w:color w:val="000000"/>
          <w:kern w:val="2"/>
          <w:sz w:val="24"/>
          <w:szCs w:val="24"/>
          <w:u w:val="single"/>
          <w:lang w:val="en-US" w:eastAsia="zh-CN" w:bidi="ar-SA"/>
        </w:rPr>
        <w:t xml:space="preserve"> </w:t>
      </w:r>
      <w:r>
        <w:rPr>
          <w:rFonts w:hint="eastAsia" w:asciiTheme="minorEastAsia" w:hAnsiTheme="minorEastAsia" w:eastAsiaTheme="minorEastAsia" w:cstheme="minorEastAsia"/>
          <w:color w:val="000000"/>
          <w:kern w:val="2"/>
          <w:sz w:val="24"/>
          <w:szCs w:val="24"/>
          <w:lang w:val="en-US" w:eastAsia="zh-CN" w:bidi="ar-SA"/>
        </w:rPr>
        <w:t>元整）。报价包含乙方为完成本合同全部服务工作内容所需的全部费用，包括但不限于服务酬金（人员工资、福利、保险、企业管理费、利润、税金等）、可报销费用（内容制作费、媒体投放费、活动执行费、差旅费、通讯费、资料印刷费、办公费等）及不可预见费（市场风险、政策调整风险及合同履行过程中的其他意外费用）。合同履行期间，除非合同条款另有规定，否则报价不因任何市场变化因素而变动。 本合同履行所产生的一切税费（适用税率 6%），均由乙方全额承担。</w:t>
      </w:r>
    </w:p>
    <w:p w14:paraId="5C60F5C8">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2.支付节点及条件</w:t>
      </w:r>
    </w:p>
    <w:p w14:paraId="33E61AE6">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（1）首付款（30%）：合同签订后 1 个月内，乙方提供等额合规增值税专用发票后，甲方向乙方支付合同款的 30%。</w:t>
      </w:r>
    </w:p>
    <w:p w14:paraId="2AC3A156">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（2）进度款（40%）：经甲方确认服务进度符合要求，乙方提供等额合规增值税专用发票后，甲方向乙方支付合同款的 40%，该款项最迟不晚于服务期结束前 2 个月支付。</w:t>
      </w:r>
    </w:p>
    <w:p w14:paraId="0AD91604">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（3）尾款（30%）：服务期满，乙方完成全部合同约定内容，经甲方验收合格后 1 个月内，乙方提供等额合规增值税专用发票后，甲方支付剩余 30% 合同款。</w:t>
      </w:r>
    </w:p>
    <w:p w14:paraId="0A178F4C">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cstheme="minorEastAsia"/>
          <w:color w:val="000000"/>
          <w:kern w:val="2"/>
          <w:sz w:val="24"/>
          <w:szCs w:val="24"/>
          <w:lang w:val="en-US" w:eastAsia="zh-CN" w:bidi="ar-SA"/>
        </w:rPr>
        <w:t>3.</w:t>
      </w:r>
      <w:r>
        <w:rPr>
          <w:rFonts w:hint="eastAsia" w:asciiTheme="minorEastAsia" w:hAnsiTheme="minorEastAsia" w:eastAsiaTheme="minorEastAsia" w:cstheme="minorEastAsia"/>
          <w:color w:val="000000"/>
          <w:kern w:val="2"/>
          <w:sz w:val="24"/>
          <w:szCs w:val="24"/>
          <w:lang w:val="en-US" w:eastAsia="zh-CN" w:bidi="ar-SA"/>
        </w:rPr>
        <w:t>乙方银行账户信息如下：</w:t>
      </w:r>
    </w:p>
    <w:p w14:paraId="2C578C0C">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户 名：</w:t>
      </w:r>
    </w:p>
    <w:p w14:paraId="443EF68E">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开户行：</w:t>
      </w:r>
    </w:p>
    <w:p w14:paraId="104A775F">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账 号：</w:t>
      </w:r>
    </w:p>
    <w:p w14:paraId="050AF16B">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纳税人识别号：</w:t>
      </w:r>
    </w:p>
    <w:p w14:paraId="1C02C740">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地址：</w:t>
      </w:r>
    </w:p>
    <w:p w14:paraId="17F999C8">
      <w:pPr>
        <w:pStyle w:val="8"/>
        <w:widowControl w:val="0"/>
        <w:numPr>
          <w:ilvl w:val="0"/>
          <w:numId w:val="0"/>
        </w:numPr>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val="en-US" w:eastAsia="zh-CN" w:bidi="ar-SA"/>
        </w:rPr>
      </w:pPr>
      <w:r>
        <w:rPr>
          <w:rFonts w:hint="eastAsia" w:asciiTheme="minorEastAsia" w:hAnsiTheme="minorEastAsia" w:eastAsiaTheme="minorEastAsia" w:cstheme="minorEastAsia"/>
          <w:color w:val="000000"/>
          <w:kern w:val="2"/>
          <w:sz w:val="24"/>
          <w:szCs w:val="24"/>
          <w:lang w:val="en-US" w:eastAsia="zh-CN" w:bidi="ar-SA"/>
        </w:rPr>
        <w:t xml:space="preserve">甲方收到发票后，向乙方付款，开票项目为：播出费。  </w:t>
      </w:r>
    </w:p>
    <w:p w14:paraId="23D6A4DB">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eastAsiaTheme="minorEastAsia" w:cstheme="minorEastAsia"/>
          <w:b/>
          <w:bCs/>
          <w:color w:val="000000"/>
          <w:kern w:val="2"/>
          <w:sz w:val="24"/>
          <w:szCs w:val="24"/>
        </w:rPr>
        <w:t>三、验收标准</w:t>
      </w:r>
    </w:p>
    <w:p w14:paraId="2503C2EB">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lang w:eastAsia="zh-CN"/>
        </w:rPr>
      </w:pPr>
      <w:r>
        <w:rPr>
          <w:rFonts w:hint="eastAsia" w:asciiTheme="minorEastAsia" w:hAnsiTheme="minorEastAsia" w:cstheme="minorEastAsia"/>
          <w:color w:val="000000"/>
          <w:kern w:val="2"/>
          <w:sz w:val="24"/>
          <w:szCs w:val="24"/>
          <w:lang w:val="en-US" w:eastAsia="zh-CN"/>
        </w:rPr>
        <w:t>1.</w:t>
      </w:r>
      <w:r>
        <w:rPr>
          <w:rFonts w:hint="eastAsia" w:asciiTheme="minorEastAsia" w:hAnsiTheme="minorEastAsia" w:eastAsiaTheme="minorEastAsia" w:cstheme="minorEastAsia"/>
          <w:color w:val="000000"/>
          <w:kern w:val="2"/>
          <w:sz w:val="24"/>
          <w:szCs w:val="24"/>
        </w:rPr>
        <w:t>所有服务成果乙方均需提供对应证明材料：</w:t>
      </w:r>
    </w:p>
    <w:p w14:paraId="4477075A">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电视投放：提供播出截图及监播报告；</w:t>
      </w:r>
    </w:p>
    <w:p w14:paraId="25C6DDA7">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新媒体传播：提供发布链接及阅读量数据；</w:t>
      </w:r>
    </w:p>
    <w:p w14:paraId="2587C4CF">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国家级媒体曝光：提供官方发布链接/版面证明；</w:t>
      </w:r>
    </w:p>
    <w:p w14:paraId="12CAB8B9">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内容制作类服务：提供成片及源文件；</w:t>
      </w:r>
    </w:p>
    <w:p w14:paraId="0611BAF1">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活动执行类服务：提供现场影像资料及总结报告。</w:t>
      </w:r>
    </w:p>
    <w:p w14:paraId="1FEEA81E">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cstheme="minorEastAsia"/>
          <w:color w:val="000000"/>
          <w:kern w:val="2"/>
          <w:sz w:val="24"/>
          <w:szCs w:val="24"/>
          <w:lang w:val="en-US" w:eastAsia="zh-CN"/>
        </w:rPr>
        <w:t>2.</w:t>
      </w:r>
      <w:r>
        <w:rPr>
          <w:rFonts w:hint="eastAsia" w:asciiTheme="minorEastAsia" w:hAnsiTheme="minorEastAsia" w:eastAsiaTheme="minorEastAsia" w:cstheme="minorEastAsia"/>
          <w:color w:val="000000"/>
          <w:kern w:val="2"/>
          <w:sz w:val="24"/>
          <w:szCs w:val="24"/>
        </w:rPr>
        <w:t>验收不合格的服务内容，乙方需在7个工作日内完成整改；整改后仍不达标的，甲方有权扣除对应服务内容的相应费用。</w:t>
      </w:r>
    </w:p>
    <w:p w14:paraId="753E9A05">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cstheme="minorEastAsia"/>
          <w:b/>
          <w:bCs/>
          <w:color w:val="000000"/>
          <w:kern w:val="2"/>
          <w:sz w:val="24"/>
          <w:szCs w:val="24"/>
          <w:lang w:val="en-US" w:eastAsia="zh-CN"/>
        </w:rPr>
        <w:t>四</w:t>
      </w:r>
      <w:r>
        <w:rPr>
          <w:rFonts w:hint="eastAsia" w:asciiTheme="minorEastAsia" w:hAnsiTheme="minorEastAsia" w:eastAsiaTheme="minorEastAsia" w:cstheme="minorEastAsia"/>
          <w:b/>
          <w:bCs/>
          <w:color w:val="000000"/>
          <w:kern w:val="2"/>
          <w:sz w:val="24"/>
          <w:szCs w:val="24"/>
        </w:rPr>
        <w:t>、双方权利和义务</w:t>
      </w:r>
    </w:p>
    <w:p w14:paraId="0645AAAD">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1</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甲方在不同时期的宣传主题和具体内容要及时与乙方沟通。对于甲方的宣传需求，乙方积极配合并给予相应报道，甲方承诺提供的发布内容必须符合法律法规、规章及其他主管部门的要求和规定，如不符合相关要求，甲方应按规定进行修改后交予乙方发布。</w:t>
      </w:r>
    </w:p>
    <w:p w14:paraId="1AE1A87D">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2</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甲方将乙方作为战略合作伙伴，对乙方的宣传工作提供有效协助，并在重要信息发布时优先考虑乙方。 </w:t>
      </w:r>
    </w:p>
    <w:p w14:paraId="4E1C6367">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3</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乙方开展重要社会活动，要将甲方作为战略合作伙伴优先考虑。</w:t>
      </w:r>
    </w:p>
    <w:p w14:paraId="09B1F13D">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4</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甲方的重要活动，乙方要协助甲方进行策划设计、包装、发布等工作。</w:t>
      </w:r>
    </w:p>
    <w:p w14:paraId="475447DB">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5</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乙方刊登的任何有关甲方的宣传内容，须事先与甲方及时沟通，经甲方同意后方可刊登，确保宣传内容的合法性、准确性。</w:t>
      </w:r>
    </w:p>
    <w:p w14:paraId="17CCD7C3">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cstheme="minorEastAsia"/>
          <w:b/>
          <w:bCs/>
          <w:color w:val="000000"/>
          <w:kern w:val="2"/>
          <w:sz w:val="24"/>
          <w:szCs w:val="24"/>
          <w:lang w:val="en-US" w:eastAsia="zh-CN"/>
        </w:rPr>
        <w:t>五</w:t>
      </w:r>
      <w:r>
        <w:rPr>
          <w:rFonts w:hint="eastAsia" w:asciiTheme="minorEastAsia" w:hAnsiTheme="minorEastAsia" w:eastAsiaTheme="minorEastAsia" w:cstheme="minorEastAsia"/>
          <w:b/>
          <w:bCs/>
          <w:color w:val="000000"/>
          <w:kern w:val="2"/>
          <w:sz w:val="24"/>
          <w:szCs w:val="24"/>
        </w:rPr>
        <w:t>、违约责任</w:t>
      </w:r>
    </w:p>
    <w:p w14:paraId="317151F1">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1</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合同期内，未经对方书面同意，任何一方不得违反或无故变更、终止本合同。</w:t>
      </w:r>
    </w:p>
    <w:p w14:paraId="43D434A5">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2</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如因甲方原因造成本次合作终止的，甲方需支付乙方已完成的工作费用，并向乙方支付剩余合同款的10%作为违约金。</w:t>
      </w:r>
    </w:p>
    <w:p w14:paraId="10133304">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3</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 xml:space="preserve">如因乙方原因造成少发布或错发布，乙方按误发布量的双倍补充发布，并处5000元/次的违约金；因乙方原因造成无法按期发布的，乙方需向甲方支付5000元/次的违约金，同时甲方有权要求乙方顺延履行，如延迟发布无法实现合同目的的，甲方有权解除合同，已发布量按优惠总价比例结算；若乙方未在合同期内完成约定工作量，甲方有权将剩余合同款的10%作为考核依据并按比例扣除。   </w:t>
      </w:r>
    </w:p>
    <w:p w14:paraId="6D522BFF">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4</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若遇重大特殊活动或宣传主管部门、广告监管部门指令乙方发布其他规定内容或提出管制等特殊情形，致使临时不能发布的，乙方按“缺一补一”的方式对甲方进行补偿。</w:t>
      </w:r>
    </w:p>
    <w:p w14:paraId="0E89D373">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cstheme="minorEastAsia"/>
          <w:b/>
          <w:bCs/>
          <w:color w:val="000000"/>
          <w:kern w:val="2"/>
          <w:sz w:val="24"/>
          <w:szCs w:val="24"/>
          <w:lang w:val="en-US" w:eastAsia="zh-CN"/>
        </w:rPr>
        <w:t>六</w:t>
      </w:r>
      <w:r>
        <w:rPr>
          <w:rFonts w:hint="eastAsia" w:asciiTheme="minorEastAsia" w:hAnsiTheme="minorEastAsia" w:eastAsiaTheme="minorEastAsia" w:cstheme="minorEastAsia"/>
          <w:b/>
          <w:bCs/>
          <w:color w:val="000000"/>
          <w:kern w:val="2"/>
          <w:sz w:val="24"/>
          <w:szCs w:val="24"/>
        </w:rPr>
        <w:t>、不可抗力</w:t>
      </w:r>
    </w:p>
    <w:p w14:paraId="6DA30E5C">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1</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不可抗力”是指本合同双方不能合理控制、不可预见或即使预见亦无法避免的事件，该事件妨碍、影响或延误任何一方根据本合同履行其全部或部分义务。该事件包括但不限于政府行为、自然灾害、战争或任何其他类似事件。</w:t>
      </w:r>
    </w:p>
    <w:p w14:paraId="5C40B407">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2</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遭受不可抗力事件的一方应及时通知对方，可暂行中止合同行本合同项下的义务直至不可抗力事件的影响消除为止，并且无需为此而承担违约责任；但应尽最大努力克服该事件，减轻其负面影响。</w:t>
      </w:r>
    </w:p>
    <w:p w14:paraId="7FDEDC3B">
      <w:pPr>
        <w:pStyle w:val="8"/>
        <w:widowControl w:val="0"/>
        <w:snapToGrid w:val="0"/>
        <w:spacing w:before="0" w:beforeAutospacing="0" w:after="0" w:afterAutospacing="0" w:line="500" w:lineRule="exact"/>
        <w:ind w:firstLine="482" w:firstLineChars="200"/>
        <w:jc w:val="both"/>
        <w:rPr>
          <w:rFonts w:hint="eastAsia" w:asciiTheme="minorEastAsia" w:hAnsiTheme="minorEastAsia" w:eastAsiaTheme="minorEastAsia" w:cstheme="minorEastAsia"/>
          <w:b/>
          <w:bCs/>
          <w:color w:val="000000"/>
          <w:kern w:val="2"/>
          <w:sz w:val="24"/>
          <w:szCs w:val="24"/>
        </w:rPr>
      </w:pPr>
      <w:r>
        <w:rPr>
          <w:rFonts w:hint="eastAsia" w:asciiTheme="minorEastAsia" w:hAnsiTheme="minorEastAsia" w:cstheme="minorEastAsia"/>
          <w:b/>
          <w:bCs/>
          <w:color w:val="000000"/>
          <w:kern w:val="2"/>
          <w:sz w:val="24"/>
          <w:szCs w:val="24"/>
          <w:lang w:val="en-US" w:eastAsia="zh-CN"/>
        </w:rPr>
        <w:t>七</w:t>
      </w:r>
      <w:r>
        <w:rPr>
          <w:rFonts w:hint="eastAsia" w:asciiTheme="minorEastAsia" w:hAnsiTheme="minorEastAsia" w:eastAsiaTheme="minorEastAsia" w:cstheme="minorEastAsia"/>
          <w:b/>
          <w:bCs/>
          <w:color w:val="000000"/>
          <w:kern w:val="2"/>
          <w:sz w:val="24"/>
          <w:szCs w:val="24"/>
        </w:rPr>
        <w:t>、其他事项</w:t>
      </w:r>
    </w:p>
    <w:p w14:paraId="5DC0641B">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1</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因本合同履行发生争议由甲乙双方应协商解决，协商不成的，相关争议由乙方所在地人民法院管辖、裁决。</w:t>
      </w:r>
    </w:p>
    <w:p w14:paraId="55E8A814">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2</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本合同未尽事宜，双方可另行协商，签订补充协议，补充协议与本合同具有同等法律效力。</w:t>
      </w:r>
    </w:p>
    <w:p w14:paraId="0925C0BC">
      <w:pPr>
        <w:pStyle w:val="8"/>
        <w:widowControl w:val="0"/>
        <w:snapToGrid w:val="0"/>
        <w:spacing w:before="0" w:beforeAutospacing="0" w:after="0" w:afterAutospacing="0" w:line="500" w:lineRule="exact"/>
        <w:ind w:firstLine="480" w:firstLineChars="200"/>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3</w:t>
      </w:r>
      <w:r>
        <w:rPr>
          <w:rFonts w:hint="eastAsia" w:asciiTheme="minorEastAsia" w:hAnsiTheme="minorEastAsia" w:eastAsiaTheme="minorEastAsia" w:cstheme="minorEastAsia"/>
          <w:color w:val="000000"/>
          <w:kern w:val="2"/>
          <w:sz w:val="24"/>
          <w:szCs w:val="24"/>
          <w:lang w:eastAsia="zh-CN"/>
        </w:rPr>
        <w:t>.</w:t>
      </w:r>
      <w:r>
        <w:rPr>
          <w:rFonts w:hint="eastAsia" w:asciiTheme="minorEastAsia" w:hAnsiTheme="minorEastAsia" w:eastAsiaTheme="minorEastAsia" w:cstheme="minorEastAsia"/>
          <w:color w:val="000000"/>
          <w:kern w:val="2"/>
          <w:sz w:val="24"/>
          <w:szCs w:val="24"/>
        </w:rPr>
        <w:t>本合同一式四份，双方各执两份，具有同等法律效力。</w:t>
      </w:r>
    </w:p>
    <w:p w14:paraId="740F8972">
      <w:pPr>
        <w:pStyle w:val="8"/>
        <w:widowControl w:val="0"/>
        <w:snapToGrid w:val="0"/>
        <w:spacing w:before="0" w:beforeAutospacing="0" w:after="0" w:afterAutospacing="0" w:line="500" w:lineRule="exact"/>
        <w:jc w:val="both"/>
        <w:rPr>
          <w:rFonts w:hint="eastAsia" w:asciiTheme="minorEastAsia" w:hAnsiTheme="minorEastAsia" w:eastAsiaTheme="minorEastAsia" w:cstheme="minorEastAsia"/>
          <w:color w:val="000000"/>
          <w:kern w:val="2"/>
          <w:sz w:val="24"/>
          <w:szCs w:val="24"/>
        </w:rPr>
      </w:pPr>
      <w:r>
        <w:rPr>
          <w:rFonts w:hint="eastAsia" w:asciiTheme="minorEastAsia" w:hAnsiTheme="minorEastAsia" w:eastAsiaTheme="minorEastAsia" w:cstheme="minorEastAsia"/>
          <w:color w:val="000000"/>
          <w:kern w:val="2"/>
          <w:sz w:val="24"/>
          <w:szCs w:val="24"/>
        </w:rPr>
        <w:t>（以下无正文）</w:t>
      </w:r>
    </w:p>
    <w:tbl>
      <w:tblPr>
        <w:tblStyle w:val="10"/>
        <w:tblpPr w:leftFromText="180" w:rightFromText="180" w:vertAnchor="text" w:horzAnchor="margin" w:tblpXSpec="center" w:tblpY="122"/>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52"/>
      </w:tblGrid>
      <w:tr w14:paraId="588B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4395" w:type="dxa"/>
            <w:tcBorders>
              <w:top w:val="single" w:color="auto" w:sz="4" w:space="0"/>
              <w:left w:val="single" w:color="auto" w:sz="4" w:space="0"/>
              <w:bottom w:val="single" w:color="auto" w:sz="4" w:space="0"/>
              <w:right w:val="single" w:color="auto" w:sz="4" w:space="0"/>
            </w:tcBorders>
          </w:tcPr>
          <w:p w14:paraId="5326CF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甲方：盐城经济技术开发区管委会滨海港工业园区管理办公室</w:t>
            </w:r>
          </w:p>
          <w:p w14:paraId="5C0DEC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（盖章）</w:t>
            </w:r>
          </w:p>
          <w:p w14:paraId="0DBCEC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p>
          <w:p w14:paraId="0EEE94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授权代表人（签字）：</w:t>
            </w:r>
          </w:p>
          <w:p w14:paraId="7773BC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日期：   年   月   日</w:t>
            </w:r>
          </w:p>
        </w:tc>
        <w:tc>
          <w:tcPr>
            <w:tcW w:w="4252" w:type="dxa"/>
            <w:tcBorders>
              <w:top w:val="single" w:color="auto" w:sz="4" w:space="0"/>
              <w:left w:val="single" w:color="auto" w:sz="4" w:space="0"/>
              <w:bottom w:val="single" w:color="auto" w:sz="4" w:space="0"/>
              <w:right w:val="single" w:color="auto" w:sz="4" w:space="0"/>
            </w:tcBorders>
          </w:tcPr>
          <w:p w14:paraId="4361A4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乙方：</w:t>
            </w:r>
          </w:p>
          <w:p w14:paraId="17D697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p>
          <w:p w14:paraId="67C7DC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（盖章）</w:t>
            </w:r>
          </w:p>
          <w:p w14:paraId="448552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p>
          <w:p w14:paraId="23D108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授权代表人（签字）：</w:t>
            </w:r>
          </w:p>
          <w:p w14:paraId="5057D2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40" w:lineRule="exact"/>
              <w:ind w:left="0" w:right="0"/>
              <w:textAlignment w:val="auto"/>
              <w:rPr>
                <w:rFonts w:hint="eastAsia" w:asciiTheme="minorEastAsia" w:hAnsiTheme="minorEastAsia" w:eastAsiaTheme="minorEastAsia" w:cstheme="minorEastAsia"/>
                <w:color w:val="000000"/>
                <w:kern w:val="2"/>
                <w:sz w:val="24"/>
                <w:szCs w:val="24"/>
                <w:lang w:val="en-US" w:eastAsia="zh-CN"/>
              </w:rPr>
            </w:pPr>
            <w:r>
              <w:rPr>
                <w:rFonts w:hint="eastAsia" w:asciiTheme="minorEastAsia" w:hAnsiTheme="minorEastAsia" w:eastAsiaTheme="minorEastAsia" w:cstheme="minorEastAsia"/>
                <w:color w:val="000000"/>
                <w:kern w:val="2"/>
                <w:sz w:val="24"/>
                <w:szCs w:val="24"/>
                <w:lang w:val="en-US" w:eastAsia="zh-CN"/>
              </w:rPr>
              <w:t>日期：   年   月   日</w:t>
            </w:r>
          </w:p>
        </w:tc>
      </w:tr>
    </w:tbl>
    <w:p w14:paraId="3B606EED">
      <w:pPr>
        <w:pStyle w:val="8"/>
        <w:spacing w:before="145" w:beforeAutospacing="0" w:after="145" w:afterAutospacing="0"/>
        <w:jc w:val="center"/>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w:t>
      </w:r>
    </w:p>
    <w:p w14:paraId="33B52F00">
      <w:pPr>
        <w:pStyle w:val="8"/>
        <w:spacing w:before="120" w:beforeAutospacing="0" w:after="120" w:afterAutospacing="0" w:line="0" w:lineRule="atLeast"/>
        <w:jc w:val="center"/>
        <w:rPr>
          <w:color w:val="auto"/>
          <w:highlight w:val="none"/>
          <w:shd w:val="clear" w:color="auto" w:fill="auto"/>
        </w:rPr>
      </w:pPr>
      <w:bookmarkStart w:id="148" w:name="_Toc479757211"/>
      <w:bookmarkStart w:id="149" w:name="_Toc462564139"/>
      <w:bookmarkStart w:id="150" w:name="_Toc120614244"/>
      <w:bookmarkStart w:id="151" w:name="_Toc16938590"/>
      <w:bookmarkStart w:id="152" w:name="_Toc20823346"/>
      <w:bookmarkStart w:id="153" w:name="_Hlt16619350"/>
      <w:bookmarkStart w:id="154" w:name="_Hlt16619369"/>
      <w:r>
        <w:rPr>
          <w:rFonts w:hint="eastAsia" w:ascii="宋体" w:hAnsi="宋体" w:eastAsia="宋体" w:cs="宋体"/>
          <w:color w:val="auto"/>
          <w:sz w:val="24"/>
          <w:szCs w:val="24"/>
          <w:highlight w:val="none"/>
          <w:shd w:val="clear" w:color="auto" w:fill="auto"/>
        </w:rPr>
        <w:br w:type="page"/>
      </w:r>
      <w:r>
        <w:rPr>
          <w:rFonts w:hint="eastAsia" w:ascii="黑体" w:hAnsi="宋体" w:eastAsia="黑体" w:cs="黑体"/>
          <w:color w:val="auto"/>
          <w:sz w:val="44"/>
          <w:szCs w:val="44"/>
          <w:highlight w:val="none"/>
          <w:shd w:val="clear" w:color="auto" w:fill="auto"/>
        </w:rPr>
        <w:t> 第</w:t>
      </w:r>
      <w:bookmarkEnd w:id="148"/>
      <w:r>
        <w:rPr>
          <w:rFonts w:hint="eastAsia" w:ascii="黑体" w:hAnsi="宋体" w:eastAsia="黑体" w:cs="黑体"/>
          <w:color w:val="auto"/>
          <w:sz w:val="44"/>
          <w:szCs w:val="44"/>
          <w:highlight w:val="none"/>
          <w:shd w:val="clear" w:color="auto" w:fill="auto"/>
        </w:rPr>
        <w:t>四章 采购需求</w:t>
      </w:r>
      <w:bookmarkEnd w:id="149"/>
      <w:bookmarkEnd w:id="150"/>
      <w:bookmarkEnd w:id="151"/>
      <w:bookmarkEnd w:id="152"/>
      <w:bookmarkStart w:id="155" w:name="_Toc49090575"/>
      <w:bookmarkEnd w:id="155"/>
      <w:bookmarkStart w:id="156" w:name="_Toc26554093"/>
      <w:bookmarkEnd w:id="156"/>
    </w:p>
    <w:p w14:paraId="24BBA132">
      <w:pPr>
        <w:pStyle w:val="8"/>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30DF744F">
      <w:pPr>
        <w:keepNext w:val="0"/>
        <w:keepLines w:val="0"/>
        <w:pageBreakBefore w:val="0"/>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项目属性：服务类项目</w:t>
      </w:r>
    </w:p>
    <w:p w14:paraId="17AF2DB3">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一、项目概述</w:t>
      </w:r>
    </w:p>
    <w:p w14:paraId="1482FFC1">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rPr>
        <w:t>.项目名称：黄海新区形象宣传省级媒体发布项目</w:t>
      </w:r>
    </w:p>
    <w:p w14:paraId="551A3D2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.采购方式：</w:t>
      </w:r>
      <w:r>
        <w:rPr>
          <w:rFonts w:hint="eastAsia" w:asciiTheme="minorEastAsia" w:hAnsiTheme="minorEastAsia" w:eastAsiaTheme="minorEastAsia" w:cstheme="minorEastAsia"/>
          <w:kern w:val="0"/>
          <w:sz w:val="24"/>
          <w:szCs w:val="24"/>
          <w:lang w:val="en-US" w:eastAsia="zh-CN"/>
        </w:rPr>
        <w:t>单一来源采购</w:t>
      </w:r>
    </w:p>
    <w:p w14:paraId="26E6741D">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.预算金额：人民币</w:t>
      </w:r>
      <w:r>
        <w:rPr>
          <w:rFonts w:hint="eastAsia" w:asciiTheme="minorEastAsia" w:hAnsiTheme="minorEastAsia" w:eastAsiaTheme="minorEastAsia" w:cstheme="minorEastAsia"/>
          <w:kern w:val="0"/>
          <w:sz w:val="24"/>
          <w:szCs w:val="24"/>
          <w:lang w:eastAsia="zh-CN"/>
        </w:rPr>
        <w:t>180万</w:t>
      </w:r>
      <w:r>
        <w:rPr>
          <w:rFonts w:hint="eastAsia" w:asciiTheme="minorEastAsia" w:hAnsiTheme="minorEastAsia" w:eastAsiaTheme="minorEastAsia" w:cstheme="minorEastAsia"/>
          <w:kern w:val="0"/>
          <w:sz w:val="24"/>
          <w:szCs w:val="24"/>
        </w:rPr>
        <w:t>元</w:t>
      </w:r>
    </w:p>
    <w:p w14:paraId="3964EA1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4</w:t>
      </w:r>
      <w:r>
        <w:rPr>
          <w:rFonts w:hint="eastAsia" w:asciiTheme="minorEastAsia" w:hAnsiTheme="minorEastAsia" w:eastAsiaTheme="minorEastAsia" w:cstheme="minorEastAsia"/>
          <w:kern w:val="0"/>
          <w:sz w:val="24"/>
          <w:szCs w:val="24"/>
        </w:rPr>
        <w:t>.最高限价：人民币</w:t>
      </w:r>
      <w:r>
        <w:rPr>
          <w:rFonts w:hint="eastAsia" w:asciiTheme="minorEastAsia" w:hAnsiTheme="minorEastAsia" w:eastAsiaTheme="minorEastAsia" w:cstheme="minorEastAsia"/>
          <w:kern w:val="0"/>
          <w:sz w:val="24"/>
          <w:szCs w:val="24"/>
          <w:lang w:eastAsia="zh-CN"/>
        </w:rPr>
        <w:t>180万</w:t>
      </w:r>
      <w:r>
        <w:rPr>
          <w:rFonts w:hint="eastAsia" w:asciiTheme="minorEastAsia" w:hAnsiTheme="minorEastAsia" w:eastAsiaTheme="minorEastAsia" w:cstheme="minorEastAsia"/>
          <w:kern w:val="0"/>
          <w:sz w:val="24"/>
          <w:szCs w:val="24"/>
        </w:rPr>
        <w:t>元（投标报价高于最高限价的，视为无效投标）</w:t>
      </w:r>
    </w:p>
    <w:p w14:paraId="322CE9C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5</w:t>
      </w:r>
      <w:r>
        <w:rPr>
          <w:rFonts w:hint="eastAsia" w:asciiTheme="minorEastAsia" w:hAnsiTheme="minorEastAsia" w:eastAsiaTheme="minorEastAsia" w:cstheme="minorEastAsia"/>
          <w:kern w:val="0"/>
          <w:sz w:val="24"/>
          <w:szCs w:val="24"/>
        </w:rPr>
        <w:t>.采购需求：为落实黄海新区城市品牌与产业招商宣传工作要求，依托江苏省省级媒体资源，开展电视端宣传投放、国家级媒体推广、省级新媒体矩阵传播、定制化内容制作及线下活动支撑等服务，构建“媒体+招商”融合宣传体系，全面提升新区在省内政务、投资圈层的品牌影响力，助力招商引资工作。</w:t>
      </w:r>
    </w:p>
    <w:p w14:paraId="7389390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6</w:t>
      </w:r>
      <w:r>
        <w:rPr>
          <w:rFonts w:hint="eastAsia" w:asciiTheme="minorEastAsia" w:hAnsiTheme="minorEastAsia" w:eastAsiaTheme="minorEastAsia" w:cstheme="minorEastAsia"/>
          <w:kern w:val="0"/>
          <w:sz w:val="24"/>
          <w:szCs w:val="24"/>
        </w:rPr>
        <w:t>.发包范围与标段划分：本次采购为一个标段，涵盖宣传内容策划制作、媒体投放、活动执行及效果监测等全部服务内容，具体要求详见采购文件。</w:t>
      </w:r>
    </w:p>
    <w:p w14:paraId="1AC072AA">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7</w:t>
      </w:r>
      <w:r>
        <w:rPr>
          <w:rFonts w:hint="eastAsia" w:asciiTheme="minorEastAsia" w:hAnsiTheme="minorEastAsia" w:eastAsiaTheme="minorEastAsia" w:cstheme="minorEastAsia"/>
          <w:kern w:val="0"/>
          <w:sz w:val="24"/>
          <w:szCs w:val="24"/>
        </w:rPr>
        <w:t>.合同履行期限：</w:t>
      </w:r>
      <w:r>
        <w:rPr>
          <w:rFonts w:hint="eastAsia" w:asciiTheme="minorEastAsia" w:hAnsiTheme="minorEastAsia" w:eastAsiaTheme="minorEastAsia" w:cstheme="minorEastAsia"/>
          <w:kern w:val="0"/>
          <w:sz w:val="24"/>
          <w:szCs w:val="24"/>
          <w:lang w:val="en-US" w:eastAsia="zh-CN"/>
        </w:rPr>
        <w:t>自合同签订之日起一年，具体时间按合同签订为准。</w:t>
      </w:r>
    </w:p>
    <w:p w14:paraId="13C5E74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8</w:t>
      </w:r>
      <w:r>
        <w:rPr>
          <w:rFonts w:hint="eastAsia" w:asciiTheme="minorEastAsia" w:hAnsiTheme="minorEastAsia" w:eastAsiaTheme="minorEastAsia" w:cstheme="minorEastAsia"/>
          <w:kern w:val="0"/>
          <w:sz w:val="24"/>
          <w:szCs w:val="24"/>
        </w:rPr>
        <w:t>.本项目（是/否）接受联合体：否</w:t>
      </w:r>
    </w:p>
    <w:p w14:paraId="1408ADDC">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二、工作内容及要求</w:t>
      </w:r>
    </w:p>
    <w:p w14:paraId="24137CB9">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lang w:eastAsia="zh-CN"/>
        </w:rPr>
      </w:pPr>
      <w:r>
        <w:rPr>
          <w:rFonts w:hint="eastAsia" w:asciiTheme="minorEastAsia" w:hAnsiTheme="minorEastAsia" w:eastAsiaTheme="minorEastAsia" w:cstheme="minorEastAsia"/>
          <w:b/>
          <w:kern w:val="0"/>
          <w:sz w:val="24"/>
          <w:szCs w:val="24"/>
        </w:rPr>
        <w:t>（一）电视端宣传投放</w:t>
      </w:r>
    </w:p>
    <w:p w14:paraId="3A124D9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放要求：依托江苏省级电视媒体核心频道，在5个关键节点（含518主题活动、招商攻坚节点）的核心栏目完成投放，总次数≥15次，单条资讯中黄海新区相关内容时长≥1分钟，内容突出新区发展视角与招商导向。</w:t>
      </w:r>
    </w:p>
    <w:p w14:paraId="0346232E">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（二）国家级媒体宣传推广</w:t>
      </w:r>
    </w:p>
    <w:p w14:paraId="5159F437">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投放要求：联动中央主流媒体平台，围绕新区重大项目、标杆发展成果开展宣传，实现国家级主流媒体平台曝光≥2次，提供官方发布链接/版面证明，形成权威招商背书。</w:t>
      </w:r>
    </w:p>
    <w:p w14:paraId="1269C64F">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lang w:eastAsia="zh-CN"/>
        </w:rPr>
      </w:pPr>
      <w:r>
        <w:rPr>
          <w:rFonts w:hint="eastAsia" w:asciiTheme="minorEastAsia" w:hAnsiTheme="minorEastAsia" w:eastAsiaTheme="minorEastAsia" w:cstheme="minorEastAsia"/>
          <w:b/>
          <w:kern w:val="0"/>
          <w:sz w:val="24"/>
          <w:szCs w:val="24"/>
        </w:rPr>
        <w:t>（三）省级新媒体矩阵传播</w:t>
      </w:r>
    </w:p>
    <w:p w14:paraId="0371304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1.常规内容推送：采用“关键节点集中推送+月度常态化推送”模式，省台新媒体平台发布≥10次，同步覆盖广电全新媒体矩阵，精准触达省内核心商务人群。</w:t>
      </w:r>
    </w:p>
    <w:p w14:paraId="797F4317">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2.宣传视频投放：与专题内容联动，在省台新媒体平台投放宣传视频≥10次，适配短视频平台传播特性，覆盖年轻投资群体、行业从业者。</w:t>
      </w:r>
    </w:p>
    <w:p w14:paraId="796193E9">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lang w:eastAsia="zh-CN"/>
        </w:rPr>
      </w:pPr>
      <w:r>
        <w:rPr>
          <w:rFonts w:hint="eastAsia" w:asciiTheme="minorEastAsia" w:hAnsiTheme="minorEastAsia" w:eastAsiaTheme="minorEastAsia" w:cstheme="minorEastAsia"/>
          <w:b/>
          <w:kern w:val="0"/>
          <w:sz w:val="24"/>
          <w:szCs w:val="24"/>
        </w:rPr>
        <w:t>（四）定制化内容制作</w:t>
      </w:r>
    </w:p>
    <w:tbl>
      <w:tblPr>
        <w:tblStyle w:val="10"/>
        <w:tblW w:w="4998" w:type="pct"/>
        <w:tblInd w:w="0" w:type="dxa"/>
        <w:tblLayout w:type="autofit"/>
        <w:tblCellMar>
          <w:top w:w="0" w:type="dxa"/>
          <w:left w:w="108" w:type="dxa"/>
          <w:bottom w:w="0" w:type="dxa"/>
          <w:right w:w="108" w:type="dxa"/>
        </w:tblCellMar>
      </w:tblPr>
      <w:tblGrid>
        <w:gridCol w:w="1549"/>
        <w:gridCol w:w="1273"/>
        <w:gridCol w:w="5697"/>
      </w:tblGrid>
      <w:tr w14:paraId="1E44BA9E">
        <w:tblPrEx>
          <w:tblCellMar>
            <w:top w:w="0" w:type="dxa"/>
            <w:left w:w="108" w:type="dxa"/>
            <w:bottom w:w="0" w:type="dxa"/>
            <w:right w:w="108" w:type="dxa"/>
          </w:tblCellMar>
        </w:tblPrEx>
        <w:trPr>
          <w:trHeight w:val="570" w:hRule="atLeast"/>
        </w:trPr>
        <w:tc>
          <w:tcPr>
            <w:tcW w:w="909" w:type="pct"/>
            <w:tcBorders>
              <w:top w:val="single" w:color="auto" w:sz="4" w:space="0"/>
              <w:left w:val="single" w:color="auto" w:sz="4" w:space="0"/>
              <w:bottom w:val="single" w:color="auto" w:sz="4" w:space="0"/>
              <w:right w:val="single" w:color="auto" w:sz="4" w:space="0"/>
            </w:tcBorders>
            <w:shd w:val="clear" w:color="auto" w:fill="auto"/>
            <w:vAlign w:val="center"/>
          </w:tcPr>
          <w:p w14:paraId="061DD2A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内容类型</w:t>
            </w:r>
          </w:p>
        </w:tc>
        <w:tc>
          <w:tcPr>
            <w:tcW w:w="747" w:type="pct"/>
            <w:tcBorders>
              <w:top w:val="single" w:color="auto" w:sz="4" w:space="0"/>
              <w:left w:val="nil"/>
              <w:bottom w:val="single" w:color="auto" w:sz="4" w:space="0"/>
              <w:right w:val="single" w:color="auto" w:sz="4" w:space="0"/>
            </w:tcBorders>
            <w:shd w:val="clear" w:color="auto" w:fill="auto"/>
            <w:vAlign w:val="center"/>
          </w:tcPr>
          <w:p w14:paraId="458101FC">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数量</w:t>
            </w:r>
          </w:p>
        </w:tc>
        <w:tc>
          <w:tcPr>
            <w:tcW w:w="3343" w:type="pct"/>
            <w:tcBorders>
              <w:top w:val="single" w:color="auto" w:sz="4" w:space="0"/>
              <w:left w:val="nil"/>
              <w:bottom w:val="single" w:color="auto" w:sz="4" w:space="0"/>
              <w:right w:val="single" w:color="auto" w:sz="4" w:space="0"/>
            </w:tcBorders>
            <w:shd w:val="clear" w:color="auto" w:fill="auto"/>
            <w:vAlign w:val="center"/>
          </w:tcPr>
          <w:p w14:paraId="576D0BB9">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具体要求</w:t>
            </w:r>
          </w:p>
        </w:tc>
      </w:tr>
      <w:tr w14:paraId="42509EC5">
        <w:tblPrEx>
          <w:tblCellMar>
            <w:top w:w="0" w:type="dxa"/>
            <w:left w:w="108" w:type="dxa"/>
            <w:bottom w:w="0" w:type="dxa"/>
            <w:right w:w="108" w:type="dxa"/>
          </w:tblCellMar>
        </w:tblPrEx>
        <w:trPr>
          <w:trHeight w:val="855" w:hRule="atLeast"/>
        </w:trPr>
        <w:tc>
          <w:tcPr>
            <w:tcW w:w="909" w:type="pct"/>
            <w:tcBorders>
              <w:top w:val="nil"/>
              <w:left w:val="single" w:color="auto" w:sz="4" w:space="0"/>
              <w:bottom w:val="single" w:color="auto" w:sz="4" w:space="0"/>
              <w:right w:val="single" w:color="auto" w:sz="4" w:space="0"/>
            </w:tcBorders>
            <w:shd w:val="clear" w:color="auto" w:fill="auto"/>
            <w:vAlign w:val="center"/>
          </w:tcPr>
          <w:p w14:paraId="4BA67C63">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招商宣传片动态更新</w:t>
            </w:r>
          </w:p>
        </w:tc>
        <w:tc>
          <w:tcPr>
            <w:tcW w:w="747" w:type="pct"/>
            <w:tcBorders>
              <w:top w:val="nil"/>
              <w:left w:val="nil"/>
              <w:bottom w:val="single" w:color="auto" w:sz="4" w:space="0"/>
              <w:right w:val="single" w:color="auto" w:sz="4" w:space="0"/>
            </w:tcBorders>
            <w:shd w:val="clear" w:color="auto" w:fill="auto"/>
            <w:vAlign w:val="center"/>
          </w:tcPr>
          <w:p w14:paraId="2110EB3D">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2-3次</w:t>
            </w:r>
          </w:p>
        </w:tc>
        <w:tc>
          <w:tcPr>
            <w:tcW w:w="3343" w:type="pct"/>
            <w:tcBorders>
              <w:top w:val="nil"/>
              <w:left w:val="nil"/>
              <w:bottom w:val="single" w:color="auto" w:sz="4" w:space="0"/>
              <w:right w:val="single" w:color="auto" w:sz="4" w:space="0"/>
            </w:tcBorders>
            <w:shd w:val="clear" w:color="auto" w:fill="auto"/>
            <w:vAlign w:val="center"/>
          </w:tcPr>
          <w:p w14:paraId="7F9B5CAB">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重点呈现“两港、两城、四片区、五大产业”核心布局，实时匹配新区发展现状，适配全场景招商使用</w:t>
            </w:r>
          </w:p>
        </w:tc>
      </w:tr>
      <w:tr w14:paraId="21161CEC">
        <w:tblPrEx>
          <w:tblCellMar>
            <w:top w:w="0" w:type="dxa"/>
            <w:left w:w="108" w:type="dxa"/>
            <w:bottom w:w="0" w:type="dxa"/>
            <w:right w:w="108" w:type="dxa"/>
          </w:tblCellMar>
        </w:tblPrEx>
        <w:trPr>
          <w:trHeight w:val="855" w:hRule="atLeast"/>
        </w:trPr>
        <w:tc>
          <w:tcPr>
            <w:tcW w:w="909" w:type="pct"/>
            <w:tcBorders>
              <w:top w:val="nil"/>
              <w:left w:val="single" w:color="auto" w:sz="4" w:space="0"/>
              <w:bottom w:val="single" w:color="auto" w:sz="4" w:space="0"/>
              <w:right w:val="single" w:color="auto" w:sz="4" w:space="0"/>
            </w:tcBorders>
            <w:shd w:val="clear" w:color="auto" w:fill="auto"/>
            <w:vAlign w:val="center"/>
          </w:tcPr>
          <w:p w14:paraId="36CA074B">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数字AI宣传视频</w:t>
            </w:r>
          </w:p>
        </w:tc>
        <w:tc>
          <w:tcPr>
            <w:tcW w:w="747" w:type="pct"/>
            <w:tcBorders>
              <w:top w:val="nil"/>
              <w:left w:val="nil"/>
              <w:bottom w:val="single" w:color="auto" w:sz="4" w:space="0"/>
              <w:right w:val="single" w:color="auto" w:sz="4" w:space="0"/>
            </w:tcBorders>
            <w:shd w:val="clear" w:color="auto" w:fill="auto"/>
            <w:vAlign w:val="center"/>
          </w:tcPr>
          <w:p w14:paraId="0C94331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12条</w:t>
            </w:r>
          </w:p>
        </w:tc>
        <w:tc>
          <w:tcPr>
            <w:tcW w:w="3343" w:type="pct"/>
            <w:tcBorders>
              <w:top w:val="nil"/>
              <w:left w:val="nil"/>
              <w:bottom w:val="single" w:color="auto" w:sz="4" w:space="0"/>
              <w:right w:val="single" w:color="auto" w:sz="4" w:space="0"/>
            </w:tcBorders>
            <w:shd w:val="clear" w:color="auto" w:fill="auto"/>
            <w:vAlign w:val="center"/>
          </w:tcPr>
          <w:p w14:paraId="012DE6B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每月制作1条，适配新媒体全平台传播，打造科技化品牌形象</w:t>
            </w:r>
          </w:p>
        </w:tc>
      </w:tr>
      <w:tr w14:paraId="2ECE6418">
        <w:tblPrEx>
          <w:tblCellMar>
            <w:top w:w="0" w:type="dxa"/>
            <w:left w:w="108" w:type="dxa"/>
            <w:bottom w:w="0" w:type="dxa"/>
            <w:right w:w="108" w:type="dxa"/>
          </w:tblCellMar>
        </w:tblPrEx>
        <w:trPr>
          <w:trHeight w:val="855" w:hRule="atLeast"/>
        </w:trPr>
        <w:tc>
          <w:tcPr>
            <w:tcW w:w="909" w:type="pct"/>
            <w:tcBorders>
              <w:top w:val="nil"/>
              <w:left w:val="single" w:color="auto" w:sz="4" w:space="0"/>
              <w:bottom w:val="single" w:color="auto" w:sz="4" w:space="0"/>
              <w:right w:val="single" w:color="auto" w:sz="4" w:space="0"/>
            </w:tcBorders>
            <w:shd w:val="clear" w:color="auto" w:fill="auto"/>
            <w:vAlign w:val="center"/>
          </w:tcPr>
          <w:p w14:paraId="73D9CBA1">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主题专题报道</w:t>
            </w:r>
          </w:p>
        </w:tc>
        <w:tc>
          <w:tcPr>
            <w:tcW w:w="747" w:type="pct"/>
            <w:tcBorders>
              <w:top w:val="nil"/>
              <w:left w:val="nil"/>
              <w:bottom w:val="single" w:color="auto" w:sz="4" w:space="0"/>
              <w:right w:val="single" w:color="auto" w:sz="4" w:space="0"/>
            </w:tcBorders>
            <w:shd w:val="clear" w:color="auto" w:fill="auto"/>
            <w:vAlign w:val="center"/>
          </w:tcPr>
          <w:p w14:paraId="40CF5CA9">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2条</w:t>
            </w:r>
          </w:p>
        </w:tc>
        <w:tc>
          <w:tcPr>
            <w:tcW w:w="3343" w:type="pct"/>
            <w:tcBorders>
              <w:top w:val="nil"/>
              <w:left w:val="nil"/>
              <w:bottom w:val="single" w:color="auto" w:sz="4" w:space="0"/>
              <w:right w:val="single" w:color="auto" w:sz="4" w:space="0"/>
            </w:tcBorders>
            <w:shd w:val="clear" w:color="auto" w:fill="auto"/>
            <w:vAlign w:val="center"/>
          </w:tcPr>
          <w:p w14:paraId="4B6E4767">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每条时长≥3分钟，分别聚焦产业招商、年度发展成果，适配全平台投放与招商场景</w:t>
            </w:r>
          </w:p>
        </w:tc>
      </w:tr>
      <w:tr w14:paraId="08D42F24">
        <w:tblPrEx>
          <w:tblCellMar>
            <w:top w:w="0" w:type="dxa"/>
            <w:left w:w="108" w:type="dxa"/>
            <w:bottom w:w="0" w:type="dxa"/>
            <w:right w:w="108" w:type="dxa"/>
          </w:tblCellMar>
        </w:tblPrEx>
        <w:trPr>
          <w:trHeight w:val="855" w:hRule="atLeast"/>
        </w:trPr>
        <w:tc>
          <w:tcPr>
            <w:tcW w:w="909" w:type="pct"/>
            <w:tcBorders>
              <w:top w:val="nil"/>
              <w:left w:val="single" w:color="auto" w:sz="4" w:space="0"/>
              <w:bottom w:val="single" w:color="auto" w:sz="4" w:space="0"/>
              <w:right w:val="single" w:color="auto" w:sz="4" w:space="0"/>
            </w:tcBorders>
            <w:shd w:val="clear" w:color="auto" w:fill="auto"/>
            <w:vAlign w:val="center"/>
          </w:tcPr>
          <w:p w14:paraId="530DC8C5">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重点产业巡礼专题片</w:t>
            </w:r>
          </w:p>
        </w:tc>
        <w:tc>
          <w:tcPr>
            <w:tcW w:w="747" w:type="pct"/>
            <w:tcBorders>
              <w:top w:val="nil"/>
              <w:left w:val="nil"/>
              <w:bottom w:val="single" w:color="auto" w:sz="4" w:space="0"/>
              <w:right w:val="single" w:color="auto" w:sz="4" w:space="0"/>
            </w:tcBorders>
            <w:shd w:val="clear" w:color="auto" w:fill="auto"/>
            <w:vAlign w:val="center"/>
          </w:tcPr>
          <w:p w14:paraId="697F3BF9">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5条</w:t>
            </w:r>
          </w:p>
        </w:tc>
        <w:tc>
          <w:tcPr>
            <w:tcW w:w="3343" w:type="pct"/>
            <w:tcBorders>
              <w:top w:val="nil"/>
              <w:left w:val="nil"/>
              <w:bottom w:val="single" w:color="auto" w:sz="4" w:space="0"/>
              <w:right w:val="single" w:color="auto" w:sz="4" w:space="0"/>
            </w:tcBorders>
            <w:shd w:val="clear" w:color="auto" w:fill="auto"/>
            <w:vAlign w:val="center"/>
          </w:tcPr>
          <w:p w14:paraId="7AA284D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每条时长5分钟，覆盖黄海新区主导产业，全面呈现产业发展状况与潜力</w:t>
            </w:r>
          </w:p>
        </w:tc>
      </w:tr>
    </w:tbl>
    <w:p w14:paraId="2B3959FA">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lang w:eastAsia="zh-CN"/>
        </w:rPr>
      </w:pPr>
      <w:r>
        <w:rPr>
          <w:rFonts w:hint="eastAsia" w:asciiTheme="minorEastAsia" w:hAnsiTheme="minorEastAsia" w:eastAsiaTheme="minorEastAsia" w:cstheme="minorEastAsia"/>
          <w:b/>
          <w:kern w:val="0"/>
          <w:sz w:val="24"/>
          <w:szCs w:val="24"/>
        </w:rPr>
        <w:t>（五）线下活动支撑</w:t>
      </w:r>
    </w:p>
    <w:p w14:paraId="37CC2CD5">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1.媒体宣传活动支持：提供1次大型媒体宣传活动全流程服务，包含前期设计、舞美搭建、活动策划、现场执行、多平台宣传推广，确保活动高质量完成。</w:t>
      </w:r>
    </w:p>
    <w:p w14:paraId="0D20E603">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2.联名推介会举办：落地举办1场江苏省台与黄海新区联名宣传推介会，依托省台媒体资源、省内头部企业资源库及国资国企合作渠道，全方位展现区域发展实力。</w:t>
      </w:r>
    </w:p>
    <w:p w14:paraId="4CA7CDAE">
      <w:pPr>
        <w:keepNext w:val="0"/>
        <w:keepLines w:val="0"/>
        <w:pageBreakBefore w:val="0"/>
        <w:widowControl/>
        <w:kinsoku/>
        <w:wordWrap/>
        <w:overflowPunct/>
        <w:topLinePunct w:val="0"/>
        <w:autoSpaceDE/>
        <w:autoSpaceDN/>
        <w:bidi w:val="0"/>
        <w:adjustRightInd/>
        <w:snapToGrid/>
        <w:spacing w:line="480" w:lineRule="exact"/>
        <w:ind w:firstLine="482" w:firstLineChars="200"/>
        <w:textAlignment w:val="auto"/>
        <w:rPr>
          <w:rFonts w:hint="eastAsia" w:asciiTheme="minorEastAsia" w:hAnsiTheme="minorEastAsia" w:eastAsiaTheme="minorEastAsia" w:cstheme="minorEastAsia"/>
          <w:b/>
          <w:kern w:val="0"/>
          <w:sz w:val="24"/>
          <w:szCs w:val="24"/>
          <w:lang w:eastAsia="zh-CN"/>
        </w:rPr>
      </w:pPr>
      <w:r>
        <w:rPr>
          <w:rFonts w:hint="eastAsia" w:asciiTheme="minorEastAsia" w:hAnsiTheme="minorEastAsia" w:eastAsiaTheme="minorEastAsia" w:cstheme="minorEastAsia"/>
          <w:b/>
          <w:kern w:val="0"/>
          <w:sz w:val="24"/>
          <w:szCs w:val="24"/>
        </w:rPr>
        <w:t>（六）验收要求</w:t>
      </w:r>
    </w:p>
    <w:p w14:paraId="2039345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所有服务成果需提供证明材料：电视投放提供播出截图及监播报告，新媒体传播提供发布链接及阅读量数据，国家级媒体曝光提供官方发布证明，内容制作提供成片及源文件，活动执行提供现场影像资料及总结报告。</w:t>
      </w:r>
    </w:p>
    <w:p w14:paraId="4CD931DC">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2.验收不合格的服务内容，供应商需在7个工作日内完成整改，整改后仍不达标的，采购人有权扣除相应费用。</w:t>
      </w:r>
    </w:p>
    <w:p w14:paraId="310231B6">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三、其他说明</w:t>
      </w:r>
    </w:p>
    <w:p w14:paraId="5111B894">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1.供应商必须对其提供的材料（包括资质证明、业绩证明、服务方案等）真实性负责，一旦发现造假行为，采购人将取消其投标资格，已中标的取消中标资格。</w:t>
      </w:r>
    </w:p>
    <w:p w14:paraId="4981DCA7">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2.本次采购过程中采购人提供的全部文件资料以及经采购人同意的项目技术要求等有关文件材料，均为合同的组成部分。</w:t>
      </w:r>
    </w:p>
    <w:p w14:paraId="5039BF9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3.中标供应商在履行合同过程中，所发生的全部生产、生活费用均由中标供应商负责。</w:t>
      </w:r>
    </w:p>
    <w:p w14:paraId="1304F49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4.供应商需确保所有宣传内容真实、合法，不涉及虚假宣传，发布前须经采购人书面确认；若因内容违规引发纠纷，由供应商承担全部责任。</w:t>
      </w:r>
    </w:p>
    <w:p w14:paraId="614EFDE0">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四、报价要求</w:t>
      </w:r>
    </w:p>
    <w:p w14:paraId="7AEBBFE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1.本项目最高限价为人民币</w:t>
      </w:r>
      <w:r>
        <w:rPr>
          <w:rFonts w:hint="eastAsia" w:asciiTheme="minorEastAsia" w:hAnsiTheme="minorEastAsia" w:eastAsiaTheme="minorEastAsia" w:cstheme="minorEastAsia"/>
          <w:kern w:val="0"/>
          <w:sz w:val="24"/>
          <w:szCs w:val="24"/>
          <w:lang w:eastAsia="zh-CN"/>
        </w:rPr>
        <w:t>180万</w:t>
      </w:r>
      <w:r>
        <w:rPr>
          <w:rFonts w:hint="eastAsia" w:asciiTheme="minorEastAsia" w:hAnsiTheme="minorEastAsia" w:eastAsiaTheme="minorEastAsia" w:cstheme="minorEastAsia"/>
          <w:kern w:val="0"/>
          <w:sz w:val="24"/>
          <w:szCs w:val="24"/>
        </w:rPr>
        <w:t>元，采购人不接受高于此限价的投标报价，高于此限价的投标报价视为无效报价，其投标文件作无效投标文件处理。</w:t>
      </w:r>
    </w:p>
    <w:p w14:paraId="3966D802">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2.本项目报价应采用固定总价包干模式，包含供应商为完成采购文件所确定的全部服务工作内容所需的全部费用，包括但不限于：</w:t>
      </w:r>
    </w:p>
    <w:p w14:paraId="455A806F">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3.服务酬金（含人员工资、福利、保险、企业管理费、利润、税金等）；</w:t>
      </w:r>
    </w:p>
    <w:p w14:paraId="66E33C8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4.可报销费用（含内容制作费、媒体投放费、活动执行费、差旅费、通讯费、资料印刷费、办公费等）；</w:t>
      </w:r>
    </w:p>
    <w:p w14:paraId="12777CD6">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5.不可预见费（含市场风险、政策调整风险及合同履行过程中的其他意外费用）。</w:t>
      </w:r>
    </w:p>
    <w:p w14:paraId="23A0866D">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6.合同实施期间，除非合同条款另有规定，否则报价不因任何市场变化因素而变动。</w:t>
      </w:r>
    </w:p>
    <w:p w14:paraId="3C7E1BE3">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7.供应商应在对采购项目内容、质量和技术指标全部认可的前提下报价。采购人均认为供应商已充分了解项目所有条件，采购人对供应商的任何推论、理解和结论不负责任。</w:t>
      </w:r>
    </w:p>
    <w:p w14:paraId="6AC92879">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8.供应商在报价中未填报的清单项目，采购人视为已包含在其他报价中，结算时均不作调整。</w:t>
      </w:r>
    </w:p>
    <w:p w14:paraId="6F2CB02B">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9.供应商应根据自身经营状况和市场信息自主报价。响应文件的响应性仅依据文件本身内容判定，不寻求外部证据。</w:t>
      </w:r>
    </w:p>
    <w:p w14:paraId="61C8518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rPr>
      </w:pPr>
    </w:p>
    <w:p w14:paraId="60D88D2A">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rPr>
      </w:pPr>
    </w:p>
    <w:p w14:paraId="44F06048">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rPr>
      </w:pPr>
    </w:p>
    <w:p w14:paraId="025DE64D">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rPr>
      </w:pPr>
    </w:p>
    <w:p w14:paraId="4FDF049C">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kern w:val="0"/>
          <w:sz w:val="24"/>
          <w:szCs w:val="24"/>
          <w:lang w:eastAsia="zh-CN"/>
        </w:rPr>
      </w:pPr>
      <w:bookmarkStart w:id="176" w:name="_GoBack"/>
      <w:bookmarkEnd w:id="176"/>
      <w:r>
        <w:rPr>
          <w:rFonts w:hint="eastAsia" w:asciiTheme="minorEastAsia" w:hAnsiTheme="minorEastAsia" w:eastAsiaTheme="minorEastAsia" w:cstheme="minorEastAsia"/>
          <w:b/>
          <w:bCs/>
          <w:kern w:val="0"/>
          <w:sz w:val="24"/>
          <w:szCs w:val="24"/>
        </w:rPr>
        <w:t>五、付款方式</w:t>
      </w:r>
    </w:p>
    <w:tbl>
      <w:tblPr>
        <w:tblStyle w:val="10"/>
        <w:tblW w:w="5000" w:type="pct"/>
        <w:tblInd w:w="0" w:type="dxa"/>
        <w:tblLayout w:type="autofit"/>
        <w:tblCellMar>
          <w:top w:w="0" w:type="dxa"/>
          <w:left w:w="108" w:type="dxa"/>
          <w:bottom w:w="0" w:type="dxa"/>
          <w:right w:w="108" w:type="dxa"/>
        </w:tblCellMar>
      </w:tblPr>
      <w:tblGrid>
        <w:gridCol w:w="1567"/>
        <w:gridCol w:w="1405"/>
        <w:gridCol w:w="5550"/>
      </w:tblGrid>
      <w:tr w14:paraId="71E027A9">
        <w:tblPrEx>
          <w:tblCellMar>
            <w:top w:w="0" w:type="dxa"/>
            <w:left w:w="108" w:type="dxa"/>
            <w:bottom w:w="0" w:type="dxa"/>
            <w:right w:w="108" w:type="dxa"/>
          </w:tblCellMar>
        </w:tblPrEx>
        <w:trPr>
          <w:trHeight w:val="570" w:hRule="atLeast"/>
        </w:trPr>
        <w:tc>
          <w:tcPr>
            <w:tcW w:w="919" w:type="pct"/>
            <w:tcBorders>
              <w:top w:val="single" w:color="auto" w:sz="4" w:space="0"/>
              <w:left w:val="single" w:color="auto" w:sz="4" w:space="0"/>
              <w:bottom w:val="single" w:color="auto" w:sz="4" w:space="0"/>
              <w:right w:val="single" w:color="auto" w:sz="4" w:space="0"/>
            </w:tcBorders>
            <w:shd w:val="clear" w:color="auto" w:fill="auto"/>
            <w:vAlign w:val="center"/>
          </w:tcPr>
          <w:p w14:paraId="783DF3D8">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付款节点</w:t>
            </w:r>
          </w:p>
        </w:tc>
        <w:tc>
          <w:tcPr>
            <w:tcW w:w="824" w:type="pct"/>
            <w:tcBorders>
              <w:top w:val="single" w:color="auto" w:sz="4" w:space="0"/>
              <w:left w:val="nil"/>
              <w:bottom w:val="single" w:color="auto" w:sz="4" w:space="0"/>
              <w:right w:val="single" w:color="auto" w:sz="4" w:space="0"/>
            </w:tcBorders>
            <w:shd w:val="clear" w:color="auto" w:fill="auto"/>
            <w:vAlign w:val="center"/>
          </w:tcPr>
          <w:p w14:paraId="45699C7F">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付款比例</w:t>
            </w:r>
          </w:p>
        </w:tc>
        <w:tc>
          <w:tcPr>
            <w:tcW w:w="3255" w:type="pct"/>
            <w:tcBorders>
              <w:top w:val="single" w:color="auto" w:sz="4" w:space="0"/>
              <w:left w:val="nil"/>
              <w:bottom w:val="single" w:color="auto" w:sz="4" w:space="0"/>
              <w:right w:val="single" w:color="auto" w:sz="4" w:space="0"/>
            </w:tcBorders>
            <w:shd w:val="clear" w:color="auto" w:fill="auto"/>
            <w:vAlign w:val="center"/>
          </w:tcPr>
          <w:p w14:paraId="14643952">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付款条件</w:t>
            </w:r>
          </w:p>
        </w:tc>
      </w:tr>
      <w:tr w14:paraId="30F7F0B5">
        <w:tblPrEx>
          <w:tblCellMar>
            <w:top w:w="0" w:type="dxa"/>
            <w:left w:w="108" w:type="dxa"/>
            <w:bottom w:w="0" w:type="dxa"/>
            <w:right w:w="108" w:type="dxa"/>
          </w:tblCellMar>
        </w:tblPrEx>
        <w:trPr>
          <w:trHeight w:val="990" w:hRule="atLeast"/>
        </w:trPr>
        <w:tc>
          <w:tcPr>
            <w:tcW w:w="919" w:type="pct"/>
            <w:tcBorders>
              <w:top w:val="nil"/>
              <w:left w:val="single" w:color="auto" w:sz="4" w:space="0"/>
              <w:bottom w:val="single" w:color="auto" w:sz="4" w:space="0"/>
              <w:right w:val="single" w:color="auto" w:sz="4" w:space="0"/>
            </w:tcBorders>
            <w:shd w:val="clear" w:color="auto" w:fill="auto"/>
            <w:vAlign w:val="center"/>
          </w:tcPr>
          <w:p w14:paraId="6F62315A">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首付款</w:t>
            </w:r>
          </w:p>
        </w:tc>
        <w:tc>
          <w:tcPr>
            <w:tcW w:w="824" w:type="pct"/>
            <w:tcBorders>
              <w:top w:val="nil"/>
              <w:left w:val="nil"/>
              <w:bottom w:val="single" w:color="auto" w:sz="4" w:space="0"/>
              <w:right w:val="single" w:color="auto" w:sz="4" w:space="0"/>
            </w:tcBorders>
            <w:shd w:val="clear" w:color="auto" w:fill="auto"/>
            <w:vAlign w:val="center"/>
          </w:tcPr>
          <w:p w14:paraId="2A949285">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30%</w:t>
            </w:r>
          </w:p>
        </w:tc>
        <w:tc>
          <w:tcPr>
            <w:tcW w:w="3255" w:type="pct"/>
            <w:tcBorders>
              <w:top w:val="nil"/>
              <w:left w:val="nil"/>
              <w:bottom w:val="single" w:color="auto" w:sz="4" w:space="0"/>
              <w:right w:val="single" w:color="auto" w:sz="4" w:space="0"/>
            </w:tcBorders>
            <w:shd w:val="clear" w:color="auto" w:fill="auto"/>
            <w:vAlign w:val="center"/>
          </w:tcPr>
          <w:p w14:paraId="33F6861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合同签订后1个月内，供应商提供等额合规增值税专用发票</w:t>
            </w:r>
          </w:p>
        </w:tc>
      </w:tr>
      <w:tr w14:paraId="33DAA20D">
        <w:tblPrEx>
          <w:tblCellMar>
            <w:top w:w="0" w:type="dxa"/>
            <w:left w:w="108" w:type="dxa"/>
            <w:bottom w:w="0" w:type="dxa"/>
            <w:right w:w="108" w:type="dxa"/>
          </w:tblCellMar>
        </w:tblPrEx>
        <w:trPr>
          <w:trHeight w:val="1146" w:hRule="atLeast"/>
        </w:trPr>
        <w:tc>
          <w:tcPr>
            <w:tcW w:w="919" w:type="pct"/>
            <w:tcBorders>
              <w:top w:val="nil"/>
              <w:left w:val="single" w:color="auto" w:sz="4" w:space="0"/>
              <w:bottom w:val="single" w:color="auto" w:sz="4" w:space="0"/>
              <w:right w:val="single" w:color="auto" w:sz="4" w:space="0"/>
            </w:tcBorders>
            <w:shd w:val="clear" w:color="auto" w:fill="auto"/>
            <w:vAlign w:val="center"/>
          </w:tcPr>
          <w:p w14:paraId="727AFC7B">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进度款</w:t>
            </w:r>
          </w:p>
        </w:tc>
        <w:tc>
          <w:tcPr>
            <w:tcW w:w="824" w:type="pct"/>
            <w:tcBorders>
              <w:top w:val="nil"/>
              <w:left w:val="nil"/>
              <w:bottom w:val="single" w:color="auto" w:sz="4" w:space="0"/>
              <w:right w:val="single" w:color="auto" w:sz="4" w:space="0"/>
            </w:tcBorders>
            <w:shd w:val="clear" w:color="auto" w:fill="auto"/>
            <w:vAlign w:val="center"/>
          </w:tcPr>
          <w:p w14:paraId="20322951">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40%</w:t>
            </w:r>
          </w:p>
        </w:tc>
        <w:tc>
          <w:tcPr>
            <w:tcW w:w="3255" w:type="pct"/>
            <w:tcBorders>
              <w:top w:val="nil"/>
              <w:left w:val="nil"/>
              <w:bottom w:val="single" w:color="auto" w:sz="4" w:space="0"/>
              <w:right w:val="single" w:color="auto" w:sz="4" w:space="0"/>
            </w:tcBorders>
            <w:shd w:val="clear" w:color="auto" w:fill="auto"/>
            <w:vAlign w:val="center"/>
          </w:tcPr>
          <w:p w14:paraId="3FA3CAF3">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经采购人确认服务进度符合要求，供应商提供等额合规增值税专用发票（最迟不晚于服务期结束前2个月支付）</w:t>
            </w:r>
          </w:p>
        </w:tc>
      </w:tr>
      <w:tr w14:paraId="3C0B5BB7">
        <w:tblPrEx>
          <w:tblCellMar>
            <w:top w:w="0" w:type="dxa"/>
            <w:left w:w="108" w:type="dxa"/>
            <w:bottom w:w="0" w:type="dxa"/>
            <w:right w:w="108" w:type="dxa"/>
          </w:tblCellMar>
        </w:tblPrEx>
        <w:trPr>
          <w:trHeight w:val="1210" w:hRule="atLeast"/>
        </w:trPr>
        <w:tc>
          <w:tcPr>
            <w:tcW w:w="919" w:type="pct"/>
            <w:tcBorders>
              <w:top w:val="nil"/>
              <w:left w:val="single" w:color="auto" w:sz="4" w:space="0"/>
              <w:bottom w:val="single" w:color="auto" w:sz="4" w:space="0"/>
              <w:right w:val="single" w:color="auto" w:sz="4" w:space="0"/>
            </w:tcBorders>
            <w:shd w:val="clear" w:color="auto" w:fill="auto"/>
            <w:vAlign w:val="center"/>
          </w:tcPr>
          <w:p w14:paraId="0639438B">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尾款</w:t>
            </w:r>
          </w:p>
        </w:tc>
        <w:tc>
          <w:tcPr>
            <w:tcW w:w="824" w:type="pct"/>
            <w:tcBorders>
              <w:top w:val="nil"/>
              <w:left w:val="nil"/>
              <w:bottom w:val="single" w:color="auto" w:sz="4" w:space="0"/>
              <w:right w:val="single" w:color="auto" w:sz="4" w:space="0"/>
            </w:tcBorders>
            <w:shd w:val="clear" w:color="auto" w:fill="auto"/>
            <w:vAlign w:val="center"/>
          </w:tcPr>
          <w:p w14:paraId="72337FAF">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30%</w:t>
            </w:r>
          </w:p>
        </w:tc>
        <w:tc>
          <w:tcPr>
            <w:tcW w:w="3255" w:type="pct"/>
            <w:tcBorders>
              <w:top w:val="nil"/>
              <w:left w:val="nil"/>
              <w:bottom w:val="single" w:color="auto" w:sz="4" w:space="0"/>
              <w:right w:val="single" w:color="auto" w:sz="4" w:space="0"/>
            </w:tcBorders>
            <w:shd w:val="clear" w:color="auto" w:fill="auto"/>
            <w:vAlign w:val="center"/>
          </w:tcPr>
          <w:p w14:paraId="4BE0C26E">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服务期满，完成全部合同约定内容，经采购人验收合格后1个月内，供应商提供等额合规增值税专用发票</w:t>
            </w:r>
          </w:p>
        </w:tc>
      </w:tr>
    </w:tbl>
    <w:p w14:paraId="6B6CDBA4">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六、其它</w:t>
      </w:r>
    </w:p>
    <w:p w14:paraId="5D964E93">
      <w:pPr>
        <w:keepNext w:val="0"/>
        <w:keepLines w:val="0"/>
        <w:pageBreakBefore w:val="0"/>
        <w:widowControl/>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其它未尽事项按国家、地方有关法律、法规、规章及政府采购相关规定办理。</w:t>
      </w:r>
    </w:p>
    <w:p w14:paraId="3A22D401">
      <w:pPr>
        <w:keepNext w:val="0"/>
        <w:keepLines w:val="0"/>
        <w:pageBreakBefore w:val="0"/>
        <w:widowControl/>
        <w:kinsoku/>
        <w:wordWrap/>
        <w:overflowPunct/>
        <w:topLinePunct w:val="0"/>
        <w:autoSpaceDE/>
        <w:autoSpaceDN/>
        <w:bidi w:val="0"/>
        <w:adjustRightInd/>
        <w:snapToGrid/>
        <w:spacing w:line="480" w:lineRule="exact"/>
        <w:textAlignment w:val="auto"/>
        <w:rPr>
          <w:rFonts w:hint="eastAsia" w:asciiTheme="minorEastAsia" w:hAnsiTheme="minorEastAsia" w:eastAsiaTheme="minorEastAsia" w:cstheme="minorEastAsia"/>
          <w:b/>
          <w:bCs/>
          <w:kern w:val="0"/>
          <w:sz w:val="24"/>
          <w:szCs w:val="24"/>
          <w:lang w:eastAsia="zh-CN"/>
        </w:rPr>
      </w:pPr>
      <w:r>
        <w:rPr>
          <w:rFonts w:hint="eastAsia" w:asciiTheme="minorEastAsia" w:hAnsiTheme="minorEastAsia" w:eastAsiaTheme="minorEastAsia" w:cstheme="minorEastAsia"/>
          <w:b/>
          <w:bCs/>
          <w:kern w:val="0"/>
          <w:sz w:val="24"/>
          <w:szCs w:val="24"/>
        </w:rPr>
        <w:t>七、采购标的对应的中小企业划分标准所属行业一览表</w:t>
      </w:r>
    </w:p>
    <w:tbl>
      <w:tblPr>
        <w:tblStyle w:val="10"/>
        <w:tblW w:w="4998" w:type="pct"/>
        <w:tblInd w:w="0" w:type="dxa"/>
        <w:tblLayout w:type="autofit"/>
        <w:tblCellMar>
          <w:top w:w="0" w:type="dxa"/>
          <w:left w:w="108" w:type="dxa"/>
          <w:bottom w:w="0" w:type="dxa"/>
          <w:right w:w="108" w:type="dxa"/>
        </w:tblCellMar>
      </w:tblPr>
      <w:tblGrid>
        <w:gridCol w:w="711"/>
        <w:gridCol w:w="4142"/>
        <w:gridCol w:w="3666"/>
      </w:tblGrid>
      <w:tr w14:paraId="2545787D">
        <w:tblPrEx>
          <w:tblCellMar>
            <w:top w:w="0" w:type="dxa"/>
            <w:left w:w="108" w:type="dxa"/>
            <w:bottom w:w="0" w:type="dxa"/>
            <w:right w:w="108" w:type="dxa"/>
          </w:tblCellMar>
        </w:tblPrEx>
        <w:trPr>
          <w:trHeight w:val="544" w:hRule="atLeast"/>
        </w:trPr>
        <w:tc>
          <w:tcPr>
            <w:tcW w:w="417" w:type="pct"/>
            <w:tcBorders>
              <w:top w:val="single" w:color="auto" w:sz="4" w:space="0"/>
              <w:left w:val="single" w:color="auto" w:sz="4" w:space="0"/>
              <w:bottom w:val="single" w:color="auto" w:sz="4" w:space="0"/>
              <w:right w:val="single" w:color="auto" w:sz="4" w:space="0"/>
            </w:tcBorders>
            <w:shd w:val="clear" w:color="auto" w:fill="auto"/>
            <w:vAlign w:val="center"/>
          </w:tcPr>
          <w:p w14:paraId="3AF121E6">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序号</w:t>
            </w:r>
          </w:p>
        </w:tc>
        <w:tc>
          <w:tcPr>
            <w:tcW w:w="2430" w:type="pct"/>
            <w:tcBorders>
              <w:top w:val="single" w:color="auto" w:sz="4" w:space="0"/>
              <w:left w:val="nil"/>
              <w:bottom w:val="single" w:color="auto" w:sz="4" w:space="0"/>
              <w:right w:val="single" w:color="auto" w:sz="4" w:space="0"/>
            </w:tcBorders>
            <w:shd w:val="clear" w:color="auto" w:fill="auto"/>
            <w:vAlign w:val="center"/>
          </w:tcPr>
          <w:p w14:paraId="5D0848D6">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采购标的</w:t>
            </w:r>
          </w:p>
        </w:tc>
        <w:tc>
          <w:tcPr>
            <w:tcW w:w="2151" w:type="pct"/>
            <w:tcBorders>
              <w:top w:val="single" w:color="auto" w:sz="4" w:space="0"/>
              <w:left w:val="nil"/>
              <w:bottom w:val="single" w:color="auto" w:sz="4" w:space="0"/>
              <w:right w:val="single" w:color="auto" w:sz="4" w:space="0"/>
            </w:tcBorders>
            <w:shd w:val="clear" w:color="auto" w:fill="auto"/>
            <w:vAlign w:val="center"/>
          </w:tcPr>
          <w:p w14:paraId="3D47DEA6">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color w:val="000000"/>
                <w:kern w:val="0"/>
                <w:sz w:val="24"/>
                <w:szCs w:val="24"/>
              </w:rPr>
            </w:pPr>
            <w:r>
              <w:rPr>
                <w:rFonts w:hint="eastAsia" w:asciiTheme="minorEastAsia" w:hAnsiTheme="minorEastAsia" w:eastAsiaTheme="minorEastAsia" w:cstheme="minorEastAsia"/>
                <w:b/>
                <w:bCs/>
                <w:color w:val="000000"/>
                <w:kern w:val="0"/>
                <w:sz w:val="24"/>
                <w:szCs w:val="24"/>
              </w:rPr>
              <w:t>对应中小企业划分标准所属行业</w:t>
            </w:r>
          </w:p>
        </w:tc>
      </w:tr>
      <w:tr w14:paraId="6EC78397">
        <w:tblPrEx>
          <w:tblCellMar>
            <w:top w:w="0" w:type="dxa"/>
            <w:left w:w="108" w:type="dxa"/>
            <w:bottom w:w="0" w:type="dxa"/>
            <w:right w:w="108" w:type="dxa"/>
          </w:tblCellMar>
        </w:tblPrEx>
        <w:trPr>
          <w:trHeight w:val="635" w:hRule="atLeast"/>
        </w:trPr>
        <w:tc>
          <w:tcPr>
            <w:tcW w:w="417" w:type="pct"/>
            <w:tcBorders>
              <w:top w:val="nil"/>
              <w:left w:val="single" w:color="auto" w:sz="4" w:space="0"/>
              <w:bottom w:val="single" w:color="auto" w:sz="4" w:space="0"/>
              <w:right w:val="single" w:color="auto" w:sz="4" w:space="0"/>
            </w:tcBorders>
            <w:shd w:val="clear" w:color="auto" w:fill="auto"/>
            <w:vAlign w:val="center"/>
          </w:tcPr>
          <w:p w14:paraId="20F69226">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2430" w:type="pct"/>
            <w:tcBorders>
              <w:top w:val="nil"/>
              <w:left w:val="nil"/>
              <w:bottom w:val="single" w:color="auto" w:sz="4" w:space="0"/>
              <w:right w:val="single" w:color="auto" w:sz="4" w:space="0"/>
            </w:tcBorders>
            <w:shd w:val="clear" w:color="auto" w:fill="auto"/>
            <w:vAlign w:val="center"/>
          </w:tcPr>
          <w:p w14:paraId="31BA6B94">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黄海新区形象宣传省级媒体发布项目</w:t>
            </w:r>
          </w:p>
        </w:tc>
        <w:tc>
          <w:tcPr>
            <w:tcW w:w="2151" w:type="pct"/>
            <w:tcBorders>
              <w:top w:val="nil"/>
              <w:left w:val="nil"/>
              <w:bottom w:val="single" w:color="auto" w:sz="4" w:space="0"/>
              <w:right w:val="single" w:color="auto" w:sz="4" w:space="0"/>
            </w:tcBorders>
            <w:shd w:val="clear" w:color="auto" w:fill="auto"/>
            <w:vAlign w:val="center"/>
          </w:tcPr>
          <w:p w14:paraId="71096DA5">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其他未列明行业</w:t>
            </w:r>
          </w:p>
        </w:tc>
      </w:tr>
    </w:tbl>
    <w:p w14:paraId="54B9AEE6">
      <w:pPr>
        <w:pStyle w:val="8"/>
        <w:spacing w:beforeAutospacing="0" w:afterAutospacing="0" w:line="0" w:lineRule="atLeast"/>
        <w:jc w:val="both"/>
        <w:rPr>
          <w:rFonts w:hint="eastAsia" w:ascii="宋体" w:hAnsi="宋体" w:eastAsia="宋体" w:cs="宋体"/>
          <w:color w:val="auto"/>
          <w:highlight w:val="none"/>
          <w:shd w:val="clear" w:color="auto" w:fill="auto"/>
        </w:rPr>
      </w:pPr>
    </w:p>
    <w:p w14:paraId="4895F41D">
      <w:pPr>
        <w:rPr>
          <w:rFonts w:ascii="黑体" w:hAnsi="宋体" w:eastAsia="黑体" w:cs="黑体"/>
          <w:color w:val="auto"/>
          <w:sz w:val="44"/>
          <w:szCs w:val="44"/>
          <w:highlight w:val="none"/>
          <w:shd w:val="clear" w:color="auto" w:fill="auto"/>
        </w:rPr>
      </w:pPr>
      <w:bookmarkStart w:id="157" w:name="_Toc120614281"/>
      <w:r>
        <w:rPr>
          <w:rFonts w:hint="eastAsia" w:ascii="黑体" w:hAnsi="宋体" w:eastAsia="黑体" w:cs="黑体"/>
          <w:color w:val="auto"/>
          <w:sz w:val="44"/>
          <w:szCs w:val="44"/>
          <w:highlight w:val="none"/>
          <w:shd w:val="clear" w:color="auto" w:fill="auto"/>
        </w:rPr>
        <w:br w:type="page"/>
      </w:r>
    </w:p>
    <w:p w14:paraId="2EE76CDB">
      <w:pPr>
        <w:pStyle w:val="8"/>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p>
    <w:p w14:paraId="72018475">
      <w:pPr>
        <w:pStyle w:val="8"/>
        <w:spacing w:beforeAutospacing="0" w:afterAutospacing="0"/>
        <w:jc w:val="center"/>
        <w:rPr>
          <w:rFonts w:hint="eastAsia" w:ascii="宋体" w:hAnsi="宋体" w:eastAsia="宋体" w:cs="宋体"/>
          <w:b/>
          <w:color w:val="auto"/>
          <w:sz w:val="72"/>
          <w:szCs w:val="72"/>
          <w:highlight w:val="none"/>
          <w:shd w:val="clear" w:color="auto" w:fill="auto"/>
        </w:rPr>
      </w:pPr>
      <w:bookmarkStart w:id="158" w:name="_Toc120614282"/>
      <w:bookmarkEnd w:id="158"/>
      <w:bookmarkStart w:id="159" w:name="_Toc49090576"/>
      <w:bookmarkEnd w:id="159"/>
      <w:bookmarkStart w:id="160" w:name="_Toc26554094"/>
      <w:bookmarkStart w:id="161" w:name="_Hlt26955039"/>
      <w:bookmarkStart w:id="162" w:name="_Hlt26671244"/>
    </w:p>
    <w:p w14:paraId="6402E5C4">
      <w:pPr>
        <w:pStyle w:val="8"/>
        <w:spacing w:beforeAutospacing="0" w:afterAutospacing="0"/>
        <w:jc w:val="center"/>
        <w:rPr>
          <w:rFonts w:hint="eastAsia" w:ascii="宋体" w:hAnsi="宋体" w:eastAsia="宋体" w:cs="宋体"/>
          <w:b/>
          <w:color w:val="auto"/>
          <w:sz w:val="72"/>
          <w:szCs w:val="72"/>
          <w:highlight w:val="none"/>
          <w:shd w:val="clear" w:color="auto" w:fill="auto"/>
        </w:rPr>
      </w:pPr>
    </w:p>
    <w:p w14:paraId="23B95115">
      <w:pPr>
        <w:pStyle w:val="8"/>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46DC9F8">
      <w:pPr>
        <w:pStyle w:val="8"/>
        <w:spacing w:beforeAutospacing="0" w:afterAutospacing="0"/>
        <w:jc w:val="center"/>
        <w:rPr>
          <w:color w:val="auto"/>
          <w:highlight w:val="none"/>
          <w:shd w:val="clear" w:color="auto" w:fill="auto"/>
        </w:rPr>
      </w:pPr>
      <w:r>
        <w:rPr>
          <w:color w:val="auto"/>
          <w:highlight w:val="none"/>
          <w:shd w:val="clear" w:color="auto" w:fill="auto"/>
        </w:rPr>
        <w:t> </w:t>
      </w:r>
    </w:p>
    <w:p w14:paraId="770D669A">
      <w:pPr>
        <w:pStyle w:val="8"/>
        <w:spacing w:beforeAutospacing="0" w:afterAutospacing="0"/>
        <w:jc w:val="center"/>
        <w:rPr>
          <w:color w:val="auto"/>
          <w:highlight w:val="none"/>
          <w:shd w:val="clear" w:color="auto" w:fill="auto"/>
        </w:rPr>
      </w:pPr>
      <w:r>
        <w:rPr>
          <w:color w:val="auto"/>
          <w:highlight w:val="none"/>
          <w:shd w:val="clear" w:color="auto" w:fill="auto"/>
        </w:rPr>
        <w:t> </w:t>
      </w:r>
    </w:p>
    <w:p w14:paraId="26E71D77">
      <w:pPr>
        <w:pStyle w:val="8"/>
        <w:spacing w:beforeAutospacing="0" w:afterAutospacing="0"/>
        <w:jc w:val="center"/>
        <w:rPr>
          <w:color w:val="auto"/>
          <w:highlight w:val="none"/>
          <w:shd w:val="clear" w:color="auto" w:fill="auto"/>
        </w:rPr>
      </w:pPr>
      <w:r>
        <w:rPr>
          <w:color w:val="auto"/>
          <w:highlight w:val="none"/>
          <w:shd w:val="clear" w:color="auto" w:fill="auto"/>
        </w:rPr>
        <w:t> </w:t>
      </w:r>
    </w:p>
    <w:p w14:paraId="4989ADBA">
      <w:pPr>
        <w:pStyle w:val="8"/>
        <w:spacing w:beforeAutospacing="0" w:afterAutospacing="0"/>
        <w:jc w:val="center"/>
        <w:rPr>
          <w:color w:val="auto"/>
          <w:highlight w:val="none"/>
          <w:shd w:val="clear" w:color="auto" w:fill="auto"/>
        </w:rPr>
      </w:pPr>
      <w:r>
        <w:rPr>
          <w:color w:val="auto"/>
          <w:highlight w:val="none"/>
          <w:shd w:val="clear" w:color="auto" w:fill="auto"/>
        </w:rPr>
        <w:t> </w:t>
      </w:r>
    </w:p>
    <w:p w14:paraId="6C6DD35D">
      <w:pPr>
        <w:pStyle w:val="8"/>
        <w:spacing w:beforeAutospacing="0" w:afterAutospacing="0"/>
        <w:jc w:val="center"/>
        <w:rPr>
          <w:color w:val="auto"/>
          <w:highlight w:val="none"/>
          <w:shd w:val="clear" w:color="auto" w:fill="auto"/>
        </w:rPr>
      </w:pPr>
      <w:r>
        <w:rPr>
          <w:color w:val="auto"/>
          <w:highlight w:val="none"/>
          <w:shd w:val="clear" w:color="auto" w:fill="auto"/>
        </w:rPr>
        <w:t> </w:t>
      </w:r>
    </w:p>
    <w:p w14:paraId="1E918C1A">
      <w:pPr>
        <w:pStyle w:val="8"/>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xml:space="preserve">            </w:t>
      </w:r>
    </w:p>
    <w:p w14:paraId="7596DCF3">
      <w:pPr>
        <w:pStyle w:val="8"/>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采 购 编 号：</w:t>
      </w:r>
      <w:r>
        <w:rPr>
          <w:rFonts w:hint="eastAsia" w:ascii="宋体" w:hAnsi="宋体" w:eastAsia="宋体" w:cs="宋体"/>
          <w:b/>
          <w:color w:val="auto"/>
          <w:sz w:val="36"/>
          <w:szCs w:val="36"/>
          <w:highlight w:val="none"/>
          <w:u w:val="single"/>
          <w:shd w:val="clear" w:color="auto" w:fill="auto"/>
        </w:rPr>
        <w:t>            </w:t>
      </w:r>
    </w:p>
    <w:p w14:paraId="734FA936">
      <w:pPr>
        <w:pStyle w:val="8"/>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p>
    <w:p w14:paraId="01E3CA95">
      <w:pPr>
        <w:pStyle w:val="8"/>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p>
    <w:p w14:paraId="1C6E7F34">
      <w:pPr>
        <w:pStyle w:val="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4636A39">
      <w:pPr>
        <w:pStyle w:val="8"/>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0A838DD">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43B3B06">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0BC48DE4">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74FBD8F">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19DBC65B">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17C89C3">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54A1F10D">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4B9220F">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C9D3E51">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90A643A">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E90E998">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943D949">
      <w:pPr>
        <w:pStyle w:val="8"/>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D2A73A0">
      <w:pPr>
        <w:pStyle w:val="8"/>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0A390588">
      <w:pPr>
        <w:pStyle w:val="8"/>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D9FB5AF">
      <w:pPr>
        <w:pStyle w:val="8"/>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0E3B5E45">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二、上一年度的财务状况报告（至少提供资产负债表、利润表、现金流量表，</w:t>
      </w:r>
    </w:p>
    <w:p w14:paraId="58C27AA3">
      <w:pPr>
        <w:pStyle w:val="8"/>
        <w:spacing w:beforeAutospacing="0" w:afterAutospacing="0"/>
        <w:jc w:val="both"/>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协商供应商成立不满一年无需提供）</w:t>
      </w:r>
    </w:p>
    <w:p w14:paraId="78AB3E61">
      <w:pPr>
        <w:pStyle w:val="8"/>
        <w:numPr>
          <w:ilvl w:val="0"/>
          <w:numId w:val="1"/>
        </w:numPr>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30CFC750">
      <w:pPr>
        <w:pStyle w:val="8"/>
        <w:numPr>
          <w:ilvl w:val="0"/>
          <w:numId w:val="0"/>
        </w:numPr>
        <w:spacing w:beforeAutospacing="0" w:afterAutospacing="0"/>
        <w:ind w:firstLine="480" w:firstLineChars="20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40D1366C">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05135DDB">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六、特定资格要求的证明文件（如果本项目设置特定资格要求，则需要提供）</w:t>
      </w:r>
    </w:p>
    <w:p w14:paraId="65D0C1C9">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七、法人授权书</w:t>
      </w:r>
    </w:p>
    <w:p w14:paraId="6021FB5E">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5702C8F3">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九</w:t>
      </w:r>
      <w:r>
        <w:rPr>
          <w:rFonts w:hint="eastAsia" w:ascii="宋体" w:hAnsi="宋体" w:eastAsia="宋体" w:cs="宋体"/>
          <w:i w:val="0"/>
          <w:iCs/>
          <w:color w:val="auto"/>
          <w:sz w:val="24"/>
          <w:szCs w:val="24"/>
          <w:highlight w:val="none"/>
          <w:u w:val="none"/>
          <w:shd w:val="clear" w:color="auto" w:fill="auto"/>
        </w:rPr>
        <w:t>、技术要求响应及偏离表</w:t>
      </w:r>
    </w:p>
    <w:p w14:paraId="73DA025D">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十、商务要求响应及偏离表</w:t>
      </w:r>
    </w:p>
    <w:p w14:paraId="48EFFF5A">
      <w:pPr>
        <w:pStyle w:val="8"/>
        <w:spacing w:beforeAutospacing="0" w:afterAutospacing="0"/>
        <w:ind w:left="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一</w:t>
      </w:r>
      <w:r>
        <w:rPr>
          <w:rFonts w:hint="eastAsia" w:ascii="宋体" w:hAnsi="宋体" w:eastAsia="宋体" w:cs="宋体"/>
          <w:i w:val="0"/>
          <w:iCs/>
          <w:color w:val="auto"/>
          <w:sz w:val="24"/>
          <w:szCs w:val="24"/>
          <w:highlight w:val="none"/>
          <w:u w:val="none"/>
          <w:shd w:val="clear" w:color="auto" w:fill="auto"/>
        </w:rPr>
        <w:t>、开标一览表</w:t>
      </w:r>
    </w:p>
    <w:p w14:paraId="660B8D16">
      <w:pPr>
        <w:pStyle w:val="8"/>
        <w:spacing w:beforeAutospacing="0" w:afterAutospacing="0" w:line="360" w:lineRule="auto"/>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w:t>
      </w:r>
      <w:r>
        <w:rPr>
          <w:rFonts w:hint="eastAsia" w:ascii="宋体" w:hAnsi="宋体" w:eastAsia="宋体" w:cs="宋体"/>
          <w:i w:val="0"/>
          <w:iCs/>
          <w:color w:val="auto"/>
          <w:sz w:val="24"/>
          <w:szCs w:val="24"/>
          <w:highlight w:val="none"/>
          <w:u w:val="none"/>
          <w:shd w:val="clear" w:color="auto" w:fill="auto"/>
          <w:lang w:val="en-US" w:eastAsia="zh-CN"/>
        </w:rPr>
        <w:t>二</w:t>
      </w:r>
      <w:r>
        <w:rPr>
          <w:rFonts w:hint="eastAsia" w:ascii="宋体" w:hAnsi="宋体" w:eastAsia="宋体" w:cs="宋体"/>
          <w:i w:val="0"/>
          <w:iCs/>
          <w:color w:val="auto"/>
          <w:sz w:val="24"/>
          <w:szCs w:val="24"/>
          <w:highlight w:val="none"/>
          <w:u w:val="none"/>
          <w:shd w:val="clear" w:color="auto" w:fill="auto"/>
        </w:rPr>
        <w:t>、盐城市政府采购事前信用承诺书</w:t>
      </w:r>
    </w:p>
    <w:p w14:paraId="20A14EA5">
      <w:pPr>
        <w:pStyle w:val="8"/>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14:paraId="3890A701">
      <w:pPr>
        <w:pStyle w:val="8"/>
        <w:spacing w:beforeAutospacing="0" w:afterAutospacing="0" w:line="360" w:lineRule="auto"/>
        <w:ind w:firstLine="480"/>
        <w:jc w:val="both"/>
        <w:rPr>
          <w:rFonts w:ascii="宋体" w:hAnsi="宋体" w:eastAsia="宋体" w:cs="宋体"/>
          <w:color w:val="auto"/>
          <w:highlight w:val="none"/>
          <w:shd w:val="clear" w:color="auto" w:fill="auto"/>
        </w:rPr>
      </w:pPr>
      <w:r>
        <w:rPr>
          <w:color w:val="auto"/>
          <w:highlight w:val="none"/>
          <w:shd w:val="clear" w:color="auto" w:fill="auto"/>
        </w:rPr>
        <w:t> </w:t>
      </w:r>
    </w:p>
    <w:p w14:paraId="280D2B47">
      <w:pPr>
        <w:pStyle w:val="8"/>
        <w:spacing w:beforeAutospacing="0" w:afterAutospacing="0" w:line="0" w:lineRule="atLeast"/>
        <w:ind w:firstLine="480"/>
        <w:jc w:val="both"/>
        <w:rPr>
          <w:color w:val="auto"/>
          <w:highlight w:val="none"/>
          <w:shd w:val="clear" w:color="auto" w:fill="auto"/>
        </w:rPr>
      </w:pPr>
    </w:p>
    <w:p w14:paraId="3DFC843E">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1A81051">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7CFF3DC">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7929C8F">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A78CB21">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D955A8C">
      <w:pPr>
        <w:pStyle w:val="8"/>
        <w:spacing w:beforeAutospacing="0" w:afterAutospacing="0" w:line="0" w:lineRule="atLeast"/>
        <w:ind w:firstLine="480"/>
        <w:jc w:val="both"/>
        <w:rPr>
          <w:color w:val="auto"/>
          <w:highlight w:val="none"/>
          <w:shd w:val="clear" w:color="auto" w:fill="auto"/>
        </w:rPr>
      </w:pPr>
    </w:p>
    <w:p w14:paraId="33FC138C">
      <w:pPr>
        <w:pStyle w:val="8"/>
        <w:spacing w:beforeAutospacing="0" w:afterAutospacing="0" w:line="0" w:lineRule="atLeast"/>
        <w:ind w:firstLine="480"/>
        <w:jc w:val="both"/>
        <w:rPr>
          <w:color w:val="auto"/>
          <w:highlight w:val="none"/>
          <w:shd w:val="clear" w:color="auto" w:fill="auto"/>
        </w:rPr>
      </w:pPr>
    </w:p>
    <w:p w14:paraId="7BE3A011">
      <w:pPr>
        <w:pStyle w:val="8"/>
        <w:spacing w:beforeAutospacing="0" w:afterAutospacing="0" w:line="0" w:lineRule="atLeast"/>
        <w:ind w:firstLine="480"/>
        <w:jc w:val="both"/>
        <w:rPr>
          <w:color w:val="auto"/>
          <w:highlight w:val="none"/>
          <w:shd w:val="clear" w:color="auto" w:fill="auto"/>
        </w:rPr>
      </w:pPr>
    </w:p>
    <w:p w14:paraId="14B369F7">
      <w:pPr>
        <w:pStyle w:val="8"/>
        <w:spacing w:beforeAutospacing="0" w:afterAutospacing="0" w:line="0" w:lineRule="atLeast"/>
        <w:ind w:firstLine="480"/>
        <w:jc w:val="both"/>
        <w:rPr>
          <w:color w:val="auto"/>
          <w:highlight w:val="none"/>
          <w:shd w:val="clear" w:color="auto" w:fill="auto"/>
        </w:rPr>
      </w:pPr>
    </w:p>
    <w:p w14:paraId="53C305AD">
      <w:pPr>
        <w:pStyle w:val="8"/>
        <w:spacing w:beforeAutospacing="0" w:afterAutospacing="0" w:line="0" w:lineRule="atLeast"/>
        <w:ind w:firstLine="480"/>
        <w:jc w:val="both"/>
        <w:rPr>
          <w:color w:val="auto"/>
          <w:highlight w:val="none"/>
          <w:shd w:val="clear" w:color="auto" w:fill="auto"/>
        </w:rPr>
      </w:pPr>
    </w:p>
    <w:p w14:paraId="0D2F7B6E">
      <w:pPr>
        <w:pStyle w:val="8"/>
        <w:spacing w:beforeAutospacing="0" w:afterAutospacing="0" w:line="0" w:lineRule="atLeast"/>
        <w:ind w:firstLine="480"/>
        <w:jc w:val="both"/>
        <w:rPr>
          <w:color w:val="auto"/>
          <w:highlight w:val="none"/>
          <w:shd w:val="clear" w:color="auto" w:fill="auto"/>
        </w:rPr>
      </w:pPr>
    </w:p>
    <w:p w14:paraId="796F13C2">
      <w:pPr>
        <w:pStyle w:val="8"/>
        <w:spacing w:beforeAutospacing="0" w:afterAutospacing="0" w:line="0" w:lineRule="atLeast"/>
        <w:ind w:firstLine="480"/>
        <w:jc w:val="both"/>
        <w:rPr>
          <w:color w:val="auto"/>
          <w:highlight w:val="none"/>
          <w:shd w:val="clear" w:color="auto" w:fill="auto"/>
        </w:rPr>
      </w:pPr>
    </w:p>
    <w:p w14:paraId="28C27B9A">
      <w:pPr>
        <w:pStyle w:val="8"/>
        <w:spacing w:beforeAutospacing="0" w:afterAutospacing="0" w:line="0" w:lineRule="atLeast"/>
        <w:ind w:firstLine="480"/>
        <w:jc w:val="both"/>
        <w:rPr>
          <w:color w:val="auto"/>
          <w:highlight w:val="none"/>
          <w:shd w:val="clear" w:color="auto" w:fill="auto"/>
        </w:rPr>
      </w:pPr>
    </w:p>
    <w:p w14:paraId="0123B106">
      <w:pPr>
        <w:pStyle w:val="8"/>
        <w:spacing w:beforeAutospacing="0" w:afterAutospacing="0" w:line="0" w:lineRule="atLeast"/>
        <w:ind w:firstLine="480"/>
        <w:jc w:val="both"/>
        <w:rPr>
          <w:color w:val="auto"/>
          <w:highlight w:val="none"/>
          <w:shd w:val="clear" w:color="auto" w:fill="auto"/>
        </w:rPr>
      </w:pPr>
    </w:p>
    <w:p w14:paraId="65270ECF">
      <w:pPr>
        <w:pStyle w:val="8"/>
        <w:spacing w:beforeAutospacing="0" w:afterAutospacing="0" w:line="0" w:lineRule="atLeast"/>
        <w:ind w:firstLine="480"/>
        <w:jc w:val="both"/>
        <w:rPr>
          <w:color w:val="auto"/>
          <w:highlight w:val="none"/>
          <w:shd w:val="clear" w:color="auto" w:fill="auto"/>
        </w:rPr>
      </w:pPr>
    </w:p>
    <w:p w14:paraId="6C58C84B">
      <w:pPr>
        <w:pStyle w:val="8"/>
        <w:spacing w:beforeAutospacing="0" w:afterAutospacing="0" w:line="0" w:lineRule="atLeast"/>
        <w:ind w:firstLine="480"/>
        <w:jc w:val="both"/>
        <w:rPr>
          <w:color w:val="auto"/>
          <w:highlight w:val="none"/>
          <w:shd w:val="clear" w:color="auto" w:fill="auto"/>
        </w:rPr>
      </w:pPr>
    </w:p>
    <w:p w14:paraId="39F38265">
      <w:pPr>
        <w:pStyle w:val="8"/>
        <w:spacing w:beforeAutospacing="0" w:afterAutospacing="0" w:line="0" w:lineRule="atLeast"/>
        <w:ind w:firstLine="480"/>
        <w:jc w:val="both"/>
        <w:rPr>
          <w:color w:val="auto"/>
          <w:highlight w:val="none"/>
          <w:shd w:val="clear" w:color="auto" w:fill="auto"/>
        </w:rPr>
      </w:pPr>
    </w:p>
    <w:p w14:paraId="020CAD59">
      <w:pPr>
        <w:pStyle w:val="8"/>
        <w:spacing w:beforeAutospacing="0" w:afterAutospacing="0" w:line="0" w:lineRule="atLeast"/>
        <w:ind w:firstLine="480"/>
        <w:jc w:val="both"/>
        <w:rPr>
          <w:color w:val="auto"/>
          <w:highlight w:val="none"/>
          <w:shd w:val="clear" w:color="auto" w:fill="auto"/>
        </w:rPr>
      </w:pPr>
    </w:p>
    <w:p w14:paraId="2C858760">
      <w:pPr>
        <w:pStyle w:val="8"/>
        <w:spacing w:beforeAutospacing="0" w:afterAutospacing="0" w:line="0" w:lineRule="atLeast"/>
        <w:ind w:firstLine="480"/>
        <w:jc w:val="both"/>
        <w:rPr>
          <w:color w:val="auto"/>
          <w:highlight w:val="none"/>
          <w:shd w:val="clear" w:color="auto" w:fill="auto"/>
        </w:rPr>
      </w:pPr>
    </w:p>
    <w:p w14:paraId="397C6FEB">
      <w:pPr>
        <w:pStyle w:val="8"/>
        <w:spacing w:beforeAutospacing="0" w:afterAutospacing="0" w:line="0" w:lineRule="atLeast"/>
        <w:ind w:firstLine="480"/>
        <w:jc w:val="both"/>
        <w:rPr>
          <w:color w:val="auto"/>
          <w:highlight w:val="none"/>
          <w:shd w:val="clear" w:color="auto" w:fill="auto"/>
        </w:rPr>
      </w:pPr>
    </w:p>
    <w:p w14:paraId="74EFD957">
      <w:pPr>
        <w:pStyle w:val="8"/>
        <w:spacing w:beforeAutospacing="0" w:afterAutospacing="0"/>
        <w:jc w:val="both"/>
        <w:rPr>
          <w:color w:val="auto"/>
          <w:highlight w:val="none"/>
          <w:shd w:val="clear" w:color="auto" w:fill="auto"/>
        </w:rPr>
      </w:pPr>
      <w:r>
        <w:rPr>
          <w:color w:val="auto"/>
          <w:highlight w:val="none"/>
          <w:shd w:val="clear" w:color="auto" w:fill="auto"/>
        </w:rPr>
        <w:t> </w:t>
      </w:r>
    </w:p>
    <w:p w14:paraId="48D0F391">
      <w:pPr>
        <w:pStyle w:val="8"/>
        <w:spacing w:beforeAutospacing="0" w:afterAutospacing="0"/>
        <w:jc w:val="both"/>
        <w:rPr>
          <w:color w:val="auto"/>
          <w:highlight w:val="none"/>
          <w:shd w:val="clear" w:color="auto" w:fill="auto"/>
        </w:rPr>
      </w:pPr>
      <w:r>
        <w:rPr>
          <w:color w:val="auto"/>
          <w:highlight w:val="none"/>
          <w:shd w:val="clear" w:color="auto" w:fill="auto"/>
        </w:rPr>
        <w:t> </w:t>
      </w:r>
    </w:p>
    <w:p w14:paraId="7C31677E">
      <w:pPr>
        <w:pStyle w:val="8"/>
        <w:spacing w:beforeAutospacing="0" w:afterAutospacing="0"/>
        <w:jc w:val="both"/>
        <w:rPr>
          <w:rFonts w:hint="eastAsia" w:ascii="黑体" w:hAnsi="宋体" w:eastAsia="黑体" w:cs="黑体"/>
          <w:i/>
          <w:color w:val="auto"/>
          <w:sz w:val="32"/>
          <w:szCs w:val="32"/>
          <w:highlight w:val="none"/>
          <w:u w:val="single"/>
          <w:shd w:val="clear" w:color="auto" w:fill="auto"/>
        </w:rPr>
      </w:pPr>
    </w:p>
    <w:p w14:paraId="66CB0AB8">
      <w:pPr>
        <w:pStyle w:val="8"/>
        <w:spacing w:beforeAutospacing="0" w:afterAutospacing="0"/>
        <w:jc w:val="both"/>
        <w:rPr>
          <w:rFonts w:hint="eastAsia" w:ascii="黑体" w:hAnsi="宋体" w:eastAsia="黑体" w:cs="黑体"/>
          <w:i/>
          <w:color w:val="auto"/>
          <w:sz w:val="32"/>
          <w:szCs w:val="32"/>
          <w:highlight w:val="none"/>
          <w:u w:val="single"/>
          <w:shd w:val="clear" w:color="auto" w:fill="auto"/>
        </w:rPr>
      </w:pPr>
    </w:p>
    <w:p w14:paraId="66FEC35C">
      <w:pPr>
        <w:pStyle w:val="8"/>
        <w:spacing w:beforeAutospacing="0" w:afterAutospacing="0"/>
        <w:jc w:val="both"/>
        <w:rPr>
          <w:rFonts w:hint="eastAsia" w:ascii="黑体" w:hAnsi="宋体" w:eastAsia="黑体" w:cs="黑体"/>
          <w:i/>
          <w:color w:val="auto"/>
          <w:sz w:val="32"/>
          <w:szCs w:val="32"/>
          <w:highlight w:val="none"/>
          <w:u w:val="single"/>
          <w:shd w:val="clear" w:color="auto" w:fill="auto"/>
        </w:rPr>
      </w:pPr>
    </w:p>
    <w:p w14:paraId="0A7DF962">
      <w:pPr>
        <w:pStyle w:val="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6C1FB9BB">
      <w:pPr>
        <w:pStyle w:val="8"/>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5633A11">
      <w:pPr>
        <w:pStyle w:val="8"/>
        <w:spacing w:beforeAutospacing="0" w:afterAutospacing="0"/>
        <w:jc w:val="both"/>
        <w:rPr>
          <w:rFonts w:hint="eastAsia" w:eastAsia="黑体"/>
          <w:color w:val="auto"/>
          <w:highlight w:val="none"/>
          <w:shd w:val="clear" w:color="auto" w:fill="auto"/>
          <w:lang w:val="en-US" w:eastAsia="zh-CN"/>
        </w:rPr>
      </w:pPr>
      <w:r>
        <w:rPr>
          <w:rFonts w:hint="eastAsia" w:ascii="黑体" w:hAnsi="宋体" w:eastAsia="黑体" w:cs="黑体"/>
          <w:i/>
          <w:color w:val="auto"/>
          <w:sz w:val="32"/>
          <w:szCs w:val="32"/>
          <w:highlight w:val="none"/>
          <w:u w:val="single"/>
          <w:shd w:val="clear" w:color="auto" w:fill="auto"/>
        </w:rPr>
        <w:t>二、上一年度的财务状况报</w:t>
      </w:r>
      <w:r>
        <w:rPr>
          <w:rFonts w:hint="eastAsia" w:ascii="黑体" w:hAnsi="宋体" w:eastAsia="黑体" w:cs="黑体"/>
          <w:i/>
          <w:color w:val="auto"/>
          <w:sz w:val="32"/>
          <w:szCs w:val="32"/>
          <w:highlight w:val="none"/>
          <w:u w:val="single"/>
          <w:shd w:val="clear" w:color="auto" w:fill="auto"/>
          <w:lang w:val="en-US" w:eastAsia="zh-CN"/>
        </w:rPr>
        <w:t>告</w:t>
      </w:r>
    </w:p>
    <w:p w14:paraId="1FEDCFDE">
      <w:pPr>
        <w:tabs>
          <w:tab w:val="left" w:pos="1331"/>
        </w:tabs>
        <w:bidi w:val="0"/>
        <w:ind w:firstLine="480" w:firstLineChars="200"/>
        <w:jc w:val="left"/>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（至少提供资产负债表、利润表、现金流量表，协商供应商成立不满一年无需提供）</w:t>
      </w:r>
    </w:p>
    <w:p w14:paraId="70746FB8">
      <w:pPr>
        <w:pStyle w:val="8"/>
        <w:spacing w:beforeAutospacing="0" w:afterAutospacing="0"/>
        <w:jc w:val="both"/>
        <w:rPr>
          <w:color w:val="auto"/>
          <w:highlight w:val="none"/>
          <w:shd w:val="clear" w:color="auto" w:fill="auto"/>
        </w:rPr>
      </w:pPr>
      <w:r>
        <w:rPr>
          <w:color w:val="auto"/>
          <w:highlight w:val="none"/>
          <w:shd w:val="clear" w:color="auto" w:fill="auto"/>
        </w:rPr>
        <w:t> </w:t>
      </w:r>
    </w:p>
    <w:p w14:paraId="15163BAB">
      <w:pPr>
        <w:pStyle w:val="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05361B29">
      <w:pPr>
        <w:pStyle w:val="8"/>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35036A43">
      <w:pPr>
        <w:pStyle w:val="8"/>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0D44093">
      <w:pPr>
        <w:pStyle w:val="8"/>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A59290E">
      <w:pPr>
        <w:pStyle w:val="8"/>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2EF7B5E3">
      <w:pPr>
        <w:pStyle w:val="8"/>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207958E">
      <w:pPr>
        <w:pStyle w:val="8"/>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2EE3E3C5">
      <w:pPr>
        <w:pStyle w:val="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8CFE9DC">
      <w:pPr>
        <w:pStyle w:val="8"/>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52428515">
      <w:pPr>
        <w:pStyle w:val="8"/>
        <w:spacing w:beforeAutospacing="0" w:afterAutospacing="0"/>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09B6BC46">
      <w:pPr>
        <w:pStyle w:val="8"/>
        <w:spacing w:beforeAutospacing="0" w:afterAutospacing="0"/>
        <w:jc w:val="both"/>
        <w:rPr>
          <w:color w:val="auto"/>
          <w:highlight w:val="none"/>
          <w:shd w:val="clear" w:color="auto" w:fill="auto"/>
        </w:rPr>
      </w:pPr>
      <w:r>
        <w:rPr>
          <w:color w:val="auto"/>
          <w:highlight w:val="none"/>
          <w:shd w:val="clear" w:color="auto" w:fill="auto"/>
        </w:rPr>
        <w:t> </w:t>
      </w:r>
    </w:p>
    <w:p w14:paraId="3A9909F6">
      <w:pPr>
        <w:pStyle w:val="8"/>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六、特定资格要求的证明文件</w:t>
      </w:r>
    </w:p>
    <w:p w14:paraId="55BF7A10">
      <w:pPr>
        <w:pStyle w:val="8"/>
        <w:spacing w:beforeAutospacing="0" w:afterAutospacing="0" w:line="0" w:lineRule="atLeast"/>
        <w:jc w:val="both"/>
        <w:rPr>
          <w:color w:val="auto"/>
          <w:highlight w:val="none"/>
          <w:shd w:val="clear" w:color="auto" w:fill="auto"/>
        </w:rPr>
      </w:pPr>
      <w:r>
        <w:rPr>
          <w:rFonts w:hint="eastAsia" w:ascii="宋体" w:hAnsi="宋体" w:eastAsia="宋体" w:cs="宋体"/>
          <w:color w:val="auto"/>
          <w:highlight w:val="none"/>
          <w:shd w:val="clear" w:color="auto" w:fill="auto"/>
        </w:rPr>
        <w:t>   如果本项目申请人的特定资格要求中要求提供的，必须提供。</w:t>
      </w:r>
    </w:p>
    <w:p w14:paraId="32C3D819">
      <w:pPr>
        <w:pStyle w:val="8"/>
        <w:spacing w:beforeAutospacing="0" w:afterAutospacing="0"/>
        <w:jc w:val="center"/>
        <w:rPr>
          <w:rFonts w:ascii="黑体" w:hAnsi="宋体" w:eastAsia="黑体" w:cs="黑体"/>
          <w:i/>
          <w:color w:val="auto"/>
          <w:sz w:val="32"/>
          <w:szCs w:val="32"/>
          <w:highlight w:val="none"/>
          <w:u w:val="single"/>
          <w:shd w:val="clear" w:color="auto" w:fill="auto"/>
        </w:rPr>
      </w:pPr>
      <w:bookmarkStart w:id="163" w:name="_Toc120614284"/>
    </w:p>
    <w:p w14:paraId="06370E4E">
      <w:pPr>
        <w:pStyle w:val="8"/>
        <w:spacing w:beforeAutospacing="0" w:afterAutospacing="0"/>
        <w:jc w:val="center"/>
        <w:rPr>
          <w:rFonts w:ascii="黑体" w:hAnsi="宋体" w:eastAsia="黑体" w:cs="黑体"/>
          <w:i/>
          <w:color w:val="auto"/>
          <w:sz w:val="32"/>
          <w:szCs w:val="32"/>
          <w:highlight w:val="none"/>
          <w:u w:val="single"/>
          <w:shd w:val="clear" w:color="auto" w:fill="auto"/>
        </w:rPr>
      </w:pPr>
    </w:p>
    <w:p w14:paraId="5A64D353">
      <w:pPr>
        <w:pStyle w:val="8"/>
        <w:spacing w:beforeAutospacing="0" w:afterAutospacing="0"/>
        <w:jc w:val="center"/>
        <w:rPr>
          <w:rFonts w:ascii="黑体" w:hAnsi="宋体" w:eastAsia="黑体" w:cs="黑体"/>
          <w:i/>
          <w:color w:val="auto"/>
          <w:sz w:val="32"/>
          <w:szCs w:val="32"/>
          <w:highlight w:val="none"/>
          <w:u w:val="single"/>
          <w:shd w:val="clear" w:color="auto" w:fill="auto"/>
        </w:rPr>
      </w:pPr>
    </w:p>
    <w:p w14:paraId="1A6BB0B3">
      <w:pPr>
        <w:pStyle w:val="8"/>
        <w:spacing w:beforeAutospacing="0" w:afterAutospacing="0"/>
        <w:jc w:val="center"/>
        <w:rPr>
          <w:rFonts w:ascii="黑体" w:hAnsi="宋体" w:eastAsia="黑体" w:cs="黑体"/>
          <w:i/>
          <w:color w:val="auto"/>
          <w:sz w:val="32"/>
          <w:szCs w:val="32"/>
          <w:highlight w:val="none"/>
          <w:u w:val="single"/>
          <w:shd w:val="clear" w:color="auto" w:fill="auto"/>
        </w:rPr>
      </w:pPr>
    </w:p>
    <w:p w14:paraId="1B485EB9">
      <w:pPr>
        <w:pStyle w:val="8"/>
        <w:spacing w:beforeAutospacing="0" w:afterAutospacing="0"/>
        <w:jc w:val="center"/>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七、法人授权书</w:t>
      </w:r>
    </w:p>
    <w:p w14:paraId="62479900">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shd w:val="clear" w:color="auto" w:fill="auto"/>
        </w:rPr>
      </w:pPr>
    </w:p>
    <w:p w14:paraId="50F47055">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shd w:val="clear" w:color="auto" w:fill="auto"/>
        </w:rPr>
      </w:pPr>
      <w:r>
        <w:rPr>
          <w:rFonts w:hint="eastAsia" w:asciiTheme="minorEastAsia" w:hAnsiTheme="minorEastAsia" w:eastAsiaTheme="minorEastAsia" w:cstheme="minorEastAsia"/>
          <w:color w:val="auto"/>
          <w:highlight w:val="none"/>
          <w:shd w:val="clear" w:color="auto" w:fill="auto"/>
        </w:rPr>
        <w:t>本授权书声明：____________（供应商名称）授权________________（被授权人的姓名）为我方就JSZC-320900-JSZC-D2026-0042号黄海新区形象宣传省级媒体发布项目采购活动的合法代理人，以本单位名义全权处理一切与该项目采购有关的事务。</w:t>
      </w:r>
    </w:p>
    <w:p w14:paraId="455CC534">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shd w:val="clear" w:color="auto" w:fill="auto"/>
        </w:rPr>
      </w:pPr>
      <w:r>
        <w:rPr>
          <w:rFonts w:hint="eastAsia" w:asciiTheme="minorEastAsia" w:hAnsiTheme="minorEastAsia" w:eastAsiaTheme="minorEastAsia" w:cstheme="minorEastAsia"/>
          <w:color w:val="auto"/>
          <w:highlight w:val="none"/>
          <w:shd w:val="clear" w:color="auto" w:fill="auto"/>
        </w:rPr>
        <w:t>本授权书于______年____月____日起生效，特此声明。</w:t>
      </w:r>
    </w:p>
    <w:p w14:paraId="7ECB90A2">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u w:val="single"/>
          <w:shd w:val="clear" w:color="auto" w:fill="auto"/>
        </w:rPr>
      </w:pPr>
      <w:r>
        <w:rPr>
          <w:rFonts w:hint="eastAsia" w:asciiTheme="minorEastAsia" w:hAnsiTheme="minorEastAsia" w:eastAsiaTheme="minorEastAsia" w:cstheme="minorEastAsia"/>
          <w:color w:val="auto"/>
          <w:highlight w:val="none"/>
          <w:shd w:val="clear" w:color="auto" w:fill="auto"/>
        </w:rPr>
        <w:t>被授权人身份证号码：</w:t>
      </w:r>
      <w:r>
        <w:rPr>
          <w:rFonts w:hint="eastAsia" w:asciiTheme="minorEastAsia" w:hAnsiTheme="minorEastAsia" w:eastAsiaTheme="minorEastAsia" w:cstheme="minorEastAsia"/>
          <w:color w:val="auto"/>
          <w:highlight w:val="none"/>
          <w:u w:val="single"/>
          <w:shd w:val="clear" w:color="auto" w:fill="auto"/>
        </w:rPr>
        <w:t>                 </w:t>
      </w:r>
    </w:p>
    <w:p w14:paraId="2637AEDA">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u w:val="single"/>
          <w:shd w:val="clear" w:color="auto" w:fill="auto"/>
        </w:rPr>
      </w:pPr>
      <w:r>
        <w:rPr>
          <w:rFonts w:hint="eastAsia" w:asciiTheme="minorEastAsia" w:hAnsiTheme="minorEastAsia" w:eastAsiaTheme="minorEastAsia" w:cstheme="minorEastAsia"/>
          <w:color w:val="auto"/>
          <w:highlight w:val="none"/>
          <w:shd w:val="clear" w:color="auto" w:fill="auto"/>
        </w:rPr>
        <w:t>被授权人联系电话：（手机）</w:t>
      </w:r>
      <w:r>
        <w:rPr>
          <w:rFonts w:hint="eastAsia" w:asciiTheme="minorEastAsia" w:hAnsiTheme="minorEastAsia" w:eastAsiaTheme="minorEastAsia" w:cstheme="minorEastAsia"/>
          <w:color w:val="auto"/>
          <w:highlight w:val="none"/>
          <w:u w:val="single"/>
          <w:shd w:val="clear" w:color="auto" w:fill="auto"/>
        </w:rPr>
        <w:t>              </w:t>
      </w:r>
    </w:p>
    <w:p w14:paraId="026608CA">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u w:val="single"/>
          <w:shd w:val="clear" w:color="auto" w:fill="auto"/>
        </w:rPr>
      </w:pPr>
      <w:r>
        <w:rPr>
          <w:rFonts w:hint="eastAsia" w:asciiTheme="minorEastAsia" w:hAnsiTheme="minorEastAsia" w:eastAsiaTheme="minorEastAsia" w:cstheme="minorEastAsia"/>
          <w:color w:val="auto"/>
          <w:highlight w:val="none"/>
          <w:shd w:val="clear" w:color="auto" w:fill="auto"/>
        </w:rPr>
        <w:t>授权单位名称：</w:t>
      </w:r>
      <w:r>
        <w:rPr>
          <w:rFonts w:hint="eastAsia" w:asciiTheme="minorEastAsia" w:hAnsiTheme="minorEastAsia" w:eastAsiaTheme="minorEastAsia" w:cstheme="minorEastAsia"/>
          <w:color w:val="auto"/>
          <w:highlight w:val="none"/>
          <w:u w:val="single"/>
          <w:shd w:val="clear" w:color="auto" w:fill="auto"/>
        </w:rPr>
        <w:t>（加盖CA电子公章）</w:t>
      </w:r>
    </w:p>
    <w:p w14:paraId="51DD5E02">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u w:val="single"/>
          <w:shd w:val="clear" w:color="auto" w:fill="auto"/>
        </w:rPr>
      </w:pPr>
      <w:r>
        <w:rPr>
          <w:rFonts w:hint="eastAsia" w:asciiTheme="minorEastAsia" w:hAnsiTheme="minorEastAsia" w:eastAsiaTheme="minorEastAsia" w:cstheme="minorEastAsia"/>
          <w:color w:val="auto"/>
          <w:highlight w:val="none"/>
          <w:shd w:val="clear" w:color="auto" w:fill="auto"/>
        </w:rPr>
        <w:t>单位地址：</w:t>
      </w:r>
      <w:r>
        <w:rPr>
          <w:rFonts w:hint="eastAsia" w:asciiTheme="minorEastAsia" w:hAnsiTheme="minorEastAsia" w:eastAsiaTheme="minorEastAsia" w:cstheme="minorEastAsia"/>
          <w:color w:val="auto"/>
          <w:highlight w:val="none"/>
          <w:u w:val="single"/>
          <w:shd w:val="clear" w:color="auto" w:fill="auto"/>
        </w:rPr>
        <w:t>                      </w:t>
      </w:r>
    </w:p>
    <w:p w14:paraId="4626E4F2">
      <w:pPr>
        <w:pStyle w:val="8"/>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Theme="minorEastAsia" w:hAnsiTheme="minorEastAsia" w:eastAsiaTheme="minorEastAsia" w:cstheme="minorEastAsia"/>
          <w:color w:val="auto"/>
          <w:highlight w:val="none"/>
          <w:shd w:val="clear" w:color="auto" w:fill="auto"/>
        </w:rPr>
      </w:pPr>
      <w:r>
        <w:rPr>
          <w:rFonts w:hint="eastAsia" w:asciiTheme="minorEastAsia" w:hAnsiTheme="minorEastAsia" w:eastAsiaTheme="minorEastAsia" w:cstheme="minorEastAsia"/>
          <w:color w:val="auto"/>
          <w:highlight w:val="none"/>
          <w:shd w:val="clear" w:color="auto" w:fill="auto"/>
        </w:rPr>
        <w:t>日期：</w:t>
      </w:r>
      <w:bookmarkStart w:id="164" w:name="_Hlt26955070"/>
      <w:bookmarkStart w:id="165" w:name="_格式3__银行出具的资信证明"/>
      <w:bookmarkStart w:id="166" w:name="_Hlt26671380"/>
      <w:r>
        <w:rPr>
          <w:rFonts w:hint="eastAsia" w:asciiTheme="minorEastAsia" w:hAnsiTheme="minorEastAsia" w:eastAsiaTheme="minorEastAsia" w:cstheme="minorEastAsia"/>
          <w:color w:val="auto"/>
          <w:highlight w:val="none"/>
          <w:u w:val="single"/>
          <w:shd w:val="clear" w:color="auto" w:fill="auto"/>
        </w:rPr>
        <w:t>  </w:t>
      </w:r>
      <w:r>
        <w:rPr>
          <w:rFonts w:hint="eastAsia" w:asciiTheme="minorEastAsia" w:hAnsiTheme="minorEastAsia" w:cstheme="minorEastAsia"/>
          <w:color w:val="auto"/>
          <w:highlight w:val="none"/>
          <w:u w:val="single"/>
          <w:shd w:val="clear" w:color="auto" w:fill="auto"/>
          <w:lang w:val="en-US" w:eastAsia="zh-CN"/>
        </w:rPr>
        <w:t xml:space="preserve">                                    </w:t>
      </w:r>
      <w:r>
        <w:rPr>
          <w:rFonts w:hint="eastAsia" w:asciiTheme="minorEastAsia" w:hAnsiTheme="minorEastAsia" w:eastAsiaTheme="minorEastAsia" w:cstheme="minorEastAsia"/>
          <w:color w:val="auto"/>
          <w:highlight w:val="none"/>
          <w:u w:val="single"/>
          <w:shd w:val="clear" w:color="auto" w:fill="auto"/>
        </w:rPr>
        <w:t>    </w:t>
      </w:r>
    </w:p>
    <w:p w14:paraId="17A5C0FE">
      <w:pPr>
        <w:pStyle w:val="8"/>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F38E6A0">
      <w:pPr>
        <w:pStyle w:val="8"/>
        <w:spacing w:beforeAutospacing="0" w:afterAutospacing="0"/>
        <w:ind w:firstLine="420"/>
        <w:jc w:val="both"/>
        <w:rPr>
          <w:color w:val="auto"/>
          <w:highlight w:val="none"/>
          <w:shd w:val="clear" w:color="auto" w:fill="auto"/>
        </w:rPr>
      </w:pPr>
      <w:r>
        <w:rPr>
          <w:color w:val="auto"/>
          <w:highlight w:val="none"/>
          <w:shd w:val="clear" w:color="auto" w:fill="auto"/>
        </w:rPr>
        <w:t> </w:t>
      </w:r>
    </w:p>
    <w:p w14:paraId="7CB4E8F3">
      <w:pPr>
        <w:pStyle w:val="8"/>
        <w:spacing w:beforeAutospacing="0" w:afterAutospacing="0"/>
        <w:jc w:val="both"/>
        <w:rPr>
          <w:color w:val="auto"/>
          <w:highlight w:val="none"/>
          <w:shd w:val="clear" w:color="auto" w:fill="auto"/>
        </w:rPr>
      </w:pPr>
      <w:r>
        <w:rPr>
          <w:color w:val="auto"/>
          <w:highlight w:val="none"/>
          <w:shd w:val="clear" w:color="auto" w:fill="auto"/>
        </w:rPr>
        <w:t> </w:t>
      </w:r>
    </w:p>
    <w:p w14:paraId="64F4B9F4">
      <w:pPr>
        <w:pStyle w:val="8"/>
        <w:keepNext/>
        <w:keepLines/>
        <w:spacing w:before="260" w:beforeAutospacing="0" w:after="260" w:afterAutospacing="0" w:line="415" w:lineRule="auto"/>
        <w:jc w:val="center"/>
        <w:rPr>
          <w:color w:val="auto"/>
          <w:highlight w:val="none"/>
          <w:shd w:val="clear" w:color="auto" w:fill="auto"/>
        </w:rPr>
      </w:pPr>
      <w:r>
        <w:rPr>
          <w:rFonts w:hint="eastAsia" w:ascii="宋体" w:hAnsi="宋体" w:eastAsia="宋体" w:cs="宋体"/>
          <w:b/>
          <w:color w:val="auto"/>
          <w:highlight w:val="none"/>
          <w:shd w:val="clear" w:color="auto" w:fill="auto"/>
        </w:rPr>
        <w:br w:type="page"/>
      </w:r>
      <w:r>
        <w:rPr>
          <w:rFonts w:hint="eastAsia" w:ascii="黑体" w:hAnsi="宋体" w:eastAsia="黑体" w:cs="黑体"/>
          <w:b/>
          <w:i/>
          <w:color w:val="auto"/>
          <w:sz w:val="32"/>
          <w:szCs w:val="32"/>
          <w:highlight w:val="none"/>
          <w:u w:val="single"/>
          <w:shd w:val="clear" w:color="auto" w:fill="auto"/>
        </w:rPr>
        <w:t>八、单一来源响应函</w:t>
      </w:r>
    </w:p>
    <w:p w14:paraId="075BCDFE">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盐城经济技术开发区管委会滨海港工业园区管理办公室</w:t>
      </w:r>
    </w:p>
    <w:p w14:paraId="4DDD7305">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根据贵方的JSZC-320900-JSZC-D2026-0042号采购文件，正式授权下述签字人______(姓名)代表我方______________（供应商的名称），全权处理本次项目单一来源采购的有关事宜。</w:t>
      </w:r>
    </w:p>
    <w:p w14:paraId="750B62A6">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51A9882D">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32CF4307">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5D760BC9">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00ADFBD0">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0A1B9346">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06C6999B">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7114CE10">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地   址：</w:t>
      </w:r>
    </w:p>
    <w:p w14:paraId="1007A9C1">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邮   编：</w:t>
      </w:r>
    </w:p>
    <w:p w14:paraId="279822A8">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电   话：</w:t>
      </w:r>
    </w:p>
    <w:p w14:paraId="3159E062">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传   真：</w:t>
      </w:r>
    </w:p>
    <w:p w14:paraId="395440CD">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323C550E">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35F146AA">
      <w:pPr>
        <w:pStyle w:val="8"/>
        <w:keepNext w:val="0"/>
        <w:keepLines w:val="0"/>
        <w:pageBreakBefore w:val="0"/>
        <w:widowControl w:val="0"/>
        <w:kinsoku/>
        <w:wordWrap/>
        <w:overflowPunct/>
        <w:topLinePunct w:val="0"/>
        <w:autoSpaceDE/>
        <w:autoSpaceDN/>
        <w:bidi w:val="0"/>
        <w:adjustRightInd/>
        <w:snapToGrid/>
        <w:spacing w:beforeAutospacing="0" w:afterAutospacing="0" w:line="480" w:lineRule="atLeast"/>
        <w:ind w:left="0" w:firstLine="480" w:firstLineChars="200"/>
        <w:jc w:val="both"/>
        <w:textAlignment w:val="auto"/>
        <w:rPr>
          <w:color w:val="auto"/>
          <w:highlight w:val="none"/>
          <w:shd w:val="clear" w:color="auto" w:fill="auto"/>
        </w:rPr>
      </w:pPr>
      <w:r>
        <w:rPr>
          <w:rFonts w:hint="eastAsia" w:ascii="宋体" w:hAnsi="宋体" w:eastAsia="宋体" w:cs="宋体"/>
          <w:color w:val="auto"/>
          <w:highlight w:val="none"/>
          <w:shd w:val="clear" w:color="auto" w:fill="auto"/>
        </w:rPr>
        <w:t>日   期：______年____月____日</w:t>
      </w:r>
    </w:p>
    <w:p w14:paraId="493D6EB5">
      <w:pPr>
        <w:pStyle w:val="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0767FF">
      <w:pPr>
        <w:pStyle w:val="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7B56F6">
      <w:pPr>
        <w:pStyle w:val="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9E2430A">
      <w:pPr>
        <w:pStyle w:val="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13A93C8">
      <w:pPr>
        <w:pStyle w:val="8"/>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130516D">
      <w:pPr>
        <w:pStyle w:val="8"/>
        <w:spacing w:beforeAutospacing="0" w:afterAutospacing="0" w:line="0" w:lineRule="atLeast"/>
        <w:ind w:firstLine="240"/>
        <w:jc w:val="center"/>
        <w:rPr>
          <w:color w:val="auto"/>
          <w:highlight w:val="none"/>
          <w:shd w:val="clear" w:color="auto" w:fill="auto"/>
        </w:rPr>
      </w:pPr>
    </w:p>
    <w:p w14:paraId="76B37431">
      <w:pPr>
        <w:pStyle w:val="8"/>
        <w:spacing w:beforeAutospacing="0" w:afterAutospacing="0"/>
        <w:jc w:val="center"/>
        <w:rPr>
          <w:color w:val="auto"/>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九</w:t>
      </w:r>
      <w:r>
        <w:rPr>
          <w:rFonts w:hint="eastAsia" w:ascii="黑体" w:hAnsi="宋体" w:eastAsia="黑体" w:cs="黑体"/>
          <w:b/>
          <w:color w:val="auto"/>
          <w:sz w:val="32"/>
          <w:szCs w:val="32"/>
          <w:highlight w:val="none"/>
          <w:shd w:val="clear" w:color="auto" w:fill="auto"/>
        </w:rPr>
        <w:t>、技术要求响应及偏离表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28C4C837">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5817C">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序号</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ECDD">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FA72">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B155">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4736">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179105D5">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10F872E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FCE8A">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B3D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77A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1BB04">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B6D2">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6918863D">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C225">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566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2E21">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EDB9">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3359">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7B34B84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1CFD">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CAAB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706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059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F32A">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7111130D">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DEB2">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0A26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C291">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A826">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518AE">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7261C6A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BBA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6351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8DB85">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339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D22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4620E5D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5B6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C776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B7F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9614">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7B71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4A2F429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FA4C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63FD">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1D95">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8F05">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2482">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292BCF3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25CF6">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9EE0">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2EBF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D62D">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1229">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bl>
    <w:p w14:paraId="2A290A19">
      <w:pPr>
        <w:pStyle w:val="8"/>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2AD2B7CF">
      <w:pPr>
        <w:pStyle w:val="8"/>
        <w:spacing w:beforeAutospacing="0" w:afterAutospacing="0"/>
        <w:jc w:val="center"/>
        <w:rPr>
          <w:color w:val="auto"/>
          <w:highlight w:val="none"/>
          <w:shd w:val="clear" w:color="auto" w:fill="auto"/>
        </w:rPr>
      </w:pPr>
      <w:r>
        <w:rPr>
          <w:color w:val="auto"/>
          <w:highlight w:val="none"/>
          <w:shd w:val="clear" w:color="auto" w:fill="auto"/>
        </w:rPr>
        <w:t> </w:t>
      </w:r>
    </w:p>
    <w:p w14:paraId="1BF1192E">
      <w:pPr>
        <w:pStyle w:val="8"/>
        <w:spacing w:beforeAutospacing="0" w:afterAutospacing="0"/>
        <w:jc w:val="center"/>
        <w:rPr>
          <w:color w:val="auto"/>
          <w:highlight w:val="none"/>
          <w:shd w:val="clear" w:color="auto" w:fill="auto"/>
        </w:rPr>
      </w:pPr>
      <w:r>
        <w:rPr>
          <w:color w:val="auto"/>
          <w:highlight w:val="none"/>
          <w:shd w:val="clear" w:color="auto" w:fill="auto"/>
        </w:rPr>
        <w:t> </w:t>
      </w:r>
    </w:p>
    <w:p w14:paraId="363A5076">
      <w:pPr>
        <w:pStyle w:val="8"/>
        <w:spacing w:beforeAutospacing="0" w:afterAutospacing="0"/>
        <w:jc w:val="center"/>
        <w:rPr>
          <w:color w:val="auto"/>
          <w:highlight w:val="none"/>
          <w:shd w:val="clear" w:color="auto" w:fill="auto"/>
        </w:rPr>
      </w:pPr>
      <w:r>
        <w:rPr>
          <w:color w:val="auto"/>
          <w:highlight w:val="none"/>
          <w:shd w:val="clear" w:color="auto" w:fill="auto"/>
        </w:rPr>
        <w:t> </w:t>
      </w:r>
    </w:p>
    <w:p w14:paraId="736DEFBA">
      <w:pPr>
        <w:pStyle w:val="8"/>
        <w:spacing w:beforeAutospacing="0" w:afterAutospacing="0"/>
        <w:jc w:val="center"/>
        <w:rPr>
          <w:color w:val="auto"/>
          <w:highlight w:val="none"/>
          <w:shd w:val="clear" w:color="auto" w:fill="auto"/>
        </w:rPr>
      </w:pPr>
      <w:r>
        <w:rPr>
          <w:color w:val="auto"/>
          <w:highlight w:val="none"/>
          <w:shd w:val="clear" w:color="auto" w:fill="auto"/>
        </w:rPr>
        <w:t> </w:t>
      </w:r>
    </w:p>
    <w:p w14:paraId="1A1C906B">
      <w:pPr>
        <w:pStyle w:val="8"/>
        <w:spacing w:beforeAutospacing="0" w:afterAutospacing="0"/>
        <w:jc w:val="both"/>
        <w:rPr>
          <w:color w:val="auto"/>
          <w:highlight w:val="none"/>
          <w:shd w:val="clear" w:color="auto" w:fill="auto"/>
        </w:rPr>
      </w:pPr>
      <w:r>
        <w:rPr>
          <w:color w:val="auto"/>
          <w:highlight w:val="none"/>
          <w:shd w:val="clear" w:color="auto" w:fill="auto"/>
        </w:rPr>
        <w:t> </w:t>
      </w:r>
    </w:p>
    <w:p w14:paraId="3E37D36C">
      <w:pPr>
        <w:pStyle w:val="8"/>
        <w:spacing w:beforeAutospacing="0" w:afterAutospacing="0"/>
        <w:jc w:val="both"/>
        <w:rPr>
          <w:color w:val="auto"/>
          <w:highlight w:val="none"/>
          <w:shd w:val="clear" w:color="auto" w:fill="auto"/>
        </w:rPr>
      </w:pPr>
      <w:r>
        <w:rPr>
          <w:color w:val="auto"/>
          <w:highlight w:val="none"/>
          <w:shd w:val="clear" w:color="auto" w:fill="auto"/>
        </w:rPr>
        <w:t> </w:t>
      </w:r>
    </w:p>
    <w:p w14:paraId="01A84D73">
      <w:pPr>
        <w:pStyle w:val="8"/>
        <w:spacing w:beforeAutospacing="0" w:afterAutospacing="0"/>
        <w:jc w:val="both"/>
        <w:rPr>
          <w:color w:val="auto"/>
          <w:highlight w:val="none"/>
          <w:shd w:val="clear" w:color="auto" w:fill="auto"/>
        </w:rPr>
      </w:pPr>
      <w:r>
        <w:rPr>
          <w:color w:val="auto"/>
          <w:highlight w:val="none"/>
          <w:shd w:val="clear" w:color="auto" w:fill="auto"/>
        </w:rPr>
        <w:t> </w:t>
      </w:r>
    </w:p>
    <w:p w14:paraId="290C0D11">
      <w:pPr>
        <w:pStyle w:val="8"/>
        <w:spacing w:beforeAutospacing="0" w:afterAutospacing="0"/>
        <w:jc w:val="both"/>
        <w:rPr>
          <w:color w:val="auto"/>
          <w:highlight w:val="none"/>
          <w:shd w:val="clear" w:color="auto" w:fill="auto"/>
        </w:rPr>
      </w:pPr>
      <w:r>
        <w:rPr>
          <w:color w:val="auto"/>
          <w:highlight w:val="none"/>
          <w:shd w:val="clear" w:color="auto" w:fill="auto"/>
        </w:rPr>
        <w:t> </w:t>
      </w:r>
    </w:p>
    <w:p w14:paraId="15FBE0CB">
      <w:pPr>
        <w:pStyle w:val="8"/>
        <w:spacing w:beforeAutospacing="0" w:afterAutospacing="0"/>
        <w:jc w:val="both"/>
        <w:rPr>
          <w:color w:val="auto"/>
          <w:highlight w:val="none"/>
          <w:shd w:val="clear" w:color="auto" w:fill="auto"/>
        </w:rPr>
      </w:pPr>
      <w:r>
        <w:rPr>
          <w:color w:val="auto"/>
          <w:highlight w:val="none"/>
          <w:shd w:val="clear" w:color="auto" w:fill="auto"/>
        </w:rPr>
        <w:t> </w:t>
      </w:r>
    </w:p>
    <w:p w14:paraId="1C96C186">
      <w:pPr>
        <w:pStyle w:val="8"/>
        <w:spacing w:beforeAutospacing="0" w:afterAutospacing="0"/>
        <w:jc w:val="both"/>
        <w:rPr>
          <w:color w:val="auto"/>
          <w:highlight w:val="none"/>
          <w:shd w:val="clear" w:color="auto" w:fill="auto"/>
        </w:rPr>
      </w:pPr>
    </w:p>
    <w:p w14:paraId="140A417C">
      <w:pPr>
        <w:pStyle w:val="8"/>
        <w:spacing w:beforeAutospacing="0" w:afterAutospacing="0"/>
        <w:jc w:val="both"/>
        <w:rPr>
          <w:color w:val="auto"/>
          <w:highlight w:val="none"/>
          <w:shd w:val="clear" w:color="auto" w:fill="auto"/>
        </w:rPr>
      </w:pPr>
    </w:p>
    <w:p w14:paraId="6DAED705">
      <w:pPr>
        <w:pStyle w:val="8"/>
        <w:spacing w:beforeAutospacing="0" w:afterAutospacing="0"/>
        <w:jc w:val="both"/>
        <w:rPr>
          <w:color w:val="auto"/>
          <w:highlight w:val="none"/>
          <w:shd w:val="clear" w:color="auto" w:fill="auto"/>
        </w:rPr>
      </w:pPr>
    </w:p>
    <w:p w14:paraId="16FC2DD2">
      <w:pPr>
        <w:pStyle w:val="8"/>
        <w:spacing w:beforeAutospacing="0" w:afterAutospacing="0"/>
        <w:jc w:val="both"/>
        <w:rPr>
          <w:color w:val="auto"/>
          <w:highlight w:val="none"/>
          <w:shd w:val="clear" w:color="auto" w:fill="auto"/>
        </w:rPr>
      </w:pPr>
    </w:p>
    <w:p w14:paraId="782D4ADA">
      <w:pPr>
        <w:pStyle w:val="8"/>
        <w:spacing w:beforeAutospacing="0" w:afterAutospacing="0"/>
        <w:jc w:val="both"/>
        <w:rPr>
          <w:color w:val="auto"/>
          <w:highlight w:val="none"/>
          <w:shd w:val="clear" w:color="auto" w:fill="auto"/>
        </w:rPr>
      </w:pPr>
    </w:p>
    <w:p w14:paraId="2C891B72">
      <w:pPr>
        <w:pStyle w:val="8"/>
        <w:spacing w:beforeAutospacing="0" w:afterAutospacing="0"/>
        <w:jc w:val="both"/>
        <w:rPr>
          <w:color w:val="auto"/>
          <w:highlight w:val="none"/>
          <w:shd w:val="clear" w:color="auto" w:fill="auto"/>
        </w:rPr>
      </w:pPr>
    </w:p>
    <w:p w14:paraId="4876823F">
      <w:pPr>
        <w:pStyle w:val="8"/>
        <w:spacing w:beforeAutospacing="0" w:afterAutospacing="0"/>
        <w:jc w:val="both"/>
        <w:rPr>
          <w:color w:val="auto"/>
          <w:highlight w:val="none"/>
          <w:shd w:val="clear" w:color="auto" w:fill="auto"/>
        </w:rPr>
      </w:pPr>
    </w:p>
    <w:p w14:paraId="4979448A">
      <w:pPr>
        <w:pStyle w:val="8"/>
        <w:spacing w:beforeAutospacing="0" w:afterAutospacing="0"/>
        <w:jc w:val="both"/>
        <w:rPr>
          <w:color w:val="auto"/>
          <w:highlight w:val="none"/>
          <w:shd w:val="clear" w:color="auto" w:fill="auto"/>
        </w:rPr>
      </w:pPr>
    </w:p>
    <w:p w14:paraId="29C35BF4">
      <w:pPr>
        <w:pStyle w:val="8"/>
        <w:spacing w:beforeAutospacing="0" w:afterAutospacing="0"/>
        <w:jc w:val="both"/>
        <w:rPr>
          <w:color w:val="auto"/>
          <w:highlight w:val="none"/>
          <w:shd w:val="clear" w:color="auto" w:fill="auto"/>
        </w:rPr>
      </w:pPr>
    </w:p>
    <w:p w14:paraId="4AFABEFA">
      <w:pPr>
        <w:pStyle w:val="8"/>
        <w:spacing w:beforeAutospacing="0" w:afterAutospacing="0"/>
        <w:jc w:val="both"/>
        <w:rPr>
          <w:color w:val="auto"/>
          <w:highlight w:val="none"/>
          <w:shd w:val="clear" w:color="auto" w:fill="auto"/>
        </w:rPr>
      </w:pPr>
    </w:p>
    <w:p w14:paraId="667AB33A">
      <w:pPr>
        <w:pStyle w:val="8"/>
        <w:spacing w:beforeAutospacing="0" w:afterAutospacing="0"/>
        <w:jc w:val="both"/>
        <w:rPr>
          <w:color w:val="auto"/>
          <w:highlight w:val="none"/>
          <w:shd w:val="clear" w:color="auto" w:fill="auto"/>
        </w:rPr>
      </w:pPr>
      <w:r>
        <w:rPr>
          <w:color w:val="auto"/>
          <w:highlight w:val="none"/>
          <w:shd w:val="clear" w:color="auto" w:fill="auto"/>
        </w:rPr>
        <w:t> </w:t>
      </w:r>
    </w:p>
    <w:p w14:paraId="45995873">
      <w:pPr>
        <w:pStyle w:val="8"/>
        <w:spacing w:beforeAutospacing="0" w:afterAutospacing="0"/>
        <w:jc w:val="both"/>
        <w:rPr>
          <w:color w:val="auto"/>
          <w:highlight w:val="none"/>
          <w:shd w:val="clear" w:color="auto" w:fill="auto"/>
        </w:rPr>
      </w:pPr>
      <w:r>
        <w:rPr>
          <w:color w:val="auto"/>
          <w:highlight w:val="none"/>
          <w:shd w:val="clear" w:color="auto" w:fill="auto"/>
        </w:rPr>
        <w:t> </w:t>
      </w:r>
    </w:p>
    <w:p w14:paraId="7856167E">
      <w:pPr>
        <w:pStyle w:val="8"/>
        <w:spacing w:beforeAutospacing="0" w:afterAutospacing="0"/>
        <w:jc w:val="both"/>
        <w:rPr>
          <w:color w:val="auto"/>
          <w:highlight w:val="none"/>
          <w:shd w:val="clear" w:color="auto" w:fill="auto"/>
        </w:rPr>
      </w:pPr>
      <w:r>
        <w:rPr>
          <w:color w:val="auto"/>
          <w:highlight w:val="none"/>
          <w:shd w:val="clear" w:color="auto" w:fill="auto"/>
        </w:rPr>
        <w:t> </w:t>
      </w:r>
    </w:p>
    <w:p w14:paraId="6ED2111B">
      <w:pPr>
        <w:pStyle w:val="8"/>
        <w:spacing w:beforeAutospacing="0" w:afterAutospacing="0"/>
        <w:jc w:val="center"/>
        <w:rPr>
          <w:color w:val="auto"/>
          <w:highlight w:val="none"/>
          <w:shd w:val="clear" w:color="auto" w:fill="auto"/>
        </w:rPr>
      </w:pPr>
      <w:bookmarkStart w:id="167" w:name="_Hlt26955054"/>
      <w:r>
        <w:rPr>
          <w:rFonts w:hint="eastAsia" w:ascii="黑体" w:hAnsi="宋体" w:eastAsia="黑体" w:cs="黑体"/>
          <w:b/>
          <w:color w:val="auto"/>
          <w:sz w:val="32"/>
          <w:szCs w:val="32"/>
          <w:highlight w:val="none"/>
          <w:shd w:val="clear" w:color="auto" w:fill="auto"/>
        </w:rPr>
        <w:t>十、商务要求响应及偏离表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7AC6C9C4">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CCCA">
            <w:pPr>
              <w:pStyle w:val="8"/>
              <w:keepNext w:val="0"/>
              <w:keepLines w:val="0"/>
              <w:suppressLineNumbers w:val="0"/>
              <w:spacing w:before="0" w:beforeAutospacing="0" w:after="0" w:afterAutospacing="0"/>
              <w:ind w:left="0" w:right="0"/>
              <w:jc w:val="center"/>
              <w:rPr>
                <w:color w:val="auto"/>
                <w:highlight w:val="none"/>
                <w:shd w:val="clear" w:color="auto" w:fill="auto"/>
              </w:rPr>
            </w:pPr>
            <w:bookmarkStart w:id="168" w:name="_Hlt24879081"/>
            <w:bookmarkStart w:id="169" w:name="_Hlt26955064"/>
            <w:bookmarkStart w:id="170" w:name="_Hlt26782999"/>
            <w:bookmarkStart w:id="171" w:name="_Hlt26955056"/>
            <w:bookmarkStart w:id="172" w:name="_Hlt26671372"/>
            <w:bookmarkStart w:id="173" w:name="_Hlt26580838"/>
            <w:bookmarkStart w:id="174" w:name="_Hlt26609391"/>
            <w:bookmarkStart w:id="175" w:name="_Hlt26671343"/>
            <w:r>
              <w:rPr>
                <w:rFonts w:hint="eastAsia" w:ascii="宋体" w:hAnsi="宋体" w:eastAsia="宋体" w:cs="宋体"/>
                <w:color w:val="auto"/>
                <w:highlight w:val="none"/>
                <w:shd w:val="clear" w:color="auto" w:fill="auto"/>
              </w:rPr>
              <w:t>序号</w:t>
            </w:r>
          </w:p>
          <w:bookmarkEnd w:id="168"/>
          <w:bookmarkEnd w:id="169"/>
          <w:bookmarkEnd w:id="170"/>
          <w:bookmarkEnd w:id="171"/>
          <w:bookmarkEnd w:id="172"/>
          <w:bookmarkEnd w:id="173"/>
          <w:bookmarkEnd w:id="174"/>
          <w:bookmarkEnd w:id="175"/>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570B">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采购文件要求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AEBF">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ACFD1">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B040">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证明</w:t>
            </w:r>
          </w:p>
          <w:p w14:paraId="0952A00D">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材料</w:t>
            </w:r>
          </w:p>
        </w:tc>
      </w:tr>
      <w:tr w14:paraId="2EA5A43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A4AE">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98CA6">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DFC1">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284A">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80679">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419B7BEB">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C276">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01F6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A467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9D7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66908">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260773BA">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CB91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88D0">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21B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04C6">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D7F6B">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28E8FCB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509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CB9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FA3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1A4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76F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5336B540">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D855">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7AD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1959">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EA7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E778E">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070DF0AD">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0F12">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E31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84C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01BA">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4620">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4879B88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73CE">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38080">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1C57">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CF9B">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8E9D">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r w14:paraId="0B07DACE">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C965C">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28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9077F">
            <w:pPr>
              <w:pStyle w:val="8"/>
              <w:keepNext w:val="0"/>
              <w:keepLines w:val="0"/>
              <w:suppressLineNumbers w:val="0"/>
              <w:spacing w:before="0" w:beforeAutospacing="0" w:after="0" w:afterAutospacing="0"/>
              <w:ind w:left="0" w:right="0"/>
              <w:jc w:val="center"/>
              <w:rPr>
                <w:color w:val="auto"/>
                <w:highlight w:val="none"/>
                <w:shd w:val="clear" w:color="auto" w:fill="auto"/>
              </w:rPr>
            </w:pPr>
            <w:r>
              <w:rPr>
                <w:rFonts w:hint="eastAsia" w:ascii="宋体" w:hAnsi="宋体" w:eastAsia="宋体" w:cs="宋体"/>
                <w:color w:val="auto"/>
                <w:highlight w:val="none"/>
                <w:shd w:val="clear" w:color="auto" w:fill="auto"/>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4D8D3">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995E">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337F">
            <w:pPr>
              <w:pStyle w:val="8"/>
              <w:keepNext w:val="0"/>
              <w:keepLines w:val="0"/>
              <w:suppressLineNumbers w:val="0"/>
              <w:spacing w:before="0" w:beforeAutospacing="0" w:after="0" w:afterAutospacing="0"/>
              <w:ind w:left="0" w:right="0"/>
              <w:jc w:val="center"/>
              <w:rPr>
                <w:color w:val="auto"/>
                <w:highlight w:val="none"/>
                <w:shd w:val="clear" w:color="auto" w:fill="auto"/>
              </w:rPr>
            </w:pPr>
            <w:r>
              <w:rPr>
                <w:color w:val="auto"/>
                <w:highlight w:val="none"/>
                <w:shd w:val="clear" w:color="auto" w:fill="auto"/>
              </w:rPr>
              <w:t> </w:t>
            </w:r>
          </w:p>
        </w:tc>
      </w:tr>
    </w:tbl>
    <w:p w14:paraId="14D3BEDB">
      <w:pPr>
        <w:pStyle w:val="8"/>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注： 行数不够，可自行添加。</w:t>
      </w:r>
    </w:p>
    <w:p w14:paraId="499239A1">
      <w:pPr>
        <w:pStyle w:val="8"/>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16504A24">
      <w:pPr>
        <w:pStyle w:val="8"/>
        <w:spacing w:beforeAutospacing="0" w:afterAutospacing="0" w:line="480" w:lineRule="auto"/>
        <w:jc w:val="both"/>
        <w:rPr>
          <w:color w:val="auto"/>
          <w:highlight w:val="none"/>
          <w:shd w:val="clear" w:color="auto" w:fill="auto"/>
        </w:rPr>
      </w:pPr>
      <w:r>
        <w:rPr>
          <w:color w:val="auto"/>
          <w:highlight w:val="none"/>
          <w:shd w:val="clear" w:color="auto" w:fill="auto"/>
        </w:rPr>
        <w:t> </w:t>
      </w:r>
    </w:p>
    <w:p w14:paraId="313F2033">
      <w:pPr>
        <w:pStyle w:val="8"/>
        <w:spacing w:beforeAutospacing="0" w:afterAutospacing="0" w:line="480" w:lineRule="auto"/>
        <w:jc w:val="both"/>
        <w:rPr>
          <w:color w:val="auto"/>
          <w:highlight w:val="none"/>
          <w:shd w:val="clear" w:color="auto" w:fill="auto"/>
        </w:rPr>
      </w:pPr>
    </w:p>
    <w:p w14:paraId="6CA93AE1">
      <w:pPr>
        <w:pStyle w:val="8"/>
        <w:spacing w:beforeAutospacing="0" w:afterAutospacing="0" w:line="480" w:lineRule="auto"/>
        <w:jc w:val="both"/>
        <w:rPr>
          <w:color w:val="auto"/>
          <w:highlight w:val="none"/>
          <w:shd w:val="clear" w:color="auto" w:fill="auto"/>
        </w:rPr>
      </w:pPr>
    </w:p>
    <w:p w14:paraId="25667210">
      <w:pPr>
        <w:pStyle w:val="8"/>
        <w:spacing w:beforeAutospacing="0" w:afterAutospacing="0" w:line="480" w:lineRule="auto"/>
        <w:jc w:val="both"/>
        <w:rPr>
          <w:color w:val="auto"/>
          <w:highlight w:val="none"/>
          <w:shd w:val="clear" w:color="auto" w:fill="auto"/>
        </w:rPr>
      </w:pPr>
    </w:p>
    <w:p w14:paraId="7E551F55">
      <w:pPr>
        <w:pStyle w:val="8"/>
        <w:spacing w:beforeAutospacing="0" w:afterAutospacing="0" w:line="480" w:lineRule="auto"/>
        <w:jc w:val="both"/>
        <w:rPr>
          <w:color w:val="auto"/>
          <w:highlight w:val="none"/>
          <w:shd w:val="clear" w:color="auto" w:fill="auto"/>
        </w:rPr>
      </w:pPr>
    </w:p>
    <w:p w14:paraId="44C8A2FE">
      <w:pPr>
        <w:pStyle w:val="8"/>
        <w:spacing w:beforeAutospacing="0" w:afterAutospacing="0" w:line="480" w:lineRule="auto"/>
        <w:jc w:val="both"/>
        <w:rPr>
          <w:color w:val="auto"/>
          <w:highlight w:val="none"/>
          <w:shd w:val="clear" w:color="auto" w:fill="auto"/>
        </w:rPr>
      </w:pPr>
    </w:p>
    <w:p w14:paraId="3A9EE600">
      <w:pPr>
        <w:pStyle w:val="8"/>
        <w:spacing w:beforeAutospacing="0" w:afterAutospacing="0" w:line="480" w:lineRule="auto"/>
        <w:jc w:val="both"/>
        <w:rPr>
          <w:color w:val="auto"/>
          <w:highlight w:val="none"/>
          <w:shd w:val="clear" w:color="auto" w:fill="auto"/>
        </w:rPr>
      </w:pPr>
    </w:p>
    <w:p w14:paraId="393BB135">
      <w:pPr>
        <w:pStyle w:val="8"/>
        <w:spacing w:beforeAutospacing="0" w:afterAutospacing="0" w:line="480" w:lineRule="auto"/>
        <w:jc w:val="both"/>
        <w:rPr>
          <w:color w:val="auto"/>
          <w:highlight w:val="none"/>
          <w:shd w:val="clear" w:color="auto" w:fill="auto"/>
        </w:rPr>
      </w:pPr>
    </w:p>
    <w:p w14:paraId="4E10C64B">
      <w:pPr>
        <w:pStyle w:val="8"/>
        <w:spacing w:beforeAutospacing="0" w:afterAutospacing="0" w:line="480" w:lineRule="auto"/>
        <w:jc w:val="both"/>
        <w:rPr>
          <w:color w:val="auto"/>
          <w:highlight w:val="none"/>
          <w:shd w:val="clear" w:color="auto" w:fill="auto"/>
        </w:rPr>
      </w:pPr>
    </w:p>
    <w:p w14:paraId="5B41AEF7">
      <w:pPr>
        <w:pStyle w:val="8"/>
        <w:spacing w:beforeAutospacing="0" w:afterAutospacing="0" w:line="480" w:lineRule="auto"/>
        <w:jc w:val="both"/>
        <w:rPr>
          <w:color w:val="auto"/>
          <w:highlight w:val="none"/>
          <w:shd w:val="clear" w:color="auto" w:fill="auto"/>
        </w:rPr>
      </w:pPr>
    </w:p>
    <w:bookmarkEnd w:id="27"/>
    <w:bookmarkEnd w:id="39"/>
    <w:bookmarkEnd w:id="86"/>
    <w:bookmarkEnd w:id="87"/>
    <w:bookmarkEnd w:id="88"/>
    <w:bookmarkEnd w:id="89"/>
    <w:bookmarkEnd w:id="90"/>
    <w:bookmarkEnd w:id="91"/>
    <w:bookmarkEnd w:id="92"/>
    <w:bookmarkEnd w:id="93"/>
    <w:bookmarkEnd w:id="102"/>
    <w:bookmarkEnd w:id="103"/>
    <w:bookmarkEnd w:id="110"/>
    <w:bookmarkEnd w:id="153"/>
    <w:bookmarkEnd w:id="154"/>
    <w:bookmarkEnd w:id="157"/>
    <w:bookmarkEnd w:id="160"/>
    <w:bookmarkEnd w:id="161"/>
    <w:bookmarkEnd w:id="162"/>
    <w:bookmarkEnd w:id="163"/>
    <w:bookmarkEnd w:id="164"/>
    <w:bookmarkEnd w:id="165"/>
    <w:bookmarkEnd w:id="166"/>
    <w:bookmarkEnd w:id="167"/>
    <w:p w14:paraId="72CA5A2B">
      <w:pPr>
        <w:pStyle w:val="8"/>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一</w:t>
      </w:r>
      <w:r>
        <w:rPr>
          <w:rFonts w:hint="eastAsia" w:ascii="黑体" w:hAnsi="宋体" w:eastAsia="黑体" w:cs="黑体"/>
          <w:b/>
          <w:i/>
          <w:color w:val="auto"/>
          <w:sz w:val="32"/>
          <w:szCs w:val="32"/>
          <w:highlight w:val="none"/>
          <w:u w:val="single"/>
        </w:rPr>
        <w:t>、开标一览表</w:t>
      </w:r>
    </w:p>
    <w:p w14:paraId="70B14AA4">
      <w:pPr>
        <w:pStyle w:val="8"/>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8"/>
        <w:spacing w:beforeAutospacing="0" w:afterAutospacing="0"/>
        <w:ind w:firstLine="480"/>
        <w:jc w:val="both"/>
        <w:rPr>
          <w:color w:val="auto"/>
          <w:highlight w:val="none"/>
        </w:rPr>
      </w:pPr>
      <w:r>
        <w:rPr>
          <w:rFonts w:hint="eastAsia" w:ascii="宋体" w:hAnsi="宋体" w:eastAsia="宋体" w:cs="宋体"/>
          <w:color w:val="auto"/>
          <w:highlight w:val="none"/>
        </w:rPr>
        <w:t>项目名称：</w:t>
      </w:r>
      <w:r>
        <w:rPr>
          <w:rFonts w:hint="eastAsia" w:asciiTheme="minorEastAsia" w:hAnsiTheme="minorEastAsia" w:eastAsiaTheme="minorEastAsia" w:cstheme="minorEastAsia"/>
          <w:color w:val="auto"/>
          <w:highlight w:val="none"/>
          <w:shd w:val="clear" w:color="auto" w:fill="auto"/>
        </w:rPr>
        <w:t>黄海新区形象宣传省级媒体发布项目</w:t>
      </w:r>
    </w:p>
    <w:p w14:paraId="3003A85B">
      <w:pPr>
        <w:pStyle w:val="8"/>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r>
        <w:rPr>
          <w:rFonts w:hint="eastAsia" w:asciiTheme="minorEastAsia" w:hAnsiTheme="minorEastAsia" w:eastAsiaTheme="minorEastAsia" w:cstheme="minorEastAsia"/>
          <w:color w:val="auto"/>
          <w:highlight w:val="none"/>
          <w:shd w:val="clear" w:color="auto" w:fill="auto"/>
        </w:rPr>
        <w:t>JSZC-320900-JSZC-D2026-0042</w:t>
      </w:r>
    </w:p>
    <w:tbl>
      <w:tblPr>
        <w:tblStyle w:val="10"/>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8"/>
              <w:keepNext w:val="0"/>
              <w:keepLines w:val="0"/>
              <w:suppressLineNumbers w:val="0"/>
              <w:spacing w:before="0" w:beforeAutospacing="0" w:after="0" w:afterAutospacing="0"/>
              <w:ind w:left="0" w:right="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8"/>
              <w:keepNext w:val="0"/>
              <w:keepLines w:val="0"/>
              <w:suppressLineNumbers w:val="0"/>
              <w:spacing w:before="0" w:beforeAutospacing="0" w:after="0" w:afterAutospacing="0" w:line="0" w:lineRule="atLeast"/>
              <w:ind w:left="0" w:right="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8"/>
              <w:keepNext w:val="0"/>
              <w:keepLines w:val="0"/>
              <w:suppressLineNumbers w:val="0"/>
              <w:spacing w:before="0" w:beforeAutospacing="0" w:after="0" w:afterAutospacing="0" w:line="0" w:lineRule="atLeast"/>
              <w:ind w:left="0" w:right="0"/>
              <w:rPr>
                <w:color w:val="auto"/>
                <w:highlight w:val="none"/>
              </w:rPr>
            </w:pPr>
            <w:r>
              <w:rPr>
                <w:rFonts w:hint="eastAsia" w:ascii="宋体" w:hAnsi="宋体" w:eastAsia="宋体" w:cs="宋体"/>
                <w:color w:val="auto"/>
                <w:highlight w:val="none"/>
              </w:rPr>
              <w:t>小写：                        （人民币：元）</w:t>
            </w:r>
          </w:p>
        </w:tc>
      </w:tr>
    </w:tbl>
    <w:p w14:paraId="083F367D">
      <w:pPr>
        <w:pStyle w:val="8"/>
        <w:spacing w:beforeAutospacing="0" w:afterAutospacing="0"/>
        <w:jc w:val="both"/>
        <w:rPr>
          <w:color w:val="auto"/>
          <w:highlight w:val="none"/>
        </w:rPr>
      </w:pPr>
      <w:r>
        <w:rPr>
          <w:color w:val="auto"/>
          <w:highlight w:val="none"/>
        </w:rPr>
        <w:t> </w:t>
      </w:r>
    </w:p>
    <w:p w14:paraId="15F53820">
      <w:pPr>
        <w:pStyle w:val="8"/>
        <w:spacing w:beforeAutospacing="0" w:afterAutospacing="0"/>
        <w:ind w:firstLine="480"/>
        <w:jc w:val="both"/>
        <w:rPr>
          <w:color w:val="auto"/>
          <w:highlight w:val="none"/>
        </w:rPr>
      </w:pP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8"/>
        <w:spacing w:beforeAutospacing="0" w:afterAutospacing="0"/>
        <w:ind w:firstLine="480"/>
        <w:jc w:val="both"/>
        <w:rPr>
          <w:highlight w:val="none"/>
        </w:rPr>
      </w:pPr>
      <w:r>
        <w:rPr>
          <w:highlight w:val="none"/>
        </w:rPr>
        <w:t> </w:t>
      </w:r>
    </w:p>
    <w:p w14:paraId="29D1AF51">
      <w:pPr>
        <w:widowControl/>
        <w:spacing w:before="50" w:after="50"/>
        <w:jc w:val="center"/>
        <w:rPr>
          <w:highlight w:val="none"/>
        </w:rPr>
      </w:pPr>
      <w:r>
        <w:rPr>
          <w:highlight w:val="none"/>
        </w:rPr>
        <w:tab/>
      </w:r>
    </w:p>
    <w:p w14:paraId="6B5C7339">
      <w:pPr>
        <w:pStyle w:val="8"/>
        <w:spacing w:beforeAutospacing="0" w:afterAutospacing="0"/>
        <w:jc w:val="center"/>
        <w:rPr>
          <w:color w:val="auto"/>
          <w:highlight w:val="none"/>
          <w:shd w:val="clear" w:color="auto" w:fill="auto"/>
        </w:rPr>
      </w:pPr>
    </w:p>
    <w:p w14:paraId="1B13D9B0">
      <w:pPr>
        <w:rPr>
          <w:rFonts w:hint="eastAsia" w:ascii="黑体" w:hAnsi="宋体" w:eastAsia="黑体" w:cs="黑体"/>
          <w:b/>
          <w:color w:val="auto"/>
          <w:kern w:val="0"/>
          <w:sz w:val="32"/>
          <w:szCs w:val="32"/>
          <w:highlight w:val="none"/>
          <w:shd w:val="clear" w:color="auto" w:fill="auto"/>
          <w:lang w:val="en-US" w:eastAsia="zh-CN" w:bidi="ar-SA"/>
        </w:rPr>
      </w:pPr>
      <w:r>
        <w:rPr>
          <w:rFonts w:hint="eastAsia" w:ascii="黑体" w:hAnsi="宋体" w:eastAsia="黑体" w:cs="黑体"/>
          <w:b/>
          <w:color w:val="auto"/>
          <w:kern w:val="0"/>
          <w:sz w:val="32"/>
          <w:szCs w:val="32"/>
          <w:highlight w:val="none"/>
          <w:shd w:val="clear" w:color="auto" w:fill="auto"/>
          <w:lang w:val="en-US" w:eastAsia="zh-CN" w:bidi="ar-SA"/>
        </w:rPr>
        <w:br w:type="page"/>
      </w:r>
    </w:p>
    <w:p w14:paraId="52D5F293">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w:t>
      </w:r>
      <w:r>
        <w:rPr>
          <w:rFonts w:hint="eastAsia" w:ascii="宋体" w:hAnsi="宋体" w:eastAsia="宋体" w:cs="宋体"/>
          <w:b/>
          <w:bCs/>
          <w:color w:val="auto"/>
          <w:sz w:val="32"/>
          <w:szCs w:val="32"/>
          <w:highlight w:val="none"/>
          <w:shd w:val="clear" w:color="auto" w:fill="auto"/>
          <w:lang w:val="en-US" w:eastAsia="zh-CN"/>
        </w:rPr>
        <w:t>二</w:t>
      </w:r>
      <w:r>
        <w:rPr>
          <w:rFonts w:hint="eastAsia" w:ascii="宋体" w:hAnsi="宋体" w:eastAsia="宋体" w:cs="宋体"/>
          <w:b/>
          <w:bCs/>
          <w:color w:val="auto"/>
          <w:sz w:val="32"/>
          <w:szCs w:val="32"/>
          <w:highlight w:val="none"/>
          <w:shd w:val="clear" w:color="auto" w:fill="auto"/>
        </w:rPr>
        <w:t>、盐城市政府采购事前信用承诺书</w:t>
      </w:r>
    </w:p>
    <w:p w14:paraId="3D63424C">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4FA82C8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580A309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虚假成分</w:t>
      </w:r>
      <w:r>
        <w:rPr>
          <w:rFonts w:hint="eastAsia" w:ascii="宋体" w:hAnsi="宋体" w:eastAsia="宋体" w:cs="宋体"/>
          <w:color w:val="auto"/>
          <w:sz w:val="24"/>
          <w:highlight w:val="none"/>
          <w:shd w:val="clear" w:color="auto" w:fill="auto"/>
        </w:rPr>
        <w:t>，并对所提供资料的真实性负责；</w:t>
      </w:r>
    </w:p>
    <w:p w14:paraId="0E039DC2">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38D46DB">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51F47E2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w:t>
      </w:r>
      <w:r>
        <w:rPr>
          <w:rFonts w:hint="eastAsia" w:ascii="宋体" w:hAnsi="宋体" w:eastAsia="宋体" w:cs="宋体"/>
          <w:color w:val="auto"/>
          <w:sz w:val="24"/>
          <w:highlight w:val="none"/>
          <w:shd w:val="clear" w:color="auto" w:fill="auto"/>
          <w:lang w:eastAsia="zh-CN"/>
        </w:rPr>
        <w:t>维护和更新</w:t>
      </w:r>
      <w:r>
        <w:rPr>
          <w:rFonts w:hint="eastAsia" w:ascii="宋体" w:hAnsi="宋体" w:eastAsia="宋体" w:cs="宋体"/>
          <w:color w:val="auto"/>
          <w:sz w:val="24"/>
          <w:highlight w:val="none"/>
          <w:shd w:val="clear" w:color="auto" w:fill="auto"/>
        </w:rPr>
        <w:t>盐城市政府采购网中与本单位相关的信息；</w:t>
      </w:r>
    </w:p>
    <w:p w14:paraId="1641FAF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05459A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47F8DEE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08A28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B9EC78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F6473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27D354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78A3FAC7">
      <w:pPr>
        <w:pStyle w:val="8"/>
        <w:spacing w:beforeAutospacing="0" w:afterAutospacing="0"/>
        <w:jc w:val="center"/>
        <w:rPr>
          <w:color w:val="auto"/>
          <w:highlight w:val="none"/>
          <w:shd w:val="clear" w:color="auto" w:fill="auto"/>
        </w:rPr>
      </w:pPr>
    </w:p>
    <w:p w14:paraId="2C3D5838">
      <w:pPr>
        <w:rPr>
          <w:color w:val="auto"/>
          <w:highlight w:val="none"/>
          <w:shd w:val="clear" w:color="auto" w:fill="auto"/>
        </w:rPr>
      </w:pPr>
    </w:p>
    <w:p w14:paraId="60F78AA4">
      <w:pPr>
        <w:pStyle w:val="8"/>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37F02ED2">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DDB366A">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A94F3DE">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0095C0D1">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CDEA2B0">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7F698FC">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3E9E3DF6">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A93504">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EAA9573">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21EF87">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825DCDB">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5C9F7614">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959A127">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2ED60F9A">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F5DB51C">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6A9CC39">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1A79C5A2">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1BC99D4">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C81945">
      <w:pPr>
        <w:pStyle w:val="8"/>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1943EA30">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2275C321">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3AE5F46B">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679021C6">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019F05A7">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671B5B9">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15C1160C">
      <w:pPr>
        <w:pStyle w:val="8"/>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7431B490">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10C0583">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57103A">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7374C3F2">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0418C11E">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26660331">
      <w:pPr>
        <w:pStyle w:val="8"/>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428D482">
      <w:pPr>
        <w:pStyle w:val="8"/>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05EE6E28">
      <w:pPr>
        <w:rPr>
          <w:color w:val="auto"/>
          <w:highlight w:val="none"/>
          <w:shd w:val="clear" w:color="auto" w:fill="auto"/>
        </w:rPr>
      </w:pPr>
    </w:p>
    <w:p w14:paraId="6FF15CDE">
      <w:pPr>
        <w:rPr>
          <w:color w:val="auto"/>
          <w:highlight w:val="none"/>
          <w:shd w:val="clear" w:color="auto" w:fill="auto"/>
        </w:rPr>
      </w:pPr>
    </w:p>
    <w:p w14:paraId="1FAD31FC">
      <w:pPr>
        <w:pStyle w:val="8"/>
        <w:spacing w:beforeAutospacing="0" w:afterAutospacing="0"/>
        <w:jc w:val="center"/>
        <w:rPr>
          <w:color w:val="auto"/>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6E1B5">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11EEE">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E811EEE">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8C35C7"/>
    <w:multiLevelType w:val="singleLevel"/>
    <w:tmpl w:val="F18C35C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15C33"/>
    <w:rsid w:val="000519DB"/>
    <w:rsid w:val="000B6058"/>
    <w:rsid w:val="00172A27"/>
    <w:rsid w:val="001F04E3"/>
    <w:rsid w:val="002173A0"/>
    <w:rsid w:val="002A4E99"/>
    <w:rsid w:val="003900C7"/>
    <w:rsid w:val="00447269"/>
    <w:rsid w:val="004529E6"/>
    <w:rsid w:val="00460BA9"/>
    <w:rsid w:val="00463848"/>
    <w:rsid w:val="004C0AA7"/>
    <w:rsid w:val="004F36D8"/>
    <w:rsid w:val="005107E6"/>
    <w:rsid w:val="00545247"/>
    <w:rsid w:val="006014D4"/>
    <w:rsid w:val="0069065B"/>
    <w:rsid w:val="006F0739"/>
    <w:rsid w:val="008A770C"/>
    <w:rsid w:val="00997378"/>
    <w:rsid w:val="009C1120"/>
    <w:rsid w:val="00A54D6F"/>
    <w:rsid w:val="00A937A2"/>
    <w:rsid w:val="00BD6304"/>
    <w:rsid w:val="00C80A8D"/>
    <w:rsid w:val="00CE7224"/>
    <w:rsid w:val="00D550E3"/>
    <w:rsid w:val="00D9577C"/>
    <w:rsid w:val="00EC2235"/>
    <w:rsid w:val="00F24641"/>
    <w:rsid w:val="00F61032"/>
    <w:rsid w:val="00FD2179"/>
    <w:rsid w:val="00FE254C"/>
    <w:rsid w:val="014036E0"/>
    <w:rsid w:val="015C3D17"/>
    <w:rsid w:val="027A75D8"/>
    <w:rsid w:val="02851591"/>
    <w:rsid w:val="02BD5381"/>
    <w:rsid w:val="02D505AD"/>
    <w:rsid w:val="02EC06FE"/>
    <w:rsid w:val="02F56D74"/>
    <w:rsid w:val="030E6D89"/>
    <w:rsid w:val="034E4AD1"/>
    <w:rsid w:val="037E0789"/>
    <w:rsid w:val="03C031C8"/>
    <w:rsid w:val="04CB5FDF"/>
    <w:rsid w:val="04CF1FA6"/>
    <w:rsid w:val="056E5657"/>
    <w:rsid w:val="062C42CE"/>
    <w:rsid w:val="067D77AC"/>
    <w:rsid w:val="068A6E34"/>
    <w:rsid w:val="07994E3B"/>
    <w:rsid w:val="07A02A3F"/>
    <w:rsid w:val="07A40F48"/>
    <w:rsid w:val="0854758E"/>
    <w:rsid w:val="08992D34"/>
    <w:rsid w:val="09132265"/>
    <w:rsid w:val="0A176CD8"/>
    <w:rsid w:val="0A467283"/>
    <w:rsid w:val="0AAC1C8D"/>
    <w:rsid w:val="0ABC363A"/>
    <w:rsid w:val="0AD8294B"/>
    <w:rsid w:val="0B4B3B00"/>
    <w:rsid w:val="0B751E66"/>
    <w:rsid w:val="0B8A23C1"/>
    <w:rsid w:val="0B916705"/>
    <w:rsid w:val="0BAE3813"/>
    <w:rsid w:val="0C8353F1"/>
    <w:rsid w:val="0CB217A3"/>
    <w:rsid w:val="0D4D2FC1"/>
    <w:rsid w:val="0E0362D5"/>
    <w:rsid w:val="0E966A8C"/>
    <w:rsid w:val="0EE61CD2"/>
    <w:rsid w:val="0F570C13"/>
    <w:rsid w:val="0F6D24BC"/>
    <w:rsid w:val="0F7D537E"/>
    <w:rsid w:val="10007707"/>
    <w:rsid w:val="101B439F"/>
    <w:rsid w:val="11AB711C"/>
    <w:rsid w:val="124675EC"/>
    <w:rsid w:val="124B075F"/>
    <w:rsid w:val="12F015A0"/>
    <w:rsid w:val="139513AE"/>
    <w:rsid w:val="13B93252"/>
    <w:rsid w:val="14477BA7"/>
    <w:rsid w:val="14BA7E1E"/>
    <w:rsid w:val="15CE68CE"/>
    <w:rsid w:val="15F06BD1"/>
    <w:rsid w:val="15FB249C"/>
    <w:rsid w:val="169263C8"/>
    <w:rsid w:val="16A61788"/>
    <w:rsid w:val="16E86EC4"/>
    <w:rsid w:val="17666D47"/>
    <w:rsid w:val="177E4C81"/>
    <w:rsid w:val="18927454"/>
    <w:rsid w:val="18BC4109"/>
    <w:rsid w:val="18F564CE"/>
    <w:rsid w:val="193260E4"/>
    <w:rsid w:val="19835197"/>
    <w:rsid w:val="19C808E7"/>
    <w:rsid w:val="1A226249"/>
    <w:rsid w:val="1A4F2C83"/>
    <w:rsid w:val="1AD2708F"/>
    <w:rsid w:val="1AD67034"/>
    <w:rsid w:val="1B3A35E0"/>
    <w:rsid w:val="1B5F5046"/>
    <w:rsid w:val="1B9509DF"/>
    <w:rsid w:val="1BA002D8"/>
    <w:rsid w:val="1BAD34A4"/>
    <w:rsid w:val="1CAC4347"/>
    <w:rsid w:val="1D1C1092"/>
    <w:rsid w:val="1D605A5A"/>
    <w:rsid w:val="1D790876"/>
    <w:rsid w:val="1DFD1285"/>
    <w:rsid w:val="1E032835"/>
    <w:rsid w:val="1E262080"/>
    <w:rsid w:val="1EC70509"/>
    <w:rsid w:val="1ED61CF8"/>
    <w:rsid w:val="1EE73F05"/>
    <w:rsid w:val="1F4A0271"/>
    <w:rsid w:val="1F9841DD"/>
    <w:rsid w:val="1FC7762D"/>
    <w:rsid w:val="20733730"/>
    <w:rsid w:val="20A83FAF"/>
    <w:rsid w:val="215025DE"/>
    <w:rsid w:val="21930E82"/>
    <w:rsid w:val="21A600A9"/>
    <w:rsid w:val="21CC717D"/>
    <w:rsid w:val="21F65475"/>
    <w:rsid w:val="22424AA4"/>
    <w:rsid w:val="228F6446"/>
    <w:rsid w:val="22F62B8A"/>
    <w:rsid w:val="23254D08"/>
    <w:rsid w:val="23534E2B"/>
    <w:rsid w:val="242C02D7"/>
    <w:rsid w:val="24533DC2"/>
    <w:rsid w:val="24DF1DD4"/>
    <w:rsid w:val="24E23DF2"/>
    <w:rsid w:val="2532334D"/>
    <w:rsid w:val="254E4396"/>
    <w:rsid w:val="25B85CB3"/>
    <w:rsid w:val="26750FF7"/>
    <w:rsid w:val="27194423"/>
    <w:rsid w:val="27290FC5"/>
    <w:rsid w:val="28FE41FC"/>
    <w:rsid w:val="29345C52"/>
    <w:rsid w:val="2996274E"/>
    <w:rsid w:val="2A4648B7"/>
    <w:rsid w:val="2B005440"/>
    <w:rsid w:val="2C03574A"/>
    <w:rsid w:val="2C5A1872"/>
    <w:rsid w:val="2C7B3B05"/>
    <w:rsid w:val="2CC277F5"/>
    <w:rsid w:val="2D5E5D04"/>
    <w:rsid w:val="2DF950BB"/>
    <w:rsid w:val="2E5E7AF7"/>
    <w:rsid w:val="2EE73822"/>
    <w:rsid w:val="2F8A06C1"/>
    <w:rsid w:val="2FAD4FD9"/>
    <w:rsid w:val="2FB346FB"/>
    <w:rsid w:val="2FE1763D"/>
    <w:rsid w:val="2FFA5778"/>
    <w:rsid w:val="30495C84"/>
    <w:rsid w:val="30650005"/>
    <w:rsid w:val="310333AD"/>
    <w:rsid w:val="311E41B8"/>
    <w:rsid w:val="31522189"/>
    <w:rsid w:val="329E6CD8"/>
    <w:rsid w:val="32D77AA0"/>
    <w:rsid w:val="33440753"/>
    <w:rsid w:val="33773E42"/>
    <w:rsid w:val="34E14EA2"/>
    <w:rsid w:val="34E346A0"/>
    <w:rsid w:val="359B1151"/>
    <w:rsid w:val="35AD49A2"/>
    <w:rsid w:val="36172BC3"/>
    <w:rsid w:val="36BE6EA2"/>
    <w:rsid w:val="36CA3005"/>
    <w:rsid w:val="36CC7C95"/>
    <w:rsid w:val="36EB650A"/>
    <w:rsid w:val="372F1B4E"/>
    <w:rsid w:val="378133A9"/>
    <w:rsid w:val="37F43104"/>
    <w:rsid w:val="3819336A"/>
    <w:rsid w:val="383A233E"/>
    <w:rsid w:val="39101F1B"/>
    <w:rsid w:val="392D7EB3"/>
    <w:rsid w:val="39720FC7"/>
    <w:rsid w:val="39822409"/>
    <w:rsid w:val="39CD52E9"/>
    <w:rsid w:val="3A64388F"/>
    <w:rsid w:val="3ABB2462"/>
    <w:rsid w:val="3B0B043D"/>
    <w:rsid w:val="3BB645EB"/>
    <w:rsid w:val="3BDF2457"/>
    <w:rsid w:val="3D23372C"/>
    <w:rsid w:val="3DF80C94"/>
    <w:rsid w:val="3E064F5A"/>
    <w:rsid w:val="3E161B6B"/>
    <w:rsid w:val="3E7F5998"/>
    <w:rsid w:val="3F0056DB"/>
    <w:rsid w:val="3F1A3023"/>
    <w:rsid w:val="3F243A9D"/>
    <w:rsid w:val="3F874E0F"/>
    <w:rsid w:val="40350295"/>
    <w:rsid w:val="40514D88"/>
    <w:rsid w:val="4058639A"/>
    <w:rsid w:val="406E1D8D"/>
    <w:rsid w:val="407F382B"/>
    <w:rsid w:val="42053C57"/>
    <w:rsid w:val="42214BD9"/>
    <w:rsid w:val="42324DFA"/>
    <w:rsid w:val="431353F3"/>
    <w:rsid w:val="43455446"/>
    <w:rsid w:val="43A35D9D"/>
    <w:rsid w:val="4469669F"/>
    <w:rsid w:val="44823C05"/>
    <w:rsid w:val="44DA072F"/>
    <w:rsid w:val="454D0F8E"/>
    <w:rsid w:val="45FC0A54"/>
    <w:rsid w:val="461D469A"/>
    <w:rsid w:val="46277CE2"/>
    <w:rsid w:val="466976E6"/>
    <w:rsid w:val="46EA0CE7"/>
    <w:rsid w:val="46F320F9"/>
    <w:rsid w:val="470D4256"/>
    <w:rsid w:val="470E352E"/>
    <w:rsid w:val="472208AE"/>
    <w:rsid w:val="47704C41"/>
    <w:rsid w:val="47B925F3"/>
    <w:rsid w:val="48910AEC"/>
    <w:rsid w:val="48B3170D"/>
    <w:rsid w:val="48B453AA"/>
    <w:rsid w:val="493C7DE9"/>
    <w:rsid w:val="4A1E13B4"/>
    <w:rsid w:val="4A2C49B0"/>
    <w:rsid w:val="4A7D1B0F"/>
    <w:rsid w:val="4AAC50D1"/>
    <w:rsid w:val="4BE05239"/>
    <w:rsid w:val="4C5A2B74"/>
    <w:rsid w:val="4D2D20D9"/>
    <w:rsid w:val="4D93478D"/>
    <w:rsid w:val="4DA074F7"/>
    <w:rsid w:val="4DA33F07"/>
    <w:rsid w:val="4DDE52C0"/>
    <w:rsid w:val="4F027E1C"/>
    <w:rsid w:val="4F0A0A7E"/>
    <w:rsid w:val="50100AB3"/>
    <w:rsid w:val="50A1397F"/>
    <w:rsid w:val="50FF5140"/>
    <w:rsid w:val="51C75DFE"/>
    <w:rsid w:val="51D4384D"/>
    <w:rsid w:val="52741FCB"/>
    <w:rsid w:val="52D06B10"/>
    <w:rsid w:val="52F842BF"/>
    <w:rsid w:val="53536515"/>
    <w:rsid w:val="536B21BA"/>
    <w:rsid w:val="53A862CC"/>
    <w:rsid w:val="542A0FDA"/>
    <w:rsid w:val="54ED53D0"/>
    <w:rsid w:val="54F161CB"/>
    <w:rsid w:val="55091CCC"/>
    <w:rsid w:val="55A4687E"/>
    <w:rsid w:val="56307253"/>
    <w:rsid w:val="56453199"/>
    <w:rsid w:val="571B6F4E"/>
    <w:rsid w:val="577C44E3"/>
    <w:rsid w:val="582F6DAB"/>
    <w:rsid w:val="58AD45AF"/>
    <w:rsid w:val="58D4718C"/>
    <w:rsid w:val="59A82CA5"/>
    <w:rsid w:val="5AD536B4"/>
    <w:rsid w:val="5AEA4CCC"/>
    <w:rsid w:val="5B031B11"/>
    <w:rsid w:val="5B96574B"/>
    <w:rsid w:val="5C5A652B"/>
    <w:rsid w:val="5CD56B70"/>
    <w:rsid w:val="5D777C27"/>
    <w:rsid w:val="5DD1318C"/>
    <w:rsid w:val="5DE138D8"/>
    <w:rsid w:val="5E1921ED"/>
    <w:rsid w:val="5E7B2E85"/>
    <w:rsid w:val="5EDC2437"/>
    <w:rsid w:val="5F7D5E8E"/>
    <w:rsid w:val="5F7F522A"/>
    <w:rsid w:val="5FC67A7F"/>
    <w:rsid w:val="60107EBF"/>
    <w:rsid w:val="601337BB"/>
    <w:rsid w:val="603D1BCE"/>
    <w:rsid w:val="6104065E"/>
    <w:rsid w:val="618F13C5"/>
    <w:rsid w:val="61DD46AC"/>
    <w:rsid w:val="62A87E16"/>
    <w:rsid w:val="62CA561A"/>
    <w:rsid w:val="6313315F"/>
    <w:rsid w:val="636F428D"/>
    <w:rsid w:val="63745450"/>
    <w:rsid w:val="63CD6C1F"/>
    <w:rsid w:val="64A56430"/>
    <w:rsid w:val="65031AB9"/>
    <w:rsid w:val="651E1BE8"/>
    <w:rsid w:val="65B6037E"/>
    <w:rsid w:val="65BB2793"/>
    <w:rsid w:val="65E75C0B"/>
    <w:rsid w:val="667027CF"/>
    <w:rsid w:val="6688694C"/>
    <w:rsid w:val="67530DBD"/>
    <w:rsid w:val="67673354"/>
    <w:rsid w:val="67A7444D"/>
    <w:rsid w:val="68245589"/>
    <w:rsid w:val="68777DD2"/>
    <w:rsid w:val="69796AD5"/>
    <w:rsid w:val="69983CE0"/>
    <w:rsid w:val="6A1C1694"/>
    <w:rsid w:val="6A751DB0"/>
    <w:rsid w:val="6AB95533"/>
    <w:rsid w:val="6B037E0E"/>
    <w:rsid w:val="6BDE41BB"/>
    <w:rsid w:val="6C5462A8"/>
    <w:rsid w:val="6C917FD7"/>
    <w:rsid w:val="6D043AA1"/>
    <w:rsid w:val="6DE43A4F"/>
    <w:rsid w:val="6EBD6FDF"/>
    <w:rsid w:val="6EC42E1A"/>
    <w:rsid w:val="6EF03395"/>
    <w:rsid w:val="6EF94940"/>
    <w:rsid w:val="70A772A4"/>
    <w:rsid w:val="70C25BAC"/>
    <w:rsid w:val="71BB7860"/>
    <w:rsid w:val="72440385"/>
    <w:rsid w:val="727F2F91"/>
    <w:rsid w:val="736E54E1"/>
    <w:rsid w:val="73761484"/>
    <w:rsid w:val="742F670E"/>
    <w:rsid w:val="743F3C99"/>
    <w:rsid w:val="74835482"/>
    <w:rsid w:val="74877DC7"/>
    <w:rsid w:val="74B65081"/>
    <w:rsid w:val="75610B49"/>
    <w:rsid w:val="75890D8F"/>
    <w:rsid w:val="75B043EA"/>
    <w:rsid w:val="76D90F68"/>
    <w:rsid w:val="77C1540B"/>
    <w:rsid w:val="783E7320"/>
    <w:rsid w:val="78CB19C0"/>
    <w:rsid w:val="78F35EFE"/>
    <w:rsid w:val="78FF5669"/>
    <w:rsid w:val="790E3D7D"/>
    <w:rsid w:val="793275BA"/>
    <w:rsid w:val="793C7C90"/>
    <w:rsid w:val="79A724F1"/>
    <w:rsid w:val="7A083FAF"/>
    <w:rsid w:val="7A347497"/>
    <w:rsid w:val="7A4B7878"/>
    <w:rsid w:val="7A6D100D"/>
    <w:rsid w:val="7ABE2599"/>
    <w:rsid w:val="7B232E76"/>
    <w:rsid w:val="7BF32209"/>
    <w:rsid w:val="7C56760C"/>
    <w:rsid w:val="7C5F16F8"/>
    <w:rsid w:val="7C9D3E10"/>
    <w:rsid w:val="7CAF2E48"/>
    <w:rsid w:val="7CB122FF"/>
    <w:rsid w:val="7D2A47D7"/>
    <w:rsid w:val="7D761851"/>
    <w:rsid w:val="7DBA67DE"/>
    <w:rsid w:val="7DF53ACA"/>
    <w:rsid w:val="7E4B568A"/>
    <w:rsid w:val="7E953F59"/>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1">
    <w:name w:val="Default Paragraph Font"/>
    <w:autoRedefine/>
    <w:semiHidden/>
    <w:unhideWhenUsed/>
    <w:qFormat/>
    <w:uiPriority w:val="1"/>
  </w:style>
  <w:style w:type="table" w:default="1" w:styleId="10">
    <w:name w:val="Normal Table"/>
    <w:autoRedefin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Indent"/>
    <w:basedOn w:val="1"/>
    <w:qFormat/>
    <w:uiPriority w:val="0"/>
    <w:pPr>
      <w:ind w:firstLine="645"/>
    </w:pPr>
    <w:rPr>
      <w:rFonts w:ascii="楷体_GB2312" w:eastAsia="楷体_GB2312"/>
      <w:sz w:val="32"/>
      <w:szCs w:val="32"/>
    </w:r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paragraph" w:styleId="9">
    <w:name w:val="Body Text First Indent 2"/>
    <w:basedOn w:val="5"/>
    <w:qFormat/>
    <w:uiPriority w:val="0"/>
    <w:pPr>
      <w:spacing w:line="360" w:lineRule="auto"/>
      <w:ind w:firstLine="420" w:firstLineChars="200"/>
    </w:pPr>
    <w:rPr>
      <w:rFonts w:ascii="宋体" w:hAnsi="宋体" w:eastAsia="宋体"/>
      <w:sz w:val="21"/>
      <w:szCs w:val="20"/>
    </w:rPr>
  </w:style>
  <w:style w:type="character" w:styleId="12">
    <w:name w:val="Strong"/>
    <w:basedOn w:val="11"/>
    <w:qFormat/>
    <w:uiPriority w:val="0"/>
    <w:rPr>
      <w:b/>
    </w:rPr>
  </w:style>
  <w:style w:type="character" w:customStyle="1" w:styleId="13">
    <w:name w:val="页眉 Char"/>
    <w:basedOn w:val="11"/>
    <w:link w:val="7"/>
    <w:autoRedefine/>
    <w:qFormat/>
    <w:uiPriority w:val="0"/>
    <w:rPr>
      <w:rFonts w:asciiTheme="minorHAnsi" w:hAnsiTheme="minorHAnsi" w:eastAsiaTheme="minorEastAsia" w:cstheme="minorBidi"/>
      <w:kern w:val="2"/>
      <w:sz w:val="18"/>
      <w:szCs w:val="18"/>
    </w:rPr>
  </w:style>
  <w:style w:type="character" w:customStyle="1" w:styleId="14">
    <w:name w:val="页脚 Char"/>
    <w:basedOn w:val="11"/>
    <w:link w:val="6"/>
    <w:autoRedefine/>
    <w:qFormat/>
    <w:uiPriority w:val="0"/>
    <w:rPr>
      <w:rFonts w:asciiTheme="minorHAnsi" w:hAnsiTheme="minorHAnsi" w:eastAsiaTheme="minorEastAsia" w:cstheme="minorBidi"/>
      <w:kern w:val="2"/>
      <w:sz w:val="18"/>
      <w:szCs w:val="18"/>
    </w:rPr>
  </w:style>
  <w:style w:type="paragraph" w:customStyle="1" w:styleId="15">
    <w:name w:val="正文首行缩进 21"/>
    <w:basedOn w:val="16"/>
    <w:qFormat/>
    <w:uiPriority w:val="0"/>
    <w:pPr>
      <w:ind w:firstLine="420"/>
    </w:pPr>
  </w:style>
  <w:style w:type="paragraph" w:customStyle="1" w:styleId="16">
    <w:name w:val="正文文本缩进1"/>
    <w:basedOn w:val="1"/>
    <w:qFormat/>
    <w:uiPriority w:val="0"/>
    <w:pPr>
      <w:spacing w:after="120"/>
      <w:ind w:left="42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42</Pages>
  <Words>14337</Words>
  <Characters>15378</Characters>
  <Lines>129</Lines>
  <Paragraphs>36</Paragraphs>
  <TotalTime>2</TotalTime>
  <ScaleCrop>false</ScaleCrop>
  <LinksUpToDate>false</LinksUpToDate>
  <CharactersWithSpaces>15500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陈磊</cp:lastModifiedBy>
  <dcterms:modified xsi:type="dcterms:W3CDTF">2026-10-10T07:52:12Z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7C08DE64E46D4505B21608E1B9DF6513_13</vt:lpwstr>
  </property>
  <property fmtid="{D5CDD505-2E9C-101B-9397-08002B2CF9AE}" pid="4" name="KSOTemplateDocerSaveRecord">
    <vt:lpwstr>eyJoZGlkIjoiZWEwNmI0NjUwYjE2YWYzYTA2MGRlODY2MGJlZjZiNDIiLCJ1c2VySWQiOiIxNjY1OTIxMTk0In0=</vt:lpwstr>
  </property>
</Properties>
</file>