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jc w:val="center"/>
        <w:tabs>
          <w:tab w:val="right" w:pos="9094" w:leader="dot"/>
        </w:tabs>
        <w:rPr>
          <w:b/>
          <w:bCs/>
          <w:sz w:val="36"/>
          <w:szCs w:val="36"/>
        </w:rPr>
      </w:pPr>
      <w:r>
        <w:rPr>
          <w:b/>
          <w:bCs/>
          <w:sz w:val="36"/>
          <w:szCs w:val="36"/>
        </w:rPr>
      </w:r>
      <w:r/>
    </w:p>
    <w:p>
      <w:pPr>
        <w:pStyle w:val="946"/>
        <w:jc w:val="center"/>
        <w:tabs>
          <w:tab w:val="right" w:pos="9094" w:leader="dot"/>
        </w:tabs>
        <w:rPr>
          <w:b/>
          <w:bCs/>
          <w:sz w:val="36"/>
          <w:szCs w:val="36"/>
        </w:rPr>
      </w:pPr>
      <w:r>
        <w:rPr>
          <w:b/>
          <w:bCs/>
          <w:sz w:val="36"/>
          <w:szCs w:val="36"/>
        </w:rPr>
      </w:r>
      <w:r/>
    </w:p>
    <w:p>
      <w:pPr>
        <w:pStyle w:val="946"/>
        <w:jc w:val="center"/>
        <w:tabs>
          <w:tab w:val="right" w:pos="9094" w:leader="dot"/>
        </w:tabs>
        <w:rPr>
          <w:b/>
          <w:sz w:val="36"/>
          <w:szCs w:val="36"/>
        </w:rPr>
      </w:pPr>
      <w:r>
        <w:rPr>
          <w:b/>
          <w:sz w:val="36"/>
          <w:szCs w:val="36"/>
        </w:rPr>
      </w:r>
      <w:r/>
    </w:p>
    <w:p>
      <w:pPr>
        <w:pStyle w:val="946"/>
        <w:jc w:val="center"/>
        <w:tabs>
          <w:tab w:val="right" w:pos="9094" w:leader="dot"/>
        </w:tabs>
        <w:rPr>
          <w:b/>
          <w:bCs/>
          <w:sz w:val="36"/>
          <w:szCs w:val="36"/>
        </w:rPr>
      </w:pPr>
      <w:r>
        <w:rPr>
          <w:rFonts w:hint="eastAsia"/>
          <w:b/>
          <w:sz w:val="32"/>
          <w:szCs w:val="32"/>
        </w:rPr>
        <w:t xml:space="preserve">靖江市人民医院聚焦超声皮肤治疗仪采购项目</w:t>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jc w:val="center"/>
        <w:rPr>
          <w:rFonts w:ascii="方正小标宋简体" w:hAnsi="方正小标宋简体" w:eastAsia="方正小标宋简体" w:cs="方正小标宋简体"/>
          <w:sz w:val="72"/>
          <w:szCs w:val="72"/>
        </w:rPr>
      </w:pPr>
      <w:r>
        <w:rPr>
          <w:rFonts w:ascii="方正小标宋简体" w:hAnsi="方正小标宋简体" w:eastAsia="方正小标宋简体" w:cs="方正小标宋简体"/>
          <w:sz w:val="72"/>
          <w:szCs w:val="72"/>
        </w:rPr>
      </w:r>
      <w:r/>
    </w:p>
    <w:p>
      <w:pPr>
        <w:jc w:val="center"/>
        <w:rPr>
          <w:rFonts w:ascii="方正小标宋简体" w:hAnsi="方正小标宋简体" w:eastAsia="方正小标宋简体" w:cs="方正小标宋简体"/>
          <w:sz w:val="72"/>
          <w:szCs w:val="72"/>
        </w:rPr>
      </w:pPr>
      <w:r>
        <w:rPr>
          <w:rFonts w:ascii="方正小标宋简体" w:hAnsi="方正小标宋简体" w:eastAsia="方正小标宋简体" w:cs="方正小标宋简体"/>
          <w:sz w:val="72"/>
          <w:szCs w:val="72"/>
        </w:rPr>
      </w:r>
      <w:r/>
    </w:p>
    <w:p>
      <w:pPr>
        <w:jc w:val="center"/>
        <w:rPr>
          <w:rFonts w:ascii="方正小标宋简体" w:hAnsi="方正小标宋简体" w:eastAsia="方正小标宋简体" w:cs="方正小标宋简体"/>
          <w:sz w:val="72"/>
          <w:szCs w:val="72"/>
        </w:rPr>
      </w:pPr>
      <w:r>
        <w:rPr>
          <w:rFonts w:hint="eastAsia" w:ascii="方正小标宋简体" w:hAnsi="方正小标宋简体" w:eastAsia="方正小标宋简体" w:cs="方正小标宋简体"/>
          <w:sz w:val="72"/>
          <w:szCs w:val="72"/>
        </w:rPr>
        <w:t xml:space="preserve">招  标  文  件</w:t>
      </w:r>
      <w:r/>
    </w:p>
    <w:p>
      <w:pPr>
        <w:ind w:firstLine="320"/>
        <w:spacing w:line="360" w:lineRule="auto"/>
        <w:rPr>
          <w:sz w:val="32"/>
          <w:szCs w:val="32"/>
        </w:rPr>
      </w:pPr>
      <w:r>
        <w:rPr>
          <w:sz w:val="32"/>
          <w:szCs w:val="32"/>
        </w:rPr>
      </w:r>
      <w:r/>
    </w:p>
    <w:p>
      <w:pPr>
        <w:ind w:firstLine="1120"/>
        <w:spacing w:line="360" w:lineRule="auto"/>
        <w:rPr>
          <w:sz w:val="32"/>
          <w:szCs w:val="32"/>
        </w:rPr>
      </w:pPr>
      <w:r>
        <w:rPr>
          <w:sz w:val="32"/>
          <w:szCs w:val="32"/>
        </w:rPr>
      </w:r>
      <w:r/>
    </w:p>
    <w:p>
      <w:pPr>
        <w:pStyle w:val="931"/>
      </w:pPr>
      <w:r/>
      <w:r/>
    </w:p>
    <w:p>
      <w:pPr>
        <w:pStyle w:val="931"/>
      </w:pPr>
      <w:r/>
      <w:r/>
    </w:p>
    <w:p>
      <w:pPr>
        <w:pStyle w:val="931"/>
      </w:pPr>
      <w:r/>
      <w:r/>
    </w:p>
    <w:p>
      <w:pPr>
        <w:ind w:firstLine="560"/>
        <w:spacing w:before="156" w:after="156"/>
        <w:rPr>
          <w:rFonts w:ascii="宋体" w:hAnsi="宋体"/>
          <w:sz w:val="28"/>
          <w:szCs w:val="28"/>
        </w:rPr>
      </w:pPr>
      <w:r>
        <w:rPr>
          <w:rFonts w:ascii="宋体" w:hAnsi="宋体"/>
          <w:sz w:val="28"/>
          <w:szCs w:val="28"/>
        </w:rPr>
      </w:r>
      <w:r>
        <w:rPr>
          <w:rFonts w:ascii="宋体" w:hAnsi="宋体"/>
          <w:sz w:val="28"/>
          <w:szCs w:val="28"/>
        </w:rPr>
      </w:r>
      <w:r/>
    </w:p>
    <w:p>
      <w:pPr>
        <w:ind w:firstLine="560"/>
        <w:spacing w:before="156" w:after="156"/>
        <w:rPr>
          <w:rFonts w:ascii="宋体" w:hAnsi="宋体"/>
          <w:sz w:val="28"/>
          <w:szCs w:val="28"/>
        </w:rPr>
      </w:pPr>
      <w:r>
        <w:rPr>
          <w:rFonts w:ascii="宋体" w:hAnsi="宋体"/>
          <w:sz w:val="28"/>
          <w:szCs w:val="28"/>
        </w:rPr>
      </w:r>
      <w:r>
        <w:rPr>
          <w:rFonts w:ascii="宋体" w:hAnsi="宋体"/>
          <w:sz w:val="28"/>
          <w:szCs w:val="28"/>
        </w:rPr>
      </w:r>
      <w:r/>
    </w:p>
    <w:p>
      <w:pPr>
        <w:ind w:firstLine="560"/>
        <w:spacing w:before="156" w:after="156"/>
        <w:rPr>
          <w:rFonts w:ascii="宋体" w:hAnsi="宋体"/>
          <w:sz w:val="28"/>
          <w:szCs w:val="28"/>
        </w:rPr>
      </w:pPr>
      <w:r>
        <w:rPr>
          <w:rFonts w:ascii="宋体" w:hAnsi="宋体"/>
          <w:sz w:val="28"/>
          <w:szCs w:val="28"/>
        </w:rPr>
      </w:r>
      <w:r/>
    </w:p>
    <w:p>
      <w:pPr>
        <w:ind w:firstLine="560"/>
        <w:spacing w:before="156" w:after="156"/>
        <w:rPr>
          <w:rFonts w:ascii="宋体" w:hAnsi="宋体"/>
          <w:sz w:val="28"/>
          <w:szCs w:val="28"/>
          <w:u w:val="single"/>
        </w:rPr>
      </w:pPr>
      <w:r>
        <w:rPr>
          <w:rFonts w:ascii="宋体" w:hAnsi="宋体"/>
          <w:sz w:val="28"/>
          <w:szCs w:val="28"/>
          <w:u w:val="single"/>
        </w:rPr>
      </w:r>
      <w:r/>
    </w:p>
    <w:p>
      <w:pPr>
        <w:ind w:firstLine="560"/>
        <w:spacing w:before="156" w:after="156"/>
        <w:rPr>
          <w:rFonts w:ascii="宋体" w:hAnsi="宋体"/>
          <w:sz w:val="28"/>
          <w:szCs w:val="28"/>
          <w:u w:val="single"/>
        </w:rPr>
      </w:pPr>
      <w:r>
        <w:rPr>
          <w:rFonts w:hint="eastAsia" w:ascii="宋体" w:hAnsi="宋体"/>
          <w:sz w:val="28"/>
          <w:szCs w:val="28"/>
        </w:rPr>
        <w:t xml:space="preserve">招   标   人（盖章）：</w:t>
      </w:r>
      <w:r>
        <w:rPr>
          <w:rFonts w:hint="eastAsia" w:ascii="宋体" w:hAnsi="宋体"/>
          <w:sz w:val="28"/>
          <w:szCs w:val="28"/>
          <w:u w:val="single"/>
        </w:rPr>
        <w:t xml:space="preserve">    靖江市人民医院               </w:t>
      </w:r>
      <w:r/>
    </w:p>
    <w:p>
      <w:pPr>
        <w:pStyle w:val="931"/>
      </w:pPr>
      <w:r/>
      <w:r/>
    </w:p>
    <w:p>
      <w:pPr>
        <w:ind w:firstLine="560"/>
        <w:spacing w:before="156" w:after="156"/>
        <w:rPr>
          <w:rFonts w:ascii="宋体" w:hAnsi="宋体"/>
          <w:sz w:val="28"/>
          <w:szCs w:val="28"/>
        </w:rPr>
      </w:pPr>
      <w:r/>
      <w:bookmarkStart w:id="0" w:name="_Toc2344"/>
      <w:r/>
      <w:r/>
    </w:p>
    <w:p>
      <w:pPr>
        <w:ind w:firstLine="560"/>
        <w:spacing w:before="156" w:after="156"/>
        <w:rPr>
          <w:rFonts w:ascii="宋体" w:hAnsi="宋体"/>
          <w:sz w:val="28"/>
          <w:szCs w:val="28"/>
        </w:rPr>
      </w:pPr>
      <w:r>
        <w:rPr>
          <w:rFonts w:ascii="宋体" w:hAnsi="宋体"/>
          <w:sz w:val="28"/>
          <w:szCs w:val="28"/>
        </w:rPr>
      </w:r>
      <w:r/>
    </w:p>
    <w:p>
      <w:pPr>
        <w:ind w:firstLine="560"/>
        <w:spacing w:before="156" w:after="156"/>
        <w:rPr>
          <w:rFonts w:ascii="宋体" w:hAnsi="宋体"/>
          <w:sz w:val="28"/>
          <w:szCs w:val="28"/>
        </w:rPr>
      </w:pPr>
      <w:r>
        <w:rPr>
          <w:rFonts w:hint="eastAsia" w:ascii="宋体" w:hAnsi="宋体"/>
          <w:sz w:val="28"/>
          <w:szCs w:val="28"/>
        </w:rPr>
        <w:t xml:space="preserve">采购代理机构（盖章）：</w:t>
      </w:r>
      <w:bookmarkEnd w:id="0"/>
      <w:r>
        <w:rPr>
          <w:rFonts w:hint="eastAsia" w:ascii="宋体" w:hAnsi="宋体"/>
          <w:sz w:val="28"/>
          <w:szCs w:val="28"/>
          <w:u w:val="single"/>
        </w:rPr>
        <w:t xml:space="preserve"> </w:t>
      </w:r>
      <w:bookmarkStart w:id="1" w:name="OLE_LINK6"/>
      <w:r/>
      <w:bookmarkStart w:id="2" w:name="OLE_LINK7"/>
      <w:r>
        <w:rPr>
          <w:rFonts w:hint="eastAsia" w:ascii="宋体" w:hAnsi="宋体"/>
          <w:sz w:val="28"/>
          <w:szCs w:val="28"/>
          <w:u w:val="single"/>
        </w:rPr>
        <w:t xml:space="preserve">江苏智汇锡建工程项目管理有限公司</w:t>
      </w:r>
      <w:bookmarkEnd w:id="1"/>
      <w:r/>
      <w:bookmarkEnd w:id="2"/>
      <w:r>
        <w:rPr>
          <w:rFonts w:hint="eastAsia" w:ascii="宋体" w:hAnsi="宋体"/>
          <w:sz w:val="28"/>
          <w:szCs w:val="28"/>
          <w:u w:val="single"/>
        </w:rPr>
        <w:t xml:space="preserve">  </w:t>
      </w:r>
      <w:r>
        <w:rPr>
          <w:rFonts w:hint="eastAsia" w:ascii="宋体" w:hAnsi="宋体"/>
          <w:sz w:val="28"/>
          <w:szCs w:val="28"/>
        </w:rPr>
        <w:t xml:space="preserve"> </w:t>
      </w:r>
      <w:r/>
    </w:p>
    <w:p>
      <w:pPr>
        <w:pStyle w:val="946"/>
        <w:jc w:val="center"/>
        <w:tabs>
          <w:tab w:val="right" w:pos="9094" w:leader="dot"/>
        </w:tabs>
        <w:rPr>
          <w:rFonts w:ascii="宋体" w:hAnsi="宋体"/>
          <w:b/>
          <w:sz w:val="32"/>
          <w:szCs w:val="32"/>
        </w:rPr>
      </w:pPr>
      <w:r>
        <w:rPr>
          <w:rFonts w:hint="eastAsia" w:ascii="宋体" w:hAnsi="宋体"/>
          <w:b/>
          <w:sz w:val="32"/>
          <w:szCs w:val="32"/>
        </w:rPr>
        <w:t xml:space="preserve"> </w:t>
      </w:r>
      <w:bookmarkStart w:id="3" w:name="_Toc21097"/>
      <w:r/>
      <w:r/>
    </w:p>
    <w:p>
      <w:pPr>
        <w:pStyle w:val="946"/>
        <w:jc w:val="center"/>
        <w:tabs>
          <w:tab w:val="right" w:pos="9094" w:leader="dot"/>
        </w:tabs>
        <w:rPr>
          <w:rFonts w:ascii="宋体" w:hAnsi="宋体"/>
          <w:sz w:val="32"/>
          <w:szCs w:val="32"/>
        </w:rPr>
      </w:pPr>
      <w:r>
        <w:rPr>
          <w:rFonts w:hint="eastAsia" w:ascii="宋体" w:hAnsi="宋体"/>
          <w:sz w:val="32"/>
          <w:szCs w:val="32"/>
        </w:rPr>
        <w:t xml:space="preserve">20</w:t>
      </w:r>
      <w:bookmarkStart w:id="4" w:name="_Toc7487"/>
      <w:r/>
      <w:bookmarkStart w:id="5" w:name="_Toc23445"/>
      <w:r/>
      <w:bookmarkStart w:id="6" w:name="_Toc6218"/>
      <w:r>
        <w:rPr>
          <w:rFonts w:hint="eastAsia" w:ascii="宋体" w:hAnsi="宋体"/>
          <w:sz w:val="32"/>
          <w:szCs w:val="32"/>
        </w:rPr>
        <w:t xml:space="preserve">26年</w:t>
      </w:r>
      <w:r>
        <w:rPr>
          <w:rFonts w:hint="eastAsia" w:ascii="宋体" w:hAnsi="宋体"/>
          <w:sz w:val="32"/>
          <w:szCs w:val="32"/>
          <w:lang w:val="en-US" w:eastAsia="zh-CN"/>
        </w:rPr>
        <w:t xml:space="preserve">10</w:t>
      </w:r>
      <w:r>
        <w:rPr>
          <w:rFonts w:hint="eastAsia" w:ascii="宋体" w:hAnsi="宋体"/>
          <w:sz w:val="32"/>
          <w:szCs w:val="32"/>
        </w:rPr>
        <w:t xml:space="preserve">月</w:t>
      </w:r>
      <w:bookmarkEnd w:id="3"/>
      <w:r/>
      <w:bookmarkEnd w:id="4"/>
      <w:r/>
      <w:bookmarkEnd w:id="5"/>
      <w:r/>
      <w:bookmarkEnd w:id="6"/>
      <w:r/>
      <w:r/>
    </w:p>
    <w:p>
      <w:r/>
      <w:r/>
    </w:p>
    <w:p>
      <w:r/>
      <w:r/>
    </w:p>
    <w:p>
      <w:r/>
      <w:r/>
    </w:p>
    <w:p>
      <w:r/>
      <w:r/>
    </w:p>
    <w:p>
      <w:r/>
      <w:r/>
    </w:p>
    <w:p>
      <w:r/>
      <w:r/>
    </w:p>
    <w:p>
      <w:pPr>
        <w:pStyle w:val="946"/>
        <w:jc w:val="center"/>
        <w:tabs>
          <w:tab w:val="right" w:pos="9094" w:leader="dot"/>
        </w:tabs>
        <w:rPr>
          <w:b/>
          <w:bCs/>
          <w:sz w:val="36"/>
          <w:szCs w:val="36"/>
        </w:rPr>
      </w:pPr>
      <w:r>
        <w:rPr>
          <w:rFonts w:hint="eastAsia"/>
          <w:b/>
          <w:bCs/>
          <w:sz w:val="36"/>
          <w:szCs w:val="36"/>
        </w:rPr>
        <w:t xml:space="preserve">目    录</w:t>
      </w:r>
      <w:r/>
    </w:p>
    <w:p>
      <w:pPr>
        <w:pStyle w:val="946"/>
        <w:spacing w:line="480" w:lineRule="auto"/>
        <w:tabs>
          <w:tab w:val="right" w:pos="9094" w:leader="dot"/>
        </w:tabs>
        <w:rPr>
          <w:sz w:val="36"/>
          <w:szCs w:val="36"/>
        </w:rPr>
      </w:pPr>
      <w:r>
        <w:rPr>
          <w:sz w:val="36"/>
          <w:szCs w:val="36"/>
        </w:rPr>
      </w:r>
      <w:r/>
    </w:p>
    <w:p>
      <w:pPr>
        <w:pStyle w:val="946"/>
        <w:ind w:firstLine="480"/>
        <w:spacing w:line="480" w:lineRule="auto"/>
        <w:tabs>
          <w:tab w:val="right" w:pos="8296" w:leader="dot"/>
        </w:tabs>
        <w:rPr>
          <w:rFonts w:ascii="华文宋体" w:hAnsi="华文宋体" w:eastAsia="华文宋体" w:cs="华文宋体"/>
          <w:b/>
          <w:bCs/>
          <w:sz w:val="24"/>
        </w:rPr>
      </w:pPr>
      <w:r>
        <w:rPr>
          <w:rFonts w:hint="eastAsia" w:ascii="华文中宋" w:hAnsi="华文中宋" w:cs="华文中宋"/>
          <w:b/>
          <w:bCs/>
          <w:sz w:val="24"/>
        </w:rPr>
        <w:fldChar w:fldCharType="begin"/>
      </w:r>
      <w:r>
        <w:rPr>
          <w:rFonts w:hint="eastAsia" w:ascii="华文中宋" w:hAnsi="华文中宋" w:cs="华文中宋"/>
          <w:b/>
          <w:bCs/>
          <w:sz w:val="24"/>
        </w:rPr>
        <w:instrText xml:space="preserve"> TOC \o "1-1" \h \z \u </w:instrText>
      </w:r>
      <w:r>
        <w:rPr>
          <w:rFonts w:hint="eastAsia" w:ascii="华文中宋" w:hAnsi="华文中宋" w:cs="华文中宋"/>
          <w:b/>
          <w:bCs/>
          <w:sz w:val="24"/>
        </w:rPr>
        <w:fldChar w:fldCharType="separate"/>
      </w:r>
      <w:r>
        <w:fldChar w:fldCharType="begin"/>
      </w:r>
      <w:r>
        <w:instrText xml:space="preserve"> HYPERLINK \l "_Toc152268436" </w:instrText>
      </w:r>
      <w:r>
        <w:fldChar w:fldCharType="separate"/>
      </w:r>
      <w:r>
        <w:rPr>
          <w:rStyle w:val="963"/>
          <w:rFonts w:hint="eastAsia" w:ascii="华文宋体" w:hAnsi="华文宋体" w:eastAsia="华文宋体" w:cs="华文宋体"/>
          <w:b/>
          <w:bCs/>
          <w:color w:val="auto"/>
          <w:sz w:val="24"/>
        </w:rPr>
        <w:t xml:space="preserve">供应商CA数字证书和电子签章办理特别提醒</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_Toc152268436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1</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46"/>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"_Toc152268437" </w:instrText>
      </w:r>
      <w:r>
        <w:fldChar w:fldCharType="separate"/>
      </w:r>
      <w:r>
        <w:rPr>
          <w:rStyle w:val="963"/>
          <w:rFonts w:hint="eastAsia" w:ascii="华文宋体" w:hAnsi="华文宋体" w:eastAsia="华文宋体" w:cs="华文宋体"/>
          <w:b/>
          <w:bCs/>
          <w:color w:val="auto"/>
          <w:sz w:val="24"/>
        </w:rPr>
        <w:t xml:space="preserve">关于政府采购线上合同信用融资功能告知提醒</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_Toc152268437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2</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46"/>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"_Toc152268438" </w:instrText>
      </w:r>
      <w:r>
        <w:fldChar w:fldCharType="separate"/>
      </w:r>
      <w:r>
        <w:rPr>
          <w:rStyle w:val="963"/>
          <w:rFonts w:hint="eastAsia" w:ascii="华文宋体" w:hAnsi="华文宋体" w:eastAsia="华文宋体" w:cs="华文宋体"/>
          <w:b/>
          <w:bCs/>
          <w:color w:val="auto"/>
          <w:sz w:val="24"/>
        </w:rPr>
        <w:t xml:space="preserve">第一章  招标公告</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_Toc152268438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4</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46"/>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"_Toc152268439" </w:instrText>
      </w:r>
      <w:r>
        <w:fldChar w:fldCharType="separate"/>
      </w:r>
      <w:r>
        <w:rPr>
          <w:rStyle w:val="963"/>
          <w:rFonts w:hint="eastAsia" w:ascii="华文宋体" w:hAnsi="华文宋体" w:eastAsia="华文宋体" w:cs="华文宋体"/>
          <w:b/>
          <w:bCs/>
          <w:color w:val="auto"/>
          <w:sz w:val="24"/>
        </w:rPr>
        <w:t xml:space="preserve">第二章 投标人须知</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_Toc152268439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7</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46"/>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"_Toc152268440" </w:instrText>
      </w:r>
      <w:r>
        <w:fldChar w:fldCharType="separate"/>
      </w:r>
      <w:r>
        <w:rPr>
          <w:rStyle w:val="963"/>
          <w:rFonts w:hint="eastAsia" w:ascii="华文宋体" w:hAnsi="华文宋体" w:eastAsia="华文宋体" w:cs="华文宋体"/>
          <w:b/>
          <w:bCs/>
          <w:color w:val="auto"/>
          <w:sz w:val="24"/>
        </w:rPr>
        <w:t xml:space="preserve">第三章 资格审查办法</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_Toc152268440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20</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46"/>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"_Toc152268441" </w:instrText>
      </w:r>
      <w:r>
        <w:fldChar w:fldCharType="separate"/>
      </w:r>
      <w:r>
        <w:rPr>
          <w:rStyle w:val="963"/>
          <w:rFonts w:hint="eastAsia" w:ascii="华文宋体" w:hAnsi="华文宋体" w:eastAsia="华文宋体" w:cs="华文宋体"/>
          <w:b/>
          <w:bCs/>
          <w:color w:val="auto"/>
          <w:sz w:val="24"/>
        </w:rPr>
        <w:t xml:space="preserve">第四章 评标办法</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_Toc152268441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21</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46"/>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"_Toc152268442" </w:instrText>
      </w:r>
      <w:r>
        <w:fldChar w:fldCharType="separate"/>
      </w:r>
      <w:r>
        <w:rPr>
          <w:rStyle w:val="963"/>
          <w:rFonts w:hint="eastAsia" w:ascii="华文宋体" w:hAnsi="华文宋体" w:eastAsia="华文宋体" w:cs="华文宋体"/>
          <w:b/>
          <w:bCs/>
          <w:color w:val="auto"/>
          <w:sz w:val="24"/>
        </w:rPr>
        <w:t xml:space="preserve">第五章 合同格式及条款</w:t>
      </w:r>
      <w:bookmarkStart w:id="144" w:name="_GoBack"/>
      <w:r/>
      <w:bookmarkEnd w:id="144"/>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_Toc152268442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26</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46"/>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"_Toc152268447" </w:instrText>
      </w:r>
      <w:r>
        <w:fldChar w:fldCharType="separate"/>
      </w:r>
      <w:r>
        <w:rPr>
          <w:rStyle w:val="963"/>
          <w:rFonts w:hint="eastAsia" w:ascii="华文宋体" w:hAnsi="华文宋体" w:eastAsia="华文宋体" w:cs="华文宋体"/>
          <w:b/>
          <w:bCs/>
          <w:color w:val="auto"/>
          <w:sz w:val="24"/>
        </w:rPr>
        <w:t xml:space="preserve">第六章 项目采购需求</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_Toc152268447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30</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46"/>
        <w:ind w:firstLine="561"/>
        <w:spacing w:line="480" w:lineRule="auto"/>
        <w:tabs>
          <w:tab w:val="right" w:pos="8296" w:leader="dot"/>
        </w:tabs>
        <w:rPr>
          <w:rFonts w:ascii="华文中宋" w:hAnsi="华文中宋" w:cs="华文中宋"/>
          <w:sz w:val="24"/>
        </w:rPr>
      </w:pPr>
      <w:r>
        <w:fldChar w:fldCharType="begin"/>
      </w:r>
      <w:r>
        <w:instrText xml:space="preserve"> HYPERLINK \l "_Toc152268448" </w:instrText>
      </w:r>
      <w:r>
        <w:fldChar w:fldCharType="separate"/>
      </w:r>
      <w:r>
        <w:rPr>
          <w:rStyle w:val="963"/>
          <w:rFonts w:hint="eastAsia" w:ascii="华文宋体" w:hAnsi="华文宋体" w:eastAsia="华文宋体" w:cs="华文宋体"/>
          <w:b/>
          <w:bCs/>
          <w:color w:val="auto"/>
          <w:sz w:val="24"/>
        </w:rPr>
        <w:t xml:space="preserve">第七章 电子投标文件格式</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_Toc152268448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34</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46"/>
        <w:ind w:right="420"/>
        <w:spacing w:line="360" w:lineRule="auto"/>
        <w:tabs>
          <w:tab w:val="right" w:pos="9151" w:leader="dot"/>
        </w:tabs>
        <w:rPr>
          <w:rFonts w:ascii="华文中宋" w:hAnsi="华文中宋" w:cs="华文中宋"/>
          <w:sz w:val="28"/>
          <w:szCs w:val="28"/>
        </w:rPr>
      </w:pPr>
      <w:r>
        <w:rPr>
          <w:rFonts w:hint="eastAsia" w:ascii="华文中宋" w:hAnsi="华文中宋" w:cs="华文中宋"/>
          <w:bCs/>
          <w:sz w:val="24"/>
        </w:rPr>
        <w:fldChar w:fldCharType="end"/>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pStyle w:val="917"/>
        <w:jc w:val="center"/>
        <w:spacing w:before="0" w:after="0" w:line="240" w:lineRule="auto"/>
        <w:rPr>
          <w:rFonts w:ascii="微软雅黑" w:hAnsi="微软雅黑" w:eastAsia="微软雅黑" w:cs="微软雅黑"/>
          <w:b w:val="0"/>
          <w:bCs w:val="0"/>
          <w:sz w:val="32"/>
          <w:szCs w:val="36"/>
        </w:rPr>
        <w:sectPr>
          <w:footnotePr/>
          <w:endnotePr/>
          <w:type w:val="nextPage"/>
          <w:pgSz w:w="11906" w:h="16838" w:orient="portrait"/>
          <w:pgMar w:top="1094" w:right="1179" w:bottom="726" w:left="1570" w:header="851" w:footer="652" w:gutter="0"/>
          <w:pgNumType w:start="1"/>
          <w:cols w:num="1" w:sep="0" w:space="1701" w:equalWidth="1"/>
          <w:docGrid w:linePitch="360"/>
        </w:sectPr>
      </w:pPr>
      <w:r/>
      <w:bookmarkStart w:id="7" w:name="_Toc152268436"/>
      <w:r/>
      <w:bookmarkStart w:id="8" w:name="_Toc150280159"/>
      <w:r/>
      <w:r/>
    </w:p>
    <w:p>
      <w:pPr>
        <w:pStyle w:val="917"/>
        <w:jc w:val="center"/>
        <w:spacing w:before="0" w:after="0" w:line="240" w:lineRule="auto"/>
        <w:rPr>
          <w:rFonts w:ascii="微软雅黑" w:hAnsi="微软雅黑" w:eastAsia="微软雅黑" w:cs="微软雅黑"/>
          <w:b w:val="0"/>
          <w:bCs w:val="0"/>
          <w:sz w:val="32"/>
          <w:szCs w:val="36"/>
        </w:rPr>
      </w:pPr>
      <w:r>
        <w:rPr>
          <w:rFonts w:hint="eastAsia" w:ascii="微软雅黑" w:hAnsi="微软雅黑" w:eastAsia="微软雅黑" w:cs="微软雅黑"/>
          <w:b w:val="0"/>
          <w:bCs w:val="0"/>
          <w:sz w:val="32"/>
          <w:szCs w:val="36"/>
        </w:rPr>
        <w:t xml:space="preserve">供应商CA数字证书和电子签章办理特别提醒</w:t>
      </w:r>
      <w:bookmarkEnd w:id="7"/>
      <w:r/>
      <w:bookmarkEnd w:id="8"/>
      <w:r/>
      <w:r/>
    </w:p>
    <w:p>
      <w:pPr>
        <w:ind w:firstLine="470"/>
        <w:spacing w:line="520" w:lineRule="exact"/>
        <w:rPr>
          <w:rFonts w:ascii="宋体" w:hAnsi="宋体" w:cs="宋体"/>
          <w:sz w:val="24"/>
          <w:szCs w:val="24"/>
        </w:rPr>
      </w:pPr>
      <w:r>
        <w:rPr>
          <w:rFonts w:hint="eastAsia" w:ascii="宋体" w:hAnsi="宋体" w:cs="宋体"/>
          <w:sz w:val="24"/>
          <w:szCs w:val="24"/>
        </w:rPr>
        <w:t xml:space="preserve">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CA数字证书”的获取与更换:</w:t>
      </w:r>
      <w:r/>
    </w:p>
    <w:p>
      <w:pPr>
        <w:ind w:firstLine="480"/>
        <w:spacing w:line="520" w:lineRule="exact"/>
        <w:rPr>
          <w:rFonts w:ascii="宋体" w:hAnsi="宋体" w:cs="宋体"/>
          <w:sz w:val="24"/>
          <w:szCs w:val="24"/>
        </w:rPr>
      </w:pPr>
      <w:r>
        <w:rPr>
          <w:rFonts w:hint="eastAsia" w:ascii="宋体" w:hAnsi="宋体" w:cs="宋体"/>
          <w:sz w:val="24"/>
          <w:szCs w:val="24"/>
        </w:rPr>
        <w:t xml:space="preserve">1.供应商需办理“CA数字证书”，“苏采云”系统仅支持江苏省电子政务证书认证中心CA(由江苏意源科技有限公司提供服务)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480"/>
        <w:spacing w:line="520" w:lineRule="exact"/>
        <w:rPr>
          <w:rFonts w:ascii="宋体" w:hAnsi="宋体" w:cs="宋体"/>
          <w:sz w:val="24"/>
          <w:szCs w:val="24"/>
        </w:rPr>
      </w:pPr>
      <w:r>
        <w:rPr>
          <w:rFonts w:hint="eastAsia" w:ascii="宋体" w:hAnsi="宋体" w:cs="宋体"/>
          <w:sz w:val="24"/>
          <w:szCs w:val="24"/>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480"/>
        <w:spacing w:line="520" w:lineRule="exact"/>
        <w:rPr>
          <w:rFonts w:ascii="宋体" w:hAnsi="宋体" w:cs="宋体"/>
          <w:sz w:val="24"/>
          <w:szCs w:val="24"/>
        </w:rPr>
      </w:pPr>
      <w:r>
        <w:rPr>
          <w:rFonts w:hint="eastAsia" w:ascii="宋体" w:hAnsi="宋体" w:cs="宋体"/>
          <w:sz w:val="24"/>
          <w:szCs w:val="24"/>
        </w:rPr>
        <w:t xml:space="preserve">3. “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480"/>
        <w:spacing w:line="520" w:lineRule="exact"/>
        <w:rPr>
          <w:rFonts w:ascii="宋体" w:hAnsi="宋体" w:cs="宋体"/>
          <w:sz w:val="24"/>
          <w:szCs w:val="24"/>
        </w:rPr>
      </w:pPr>
      <w:r>
        <w:rPr>
          <w:rFonts w:hint="eastAsia" w:ascii="宋体" w:hAnsi="宋体" w:cs="宋体"/>
          <w:sz w:val="24"/>
          <w:szCs w:val="24"/>
        </w:rPr>
        <w:t xml:space="preserve">4. “CA数字证书”的办理、注册、安装、解绑，详见供应商操作指南，具体网址：“江苏政府采购网”-“办事指南”-“资料下载”-“江苏省政府采购管理交易系统（苏采云）供应商操作指南”。</w:t>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jc w:val="center"/>
        <w:rPr>
          <w:sz w:val="36"/>
          <w:szCs w:val="36"/>
        </w:rPr>
      </w:pPr>
      <w:r>
        <w:rPr>
          <w:rFonts w:hint="eastAsia" w:ascii="微软雅黑" w:hAnsi="微软雅黑" w:eastAsia="微软雅黑" w:cs="微软雅黑"/>
          <w:b/>
          <w:bCs/>
          <w:sz w:val="24"/>
        </w:rPr>
        <w:t xml:space="preserve">如潜在供应商未按上述要求操作，将自行承担所产生的风险。</w:t>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pStyle w:val="917"/>
        <w:jc w:val="center"/>
        <w:spacing w:before="0" w:after="0" w:line="360" w:lineRule="auto"/>
        <w:rPr>
          <w:rFonts w:ascii="黑体" w:hAnsi="黑体" w:eastAsia="黑体"/>
          <w:bCs w:val="0"/>
          <w:sz w:val="28"/>
          <w:szCs w:val="28"/>
        </w:rPr>
      </w:pPr>
      <w:r/>
      <w:bookmarkStart w:id="9" w:name="_Toc152268437"/>
      <w:r>
        <w:rPr>
          <w:rFonts w:ascii="微软雅黑" w:hAnsi="微软雅黑" w:eastAsia="微软雅黑" w:cs="微软雅黑"/>
          <w:b w:val="0"/>
          <w:bCs w:val="0"/>
          <w:sz w:val="32"/>
          <w:szCs w:val="36"/>
        </w:rPr>
        <w:t xml:space="preserve">关于政府采购线上合同信用融资功能告知提醒</w:t>
      </w:r>
      <w:bookmarkEnd w:id="9"/>
      <w:r/>
      <w:r/>
    </w:p>
    <w:p>
      <w:pPr>
        <w:pStyle w:val="928"/>
        <w:ind w:firstLine="0"/>
        <w:spacing w:line="360" w:lineRule="auto"/>
        <w:rPr>
          <w:rFonts w:ascii="华文中宋" w:hAnsi="华文中宋"/>
          <w:sz w:val="24"/>
          <w:szCs w:val="28"/>
        </w:rPr>
      </w:pPr>
      <w:r>
        <w:rPr>
          <w:rFonts w:ascii="华文中宋" w:hAnsi="华文中宋"/>
          <w:sz w:val="24"/>
          <w:szCs w:val="28"/>
        </w:rPr>
        <w:t xml:space="preserve">各政府采购供应商：</w:t>
      </w:r>
      <w:r/>
    </w:p>
    <w:p>
      <w:pPr>
        <w:pStyle w:val="928"/>
        <w:ind w:firstLine="480"/>
        <w:spacing w:line="360" w:lineRule="auto"/>
        <w:rPr>
          <w:rFonts w:ascii="华文中宋" w:hAnsi="华文中宋"/>
          <w:sz w:val="24"/>
          <w:szCs w:val="28"/>
        </w:rPr>
      </w:pPr>
      <w:r>
        <w:rPr>
          <w:rFonts w:ascii="华文中宋" w:hAnsi="华文中宋"/>
          <w:sz w:val="24"/>
          <w:szCs w:val="28"/>
        </w:rPr>
        <w:t xml:space="preserve">今年我市已正式启用“苏采云”系统，目前已全面开通政府采购线上合同信用融资（以下简称“政采贷”）功能。成交供应商可凭政府采购合同在中征平台发起贷款申请贷款。</w:t>
      </w:r>
      <w:r/>
    </w:p>
    <w:p>
      <w:pPr>
        <w:pStyle w:val="928"/>
        <w:ind w:firstLine="480"/>
        <w:spacing w:line="360" w:lineRule="auto"/>
        <w:rPr>
          <w:rFonts w:ascii="华文中宋" w:hAnsi="华文中宋"/>
          <w:sz w:val="24"/>
          <w:szCs w:val="28"/>
        </w:rPr>
      </w:pPr>
      <w:r>
        <w:rPr>
          <w:rFonts w:ascii="华文中宋" w:hAnsi="华文中宋"/>
          <w:sz w:val="24"/>
          <w:szCs w:val="28"/>
        </w:rPr>
        <w:t xml:space="preserve">“政采贷”业务流程</w:t>
      </w:r>
      <w:r/>
    </w:p>
    <w:p>
      <w:pPr>
        <w:pStyle w:val="928"/>
        <w:ind w:firstLine="560"/>
        <w:jc w:val="center"/>
        <w:spacing w:line="360" w:lineRule="auto"/>
        <w:rPr>
          <w:rFonts w:eastAsia="仿宋"/>
          <w:sz w:val="28"/>
          <w:szCs w:val="28"/>
        </w:rPr>
      </w:pPr>
      <w:r>
        <w:rPr>
          <w:rFonts w:eastAsia="仿宋"/>
          <w:sz w:val="28"/>
          <w:szCs w:val="28"/>
        </w:rPr>
        <mc:AlternateContent>
          <mc:Choice Requires="wpg">
            <w:drawing>
              <wp:inline xmlns:wp="http://schemas.openxmlformats.org/drawingml/2006/wordprocessingDrawing" distT="0" distB="0" distL="0" distR="0">
                <wp:extent cx="4576445" cy="17449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0"/>
                        <a:stretch/>
                      </pic:blipFill>
                      <pic:spPr bwMode="auto">
                        <a:xfrm>
                          <a:off x="0" y="0"/>
                          <a:ext cx="4576534" cy="17450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0.3pt;height:137.4pt;mso-wrap-distance-left:0.0pt;mso-wrap-distance-top:0.0pt;mso-wrap-distance-right:0.0pt;mso-wrap-distance-bottom:0.0pt;" stroked="f">
                <v:path textboxrect="0,0,0,0"/>
                <v:imagedata r:id="rId10" o:title=""/>
              </v:shape>
            </w:pict>
          </mc:Fallback>
        </mc:AlternateContent>
      </w:r>
      <w:r/>
    </w:p>
    <w:p>
      <w:pPr>
        <w:pStyle w:val="928"/>
        <w:ind w:firstLine="480"/>
        <w:spacing w:line="360" w:lineRule="auto"/>
        <w:rPr>
          <w:rFonts w:ascii="华文中宋" w:hAnsi="华文中宋"/>
          <w:sz w:val="24"/>
        </w:rPr>
      </w:pPr>
      <w:r>
        <w:rPr>
          <w:rFonts w:ascii="华文中宋" w:hAnsi="华文中宋"/>
          <w:sz w:val="24"/>
        </w:rPr>
        <w:t xml:space="preserve">常见问题</w:t>
      </w:r>
      <w:r/>
    </w:p>
    <w:p>
      <w:pPr>
        <w:pStyle w:val="928"/>
        <w:ind w:firstLine="480"/>
        <w:spacing w:line="360" w:lineRule="auto"/>
        <w:rPr>
          <w:rFonts w:ascii="华文中宋" w:hAnsi="华文中宋"/>
          <w:sz w:val="24"/>
        </w:rPr>
      </w:pPr>
      <w:r>
        <w:rPr>
          <w:rFonts w:ascii="华文中宋" w:hAnsi="华文中宋"/>
          <w:sz w:val="24"/>
        </w:rPr>
        <w:t xml:space="preserve">Q1：哪些企业能申请“政采贷”？</w:t>
      </w:r>
      <w:r/>
    </w:p>
    <w:p>
      <w:pPr>
        <w:pStyle w:val="928"/>
        <w:ind w:firstLine="480"/>
        <w:spacing w:line="360" w:lineRule="auto"/>
        <w:rPr>
          <w:rFonts w:ascii="华文中宋" w:hAnsi="华文中宋"/>
          <w:sz w:val="24"/>
        </w:rPr>
      </w:pPr>
      <w:r>
        <w:rPr>
          <w:rFonts w:ascii="华文中宋" w:hAnsi="华文中宋"/>
          <w:sz w:val="24"/>
        </w:rPr>
        <w:t xml:space="preserve">答：江苏省内采用国库集中支付的政府采购项目的中标供应商，可凭政府采购合同申请"政采贷"。</w:t>
      </w:r>
      <w:r/>
    </w:p>
    <w:p>
      <w:pPr>
        <w:pStyle w:val="928"/>
        <w:ind w:firstLine="480"/>
        <w:spacing w:line="360" w:lineRule="auto"/>
        <w:rPr>
          <w:rFonts w:ascii="华文中宋" w:hAnsi="华文中宋"/>
          <w:sz w:val="24"/>
        </w:rPr>
      </w:pPr>
      <w:r>
        <w:rPr>
          <w:rFonts w:ascii="华文中宋" w:hAnsi="华文中宋"/>
          <w:sz w:val="24"/>
        </w:rPr>
        <w:t xml:space="preserve">Q2：供应商在哪里申请“政采贷”？</w:t>
      </w:r>
      <w:r/>
    </w:p>
    <w:p>
      <w:pPr>
        <w:pStyle w:val="928"/>
        <w:ind w:firstLine="480"/>
        <w:spacing w:line="360" w:lineRule="auto"/>
        <w:rPr>
          <w:rFonts w:ascii="华文中宋" w:hAnsi="华文中宋"/>
          <w:sz w:val="24"/>
        </w:rPr>
      </w:pPr>
      <w:r>
        <w:rPr>
          <w:rFonts w:ascii="华文中宋" w:hAnsi="华文中宋"/>
          <w:sz w:val="24"/>
        </w:rPr>
        <w:t xml:space="preserve">答：中标供应商在“中征应收账款融资服务平台”（简称“中征平台”）上向意向银行发起融资申请</w:t>
      </w:r>
      <w:r/>
    </w:p>
    <w:p>
      <w:pPr>
        <w:pStyle w:val="928"/>
        <w:ind w:firstLine="480"/>
        <w:spacing w:line="360" w:lineRule="auto"/>
        <w:rPr>
          <w:rFonts w:ascii="华文中宋" w:hAnsi="华文中宋"/>
          <w:sz w:val="24"/>
        </w:rPr>
      </w:pPr>
      <w:r>
        <w:rPr>
          <w:rFonts w:ascii="华文中宋" w:hAnsi="华文中宋"/>
          <w:sz w:val="24"/>
        </w:rPr>
        <w:t xml:space="preserve">Q3：中标供应商要注意什么？</w:t>
      </w:r>
      <w:r/>
    </w:p>
    <w:p>
      <w:pPr>
        <w:pStyle w:val="928"/>
        <w:ind w:firstLine="480"/>
        <w:spacing w:line="360" w:lineRule="auto"/>
        <w:rPr>
          <w:rFonts w:ascii="华文中宋" w:hAnsi="华文中宋"/>
          <w:sz w:val="24"/>
        </w:rPr>
      </w:pPr>
      <w:r>
        <w:rPr>
          <w:rFonts w:ascii="华文中宋" w:hAnsi="华文中宋"/>
          <w:sz w:val="24"/>
        </w:rPr>
        <w:t xml:space="preserve">答：中标供应商要加强和采购单位的沟通协调，尽早确定融资需求。需要“政采贷”融资的，政府采购合同付款账号应当空置。</w:t>
      </w:r>
      <w:r/>
    </w:p>
    <w:p>
      <w:pPr>
        <w:pStyle w:val="928"/>
        <w:ind w:firstLine="480"/>
        <w:spacing w:line="360" w:lineRule="auto"/>
        <w:rPr>
          <w:rFonts w:ascii="华文中宋" w:hAnsi="华文中宋"/>
          <w:sz w:val="24"/>
        </w:rPr>
      </w:pPr>
      <w:r>
        <w:rPr>
          <w:rFonts w:ascii="华文中宋" w:hAnsi="华文中宋"/>
          <w:sz w:val="24"/>
        </w:rPr>
        <w:t xml:space="preserve">Q4：采购单位要做什么？</w:t>
      </w:r>
      <w:r/>
    </w:p>
    <w:p>
      <w:pPr>
        <w:pStyle w:val="928"/>
        <w:ind w:firstLine="480"/>
        <w:spacing w:line="360" w:lineRule="auto"/>
        <w:rPr>
          <w:rFonts w:ascii="华文中宋" w:hAnsi="华文中宋"/>
          <w:sz w:val="24"/>
        </w:rPr>
      </w:pPr>
      <w:r>
        <w:rPr>
          <w:rFonts w:ascii="华文中宋" w:hAnsi="华文中宋"/>
          <w:sz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928"/>
        <w:ind w:firstLine="480"/>
        <w:spacing w:line="360" w:lineRule="auto"/>
        <w:rPr>
          <w:rFonts w:ascii="华文中宋" w:hAnsi="华文中宋"/>
          <w:sz w:val="24"/>
        </w:rPr>
      </w:pPr>
      <w:r>
        <w:rPr>
          <w:rFonts w:ascii="华文中宋" w:hAnsi="华文中宋"/>
          <w:sz w:val="24"/>
        </w:rPr>
        <w:t xml:space="preserve">Q5：“政采贷”融资失败怎么办？</w:t>
      </w:r>
      <w:r/>
    </w:p>
    <w:p>
      <w:pPr>
        <w:pStyle w:val="928"/>
        <w:ind w:firstLine="480"/>
        <w:spacing w:line="360" w:lineRule="auto"/>
        <w:rPr>
          <w:rFonts w:ascii="华文中宋" w:hAnsi="华文中宋"/>
          <w:sz w:val="24"/>
        </w:rPr>
      </w:pPr>
      <w:r>
        <w:rPr>
          <w:rFonts w:ascii="华文中宋" w:hAnsi="华文中宋"/>
          <w:sz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28"/>
        <w:ind w:firstLine="480"/>
        <w:spacing w:line="360" w:lineRule="auto"/>
        <w:rPr>
          <w:rFonts w:ascii="华文中宋" w:hAnsi="华文中宋"/>
          <w:sz w:val="24"/>
        </w:rPr>
      </w:pPr>
      <w:r>
        <w:rPr>
          <w:rFonts w:ascii="华文中宋" w:hAnsi="华文中宋"/>
          <w:sz w:val="24"/>
        </w:rPr>
        <w:t xml:space="preserve">政采贷：</w:t>
      </w:r>
      <w:r>
        <w:fldChar w:fldCharType="begin"/>
      </w:r>
      <w:r>
        <w:instrText xml:space="preserve"> HYPERLINK "http://www.ccgp-jiangsu.gov.cn/jiangsu/paying.html" </w:instrText>
      </w:r>
      <w:r>
        <w:fldChar w:fldCharType="separate"/>
      </w:r>
      <w:r>
        <w:rPr>
          <w:rFonts w:ascii="华文中宋" w:hAnsi="华文中宋"/>
          <w:sz w:val="24"/>
        </w:rPr>
        <w:t xml:space="preserve">http://www.ccgp-jiangsu.gov.cn/jiangsu/paying.html</w:t>
      </w:r>
      <w:r>
        <w:rPr>
          <w:rFonts w:ascii="华文中宋" w:hAnsi="华文中宋"/>
          <w:sz w:val="24"/>
        </w:rPr>
        <w:fldChar w:fldCharType="end"/>
      </w:r>
      <w:r/>
    </w:p>
    <w:p>
      <w:pPr>
        <w:pStyle w:val="928"/>
        <w:ind w:firstLine="480"/>
        <w:spacing w:line="360" w:lineRule="auto"/>
        <w:rPr>
          <w:rFonts w:ascii="华文中宋" w:hAnsi="华文中宋"/>
          <w:sz w:val="24"/>
        </w:rPr>
      </w:pPr>
      <w:r>
        <w:rPr>
          <w:rFonts w:ascii="华文中宋" w:hAnsi="华文中宋"/>
          <w:sz w:val="24"/>
        </w:rPr>
        <w:t xml:space="preserve">中征平台：</w:t>
      </w:r>
      <w:r>
        <w:fldChar w:fldCharType="begin"/>
      </w:r>
      <w:r>
        <w:instrText xml:space="preserve"> HYPERLINK "https://www.crcrfsp.com/" </w:instrText>
      </w:r>
      <w:r>
        <w:fldChar w:fldCharType="separate"/>
      </w:r>
      <w:r>
        <w:rPr>
          <w:rFonts w:ascii="华文中宋" w:hAnsi="华文中宋"/>
          <w:sz w:val="24"/>
        </w:rPr>
        <w:t xml:space="preserve">https://www.crcrfsp.com/</w:t>
      </w:r>
      <w:r>
        <w:rPr>
          <w:rFonts w:ascii="华文中宋" w:hAnsi="华文中宋"/>
          <w:sz w:val="24"/>
        </w:rPr>
        <w:fldChar w:fldCharType="end"/>
      </w:r>
      <w:r/>
    </w:p>
    <w:p>
      <w:pPr>
        <w:pStyle w:val="928"/>
        <w:ind w:firstLine="480"/>
        <w:spacing w:line="360" w:lineRule="auto"/>
        <w:rPr>
          <w:rFonts w:ascii="华文中宋" w:hAnsi="华文中宋"/>
          <w:b/>
          <w:bCs/>
          <w:sz w:val="24"/>
        </w:rPr>
      </w:pPr>
      <w:r>
        <w:rPr>
          <w:rFonts w:ascii="华文中宋" w:hAnsi="华文中宋"/>
          <w:sz w:val="24"/>
        </w:rPr>
        <w:t xml:space="preserve">联系电话：0523-84821917</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pStyle w:val="917"/>
        <w:jc w:val="center"/>
        <w:spacing w:before="0" w:after="0" w:line="240" w:lineRule="auto"/>
        <w:rPr>
          <w:sz w:val="36"/>
          <w:szCs w:val="36"/>
        </w:rPr>
      </w:pPr>
      <w:r/>
      <w:bookmarkStart w:id="10" w:name="_Toc152268438"/>
      <w:r/>
      <w:bookmarkStart w:id="11" w:name="_Toc4915"/>
      <w:r>
        <w:rPr>
          <w:rFonts w:hint="eastAsia" w:ascii="微软雅黑" w:hAnsi="微软雅黑" w:eastAsia="微软雅黑" w:cs="微软雅黑"/>
          <w:b w:val="0"/>
          <w:bCs w:val="0"/>
          <w:sz w:val="36"/>
          <w:szCs w:val="36"/>
        </w:rPr>
        <w:t xml:space="preserve">第一章  招标公告</w:t>
      </w:r>
      <w:bookmarkEnd w:id="10"/>
      <w:r/>
      <w:bookmarkEnd w:id="11"/>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2"/>
      </w:tblGrid>
      <w:tr>
        <w:trPr>
          <w:jc w:val="center"/>
          <w:trHeight w:val="1273"/>
        </w:trPr>
        <w:tc>
          <w:tcPr>
            <w:tcW w:w="9222" w:type="dxa"/>
            <w:vAlign w:val="center"/>
            <w:textDirection w:val="lrTb"/>
            <w:noWrap w:val="false"/>
          </w:tcPr>
          <w:p>
            <w:pPr>
              <w:ind w:firstLine="400"/>
              <w:jc w:val="both"/>
              <w:keepLines w:val="0"/>
              <w:keepNext w:val="0"/>
              <w:pageBreakBefore w:val="0"/>
              <w:spacing w:line="440" w:lineRule="exact"/>
              <w:widowControl w:val="off"/>
              <w:rPr>
                <w:sz w:val="22"/>
                <w:szCs w:val="22"/>
              </w:rPr>
            </w:pPr>
            <w:r>
              <w:rPr>
                <w:rFonts w:hint="eastAsia" w:ascii="黑体" w:hAnsi="黑体" w:eastAsia="黑体" w:cs="黑体"/>
                <w:sz w:val="20"/>
                <w:szCs w:val="20"/>
              </w:rPr>
              <w:t xml:space="preserve">靖江市人民医院聚焦超声皮肤治疗仪采购项目 JSZC-321282-JSZH-G2026-</w:t>
            </w:r>
            <w:r>
              <w:rPr>
                <w:rFonts w:hint="eastAsia" w:ascii="黑体" w:hAnsi="黑体" w:eastAsia="黑体" w:cs="黑体"/>
                <w:sz w:val="20"/>
                <w:szCs w:val="20"/>
                <w:highlight w:val="none"/>
              </w:rPr>
              <w:t xml:space="preserve">0094</w:t>
            </w:r>
            <w:r>
              <w:rPr>
                <w:rFonts w:hint="eastAsia" w:ascii="黑体" w:hAnsi="黑体" w:eastAsia="黑体" w:cs="黑体"/>
                <w:sz w:val="20"/>
                <w:szCs w:val="20"/>
              </w:rPr>
              <w:t xml:space="preserve"> 招标项目的潜在投标人应在“苏采云”系统（http://jszfcg.jsczt.cn）获取招标文件，并于2026-</w:t>
            </w:r>
            <w:r>
              <w:rPr>
                <w:rFonts w:hint="eastAsia" w:ascii="黑体" w:hAnsi="黑体" w:eastAsia="黑体" w:cs="黑体"/>
                <w:sz w:val="20"/>
                <w:szCs w:val="20"/>
                <w:lang w:val="en-US" w:eastAsia="zh-CN"/>
              </w:rPr>
              <w:t xml:space="preserve">11</w:t>
            </w:r>
            <w:r>
              <w:rPr>
                <w:rFonts w:hint="eastAsia" w:ascii="黑体" w:hAnsi="黑体" w:eastAsia="黑体" w:cs="黑体"/>
                <w:sz w:val="20"/>
                <w:szCs w:val="20"/>
              </w:rPr>
              <w:t xml:space="preserve">-</w:t>
            </w:r>
            <w:r>
              <w:rPr>
                <w:rFonts w:hint="eastAsia" w:ascii="黑体" w:hAnsi="黑体" w:eastAsia="黑体" w:cs="黑体"/>
                <w:sz w:val="20"/>
                <w:szCs w:val="20"/>
                <w:highlight w:val="none"/>
              </w:rPr>
              <w:t xml:space="preserve">26 </w:t>
            </w:r>
            <w:r>
              <w:rPr>
                <w:rFonts w:hint="eastAsia" w:ascii="黑体" w:hAnsi="黑体" w:eastAsia="黑体" w:cs="黑体"/>
                <w:sz w:val="20"/>
                <w:szCs w:val="20"/>
              </w:rPr>
              <w:t xml:space="preserve">14:00（北京时间）前递交投标文件。</w:t>
            </w:r>
            <w:r/>
          </w:p>
        </w:tc>
      </w:tr>
    </w:tbl>
    <w:p>
      <w:pPr>
        <w:ind w:firstLine="482"/>
        <w:keepLines w:val="0"/>
        <w:keepNext w:val="0"/>
        <w:pageBreakBefore w:val="0"/>
        <w:spacing w:line="440" w:lineRule="exact"/>
        <w:rPr>
          <w:rFonts w:ascii="黑体" w:hAnsi="黑体" w:eastAsia="黑体" w:cs="黑体"/>
          <w:b/>
          <w:bCs/>
          <w:sz w:val="22"/>
          <w:szCs w:val="22"/>
        </w:rPr>
      </w:pPr>
      <w:r>
        <w:rPr>
          <w:rFonts w:hint="eastAsia" w:ascii="黑体" w:hAnsi="黑体" w:eastAsia="黑体" w:cs="黑体"/>
          <w:b/>
          <w:bCs/>
          <w:sz w:val="22"/>
          <w:szCs w:val="22"/>
        </w:rPr>
        <w:t xml:space="preserve">一、项目基本情况</w:t>
      </w:r>
      <w:r/>
    </w:p>
    <w:p>
      <w:pPr>
        <w:ind w:firstLine="480"/>
        <w:jc w:val="left"/>
        <w:keepLines w:val="0"/>
        <w:keepNext w:val="0"/>
        <w:pageBreakBefore w:val="0"/>
        <w:spacing w:line="440" w:lineRule="exact"/>
        <w:widowControl/>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项目编号：</w:t>
      </w:r>
      <w:bookmarkStart w:id="12" w:name="OLE_LINK3"/>
      <w:r/>
      <w:bookmarkStart w:id="13" w:name="OLE_LINK2"/>
      <w:r>
        <w:rPr>
          <w:rFonts w:hint="eastAsia" w:asciiTheme="minorEastAsia" w:hAnsiTheme="minorEastAsia" w:eastAsiaTheme="minorEastAsia" w:cstheme="minorEastAsia"/>
          <w:sz w:val="22"/>
          <w:szCs w:val="22"/>
        </w:rPr>
        <w:t xml:space="preserve">JSZC-321282-JSZH-G2026-0094 </w:t>
      </w:r>
      <w:bookmarkEnd w:id="12"/>
      <w:r/>
      <w:bookmarkEnd w:id="13"/>
      <w:r/>
      <w:r/>
    </w:p>
    <w:p>
      <w:pPr>
        <w:ind w:firstLine="480"/>
        <w:jc w:val="left"/>
        <w:keepLines w:val="0"/>
        <w:keepNext w:val="0"/>
        <w:pageBreakBefore w:val="0"/>
        <w:spacing w:line="440" w:lineRule="exact"/>
        <w:widowControl/>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项目名称：</w:t>
      </w:r>
      <w:r>
        <w:rPr>
          <w:rFonts w:hint="eastAsia" w:eastAsiaTheme="minorEastAsia"/>
          <w:sz w:val="22"/>
          <w:szCs w:val="22"/>
        </w:rPr>
        <w:t xml:space="preserve">靖江市人民医院聚焦超声皮肤治疗仪采购项目</w:t>
      </w:r>
      <w:r>
        <w:rPr>
          <w:rFonts w:hint="eastAsia" w:asciiTheme="minorEastAsia" w:hAnsiTheme="minorEastAsia" w:eastAsiaTheme="minorEastAsia" w:cstheme="minorEastAsia"/>
          <w:sz w:val="22"/>
          <w:szCs w:val="22"/>
        </w:rPr>
        <w:t xml:space="preserve"> </w:t>
      </w:r>
      <w:r/>
    </w:p>
    <w:p>
      <w:pPr>
        <w:ind w:firstLine="480"/>
        <w:jc w:val="left"/>
        <w:keepLines w:val="0"/>
        <w:keepNext w:val="0"/>
        <w:pageBreakBefore w:val="0"/>
        <w:spacing w:line="440" w:lineRule="exact"/>
        <w:widowControl/>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预算金额：120万元</w:t>
      </w:r>
      <w:r/>
    </w:p>
    <w:p>
      <w:pPr>
        <w:ind w:firstLine="480"/>
        <w:jc w:val="left"/>
        <w:keepLines w:val="0"/>
        <w:keepNext w:val="0"/>
        <w:pageBreakBefore w:val="0"/>
        <w:spacing w:line="440" w:lineRule="exact"/>
        <w:widowControl/>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最高限价（如有）：115万元</w:t>
      </w:r>
      <w:r/>
    </w:p>
    <w:p>
      <w:pPr>
        <w:ind w:firstLine="480"/>
        <w:jc w:val="left"/>
        <w:keepLines w:val="0"/>
        <w:keepNext w:val="0"/>
        <w:pageBreakBefore w:val="0"/>
        <w:spacing w:line="440" w:lineRule="exact"/>
        <w:widowControl/>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采购需求：</w:t>
      </w:r>
      <w:r/>
    </w:p>
    <w:tbl>
      <w:tblPr>
        <w:tblStyle w:val="681"/>
        <w:tblW w:w="4750" w:type="pct"/>
        <w:tblInd w:w="368" w:type="dxa"/>
        <w:tblLayout w:type="fixed"/>
        <w:tblCellMar>
          <w:left w:w="108" w:type="dxa"/>
          <w:top w:w="0" w:type="dxa"/>
          <w:right w:w="108" w:type="dxa"/>
          <w:bottom w:w="0" w:type="dxa"/>
        </w:tblCellMar>
        <w:tblLook w:val="04A0" w:firstRow="1" w:lastRow="0" w:firstColumn="1" w:lastColumn="0" w:noHBand="0" w:noVBand="1"/>
      </w:tblPr>
      <w:tblGrid>
        <w:gridCol w:w="734"/>
        <w:gridCol w:w="2904"/>
        <w:gridCol w:w="1066"/>
        <w:gridCol w:w="940"/>
        <w:gridCol w:w="1406"/>
        <w:gridCol w:w="1794"/>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140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核心产品</w:t>
            </w:r>
            <w:r/>
          </w:p>
        </w:tc>
        <w:tc>
          <w:tcPr>
            <w:shd w:val="clear" w:color="auto" w:fill="auto"/>
            <w:tcBorders>
              <w:top w:val="single" w:color="000000" w:sz="4" w:space="0"/>
              <w:left w:val="single" w:color="000000" w:sz="4" w:space="0"/>
              <w:bottom w:val="single" w:color="auto" w:sz="4" w:space="0"/>
              <w:right w:val="single" w:color="000000" w:sz="4" w:space="0"/>
            </w:tcBorders>
            <w:tcW w:w="1794"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是否接受</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进口产品</w:t>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聚焦超声皮肤治疗仪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auto" w:sz="4" w:space="0"/>
            </w:tcBorders>
            <w:tcW w:w="940"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1794"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否</w:t>
            </w:r>
            <w:r/>
          </w:p>
        </w:tc>
      </w:tr>
    </w:tbl>
    <w:p>
      <w:pPr>
        <w:ind w:firstLine="480"/>
        <w:jc w:val="left"/>
        <w:keepLines w:val="0"/>
        <w:keepNext w:val="0"/>
        <w:pageBreakBefore w:val="0"/>
        <w:spacing w:before="120" w:line="440" w:lineRule="exact"/>
        <w:widowControl/>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合同履行期限：</w:t>
      </w:r>
      <w:r>
        <w:rPr>
          <w:rFonts w:hint="eastAsia" w:asciiTheme="minorEastAsia" w:hAnsiTheme="minorEastAsia" w:eastAsiaTheme="minorEastAsia" w:cstheme="minorEastAsia"/>
          <w:sz w:val="22"/>
          <w:szCs w:val="22"/>
          <w:u w:val="single"/>
        </w:rPr>
        <w:t xml:space="preserve"> 30</w:t>
      </w:r>
      <w:r>
        <w:rPr>
          <w:rFonts w:hint="eastAsia" w:asciiTheme="minorEastAsia" w:hAnsiTheme="minorEastAsia" w:eastAsiaTheme="minorEastAsia" w:cstheme="minorEastAsia"/>
          <w:sz w:val="22"/>
          <w:szCs w:val="22"/>
        </w:rPr>
        <w:t xml:space="preserve">日历天。</w:t>
      </w:r>
      <w:r/>
    </w:p>
    <w:p>
      <w:pPr>
        <w:ind w:firstLine="480"/>
        <w:jc w:val="left"/>
        <w:keepLines w:val="0"/>
        <w:keepNext w:val="0"/>
        <w:pageBreakBefore w:val="0"/>
        <w:spacing w:before="120" w:line="440" w:lineRule="exact"/>
        <w:widowControl/>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本项目（是/否）接受联合体投标：否。</w:t>
      </w:r>
      <w:r/>
    </w:p>
    <w:p>
      <w:pPr>
        <w:ind w:firstLine="482"/>
        <w:keepLines w:val="0"/>
        <w:keepNext w:val="0"/>
        <w:pageBreakBefore w:val="0"/>
        <w:spacing w:line="440" w:lineRule="exact"/>
        <w:rPr>
          <w:rFonts w:ascii="黑体" w:hAnsi="黑体" w:eastAsia="黑体" w:cs="黑体"/>
          <w:b/>
          <w:bCs/>
          <w:sz w:val="22"/>
          <w:szCs w:val="22"/>
        </w:rPr>
      </w:pPr>
      <w:r>
        <w:rPr>
          <w:rFonts w:hint="eastAsia" w:ascii="黑体" w:hAnsi="黑体" w:eastAsia="黑体" w:cs="黑体"/>
          <w:b/>
          <w:bCs/>
          <w:sz w:val="22"/>
          <w:szCs w:val="22"/>
        </w:rPr>
        <w:t xml:space="preserve">二、申请人资格条件</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（一）满足《中华人民共和国政府采购法》第二十二条规定：</w:t>
      </w:r>
      <w:r/>
    </w:p>
    <w:p>
      <w:pPr>
        <w:ind w:firstLine="480"/>
        <w:keepLines w:val="0"/>
        <w:keepNext w:val="0"/>
        <w:pageBreakBefore w:val="0"/>
        <w:spacing w:line="44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1.具有独立承担民事责任的能力（提供有效的法人或者其他组织的营业执照等证明文件原件扫描件）；</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 xml:space="preserve">2.具有《政府采购法》第二十二条第（二）、（三）、（四）、（五）项规定的基本资格条件（按投标文件格式要求提供了《基本资格条件声明函》）。</w:t>
      </w:r>
      <w:r/>
    </w:p>
    <w:p>
      <w:pPr>
        <w:ind w:firstLine="480"/>
        <w:keepLines w:val="0"/>
        <w:keepNext w:val="0"/>
        <w:pageBreakBefore w:val="0"/>
        <w:spacing w:line="44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 xml:space="preserve">（二）落实政府采购政策需满足的资格要求：</w:t>
      </w:r>
      <w:r>
        <w:rPr>
          <w:rFonts w:hint="eastAsia" w:asciiTheme="minorEastAsia" w:hAnsiTheme="minorEastAsia" w:eastAsiaTheme="minorEastAsia" w:cstheme="minorEastAsia"/>
          <w:b/>
          <w:bCs/>
          <w:sz w:val="22"/>
          <w:szCs w:val="22"/>
        </w:rPr>
        <w:t xml:space="preserve">无。</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（三）本项目的特定资格要求：</w:t>
      </w:r>
      <w:r>
        <w:rPr>
          <w:rFonts w:hint="eastAsia" w:asciiTheme="minorEastAsia" w:hAnsiTheme="minorEastAsia" w:eastAsiaTheme="minorEastAsia" w:cstheme="minorEastAsia"/>
          <w:b/>
          <w:bCs/>
          <w:sz w:val="22"/>
          <w:szCs w:val="22"/>
          <w:u w:val="single"/>
        </w:rPr>
        <w:t xml:space="preserve">投标人</w:t>
      </w:r>
      <w:r>
        <w:rPr>
          <w:rFonts w:hint="eastAsia" w:asciiTheme="minorEastAsia" w:hAnsiTheme="minorEastAsia" w:eastAsiaTheme="minorEastAsia" w:cstheme="minorEastAsia"/>
          <w:b/>
          <w:bCs/>
          <w:sz w:val="22"/>
          <w:szCs w:val="22"/>
          <w:u w:val="single"/>
          <w:lang w:val="en-US" w:eastAsia="zh-CN"/>
        </w:rPr>
        <w:t xml:space="preserve">若</w:t>
      </w:r>
      <w:r>
        <w:rPr>
          <w:rFonts w:hint="eastAsia" w:asciiTheme="minorEastAsia" w:hAnsiTheme="minorEastAsia" w:eastAsiaTheme="minorEastAsia" w:cstheme="minorEastAsia"/>
          <w:b/>
          <w:bCs/>
          <w:sz w:val="22"/>
          <w:szCs w:val="22"/>
          <w:u w:val="single"/>
        </w:rPr>
        <w:t xml:space="preserve">为产品制造商（注册人/备案人）且销售自产产品的，提供有效的《医疗器械生产许可证》（许可范围包含投标产品）及产品注册证（</w:t>
      </w:r>
      <w:r>
        <w:rPr>
          <w:rFonts w:hint="eastAsia" w:asciiTheme="minorEastAsia" w:hAnsiTheme="minorEastAsia" w:eastAsiaTheme="minorEastAsia" w:cstheme="minorEastAsia"/>
          <w:b/>
          <w:bCs/>
          <w:sz w:val="22"/>
          <w:szCs w:val="22"/>
          <w:u w:val="single"/>
        </w:rPr>
        <w:t xml:space="preserve">与</w:t>
      </w:r>
      <w:r>
        <w:rPr>
          <w:rFonts w:hint="eastAsia" w:asciiTheme="minorEastAsia" w:hAnsiTheme="minorEastAsia" w:eastAsiaTheme="minorEastAsia" w:cstheme="minorEastAsia"/>
          <w:b/>
          <w:bCs/>
          <w:sz w:val="22"/>
          <w:szCs w:val="22"/>
          <w:u w:val="single"/>
        </w:rPr>
        <w:t xml:space="preserve">投标产品</w:t>
      </w:r>
      <w:r>
        <w:rPr>
          <w:rFonts w:hint="eastAsia" w:asciiTheme="minorEastAsia" w:hAnsiTheme="minorEastAsia" w:eastAsiaTheme="minorEastAsia" w:cstheme="minorEastAsia"/>
          <w:b/>
          <w:bCs/>
          <w:sz w:val="22"/>
          <w:szCs w:val="22"/>
          <w:u w:val="single"/>
        </w:rPr>
        <w:t xml:space="preserve">一致</w:t>
      </w:r>
      <w:r>
        <w:rPr>
          <w:rFonts w:hint="eastAsia" w:asciiTheme="minorEastAsia" w:hAnsiTheme="minorEastAsia" w:eastAsiaTheme="minorEastAsia" w:cstheme="minorEastAsia"/>
          <w:b/>
          <w:bCs/>
          <w:sz w:val="22"/>
          <w:szCs w:val="22"/>
          <w:u w:val="single"/>
        </w:rPr>
        <w:t xml:space="preserve">）；投标人</w:t>
      </w:r>
      <w:r>
        <w:rPr>
          <w:rFonts w:hint="eastAsia" w:asciiTheme="minorEastAsia" w:hAnsiTheme="minorEastAsia" w:eastAsiaTheme="minorEastAsia" w:cstheme="minorEastAsia"/>
          <w:b/>
          <w:bCs/>
          <w:sz w:val="22"/>
          <w:szCs w:val="22"/>
          <w:u w:val="single"/>
          <w:lang w:val="en-US" w:eastAsia="zh-CN"/>
        </w:rPr>
        <w:t xml:space="preserve">若</w:t>
      </w:r>
      <w:r>
        <w:rPr>
          <w:rFonts w:hint="eastAsia" w:asciiTheme="minorEastAsia" w:hAnsiTheme="minorEastAsia" w:eastAsiaTheme="minorEastAsia" w:cstheme="minorEastAsia"/>
          <w:b/>
          <w:bCs/>
          <w:sz w:val="22"/>
          <w:szCs w:val="22"/>
          <w:u w:val="single"/>
        </w:rPr>
        <w:t xml:space="preserve">非投标产品制造商的须提供自身有效的《医疗器械经营许可证》（许可范围包含投标产品）（</w:t>
      </w:r>
      <w:r>
        <w:rPr>
          <w:rFonts w:hint="eastAsia" w:asciiTheme="minorEastAsia" w:hAnsiTheme="minorEastAsia" w:eastAsiaTheme="minorEastAsia" w:cstheme="minorEastAsia"/>
          <w:b/>
          <w:bCs/>
          <w:sz w:val="22"/>
          <w:szCs w:val="22"/>
          <w:u w:val="single"/>
        </w:rPr>
        <w:t xml:space="preserve">提供</w:t>
      </w:r>
      <w:r>
        <w:rPr>
          <w:rFonts w:hint="eastAsia" w:asciiTheme="minorEastAsia" w:hAnsiTheme="minorEastAsia" w:eastAsiaTheme="minorEastAsia" w:cstheme="minorEastAsia"/>
          <w:b/>
          <w:bCs/>
          <w:sz w:val="22"/>
          <w:szCs w:val="22"/>
          <w:u w:val="single"/>
        </w:rPr>
        <w:t xml:space="preserve">相关</w:t>
      </w:r>
      <w:r>
        <w:rPr>
          <w:rFonts w:hint="eastAsia" w:asciiTheme="minorEastAsia" w:hAnsiTheme="minorEastAsia" w:eastAsiaTheme="minorEastAsia" w:cstheme="minorEastAsia"/>
          <w:b/>
          <w:bCs/>
          <w:sz w:val="22"/>
          <w:szCs w:val="22"/>
          <w:u w:val="single"/>
        </w:rPr>
        <w:t xml:space="preserve">证书</w:t>
      </w:r>
      <w:r>
        <w:rPr>
          <w:rFonts w:hint="eastAsia" w:asciiTheme="minorEastAsia" w:hAnsiTheme="minorEastAsia" w:eastAsiaTheme="minorEastAsia" w:cstheme="minorEastAsia"/>
          <w:b/>
          <w:bCs/>
          <w:sz w:val="22"/>
          <w:szCs w:val="22"/>
          <w:u w:val="single"/>
        </w:rPr>
        <w:t xml:space="preserve">原件</w:t>
      </w:r>
      <w:r>
        <w:rPr>
          <w:rFonts w:hint="eastAsia" w:asciiTheme="minorEastAsia" w:hAnsiTheme="minorEastAsia" w:eastAsiaTheme="minorEastAsia" w:cstheme="minorEastAsia"/>
          <w:b/>
          <w:bCs/>
          <w:sz w:val="22"/>
          <w:szCs w:val="22"/>
          <w:u w:val="single"/>
        </w:rPr>
        <w:t xml:space="preserve">扫描件</w:t>
      </w:r>
      <w:r>
        <w:rPr>
          <w:rFonts w:hint="eastAsia" w:asciiTheme="minorEastAsia" w:hAnsiTheme="minorEastAsia" w:eastAsiaTheme="minorEastAsia" w:cstheme="minorEastAsia"/>
          <w:b/>
          <w:bCs/>
          <w:sz w:val="22"/>
          <w:szCs w:val="22"/>
          <w:u w:val="single"/>
        </w:rPr>
        <w:t xml:space="preserve">）</w:t>
      </w:r>
      <w:r>
        <w:rPr>
          <w:rFonts w:hint="eastAsia" w:asciiTheme="minorEastAsia" w:hAnsiTheme="minorEastAsia" w:eastAsiaTheme="minorEastAsia" w:cstheme="minorEastAsia"/>
          <w:b/>
          <w:bCs/>
          <w:sz w:val="22"/>
          <w:szCs w:val="22"/>
        </w:rPr>
        <w:t xml:space="preserve">。</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（四）投标截止时间当日，投标人有下列情形之一的，不得参加本采购项目招标投标活动：</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1.单位负责人为同一人或者存在直接控股、管理关系的不同投标人；</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2.被各级财政主管部门取消采购项目所在地的投标资格且处于有效期内；</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3.被责令停业，暂扣或吊销营业执照，或吊销资质证书；</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4.进入清算程序，或被宣告破产，或其他丧失履约能力的情形；</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5.在“中国政府采购网(www.ccgp.gov.cn)”中被列入“政府采购严重违法失信行为记录名单》”（以采购人或采购代理机构在资格审查时，通过相关网站查询为准）；</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6.在“信用中国（http://www.creditchina.gov.cn/）”网站中被列入“失信被执行人名单”或“税收违法黑名单”（以采购人或采购代理机构在资格审查时，通过相关网站查询为准）；</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7.为采购项目提供整体设计、规范编制或者项目管理、监理、检测等服务的；</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8.法律、法规规定的其他情形。</w:t>
      </w:r>
      <w:r/>
    </w:p>
    <w:p>
      <w:pPr>
        <w:ind w:firstLine="482"/>
        <w:keepLines w:val="0"/>
        <w:keepNext w:val="0"/>
        <w:pageBreakBefore w:val="0"/>
        <w:spacing w:line="440" w:lineRule="exact"/>
        <w:rPr>
          <w:rFonts w:ascii="黑体" w:hAnsi="黑体" w:eastAsia="黑体" w:cs="黑体"/>
          <w:b/>
          <w:bCs/>
          <w:sz w:val="22"/>
          <w:szCs w:val="22"/>
        </w:rPr>
      </w:pPr>
      <w:r>
        <w:rPr>
          <w:rFonts w:hint="eastAsia" w:ascii="黑体" w:hAnsi="黑体" w:eastAsia="黑体" w:cs="黑体"/>
          <w:b/>
          <w:bCs/>
          <w:sz w:val="22"/>
          <w:szCs w:val="22"/>
        </w:rPr>
        <w:t xml:space="preserve">三、获取招标文件</w:t>
      </w:r>
      <w:r/>
    </w:p>
    <w:p>
      <w:pPr>
        <w:ind w:firstLine="480"/>
        <w:keepLines w:val="0"/>
        <w:keepNext w:val="0"/>
        <w:pageBreakBefore w:val="0"/>
        <w:spacing w:line="440" w:lineRule="exact"/>
        <w:rPr>
          <w:rFonts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时间：自招标文件公告发布之日起5个工作日 </w:t>
      </w:r>
      <w:r/>
    </w:p>
    <w:p>
      <w:pPr>
        <w:ind w:firstLine="480"/>
        <w:keepLines w:val="0"/>
        <w:keepNext w:val="0"/>
        <w:pageBreakBefore w:val="0"/>
        <w:spacing w:line="440" w:lineRule="exact"/>
        <w:rPr>
          <w:rFonts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地点：“苏采云”系统（http://jszfcg.jsczt.cn） </w:t>
      </w:r>
      <w:r/>
    </w:p>
    <w:p>
      <w:pPr>
        <w:ind w:firstLine="480"/>
        <w:keepLines w:val="0"/>
        <w:keepNext w:val="0"/>
        <w:pageBreakBefore w:val="0"/>
        <w:spacing w:line="440" w:lineRule="exact"/>
        <w:rPr>
          <w:rFonts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方式：“苏采云”系统（http://jszfcg.jsczt.cn） </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bCs/>
          <w:sz w:val="22"/>
          <w:szCs w:val="22"/>
        </w:rPr>
        <w:t xml:space="preserve">售价：0.00元 </w:t>
      </w:r>
      <w:r/>
    </w:p>
    <w:p>
      <w:pPr>
        <w:ind w:firstLine="482"/>
        <w:keepLines w:val="0"/>
        <w:keepNext w:val="0"/>
        <w:pageBreakBefore w:val="0"/>
        <w:spacing w:line="440" w:lineRule="exact"/>
        <w:rPr>
          <w:rFonts w:ascii="黑体" w:hAnsi="黑体" w:eastAsia="黑体" w:cs="黑体"/>
          <w:b/>
          <w:bCs/>
          <w:sz w:val="22"/>
          <w:szCs w:val="22"/>
        </w:rPr>
      </w:pPr>
      <w:r>
        <w:rPr>
          <w:rFonts w:hint="eastAsia" w:ascii="黑体" w:hAnsi="黑体" w:eastAsia="黑体" w:cs="黑体"/>
          <w:b/>
          <w:bCs/>
          <w:sz w:val="22"/>
          <w:szCs w:val="22"/>
        </w:rPr>
        <w:t xml:space="preserve">四、提交投标文件截止时间、开标时间和地点</w:t>
      </w:r>
      <w:r/>
    </w:p>
    <w:p>
      <w:pPr>
        <w:ind w:firstLine="480"/>
        <w:keepLines w:val="0"/>
        <w:keepNext w:val="0"/>
        <w:pageBreakBefore w:val="0"/>
        <w:spacing w:line="440" w:lineRule="exact"/>
        <w:rPr>
          <w:sz w:val="22"/>
          <w:szCs w:val="22"/>
        </w:rPr>
      </w:pPr>
      <w:r>
        <w:rPr>
          <w:rFonts w:hint="eastAsia" w:asciiTheme="minorEastAsia" w:hAnsiTheme="minorEastAsia" w:eastAsiaTheme="minorEastAsia" w:cstheme="minorEastAsia"/>
          <w:sz w:val="22"/>
          <w:szCs w:val="22"/>
          <w:highlight w:val="none"/>
        </w:rPr>
        <w:t xml:space="preserve">2026-</w:t>
      </w:r>
      <w:r>
        <w:rPr>
          <w:rFonts w:hint="eastAsia" w:asciiTheme="minorEastAsia" w:hAnsiTheme="minorEastAsia" w:eastAsiaTheme="minorEastAsia" w:cstheme="minorEastAsia"/>
          <w:sz w:val="22"/>
          <w:szCs w:val="22"/>
          <w:highlight w:val="none"/>
          <w:lang w:val="en-US" w:eastAsia="zh-CN"/>
        </w:rPr>
        <w:t xml:space="preserve">11</w:t>
      </w:r>
      <w:r>
        <w:rPr>
          <w:rFonts w:hint="eastAsia" w:asciiTheme="minorEastAsia" w:hAnsiTheme="minorEastAsia" w:eastAsiaTheme="minorEastAsia" w:cstheme="minorEastAsia"/>
          <w:sz w:val="22"/>
          <w:szCs w:val="22"/>
          <w:highlight w:val="none"/>
        </w:rPr>
        <w:t xml:space="preserve">-</w:t>
      </w:r>
      <w:r>
        <w:rPr>
          <w:rFonts w:hint="eastAsia" w:asciiTheme="minorEastAsia" w:hAnsiTheme="minorEastAsia" w:eastAsiaTheme="minorEastAsia" w:cstheme="minorEastAsia"/>
          <w:sz w:val="22"/>
          <w:szCs w:val="22"/>
          <w:highlight w:val="none"/>
        </w:rPr>
        <w:t xml:space="preserve">26</w:t>
      </w:r>
      <w:r>
        <w:rPr>
          <w:rFonts w:hint="eastAsia" w:asciiTheme="minorEastAsia" w:hAnsiTheme="minorEastAsia" w:eastAsiaTheme="minorEastAsia" w:cstheme="minorEastAsia"/>
          <w:sz w:val="22"/>
          <w:szCs w:val="22"/>
          <w:highlight w:val="none"/>
        </w:rPr>
        <w:t xml:space="preserve">  14:00 （北京时间）</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地点：“苏采云”系统（http://jszfcg.jsczt.cn）</w:t>
      </w:r>
      <w:r/>
    </w:p>
    <w:p>
      <w:pPr>
        <w:ind w:firstLine="482"/>
        <w:keepLines w:val="0"/>
        <w:keepNext w:val="0"/>
        <w:pageBreakBefore w:val="0"/>
        <w:spacing w:line="440" w:lineRule="exact"/>
        <w:rPr>
          <w:rFonts w:ascii="黑体" w:hAnsi="黑体" w:eastAsia="黑体" w:cs="黑体"/>
          <w:b/>
          <w:bCs/>
          <w:sz w:val="22"/>
          <w:szCs w:val="22"/>
        </w:rPr>
      </w:pPr>
      <w:r>
        <w:rPr>
          <w:rFonts w:hint="eastAsia" w:ascii="黑体" w:hAnsi="黑体" w:eastAsia="黑体" w:cs="黑体"/>
          <w:b/>
          <w:bCs/>
          <w:sz w:val="22"/>
          <w:szCs w:val="22"/>
        </w:rPr>
        <w:t xml:space="preserve">五、公告期限</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自本公告发布之日起5个工作日</w:t>
      </w:r>
      <w:r/>
    </w:p>
    <w:p>
      <w:pPr>
        <w:ind w:firstLine="482"/>
        <w:keepLines w:val="0"/>
        <w:keepNext w:val="0"/>
        <w:pageBreakBefore w:val="0"/>
        <w:spacing w:line="440" w:lineRule="exact"/>
        <w:rPr>
          <w:rFonts w:ascii="黑体" w:hAnsi="黑体" w:eastAsia="黑体" w:cs="黑体"/>
          <w:b/>
          <w:bCs/>
          <w:sz w:val="22"/>
          <w:szCs w:val="22"/>
        </w:rPr>
      </w:pPr>
      <w:r>
        <w:rPr>
          <w:rFonts w:hint="eastAsia" w:ascii="黑体" w:hAnsi="黑体" w:eastAsia="黑体" w:cs="黑体"/>
          <w:b/>
          <w:bCs/>
          <w:sz w:val="22"/>
          <w:szCs w:val="22"/>
        </w:rPr>
        <w:t xml:space="preserve">六、其他补充事宜</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1.本项目采用全流程电子化方式，潜在投标人访问电子招标投标交易平台的网络地址和方法：</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（1）登录 http://jszfcg.jsczt.cn/，点击“苏采云”进入系统；</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（2）投标客户端工具及供应商操作手册可访问江苏省政府采购网，选中“业务工作”，“下载专区”进行下载《江苏省政府采购管理交易系统（苏采云）供应商操作手册及政府采购客户端》。</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2.采购代理机构将数据电文形式的招标文件加载至电子招标投标交易平台，供潜在投标人下载或者查阅。如果项目采购文件变更并发布更正公告，需要重新下载采购文件。</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3.如在制作电子投标文件中有任何疑问，请拨打电子化政府采购技术支持电话：0523-86897512。</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4.如潜在投标人未按上述要求操作，将自行承担所产生的风险。</w:t>
      </w:r>
      <w:r/>
    </w:p>
    <w:p>
      <w:pPr>
        <w:ind w:firstLine="482"/>
        <w:keepLines w:val="0"/>
        <w:keepNext w:val="0"/>
        <w:pageBreakBefore w:val="0"/>
        <w:spacing w:line="440" w:lineRule="exact"/>
        <w:rPr>
          <w:rFonts w:ascii="华文中宋" w:hAnsi="华文中宋" w:cs="华文中宋"/>
          <w:sz w:val="22"/>
          <w:szCs w:val="22"/>
        </w:rPr>
      </w:pPr>
      <w:r>
        <w:rPr>
          <w:rFonts w:hint="eastAsia" w:ascii="黑体" w:hAnsi="黑体" w:eastAsia="黑体" w:cs="黑体"/>
          <w:b/>
          <w:bCs/>
          <w:sz w:val="22"/>
          <w:szCs w:val="22"/>
        </w:rPr>
        <w:t xml:space="preserve">七、凡对本次采购提出询问，请按以下方式联系。</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1.采购人信息</w:t>
      </w:r>
      <w:r/>
    </w:p>
    <w:p>
      <w:pPr>
        <w:ind w:firstLine="480"/>
        <w:keepLines w:val="0"/>
        <w:keepNext w:val="0"/>
        <w:pageBreakBefore w:val="0"/>
        <w:spacing w:line="440" w:lineRule="exact"/>
        <w:tabs>
          <w:tab w:val="left" w:pos="8460" w:leader="none"/>
        </w:tabs>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单位名称：靖江市人民医院</w:t>
      </w:r>
      <w:r/>
    </w:p>
    <w:p>
      <w:pPr>
        <w:ind w:firstLine="480"/>
        <w:keepLines w:val="0"/>
        <w:keepNext w:val="0"/>
        <w:pageBreakBefore w:val="0"/>
        <w:spacing w:line="440" w:lineRule="exact"/>
        <w:tabs>
          <w:tab w:val="left" w:pos="8460" w:leader="none"/>
        </w:tabs>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单位地址：靖江市中洲东路28号</w:t>
      </w:r>
      <w:r/>
    </w:p>
    <w:p>
      <w:pPr>
        <w:ind w:firstLine="480"/>
        <w:keepLines w:val="0"/>
        <w:keepNext w:val="0"/>
        <w:pageBreakBefore w:val="0"/>
        <w:spacing w:line="440" w:lineRule="exact"/>
        <w:tabs>
          <w:tab w:val="left" w:pos="8460" w:leader="none"/>
        </w:tabs>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联系人：王先生</w:t>
      </w:r>
      <w:r/>
    </w:p>
    <w:p>
      <w:pPr>
        <w:ind w:firstLine="480"/>
        <w:keepLines w:val="0"/>
        <w:keepNext w:val="0"/>
        <w:pageBreakBefore w:val="0"/>
        <w:spacing w:line="440" w:lineRule="exact"/>
        <w:tabs>
          <w:tab w:val="left" w:pos="8460" w:leader="none"/>
        </w:tabs>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联系电话：0523-84995920</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2.采购代理机构信息（如有）</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单位名称：江苏智汇锡建工程项目管理有限公司</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单位地址：靖江市</w:t>
      </w:r>
      <w:r>
        <w:rPr>
          <w:rFonts w:hint="eastAsia" w:asciiTheme="minorEastAsia" w:hAnsiTheme="minorEastAsia" w:eastAsiaTheme="minorEastAsia" w:cstheme="minorEastAsia"/>
          <w:sz w:val="22"/>
          <w:szCs w:val="22"/>
          <w:lang w:eastAsia="zh-CN"/>
        </w:rPr>
        <w:t xml:space="preserve">晨阳社区南区</w:t>
      </w:r>
      <w:r>
        <w:rPr>
          <w:rFonts w:hint="eastAsia" w:asciiTheme="minorEastAsia" w:hAnsiTheme="minorEastAsia" w:eastAsiaTheme="minorEastAsia" w:cstheme="minorEastAsia"/>
          <w:sz w:val="22"/>
          <w:szCs w:val="22"/>
        </w:rPr>
        <w:t xml:space="preserve">22幢-9号三楼</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联系人：闻先生</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联系电话：13809011110</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3.项目联系方式</w:t>
      </w:r>
      <w:r/>
    </w:p>
    <w:p>
      <w:pPr>
        <w:ind w:firstLine="480"/>
        <w:keepLines w:val="0"/>
        <w:keepNext w:val="0"/>
        <w:pageBreakBefore w:val="0"/>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项目联系人：闻先生</w:t>
      </w:r>
      <w:r/>
    </w:p>
    <w:p>
      <w:pPr>
        <w:ind w:firstLine="480"/>
        <w:keepLines w:val="0"/>
        <w:keepNext w:val="0"/>
        <w:pageBreakBefore w:val="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2"/>
          <w:szCs w:val="22"/>
        </w:rPr>
        <w:t xml:space="preserve">电话：13809011110</w:t>
      </w:r>
      <w:r/>
    </w:p>
    <w:p>
      <w:pPr>
        <w:ind w:firstLine="440"/>
        <w:spacing w:line="440" w:lineRule="exact"/>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728"/>
        <w:rPr>
          <w:rFonts w:ascii="华文中宋" w:hAnsi="华文中宋" w:cs="华文中宋"/>
          <w:sz w:val="24"/>
          <w:szCs w:val="24"/>
        </w:rPr>
      </w:pPr>
      <w:r>
        <w:rPr>
          <w:rFonts w:ascii="华文中宋" w:hAnsi="华文中宋" w:cs="华文中宋"/>
          <w:sz w:val="24"/>
          <w:szCs w:val="24"/>
        </w:rPr>
      </w:r>
      <w:r/>
    </w:p>
    <w:p>
      <w:pPr>
        <w:pStyle w:val="917"/>
        <w:jc w:val="center"/>
        <w:spacing w:before="0" w:after="0" w:line="360" w:lineRule="auto"/>
        <w:rPr>
          <w:rFonts w:ascii="微软雅黑" w:hAnsi="微软雅黑" w:eastAsia="微软雅黑" w:cs="微软雅黑"/>
          <w:b w:val="0"/>
          <w:bCs w:val="0"/>
          <w:sz w:val="36"/>
          <w:szCs w:val="36"/>
        </w:rPr>
      </w:pPr>
      <w:r/>
      <w:bookmarkStart w:id="14" w:name="_Toc387526281"/>
      <w:r/>
      <w:bookmarkStart w:id="15" w:name="_Toc387526177"/>
      <w:r/>
      <w:bookmarkStart w:id="16" w:name="_Toc152268439"/>
      <w:r/>
      <w:bookmarkStart w:id="17" w:name="_Toc6984"/>
      <w:r/>
      <w:bookmarkStart w:id="18" w:name="_Toc6770"/>
      <w:r/>
      <w:bookmarkStart w:id="19" w:name="_Toc369077558"/>
      <w:r/>
      <w:bookmarkStart w:id="20" w:name="_Toc2936"/>
      <w:r/>
      <w:bookmarkStart w:id="21" w:name="_Toc368759512"/>
      <w:r/>
      <w:bookmarkStart w:id="22" w:name="_Toc184635069"/>
      <w:r/>
      <w:bookmarkStart w:id="23" w:name="_Toc387526373"/>
      <w:r/>
      <w:bookmarkStart w:id="24" w:name="_Toc363326679"/>
      <w:r>
        <w:rPr>
          <w:rFonts w:hint="eastAsia" w:ascii="微软雅黑" w:hAnsi="微软雅黑" w:eastAsia="微软雅黑" w:cs="微软雅黑"/>
          <w:b w:val="0"/>
          <w:bCs w:val="0"/>
          <w:sz w:val="36"/>
          <w:szCs w:val="36"/>
        </w:rPr>
        <w:t xml:space="preserve">第二章 投标人须知</w:t>
      </w:r>
      <w:bookmarkEnd w:id="14"/>
      <w:r/>
      <w:bookmarkEnd w:id="15"/>
      <w:r/>
      <w:bookmarkEnd w:id="16"/>
      <w:r/>
      <w:bookmarkEnd w:id="17"/>
      <w:r/>
      <w:bookmarkEnd w:id="18"/>
      <w:r/>
      <w:bookmarkEnd w:id="19"/>
      <w:r/>
      <w:bookmarkEnd w:id="20"/>
      <w:r/>
      <w:bookmarkEnd w:id="21"/>
      <w:r/>
      <w:bookmarkEnd w:id="22"/>
      <w:r/>
      <w:bookmarkEnd w:id="23"/>
      <w:r/>
      <w:bookmarkEnd w:id="24"/>
      <w:r/>
      <w:r/>
    </w:p>
    <w:p>
      <w:pPr>
        <w:pStyle w:val="921"/>
        <w:ind w:firstLine="118"/>
        <w:jc w:val="center"/>
        <w:spacing w:before="0" w:after="0" w:line="360" w:lineRule="auto"/>
        <w:rPr>
          <w:sz w:val="28"/>
          <w:szCs w:val="21"/>
        </w:rPr>
      </w:pPr>
      <w:r/>
      <w:bookmarkStart w:id="25" w:name="_Toc3882"/>
      <w:r/>
      <w:bookmarkStart w:id="26" w:name="_Toc387526374"/>
      <w:r/>
      <w:bookmarkStart w:id="27" w:name="_Toc9578"/>
      <w:r/>
      <w:bookmarkStart w:id="28" w:name="_Toc369077559"/>
      <w:r/>
      <w:bookmarkStart w:id="29" w:name="_Toc387526282"/>
      <w:r/>
      <w:bookmarkStart w:id="30" w:name="_Toc387526178"/>
      <w:r/>
      <w:bookmarkStart w:id="31" w:name="_Toc16205"/>
      <w:r>
        <w:rPr>
          <w:rFonts w:hint="eastAsia"/>
          <w:sz w:val="28"/>
          <w:szCs w:val="21"/>
        </w:rPr>
        <w:t xml:space="preserve">投标人须知前附表</w:t>
      </w:r>
      <w:bookmarkEnd w:id="25"/>
      <w:r/>
      <w:bookmarkEnd w:id="26"/>
      <w:r/>
      <w:bookmarkEnd w:id="27"/>
      <w:r/>
      <w:bookmarkEnd w:id="28"/>
      <w:r/>
      <w:bookmarkEnd w:id="29"/>
      <w:r/>
      <w:bookmarkEnd w:id="30"/>
      <w:r/>
      <w:bookmarkEnd w:id="31"/>
      <w:r/>
      <w:r/>
    </w:p>
    <w:tbl>
      <w:tblPr>
        <w:tblStyle w:val="681"/>
        <w:tblW w:w="9322"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2560"/>
        <w:gridCol w:w="5629"/>
      </w:tblGrid>
      <w:tr>
        <w:trPr>
          <w:trHeight w:val="710"/>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条款号</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条款名称</w:t>
            </w:r>
            <w:r/>
          </w:p>
        </w:tc>
        <w:tc>
          <w:tcPr>
            <w:tcW w:w="5629"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编列内容</w:t>
            </w:r>
            <w:r/>
          </w:p>
        </w:tc>
      </w:tr>
      <w:tr>
        <w:trPr>
          <w:trHeight w:val="90"/>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1.1.2</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采购人</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名称：靖江市人民医院</w:t>
            </w:r>
            <w:r/>
          </w:p>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地  址：靖江市中洲路28号</w:t>
            </w:r>
            <w:r/>
          </w:p>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联系人：王先生</w:t>
            </w:r>
            <w:r/>
          </w:p>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电话：</w:t>
            </w:r>
            <w:r>
              <w:rPr>
                <w:rFonts w:hint="eastAsia" w:asciiTheme="minorEastAsia" w:hAnsiTheme="minorEastAsia" w:eastAsiaTheme="minorEastAsia" w:cstheme="minorEastAsia"/>
                <w:sz w:val="22"/>
                <w:szCs w:val="22"/>
                <w:lang w:val="zh-CN"/>
              </w:rPr>
              <w:t xml:space="preserve">0523-84995920</w:t>
            </w:r>
            <w:r/>
          </w:p>
        </w:tc>
      </w:tr>
      <w:tr>
        <w:trPr>
          <w:trHeight w:val="1421"/>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1.1.3</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采购代理机构</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名称：江苏智汇锡建工程项目管理有限公司</w:t>
            </w:r>
            <w:r/>
          </w:p>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地址：靖江市</w:t>
            </w:r>
            <w:r>
              <w:rPr>
                <w:rFonts w:hint="eastAsia" w:asciiTheme="minorEastAsia" w:hAnsiTheme="minorEastAsia" w:eastAsiaTheme="minorEastAsia" w:cstheme="minorEastAsia"/>
                <w:sz w:val="22"/>
                <w:szCs w:val="22"/>
                <w:lang w:eastAsia="zh-CN"/>
              </w:rPr>
              <w:t xml:space="preserve">晨阳社区南区</w:t>
            </w:r>
            <w:r>
              <w:rPr>
                <w:rFonts w:hint="eastAsia" w:asciiTheme="minorEastAsia" w:hAnsiTheme="minorEastAsia" w:eastAsiaTheme="minorEastAsia" w:cstheme="minorEastAsia"/>
                <w:sz w:val="22"/>
                <w:szCs w:val="22"/>
              </w:rPr>
              <w:t xml:space="preserve">22幢-9号三楼</w:t>
            </w:r>
            <w:r/>
          </w:p>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 系 人：闻先生</w:t>
            </w:r>
            <w:r/>
          </w:p>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联系方式：13809011110</w:t>
            </w:r>
            <w:r/>
          </w:p>
        </w:tc>
      </w:tr>
      <w:tr>
        <w:trPr>
          <w:trHeight w:val="533"/>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1.1.4</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项目名称</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靖江市人民医院聚焦超声皮肤治疗仪采购项目</w:t>
            </w:r>
            <w:r/>
          </w:p>
        </w:tc>
      </w:tr>
      <w:tr>
        <w:trPr>
          <w:trHeight w:val="455"/>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1.1.5</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项目编号</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JSZC-321282-JSZH-G2026-0094  </w:t>
            </w:r>
            <w:r/>
          </w:p>
        </w:tc>
      </w:tr>
      <w:tr>
        <w:trPr>
          <w:trHeight w:val="606"/>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1.1.6</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采购预算</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u w:val="single"/>
              </w:rPr>
              <w:t xml:space="preserve">120 </w:t>
            </w:r>
            <w:r>
              <w:rPr>
                <w:rFonts w:hint="eastAsia" w:asciiTheme="minorEastAsia" w:hAnsiTheme="minorEastAsia" w:eastAsiaTheme="minorEastAsia" w:cstheme="minorEastAsia"/>
                <w:b/>
                <w:bCs/>
                <w:sz w:val="22"/>
                <w:szCs w:val="22"/>
              </w:rPr>
              <w:t xml:space="preserve">万元</w:t>
            </w:r>
            <w:r/>
          </w:p>
        </w:tc>
      </w:tr>
      <w:tr>
        <w:trPr>
          <w:trHeight w:val="678"/>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1.1.7</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最高限价</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115</w:t>
            </w:r>
            <w:r>
              <w:rPr>
                <w:rFonts w:hint="eastAsia" w:asciiTheme="minorEastAsia" w:hAnsiTheme="minorEastAsia" w:eastAsiaTheme="minorEastAsia" w:cstheme="minorEastAsia"/>
                <w:b/>
                <w:bCs/>
                <w:sz w:val="22"/>
                <w:szCs w:val="22"/>
              </w:rPr>
              <w:t xml:space="preserve">万元</w:t>
            </w:r>
            <w:r/>
          </w:p>
        </w:tc>
      </w:tr>
      <w:tr>
        <w:trPr>
          <w:trHeight w:val="817"/>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1.1.8</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是否接受进口</w:t>
            </w:r>
            <w:r/>
          </w:p>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产品投标</w:t>
            </w:r>
            <w:r/>
          </w:p>
        </w:tc>
        <w:tc>
          <w:tcPr>
            <w:tcW w:w="5629" w:type="dxa"/>
            <w:vAlign w:val="center"/>
            <w:textDirection w:val="lrTb"/>
            <w:noWrap w:val="false"/>
          </w:tcPr>
          <w:p>
            <w:pPr>
              <w:jc w:val="left"/>
              <w:keepLines w:val="0"/>
              <w:keepNext w:val="0"/>
              <w:pageBreakBefore w:val="0"/>
              <w:spacing w:line="400" w:lineRule="exact"/>
              <w:widowControl w:val="off"/>
              <w:rPr>
                <w:rFonts w:hint="eastAsia" w:asciiTheme="minorEastAsia" w:hAnsiTheme="minorEastAsia" w:eastAsiaTheme="minorEastAsia" w:cstheme="minorEastAsia"/>
                <w:b w:val="0"/>
                <w:bCs w:val="0"/>
                <w:sz w:val="22"/>
                <w:szCs w:val="22"/>
              </w:rPr>
            </w:pPr>
            <w:r>
              <w:rPr>
                <w:rFonts w:hint="eastAsia"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b w:val="0"/>
                <w:bCs w:val="0"/>
                <w:sz w:val="22"/>
                <w:szCs w:val="22"/>
              </w:rPr>
              <w:t xml:space="preserve">是</w:t>
            </w:r>
            <w:r>
              <w:rPr>
                <w:rFonts w:hint="eastAsia" w:asciiTheme="minorEastAsia" w:hAnsiTheme="minorEastAsia" w:eastAsiaTheme="minorEastAsia" w:cstheme="minorEastAsia"/>
                <w:b w:val="0"/>
                <w:bCs w:val="0"/>
                <w:sz w:val="22"/>
                <w:szCs w:val="22"/>
              </w:rPr>
            </w:r>
            <w:r>
              <w:rPr>
                <w:b w:val="0"/>
                <w:bCs w:val="0"/>
              </w:rPr>
            </w:r>
          </w:p>
          <w:p>
            <w:pPr>
              <w:jc w:val="left"/>
              <w:keepLines w:val="0"/>
              <w:keepNext w:val="0"/>
              <w:pageBreakBefore w:val="0"/>
              <w:spacing w:line="400" w:lineRule="exact"/>
              <w:widowControl w:val="off"/>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b/>
                <w:bCs/>
                <w:color w:val="000000"/>
                <w:sz w:val="22"/>
                <w:szCs w:val="22"/>
              </w:rPr>
              <w:t xml:space="preserve">否</w:t>
            </w:r>
            <w:r>
              <w:rPr>
                <w:rFonts w:hint="eastAsia" w:asciiTheme="minorEastAsia" w:hAnsiTheme="minorEastAsia" w:eastAsiaTheme="minorEastAsia" w:cstheme="minorEastAsia"/>
                <w:b/>
                <w:bCs/>
                <w:sz w:val="22"/>
                <w:szCs w:val="22"/>
              </w:rPr>
            </w:r>
            <w:r>
              <w:rPr>
                <w:b/>
                <w:bCs/>
              </w:rPr>
            </w:r>
          </w:p>
        </w:tc>
      </w:tr>
      <w:tr>
        <w:trPr>
          <w:trHeight w:val="666"/>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1.2.1</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合同履行期限</w:t>
            </w:r>
            <w:r/>
          </w:p>
        </w:tc>
        <w:tc>
          <w:tcPr>
            <w:tcW w:w="5629" w:type="dxa"/>
            <w:vAlign w:val="center"/>
            <w:textDirection w:val="lrTb"/>
            <w:noWrap w:val="false"/>
          </w:tcPr>
          <w:p>
            <w:pPr>
              <w:jc w:val="left"/>
              <w:keepLines w:val="0"/>
              <w:keepNext w:val="0"/>
              <w:pageBreakBefore w:val="0"/>
              <w:spacing w:line="400" w:lineRule="exact"/>
              <w:widowControl w:val="off"/>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u w:val="single"/>
              </w:rPr>
              <w:t xml:space="preserve"> 30 </w:t>
            </w:r>
            <w:r>
              <w:rPr>
                <w:rFonts w:hint="eastAsia" w:asciiTheme="minorEastAsia" w:hAnsiTheme="minorEastAsia" w:eastAsiaTheme="minorEastAsia" w:cstheme="minorEastAsia"/>
                <w:sz w:val="22"/>
                <w:szCs w:val="22"/>
              </w:rPr>
              <w:t xml:space="preserve">日历天</w:t>
            </w:r>
            <w:r/>
          </w:p>
        </w:tc>
      </w:tr>
      <w:tr>
        <w:trPr>
          <w:trHeight w:val="642"/>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1.2.2</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b w:val="0"/>
                <w:bCs w:val="0"/>
                <w:sz w:val="22"/>
                <w:szCs w:val="22"/>
              </w:rPr>
            </w:pPr>
            <w:r>
              <w:rPr>
                <w:rFonts w:hint="eastAsia" w:asciiTheme="minorEastAsia" w:hAnsiTheme="minorEastAsia" w:eastAsiaTheme="minorEastAsia" w:cstheme="minorEastAsia"/>
                <w:b w:val="0"/>
                <w:bCs w:val="0"/>
                <w:sz w:val="22"/>
                <w:szCs w:val="22"/>
              </w:rPr>
              <w:t xml:space="preserve">验收要求</w:t>
            </w:r>
            <w:r/>
          </w:p>
        </w:tc>
        <w:tc>
          <w:tcPr>
            <w:tcW w:w="5629" w:type="dxa"/>
            <w:vAlign w:val="center"/>
            <w:textDirection w:val="lrTb"/>
            <w:noWrap w:val="false"/>
          </w:tcPr>
          <w:p>
            <w:pPr>
              <w:jc w:val="left"/>
              <w:keepLines w:val="0"/>
              <w:keepNext w:val="0"/>
              <w:pageBreakBefore w:val="0"/>
              <w:spacing w:line="400" w:lineRule="exact"/>
              <w:widowControl w:val="off"/>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符合招标文件要求。</w:t>
            </w:r>
            <w:r>
              <w:rPr>
                <w:b/>
                <w:bCs/>
              </w:rPr>
            </w:r>
          </w:p>
        </w:tc>
      </w:tr>
      <w:tr>
        <w:trPr>
          <w:trHeight w:val="547"/>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1.3.1</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本项目核心产品</w:t>
            </w:r>
            <w:r/>
          </w:p>
        </w:tc>
        <w:tc>
          <w:tcPr>
            <w:tcW w:w="5629" w:type="dxa"/>
            <w:vAlign w:val="center"/>
            <w:textDirection w:val="lrTb"/>
            <w:noWrap w:val="false"/>
          </w:tcPr>
          <w:p>
            <w:pPr>
              <w:jc w:val="left"/>
              <w:keepLines w:val="0"/>
              <w:keepNext w:val="0"/>
              <w:pageBreakBefore w:val="0"/>
              <w:spacing w:line="400" w:lineRule="exact"/>
              <w:widowControl w:val="off"/>
              <w:rPr>
                <w:rFonts w:hint="eastAsia" w:asciiTheme="minorEastAsia" w:hAnsiTheme="minorEastAsia" w:eastAsiaTheme="minorEastAsia" w:cstheme="minorEastAsia"/>
                <w:b/>
                <w:sz w:val="22"/>
                <w:szCs w:val="22"/>
                <w:u w:val="single"/>
              </w:rPr>
            </w:pPr>
            <w:r>
              <w:rPr>
                <w:rFonts w:hint="eastAsia" w:asciiTheme="minorEastAsia" w:hAnsiTheme="minorEastAsia" w:eastAsiaTheme="minorEastAsia" w:cstheme="minorEastAsia"/>
                <w:b/>
                <w:sz w:val="22"/>
                <w:szCs w:val="22"/>
                <w:u w:val="single"/>
              </w:rPr>
              <w:t xml:space="preserve">聚焦超声皮肤治疗仪</w:t>
            </w:r>
            <w:r/>
          </w:p>
        </w:tc>
      </w:tr>
      <w:tr>
        <w:trPr>
          <w:trHeight w:val="484"/>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1.3.2</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本项目标的所属行业</w:t>
            </w:r>
            <w:r/>
          </w:p>
        </w:tc>
        <w:tc>
          <w:tcPr>
            <w:tcW w:w="5629" w:type="dxa"/>
            <w:vAlign w:val="center"/>
            <w:textDirection w:val="lrTb"/>
            <w:noWrap w:val="false"/>
          </w:tcPr>
          <w:p>
            <w:pPr>
              <w:jc w:val="left"/>
              <w:keepLines w:val="0"/>
              <w:keepNext w:val="0"/>
              <w:pageBreakBefore w:val="0"/>
              <w:spacing w:line="40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sz w:val="22"/>
                <w:szCs w:val="22"/>
                <w:u w:val="single"/>
                <w:lang w:val="en-US" w:eastAsia="zh-CN"/>
              </w:rPr>
              <w:t xml:space="preserve">  工业 </w:t>
            </w:r>
            <w:r>
              <w:rPr>
                <w:rFonts w:hint="eastAsia" w:asciiTheme="minorEastAsia" w:hAnsiTheme="minorEastAsia" w:eastAsiaTheme="minorEastAsia" w:cstheme="minorEastAsia"/>
                <w:b/>
                <w:sz w:val="22"/>
                <w:szCs w:val="22"/>
                <w:u w:val="single"/>
              </w:rPr>
              <w:t xml:space="preserve"> </w:t>
            </w:r>
            <w:r/>
          </w:p>
        </w:tc>
      </w:tr>
      <w:tr>
        <w:trPr>
          <w:trHeight w:val="618"/>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1.4.1</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基本资格条件</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见《第一章招标公告》</w:t>
            </w:r>
            <w:r/>
          </w:p>
        </w:tc>
      </w:tr>
      <w:tr>
        <w:trPr>
          <w:trHeight w:val="594"/>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1.4.2</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特定资格条件</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见《第一章招标公告》</w:t>
            </w:r>
            <w:r/>
          </w:p>
        </w:tc>
      </w:tr>
      <w:tr>
        <w:trPr>
          <w:trHeight w:val="833"/>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1.4.4</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是否接受联合体投标</w:t>
            </w:r>
            <w:r/>
          </w:p>
        </w:tc>
        <w:tc>
          <w:tcPr>
            <w:tcW w:w="5629" w:type="dxa"/>
            <w:vAlign w:val="center"/>
            <w:textDirection w:val="lrTb"/>
            <w:noWrap w:val="false"/>
          </w:tcPr>
          <w:p>
            <w:pPr>
              <w:jc w:val="left"/>
              <w:keepLines w:val="0"/>
              <w:keepNext w:val="0"/>
              <w:pageBreakBefore w:val="0"/>
              <w:spacing w:line="400" w:lineRule="exact"/>
              <w:widowControl w:val="off"/>
            </w:pPr>
            <w:r>
              <w:rPr>
                <w:rFonts w:hint="eastAsia"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b w:val="0"/>
                <w:bCs w:val="0"/>
                <w:sz w:val="22"/>
                <w:szCs w:val="22"/>
              </w:rPr>
              <w:t xml:space="preserve">是</w:t>
            </w:r>
            <w:r>
              <w:rPr>
                <w:rFonts w:hint="eastAsia" w:asciiTheme="minorEastAsia" w:hAnsiTheme="minorEastAsia" w:eastAsiaTheme="minorEastAsia" w:cstheme="minorEastAsia"/>
                <w:b w:val="0"/>
                <w:bCs w:val="0"/>
                <w:sz w:val="22"/>
                <w:szCs w:val="22"/>
              </w:rPr>
            </w:r>
            <w:r/>
          </w:p>
          <w:p>
            <w:pPr>
              <w:jc w:val="left"/>
              <w:keepLines w:val="0"/>
              <w:keepNext w:val="0"/>
              <w:pageBreakBefore w:val="0"/>
              <w:spacing w:line="400" w:lineRule="exact"/>
              <w:widowControl w:val="off"/>
              <w:rPr>
                <w:rFonts w:hint="eastAsia"/>
                <w:b w:val="0"/>
                <w:bCs w:val="0"/>
              </w:rPr>
            </w:pPr>
            <w:r>
              <w:rPr>
                <w:rFonts w:hint="eastAsia"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b/>
                <w:bCs/>
                <w:color w:val="000000"/>
                <w:sz w:val="22"/>
                <w:szCs w:val="22"/>
              </w:rPr>
              <w:t xml:space="preserve">否</w:t>
            </w:r>
            <w:r>
              <w:rPr>
                <w:rFonts w:hint="eastAsia" w:asciiTheme="minorEastAsia" w:hAnsiTheme="minorEastAsia" w:eastAsiaTheme="minorEastAsia" w:cstheme="minorEastAsia"/>
                <w:b/>
                <w:bCs/>
                <w:sz w:val="22"/>
                <w:szCs w:val="22"/>
                <w:u w:val="single"/>
              </w:rPr>
            </w:r>
            <w:r/>
            <w:r>
              <w:rPr>
                <w:rFonts w:hint="eastAsia" w:asciiTheme="minorEastAsia" w:hAnsiTheme="minorEastAsia" w:eastAsiaTheme="minorEastAsia" w:cstheme="minorEastAsia"/>
                <w:sz w:val="22"/>
                <w:szCs w:val="22"/>
              </w:rPr>
            </w:r>
            <w:r/>
            <w:r>
              <w:rPr>
                <w:rFonts w:hint="eastAsia" w:asciiTheme="minorEastAsia" w:hAnsiTheme="minorEastAsia" w:eastAsiaTheme="minorEastAsia" w:cstheme="minorEastAsia"/>
                <w:b w:val="0"/>
                <w:bCs w:val="0"/>
                <w:sz w:val="22"/>
                <w:szCs w:val="22"/>
                <w:u w:val="single"/>
              </w:rPr>
            </w:r>
          </w:p>
        </w:tc>
      </w:tr>
      <w:tr>
        <w:trPr>
          <w:trHeight w:val="425"/>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2.2.1</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投标人提交</w:t>
            </w:r>
            <w:r/>
          </w:p>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询问截止时间</w:t>
            </w:r>
            <w:r/>
          </w:p>
        </w:tc>
        <w:tc>
          <w:tcPr>
            <w:tcW w:w="5629" w:type="dxa"/>
            <w:vAlign w:val="center"/>
            <w:textDirection w:val="lrTb"/>
            <w:noWrap w:val="false"/>
          </w:tcPr>
          <w:p>
            <w:pPr>
              <w:keepLines w:val="0"/>
              <w:keepNext w:val="0"/>
              <w:pageBreakBefore w:val="0"/>
              <w:spacing w:line="400" w:lineRule="exact"/>
              <w:widowControl w:val="off"/>
              <w:rPr>
                <w:rFonts w:hint="default" w:asciiTheme="minorEastAsia" w:hAnsiTheme="minorEastAsia" w:eastAsiaTheme="minorEastAsia" w:cstheme="minorEastAsia"/>
                <w:b w:val="0"/>
                <w:bCs w:val="0"/>
                <w:sz w:val="22"/>
                <w:szCs w:val="22"/>
                <w:u w:val="none"/>
              </w:rPr>
            </w:pPr>
            <w:r>
              <w:rPr>
                <w:rFonts w:hint="eastAsia" w:asciiTheme="minorEastAsia" w:hAnsiTheme="minorEastAsia" w:eastAsiaTheme="minorEastAsia" w:cstheme="minorEastAsia"/>
                <w:b w:val="0"/>
                <w:bCs w:val="0"/>
                <w:sz w:val="22"/>
                <w:szCs w:val="22"/>
                <w:u w:val="none"/>
                <w:lang w:val="en-US" w:eastAsia="zh-CN"/>
              </w:rPr>
              <w:t xml:space="preserve">采购公告届满后</w:t>
            </w:r>
            <w:r>
              <w:rPr>
                <w:rFonts w:hint="eastAsia" w:asciiTheme="minorEastAsia" w:hAnsiTheme="minorEastAsia" w:eastAsiaTheme="minorEastAsia" w:cstheme="minorEastAsia"/>
                <w:b w:val="0"/>
                <w:bCs w:val="0"/>
                <w:sz w:val="22"/>
                <w:szCs w:val="22"/>
                <w:u w:val="single"/>
                <w:lang w:val="en-US" w:eastAsia="zh-CN"/>
              </w:rPr>
              <w:t xml:space="preserve"> </w:t>
            </w:r>
            <w:r>
              <w:rPr>
                <w:rFonts w:hint="eastAsia" w:asciiTheme="minorEastAsia" w:hAnsiTheme="minorEastAsia" w:eastAsiaTheme="minorEastAsia" w:cstheme="minorEastAsia"/>
                <w:b/>
                <w:bCs/>
                <w:sz w:val="22"/>
                <w:szCs w:val="22"/>
                <w:u w:val="single"/>
                <w:lang w:val="en-US" w:eastAsia="zh-CN"/>
              </w:rPr>
              <w:t xml:space="preserve">2</w:t>
            </w:r>
            <w:r>
              <w:rPr>
                <w:rFonts w:hint="eastAsia" w:asciiTheme="minorEastAsia" w:hAnsiTheme="minorEastAsia" w:eastAsiaTheme="minorEastAsia" w:cstheme="minorEastAsia"/>
                <w:b w:val="0"/>
                <w:bCs w:val="0"/>
                <w:sz w:val="22"/>
                <w:szCs w:val="22"/>
                <w:u w:val="single"/>
                <w:lang w:val="en-US" w:eastAsia="zh-CN"/>
              </w:rPr>
              <w:t xml:space="preserve"> </w:t>
            </w:r>
            <w:r>
              <w:rPr>
                <w:rFonts w:hint="eastAsia" w:asciiTheme="minorEastAsia" w:hAnsiTheme="minorEastAsia" w:eastAsiaTheme="minorEastAsia" w:cstheme="minorEastAsia"/>
                <w:b w:val="0"/>
                <w:bCs w:val="0"/>
                <w:sz w:val="22"/>
                <w:szCs w:val="22"/>
                <w:u w:val="none"/>
                <w:lang w:val="en-US" w:eastAsia="zh-CN"/>
              </w:rPr>
              <w:t xml:space="preserve">日</w:t>
            </w:r>
            <w:r>
              <w:rPr>
                <w:b w:val="0"/>
                <w:bCs w:val="0"/>
                <w:u w:val="none"/>
              </w:rPr>
            </w:r>
          </w:p>
        </w:tc>
      </w:tr>
      <w:tr>
        <w:trPr>
          <w:trHeight w:val="650"/>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3.3.1</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投标有效期</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u w:val="single"/>
              </w:rPr>
              <w:t xml:space="preserve"> 90 </w:t>
            </w:r>
            <w:r>
              <w:rPr>
                <w:rFonts w:hint="eastAsia" w:asciiTheme="minorEastAsia" w:hAnsiTheme="minorEastAsia" w:eastAsiaTheme="minorEastAsia" w:cstheme="minorEastAsia"/>
                <w:sz w:val="22"/>
                <w:szCs w:val="22"/>
                <w:lang w:val="zh-CN"/>
              </w:rPr>
              <w:t xml:space="preserve">日（从投标截止日起算）</w:t>
            </w:r>
            <w:r/>
          </w:p>
        </w:tc>
      </w:tr>
      <w:tr>
        <w:trPr>
          <w:trHeight w:val="470"/>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4.1.1</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投标文件提交</w:t>
            </w:r>
            <w:r/>
          </w:p>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截止时间</w:t>
            </w:r>
            <w:r/>
          </w:p>
        </w:tc>
        <w:tc>
          <w:tcPr>
            <w:tcW w:w="5629" w:type="dxa"/>
            <w:vAlign w:val="center"/>
            <w:textDirection w:val="lrTb"/>
            <w:noWrap w:val="false"/>
          </w:tcPr>
          <w:p>
            <w:pPr>
              <w:jc w:val="left"/>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时间：</w:t>
            </w:r>
            <w:r>
              <w:rPr>
                <w:rFonts w:hint="eastAsia" w:asciiTheme="minorEastAsia" w:hAnsiTheme="minorEastAsia" w:eastAsiaTheme="minorEastAsia" w:cstheme="minorEastAsia"/>
                <w:b/>
                <w:sz w:val="22"/>
                <w:szCs w:val="22"/>
                <w:u w:val="single"/>
              </w:rPr>
              <w:t xml:space="preserve">见招标公告</w:t>
            </w:r>
            <w:r/>
          </w:p>
          <w:p>
            <w:pPr>
              <w:jc w:val="left"/>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地点：</w:t>
            </w:r>
            <w:r>
              <w:rPr>
                <w:rFonts w:hint="eastAsia" w:asciiTheme="minorEastAsia" w:hAnsiTheme="minorEastAsia" w:eastAsiaTheme="minorEastAsia" w:cstheme="minorEastAsia"/>
                <w:b/>
                <w:sz w:val="22"/>
                <w:szCs w:val="22"/>
                <w:u w:val="single"/>
              </w:rPr>
              <w:t xml:space="preserve">见招标公告</w:t>
            </w:r>
            <w:r/>
          </w:p>
        </w:tc>
      </w:tr>
      <w:tr>
        <w:trPr>
          <w:trHeight w:val="690"/>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5.1.1</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开标时间和地点</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开标时间：</w:t>
            </w:r>
            <w:r>
              <w:rPr>
                <w:rFonts w:hint="eastAsia" w:asciiTheme="minorEastAsia" w:hAnsiTheme="minorEastAsia" w:eastAsiaTheme="minorEastAsia" w:cstheme="minorEastAsia"/>
                <w:b/>
                <w:sz w:val="22"/>
                <w:szCs w:val="22"/>
                <w:u w:val="single"/>
              </w:rPr>
              <w:t xml:space="preserve">同投标文件提交截止时间</w:t>
            </w:r>
            <w:r/>
          </w:p>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开标地点：</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sz w:val="22"/>
                <w:szCs w:val="22"/>
                <w:u w:val="single"/>
              </w:rPr>
              <w:t xml:space="preserve">同投标文件提交地点 </w:t>
            </w:r>
            <w:r/>
          </w:p>
        </w:tc>
      </w:tr>
      <w:tr>
        <w:trPr>
          <w:trHeight w:val="690"/>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5.1.3</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解密时长</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u w:val="single"/>
              </w:rPr>
              <w:t xml:space="preserve">30</w:t>
            </w:r>
            <w:r>
              <w:rPr>
                <w:rFonts w:hint="eastAsia" w:asciiTheme="minorEastAsia" w:hAnsiTheme="minorEastAsia" w:eastAsiaTheme="minorEastAsia" w:cstheme="minorEastAsia"/>
                <w:sz w:val="22"/>
                <w:szCs w:val="22"/>
              </w:rPr>
              <w:t xml:space="preserve">分钟</w:t>
            </w:r>
            <w:r/>
          </w:p>
        </w:tc>
      </w:tr>
      <w:tr>
        <w:trPr>
          <w:trHeight w:val="635"/>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5.3.1</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评标委员会成员</w:t>
            </w:r>
            <w:r/>
          </w:p>
        </w:tc>
        <w:tc>
          <w:tcPr>
            <w:tcW w:w="5629" w:type="dxa"/>
            <w:vAlign w:val="center"/>
            <w:textDirection w:val="lrTb"/>
            <w:noWrap w:val="false"/>
          </w:tcPr>
          <w:p>
            <w:pPr>
              <w:jc w:val="left"/>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评标委员会人数：</w:t>
            </w:r>
            <w:r>
              <w:rPr>
                <w:rFonts w:hint="eastAsia" w:asciiTheme="minorEastAsia" w:hAnsiTheme="minorEastAsia" w:eastAsiaTheme="minorEastAsia" w:cstheme="minorEastAsia"/>
                <w:b/>
                <w:sz w:val="22"/>
                <w:szCs w:val="22"/>
                <w:u w:val="single"/>
              </w:rPr>
              <w:t xml:space="preserve"> 5 </w:t>
            </w:r>
            <w:r>
              <w:rPr>
                <w:rFonts w:hint="eastAsia" w:asciiTheme="minorEastAsia" w:hAnsiTheme="minorEastAsia" w:eastAsiaTheme="minorEastAsia" w:cstheme="minorEastAsia"/>
                <w:sz w:val="22"/>
                <w:szCs w:val="22"/>
              </w:rPr>
              <w:t xml:space="preserve">人；其中：采购人代表</w:t>
            </w:r>
            <w:r>
              <w:rPr>
                <w:rFonts w:hint="eastAsia" w:asciiTheme="minorEastAsia" w:hAnsiTheme="minorEastAsia" w:eastAsiaTheme="minorEastAsia" w:cstheme="minorEastAsia"/>
                <w:b/>
                <w:sz w:val="22"/>
                <w:szCs w:val="22"/>
                <w:u w:val="single"/>
              </w:rPr>
              <w:t xml:space="preserve"> 1</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人，评审专家</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sz w:val="22"/>
                <w:szCs w:val="22"/>
                <w:u w:val="single"/>
              </w:rPr>
              <w:t xml:space="preserve">4 </w:t>
            </w:r>
            <w:r>
              <w:rPr>
                <w:rFonts w:hint="eastAsia" w:asciiTheme="minorEastAsia" w:hAnsiTheme="minorEastAsia" w:eastAsiaTheme="minorEastAsia" w:cstheme="minorEastAsia"/>
                <w:sz w:val="22"/>
                <w:szCs w:val="22"/>
              </w:rPr>
              <w:t xml:space="preserve">人；或</w:t>
            </w:r>
            <w:r>
              <w:rPr>
                <w:rFonts w:hint="eastAsia" w:asciiTheme="minorEastAsia" w:hAnsiTheme="minorEastAsia" w:eastAsiaTheme="minorEastAsia" w:cstheme="minorEastAsia"/>
                <w:sz w:val="22"/>
                <w:szCs w:val="22"/>
                <w:u w:val="single"/>
              </w:rPr>
              <w:t xml:space="preserve">全部由评审专家</w:t>
            </w:r>
            <w:r>
              <w:rPr>
                <w:rFonts w:hint="eastAsia" w:asciiTheme="minorEastAsia" w:hAnsiTheme="minorEastAsia" w:eastAsiaTheme="minorEastAsia" w:cstheme="minorEastAsia"/>
                <w:sz w:val="22"/>
                <w:szCs w:val="22"/>
              </w:rPr>
              <w:t xml:space="preserve">组成。 </w:t>
            </w:r>
            <w:r/>
          </w:p>
        </w:tc>
      </w:tr>
      <w:tr>
        <w:trPr>
          <w:trHeight w:val="684"/>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5.4.2</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评标委员会确定的</w:t>
            </w:r>
            <w:r/>
          </w:p>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中标候选人名单数量</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u w:val="single"/>
              </w:rPr>
              <w:t xml:space="preserve"> 3 </w:t>
            </w:r>
            <w:r>
              <w:rPr>
                <w:rFonts w:hint="eastAsia" w:asciiTheme="minorEastAsia" w:hAnsiTheme="minorEastAsia" w:eastAsiaTheme="minorEastAsia" w:cstheme="minorEastAsia"/>
                <w:sz w:val="22"/>
                <w:szCs w:val="22"/>
              </w:rPr>
              <w:t xml:space="preserve">名</w:t>
            </w:r>
            <w:r/>
          </w:p>
        </w:tc>
      </w:tr>
      <w:tr>
        <w:trPr>
          <w:trHeight w:val="728"/>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6.1.2</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是否委托评标委员会</w:t>
            </w:r>
            <w:r/>
          </w:p>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直接确定中标人</w:t>
            </w:r>
            <w:r/>
          </w:p>
        </w:tc>
        <w:tc>
          <w:tcPr>
            <w:tcW w:w="5629" w:type="dxa"/>
            <w:vAlign w:val="center"/>
            <w:textDirection w:val="lrTb"/>
            <w:noWrap w:val="false"/>
          </w:tcPr>
          <w:p>
            <w:pPr>
              <w:jc w:val="left"/>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sz w:val="22"/>
                <w:szCs w:val="22"/>
              </w:rPr>
              <w:t xml:space="preserve">是</w:t>
            </w:r>
            <w:r/>
          </w:p>
          <w:p>
            <w:pPr>
              <w:keepLines w:val="0"/>
              <w:keepNext w:val="0"/>
              <w:pageBreakBefore w:val="0"/>
              <w:spacing w:line="40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☑否</w:t>
            </w:r>
            <w:r>
              <w:rPr>
                <w:b/>
                <w:bCs/>
              </w:rPr>
            </w:r>
          </w:p>
        </w:tc>
      </w:tr>
      <w:tr>
        <w:trPr>
          <w:trHeight w:val="925"/>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7.2.8</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投诉受理部门</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名称：靖江市财政局</w:t>
            </w:r>
            <w:r/>
          </w:p>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地址：靖江市政务服务中心4楼</w:t>
            </w:r>
            <w:r/>
          </w:p>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电话：0523-89182489</w:t>
            </w:r>
            <w:r/>
          </w:p>
        </w:tc>
      </w:tr>
      <w:tr>
        <w:trPr>
          <w:trHeight w:val="185"/>
        </w:trPr>
        <w:tc>
          <w:tcPr>
            <w:tcW w:w="1133"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8.1.1</w:t>
            </w:r>
            <w:r/>
          </w:p>
        </w:tc>
        <w:tc>
          <w:tcPr>
            <w:tcW w:w="25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招标代理费</w:t>
            </w:r>
            <w:r/>
          </w:p>
        </w:tc>
        <w:tc>
          <w:tcPr>
            <w:tcW w:w="5629" w:type="dxa"/>
            <w:vAlign w:val="center"/>
            <w:textDirection w:val="lrTb"/>
            <w:noWrap w:val="false"/>
          </w:tcPr>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（1）根据采购人与招标代理人签订的《委托代理合同》的约定，本项目招标代理服务费用由中标人承担。标准为苏政采协[2024]20号文标准的55%。</w:t>
            </w:r>
            <w:r/>
          </w:p>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（2）招标代理费不单独列项，无论投标人如何报价，均视为包含在投标人投标报价中。</w:t>
            </w:r>
            <w:r/>
          </w:p>
          <w:p>
            <w:pPr>
              <w:keepLines w:val="0"/>
              <w:keepNext w:val="0"/>
              <w:pageBreakBefore w:val="0"/>
              <w:spacing w:line="40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（3）中标人在领取中标通知书前需将招标代理费用一次性支付给招标代理人。</w:t>
            </w:r>
            <w:r/>
          </w:p>
        </w:tc>
      </w:tr>
    </w:tbl>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24"/>
        </w:rPr>
      </w:pPr>
      <w:r>
        <w:rPr>
          <w:rFonts w:hint="eastAsia" w:ascii="宋体" w:hAnsi="宋体" w:cs="宋体"/>
          <w:b/>
          <w:bCs/>
          <w:sz w:val="32"/>
          <w:szCs w:val="32"/>
        </w:rPr>
        <w:t xml:space="preserve">投标人须知</w:t>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一、总则</w:t>
      </w:r>
      <w:r/>
    </w:p>
    <w:p>
      <w:pPr>
        <w:pStyle w:val="921"/>
        <w:ind w:firstLine="482"/>
        <w:spacing w:before="0" w:after="0" w:line="440" w:lineRule="exact"/>
        <w:rPr>
          <w:b/>
          <w:bCs/>
          <w:sz w:val="22"/>
          <w:szCs w:val="22"/>
        </w:rPr>
      </w:pPr>
      <w:r/>
      <w:bookmarkStart w:id="32" w:name="_Toc387526180"/>
      <w:r/>
      <w:bookmarkStart w:id="33" w:name="_Toc5365"/>
      <w:r/>
      <w:bookmarkStart w:id="34" w:name="_Toc8645"/>
      <w:r/>
      <w:bookmarkStart w:id="35" w:name="_Toc387526376"/>
      <w:r/>
      <w:bookmarkStart w:id="36" w:name="_Toc9727"/>
      <w:r/>
      <w:bookmarkStart w:id="37" w:name="_Toc387526284"/>
      <w:r/>
      <w:bookmarkStart w:id="38" w:name="_Toc29754"/>
      <w:r/>
      <w:bookmarkStart w:id="39" w:name="_Toc3640"/>
      <w:r/>
      <w:bookmarkStart w:id="40" w:name="_Toc3629"/>
      <w:r>
        <w:rPr>
          <w:rFonts w:hint="eastAsia"/>
          <w:b/>
          <w:bCs/>
          <w:sz w:val="22"/>
          <w:szCs w:val="22"/>
        </w:rPr>
        <w:t xml:space="preserve">1.1 项目概况</w:t>
      </w:r>
      <w:bookmarkEnd w:id="32"/>
      <w:r/>
      <w:bookmarkEnd w:id="33"/>
      <w:r/>
      <w:bookmarkEnd w:id="34"/>
      <w:r/>
      <w:bookmarkEnd w:id="35"/>
      <w:r/>
      <w:bookmarkEnd w:id="36"/>
      <w:r/>
      <w:bookmarkEnd w:id="37"/>
      <w:r/>
      <w:bookmarkEnd w:id="38"/>
      <w:r/>
      <w:bookmarkEnd w:id="39"/>
      <w:r/>
      <w:bookmarkEnd w:id="40"/>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1.1.1 根据《中华人民共和国政府采购法》、《中华人民共和国政府采购法实施条例》等有关法律、法规和规章的规定，现对本项目进行公开招标采购。</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1.1.2</w:t>
      </w:r>
      <w:r>
        <w:rPr>
          <w:rFonts w:hint="eastAsia" w:asciiTheme="minorEastAsia" w:hAnsiTheme="minorEastAsia" w:eastAsiaTheme="minorEastAsia" w:cstheme="minorEastAsia"/>
          <w:sz w:val="22"/>
          <w:lang w:val="en-US" w:eastAsia="zh-CN"/>
        </w:rPr>
        <w:t xml:space="preserve"> </w:t>
      </w:r>
      <w:r>
        <w:rPr>
          <w:rFonts w:hint="eastAsia" w:asciiTheme="minorEastAsia" w:hAnsiTheme="minorEastAsia" w:eastAsiaTheme="minorEastAsia" w:cstheme="minorEastAsia"/>
          <w:sz w:val="22"/>
        </w:rPr>
        <w:t xml:space="preserve">采购人：见投标人须知前附表。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1.1.3</w:t>
      </w:r>
      <w:r>
        <w:rPr>
          <w:rFonts w:hint="eastAsia" w:asciiTheme="minorEastAsia" w:hAnsiTheme="minorEastAsia" w:eastAsiaTheme="minorEastAsia" w:cstheme="minorEastAsia"/>
          <w:sz w:val="22"/>
          <w:lang w:val="en-US" w:eastAsia="zh-CN"/>
        </w:rPr>
        <w:t xml:space="preserve"> </w:t>
      </w:r>
      <w:r>
        <w:rPr>
          <w:rFonts w:hint="eastAsia" w:asciiTheme="minorEastAsia" w:hAnsiTheme="minorEastAsia" w:eastAsiaTheme="minorEastAsia" w:cstheme="minorEastAsia"/>
          <w:sz w:val="22"/>
        </w:rPr>
        <w:t xml:space="preserve">采购代理机构：见投标人须知前附表。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1.1.4</w:t>
      </w:r>
      <w:r>
        <w:rPr>
          <w:rFonts w:hint="eastAsia" w:asciiTheme="minorEastAsia" w:hAnsiTheme="minorEastAsia" w:eastAsiaTheme="minorEastAsia" w:cstheme="minorEastAsia"/>
          <w:sz w:val="22"/>
          <w:lang w:val="en-US" w:eastAsia="zh-CN"/>
        </w:rPr>
        <w:t xml:space="preserve"> </w:t>
      </w:r>
      <w:r>
        <w:rPr>
          <w:rFonts w:hint="eastAsia" w:asciiTheme="minorEastAsia" w:hAnsiTheme="minorEastAsia" w:eastAsiaTheme="minorEastAsia" w:cstheme="minorEastAsia"/>
          <w:sz w:val="22"/>
        </w:rPr>
        <w:t xml:space="preserve">项目名称：见投标人须知前附表。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1.1.5</w:t>
      </w:r>
      <w:r>
        <w:rPr>
          <w:rFonts w:hint="eastAsia" w:asciiTheme="minorEastAsia" w:hAnsiTheme="minorEastAsia" w:eastAsiaTheme="minorEastAsia" w:cstheme="minorEastAsia"/>
          <w:sz w:val="22"/>
          <w:lang w:val="en-US" w:eastAsia="zh-CN"/>
        </w:rPr>
        <w:t xml:space="preserve"> </w:t>
      </w:r>
      <w:r>
        <w:rPr>
          <w:rFonts w:hint="eastAsia" w:asciiTheme="minorEastAsia" w:hAnsiTheme="minorEastAsia" w:eastAsiaTheme="minorEastAsia" w:cstheme="minorEastAsia"/>
          <w:sz w:val="22"/>
        </w:rPr>
        <w:t xml:space="preserve">项目编号：见投标人须知前附表。</w:t>
      </w:r>
      <w:bookmarkStart w:id="41" w:name="_Toc12333"/>
      <w:r/>
      <w:bookmarkStart w:id="42" w:name="_Toc10060"/>
      <w:r/>
      <w:bookmarkStart w:id="43" w:name="_Toc30088"/>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1.1.6</w:t>
      </w:r>
      <w:r>
        <w:rPr>
          <w:rFonts w:hint="eastAsia" w:asciiTheme="minorEastAsia" w:hAnsiTheme="minorEastAsia" w:eastAsiaTheme="minorEastAsia" w:cstheme="minorEastAsia"/>
          <w:sz w:val="22"/>
          <w:lang w:val="en-US" w:eastAsia="zh-CN"/>
        </w:rPr>
        <w:t xml:space="preserve"> </w:t>
      </w:r>
      <w:r>
        <w:rPr>
          <w:rFonts w:hint="eastAsia" w:asciiTheme="minorEastAsia" w:hAnsiTheme="minorEastAsia" w:eastAsiaTheme="minorEastAsia" w:cstheme="minorEastAsia"/>
          <w:sz w:val="22"/>
        </w:rPr>
        <w:t xml:space="preserve">采购预算：见投标人须知前附表。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1.1.7</w:t>
      </w:r>
      <w:r>
        <w:rPr>
          <w:rFonts w:hint="eastAsia" w:asciiTheme="minorEastAsia" w:hAnsiTheme="minorEastAsia" w:eastAsiaTheme="minorEastAsia" w:cstheme="minorEastAsia"/>
          <w:sz w:val="22"/>
          <w:lang w:val="en-US" w:eastAsia="zh-CN"/>
        </w:rPr>
        <w:t xml:space="preserve"> </w:t>
      </w:r>
      <w:r>
        <w:rPr>
          <w:rFonts w:hint="eastAsia" w:asciiTheme="minorEastAsia" w:hAnsiTheme="minorEastAsia" w:eastAsiaTheme="minorEastAsia" w:cstheme="minorEastAsia"/>
          <w:sz w:val="22"/>
        </w:rPr>
        <w:t xml:space="preserve">最高限价：见投标人须知前附表</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rPr>
        <w:t xml:space="preserve">1.1.8</w:t>
      </w:r>
      <w:r>
        <w:rPr>
          <w:rFonts w:hint="eastAsia" w:asciiTheme="minorEastAsia" w:hAnsiTheme="minorEastAsia" w:eastAsiaTheme="minorEastAsia" w:cstheme="minorEastAsia"/>
          <w:sz w:val="22"/>
          <w:lang w:val="en-US" w:eastAsia="zh-CN"/>
        </w:rPr>
        <w:t xml:space="preserve"> </w:t>
      </w:r>
      <w:r>
        <w:rPr>
          <w:rFonts w:hint="eastAsia" w:asciiTheme="minorEastAsia" w:hAnsiTheme="minorEastAsia" w:eastAsiaTheme="minorEastAsia" w:cstheme="minorEastAsia"/>
          <w:sz w:val="22"/>
        </w:rPr>
        <w:t xml:space="preserve">是否接受进口产品投标：见投标人须知前附表。进口产品是指通过中国海关报关验放进入中国境内且产自关境外的产品。</w:t>
      </w:r>
      <w:r/>
    </w:p>
    <w:p>
      <w:pPr>
        <w:pStyle w:val="921"/>
        <w:ind w:firstLine="482"/>
        <w:spacing w:before="0" w:after="0" w:line="440" w:lineRule="exact"/>
        <w:rPr>
          <w:rFonts w:ascii="黑体" w:cs="黑体"/>
          <w:b/>
          <w:bCs/>
          <w:sz w:val="22"/>
          <w:szCs w:val="22"/>
        </w:rPr>
      </w:pPr>
      <w:r>
        <w:rPr>
          <w:rFonts w:hint="eastAsia" w:ascii="黑体" w:cs="黑体"/>
          <w:b/>
          <w:bCs/>
          <w:sz w:val="22"/>
          <w:szCs w:val="22"/>
        </w:rPr>
        <w:t xml:space="preserve">1.2</w:t>
      </w:r>
      <w:bookmarkEnd w:id="41"/>
      <w:r/>
      <w:bookmarkEnd w:id="42"/>
      <w:r/>
      <w:bookmarkEnd w:id="43"/>
      <w:r>
        <w:rPr>
          <w:rFonts w:hint="eastAsia" w:ascii="黑体" w:cs="黑体"/>
          <w:b/>
          <w:bCs/>
          <w:sz w:val="22"/>
          <w:szCs w:val="22"/>
        </w:rPr>
        <w:t xml:space="preserve">合同履行期限及验收要求</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1.2.1合同履行期限：见投标须知前附表。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1.2.2 验收要求：见投标须知前附表。</w:t>
      </w:r>
      <w:r/>
    </w:p>
    <w:p>
      <w:pPr>
        <w:pStyle w:val="921"/>
        <w:ind w:firstLine="482"/>
        <w:spacing w:before="0" w:after="0" w:line="440" w:lineRule="exact"/>
        <w:rPr>
          <w:rFonts w:ascii="黑体" w:cs="黑体"/>
          <w:b/>
          <w:bCs/>
          <w:sz w:val="22"/>
          <w:szCs w:val="22"/>
        </w:rPr>
      </w:pPr>
      <w:r/>
      <w:bookmarkStart w:id="44" w:name="_Toc10223"/>
      <w:r/>
      <w:bookmarkStart w:id="45" w:name="_Toc23392"/>
      <w:r/>
      <w:bookmarkStart w:id="46" w:name="_Toc19315"/>
      <w:r>
        <w:rPr>
          <w:rFonts w:hint="eastAsia" w:ascii="黑体" w:cs="黑体"/>
          <w:b/>
          <w:bCs/>
          <w:sz w:val="22"/>
          <w:szCs w:val="22"/>
        </w:rPr>
        <w:t xml:space="preserve">1.3 本项目核心产品及所属行业</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1.3.1 本项目核心产品：见投标人须知前附表。</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1.3.2 本项目所属行业：见投标人须知前附表。</w:t>
      </w:r>
      <w:r/>
    </w:p>
    <w:p>
      <w:pPr>
        <w:pStyle w:val="921"/>
        <w:ind w:firstLine="482"/>
        <w:spacing w:before="0" w:after="0" w:line="440" w:lineRule="exact"/>
        <w:rPr>
          <w:rFonts w:ascii="黑体" w:cs="黑体"/>
          <w:b/>
          <w:bCs/>
          <w:sz w:val="22"/>
          <w:szCs w:val="22"/>
        </w:rPr>
      </w:pPr>
      <w:r>
        <w:rPr>
          <w:rFonts w:hint="eastAsia" w:ascii="黑体" w:cs="黑体"/>
          <w:b/>
          <w:bCs/>
          <w:sz w:val="22"/>
          <w:szCs w:val="22"/>
        </w:rPr>
        <w:t xml:space="preserve">1.4 投标人的资格条件</w:t>
      </w:r>
      <w:bookmarkEnd w:id="44"/>
      <w:r/>
      <w:bookmarkEnd w:id="45"/>
      <w:r/>
      <w:bookmarkEnd w:id="46"/>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1.4.1 参加本次政府采购活动的投标人应当具备的资格条件：见“投标人须知前附表”。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1.4.2 参加本次政府采购活动的投标人应当具备的特定资格条件：见“投标人须知前附表”。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1.4.3 投标截止时间当日，投标人有下列情形之一的，不得参加本采购项目招标投标活动：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（1）单位负责人为同一人或者存在直接控股、管理关系的不同投标人；</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（2）被各级财政主管部门取消采购项目所在地的投标资格且处于有效期内；</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（3）被责令停业，暂扣或吊销营业执照，或吊销资质证书；</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（4）进入清算程序，或被宣告破产，或其他丧失履约能力的情形；</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（5）在“中国政府采购网(www.ccgp.gov.cn)”中被列入“政府采购严重违法失信行为记录名单》” （由采购人或采购代理机构在资格审查时，通过相关网站查询为准）；</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（6）在“信用中国（http://www.creditchina.gov.cn/）”网站中被列入“失信被执行人名单”或“税收违法黑名单”（由采购人或采购代理机构在资格审查时，通过相关网站查询为准）；</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（7）为采购项目提供整体设计、规范编制或者项目管理、监理、检测等服务的投标人，不得再参加该采购项目的其他采购活动；</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（8）法律、法规规定的其他情形。</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1.4.4 本项目是否接受联合体投标：见供应商须知前附表。</w:t>
      </w:r>
      <w:r/>
    </w:p>
    <w:p>
      <w:pPr>
        <w:pStyle w:val="921"/>
        <w:ind w:firstLine="482"/>
        <w:spacing w:before="0" w:after="0" w:line="440" w:lineRule="exact"/>
        <w:rPr>
          <w:rFonts w:ascii="黑体" w:cs="黑体"/>
          <w:b/>
          <w:bCs/>
          <w:sz w:val="22"/>
          <w:szCs w:val="22"/>
        </w:rPr>
      </w:pPr>
      <w:r/>
      <w:bookmarkStart w:id="47" w:name="_Toc2634"/>
      <w:r/>
      <w:bookmarkStart w:id="48" w:name="_Toc9211"/>
      <w:r/>
      <w:bookmarkStart w:id="49" w:name="_Toc4763"/>
      <w:r>
        <w:rPr>
          <w:rFonts w:hint="eastAsia" w:ascii="黑体" w:cs="黑体"/>
          <w:b/>
          <w:bCs/>
          <w:sz w:val="22"/>
          <w:szCs w:val="22"/>
        </w:rPr>
        <w:t xml:space="preserve">1.5 投标费用</w:t>
      </w:r>
      <w:bookmarkEnd w:id="47"/>
      <w:r/>
      <w:bookmarkEnd w:id="48"/>
      <w:r/>
      <w:bookmarkEnd w:id="49"/>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投标人应自行承担所有与编写、提交投标文件等有关费用。采购人和采购人代理人在任何情况下均无义务和责任承担这些费用。</w:t>
      </w:r>
      <w:r/>
    </w:p>
    <w:p>
      <w:pPr>
        <w:pStyle w:val="921"/>
        <w:ind w:firstLine="482"/>
        <w:spacing w:before="0" w:after="0" w:line="440" w:lineRule="exact"/>
        <w:rPr>
          <w:rFonts w:ascii="黑体" w:cs="黑体"/>
          <w:b/>
          <w:bCs/>
          <w:sz w:val="22"/>
          <w:szCs w:val="22"/>
        </w:rPr>
      </w:pPr>
      <w:r/>
      <w:bookmarkStart w:id="50" w:name="_Toc11299"/>
      <w:r/>
      <w:bookmarkStart w:id="51" w:name="_Toc27420"/>
      <w:r/>
      <w:bookmarkStart w:id="52" w:name="_Toc14340"/>
      <w:r>
        <w:rPr>
          <w:rFonts w:hint="eastAsia" w:ascii="黑体" w:cs="黑体"/>
          <w:b/>
          <w:bCs/>
          <w:sz w:val="22"/>
          <w:szCs w:val="22"/>
        </w:rPr>
        <w:t xml:space="preserve">1.6</w:t>
      </w:r>
      <w:bookmarkEnd w:id="50"/>
      <w:r>
        <w:rPr>
          <w:rFonts w:hint="eastAsia" w:ascii="黑体" w:cs="黑体"/>
          <w:b/>
          <w:bCs/>
          <w:sz w:val="22"/>
          <w:szCs w:val="22"/>
        </w:rPr>
        <w:t xml:space="preserve"> </w:t>
      </w:r>
      <w:bookmarkEnd w:id="51"/>
      <w:r/>
      <w:bookmarkEnd w:id="52"/>
      <w:r>
        <w:rPr>
          <w:rFonts w:hint="eastAsia" w:ascii="黑体" w:cs="黑体"/>
          <w:b/>
          <w:bCs/>
          <w:sz w:val="22"/>
          <w:szCs w:val="22"/>
        </w:rPr>
        <w:t xml:space="preserve">政府采购政策功能落实</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1.6.1 中小企业</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（1）根据《政府采购促进中小企业发展管理办法》（财库〔2020〕46号）规定，在政府采购活动中，供应商提供的服务全部由中小企业承接，享受中小企业扶持政策：</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（2）采购人、采购代理机构将对符合规定的小微企业报价给予10%的价格扣除，用扣除后的价格参与评审。</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（3）中小企业参加政府采购活动，应当出具《中小企业声明函》。否则不得享受相关中小企业扶持政策。</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1.6.2 残疾人福利性单位</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根据《关于促进残疾人就业政府采购政策的通知》（财库〔2017〕141号）的规定，残疾人福利性单位视同小型、微型企业,享受评审中价格扣除政策。残疾人福利性单位属于小型、微型企业的，不重复享受政策。</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（2）残疾人福利性单位在参加政府采购活动时，应当按招标文件要求提供《残疾人福利性单位声明函》，并对声明的真实性负责。否则不得享受相关中小企业扶持政策。</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1.6.3 监狱企业</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根据《财政部司法部关于政府采购支持监狱企业发展有关问题的通知》（财库〔2014〕68号）的规定，监狱企业视同小型、微型企业，享受评审中价格扣除政策。监狱企业属于小型、微型企业的，不重复享受政策。</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（2）监狱企业参加政府采购活动时，应当提供由省级以上监狱管理局、戒毒管理局（含新疆生产建设兵团）出具的属于监狱企业的证明文件。否则不得享受相关中小企业扶持政策。</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1.6.4 采购本国产品</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lang w:val="en-US" w:eastAsia="zh-CN"/>
        </w:rPr>
        <w:t xml:space="preserve">（1）</w:t>
      </w:r>
      <w:r>
        <w:rPr>
          <w:rFonts w:ascii="SimSun" w:hAnsi="SimSun" w:eastAsia="SimSun" w:cs="SimSun"/>
          <w:color w:val="000000"/>
          <w:sz w:val="22"/>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heme="minorEastAsia" w:hAnsiTheme="minorEastAsia" w:eastAsiaTheme="minorEastAsia" w:cstheme="minorEastAsia"/>
          <w:sz w:val="22"/>
          <w:lang w:val="en-US" w:eastAsia="zh-CN"/>
        </w:rPr>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lang w:val="en-US" w:eastAsia="zh-CN"/>
        </w:rPr>
        <w:t xml:space="preserve">（2）本项目政府采购活动中既有本国产品又有非本国产品参与竞争的，依法对本国产品给予价格评审优惠，对本国产品的报价给予20%的价格扣除，用扣除后的价格参与评审。</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（3）当采购项目或者采购包中含有多种产品，投标人为该采购项目或者采购包提供的符合本国产品标准的产品成本之和占该投标人提供的全部产品成本之和的比例达到80%（投标人需在“第七章 投标文件格式”的“投标分项报价表”中填写比例数值）以上时，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（4）投标人需按照招标文件的要求提供《关于符合本国产品标准的声明函》，如不提供将不享受本国产品价格评审优惠。</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投标人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6）评标过程中，如发现投标人在《关于符合本国产品标准的声明函》内容含义不明确、同类事项与投标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pStyle w:val="921"/>
        <w:ind w:firstLine="482"/>
        <w:spacing w:before="0" w:after="0" w:line="440" w:lineRule="exact"/>
        <w:rPr>
          <w:rFonts w:ascii="黑体" w:cs="黑体"/>
          <w:b/>
          <w:bCs/>
          <w:sz w:val="22"/>
          <w:szCs w:val="22"/>
        </w:rPr>
      </w:pPr>
      <w:r/>
      <w:bookmarkStart w:id="53" w:name="_Toc20762"/>
      <w:r/>
      <w:bookmarkStart w:id="54" w:name="_Toc11883"/>
      <w:r/>
      <w:bookmarkStart w:id="55" w:name="_Toc1291"/>
      <w:r>
        <w:rPr>
          <w:rFonts w:hint="eastAsia" w:ascii="黑体" w:cs="黑体"/>
          <w:b/>
          <w:bCs/>
          <w:sz w:val="22"/>
          <w:szCs w:val="22"/>
        </w:rPr>
        <w:t xml:space="preserve">1.7 相同品牌产品投标 </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1.7.3 非单一产品采购项目，采购人确定的核心产品见投标须知前附表。多家供应商提供的核心产品品牌相同的，按本章第1.7.1款、第1.7.2款规定处理。</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1.7.4 如按上述办法认定后的合格供应商数量少于3家的，将予以废标。</w:t>
      </w:r>
      <w:r/>
    </w:p>
    <w:p>
      <w:pPr>
        <w:pStyle w:val="921"/>
        <w:ind w:firstLine="482"/>
        <w:spacing w:before="0" w:after="0" w:line="440" w:lineRule="exact"/>
        <w:rPr>
          <w:rFonts w:ascii="黑体" w:cs="黑体"/>
          <w:b/>
          <w:bCs/>
          <w:sz w:val="22"/>
          <w:szCs w:val="22"/>
        </w:rPr>
      </w:pPr>
      <w:r>
        <w:rPr>
          <w:rFonts w:hint="eastAsia" w:ascii="黑体" w:cs="黑体"/>
          <w:b/>
          <w:bCs/>
          <w:sz w:val="22"/>
          <w:szCs w:val="22"/>
        </w:rPr>
        <w:t xml:space="preserve">1.8 投标语言及计量单位</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1.8.1 投标人提交的投标文件以及投标人就有关投标的所有来往函电均应使用中文。投标人可以在投标文件中提交用其他语言打印的数据或资料，但是必须提供由专业翻译机构出具的中文译文，并以中文译文为准，否则视同未提供该数据或资料。</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1.8.2 投标文件中所使用的计量单位，除招标文件有特殊规定外，应使用中华人民共和国法定计量单位。</w:t>
      </w:r>
      <w:bookmarkEnd w:id="53"/>
      <w:r/>
      <w:bookmarkEnd w:id="54"/>
      <w:r/>
      <w:bookmarkEnd w:id="55"/>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二、招标文件</w:t>
      </w:r>
      <w:r/>
    </w:p>
    <w:p>
      <w:pPr>
        <w:pStyle w:val="921"/>
        <w:ind w:firstLine="482"/>
        <w:spacing w:before="0" w:after="0" w:line="440" w:lineRule="exact"/>
        <w:rPr>
          <w:rFonts w:ascii="黑体" w:cs="黑体"/>
          <w:b/>
          <w:bCs/>
          <w:sz w:val="22"/>
          <w:szCs w:val="22"/>
        </w:rPr>
      </w:pPr>
      <w:r/>
      <w:bookmarkStart w:id="56" w:name="_Toc23238"/>
      <w:r/>
      <w:bookmarkStart w:id="57" w:name="_Toc20640"/>
      <w:r/>
      <w:bookmarkStart w:id="58" w:name="_Toc27315"/>
      <w:r>
        <w:rPr>
          <w:rFonts w:hint="eastAsia" w:ascii="黑体" w:cs="黑体"/>
          <w:b/>
          <w:bCs/>
          <w:sz w:val="22"/>
          <w:szCs w:val="22"/>
        </w:rPr>
        <w:t xml:space="preserve">2.1 招标文件构成</w:t>
      </w:r>
      <w:bookmarkEnd w:id="56"/>
      <w:r/>
      <w:bookmarkEnd w:id="57"/>
      <w:r/>
      <w:bookmarkEnd w:id="58"/>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2.1.1 本招标文件包括（但并不仅限于）：</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第一章 招标公告</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第二章 投标人须知及前附表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第三章 资格审查办法</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第四章 评标办法</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第五章 合同格式及条款</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第六章 采购项目需求</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第七章 投标文件格式</w:t>
      </w:r>
      <w:r/>
    </w:p>
    <w:p>
      <w:pPr>
        <w:ind w:firstLine="440"/>
        <w:keepLines w:val="0"/>
        <w:keepNext w:val="0"/>
        <w:pageBreakBefore w:val="0"/>
        <w:spacing w:line="440" w:lineRule="exact"/>
        <w:widowControl w:val="off"/>
        <w:rPr>
          <w:rFonts w:ascii="华文中宋" w:hAnsi="华文中宋" w:cs="华文中宋"/>
          <w:sz w:val="22"/>
        </w:rPr>
      </w:pPr>
      <w:r>
        <w:rPr>
          <w:rFonts w:hint="eastAsia" w:asciiTheme="minorEastAsia" w:hAnsiTheme="minorEastAsia" w:eastAsiaTheme="minorEastAsia" w:cstheme="minorEastAsia"/>
          <w:sz w:val="22"/>
          <w:lang w:val="en-US" w:eastAsia="zh-CN"/>
        </w:rPr>
        <w:t xml:space="preserve">2.1.2 对采购文件所作的答疑、澄清、修改，构成招标文件的组成部分。当上述文件相互之间发生矛盾时，以后发出的文件为准。</w:t>
      </w:r>
      <w:r/>
    </w:p>
    <w:p>
      <w:pPr>
        <w:pStyle w:val="921"/>
        <w:ind w:firstLine="482"/>
        <w:spacing w:before="0" w:after="0" w:line="440" w:lineRule="exact"/>
        <w:rPr>
          <w:rFonts w:ascii="黑体" w:cs="黑体"/>
          <w:b/>
          <w:bCs/>
          <w:sz w:val="22"/>
          <w:szCs w:val="22"/>
        </w:rPr>
      </w:pPr>
      <w:r/>
      <w:bookmarkStart w:id="59" w:name="_Toc1392"/>
      <w:r/>
      <w:bookmarkStart w:id="60" w:name="_Toc17142"/>
      <w:r/>
      <w:bookmarkStart w:id="61" w:name="_Toc19552"/>
      <w:r>
        <w:rPr>
          <w:rFonts w:hint="eastAsia" w:ascii="黑体" w:cs="黑体"/>
          <w:b/>
          <w:bCs/>
          <w:sz w:val="22"/>
          <w:szCs w:val="22"/>
        </w:rPr>
        <w:t xml:space="preserve">2.2 招标文件的澄清</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2.2.1 投标人对已依法获取的招标文件发现问题、或产生疑问，应当在投标须知前附表规定的截止时间前，采用书面形式向采购人或采购代理机构提出询问或澄清要求。</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2.2.2招标文件的澄清将通过“江苏政府采购网（http://www.ccgp-jiangsu.gov.cn/）”公开发布。澄清是构成招标文件的组成部分。</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2.2.3 如果澄清的内容影响投标文件编制且不能满足投标人编制投标文件时间，采购人将视情况可能适当延长投标截止时间。</w:t>
      </w:r>
      <w:r/>
    </w:p>
    <w:p>
      <w:pPr>
        <w:ind w:firstLine="440"/>
        <w:keepLines w:val="0"/>
        <w:keepNext w:val="0"/>
        <w:pageBreakBefore w:val="0"/>
        <w:spacing w:line="440" w:lineRule="exact"/>
        <w:widowControl w:val="off"/>
        <w:rPr>
          <w:rFonts w:ascii="华文中宋" w:hAnsi="华文中宋" w:cs="华文中宋"/>
          <w:sz w:val="22"/>
        </w:rPr>
      </w:pPr>
      <w:r>
        <w:rPr>
          <w:rFonts w:hint="eastAsia" w:asciiTheme="minorEastAsia" w:hAnsiTheme="minorEastAsia" w:eastAsiaTheme="minorEastAsia" w:cstheme="minorEastAsia"/>
          <w:sz w:val="22"/>
          <w:lang w:val="en-US" w:eastAsia="zh-CN"/>
        </w:rPr>
        <w:t xml:space="preserve">2.2.4投标人应及时通过“江苏政府采购网（http://www.ccgp-jiangsu.gov.cn/）”查询和下载澄清文件，查询和下载如有遗漏，其风险由投标人自行承担。</w:t>
      </w:r>
      <w:r/>
    </w:p>
    <w:p>
      <w:pPr>
        <w:pStyle w:val="921"/>
        <w:ind w:firstLine="482"/>
        <w:spacing w:before="0" w:after="0" w:line="440" w:lineRule="exact"/>
        <w:rPr>
          <w:rFonts w:ascii="黑体" w:cs="黑体"/>
          <w:b/>
          <w:bCs/>
          <w:sz w:val="22"/>
          <w:szCs w:val="22"/>
        </w:rPr>
      </w:pPr>
      <w:r>
        <w:rPr>
          <w:rFonts w:hint="eastAsia" w:ascii="黑体" w:cs="黑体"/>
          <w:b/>
          <w:bCs/>
          <w:sz w:val="22"/>
          <w:szCs w:val="22"/>
        </w:rPr>
        <w:t xml:space="preserve">2.3 招标文件的修改</w:t>
      </w:r>
      <w:bookmarkEnd w:id="59"/>
      <w:r/>
      <w:bookmarkEnd w:id="60"/>
      <w:r/>
      <w:bookmarkEnd w:id="61"/>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2.3.1 采购人或者采购代理机构可以对已发出的招标文件进行必要的修改。招标文件的修改将通过“江苏政府采购网（http://www.ccgp-jiangsu.gov.cn/）”公开发布。招标文件的修改是构成招标文件的组成部分。</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2.3.2 如果修改内容影响投标文件编制且不能满足投标人编制投标文件时间，采购人将视情况可能适当延长投标截止时间。</w:t>
      </w:r>
      <w:r/>
    </w:p>
    <w:p>
      <w:pPr>
        <w:ind w:firstLine="440"/>
        <w:keepLines w:val="0"/>
        <w:keepNext w:val="0"/>
        <w:pageBreakBefore w:val="0"/>
        <w:spacing w:line="440" w:lineRule="exact"/>
        <w:widowControl w:val="off"/>
        <w:rPr>
          <w:rFonts w:ascii="华文中宋" w:hAnsi="华文中宋" w:cs="华文中宋"/>
          <w:sz w:val="22"/>
        </w:rPr>
      </w:pPr>
      <w:r>
        <w:rPr>
          <w:rFonts w:hint="eastAsia" w:asciiTheme="minorEastAsia" w:hAnsiTheme="minorEastAsia" w:eastAsiaTheme="minorEastAsia" w:cstheme="minorEastAsia"/>
          <w:sz w:val="22"/>
          <w:lang w:val="en-US" w:eastAsia="zh-CN"/>
        </w:rPr>
        <w:t xml:space="preserve">2.3.3投标人应及时通过“江苏政府采购网（http://www.ccgp-jiangsu.gov.cn/）”查询和下载招标文件的修改，查询和下载如有遗漏，其风险由投标人自行承担。</w:t>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三、投标文件</w:t>
      </w:r>
      <w:r/>
    </w:p>
    <w:p>
      <w:pPr>
        <w:pStyle w:val="921"/>
        <w:ind w:firstLine="482"/>
        <w:spacing w:before="0" w:after="0" w:line="440" w:lineRule="exact"/>
        <w:rPr>
          <w:rFonts w:ascii="黑体" w:cs="黑体"/>
          <w:b/>
          <w:bCs/>
          <w:sz w:val="22"/>
          <w:szCs w:val="22"/>
        </w:rPr>
      </w:pPr>
      <w:r/>
      <w:bookmarkStart w:id="62" w:name="_Toc23314"/>
      <w:r/>
      <w:bookmarkStart w:id="63" w:name="_Toc19018"/>
      <w:r/>
      <w:bookmarkStart w:id="64" w:name="_Toc32403"/>
      <w:r>
        <w:rPr>
          <w:rFonts w:hint="eastAsia" w:ascii="黑体" w:cs="黑体"/>
          <w:b/>
          <w:bCs/>
          <w:sz w:val="22"/>
          <w:szCs w:val="22"/>
        </w:rPr>
        <w:t xml:space="preserve">3.1 投标文件构成</w:t>
      </w:r>
      <w:bookmarkEnd w:id="62"/>
      <w:r/>
      <w:bookmarkEnd w:id="63"/>
      <w:r/>
      <w:bookmarkEnd w:id="64"/>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3.1.1 投标人编写的投标文件应包括资格证明文件、实质性要求响应及偏离表、投标分项报价表、技术要求响应及偏离表、商务要求响应及偏离表、其他证明文件、投标函、开标一览表等部分。</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3.1.2 如标书制作工具中格式和内容与“江苏政府采购网”发布的招标文件不一致，请以“江苏政府采购网”发布的招标文件为准。</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3.1.3 评标过程中，投标人根据评标委员会要求作出的澄清、修改，构成投标文件的组成部分。</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3.1.4 第七章“投标文件格式”中要求提供相关证明材料作为附件的，投标人应按要求在投标文件中提供相应证明材料。否则，不予认可。</w:t>
      </w:r>
      <w:r/>
    </w:p>
    <w:p>
      <w:pPr>
        <w:pStyle w:val="921"/>
        <w:ind w:firstLine="482"/>
        <w:spacing w:before="0" w:after="0" w:line="440" w:lineRule="exact"/>
        <w:rPr>
          <w:rFonts w:ascii="黑体" w:cs="黑体"/>
          <w:b/>
          <w:bCs/>
          <w:sz w:val="22"/>
          <w:szCs w:val="22"/>
        </w:rPr>
      </w:pPr>
      <w:r/>
      <w:bookmarkStart w:id="65" w:name="_Toc10094"/>
      <w:r/>
      <w:bookmarkStart w:id="66" w:name="_Toc11397"/>
      <w:r/>
      <w:bookmarkStart w:id="67" w:name="_Toc25754"/>
      <w:r>
        <w:rPr>
          <w:rFonts w:hint="eastAsia" w:ascii="黑体" w:cs="黑体"/>
          <w:b/>
          <w:bCs/>
          <w:sz w:val="22"/>
          <w:szCs w:val="22"/>
        </w:rPr>
        <w:t xml:space="preserve">3.2.投标报价</w:t>
      </w:r>
      <w:bookmarkEnd w:id="65"/>
      <w:r/>
      <w:bookmarkEnd w:id="66"/>
      <w:r/>
      <w:bookmarkEnd w:id="67"/>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3.2.1投标报价应包括所投货物（包含与货物相关的服务）费用、安装调试费、测试验收费、培训费、管理费、利润、税金、运输保险、开证（如果有）及其他有关的为完成本项目发生的所有费用，招标文件中另有规定的除外。</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3.2.2 投标报价为一次不得更改报价，投标人只有一次报价的机会。投标报价不得有选择性报价和附有条件的报价，否则其投标无效。</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3.2.3 投标人应按招标文件要求填写“投标分项报价表”。对于采用货币报价的项目，开标一览表中的投标总报价应与投标分项报价表中的投标总报价一致，如不一致，不作为无效投标处理，但评标时按开标一览表中价格为准。</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3.2.4 在合同实施期间，中标供应商的中标单价不因任何因素变化而调整。以可调整中标价格的投标文件，评标委员会将否决其投标。</w:t>
      </w:r>
      <w:r/>
    </w:p>
    <w:p>
      <w:pPr>
        <w:pStyle w:val="921"/>
        <w:ind w:firstLine="482"/>
        <w:spacing w:before="0" w:after="0" w:line="440" w:lineRule="exact"/>
        <w:rPr>
          <w:rFonts w:ascii="黑体" w:cs="黑体"/>
          <w:b/>
          <w:bCs/>
          <w:sz w:val="22"/>
          <w:szCs w:val="22"/>
        </w:rPr>
      </w:pPr>
      <w:r/>
      <w:bookmarkStart w:id="68" w:name="_Toc15276"/>
      <w:r/>
      <w:bookmarkStart w:id="69" w:name="_Toc10338"/>
      <w:r/>
      <w:bookmarkStart w:id="70" w:name="_Toc21868"/>
      <w:r/>
      <w:bookmarkStart w:id="71" w:name="_Toc27515"/>
      <w:r/>
      <w:bookmarkStart w:id="72" w:name="_Toc11258"/>
      <w:r/>
      <w:bookmarkStart w:id="73" w:name="_Toc17381"/>
      <w:r/>
      <w:bookmarkStart w:id="74" w:name="_Toc5062"/>
      <w:r>
        <w:rPr>
          <w:rFonts w:hint="eastAsia" w:ascii="黑体" w:cs="黑体"/>
          <w:b/>
          <w:bCs/>
          <w:sz w:val="22"/>
          <w:szCs w:val="22"/>
        </w:rPr>
        <w:t xml:space="preserve">3.3 投标有效期</w:t>
      </w:r>
      <w:bookmarkEnd w:id="68"/>
      <w:r/>
      <w:bookmarkEnd w:id="69"/>
      <w:r/>
      <w:bookmarkEnd w:id="70"/>
      <w:r/>
      <w:bookmarkEnd w:id="71"/>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3.3.1 在投标须知前附表规定的有效期内，投标文件应保持有效。有效期短于该规定期限的投标，将作为无效投标处理。</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3.3.2 在特殊情况下，在原投标有效期期满之前，采购人可与投标人协商延长投标文件的有效期。这种要求和答复都应以书面形式进行。投标人可以拒绝接受延期要求。同意延长有效期的投标人除按照采购人要求修改投标文件有效期外，不得修改投标文件的其他内容。</w:t>
      </w:r>
      <w:r/>
    </w:p>
    <w:p>
      <w:pPr>
        <w:pStyle w:val="921"/>
        <w:ind w:firstLine="482"/>
        <w:spacing w:before="0" w:after="0" w:line="440" w:lineRule="exact"/>
        <w:rPr>
          <w:rFonts w:ascii="黑体" w:cs="黑体"/>
          <w:b/>
          <w:bCs/>
          <w:sz w:val="22"/>
          <w:szCs w:val="22"/>
        </w:rPr>
      </w:pPr>
      <w:r/>
      <w:bookmarkStart w:id="75" w:name="_Toc15008"/>
      <w:r>
        <w:rPr>
          <w:rFonts w:hint="eastAsia" w:ascii="黑体" w:cs="黑体"/>
          <w:b/>
          <w:bCs/>
          <w:sz w:val="22"/>
          <w:szCs w:val="22"/>
        </w:rPr>
        <w:t xml:space="preserve">3.4 投标文件的编制</w:t>
      </w:r>
      <w:bookmarkEnd w:id="75"/>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3.4.1 投标人应将下载的采购文件导入“政府采购客户端”，并按照《苏采云平台供应商操作手册》和第七章“投标文件格式”的要求制作投标文件。</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3.4.2 投标文件制作完成后导出投标文件（文件后缀为 zip）用于上传。</w:t>
      </w:r>
      <w:bookmarkEnd w:id="72"/>
      <w:r/>
      <w:bookmarkEnd w:id="73"/>
      <w:r/>
      <w:bookmarkEnd w:id="74"/>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四、投标文件的提交</w:t>
      </w:r>
      <w:r/>
    </w:p>
    <w:p>
      <w:pPr>
        <w:pStyle w:val="921"/>
        <w:ind w:firstLine="482"/>
        <w:spacing w:before="0" w:after="0" w:line="440" w:lineRule="exact"/>
        <w:rPr>
          <w:rFonts w:ascii="黑体" w:cs="黑体"/>
          <w:b/>
          <w:bCs/>
          <w:sz w:val="22"/>
          <w:szCs w:val="22"/>
        </w:rPr>
      </w:pPr>
      <w:r/>
      <w:bookmarkStart w:id="76" w:name="_Toc24836"/>
      <w:r/>
      <w:bookmarkStart w:id="77" w:name="_Toc17014"/>
      <w:r/>
      <w:bookmarkStart w:id="78" w:name="_Toc16990"/>
      <w:r/>
      <w:bookmarkStart w:id="79" w:name="_Toc11648"/>
      <w:r>
        <w:rPr>
          <w:rFonts w:hint="eastAsia" w:ascii="黑体" w:cs="黑体"/>
          <w:b/>
          <w:bCs/>
          <w:sz w:val="22"/>
          <w:szCs w:val="22"/>
        </w:rPr>
        <w:t xml:space="preserve">4.1</w:t>
      </w:r>
      <w:bookmarkEnd w:id="76"/>
      <w:r/>
      <w:bookmarkStart w:id="80" w:name="_Toc19436"/>
      <w:r>
        <w:rPr>
          <w:rFonts w:hint="eastAsia" w:ascii="黑体" w:cs="黑体"/>
          <w:b/>
          <w:bCs/>
          <w:sz w:val="22"/>
          <w:szCs w:val="22"/>
        </w:rPr>
        <w:t xml:space="preserve">投标文件的</w:t>
      </w:r>
      <w:bookmarkEnd w:id="80"/>
      <w:r>
        <w:rPr>
          <w:rFonts w:hint="eastAsia" w:ascii="黑体" w:cs="黑体"/>
          <w:b/>
          <w:bCs/>
          <w:sz w:val="22"/>
          <w:szCs w:val="22"/>
        </w:rPr>
        <w:t xml:space="preserve">提交</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4.1.1 投标人必须在投标须知前附表规定的提交投标文件截止时间前，进入“参与详情”页面，点击“上传文件”，上传已制作完成的投标文件，等待开标。</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4.1.2 投标人有下列情形之一的，采购人将拒绝接受其投标文件：</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（1）投标截止时间后上传的投标文件；</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（2）未上传至指定系统的投标文件。</w:t>
      </w:r>
      <w:bookmarkEnd w:id="77"/>
      <w:r/>
      <w:bookmarkEnd w:id="78"/>
      <w:r/>
      <w:bookmarkEnd w:id="79"/>
      <w:r/>
      <w:r/>
    </w:p>
    <w:p>
      <w:pPr>
        <w:pStyle w:val="921"/>
        <w:ind w:firstLine="482"/>
        <w:spacing w:before="0" w:after="0" w:line="440" w:lineRule="exact"/>
        <w:rPr>
          <w:rFonts w:ascii="黑体" w:cs="黑体"/>
          <w:b/>
          <w:bCs/>
          <w:sz w:val="22"/>
          <w:szCs w:val="22"/>
        </w:rPr>
      </w:pPr>
      <w:r/>
      <w:bookmarkStart w:id="81" w:name="_Toc13169"/>
      <w:r/>
      <w:bookmarkStart w:id="82" w:name="_Toc4761"/>
      <w:r/>
      <w:bookmarkStart w:id="83" w:name="_Toc15834"/>
      <w:r>
        <w:rPr>
          <w:rFonts w:hint="eastAsia" w:ascii="黑体" w:cs="黑体"/>
          <w:b/>
          <w:bCs/>
          <w:sz w:val="22"/>
          <w:szCs w:val="22"/>
        </w:rPr>
        <w:t xml:space="preserve">4.2 投标文件的修改和撤回</w:t>
      </w:r>
      <w:bookmarkEnd w:id="81"/>
      <w:r/>
      <w:bookmarkEnd w:id="82"/>
      <w:r/>
      <w:bookmarkEnd w:id="83"/>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4.2.1 投标人在投标截止时间前，可以对所提交的投标文件进行补充、修改或者撤回。</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4.2.2 如果投标文件在客户端重新修改过了，需要重新导出和上传新投标文件。可将原先上传的投标文件撤回，撤回后，重新上传新投标文件。</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4.2.3 在投标有效期内，投标人不得撤回投标文件。投标人之间恶意串通而撤回投标的，将受到根据政府采购法律法规的有关规定做出的处理。</w:t>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五、开标、评标</w:t>
      </w:r>
      <w:r/>
    </w:p>
    <w:p>
      <w:pPr>
        <w:pStyle w:val="921"/>
        <w:ind w:firstLine="482"/>
        <w:spacing w:before="0" w:after="0" w:line="440" w:lineRule="exact"/>
        <w:rPr>
          <w:rFonts w:ascii="黑体" w:cs="黑体"/>
          <w:b/>
          <w:bCs/>
          <w:sz w:val="22"/>
          <w:szCs w:val="22"/>
        </w:rPr>
      </w:pPr>
      <w:r/>
      <w:bookmarkStart w:id="84" w:name="_Toc26293"/>
      <w:r/>
      <w:bookmarkStart w:id="85" w:name="_Toc21656"/>
      <w:r/>
      <w:bookmarkStart w:id="86" w:name="_Toc5282"/>
      <w:r>
        <w:rPr>
          <w:rFonts w:hint="eastAsia" w:ascii="黑体" w:cs="黑体"/>
          <w:b/>
          <w:bCs/>
          <w:sz w:val="22"/>
          <w:szCs w:val="22"/>
        </w:rPr>
        <w:t xml:space="preserve">5.1 开标</w:t>
      </w:r>
      <w:bookmarkEnd w:id="84"/>
      <w:r/>
      <w:bookmarkEnd w:id="85"/>
      <w:r/>
      <w:bookmarkEnd w:id="86"/>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5.1.1 采购人或采购代理机构在投标人须知前附表规定的开标时间和地点公开开标。投标人不足3家的，不得开标。</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5.1.2 投标人应当按照《操作手册》规定，参加开标活动和在苏采云系统规定的时间内对投标文件进行解密。投标人在开、评标全过程中应保持通讯畅通，及时登录苏采云系统查阅、答复相关信息，并安排专人接收采购人及评标委员会联系。</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5.1.3 开标程序：</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（1）登录苏采云系统，点击“工作台”，选中“开标大厅”，选择对应项目；</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开标流程进入【解锁】环节点击【解锁】图标，并在投标须知前附表规定的解密时长内，使用CA证书进行标书解密，解锁完成后及时关注开标大厅，等待后续答疑澄清等提示；在解密时长倒计时结束前，投标人可进行解密操作，当剩余时间为0后，投标人则不可以进行解密操作，系统会自动进入下一节点【唱标】</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（3）投标人在倒计时结束前点击【唱标确认】按钮进行开标记录确认，倒计时结束后系统将会视为已确认；</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（4）开标会议结束。</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5.1.4 开标时，投标文件中“开标一览表”内容与投标文件中相应内容不一致的，以“开标一览表”为准；大写金额与小写金额不一致的，以大写金额为准。</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5.1.5 投标人代表对开标过程和开标记录有疑义，以及认为采购人、采购代理机构相关工作人员有需要回避的情形的，可通过【留言板】功能进行提出；请供应商谨慎发言以免被禁言。采购人或采购代理机构对投标人代表提出的询问或者回避申请应当及时处理。</w:t>
      </w:r>
      <w:r/>
    </w:p>
    <w:p>
      <w:pPr>
        <w:pStyle w:val="921"/>
        <w:ind w:firstLine="482"/>
        <w:spacing w:before="0" w:after="0" w:line="440" w:lineRule="exact"/>
        <w:rPr>
          <w:rFonts w:ascii="黑体" w:cs="黑体"/>
          <w:b/>
          <w:bCs/>
          <w:sz w:val="22"/>
          <w:szCs w:val="22"/>
        </w:rPr>
      </w:pPr>
      <w:r/>
      <w:bookmarkStart w:id="87" w:name="_Toc31967"/>
      <w:r/>
      <w:bookmarkStart w:id="88" w:name="_Toc15880"/>
      <w:r/>
      <w:bookmarkStart w:id="89" w:name="_Toc3693"/>
      <w:r>
        <w:rPr>
          <w:rFonts w:hint="eastAsia" w:ascii="黑体" w:cs="黑体"/>
          <w:b/>
          <w:bCs/>
          <w:sz w:val="22"/>
          <w:szCs w:val="22"/>
        </w:rPr>
        <w:t xml:space="preserve">5.2 资格</w:t>
      </w:r>
      <w:bookmarkEnd w:id="87"/>
      <w:r/>
      <w:bookmarkEnd w:id="88"/>
      <w:r>
        <w:rPr>
          <w:rFonts w:hint="eastAsia" w:ascii="黑体" w:cs="黑体"/>
          <w:b/>
          <w:bCs/>
          <w:sz w:val="22"/>
          <w:szCs w:val="22"/>
        </w:rPr>
        <w:t xml:space="preserve">评审</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5.2.1开标结束后，采购人或者采购代理机构依法对投标人的资格进行审查。</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5.2.2采购人或者采购代理机构应当按照第三章“资格审查办法”规定的资格评审标准对投标文件进行资格评审。</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5.2.3 资格评审结束后，合格投标人不足3家的，不得评标。</w:t>
      </w:r>
      <w:r/>
    </w:p>
    <w:p>
      <w:pPr>
        <w:pStyle w:val="921"/>
        <w:ind w:firstLine="482"/>
        <w:spacing w:before="0" w:after="0" w:line="440" w:lineRule="exact"/>
        <w:rPr>
          <w:rFonts w:ascii="黑体" w:cs="黑体"/>
          <w:b/>
          <w:bCs/>
          <w:sz w:val="22"/>
          <w:szCs w:val="22"/>
        </w:rPr>
      </w:pPr>
      <w:r/>
      <w:bookmarkStart w:id="90" w:name="_Toc27848"/>
      <w:r/>
      <w:bookmarkStart w:id="91" w:name="_Toc26733"/>
      <w:r>
        <w:rPr>
          <w:rFonts w:hint="eastAsia" w:ascii="黑体" w:cs="黑体"/>
          <w:b/>
          <w:bCs/>
          <w:sz w:val="22"/>
          <w:szCs w:val="22"/>
        </w:rPr>
        <w:t xml:space="preserve">5.3 评标</w:t>
      </w:r>
      <w:bookmarkEnd w:id="89"/>
      <w:r/>
      <w:bookmarkEnd w:id="90"/>
      <w:r/>
      <w:bookmarkEnd w:id="91"/>
      <w:r>
        <w:rPr>
          <w:rFonts w:hint="eastAsia" w:ascii="黑体" w:cs="黑体"/>
          <w:b/>
          <w:bCs/>
          <w:sz w:val="22"/>
          <w:szCs w:val="22"/>
        </w:rPr>
        <w:t xml:space="preserve">委员会</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5.3.1 评标委员会由采购人代表和评审专家组成，成员人数见投标须知前附表。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5.3.2 评标委员会成员有下列情形之一的，应当回避；已经进入的，应当退出:</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（1）投标人或者投标人主要负责人的近亲属；</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（2）项目主管部门或者行政监督部门的人员；</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（3）与投标人有经济利益关系；</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（4）曾因在招标、评标以及其他与招标投标有关系活动中从事违法行为而受到行政处罚或者刑事处罚的；</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（5）与投标人有其他利害关系与投标人有利害关系。</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5.3.3 特殊情况处置</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（1）评标活动终止</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fldChar w:fldCharType="begin"/>
      </w:r>
      <w:r>
        <w:rPr>
          <w:rFonts w:hint="eastAsia" w:asciiTheme="minorEastAsia" w:hAnsiTheme="minorEastAsia" w:eastAsiaTheme="minorEastAsia" w:cstheme="minorEastAsia"/>
          <w:sz w:val="22"/>
          <w:lang w:val="en-US" w:eastAsia="zh-CN"/>
        </w:rPr>
        <w:instrText xml:space="preserve"> = 1 \* GB3 \* MERGEFORMAT </w:instrText>
      </w:r>
      <w:r>
        <w:rPr>
          <w:rFonts w:hint="eastAsia" w:asciiTheme="minorEastAsia" w:hAnsiTheme="minorEastAsia" w:eastAsiaTheme="minorEastAsia" w:cstheme="minorEastAsia"/>
          <w:sz w:val="22"/>
          <w:lang w:val="en-US" w:eastAsia="zh-CN"/>
        </w:rPr>
        <w:fldChar w:fldCharType="separate"/>
      </w:r>
      <w:r>
        <w:rPr>
          <w:rFonts w:hint="eastAsia" w:asciiTheme="minorEastAsia" w:hAnsiTheme="minorEastAsia" w:eastAsiaTheme="minorEastAsia" w:cstheme="minorEastAsia"/>
          <w:sz w:val="22"/>
          <w:lang w:val="en-US" w:eastAsia="zh-CN"/>
        </w:rPr>
        <w:t xml:space="preserve">①</w:t>
      </w:r>
      <w:r>
        <w:rPr>
          <w:rFonts w:hint="eastAsia" w:asciiTheme="minorEastAsia" w:hAnsiTheme="minorEastAsia" w:eastAsiaTheme="minorEastAsia" w:cstheme="minorEastAsia"/>
          <w:sz w:val="22"/>
          <w:lang w:val="en-US" w:eastAsia="zh-CN"/>
        </w:rPr>
        <w:fldChar w:fldCharType="end"/>
      </w:r>
      <w:r>
        <w:rPr>
          <w:rFonts w:hint="eastAsia" w:asciiTheme="minorEastAsia" w:hAnsiTheme="minorEastAsia" w:eastAsiaTheme="minorEastAsia" w:cstheme="minorEastAsia"/>
          <w:sz w:val="22"/>
          <w:lang w:val="en-US" w:eastAsia="zh-CN"/>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fldChar w:fldCharType="begin"/>
      </w:r>
      <w:r>
        <w:rPr>
          <w:rFonts w:hint="eastAsia" w:asciiTheme="minorEastAsia" w:hAnsiTheme="minorEastAsia" w:eastAsiaTheme="minorEastAsia" w:cstheme="minorEastAsia"/>
          <w:sz w:val="22"/>
          <w:lang w:val="en-US" w:eastAsia="zh-CN"/>
        </w:rPr>
        <w:instrText xml:space="preserve"> = 2 \* GB3 \* MERGEFORMAT </w:instrText>
      </w:r>
      <w:r>
        <w:rPr>
          <w:rFonts w:hint="eastAsia" w:asciiTheme="minorEastAsia" w:hAnsiTheme="minorEastAsia" w:eastAsiaTheme="minorEastAsia" w:cstheme="minorEastAsia"/>
          <w:sz w:val="22"/>
          <w:lang w:val="en-US" w:eastAsia="zh-CN"/>
        </w:rPr>
        <w:fldChar w:fldCharType="separate"/>
      </w:r>
      <w:r>
        <w:rPr>
          <w:rFonts w:hint="eastAsia" w:asciiTheme="minorEastAsia" w:hAnsiTheme="minorEastAsia" w:eastAsiaTheme="minorEastAsia" w:cstheme="minorEastAsia"/>
          <w:sz w:val="22"/>
          <w:lang w:val="en-US" w:eastAsia="zh-CN"/>
        </w:rPr>
        <w:t xml:space="preserve">②</w:t>
      </w:r>
      <w:r>
        <w:rPr>
          <w:rFonts w:hint="eastAsia" w:asciiTheme="minorEastAsia" w:hAnsiTheme="minorEastAsia" w:eastAsiaTheme="minorEastAsia" w:cstheme="minorEastAsia"/>
          <w:sz w:val="22"/>
          <w:lang w:val="en-US" w:eastAsia="zh-CN"/>
        </w:rPr>
        <w:fldChar w:fldCharType="end"/>
      </w:r>
      <w:r>
        <w:rPr>
          <w:rFonts w:hint="eastAsia" w:asciiTheme="minorEastAsia" w:hAnsiTheme="minorEastAsia" w:eastAsiaTheme="minorEastAsia" w:cstheme="minorEastAsia"/>
          <w:sz w:val="22"/>
          <w:lang w:val="en-US" w:eastAsia="zh-CN"/>
        </w:rPr>
        <w:t xml:space="preserve">发生下列情况之一的，评标委员会应终止评标并按照废标处理：</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a.发生了不可抗力事件；</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b.评标委员会名单泄密或者评标委员成员无法中途更换的；</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c.发生评标信息泄露或者出现非法干预评审、谈判工作的；</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d.监督人员现场发现评标委员会或者成员未按照招标文件规定评审或者存在违反法律法规规定行为，且拒绝改正的。</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出现上述情形的，评标委员会有权予以废标或者建议采购人和采购代理机构封存招标文件和所有投标或投标文件，择期重新组建评标委员会进行评审。</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(2)评标委员会中途更换成员</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fldChar w:fldCharType="begin"/>
      </w:r>
      <w:r>
        <w:rPr>
          <w:rFonts w:hint="eastAsia" w:asciiTheme="minorEastAsia" w:hAnsiTheme="minorEastAsia" w:eastAsiaTheme="minorEastAsia" w:cstheme="minorEastAsia"/>
          <w:sz w:val="22"/>
          <w:lang w:val="en-US" w:eastAsia="zh-CN"/>
        </w:rPr>
        <w:instrText xml:space="preserve"> = 1 \* GB3 \* MERGEFORMAT </w:instrText>
      </w:r>
      <w:r>
        <w:rPr>
          <w:rFonts w:hint="eastAsia" w:asciiTheme="minorEastAsia" w:hAnsiTheme="minorEastAsia" w:eastAsiaTheme="minorEastAsia" w:cstheme="minorEastAsia"/>
          <w:sz w:val="22"/>
          <w:lang w:val="en-US" w:eastAsia="zh-CN"/>
        </w:rPr>
        <w:fldChar w:fldCharType="separate"/>
      </w:r>
      <w:r>
        <w:rPr>
          <w:rFonts w:hint="eastAsia" w:asciiTheme="minorEastAsia" w:hAnsiTheme="minorEastAsia" w:eastAsiaTheme="minorEastAsia" w:cstheme="minorEastAsia"/>
          <w:sz w:val="22"/>
          <w:lang w:val="en-US" w:eastAsia="zh-CN"/>
        </w:rPr>
        <w:t xml:space="preserve">①</w:t>
      </w:r>
      <w:r>
        <w:rPr>
          <w:rFonts w:hint="eastAsia" w:asciiTheme="minorEastAsia" w:hAnsiTheme="minorEastAsia" w:eastAsiaTheme="minorEastAsia" w:cstheme="minorEastAsia"/>
          <w:sz w:val="22"/>
          <w:lang w:val="en-US" w:eastAsia="zh-CN"/>
        </w:rPr>
        <w:fldChar w:fldCharType="end"/>
      </w:r>
      <w:r>
        <w:rPr>
          <w:rFonts w:hint="eastAsia" w:asciiTheme="minorEastAsia" w:hAnsiTheme="minorEastAsia" w:eastAsiaTheme="minorEastAsia" w:cstheme="minorEastAsia"/>
          <w:sz w:val="22"/>
          <w:lang w:val="en-US" w:eastAsia="zh-CN"/>
        </w:rPr>
        <w:t xml:space="preserve">除非发生下列情况之一，评标委员会成员不得中途更换：</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a.因不可抗拒的客观原因，不能到场或者需在评标过程中退出评标活动；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b.根据法律法规规定，某个或者某几个评标委员会成员需要回避；</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fldChar w:fldCharType="begin"/>
      </w:r>
      <w:r>
        <w:rPr>
          <w:rFonts w:hint="eastAsia" w:asciiTheme="minorEastAsia" w:hAnsiTheme="minorEastAsia" w:eastAsiaTheme="minorEastAsia" w:cstheme="minorEastAsia"/>
          <w:sz w:val="22"/>
          <w:lang w:val="en-US" w:eastAsia="zh-CN"/>
        </w:rPr>
        <w:instrText xml:space="preserve"> = 2 \* GB3 \* MERGEFORMAT </w:instrText>
      </w:r>
      <w:r>
        <w:rPr>
          <w:rFonts w:hint="eastAsia" w:asciiTheme="minorEastAsia" w:hAnsiTheme="minorEastAsia" w:eastAsiaTheme="minorEastAsia" w:cstheme="minorEastAsia"/>
          <w:sz w:val="22"/>
          <w:lang w:val="en-US" w:eastAsia="zh-CN"/>
        </w:rPr>
        <w:fldChar w:fldCharType="separate"/>
      </w:r>
      <w:r>
        <w:rPr>
          <w:rFonts w:hint="eastAsia" w:asciiTheme="minorEastAsia" w:hAnsiTheme="minorEastAsia" w:eastAsiaTheme="minorEastAsia" w:cstheme="minorEastAsia"/>
          <w:sz w:val="22"/>
          <w:lang w:val="en-US" w:eastAsia="zh-CN"/>
        </w:rPr>
        <w:t xml:space="preserve">②</w:t>
      </w:r>
      <w:r>
        <w:rPr>
          <w:rFonts w:hint="eastAsia" w:asciiTheme="minorEastAsia" w:hAnsiTheme="minorEastAsia" w:eastAsiaTheme="minorEastAsia" w:cstheme="minorEastAsia"/>
          <w:sz w:val="22"/>
          <w:lang w:val="en-US" w:eastAsia="zh-CN"/>
        </w:rPr>
        <w:fldChar w:fldCharType="end"/>
      </w:r>
      <w:r>
        <w:rPr>
          <w:rFonts w:hint="eastAsia" w:asciiTheme="minorEastAsia" w:hAnsiTheme="minorEastAsia" w:eastAsiaTheme="minorEastAsia" w:cstheme="minorEastAsia"/>
          <w:sz w:val="22"/>
          <w:lang w:val="en-US" w:eastAsia="zh-CN"/>
        </w:rPr>
        <w:t xml:space="preserve">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(3)评委争议</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pStyle w:val="921"/>
        <w:ind w:firstLine="482"/>
        <w:spacing w:before="0" w:after="0" w:line="440" w:lineRule="exact"/>
        <w:rPr>
          <w:rFonts w:ascii="黑体" w:cs="黑体"/>
          <w:b/>
          <w:bCs/>
          <w:sz w:val="22"/>
          <w:szCs w:val="22"/>
        </w:rPr>
      </w:pPr>
      <w:r>
        <w:rPr>
          <w:rFonts w:hint="eastAsia" w:ascii="黑体" w:cs="黑体"/>
          <w:b/>
          <w:bCs/>
          <w:sz w:val="22"/>
          <w:szCs w:val="22"/>
        </w:rPr>
        <w:t xml:space="preserve">5.4 评标</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5.4.1评标委员会对符合资格的投标人的投标文件，按照第四章“评标办法”规定的评标方法、评审因素、标准和程序对投标文件进行评审。</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5.4.2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5.4.3 评标完成后，评标委员会根据全体评标成员签字的原始评标记录和评标结果编写评标报告。评标委员会推荐的中标候选人名单数量见投标人须知前附表。</w:t>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六、中标和合同</w:t>
      </w:r>
      <w:r/>
    </w:p>
    <w:p>
      <w:pPr>
        <w:pStyle w:val="921"/>
        <w:ind w:firstLine="482"/>
        <w:spacing w:before="0" w:after="0" w:line="440" w:lineRule="exact"/>
        <w:rPr>
          <w:rFonts w:ascii="黑体" w:cs="黑体"/>
          <w:b/>
          <w:bCs/>
          <w:sz w:val="22"/>
          <w:szCs w:val="22"/>
        </w:rPr>
      </w:pPr>
      <w:r/>
      <w:bookmarkStart w:id="92" w:name="_Toc29521"/>
      <w:r/>
      <w:bookmarkStart w:id="93" w:name="_Toc29296"/>
      <w:r/>
      <w:bookmarkStart w:id="94" w:name="_Toc8673"/>
      <w:r/>
      <w:bookmarkStart w:id="95" w:name="_Toc1623"/>
      <w:r/>
      <w:bookmarkStart w:id="96" w:name="_Toc21641"/>
      <w:r/>
      <w:bookmarkStart w:id="97" w:name="_Toc11984"/>
      <w:r>
        <w:rPr>
          <w:rFonts w:hint="eastAsia" w:ascii="黑体" w:cs="黑体"/>
          <w:b/>
          <w:bCs/>
          <w:sz w:val="22"/>
          <w:szCs w:val="22"/>
        </w:rPr>
        <w:t xml:space="preserve">6.1 定标</w:t>
      </w:r>
      <w:bookmarkEnd w:id="92"/>
      <w:r/>
      <w:bookmarkEnd w:id="93"/>
      <w:r/>
      <w:bookmarkEnd w:id="94"/>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6.1.1采购代理机构应当在评标结束后2个工作日内将评标报告送采购人。</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921"/>
        <w:ind w:firstLine="482"/>
        <w:spacing w:before="0" w:after="0" w:line="440" w:lineRule="exact"/>
        <w:rPr>
          <w:rFonts w:ascii="黑体" w:cs="黑体"/>
          <w:b/>
          <w:bCs/>
          <w:sz w:val="22"/>
          <w:szCs w:val="22"/>
        </w:rPr>
      </w:pPr>
      <w:r>
        <w:rPr>
          <w:rFonts w:hint="eastAsia" w:ascii="黑体" w:cs="黑体"/>
          <w:b/>
          <w:bCs/>
          <w:sz w:val="22"/>
          <w:szCs w:val="22"/>
        </w:rPr>
        <w:t xml:space="preserve">6.2 中标通知</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6.2.2 采购人或者采购代理机构在公告中标结果的同时，采购人或者采购代理机构应当向中标人发出中标通知书；采用综合评分法的项目，未中标的投标人可于中标结果公告期限届满之日起通过苏采云系统查看自己的评审得分及排序情况。</w:t>
      </w:r>
      <w:r/>
    </w:p>
    <w:p>
      <w:pPr>
        <w:pStyle w:val="921"/>
        <w:ind w:firstLine="482"/>
        <w:spacing w:before="0" w:after="0" w:line="440" w:lineRule="exact"/>
        <w:rPr>
          <w:rFonts w:ascii="黑体" w:cs="黑体"/>
          <w:b/>
          <w:bCs/>
          <w:sz w:val="22"/>
          <w:szCs w:val="22"/>
        </w:rPr>
      </w:pPr>
      <w:r>
        <w:rPr>
          <w:rFonts w:hint="eastAsia" w:ascii="黑体" w:cs="黑体"/>
          <w:b/>
          <w:bCs/>
          <w:sz w:val="22"/>
          <w:szCs w:val="22"/>
        </w:rPr>
        <w:t xml:space="preserve">6.3 签订合同</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6.3.1采购人或者采购代理机构应当自中标通知书发出之日起三十日内，按照招标文件和中标人投标文件的规定，与中标人签订书面合同。所签订的合同不得对招标文件和中标人投标文件作实质性修改。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6.3.3 中标人拒绝与采购人签订合同的，采购人可以按照评审报告推荐的中标候选人名单排序，确定下一候选人为中标人，也可以重新开展政府采购活动。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6.3.4采购人不得向中标人提出任何不合理的要求，作为签订合同的条件，不得与中标人私下订立背离合同实质性内容的协议。</w:t>
      </w:r>
      <w:r/>
    </w:p>
    <w:p>
      <w:pPr>
        <w:ind w:firstLine="440"/>
        <w:keepLines w:val="0"/>
        <w:keepNext w:val="0"/>
        <w:pageBreakBefore w:val="0"/>
        <w:spacing w:line="440" w:lineRule="exact"/>
        <w:widowControl w:val="off"/>
        <w:rPr>
          <w:rFonts w:ascii="宋体" w:hAnsi="宋体" w:cs="宋体"/>
          <w:sz w:val="22"/>
        </w:rPr>
      </w:pPr>
      <w:r>
        <w:rPr>
          <w:rFonts w:hint="eastAsia" w:asciiTheme="minorEastAsia" w:hAnsiTheme="minorEastAsia" w:eastAsiaTheme="minorEastAsia" w:cstheme="minorEastAsia"/>
          <w:sz w:val="22"/>
          <w:lang w:val="en-US" w:eastAsia="zh-CN"/>
        </w:rPr>
        <w:t xml:space="preserve">6.3.5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95"/>
      <w:r/>
      <w:bookmarkEnd w:id="96"/>
      <w:r/>
      <w:bookmarkEnd w:id="97"/>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七、废标、质疑与投诉</w:t>
      </w:r>
      <w:r/>
    </w:p>
    <w:p>
      <w:pPr>
        <w:pStyle w:val="921"/>
        <w:ind w:firstLine="482"/>
        <w:spacing w:before="0" w:after="0" w:line="440" w:lineRule="exact"/>
        <w:rPr>
          <w:rFonts w:ascii="黑体" w:cs="黑体"/>
          <w:b/>
          <w:bCs/>
          <w:sz w:val="22"/>
          <w:szCs w:val="22"/>
        </w:rPr>
      </w:pPr>
      <w:r/>
      <w:bookmarkStart w:id="98" w:name="_Toc10664"/>
      <w:r/>
      <w:bookmarkStart w:id="99" w:name="_Toc2774"/>
      <w:r/>
      <w:bookmarkStart w:id="100" w:name="_Toc22258"/>
      <w:r>
        <w:rPr>
          <w:rFonts w:hint="eastAsia" w:ascii="黑体" w:cs="黑体"/>
          <w:b/>
          <w:bCs/>
          <w:sz w:val="22"/>
          <w:szCs w:val="22"/>
        </w:rPr>
        <w:t xml:space="preserve">7.1 废标</w:t>
      </w:r>
      <w:bookmarkEnd w:id="98"/>
      <w:r/>
      <w:bookmarkEnd w:id="99"/>
      <w:r/>
      <w:bookmarkEnd w:id="100"/>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7.1.1 在招标采购过程中，有下列情况之一时，采购人应当予以废标，并将理由通知所有投标人：</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（1）符合专业条件的投标人或招标文件作实质响应的投标人不足三家的；</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（2）出现影响采购公正的违法、违规行为的；</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（3）投标人的报价均超过了采购预算，采购人不能支付的；</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（4）因重大变故，采购任务取消的。</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7.1.2 废标后，除采购任务取消情形外，招标采购单位应当重新组织招标；需要采取其他采购方式的，应当在采购活动开始前获得财政部门的批准。</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7.1.3 公开招标数额标准以上的采购项目，投标截止后投标人不足3家或者招标文件作实质响应的投标人不足3家的，除采购任务取消情形外，按照以下方式处理：</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（1）招标文件存在不合理条款或者招标程序不符合规定的，采购人、采购代理机构改正后依法重新招标；</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（2）招标文件没有不合理条款、招标程序符合规定，需要采用其他采购方式采购的，采购人应当依法报财政部门批准。</w:t>
      </w:r>
      <w:r/>
    </w:p>
    <w:p>
      <w:pPr>
        <w:pStyle w:val="921"/>
        <w:ind w:firstLine="482"/>
        <w:spacing w:before="0" w:after="0" w:line="440" w:lineRule="exact"/>
        <w:rPr>
          <w:rFonts w:ascii="黑体" w:cs="黑体"/>
          <w:b/>
          <w:bCs/>
          <w:sz w:val="22"/>
          <w:szCs w:val="22"/>
        </w:rPr>
      </w:pPr>
      <w:r/>
      <w:bookmarkStart w:id="101" w:name="_Toc8333"/>
      <w:r/>
      <w:bookmarkStart w:id="102" w:name="_Toc30375"/>
      <w:r/>
      <w:bookmarkStart w:id="103" w:name="_Toc26328"/>
      <w:r>
        <w:rPr>
          <w:rFonts w:hint="eastAsia" w:ascii="黑体" w:cs="黑体"/>
          <w:b/>
          <w:bCs/>
          <w:sz w:val="22"/>
          <w:szCs w:val="22"/>
        </w:rPr>
        <w:t xml:space="preserve">7.2 质疑</w:t>
      </w:r>
      <w:bookmarkEnd w:id="101"/>
      <w:r/>
      <w:bookmarkEnd w:id="102"/>
      <w:r/>
      <w:bookmarkEnd w:id="103"/>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7.2.1 按照《中华人民共和国政府采购法》、《中华人民共和国政府采购法实施条例》、《政府采购质疑和投诉办法》（财政部令第94号）以及相关的法律、法规及规定，投标人认为采购文件、采购过程、中标或者成交结果使自己的权益受到损害的，可以在知道或者应知其权益受到损害之日起7个工作日内，以书面形式一次性提出针对同一采购程序环节的质疑。</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7.2.2 提出质疑的投标人应当是参与本项目采购活动的投标人。</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（1）对采购文件提出质疑的，潜在投标人应当在按规定获取采购文件之日起7个工作日内提出。</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（2）对采购过程提出质疑的，应在各采购程序环节结束之日起7个工作日内提出。</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（3）对中标结果提出质疑的，应当在中标结果公告届满之日起7个工作日内提出。</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7.2.3 投标人提出质疑应当提交质疑函和必要的证明材料。质疑函应当包括下列内容：</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（1）投标人的姓名或者名称、地址、邮编、联系人及联系电话；</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（2）质疑项目的名称、编号；</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（3）具体、明确的质疑事项和与质疑事项相关的请求；</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（4）事实依据；</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（5）必要的法律依据；</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（6）提出质疑的日期。</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7.2.4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7.2.5 除书面形式外，其他任何方式的质疑，采购人或者采购代理机构均不予接收和答复。</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7.2.6 采购人、采购代理机构在收到质疑函后七个工作日内做出答复，并以书面形式通知质疑人和其他有关投标人；但质疑答复的内容不得涉及商业秘密。</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7.2.7 采购人、采购代理机构认为投标人质疑不成立，或者成立但未对中标结果构成影响的，继续开展采购活动；认为投标人质疑成立且影响或者可能影响中标结果的，按照下列情况处理：</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（1）对采购文件提出的质疑，依法通过澄清或者修改可以继续开展采购活动的，澄清或者修改采购文件后继续开展采购活动；否则应当修改采购文件后重新开展采购活动。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（2）对采购过程、中标结果提出的质疑，合格投标人符合法定数量时，可以从合格的中标候选人中另行确定中标人的，应当依法另行确定中标人；否则应当重新开展采购活动。</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质疑答复导致中标结果改变的，采购人或者采购代理机构应当将有关情况书面报告本级财政部门。</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7.2.8质疑人对采购人、采购代理机构的答复不满意，或者采购人、采购代理机构未在规定的时间内做出答复的，可以在答复期满后15个工作日内，向投标人须知前附表规定的财政部门提起投诉。</w:t>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八、其他事宜</w:t>
      </w:r>
      <w:r/>
    </w:p>
    <w:p>
      <w:pPr>
        <w:pStyle w:val="921"/>
        <w:ind w:firstLine="482"/>
        <w:spacing w:before="0" w:after="0" w:line="440" w:lineRule="exact"/>
        <w:rPr>
          <w:rFonts w:ascii="黑体" w:cs="黑体"/>
          <w:b/>
          <w:bCs/>
          <w:sz w:val="22"/>
          <w:szCs w:val="22"/>
        </w:rPr>
      </w:pPr>
      <w:r/>
      <w:bookmarkStart w:id="104" w:name="_Toc21692"/>
      <w:r/>
      <w:bookmarkStart w:id="105" w:name="_Toc10386"/>
      <w:r/>
      <w:bookmarkStart w:id="106" w:name="_Toc6452"/>
      <w:r>
        <w:rPr>
          <w:rFonts w:hint="eastAsia" w:ascii="黑体" w:cs="黑体"/>
          <w:b/>
          <w:bCs/>
          <w:sz w:val="22"/>
          <w:szCs w:val="22"/>
        </w:rPr>
        <w:t xml:space="preserve">8.1 </w:t>
      </w:r>
      <w:bookmarkEnd w:id="104"/>
      <w:r/>
      <w:bookmarkEnd w:id="105"/>
      <w:r/>
      <w:bookmarkEnd w:id="106"/>
      <w:r>
        <w:rPr>
          <w:rFonts w:hint="eastAsia" w:ascii="黑体" w:cs="黑体"/>
          <w:b/>
          <w:bCs/>
          <w:sz w:val="22"/>
          <w:szCs w:val="22"/>
        </w:rPr>
        <w:t xml:space="preserve">补充的其他内容</w:t>
      </w:r>
      <w:r/>
    </w:p>
    <w:p>
      <w:pPr>
        <w:ind w:firstLine="440"/>
        <w:keepLines w:val="0"/>
        <w:keepNext w:val="0"/>
        <w:pageBreakBefore w:val="0"/>
        <w:spacing w:line="440" w:lineRule="exact"/>
        <w:widowControl w:val="off"/>
        <w:rPr>
          <w:rFonts w:hint="eastAsia" w:asciiTheme="minorEastAsia" w:hAnsiTheme="minorEastAsia" w:eastAsiaTheme="minorEastAsia" w:cstheme="minorEastAsia"/>
          <w:sz w:val="22"/>
          <w:lang w:val="en-US" w:eastAsia="zh-CN"/>
        </w:rPr>
      </w:pPr>
      <w:r>
        <w:rPr>
          <w:rFonts w:hint="eastAsia" w:asciiTheme="minorEastAsia" w:hAnsiTheme="minorEastAsia" w:eastAsiaTheme="minorEastAsia" w:cstheme="minorEastAsia"/>
          <w:sz w:val="22"/>
          <w:lang w:val="en-US" w:eastAsia="zh-CN"/>
        </w:rPr>
        <w:t xml:space="preserve">8.1.1 采购人需要补充的其他内容：见投标人须知前附表</w:t>
      </w:r>
      <w:r/>
    </w:p>
    <w:p>
      <w:pPr>
        <w:ind w:firstLine="440"/>
        <w:keepLines w:val="0"/>
        <w:keepNext w:val="0"/>
        <w:pageBreakBefore w:val="0"/>
        <w:spacing w:line="440" w:lineRule="exact"/>
        <w:widowControl w:val="off"/>
        <w:rPr>
          <w:rFonts w:ascii="华文中宋" w:hAnsi="华文中宋" w:cs="宋体"/>
          <w:sz w:val="22"/>
        </w:rPr>
      </w:pPr>
      <w:r>
        <w:rPr>
          <w:rFonts w:hint="eastAsia" w:asciiTheme="minorEastAsia" w:hAnsiTheme="minorEastAsia" w:eastAsiaTheme="minorEastAsia" w:cstheme="minorEastAsia"/>
          <w:sz w:val="22"/>
          <w:lang w:val="en-US" w:eastAsia="zh-CN"/>
        </w:rPr>
        <w:t xml:space="preserve">8.1.2 其他未尽事宜按照《中华人民共和国政府采购法》及相关法律、法规、规章的有关规定执行。</w:t>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pStyle w:val="761"/>
        <w:rPr>
          <w:rFonts w:ascii="宋体" w:hAnsi="宋体" w:cs="宋体"/>
        </w:rPr>
      </w:pPr>
      <w:r>
        <w:rPr>
          <w:rFonts w:ascii="宋体" w:hAnsi="宋体" w:cs="宋体"/>
        </w:rPr>
      </w:r>
      <w:r/>
    </w:p>
    <w:p>
      <w:pPr>
        <w:pStyle w:val="917"/>
        <w:jc w:val="center"/>
        <w:spacing w:after="20" w:line="360" w:lineRule="auto"/>
        <w:rPr>
          <w:rFonts w:ascii="微软雅黑" w:hAnsi="微软雅黑" w:eastAsia="微软雅黑" w:cs="微软雅黑"/>
          <w:b w:val="0"/>
          <w:bCs w:val="0"/>
          <w:sz w:val="36"/>
          <w:szCs w:val="36"/>
        </w:rPr>
      </w:pPr>
      <w:r/>
      <w:bookmarkStart w:id="107" w:name="_Toc765"/>
      <w:r/>
      <w:bookmarkStart w:id="108" w:name="_Toc152268440"/>
      <w:r>
        <w:rPr>
          <w:rFonts w:hint="eastAsia" w:ascii="微软雅黑" w:hAnsi="微软雅黑" w:eastAsia="微软雅黑" w:cs="微软雅黑"/>
          <w:b w:val="0"/>
          <w:bCs w:val="0"/>
          <w:sz w:val="36"/>
          <w:szCs w:val="36"/>
        </w:rPr>
        <w:t xml:space="preserve">第三章 资格审查办法</w:t>
      </w:r>
      <w:bookmarkEnd w:id="107"/>
      <w:r/>
      <w:bookmarkEnd w:id="108"/>
      <w:r/>
      <w:r/>
    </w:p>
    <w:p>
      <w:pPr>
        <w:spacing w:line="360" w:lineRule="auto"/>
        <w:rPr>
          <w:rFonts w:ascii="黑体" w:hAnsi="黑体" w:eastAsia="黑体" w:cs="宋体"/>
          <w:b/>
          <w:bCs/>
          <w:sz w:val="22"/>
        </w:rPr>
      </w:pPr>
      <w:r/>
      <w:bookmarkStart w:id="109" w:name="_Toc179715727"/>
      <w:r/>
      <w:bookmarkStart w:id="110" w:name="_Toc152047234"/>
      <w:r/>
      <w:bookmarkStart w:id="111" w:name="_Toc144974438"/>
      <w:r/>
      <w:bookmarkStart w:id="112" w:name="_Toc234382664"/>
      <w:r/>
      <w:bookmarkStart w:id="113" w:name="_Toc4791"/>
      <w:r/>
      <w:bookmarkStart w:id="114" w:name="_Toc28292"/>
      <w:r>
        <w:rPr>
          <w:rFonts w:hint="eastAsia" w:ascii="黑体" w:hAnsi="黑体" w:eastAsia="黑体" w:cs="宋体"/>
          <w:b/>
          <w:bCs/>
          <w:sz w:val="22"/>
        </w:rPr>
        <w:t xml:space="preserve">1.审查方法</w:t>
      </w:r>
      <w:bookmarkEnd w:id="109"/>
      <w:r/>
      <w:bookmarkEnd w:id="110"/>
      <w:r/>
      <w:bookmarkEnd w:id="111"/>
      <w:r/>
      <w:r/>
    </w:p>
    <w:p>
      <w:pPr>
        <w:ind w:firstLine="440"/>
        <w:spacing w:line="360" w:lineRule="auto"/>
        <w:rPr>
          <w:rFonts w:ascii="宋体" w:hAnsi="宋体" w:cs="宋体"/>
          <w:sz w:val="22"/>
        </w:rPr>
      </w:pPr>
      <w:r>
        <w:rPr>
          <w:rFonts w:hint="eastAsia" w:ascii="宋体" w:hAnsi="宋体" w:cs="宋体"/>
          <w:sz w:val="22"/>
        </w:rPr>
        <w:t xml:space="preserve">1.1 资格审查由采购人或者采购代理机构组成的评审小组依法对供应商的资格进行审查。</w:t>
      </w:r>
      <w:r/>
    </w:p>
    <w:p>
      <w:pPr>
        <w:ind w:firstLine="440"/>
        <w:spacing w:line="360" w:lineRule="auto"/>
        <w:rPr>
          <w:rFonts w:ascii="宋体" w:hAnsi="宋体" w:cs="宋体"/>
          <w:sz w:val="22"/>
        </w:rPr>
      </w:pPr>
      <w:r>
        <w:rPr>
          <w:rFonts w:hint="eastAsia" w:ascii="宋体" w:hAnsi="宋体" w:cs="宋体"/>
          <w:sz w:val="22"/>
        </w:rPr>
        <w:t xml:space="preserve">1.2 凡符合本章资格审查标准的供应商均通过资格审查，并进入评标。</w:t>
      </w:r>
      <w:r/>
    </w:p>
    <w:p>
      <w:pPr>
        <w:spacing w:line="360" w:lineRule="auto"/>
        <w:rPr>
          <w:rFonts w:ascii="黑体" w:hAnsi="黑体" w:eastAsia="黑体" w:cs="宋体"/>
          <w:b/>
          <w:bCs/>
          <w:sz w:val="22"/>
        </w:rPr>
      </w:pPr>
      <w:r/>
      <w:bookmarkStart w:id="115" w:name="_Toc152047235"/>
      <w:r/>
      <w:bookmarkStart w:id="116" w:name="_Toc179715728"/>
      <w:r/>
      <w:bookmarkStart w:id="117" w:name="_Toc144974439"/>
      <w:r>
        <w:rPr>
          <w:rFonts w:hint="eastAsia" w:ascii="黑体" w:hAnsi="黑体" w:eastAsia="黑体" w:cs="宋体"/>
          <w:b/>
          <w:bCs/>
          <w:sz w:val="22"/>
        </w:rPr>
        <w:t xml:space="preserve">2.审查标准</w:t>
      </w:r>
      <w:bookmarkEnd w:id="115"/>
      <w:r/>
      <w:bookmarkEnd w:id="116"/>
      <w:r/>
      <w:bookmarkEnd w:id="117"/>
      <w:r/>
      <w:r/>
    </w:p>
    <w:p>
      <w:pPr>
        <w:ind w:firstLine="442"/>
        <w:spacing w:line="360" w:lineRule="auto"/>
        <w:rPr>
          <w:rFonts w:ascii="黑体" w:hAnsi="黑体" w:eastAsia="黑体" w:cs="宋体"/>
          <w:b/>
          <w:bCs/>
          <w:sz w:val="22"/>
        </w:rPr>
      </w:pPr>
      <w:r>
        <w:rPr>
          <w:rFonts w:hint="eastAsia" w:ascii="宋体" w:hAnsi="宋体" w:cs="宋体"/>
          <w:b/>
          <w:bCs/>
          <w:sz w:val="22"/>
        </w:rPr>
        <w:t xml:space="preserve">2.1 供应商有不符合下列情形之一的，不能通过资格审查，其投标无效：</w:t>
      </w:r>
      <w:r/>
    </w:p>
    <w:tbl>
      <w:tblPr>
        <w:tblStyle w:val="681"/>
        <w:tblW w:w="9280"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3289"/>
        <w:gridCol w:w="5261"/>
      </w:tblGrid>
      <w:tr>
        <w:trPr>
          <w:jc w:val="center"/>
          <w:trHeight w:val="440"/>
        </w:trPr>
        <w:tc>
          <w:tcPr>
            <w:tcW w:w="730" w:type="dxa"/>
            <w:vAlign w:val="center"/>
            <w:textDirection w:val="lrTb"/>
            <w:noWrap w:val="false"/>
          </w:tcPr>
          <w:p>
            <w:pPr>
              <w:ind w:left="0" w:right="0" w:firstLine="0"/>
              <w:jc w:val="center"/>
              <w:rPr>
                <w:rFonts w:hint="eastAsia" w:asciiTheme="minorEastAsia" w:hAnsiTheme="minorEastAsia" w:eastAsiaTheme="minorEastAsia" w:cstheme="minorEastAsia"/>
                <w:b/>
                <w:bCs/>
                <w:sz w:val="20"/>
                <w:szCs w:val="20"/>
              </w:rPr>
            </w:pPr>
            <w:r>
              <w:rPr>
                <w:rFonts w:hint="eastAsia" w:asciiTheme="minorEastAsia" w:hAnsiTheme="minorEastAsia" w:eastAsiaTheme="minorEastAsia" w:cstheme="minorEastAsia"/>
                <w:b/>
                <w:bCs/>
                <w:sz w:val="20"/>
                <w:szCs w:val="20"/>
              </w:rPr>
              <w:t xml:space="preserve">序号</w:t>
            </w:r>
            <w:r>
              <w:rPr>
                <w:sz w:val="20"/>
                <w:szCs w:val="20"/>
              </w:rPr>
            </w:r>
            <w:r/>
          </w:p>
        </w:tc>
        <w:tc>
          <w:tcPr>
            <w:tcW w:w="3289" w:type="dxa"/>
            <w:vAlign w:val="center"/>
            <w:textDirection w:val="lrTb"/>
            <w:noWrap w:val="false"/>
          </w:tcPr>
          <w:p>
            <w:pPr>
              <w:ind w:left="0" w:right="0" w:firstLine="0"/>
              <w:jc w:val="center"/>
              <w:rPr>
                <w:rFonts w:hint="eastAsia" w:asciiTheme="minorEastAsia" w:hAnsiTheme="minorEastAsia" w:eastAsiaTheme="minorEastAsia" w:cstheme="minorEastAsia"/>
                <w:b/>
                <w:bCs/>
                <w:sz w:val="20"/>
                <w:szCs w:val="20"/>
              </w:rPr>
            </w:pPr>
            <w:r>
              <w:rPr>
                <w:rFonts w:hint="eastAsia" w:asciiTheme="minorEastAsia" w:hAnsiTheme="minorEastAsia" w:eastAsiaTheme="minorEastAsia" w:cstheme="minorEastAsia"/>
                <w:b/>
                <w:bCs/>
                <w:sz w:val="20"/>
                <w:szCs w:val="20"/>
              </w:rPr>
              <w:t xml:space="preserve">评审因素</w:t>
            </w:r>
            <w:r>
              <w:rPr>
                <w:sz w:val="20"/>
                <w:szCs w:val="20"/>
              </w:rPr>
            </w:r>
            <w:r/>
          </w:p>
        </w:tc>
        <w:tc>
          <w:tcPr>
            <w:tcW w:w="5261" w:type="dxa"/>
            <w:vAlign w:val="center"/>
            <w:textDirection w:val="lrTb"/>
            <w:noWrap w:val="false"/>
          </w:tcPr>
          <w:p>
            <w:pPr>
              <w:ind w:left="0" w:right="0" w:firstLine="0"/>
              <w:jc w:val="center"/>
              <w:rPr>
                <w:rFonts w:hint="eastAsia" w:asciiTheme="minorEastAsia" w:hAnsiTheme="minorEastAsia" w:eastAsiaTheme="minorEastAsia" w:cstheme="minorEastAsia"/>
                <w:b/>
                <w:bCs/>
                <w:sz w:val="20"/>
                <w:szCs w:val="20"/>
              </w:rPr>
            </w:pPr>
            <w:r>
              <w:rPr>
                <w:rFonts w:hint="eastAsia" w:asciiTheme="minorEastAsia" w:hAnsiTheme="minorEastAsia" w:eastAsiaTheme="minorEastAsia" w:cstheme="minorEastAsia"/>
                <w:b/>
                <w:bCs/>
                <w:sz w:val="20"/>
                <w:szCs w:val="20"/>
              </w:rPr>
              <w:t xml:space="preserve">评审标准</w:t>
            </w:r>
            <w:r>
              <w:rPr>
                <w:sz w:val="20"/>
                <w:szCs w:val="20"/>
              </w:rPr>
            </w:r>
            <w:r/>
          </w:p>
        </w:tc>
      </w:tr>
      <w:tr>
        <w:trPr>
          <w:jc w:val="center"/>
          <w:trHeight w:val="400"/>
        </w:trPr>
        <w:tc>
          <w:tcPr>
            <w:tcW w:w="730" w:type="dxa"/>
            <w:vAlign w:val="center"/>
            <w:textDirection w:val="lrTb"/>
            <w:noWrap w:val="false"/>
          </w:tcPr>
          <w:p>
            <w:pPr>
              <w:ind w:left="0" w:right="0" w:firstLine="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1</w:t>
            </w:r>
            <w:r>
              <w:rPr>
                <w:sz w:val="20"/>
                <w:szCs w:val="20"/>
              </w:rPr>
            </w:r>
            <w:r/>
          </w:p>
        </w:tc>
        <w:tc>
          <w:tcPr>
            <w:tcW w:w="3289" w:type="dxa"/>
            <w:vAlign w:val="center"/>
            <w:textDirection w:val="lrTb"/>
            <w:noWrap w:val="false"/>
          </w:tcPr>
          <w:p>
            <w:pPr>
              <w:ind w:left="0" w:right="0" w:firstLine="0"/>
              <w:jc w:val="center"/>
              <w:rPr>
                <w:rFonts w:hint="eastAsia" w:asciiTheme="minorEastAsia" w:hAnsiTheme="minorEastAsia" w:eastAsiaTheme="minorEastAsia" w:cstheme="minorEastAsia"/>
                <w:b w:val="0"/>
                <w:bCs w:val="0"/>
                <w:sz w:val="20"/>
                <w:szCs w:val="20"/>
              </w:rPr>
            </w:pPr>
            <w:r>
              <w:rPr>
                <w:b w:val="0"/>
                <w:bCs w:val="0"/>
                <w:sz w:val="20"/>
                <w:szCs w:val="20"/>
              </w:rPr>
            </w:r>
            <w:r>
              <w:rPr>
                <w:rFonts w:ascii="SimSun" w:hAnsi="SimSun" w:eastAsia="SimSun" w:cs="SimSun"/>
                <w:b w:val="0"/>
                <w:bCs w:val="0"/>
                <w:color w:val="000000"/>
                <w:sz w:val="20"/>
                <w:szCs w:val="20"/>
              </w:rPr>
              <w:t xml:space="preserve">具有独立承担民事责任的能力</w:t>
            </w:r>
            <w:r>
              <w:rPr>
                <w:sz w:val="20"/>
                <w:szCs w:val="20"/>
              </w:rPr>
            </w:r>
            <w:r/>
          </w:p>
        </w:tc>
        <w:tc>
          <w:tcPr>
            <w:tcW w:w="5261" w:type="dxa"/>
            <w:vAlign w:val="center"/>
            <w:textDirection w:val="lrTb"/>
            <w:noWrap w:val="false"/>
          </w:tcPr>
          <w:p>
            <w:pPr>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提供了有效的营业执照或事业单位法人登记证书原件扫描件</w:t>
            </w:r>
            <w:r>
              <w:rPr>
                <w:rFonts w:hint="eastAsia" w:asciiTheme="minorEastAsia" w:hAnsiTheme="minorEastAsia" w:eastAsiaTheme="minorEastAsia" w:cstheme="minorEastAsia"/>
                <w:sz w:val="20"/>
                <w:szCs w:val="20"/>
                <w:lang w:eastAsia="zh-CN"/>
              </w:rPr>
              <w:t xml:space="preserve">（</w:t>
            </w:r>
            <w:r>
              <w:rPr>
                <w:rFonts w:hint="eastAsia" w:asciiTheme="minorEastAsia" w:hAnsiTheme="minorEastAsia" w:eastAsiaTheme="minorEastAsia" w:cstheme="minorEastAsia"/>
                <w:sz w:val="20"/>
                <w:szCs w:val="20"/>
                <w:lang w:val="en-US" w:eastAsia="zh-CN"/>
              </w:rPr>
              <w:t xml:space="preserve">或电子证书</w:t>
            </w:r>
            <w:r>
              <w:rPr>
                <w:rFonts w:hint="eastAsia" w:asciiTheme="minorEastAsia" w:hAnsiTheme="minorEastAsia" w:eastAsiaTheme="minorEastAsia" w:cstheme="minorEastAsia"/>
                <w:sz w:val="20"/>
                <w:szCs w:val="20"/>
                <w:lang w:eastAsia="zh-CN"/>
              </w:rPr>
              <w:t xml:space="preserve">）</w:t>
            </w:r>
            <w:r>
              <w:rPr>
                <w:rFonts w:hint="eastAsia" w:asciiTheme="minorEastAsia" w:hAnsiTheme="minorEastAsia" w:eastAsiaTheme="minorEastAsia" w:cstheme="minorEastAsia"/>
                <w:sz w:val="20"/>
                <w:szCs w:val="20"/>
              </w:rPr>
              <w:t xml:space="preserve">。</w:t>
            </w:r>
            <w:r>
              <w:rPr>
                <w:sz w:val="20"/>
                <w:szCs w:val="20"/>
              </w:rPr>
            </w:r>
            <w:r/>
          </w:p>
        </w:tc>
      </w:tr>
      <w:tr>
        <w:trPr>
          <w:jc w:val="center"/>
          <w:trHeight w:val="480"/>
        </w:trPr>
        <w:tc>
          <w:tcPr>
            <w:tcW w:w="730" w:type="dxa"/>
            <w:vAlign w:val="center"/>
            <w:textDirection w:val="lrTb"/>
            <w:noWrap w:val="false"/>
          </w:tcPr>
          <w:p>
            <w:pPr>
              <w:ind w:left="0" w:right="0" w:firstLine="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2</w:t>
            </w:r>
            <w:r>
              <w:rPr>
                <w:sz w:val="20"/>
                <w:szCs w:val="20"/>
              </w:rPr>
            </w:r>
            <w:r/>
          </w:p>
        </w:tc>
        <w:tc>
          <w:tcPr>
            <w:tcW w:w="3289" w:type="dxa"/>
            <w:vAlign w:val="center"/>
            <w:textDirection w:val="lrTb"/>
            <w:noWrap w:val="false"/>
          </w:tcPr>
          <w:p>
            <w:pPr>
              <w:ind w:left="0" w:right="0" w:firstLine="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基本资格条件声明函</w:t>
            </w:r>
            <w:r>
              <w:rPr>
                <w:sz w:val="20"/>
                <w:szCs w:val="20"/>
              </w:rPr>
            </w:r>
            <w:r/>
          </w:p>
        </w:tc>
        <w:tc>
          <w:tcPr>
            <w:tcW w:w="5261" w:type="dxa"/>
            <w:vAlign w:val="center"/>
            <w:textDirection w:val="lrTb"/>
            <w:noWrap w:val="false"/>
          </w:tcPr>
          <w:p>
            <w:pPr>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按投标文件格式要求提供了《基本资格条件声明函》。</w:t>
            </w:r>
            <w:r>
              <w:rPr>
                <w:sz w:val="20"/>
                <w:szCs w:val="20"/>
              </w:rPr>
            </w:r>
            <w:r/>
          </w:p>
        </w:tc>
      </w:tr>
      <w:tr>
        <w:trPr>
          <w:jc w:val="center"/>
          <w:trHeight w:val="1561"/>
        </w:trPr>
        <w:tc>
          <w:tcPr>
            <w:tcW w:w="730" w:type="dxa"/>
            <w:vAlign w:val="center"/>
            <w:textDirection w:val="lrTb"/>
            <w:noWrap w:val="false"/>
          </w:tcPr>
          <w:p>
            <w:pPr>
              <w:ind w:left="0" w:right="0" w:firstLine="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3</w:t>
            </w:r>
            <w:r>
              <w:rPr>
                <w:sz w:val="20"/>
                <w:szCs w:val="20"/>
              </w:rPr>
            </w:r>
            <w:r/>
          </w:p>
        </w:tc>
        <w:tc>
          <w:tcPr>
            <w:tcW w:w="3289" w:type="dxa"/>
            <w:vAlign w:val="center"/>
            <w:textDirection w:val="lrTb"/>
            <w:noWrap w:val="false"/>
          </w:tcPr>
          <w:p>
            <w:pPr>
              <w:ind w:left="0" w:right="0" w:firstLine="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特定资格条件</w:t>
            </w:r>
            <w:r>
              <w:rPr>
                <w:sz w:val="20"/>
                <w:szCs w:val="20"/>
              </w:rPr>
            </w:r>
            <w:r/>
          </w:p>
        </w:tc>
        <w:tc>
          <w:tcPr>
            <w:tcW w:w="5261" w:type="dxa"/>
            <w:vAlign w:val="center"/>
            <w:textDirection w:val="lrTb"/>
            <w:noWrap w:val="false"/>
          </w:tcPr>
          <w:p>
            <w:pPr>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投标人</w:t>
            </w:r>
            <w:r>
              <w:rPr>
                <w:rFonts w:hint="eastAsia" w:asciiTheme="minorEastAsia" w:hAnsiTheme="minorEastAsia" w:eastAsiaTheme="minorEastAsia" w:cstheme="minorEastAsia"/>
                <w:sz w:val="20"/>
                <w:szCs w:val="20"/>
                <w:lang w:val="en-US" w:eastAsia="zh-CN"/>
              </w:rPr>
              <w:t xml:space="preserve">若</w:t>
            </w:r>
            <w:r>
              <w:rPr>
                <w:rFonts w:hint="eastAsia" w:asciiTheme="minorEastAsia" w:hAnsiTheme="minorEastAsia" w:eastAsiaTheme="minorEastAsia" w:cstheme="minorEastAsia"/>
                <w:sz w:val="20"/>
                <w:szCs w:val="20"/>
              </w:rPr>
              <w:t xml:space="preserve">为产品制造商（注册人/备案人）且销售自产产品的，提供了有效的《医疗器械生产许可证》（许可范围包含投标产品）及产品注册证（</w:t>
            </w:r>
            <w:r>
              <w:rPr>
                <w:rFonts w:hint="eastAsia" w:asciiTheme="minorEastAsia" w:hAnsiTheme="minorEastAsia" w:eastAsiaTheme="minorEastAsia" w:cstheme="minorEastAsia"/>
                <w:sz w:val="20"/>
                <w:szCs w:val="20"/>
              </w:rPr>
              <w:t xml:space="preserve">与</w:t>
            </w:r>
            <w:r>
              <w:rPr>
                <w:rFonts w:hint="eastAsia" w:asciiTheme="minorEastAsia" w:hAnsiTheme="minorEastAsia" w:eastAsiaTheme="minorEastAsia" w:cstheme="minorEastAsia"/>
                <w:sz w:val="20"/>
                <w:szCs w:val="20"/>
              </w:rPr>
              <w:t xml:space="preserve">投标产品</w:t>
            </w:r>
            <w:r>
              <w:rPr>
                <w:rFonts w:hint="eastAsia" w:asciiTheme="minorEastAsia" w:hAnsiTheme="minorEastAsia" w:eastAsiaTheme="minorEastAsia" w:cstheme="minorEastAsia"/>
                <w:sz w:val="20"/>
                <w:szCs w:val="20"/>
              </w:rPr>
              <w:t xml:space="preserve">一致</w:t>
            </w:r>
            <w:r>
              <w:rPr>
                <w:rFonts w:hint="eastAsia" w:asciiTheme="minorEastAsia" w:hAnsiTheme="minorEastAsia" w:eastAsiaTheme="minorEastAsia" w:cstheme="minorEastAsia"/>
                <w:sz w:val="20"/>
                <w:szCs w:val="20"/>
              </w:rPr>
              <w:t xml:space="preserve">）；投标人</w:t>
            </w:r>
            <w:r>
              <w:rPr>
                <w:rFonts w:hint="eastAsia" w:asciiTheme="minorEastAsia" w:hAnsiTheme="minorEastAsia" w:eastAsiaTheme="minorEastAsia" w:cstheme="minorEastAsia"/>
                <w:sz w:val="20"/>
                <w:szCs w:val="20"/>
                <w:lang w:val="en-US" w:eastAsia="zh-CN"/>
              </w:rPr>
              <w:t xml:space="preserve">若</w:t>
            </w:r>
            <w:r>
              <w:rPr>
                <w:rFonts w:hint="eastAsia" w:asciiTheme="minorEastAsia" w:hAnsiTheme="minorEastAsia" w:eastAsiaTheme="minorEastAsia" w:cstheme="minorEastAsia"/>
                <w:sz w:val="20"/>
                <w:szCs w:val="20"/>
              </w:rPr>
              <w:t xml:space="preserve">为非投标产品制造商的须提供了自身有效的《医疗器械经营许可证》（许可范围包含投标产品）（</w:t>
            </w:r>
            <w:r>
              <w:rPr>
                <w:rFonts w:hint="eastAsia" w:asciiTheme="minorEastAsia" w:hAnsiTheme="minorEastAsia" w:eastAsiaTheme="minorEastAsia" w:cstheme="minorEastAsia"/>
                <w:sz w:val="20"/>
                <w:szCs w:val="20"/>
              </w:rPr>
              <w:t xml:space="preserve">提供了</w:t>
            </w:r>
            <w:r>
              <w:rPr>
                <w:rFonts w:hint="eastAsia" w:asciiTheme="minorEastAsia" w:hAnsiTheme="minorEastAsia" w:eastAsiaTheme="minorEastAsia" w:cstheme="minorEastAsia"/>
                <w:sz w:val="20"/>
                <w:szCs w:val="20"/>
              </w:rPr>
              <w:t xml:space="preserve">相关</w:t>
            </w:r>
            <w:r>
              <w:rPr>
                <w:rFonts w:hint="eastAsia" w:asciiTheme="minorEastAsia" w:hAnsiTheme="minorEastAsia" w:eastAsiaTheme="minorEastAsia" w:cstheme="minorEastAsia"/>
                <w:sz w:val="20"/>
                <w:szCs w:val="20"/>
              </w:rPr>
              <w:t xml:space="preserve">证书</w:t>
            </w:r>
            <w:r>
              <w:rPr>
                <w:rFonts w:hint="eastAsia" w:asciiTheme="minorEastAsia" w:hAnsiTheme="minorEastAsia" w:eastAsiaTheme="minorEastAsia" w:cstheme="minorEastAsia"/>
                <w:sz w:val="20"/>
                <w:szCs w:val="20"/>
              </w:rPr>
              <w:t xml:space="preserve">原件扫描件</w:t>
            </w:r>
            <w:r>
              <w:rPr>
                <w:rFonts w:hint="eastAsia" w:asciiTheme="minorEastAsia" w:hAnsiTheme="minorEastAsia" w:eastAsiaTheme="minorEastAsia" w:cstheme="minorEastAsia"/>
                <w:sz w:val="20"/>
                <w:szCs w:val="20"/>
              </w:rPr>
              <w:t xml:space="preserve">）</w:t>
            </w:r>
            <w:r>
              <w:rPr>
                <w:rFonts w:hint="eastAsia" w:asciiTheme="minorEastAsia" w:hAnsiTheme="minorEastAsia" w:eastAsiaTheme="minorEastAsia" w:cstheme="minorEastAsia"/>
                <w:sz w:val="20"/>
                <w:szCs w:val="20"/>
              </w:rPr>
              <w:t xml:space="preserve">。</w:t>
            </w:r>
            <w:r>
              <w:rPr>
                <w:sz w:val="20"/>
                <w:szCs w:val="20"/>
              </w:rPr>
            </w:r>
            <w:r/>
          </w:p>
        </w:tc>
      </w:tr>
      <w:tr>
        <w:trPr>
          <w:jc w:val="center"/>
          <w:trHeight w:val="480"/>
        </w:trPr>
        <w:tc>
          <w:tcPr>
            <w:tcW w:w="730" w:type="dxa"/>
            <w:vAlign w:val="center"/>
            <w:vMerge w:val="restart"/>
            <w:textDirection w:val="lrTb"/>
            <w:noWrap w:val="false"/>
          </w:tcPr>
          <w:p>
            <w:pPr>
              <w:ind w:left="0" w:right="0" w:firstLine="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4</w:t>
            </w:r>
            <w:r>
              <w:rPr>
                <w:sz w:val="20"/>
                <w:szCs w:val="20"/>
              </w:rPr>
            </w:r>
            <w:r/>
          </w:p>
        </w:tc>
        <w:tc>
          <w:tcPr>
            <w:tcW w:w="3289" w:type="dxa"/>
            <w:vAlign w:val="center"/>
            <w:vMerge w:val="restart"/>
            <w:textDirection w:val="lrTb"/>
            <w:noWrap w:val="false"/>
          </w:tcPr>
          <w:p>
            <w:pPr>
              <w:ind w:left="0" w:right="0" w:firstLine="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其他条件</w:t>
            </w:r>
            <w:r>
              <w:rPr>
                <w:sz w:val="20"/>
                <w:szCs w:val="20"/>
              </w:rPr>
            </w:r>
            <w:r/>
          </w:p>
        </w:tc>
        <w:tc>
          <w:tcPr>
            <w:tcW w:w="5261" w:type="dxa"/>
            <w:vAlign w:val="center"/>
            <w:textDirection w:val="lrTb"/>
            <w:noWrap w:val="false"/>
          </w:tcPr>
          <w:p>
            <w:pPr>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按投标文件格式要求提供了《非联合体投标声明函》。</w:t>
            </w:r>
            <w:r>
              <w:rPr>
                <w:sz w:val="20"/>
                <w:szCs w:val="20"/>
              </w:rPr>
            </w:r>
            <w:r/>
          </w:p>
        </w:tc>
      </w:tr>
      <w:tr>
        <w:trPr>
          <w:jc w:val="center"/>
          <w:trHeight w:val="470"/>
        </w:trPr>
        <w:tc>
          <w:tcPr>
            <w:tcW w:w="730" w:type="dxa"/>
            <w:vAlign w:val="center"/>
            <w:vMerge w:val="continue"/>
            <w:textDirection w:val="lrTb"/>
            <w:noWrap w:val="false"/>
          </w:tcPr>
          <w:p>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3289" w:type="dxa"/>
            <w:vAlign w:val="center"/>
            <w:vMerge w:val="continue"/>
            <w:textDirection w:val="lrTb"/>
            <w:noWrap w:val="false"/>
          </w:tcPr>
          <w:p>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5261" w:type="dxa"/>
            <w:vAlign w:val="center"/>
            <w:textDirection w:val="lrTb"/>
            <w:noWrap w:val="false"/>
          </w:tcPr>
          <w:p>
            <w:pPr>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按投标文件格式要求提供了《政府采购诚信投标承诺书》。</w:t>
            </w:r>
            <w:r>
              <w:rPr>
                <w:sz w:val="20"/>
                <w:szCs w:val="20"/>
              </w:rPr>
            </w:r>
            <w:r/>
          </w:p>
        </w:tc>
      </w:tr>
    </w:tbl>
    <w:p>
      <w:pPr>
        <w:ind w:firstLine="442"/>
        <w:spacing w:line="360" w:lineRule="auto"/>
        <w:rPr>
          <w:rFonts w:ascii="黑体" w:hAnsi="黑体" w:eastAsia="黑体" w:cs="宋体"/>
          <w:b/>
          <w:bCs/>
          <w:sz w:val="22"/>
        </w:rPr>
      </w:pPr>
      <w:r>
        <w:rPr>
          <w:rFonts w:hint="eastAsia" w:ascii="黑体" w:hAnsi="黑体" w:eastAsia="黑体" w:cs="宋体"/>
          <w:b/>
          <w:bCs/>
          <w:sz w:val="22"/>
        </w:rPr>
        <w:t xml:space="preserve">2.2 未能通过资格审查的供应商投标文件作无效投标文件处理，其投标文件不再提交评标委员会进行评标。</w:t>
      </w:r>
      <w:r/>
    </w:p>
    <w:p>
      <w:pPr>
        <w:spacing w:line="360" w:lineRule="auto"/>
        <w:rPr>
          <w:rFonts w:ascii="黑体" w:hAnsi="黑体" w:eastAsia="黑体" w:cs="宋体"/>
          <w:b/>
          <w:bCs/>
          <w:sz w:val="22"/>
        </w:rPr>
      </w:pPr>
      <w:r>
        <w:rPr>
          <w:rFonts w:hint="eastAsia" w:ascii="黑体" w:hAnsi="黑体" w:eastAsia="黑体" w:cs="宋体"/>
          <w:b/>
          <w:bCs/>
          <w:sz w:val="22"/>
        </w:rPr>
        <w:t xml:space="preserve">3．澄清、说明或者补正</w:t>
      </w:r>
      <w:r/>
    </w:p>
    <w:p>
      <w:pPr>
        <w:ind w:firstLine="440"/>
        <w:spacing w:line="360" w:lineRule="auto"/>
        <w:rPr>
          <w:rFonts w:ascii="宋体" w:hAnsi="宋体" w:cs="宋体"/>
          <w:sz w:val="22"/>
        </w:rPr>
      </w:pPr>
      <w:r>
        <w:rPr>
          <w:rFonts w:hint="eastAsia" w:ascii="宋体" w:hAnsi="宋体" w:cs="宋体"/>
          <w:sz w:val="22"/>
        </w:rPr>
        <w:t xml:space="preserve">3.1在资格审查过程中，资格评审小组可以通过【询标】按钮要求投标人对所提交的资格证明文件中不明确的内容进行必要的澄清、说明或者补正。</w:t>
      </w:r>
      <w:r/>
    </w:p>
    <w:p>
      <w:pPr>
        <w:ind w:firstLine="440"/>
        <w:spacing w:line="360" w:lineRule="auto"/>
        <w:rPr>
          <w:rFonts w:ascii="宋体" w:hAnsi="宋体" w:cs="宋体"/>
          <w:sz w:val="22"/>
        </w:rPr>
      </w:pPr>
      <w:r>
        <w:rPr>
          <w:rFonts w:hint="eastAsia" w:ascii="宋体" w:hAnsi="宋体" w:cs="宋体"/>
          <w:sz w:val="22"/>
        </w:rPr>
        <w:t xml:space="preserve">3.2.2 投标人在收到【询问函】后，应在规定的时长内完成【询问反馈】并签章。投标人的澄清、说明或者补正不得超出投标文件的范围或者改变投标文件的实质性内容。澄清、说明或者补正不得改变资格证明文件的实质性内容。投标人的澄清、说明或者补正内容属于投标文件的组成部分。</w:t>
      </w:r>
      <w:r/>
    </w:p>
    <w:p>
      <w:pPr>
        <w:ind w:firstLine="440"/>
        <w:spacing w:line="360" w:lineRule="auto"/>
        <w:rPr>
          <w:rFonts w:ascii="宋体" w:hAnsi="宋体" w:cs="宋体"/>
          <w:sz w:val="22"/>
        </w:rPr>
      </w:pPr>
      <w:r>
        <w:rPr>
          <w:rFonts w:hint="eastAsia" w:ascii="宋体" w:hAnsi="宋体" w:cs="宋体"/>
          <w:sz w:val="22"/>
        </w:rPr>
        <w:t xml:space="preserve">3.2 资格评审小组不接受投标人主动提出的澄清、说明或者补正。投标人不按资格评审小组的要求澄清、说明或补正的，资格评审小组将否决其投标。</w:t>
      </w:r>
      <w:r/>
    </w:p>
    <w:p>
      <w:pPr>
        <w:spacing w:line="360" w:lineRule="auto"/>
        <w:rPr>
          <w:rFonts w:ascii="黑体" w:hAnsi="黑体" w:eastAsia="黑体" w:cs="宋体"/>
          <w:b/>
          <w:bCs/>
          <w:sz w:val="22"/>
        </w:rPr>
      </w:pPr>
      <w:r>
        <w:rPr>
          <w:rFonts w:hint="eastAsia" w:ascii="黑体" w:hAnsi="黑体" w:eastAsia="黑体" w:cs="宋体"/>
          <w:b/>
          <w:bCs/>
          <w:sz w:val="22"/>
        </w:rPr>
        <w:t xml:space="preserve">4.审查结果</w:t>
      </w:r>
      <w:r/>
    </w:p>
    <w:p>
      <w:pPr>
        <w:pStyle w:val="692"/>
      </w:pPr>
      <w:r>
        <w:rPr>
          <w:rFonts w:hint="eastAsia"/>
        </w:rPr>
        <w:t xml:space="preserve">4.1 资格评审小组完成资格审查后，确定通过资格审查的投标人名单，并编制书面资格审查报告。</w:t>
      </w:r>
      <w:r/>
    </w:p>
    <w:p>
      <w:pPr>
        <w:ind w:firstLine="440"/>
        <w:spacing w:line="360" w:lineRule="auto"/>
        <w:rPr>
          <w:rFonts w:ascii="宋体" w:hAnsi="宋体" w:cs="宋体"/>
          <w:sz w:val="22"/>
        </w:rPr>
      </w:pPr>
      <w:r>
        <w:rPr>
          <w:rFonts w:hint="eastAsia" w:ascii="宋体" w:hAnsi="宋体" w:cs="宋体"/>
          <w:sz w:val="22"/>
        </w:rPr>
        <w:t xml:space="preserve">4.2 通过资格审查的投标人数量不足3个的，不再进行评标。 </w:t>
      </w:r>
      <w:r/>
    </w:p>
    <w:p>
      <w:pPr>
        <w:pStyle w:val="917"/>
        <w:jc w:val="center"/>
        <w:spacing w:after="20" w:line="240" w:lineRule="auto"/>
        <w:rPr>
          <w:rFonts w:ascii="微软雅黑" w:hAnsi="微软雅黑" w:eastAsia="微软雅黑" w:cs="微软雅黑"/>
          <w:b w:val="0"/>
          <w:bCs w:val="0"/>
          <w:sz w:val="36"/>
          <w:szCs w:val="36"/>
        </w:rPr>
      </w:pPr>
      <w:r/>
      <w:bookmarkStart w:id="118" w:name="_Toc152268441"/>
      <w:r>
        <w:rPr>
          <w:rFonts w:hint="eastAsia" w:ascii="微软雅黑" w:hAnsi="微软雅黑" w:eastAsia="微软雅黑" w:cs="微软雅黑"/>
          <w:b w:val="0"/>
          <w:bCs w:val="0"/>
          <w:sz w:val="36"/>
          <w:szCs w:val="36"/>
        </w:rPr>
        <w:t xml:space="preserve">第四章 评标办法</w:t>
      </w:r>
      <w:bookmarkEnd w:id="118"/>
      <w:r/>
      <w:r/>
    </w:p>
    <w:p>
      <w:pPr>
        <w:pStyle w:val="921"/>
        <w:ind w:firstLine="0"/>
        <w:jc w:val="center"/>
        <w:spacing w:before="0" w:after="0" w:line="360" w:lineRule="auto"/>
        <w:rPr>
          <w:sz w:val="28"/>
          <w:szCs w:val="21"/>
        </w:rPr>
      </w:pPr>
      <w:r>
        <w:rPr>
          <w:rFonts w:hint="eastAsia"/>
          <w:sz w:val="28"/>
          <w:szCs w:val="21"/>
        </w:rPr>
        <w:t xml:space="preserve">评标办法前附表</w:t>
      </w:r>
      <w:r/>
    </w:p>
    <w:tbl>
      <w:tblPr>
        <w:tblStyle w:val="681"/>
        <w:tblW w:w="91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285"/>
        <w:gridCol w:w="5946"/>
      </w:tblGrid>
      <w:tr>
        <w:trPr>
          <w:trHeight w:val="482"/>
        </w:trPr>
        <w:tc>
          <w:tcPr>
            <w:gridSpan w:val="2"/>
            <w:tcW w:w="3173" w:type="dxa"/>
            <w:vAlign w:val="center"/>
            <w:textDirection w:val="lrTb"/>
            <w:noWrap w:val="false"/>
          </w:tcPr>
          <w:p>
            <w:pPr>
              <w:ind w:left="0" w:right="0" w:firstLine="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条款号</w:t>
            </w:r>
            <w:r/>
          </w:p>
        </w:tc>
        <w:tc>
          <w:tcPr>
            <w:tcW w:w="5946" w:type="dxa"/>
            <w:vAlign w:val="center"/>
            <w:textDirection w:val="lrTb"/>
            <w:noWrap w:val="false"/>
          </w:tcPr>
          <w:p>
            <w:pPr>
              <w:ind w:left="0" w:right="0" w:firstLine="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评审因素与评审标准</w:t>
            </w:r>
            <w:r/>
          </w:p>
        </w:tc>
      </w:tr>
      <w:tr>
        <w:trPr>
          <w:trHeight w:val="3877"/>
        </w:trPr>
        <w:tc>
          <w:tcPr>
            <w:tcW w:w="888"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2.1.1</w:t>
            </w:r>
            <w:r/>
          </w:p>
        </w:tc>
        <w:tc>
          <w:tcPr>
            <w:tcW w:w="2285"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符</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性</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审</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标</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准</w:t>
            </w:r>
            <w:r/>
          </w:p>
        </w:tc>
        <w:tc>
          <w:tcPr>
            <w:tcW w:w="5946" w:type="dxa"/>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（1）投标文件组成齐全，格式、内容按招标文件的规定，字迹清晰可辩：</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（2）投标文件中单位和个人电子签章齐全，符合招标文件规定；</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（3）投标报价为唯一报价，且未提交选择性报价；</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（4）投标报价未高于采购人的最高限价；</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（5）投标人未提交可调价格的投标报价；</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（6）商务条款响应表中未出现负偏离；</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（7）投标报价分项表中产品品牌、规格/型号、国别及制造商名称填写完整、有效；</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（8）投标产品制造商（注册人/备案人）具备有效的《医疗器械生产企业许可证》（许可范围包含投标产品）和投标产品有效的《医疗器械注册证》；</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rPr>
                <w:rFonts w:ascii="SimSun" w:hAnsi="SimSun" w:eastAsia="SimSun" w:cs="SimSun"/>
                <w:color w:val="000000"/>
                <w:sz w:val="21"/>
              </w:rPr>
              <w:t xml:space="preserve">产品质保期不低于招标文件最低要求</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（10）投标文件未附有采购人不能接受的条件。</w:t>
            </w:r>
            <w:r/>
          </w:p>
        </w:tc>
      </w:tr>
      <w:tr>
        <w:trPr>
          <w:trHeight w:val="474"/>
        </w:trPr>
        <w:tc>
          <w:tcPr>
            <w:tcW w:w="888" w:type="dxa"/>
            <w:vAlign w:val="center"/>
            <w:textDirection w:val="lrTb"/>
            <w:noWrap w:val="false"/>
          </w:tcPr>
          <w:p>
            <w:pPr>
              <w:ind w:left="0" w:right="0" w:firstLine="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条款号</w:t>
            </w:r>
            <w:r/>
          </w:p>
        </w:tc>
        <w:tc>
          <w:tcPr>
            <w:tcW w:w="2285" w:type="dxa"/>
            <w:vAlign w:val="center"/>
            <w:textDirection w:val="lrTb"/>
            <w:noWrap w:val="false"/>
          </w:tcPr>
          <w:p>
            <w:pPr>
              <w:ind w:left="0" w:right="0" w:firstLine="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条款内容</w:t>
            </w:r>
            <w:r/>
          </w:p>
        </w:tc>
        <w:tc>
          <w:tcPr>
            <w:tcW w:w="5946" w:type="dxa"/>
            <w:vAlign w:val="center"/>
            <w:textDirection w:val="lrTb"/>
            <w:noWrap w:val="false"/>
          </w:tcPr>
          <w:p>
            <w:pPr>
              <w:ind w:left="0" w:right="0" w:firstLine="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编列内容</w:t>
            </w:r>
            <w:r/>
          </w:p>
        </w:tc>
      </w:tr>
      <w:tr>
        <w:trPr>
          <w:trHeight w:val="2389"/>
        </w:trPr>
        <w:tc>
          <w:tcPr>
            <w:tcW w:w="888"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2.2.1</w:t>
            </w:r>
            <w:r/>
          </w:p>
        </w:tc>
        <w:tc>
          <w:tcPr>
            <w:tcW w:w="2285"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分值构成</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（总分100分）</w:t>
            </w:r>
            <w:r/>
          </w:p>
        </w:tc>
        <w:tc>
          <w:tcPr>
            <w:tcW w:w="5946"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供货方案：5分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质保措施：5分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售后服务：6分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培训方案：6分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技术响应：36分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同类业绩：6分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 保 期：6分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投标价格：30分</w:t>
            </w:r>
            <w:r/>
          </w:p>
        </w:tc>
      </w:tr>
      <w:tr>
        <w:trPr>
          <w:trHeight w:val="472"/>
        </w:trPr>
        <w:tc>
          <w:tcPr>
            <w:tcW w:w="888" w:type="dxa"/>
            <w:vAlign w:val="center"/>
            <w:textDirection w:val="lrTb"/>
            <w:noWrap w:val="false"/>
          </w:tcPr>
          <w:p>
            <w:pPr>
              <w:ind w:left="0" w:right="0" w:firstLine="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条款号</w:t>
            </w:r>
            <w:r/>
          </w:p>
        </w:tc>
        <w:tc>
          <w:tcPr>
            <w:tcW w:w="2285" w:type="dxa"/>
            <w:vAlign w:val="center"/>
            <w:textDirection w:val="lrTb"/>
            <w:noWrap w:val="false"/>
          </w:tcPr>
          <w:p>
            <w:pPr>
              <w:ind w:left="0" w:right="0" w:firstLine="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评分因素及分值</w:t>
            </w:r>
            <w:r/>
          </w:p>
        </w:tc>
        <w:tc>
          <w:tcPr>
            <w:tcW w:w="5946" w:type="dxa"/>
            <w:vAlign w:val="center"/>
            <w:textDirection w:val="lrTb"/>
            <w:noWrap w:val="false"/>
          </w:tcPr>
          <w:p>
            <w:pPr>
              <w:ind w:left="0" w:right="0" w:firstLine="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评分标准</w:t>
            </w:r>
            <w:r/>
          </w:p>
        </w:tc>
      </w:tr>
      <w:tr>
        <w:trPr>
          <w:trHeight w:val="90"/>
        </w:trPr>
        <w:tc>
          <w:tcPr>
            <w:tcW w:w="888"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2.2.2</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2285"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供货建设方案</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（5分）</w:t>
            </w:r>
            <w:r/>
          </w:p>
        </w:tc>
        <w:tc>
          <w:tcPr>
            <w:tcW w:w="5946"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根据供应商提供的供货方案、保护措施、供货周期、安装调试等各项内容的科学性、合理性、可行性进行评审。</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（1）科学性、合理性、可行性强的，得5分；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（2）科学性、合理性、可行性一般的，得4分；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（3）科学性、合理性、可行性差的，得3分；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（4）不提供不得分。</w:t>
            </w:r>
            <w:r/>
          </w:p>
        </w:tc>
      </w:tr>
      <w:tr>
        <w:trPr>
          <w:trHeight w:val="1794"/>
        </w:trPr>
        <w:tc>
          <w:tcPr>
            <w:tcW w:w="888"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2.2.2</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2285"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质量保证措施</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（5分）</w:t>
            </w:r>
            <w:r/>
          </w:p>
        </w:tc>
        <w:tc>
          <w:tcPr>
            <w:tcW w:w="5946" w:type="dxa"/>
            <w:vAlign w:val="center"/>
            <w:textDirection w:val="lrTb"/>
            <w:noWrap w:val="false"/>
          </w:tcPr>
          <w:p>
            <w:pPr>
              <w:rPr>
                <w:rFonts w:hint="eastAsia" w:asciiTheme="minorEastAsia" w:hAnsiTheme="minorEastAsia" w:eastAsiaTheme="minorEastAsia" w:cstheme="minorEastAsia"/>
                <w:sz w:val="21"/>
                <w:szCs w:val="21"/>
              </w:rPr>
            </w:pPr>
            <w:r>
              <w:rPr>
                <w:rFonts w:ascii="SimSun" w:hAnsi="SimSun" w:eastAsia="SimSun" w:cs="SimSun"/>
                <w:color w:val="000000"/>
                <w:sz w:val="21"/>
              </w:rPr>
              <w:t xml:space="preserve">根据供应商提供的质量体系与过程追溯管理、质量风险管控等质量保证措施的科学性、合理性、可行性进行综合评审</w:t>
            </w:r>
            <w:r>
              <w:rPr>
                <w:rFonts w:ascii="SimSun" w:hAnsi="SimSun" w:eastAsia="SimSun" w:cs="SimSun"/>
                <w:color w:val="000000"/>
                <w:sz w:val="21"/>
              </w:rPr>
              <w:t xml:space="preserve">。</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（1）科学性、合理性、可行性强的，得5分；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（2）科学性、合理性、可行性一般的，得4分；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（3）科学性、合理性、可行性差的，得3分；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（4）不提供不得分。</w:t>
            </w:r>
            <w:r/>
          </w:p>
        </w:tc>
      </w:tr>
      <w:tr>
        <w:trPr>
          <w:trHeight w:val="1982"/>
        </w:trPr>
        <w:tc>
          <w:tcPr>
            <w:tcW w:w="888"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2.2.2</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W w:w="2285"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（6分）</w:t>
            </w:r>
            <w:r/>
          </w:p>
        </w:tc>
        <w:tc>
          <w:tcPr>
            <w:tcW w:w="5946"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根据供应商提供的售后服务方案（售后服务方案包括售后服务网点、易损配件储备及易损配件价格、技术支持等内容）的完整性，可实施性进行综合评审。</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（1）完整性，可实施性强的，得6分；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（2）完整性，可实施性一般的，得4分；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（3）完整性，可实施性差的，得3分；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（4）不提供不得分。</w:t>
            </w:r>
            <w:r/>
          </w:p>
        </w:tc>
      </w:tr>
      <w:tr>
        <w:trPr>
          <w:trHeight w:val="2200"/>
        </w:trPr>
        <w:tc>
          <w:tcPr>
            <w:tcW w:w="888"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2.2.2</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W w:w="2285"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培训方案</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（6分）</w:t>
            </w:r>
            <w:r/>
          </w:p>
        </w:tc>
        <w:tc>
          <w:tcPr>
            <w:tcW w:w="5946"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根据供应商提供的培训方案（培训方案包括：培训人员数量及资质，培训时间与次数，培训课程全面性与合理性，培训团队资质与实力，培训计划完整性与合理性等内容）的完整性、清晰性、合理性进行评审。</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（1）完整性、清晰性、合理性强的，得6分；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（2）完整性、清晰性、合理性一般的，得4分；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（3）完整性、清晰性、合理性差的，得3分；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（4）不提供不得分。</w:t>
            </w:r>
            <w:r/>
          </w:p>
        </w:tc>
      </w:tr>
      <w:tr>
        <w:trPr>
          <w:trHeight w:val="885"/>
        </w:trPr>
        <w:tc>
          <w:tcPr>
            <w:tcW w:w="888"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2.2.2</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shd w:val="clear" w:color="auto" w:fill="auto"/>
            <w:tcW w:w="2285"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技术响应</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（36）</w:t>
            </w:r>
            <w:r/>
          </w:p>
        </w:tc>
        <w:tc>
          <w:tcPr>
            <w:shd w:val="clear" w:color="auto" w:fill="auto"/>
            <w:tcW w:w="5946"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《技术响应表》中加“▲”号技术要求满足招标要求的得2分/项【共12项24分】；非“▲”号技术要求满足招标要求的得1分【共12项12分】。</w:t>
            </w:r>
            <w:r/>
          </w:p>
        </w:tc>
      </w:tr>
      <w:tr>
        <w:trPr>
          <w:trHeight w:val="1097"/>
        </w:trPr>
        <w:tc>
          <w:tcPr>
            <w:shd w:val="clear" w:color="auto" w:fill="auto"/>
            <w:tcW w:w="888"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2.2.2</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W w:w="2285"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同类业绩</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（6分）</w:t>
            </w:r>
            <w:r/>
          </w:p>
        </w:tc>
        <w:tc>
          <w:tcPr>
            <w:tcW w:w="5946"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所投产品（同品牌同类型）自2022年1月1日（合同签订日）以来的销售业绩，毎提供一份业绩合同得1分，本项最多得6分。</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注：需提供与最终用户签订的合同（关键页）原件扫描件。</w:t>
            </w:r>
            <w:r/>
          </w:p>
        </w:tc>
      </w:tr>
      <w:tr>
        <w:trPr>
          <w:trHeight w:val="655"/>
        </w:trPr>
        <w:tc>
          <w:tcPr>
            <w:shd w:val="clear" w:color="auto" w:fill="auto"/>
            <w:tcW w:w="888"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2.2.2</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W w:w="2285"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质保期</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（6分）</w:t>
            </w:r>
            <w:r/>
          </w:p>
        </w:tc>
        <w:tc>
          <w:tcPr>
            <w:tcW w:w="5946"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供应商承诺在采购文件要求的质保期（3年）的基础上，每增加1年质保期</w:t>
            </w:r>
            <w:r>
              <w:rPr>
                <w:rFonts w:hint="eastAsia" w:asciiTheme="minorEastAsia" w:hAnsiTheme="minorEastAsia" w:eastAsiaTheme="minorEastAsia" w:cstheme="minorEastAsia"/>
                <w:sz w:val="21"/>
                <w:szCs w:val="21"/>
              </w:rPr>
              <w:t xml:space="preserve">加</w:t>
            </w:r>
            <w:r>
              <w:rPr>
                <w:rFonts w:hint="eastAsia" w:asciiTheme="minorEastAsia" w:hAnsiTheme="minorEastAsia" w:eastAsiaTheme="minorEastAsia" w:cstheme="minorEastAsia"/>
                <w:sz w:val="21"/>
                <w:szCs w:val="21"/>
              </w:rPr>
              <w:t xml:space="preserve">3分，本项最高得6分。</w:t>
            </w:r>
            <w:r/>
          </w:p>
        </w:tc>
      </w:tr>
      <w:tr>
        <w:trPr>
          <w:trHeight w:val="2362"/>
        </w:trPr>
        <w:tc>
          <w:tcPr>
            <w:tcW w:w="888"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2.2.2</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tcW w:w="2285" w:type="dxa"/>
            <w:vAlign w:val="center"/>
            <w:textDirection w:val="lrTb"/>
            <w:noWrap w:val="false"/>
          </w:tcPr>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投标价格</w:t>
            </w:r>
            <w:r/>
          </w:p>
          <w:p>
            <w:pPr>
              <w:ind w:left="0" w:righ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（30分）</w:t>
            </w:r>
            <w:r/>
          </w:p>
        </w:tc>
        <w:tc>
          <w:tcPr>
            <w:tcW w:w="5946"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价格分采用低价优先法计算，即满足招标文件要求且投标价格最低的投标报价为评标基准价，其价格分为满分。其他投标人的价格分统一按照下列公式计算： </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投标报价得分=（评标基准价/投标报价）×30。</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（1）对符合条件的小型企业或微型企业或残疾人福利性企业或监狱企业，以投标报价扣除10%后的价格参与评审。</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ascii="SimSun" w:hAnsi="SimSun" w:eastAsia="SimSun" w:cs="SimSun"/>
                <w:color w:val="000000"/>
                <w:sz w:val="21"/>
              </w:rPr>
              <w:t xml:space="preserve">既有本国产品又有非本国产品参与竞争的，对</w:t>
            </w:r>
            <w:r>
              <w:rPr>
                <w:rFonts w:ascii="SimSun" w:hAnsi="SimSun" w:eastAsia="SimSun" w:cs="SimSun"/>
                <w:color w:val="000000"/>
                <w:sz w:val="21"/>
              </w:rPr>
              <w:t xml:space="preserve">符合</w:t>
            </w:r>
            <w:r>
              <w:rPr>
                <w:rFonts w:ascii="SimSun" w:hAnsi="SimSun" w:eastAsia="SimSun" w:cs="SimSun"/>
                <w:color w:val="000000"/>
                <w:sz w:val="21"/>
              </w:rPr>
              <w:t xml:space="preserve">本国产品</w:t>
            </w:r>
            <w:r>
              <w:rPr>
                <w:rFonts w:ascii="SimSun" w:hAnsi="SimSun" w:eastAsia="SimSun" w:cs="SimSun"/>
                <w:color w:val="000000"/>
                <w:sz w:val="21"/>
              </w:rPr>
              <w:t xml:space="preserve">标准</w:t>
            </w:r>
            <w:r>
              <w:rPr>
                <w:rFonts w:ascii="SimSun" w:hAnsi="SimSun" w:eastAsia="SimSun" w:cs="SimSun"/>
                <w:color w:val="000000"/>
                <w:sz w:val="21"/>
              </w:rPr>
              <w:t xml:space="preserve">的报价给予20%的价格扣除，用扣除后的价格参与评审</w:t>
            </w:r>
            <w:r>
              <w:rPr>
                <w:rFonts w:ascii="SimHei" w:hAnsi="SimHei" w:eastAsia="SimHei" w:cs="SimHei"/>
                <w:b/>
                <w:color w:val="000000"/>
                <w:sz w:val="22"/>
              </w:rPr>
              <w:t xml:space="preserve">【对医疗器械产品，取得药品监督管理部门授予的准字号医疗器械注册证的，属于在中国境内生产的产品</w:t>
            </w:r>
            <w:r>
              <w:rPr>
                <w:rFonts w:ascii="SimSun" w:hAnsi="SimSun" w:eastAsia="SimSun" w:cs="SimSun"/>
                <w:color w:val="000000"/>
                <w:sz w:val="21"/>
              </w:rPr>
              <w:t xml:space="preserve">】。</w:t>
            </w:r>
            <w:r>
              <w:rPr>
                <w:rFonts w:hint="eastAsia" w:asciiTheme="minorEastAsia" w:hAnsiTheme="minorEastAsia" w:eastAsiaTheme="minorEastAsia" w:cstheme="minorEastAsia"/>
                <w:sz w:val="21"/>
                <w:szCs w:val="21"/>
              </w:rPr>
            </w:r>
            <w:r/>
          </w:p>
        </w:tc>
      </w:tr>
    </w:tbl>
    <w:p>
      <w:r/>
      <w:r/>
    </w:p>
    <w:p>
      <w:r/>
      <w:r/>
    </w:p>
    <w:p>
      <w:r/>
      <w:r/>
    </w:p>
    <w:p>
      <w:r/>
      <w:r/>
    </w:p>
    <w:p>
      <w:r/>
      <w:r/>
    </w:p>
    <w:p>
      <w:r/>
      <w:r/>
    </w:p>
    <w:p>
      <w:r/>
      <w:r/>
    </w:p>
    <w:p>
      <w:r/>
      <w:r/>
    </w:p>
    <w:p>
      <w:r/>
      <w:r/>
    </w:p>
    <w:p>
      <w:r/>
      <w:r/>
    </w:p>
    <w:p>
      <w:r/>
      <w:r/>
    </w:p>
    <w:p>
      <w:r/>
      <w:r/>
    </w:p>
    <w:p>
      <w:r/>
      <w:r/>
    </w:p>
    <w:p>
      <w:r/>
      <w:r/>
    </w:p>
    <w:p>
      <w:r/>
      <w:r/>
    </w:p>
    <w:p>
      <w:r/>
      <w:r/>
    </w:p>
    <w:p>
      <w:pPr>
        <w:pStyle w:val="921"/>
        <w:ind w:firstLine="108"/>
        <w:pageBreakBefore w:val="0"/>
        <w:spacing w:before="0" w:after="0" w:line="520" w:lineRule="exact"/>
        <w:widowControl w:val="off"/>
        <w:rPr>
          <w:rFonts w:ascii="黑体" w:cs="黑体"/>
          <w:b/>
          <w:bCs/>
          <w:sz w:val="22"/>
          <w:szCs w:val="22"/>
        </w:rPr>
      </w:pPr>
      <w:r>
        <w:rPr>
          <w:rFonts w:hint="eastAsia" w:ascii="黑体" w:cs="黑体"/>
          <w:b/>
          <w:bCs/>
          <w:sz w:val="22"/>
          <w:szCs w:val="22"/>
        </w:rPr>
        <w:t xml:space="preserve">1. 评标方法</w:t>
      </w:r>
      <w:bookmarkEnd w:id="112"/>
      <w:r/>
      <w:bookmarkEnd w:id="113"/>
      <w:r/>
      <w:bookmarkEnd w:id="114"/>
      <w:r/>
      <w:r/>
    </w:p>
    <w:p>
      <w:pPr>
        <w:ind w:firstLine="440"/>
        <w:keepLines w:val="0"/>
        <w:keepNext w:val="0"/>
        <w:pageBreakBefore w:val="0"/>
        <w:spacing w:line="520" w:lineRule="exact"/>
        <w:widowControl w:val="off"/>
        <w:rPr>
          <w:rFonts w:ascii="华文中宋" w:hAnsi="华文中宋"/>
          <w:sz w:val="22"/>
        </w:rPr>
      </w:pPr>
      <w:r>
        <w:rPr>
          <w:rFonts w:hint="eastAsia" w:asciiTheme="minorEastAsia" w:hAnsiTheme="minorEastAsia" w:eastAsiaTheme="minorEastAsia" w:cstheme="minorEastAsia"/>
          <w:sz w:val="22"/>
        </w:rPr>
        <w:t xml:space="preserve">本次评标采用综合评分法。评标委员会对满足招标文件实质性要求的投标文件，按照本章第2.2款规定的评分标准进行打分，并按得分由高到低顺序推荐中标候选人。得分相同的，按投标报价由低到高顺序排列；得分且投标报价相同的并列。</w:t>
      </w:r>
      <w:r/>
    </w:p>
    <w:p>
      <w:pPr>
        <w:pStyle w:val="921"/>
        <w:ind w:firstLine="108"/>
        <w:pageBreakBefore w:val="0"/>
        <w:spacing w:before="0" w:after="0" w:line="520" w:lineRule="exact"/>
        <w:widowControl w:val="off"/>
        <w:rPr>
          <w:rFonts w:ascii="黑体" w:cs="黑体"/>
          <w:b/>
          <w:bCs/>
          <w:sz w:val="22"/>
          <w:szCs w:val="22"/>
        </w:rPr>
      </w:pPr>
      <w:r/>
      <w:bookmarkStart w:id="119" w:name="_Toc16894"/>
      <w:r/>
      <w:bookmarkStart w:id="120" w:name="_Toc234382665"/>
      <w:r/>
      <w:bookmarkStart w:id="121" w:name="_Toc1971"/>
      <w:r>
        <w:rPr>
          <w:rFonts w:hint="eastAsia" w:ascii="黑体" w:cs="黑体"/>
          <w:b/>
          <w:bCs/>
          <w:sz w:val="22"/>
          <w:szCs w:val="22"/>
        </w:rPr>
        <w:t xml:space="preserve">2. 评审标准</w:t>
      </w:r>
      <w:bookmarkEnd w:id="119"/>
      <w:r/>
      <w:bookmarkEnd w:id="120"/>
      <w:r/>
      <w:bookmarkEnd w:id="121"/>
      <w:r/>
      <w:r/>
    </w:p>
    <w:p>
      <w:pPr>
        <w:ind w:firstLine="442"/>
        <w:keepLines w:val="0"/>
        <w:keepNext w:val="0"/>
        <w:pageBreakBefore w:val="0"/>
        <w:spacing w:line="520" w:lineRule="exact"/>
        <w:widowControl w:val="off"/>
        <w:rPr>
          <w:rFonts w:ascii="宋体" w:hAnsi="宋体"/>
          <w:b/>
          <w:bCs/>
          <w:sz w:val="22"/>
        </w:rPr>
      </w:pPr>
      <w:r/>
      <w:bookmarkStart w:id="122" w:name="_Toc3536"/>
      <w:r>
        <w:rPr>
          <w:rFonts w:hint="eastAsia" w:ascii="宋体" w:hAnsi="宋体"/>
          <w:b/>
          <w:bCs/>
          <w:sz w:val="22"/>
        </w:rPr>
        <w:t xml:space="preserve">2.1 符合性评审标准</w:t>
      </w:r>
      <w:bookmarkEnd w:id="122"/>
      <w:r/>
      <w:r/>
    </w:p>
    <w:p>
      <w:pPr>
        <w:ind w:firstLine="440"/>
        <w:keepLines w:val="0"/>
        <w:keepNext w:val="0"/>
        <w:pageBreakBefore w:val="0"/>
        <w:spacing w:line="520" w:lineRule="exact"/>
        <w:widowControl w:val="off"/>
        <w:rPr>
          <w:rFonts w:ascii="华文中宋" w:hAnsi="华文中宋"/>
          <w:sz w:val="22"/>
        </w:rPr>
      </w:pPr>
      <w:r>
        <w:rPr>
          <w:rFonts w:hint="eastAsia" w:ascii="华文中宋" w:hAnsi="华文中宋"/>
          <w:sz w:val="22"/>
        </w:rPr>
        <w:t xml:space="preserve">符合性评审标准：</w:t>
      </w:r>
      <w:r>
        <w:rPr>
          <w:rFonts w:ascii="华文中宋" w:hAnsi="华文中宋"/>
          <w:sz w:val="22"/>
        </w:rPr>
        <w:t xml:space="preserve">见评标办法前附表。</w:t>
      </w:r>
      <w:r/>
    </w:p>
    <w:p>
      <w:pPr>
        <w:ind w:firstLine="442"/>
        <w:keepLines w:val="0"/>
        <w:keepNext w:val="0"/>
        <w:pageBreakBefore w:val="0"/>
        <w:spacing w:line="520" w:lineRule="exact"/>
        <w:widowControl w:val="off"/>
        <w:rPr>
          <w:rFonts w:ascii="宋体" w:hAnsi="宋体"/>
          <w:b/>
          <w:bCs/>
          <w:sz w:val="22"/>
        </w:rPr>
      </w:pPr>
      <w:r/>
      <w:bookmarkStart w:id="123" w:name="_Toc23546"/>
      <w:r/>
      <w:bookmarkStart w:id="124" w:name="_Toc29235"/>
      <w:r/>
      <w:bookmarkStart w:id="125" w:name="_Toc234382667"/>
      <w:r>
        <w:rPr>
          <w:rFonts w:ascii="宋体" w:hAnsi="宋体"/>
          <w:b/>
          <w:bCs/>
          <w:sz w:val="22"/>
        </w:rPr>
        <w:t xml:space="preserve">2.</w:t>
      </w:r>
      <w:r>
        <w:rPr>
          <w:rFonts w:hint="eastAsia" w:ascii="宋体" w:hAnsi="宋体"/>
          <w:b/>
          <w:bCs/>
          <w:sz w:val="22"/>
        </w:rPr>
        <w:t xml:space="preserve">2</w:t>
      </w:r>
      <w:r>
        <w:rPr>
          <w:rFonts w:ascii="宋体" w:hAnsi="宋体"/>
          <w:b/>
          <w:bCs/>
          <w:sz w:val="22"/>
        </w:rPr>
        <w:t xml:space="preserve"> 分值构成与评分标准</w:t>
      </w:r>
      <w:bookmarkEnd w:id="123"/>
      <w:r/>
      <w:bookmarkEnd w:id="124"/>
      <w:r/>
      <w:bookmarkEnd w:id="125"/>
      <w:r/>
      <w:r/>
    </w:p>
    <w:p>
      <w:pPr>
        <w:ind w:firstLine="440"/>
        <w:keepLines w:val="0"/>
        <w:keepNext w:val="0"/>
        <w:pageBreakBefore w:val="0"/>
        <w:spacing w:line="520" w:lineRule="exact"/>
        <w:widowControl w:val="off"/>
        <w:rPr>
          <w:rFonts w:ascii="华文中宋" w:hAnsi="华文中宋"/>
          <w:sz w:val="22"/>
        </w:rPr>
      </w:pPr>
      <w:r>
        <w:rPr>
          <w:rFonts w:ascii="华文中宋" w:hAnsi="华文中宋"/>
          <w:sz w:val="22"/>
        </w:rPr>
        <w:t xml:space="preserve">2.</w:t>
      </w:r>
      <w:r>
        <w:rPr>
          <w:rFonts w:hint="eastAsia" w:ascii="华文中宋" w:hAnsi="华文中宋"/>
          <w:sz w:val="22"/>
        </w:rPr>
        <w:t xml:space="preserve">2</w:t>
      </w:r>
      <w:r>
        <w:rPr>
          <w:rFonts w:ascii="华文中宋" w:hAnsi="华文中宋"/>
          <w:sz w:val="22"/>
        </w:rPr>
        <w:t xml:space="preserve">.1 分值构成</w:t>
      </w:r>
      <w:r>
        <w:rPr>
          <w:rFonts w:hint="eastAsia" w:ascii="华文中宋" w:hAnsi="华文中宋"/>
          <w:sz w:val="22"/>
        </w:rPr>
        <w:t xml:space="preserve">：</w:t>
      </w:r>
      <w:r>
        <w:rPr>
          <w:rFonts w:ascii="华文中宋" w:hAnsi="华文中宋"/>
          <w:sz w:val="22"/>
        </w:rPr>
        <w:t xml:space="preserve">见评标办法前附表；</w:t>
      </w:r>
      <w:r/>
    </w:p>
    <w:p>
      <w:pPr>
        <w:ind w:firstLine="440"/>
        <w:keepLines w:val="0"/>
        <w:keepNext w:val="0"/>
        <w:pageBreakBefore w:val="0"/>
        <w:spacing w:line="520" w:lineRule="exact"/>
        <w:widowControl w:val="off"/>
        <w:rPr>
          <w:rFonts w:ascii="华文中宋" w:hAnsi="华文中宋"/>
          <w:sz w:val="22"/>
        </w:rPr>
      </w:pPr>
      <w:r>
        <w:rPr>
          <w:rFonts w:ascii="华文中宋" w:hAnsi="华文中宋"/>
          <w:sz w:val="22"/>
        </w:rPr>
        <w:t xml:space="preserve">2.</w:t>
      </w:r>
      <w:r>
        <w:rPr>
          <w:rFonts w:hint="eastAsia" w:ascii="华文中宋" w:hAnsi="华文中宋"/>
          <w:sz w:val="22"/>
        </w:rPr>
        <w:t xml:space="preserve">2</w:t>
      </w:r>
      <w:r>
        <w:rPr>
          <w:rFonts w:ascii="华文中宋" w:hAnsi="华文中宋"/>
          <w:sz w:val="22"/>
        </w:rPr>
        <w:t xml:space="preserve">.</w:t>
      </w:r>
      <w:r>
        <w:rPr>
          <w:rFonts w:hint="eastAsia" w:ascii="华文中宋" w:hAnsi="华文中宋"/>
          <w:sz w:val="22"/>
        </w:rPr>
        <w:t xml:space="preserve">2 </w:t>
      </w:r>
      <w:r>
        <w:rPr>
          <w:rFonts w:ascii="华文中宋" w:hAnsi="华文中宋"/>
          <w:sz w:val="22"/>
        </w:rPr>
        <w:t xml:space="preserve">评分标准</w:t>
      </w:r>
      <w:r>
        <w:rPr>
          <w:rFonts w:hint="eastAsia" w:ascii="华文中宋" w:hAnsi="华文中宋"/>
          <w:sz w:val="22"/>
        </w:rPr>
        <w:t xml:space="preserve">：</w:t>
      </w:r>
      <w:r>
        <w:rPr>
          <w:rFonts w:ascii="华文中宋" w:hAnsi="华文中宋"/>
          <w:sz w:val="22"/>
        </w:rPr>
        <w:t xml:space="preserve">见评标办法前附表。</w:t>
      </w:r>
      <w:r/>
    </w:p>
    <w:p>
      <w:pPr>
        <w:pStyle w:val="921"/>
        <w:ind w:firstLine="108"/>
        <w:pageBreakBefore w:val="0"/>
        <w:spacing w:before="0" w:after="0" w:line="520" w:lineRule="exact"/>
        <w:widowControl w:val="off"/>
        <w:rPr>
          <w:rFonts w:ascii="黑体" w:cs="黑体"/>
          <w:b/>
          <w:bCs/>
          <w:sz w:val="22"/>
          <w:szCs w:val="22"/>
        </w:rPr>
      </w:pPr>
      <w:r/>
      <w:bookmarkStart w:id="126" w:name="_Toc24010"/>
      <w:r/>
      <w:bookmarkStart w:id="127" w:name="_Toc8953"/>
      <w:r/>
      <w:bookmarkStart w:id="128" w:name="_Toc234382668"/>
      <w:r>
        <w:rPr>
          <w:rFonts w:hint="eastAsia" w:ascii="黑体" w:cs="黑体"/>
          <w:b/>
          <w:bCs/>
          <w:sz w:val="22"/>
          <w:szCs w:val="22"/>
        </w:rPr>
        <w:t xml:space="preserve">3. 评标程序</w:t>
      </w:r>
      <w:bookmarkEnd w:id="126"/>
      <w:r/>
      <w:bookmarkEnd w:id="127"/>
      <w:r/>
      <w:bookmarkEnd w:id="128"/>
      <w:r/>
      <w:r/>
    </w:p>
    <w:p>
      <w:pPr>
        <w:ind w:firstLine="442"/>
        <w:keepLines w:val="0"/>
        <w:keepNext w:val="0"/>
        <w:pageBreakBefore w:val="0"/>
        <w:spacing w:line="520" w:lineRule="exact"/>
        <w:widowControl w:val="off"/>
        <w:rPr>
          <w:rFonts w:hint="eastAsia" w:asciiTheme="minorEastAsia" w:hAnsiTheme="minorEastAsia" w:eastAsiaTheme="minorEastAsia" w:cstheme="minorEastAsia"/>
          <w:sz w:val="22"/>
        </w:rPr>
      </w:pPr>
      <w:r/>
      <w:bookmarkStart w:id="129" w:name="_Toc6644"/>
      <w:r/>
      <w:bookmarkStart w:id="130" w:name="_Toc9836"/>
      <w:r>
        <w:rPr>
          <w:rFonts w:hint="eastAsia" w:asciiTheme="minorEastAsia" w:hAnsiTheme="minorEastAsia" w:eastAsiaTheme="minorEastAsia" w:cstheme="minorEastAsia"/>
          <w:b/>
          <w:bCs/>
          <w:sz w:val="22"/>
        </w:rPr>
        <w:t xml:space="preserve">3.1 符合性评审</w:t>
      </w:r>
      <w:bookmarkEnd w:id="129"/>
      <w:r/>
      <w:bookmarkEnd w:id="130"/>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3.1.1 评标委员会依据本章第2.1项规定的符合性评审标准，对通过资格评审的投标文件进行符合性评审。有一项不符合评审标准的，作无效投标文件处理。</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3.1.2 投标文件报价出现前后不一致的，除招标文件另有规定外，按照下列规定修正：</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（1）投标文件中开标一览表内容与投标文件中相应内容不一致的，以开标一览表为准；</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（2）大写金额和小写金额不一致的，以大写金额为准；</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（3）单价金额小数点或者百分比有明显错位的，以开标一览表的总价为准，并修改单价；</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（4）总价金额与按单价汇总金额不一致的，以单价金额计算结果为准。</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ind w:firstLine="442"/>
        <w:keepLines w:val="0"/>
        <w:keepNext w:val="0"/>
        <w:pageBreakBefore w:val="0"/>
        <w:spacing w:line="520" w:lineRule="exact"/>
        <w:widowControl w:val="off"/>
        <w:rPr>
          <w:rFonts w:hint="eastAsia" w:asciiTheme="minorEastAsia" w:hAnsiTheme="minorEastAsia" w:eastAsiaTheme="minorEastAsia" w:cstheme="minorEastAsia"/>
          <w:b/>
          <w:bCs/>
          <w:sz w:val="22"/>
        </w:rPr>
      </w:pPr>
      <w:r/>
      <w:bookmarkStart w:id="131" w:name="_Toc30764"/>
      <w:r/>
      <w:bookmarkStart w:id="132" w:name="_Toc19739"/>
      <w:r/>
      <w:bookmarkStart w:id="133" w:name="_Toc234382671"/>
      <w:r>
        <w:rPr>
          <w:rFonts w:hint="eastAsia" w:asciiTheme="minorEastAsia" w:hAnsiTheme="minorEastAsia" w:eastAsiaTheme="minorEastAsia" w:cstheme="minorEastAsia"/>
          <w:b/>
          <w:bCs/>
          <w:sz w:val="22"/>
        </w:rPr>
        <w:t xml:space="preserve">3.2 澄清和补正</w:t>
      </w:r>
      <w:bookmarkEnd w:id="131"/>
      <w:r/>
      <w:bookmarkEnd w:id="132"/>
      <w:r/>
      <w:bookmarkEnd w:id="133"/>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3.2.1 对投标文件中含义不明确、同类问题表述不一致或者有明显文字和算术错误的内容，评标委员会可以通过“苏采云”系统【询标】按钮要求投标人作出必要的澄清、说明或者补正。</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3.2.2 投标人在收到评标委员会的【询问函】后，应在规定的时长内完成【询问反馈】并签章。投标人的澄清、说明或者补正不得超出投标文件的范围或者改变投标文件的实质性内容。</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3.2.3 评标委员会不接受投标人主动提出的澄清、说明或补正。</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3.2.4 凡超出招标文件规定的或给采购人带来未曾要求的利益的变化、偏差或其他因素在评标时不予考虑。</w:t>
      </w:r>
      <w:r/>
    </w:p>
    <w:p>
      <w:pPr>
        <w:ind w:firstLine="442"/>
        <w:keepLines w:val="0"/>
        <w:keepNext w:val="0"/>
        <w:pageBreakBefore w:val="0"/>
        <w:spacing w:line="520" w:lineRule="exact"/>
        <w:widowControl w:val="off"/>
        <w:rPr>
          <w:rFonts w:hint="eastAsia" w:asciiTheme="minorEastAsia" w:hAnsiTheme="minorEastAsia" w:eastAsiaTheme="minorEastAsia" w:cstheme="minorEastAsia"/>
          <w:b/>
          <w:bCs/>
          <w:sz w:val="22"/>
        </w:rPr>
      </w:pPr>
      <w:r/>
      <w:bookmarkStart w:id="134" w:name="_Toc234382670"/>
      <w:r/>
      <w:bookmarkStart w:id="135" w:name="_Toc10483"/>
      <w:r/>
      <w:bookmarkStart w:id="136" w:name="_Toc3943"/>
      <w:r>
        <w:rPr>
          <w:rFonts w:hint="eastAsia" w:asciiTheme="minorEastAsia" w:hAnsiTheme="minorEastAsia" w:eastAsiaTheme="minorEastAsia" w:cstheme="minorEastAsia"/>
          <w:b/>
          <w:bCs/>
          <w:sz w:val="22"/>
        </w:rPr>
        <w:t xml:space="preserve">3.3</w:t>
      </w:r>
      <w:bookmarkEnd w:id="134"/>
      <w:r/>
      <w:bookmarkEnd w:id="135"/>
      <w:r/>
      <w:bookmarkEnd w:id="136"/>
      <w:r>
        <w:rPr>
          <w:rFonts w:hint="eastAsia" w:asciiTheme="minorEastAsia" w:hAnsiTheme="minorEastAsia" w:eastAsiaTheme="minorEastAsia" w:cstheme="minorEastAsia"/>
          <w:b/>
          <w:bCs/>
          <w:sz w:val="22"/>
        </w:rPr>
        <w:t xml:space="preserve">详细评审</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3.3.1 异常低价投标审查</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（1）评审中出现下列情形之一的，评审委员会应当启动异常低价投标审查程序：</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a.投标报价低于全部通过符合性审查供应商投标报价平均值50%的，即投标报价&lt;全部通过符合性审查供应商投标报价平均值×50%；</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b.投标报价低于通过符合性审查的次低报价供应商投标报价50%的，即投标报价&lt;通过符合性审查的次低报价供应商投标报价×50%；</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c.投标报价低于采购项目最高限价45%的，即投标报价&lt;采购项目最高限价×45%；</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d.评审委员会基于专业判断，认为供应商报价过低，有可能影响产品质量或者不能诚信履约的其他情形。</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评审委员会启动异常低价投标审查后，属于前述第a项至第d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c项情形，供应商已随投标文件一并提交相关书面说明及必要的证明材料的，在评审现场可不再重复提交。</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3.3.2 评标委员会按本章第2.2款规定的量化因素和分值对通过符合性评审的投标文件进行综合比较和评价，并计算出综合得分。</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3.3.3 投标人的综合得分取评标委员会各成员独立对每个投标人评分的平均值。分值计算保留小数点后两位，小数点后第三位“四舍五入”。</w:t>
      </w:r>
      <w:r/>
    </w:p>
    <w:p>
      <w:pPr>
        <w:ind w:firstLine="442"/>
        <w:keepLines w:val="0"/>
        <w:keepNext w:val="0"/>
        <w:pageBreakBefore w:val="0"/>
        <w:spacing w:line="520" w:lineRule="exact"/>
        <w:widowControl w:val="off"/>
        <w:rPr>
          <w:rFonts w:hint="eastAsia" w:asciiTheme="minorEastAsia" w:hAnsiTheme="minorEastAsia" w:eastAsiaTheme="minorEastAsia" w:cstheme="minorEastAsia"/>
          <w:b/>
          <w:bCs/>
          <w:sz w:val="22"/>
        </w:rPr>
      </w:pPr>
      <w:r/>
      <w:bookmarkStart w:id="137" w:name="_Toc15663"/>
      <w:r>
        <w:rPr>
          <w:rFonts w:hint="eastAsia" w:asciiTheme="minorEastAsia" w:hAnsiTheme="minorEastAsia" w:eastAsiaTheme="minorEastAsia" w:cstheme="minorEastAsia"/>
          <w:b/>
          <w:bCs/>
          <w:sz w:val="22"/>
        </w:rPr>
        <w:t xml:space="preserve">3.4 串通投标认定</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投标人有下列情形之一的，视为投标人串通投标，其投标无效：</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（1）不同投标人的投标文件由同一单位或者个人编制；</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（2）不同投标人委托同一单位或者个人办理投标事宜；</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（3）不同投标人的投标文件载明的项目管理成员或者联系人员为同一人；</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（4）不同投标人的投标文件异常一致或者投标报价呈规律性差异；</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（5）不同投标人的投标文件相互混装。</w:t>
      </w:r>
      <w:r/>
    </w:p>
    <w:p>
      <w:pPr>
        <w:ind w:firstLine="442"/>
        <w:keepLines w:val="0"/>
        <w:keepNext w:val="0"/>
        <w:pageBreakBefore w:val="0"/>
        <w:spacing w:line="520" w:lineRule="exact"/>
        <w:widowControl w:val="off"/>
        <w:rPr>
          <w:rFonts w:hint="eastAsia"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 xml:space="preserve">3.5 评标结果</w:t>
      </w:r>
      <w:bookmarkEnd w:id="137"/>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3.5.1 评标委员会按照得分由高到低的顺序推荐3名中标候选人，并标明排序。</w:t>
      </w:r>
      <w:r/>
    </w:p>
    <w:p>
      <w:pPr>
        <w:ind w:firstLine="440"/>
        <w:keepLines w:val="0"/>
        <w:keepNext w:val="0"/>
        <w:pageBreakBefore w:val="0"/>
        <w:spacing w:line="520" w:lineRule="exact"/>
        <w:widowControl w:val="off"/>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3.5.2 对于核心产品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keepLines w:val="0"/>
        <w:keepNext w:val="0"/>
        <w:pageBreakBefore w:val="0"/>
        <w:spacing w:line="520" w:lineRule="exact"/>
        <w:widowControl w:val="off"/>
        <w:rPr>
          <w:rFonts w:ascii="华文中宋" w:hAnsi="华文中宋"/>
          <w:sz w:val="22"/>
        </w:rPr>
      </w:pPr>
      <w:r>
        <w:rPr>
          <w:rFonts w:hint="eastAsia" w:asciiTheme="minorEastAsia" w:hAnsiTheme="minorEastAsia" w:eastAsiaTheme="minorEastAsia" w:cstheme="minorEastAsia"/>
          <w:sz w:val="22"/>
        </w:rPr>
        <w:t xml:space="preserve">3.5.3 评标委员会完成评标后，应当向采购人提交书面评标报告。</w:t>
      </w:r>
      <w:r/>
    </w:p>
    <w:p>
      <w:pPr>
        <w:ind w:firstLine="440"/>
        <w:jc w:val="left"/>
        <w:spacing w:line="480" w:lineRule="exact"/>
        <w:rPr>
          <w:rFonts w:ascii="宋体" w:hAnsi="宋体"/>
          <w:sz w:val="22"/>
        </w:rPr>
      </w:pPr>
      <w:r>
        <w:rPr>
          <w:rFonts w:ascii="宋体" w:hAnsi="宋体"/>
          <w:sz w:val="22"/>
        </w:rPr>
      </w:r>
      <w:r/>
    </w:p>
    <w:p>
      <w:pPr>
        <w:ind w:firstLine="440"/>
        <w:jc w:val="left"/>
        <w:spacing w:line="480" w:lineRule="exact"/>
        <w:rPr>
          <w:rFonts w:ascii="宋体" w:hAnsi="宋体"/>
          <w:sz w:val="22"/>
        </w:rPr>
      </w:pPr>
      <w:r>
        <w:rPr>
          <w:rFonts w:ascii="宋体" w:hAnsi="宋体"/>
          <w:sz w:val="22"/>
        </w:rPr>
      </w:r>
      <w:r/>
    </w:p>
    <w:p>
      <w:pPr>
        <w:pStyle w:val="683"/>
        <w:rPr>
          <w:sz w:val="22"/>
        </w:rPr>
      </w:pPr>
      <w:r>
        <w:rPr>
          <w:sz w:val="22"/>
        </w:rPr>
      </w:r>
      <w:r/>
    </w:p>
    <w:p>
      <w:pPr>
        <w:pStyle w:val="683"/>
        <w:rPr>
          <w:sz w:val="22"/>
        </w:rPr>
      </w:pPr>
      <w:r>
        <w:rPr>
          <w:sz w:val="22"/>
        </w:rPr>
      </w:r>
      <w:r/>
    </w:p>
    <w:p>
      <w:pPr>
        <w:pStyle w:val="683"/>
        <w:rPr>
          <w:sz w:val="22"/>
        </w:rPr>
      </w:pPr>
      <w:r>
        <w:rPr>
          <w:sz w:val="22"/>
        </w:rPr>
      </w:r>
      <w:r/>
    </w:p>
    <w:p>
      <w:pPr>
        <w:pStyle w:val="683"/>
        <w:rPr>
          <w:sz w:val="22"/>
        </w:rPr>
      </w:pPr>
      <w:r>
        <w:rPr>
          <w:sz w:val="22"/>
        </w:rPr>
      </w:r>
      <w:r/>
    </w:p>
    <w:p>
      <w:pPr>
        <w:pStyle w:val="683"/>
        <w:rPr>
          <w:sz w:val="22"/>
        </w:rPr>
      </w:pPr>
      <w:r>
        <w:rPr>
          <w:sz w:val="22"/>
        </w:rPr>
      </w:r>
      <w:r/>
    </w:p>
    <w:p>
      <w:pPr>
        <w:pStyle w:val="683"/>
        <w:rPr>
          <w:sz w:val="22"/>
        </w:rPr>
      </w:pPr>
      <w:r>
        <w:rPr>
          <w:sz w:val="22"/>
        </w:rPr>
      </w:r>
      <w:r/>
    </w:p>
    <w:p>
      <w:pPr>
        <w:pStyle w:val="683"/>
        <w:rPr>
          <w:sz w:val="22"/>
        </w:rPr>
      </w:pPr>
      <w:r>
        <w:rPr>
          <w:sz w:val="22"/>
        </w:rPr>
      </w:r>
      <w:r/>
    </w:p>
    <w:p>
      <w:pPr>
        <w:pStyle w:val="683"/>
        <w:rPr>
          <w:sz w:val="22"/>
        </w:rPr>
      </w:pPr>
      <w:r>
        <w:rPr>
          <w:sz w:val="22"/>
        </w:rPr>
      </w:r>
      <w:r/>
    </w:p>
    <w:p>
      <w:pPr>
        <w:pStyle w:val="683"/>
        <w:rPr>
          <w:sz w:val="22"/>
        </w:rPr>
      </w:pPr>
      <w:r>
        <w:rPr>
          <w:sz w:val="22"/>
        </w:rPr>
      </w:r>
      <w:r/>
    </w:p>
    <w:p>
      <w:pPr>
        <w:pStyle w:val="683"/>
        <w:rPr>
          <w:sz w:val="22"/>
        </w:rPr>
      </w:pPr>
      <w:r>
        <w:rPr>
          <w:sz w:val="22"/>
        </w:rPr>
      </w:r>
      <w:r/>
    </w:p>
    <w:p>
      <w:pPr>
        <w:pStyle w:val="683"/>
        <w:rPr>
          <w:sz w:val="22"/>
        </w:rPr>
      </w:pPr>
      <w:r>
        <w:rPr>
          <w:sz w:val="22"/>
        </w:rPr>
      </w:r>
      <w:r/>
    </w:p>
    <w:p>
      <w:pPr>
        <w:pStyle w:val="917"/>
        <w:jc w:val="center"/>
        <w:spacing w:after="20" w:line="240" w:lineRule="auto"/>
        <w:rPr>
          <w:rFonts w:ascii="微软雅黑" w:hAnsi="微软雅黑" w:eastAsia="微软雅黑" w:cs="微软雅黑"/>
          <w:b w:val="0"/>
          <w:bCs w:val="0"/>
          <w:sz w:val="36"/>
          <w:szCs w:val="36"/>
        </w:rPr>
      </w:pPr>
      <w:r/>
      <w:bookmarkStart w:id="138" w:name="_Toc32256"/>
      <w:r/>
      <w:bookmarkStart w:id="139" w:name="_Toc152268442"/>
      <w:r>
        <w:rPr>
          <w:rFonts w:hint="eastAsia" w:ascii="微软雅黑" w:hAnsi="微软雅黑" w:eastAsia="微软雅黑" w:cs="微软雅黑"/>
          <w:b w:val="0"/>
          <w:bCs w:val="0"/>
          <w:sz w:val="36"/>
          <w:szCs w:val="36"/>
        </w:rPr>
        <w:t xml:space="preserve">第五章 合同格式及条款</w:t>
      </w:r>
      <w:bookmarkEnd w:id="138"/>
      <w:r/>
      <w:bookmarkEnd w:id="139"/>
      <w:r/>
      <w:r/>
    </w:p>
    <w:p>
      <w:pPr>
        <w:ind w:firstLine="440"/>
        <w:jc w:val="left"/>
        <w:spacing w:line="480" w:lineRule="exact"/>
        <w:rPr>
          <w:rFonts w:ascii="华文中宋" w:hAnsi="华文中宋" w:cs="华文中宋"/>
          <w:sz w:val="22"/>
        </w:rPr>
      </w:pPr>
      <w:r>
        <w:rPr>
          <w:rFonts w:ascii="华文中宋" w:hAnsi="华文中宋" w:cs="华文中宋"/>
          <w:sz w:val="22"/>
        </w:rPr>
      </w:r>
      <w:r/>
    </w:p>
    <w:p>
      <w:pPr>
        <w:ind w:firstLine="442"/>
        <w:jc w:val="left"/>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经公开招标，</w:t>
      </w:r>
      <w:r>
        <w:rPr>
          <w:rFonts w:hint="eastAsia" w:asciiTheme="minorEastAsia" w:hAnsiTheme="minorEastAsia" w:eastAsiaTheme="minorEastAsia" w:cstheme="minorEastAsia"/>
          <w:b/>
          <w:sz w:val="22"/>
          <w:u w:val="single"/>
        </w:rPr>
        <w:t xml:space="preserve">靖江市人民医院</w:t>
      </w:r>
      <w:r>
        <w:rPr>
          <w:rFonts w:hint="eastAsia" w:asciiTheme="minorEastAsia" w:hAnsiTheme="minorEastAsia" w:eastAsiaTheme="minorEastAsia" w:cstheme="minorEastAsia"/>
          <w:sz w:val="22"/>
        </w:rPr>
        <w:t xml:space="preserve">（以下简称“甲方”）、</w:t>
      </w: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（以下简称“乙方”）同意按下述条款和条件签订本合同（以下简称“合同”）：</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1、合同文件</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下列关于设备采购项目（           ）编号（            ）的</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（1）招标文件</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（2）投标文件</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（3）资格证明文件</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（4）中标通知书</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（5）买方、卖方商定的其他必要文件。</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2、合同范围和条件</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本合同的范围和条件与上述合同文件的规定相一致。</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3、设备及数量</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本合同所提供的设备及数量详见卖方提供的供货一览表。</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4、合同金额</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根据上述合同文件要求，合同的总金额（大写）为</w:t>
      </w: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人民币，分项价格在投标在报价表中有明确规定。</w:t>
      </w:r>
      <w:r/>
    </w:p>
    <w:p>
      <w:pPr>
        <w:ind w:firstLine="442"/>
        <w:keepLines w:val="0"/>
        <w:keepNext w:val="0"/>
        <w:pageBreakBefore w:val="0"/>
        <w:spacing w:line="360" w:lineRule="auto"/>
        <w:widowControl w:val="off"/>
        <w:rPr>
          <w:rFonts w:asciiTheme="minorEastAsia" w:hAnsiTheme="minorEastAsia" w:eastAsiaTheme="minorEastAsia" w:cstheme="minorEastAsia"/>
          <w:sz w:val="22"/>
        </w:rPr>
        <w:outlineLvl w:val="0"/>
      </w:pPr>
      <w:r>
        <w:rPr>
          <w:rFonts w:hint="eastAsia" w:asciiTheme="minorEastAsia" w:hAnsiTheme="minorEastAsia" w:eastAsiaTheme="minorEastAsia" w:cstheme="minorEastAsia"/>
          <w:sz w:val="22"/>
        </w:rPr>
        <w:t xml:space="preserve">5、合同纠纷处理</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本合同所涉及的设备在交付验收使用后发生的合同纠纷，由买方、卖方按照《中华人民共和国民法典》有关规定进行处理。</w:t>
      </w:r>
      <w:r/>
    </w:p>
    <w:p>
      <w:pPr>
        <w:ind w:firstLine="442"/>
        <w:keepLines w:val="0"/>
        <w:keepNext w:val="0"/>
        <w:pageBreakBefore w:val="0"/>
        <w:spacing w:line="360" w:lineRule="auto"/>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6、合同详细内容：</w:t>
      </w:r>
      <w:r/>
    </w:p>
    <w:p>
      <w:pPr>
        <w:ind w:firstLine="442"/>
        <w:keepLines w:val="0"/>
        <w:keepNext w:val="0"/>
        <w:pageBreakBefore w:val="0"/>
        <w:spacing w:line="360" w:lineRule="auto"/>
        <w:widowControl w:val="off"/>
        <w:rPr>
          <w:rFonts w:asciiTheme="minorEastAsia" w:hAnsiTheme="minorEastAsia" w:eastAsiaTheme="minorEastAsia" w:cstheme="minorEastAsia"/>
          <w:b/>
          <w:sz w:val="22"/>
        </w:rPr>
        <w:outlineLvl w:val="0"/>
      </w:pPr>
      <w:r>
        <w:rPr>
          <w:rFonts w:hint="eastAsia" w:asciiTheme="minorEastAsia" w:hAnsiTheme="minorEastAsia" w:eastAsiaTheme="minorEastAsia" w:cstheme="minorEastAsia"/>
          <w:sz w:val="22"/>
        </w:rPr>
        <w:t xml:space="preserve">一、</w:t>
      </w:r>
      <w:r>
        <w:rPr>
          <w:rFonts w:hint="eastAsia" w:asciiTheme="minorEastAsia" w:hAnsiTheme="minorEastAsia" w:eastAsiaTheme="minorEastAsia" w:cstheme="minorEastAsia"/>
          <w:b/>
          <w:sz w:val="22"/>
        </w:rPr>
        <w:t xml:space="preserve">设备名称、型号、数量和价格</w:t>
      </w:r>
      <w:r/>
    </w:p>
    <w:tbl>
      <w:tblPr>
        <w:tblStyle w:val="681"/>
        <w:tblW w:w="95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701"/>
        <w:gridCol w:w="1559"/>
        <w:gridCol w:w="1134"/>
        <w:gridCol w:w="1276"/>
        <w:gridCol w:w="1319"/>
        <w:gridCol w:w="1140"/>
      </w:tblGrid>
      <w:tr>
        <w:trPr/>
        <w:tc>
          <w:tcPr>
            <w:tcW w:w="1384"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设备名称</w:t>
            </w:r>
            <w:r/>
          </w:p>
        </w:tc>
        <w:tc>
          <w:tcPr>
            <w:tcW w:w="1701"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产地 制造商</w:t>
            </w:r>
            <w:r/>
          </w:p>
        </w:tc>
        <w:tc>
          <w:tcPr>
            <w:tcW w:w="1559"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规格型号</w:t>
            </w:r>
            <w:r/>
          </w:p>
        </w:tc>
        <w:tc>
          <w:tcPr>
            <w:tcW w:w="1134"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注册证号</w:t>
            </w:r>
            <w:r/>
          </w:p>
        </w:tc>
        <w:tc>
          <w:tcPr>
            <w:tcW w:w="1276"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数量</w:t>
            </w:r>
            <w:r/>
          </w:p>
          <w:p>
            <w:pPr>
              <w:jc w:val="center"/>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及单位</w:t>
            </w:r>
            <w:r/>
          </w:p>
        </w:tc>
        <w:tc>
          <w:tcPr>
            <w:tcW w:w="1319"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单价</w:t>
            </w:r>
            <w:r/>
          </w:p>
          <w:p>
            <w:pPr>
              <w:jc w:val="center"/>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（元）</w:t>
            </w:r>
            <w:r/>
          </w:p>
        </w:tc>
        <w:tc>
          <w:tcPr>
            <w:tcW w:w="1140"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总价</w:t>
            </w:r>
            <w:r/>
          </w:p>
          <w:p>
            <w:pPr>
              <w:jc w:val="center"/>
              <w:spacing w:line="360" w:lineRule="auto"/>
              <w:rPr>
                <w:rFonts w:asciiTheme="minorEastAsia" w:hAnsiTheme="minorEastAsia" w:eastAsiaTheme="minorEastAsia" w:cstheme="minorEastAsia"/>
                <w:sz w:val="22"/>
                <w:u w:val="single"/>
              </w:rPr>
            </w:pPr>
            <w:r>
              <w:rPr>
                <w:rFonts w:hint="eastAsia" w:asciiTheme="minorEastAsia" w:hAnsiTheme="minorEastAsia" w:eastAsiaTheme="minorEastAsia" w:cstheme="minorEastAsia"/>
                <w:sz w:val="22"/>
              </w:rPr>
              <w:t xml:space="preserve">（元）</w:t>
            </w:r>
            <w:r/>
          </w:p>
        </w:tc>
      </w:tr>
      <w:tr>
        <w:trPr>
          <w:trHeight w:val="480"/>
        </w:trPr>
        <w:tc>
          <w:tcPr>
            <w:tcW w:w="1384"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asciiTheme="minorEastAsia" w:hAnsiTheme="minorEastAsia" w:eastAsiaTheme="minorEastAsia" w:cstheme="minorEastAsia"/>
                <w:sz w:val="22"/>
              </w:rPr>
            </w:r>
            <w:r/>
          </w:p>
        </w:tc>
        <w:tc>
          <w:tcPr>
            <w:tcW w:w="1701"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asciiTheme="minorEastAsia" w:hAnsiTheme="minorEastAsia" w:eastAsiaTheme="minorEastAsia" w:cstheme="minorEastAsia"/>
                <w:sz w:val="22"/>
              </w:rPr>
            </w:r>
            <w:r/>
          </w:p>
        </w:tc>
        <w:tc>
          <w:tcPr>
            <w:tcW w:w="1559"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asciiTheme="minorEastAsia" w:hAnsiTheme="minorEastAsia" w:eastAsiaTheme="minorEastAsia" w:cstheme="minorEastAsia"/>
                <w:sz w:val="22"/>
              </w:rPr>
            </w:r>
            <w:r/>
          </w:p>
        </w:tc>
        <w:tc>
          <w:tcPr>
            <w:tcW w:w="1134" w:type="dxa"/>
            <w:textDirection w:val="lrTb"/>
            <w:noWrap w:val="false"/>
          </w:tcPr>
          <w:p>
            <w:pPr>
              <w:jc w:val="center"/>
              <w:spacing w:line="360" w:lineRule="auto"/>
              <w:rPr>
                <w:rFonts w:asciiTheme="minorEastAsia" w:hAnsiTheme="minorEastAsia" w:eastAsiaTheme="minorEastAsia" w:cstheme="minorEastAsia"/>
                <w:sz w:val="22"/>
              </w:rPr>
            </w:pPr>
            <w:r>
              <w:rPr>
                <w:rFonts w:asciiTheme="minorEastAsia" w:hAnsiTheme="minorEastAsia" w:eastAsiaTheme="minorEastAsia" w:cstheme="minorEastAsia"/>
                <w:sz w:val="22"/>
              </w:rPr>
            </w:r>
            <w:r/>
          </w:p>
        </w:tc>
        <w:tc>
          <w:tcPr>
            <w:tcW w:w="1276"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asciiTheme="minorEastAsia" w:hAnsiTheme="minorEastAsia" w:eastAsiaTheme="minorEastAsia" w:cstheme="minorEastAsia"/>
                <w:sz w:val="22"/>
              </w:rPr>
            </w:r>
            <w:r/>
          </w:p>
        </w:tc>
        <w:tc>
          <w:tcPr>
            <w:tcW w:w="1319"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asciiTheme="minorEastAsia" w:hAnsiTheme="minorEastAsia" w:eastAsiaTheme="minorEastAsia" w:cstheme="minorEastAsia"/>
                <w:sz w:val="22"/>
              </w:rPr>
            </w:r>
            <w:r/>
          </w:p>
        </w:tc>
        <w:tc>
          <w:tcPr>
            <w:tcW w:w="1140" w:type="dxa"/>
            <w:vAlign w:val="center"/>
            <w:textDirection w:val="lrTb"/>
            <w:noWrap w:val="false"/>
          </w:tcPr>
          <w:p>
            <w:pPr>
              <w:jc w:val="center"/>
              <w:spacing w:line="360" w:lineRule="auto"/>
              <w:rPr>
                <w:rFonts w:asciiTheme="minorEastAsia" w:hAnsiTheme="minorEastAsia" w:eastAsiaTheme="minorEastAsia" w:cstheme="minorEastAsia"/>
                <w:sz w:val="22"/>
              </w:rPr>
            </w:pPr>
            <w:r>
              <w:rPr>
                <w:rFonts w:asciiTheme="minorEastAsia" w:hAnsiTheme="minorEastAsia" w:eastAsiaTheme="minorEastAsia" w:cstheme="minorEastAsia"/>
                <w:sz w:val="22"/>
              </w:rPr>
            </w:r>
            <w:r/>
          </w:p>
        </w:tc>
      </w:tr>
      <w:tr>
        <w:trPr>
          <w:trHeight w:val="370"/>
        </w:trPr>
        <w:tc>
          <w:tcPr>
            <w:gridSpan w:val="7"/>
            <w:tcW w:w="9513" w:type="dxa"/>
            <w:textDirection w:val="lrTb"/>
            <w:noWrap w:val="false"/>
          </w:tcPr>
          <w:p>
            <w:pPr>
              <w:spacing w:line="360" w:lineRule="auto"/>
              <w:rPr>
                <w:rFonts w:asciiTheme="minorEastAsia" w:hAnsiTheme="minorEastAsia" w:eastAsiaTheme="minorEastAsia" w:cstheme="minorEastAsia"/>
                <w:sz w:val="22"/>
                <w:u w:val="single"/>
              </w:rPr>
            </w:pPr>
            <w:r>
              <w:rPr>
                <w:rFonts w:hint="eastAsia" w:asciiTheme="minorEastAsia" w:hAnsiTheme="minorEastAsia" w:eastAsiaTheme="minorEastAsia" w:cstheme="minorEastAsia"/>
                <w:sz w:val="22"/>
              </w:rPr>
              <w:t xml:space="preserve">总计（大写）：                                     （小写）：   </w:t>
            </w:r>
            <w:r/>
          </w:p>
        </w:tc>
      </w:tr>
    </w:tbl>
    <w:p>
      <w:pPr>
        <w:ind w:left="0" w:firstLine="440"/>
        <w:keepLines w:val="0"/>
        <w:keepNext w:val="0"/>
        <w:pageBreakBefore w:val="0"/>
        <w:spacing w:line="480" w:lineRule="exact"/>
        <w:widowControl w:val="off"/>
        <w:rPr>
          <w:rFonts w:asciiTheme="minorEastAsia" w:hAnsiTheme="minorEastAsia" w:eastAsiaTheme="minorEastAsia" w:cstheme="minorEastAsia"/>
          <w:b/>
          <w:sz w:val="22"/>
        </w:rPr>
      </w:pPr>
      <w:r>
        <w:rPr>
          <w:rFonts w:hint="eastAsia" w:asciiTheme="minorEastAsia" w:hAnsiTheme="minorEastAsia" w:eastAsiaTheme="minorEastAsia" w:cstheme="minorEastAsia"/>
          <w:sz w:val="22"/>
        </w:rPr>
        <w:t xml:space="preserve">二、</w:t>
      </w:r>
      <w:r>
        <w:rPr>
          <w:rFonts w:hint="eastAsia" w:asciiTheme="minorEastAsia" w:hAnsiTheme="minorEastAsia" w:eastAsiaTheme="minorEastAsia" w:cstheme="minorEastAsia"/>
          <w:b/>
          <w:sz w:val="22"/>
        </w:rPr>
        <w:t xml:space="preserve">设备详细配置清单、耗材、配件清单及价格见附件一（盖章）；并附中标通知书。</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b/>
          <w:bCs/>
          <w:sz w:val="22"/>
        </w:rPr>
        <w:t xml:space="preserve">三、付款方式：</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u w:val="single"/>
        </w:rPr>
      </w:pPr>
      <w:r>
        <w:rPr>
          <w:rFonts w:hint="eastAsia" w:asciiTheme="minorEastAsia" w:hAnsiTheme="minorEastAsia" w:eastAsiaTheme="minorEastAsia" w:cstheme="minorEastAsia"/>
          <w:sz w:val="22"/>
          <w:u w:val="single"/>
        </w:rPr>
        <w:t xml:space="preserve">1.合同签订生效后7日内，支付合同价款30%的预付款；</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u w:val="single"/>
        </w:rPr>
      </w:pPr>
      <w:r>
        <w:rPr>
          <w:rFonts w:hint="eastAsia" w:asciiTheme="minorEastAsia" w:hAnsiTheme="minorEastAsia" w:eastAsiaTheme="minorEastAsia" w:cstheme="minorEastAsia"/>
          <w:sz w:val="22"/>
          <w:u w:val="single"/>
        </w:rPr>
        <w:t xml:space="preserve">2.设备安装、调试、验收合格后，凭验收合格报告和发票支付至合同价款的90%；</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u w:val="single"/>
        </w:rPr>
        <w:t xml:space="preserve">3.验收合格满一年后付清余款。</w:t>
      </w:r>
      <w:r>
        <w:rPr>
          <w:rFonts w:hint="eastAsia" w:asciiTheme="minorEastAsia" w:hAnsiTheme="minorEastAsia" w:eastAsiaTheme="minorEastAsia" w:cstheme="minorEastAsia"/>
          <w:sz w:val="22"/>
        </w:rPr>
        <w:t xml:space="preserve">。</w:t>
      </w:r>
      <w:r/>
    </w:p>
    <w:p>
      <w:pPr>
        <w:ind w:left="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b/>
          <w:bCs/>
          <w:sz w:val="22"/>
        </w:rPr>
        <w:t xml:space="preserve">四、交货期：</w:t>
      </w:r>
      <w:r>
        <w:rPr>
          <w:rFonts w:hint="eastAsia" w:asciiTheme="minorEastAsia" w:hAnsiTheme="minorEastAsia" w:eastAsiaTheme="minorEastAsia" w:cstheme="minorEastAsia"/>
          <w:sz w:val="22"/>
        </w:rPr>
        <w:t xml:space="preserve">合同签定之日起</w:t>
      </w: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w:t>
      </w:r>
      <w:r/>
    </w:p>
    <w:p>
      <w:pPr>
        <w:ind w:left="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b/>
          <w:bCs/>
          <w:sz w:val="22"/>
        </w:rPr>
        <w:t xml:space="preserve">五、交货地点：</w:t>
      </w:r>
      <w:r>
        <w:rPr>
          <w:rFonts w:hint="eastAsia" w:asciiTheme="minorEastAsia" w:hAnsiTheme="minorEastAsia" w:eastAsiaTheme="minorEastAsia" w:cstheme="minorEastAsia"/>
          <w:sz w:val="22"/>
        </w:rPr>
        <w:t xml:space="preserve">靖江市人民医院。</w:t>
      </w:r>
      <w:r/>
    </w:p>
    <w:p>
      <w:pPr>
        <w:ind w:left="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b/>
          <w:bCs/>
          <w:sz w:val="22"/>
        </w:rPr>
        <w:t xml:space="preserve">六、质保期：</w:t>
      </w:r>
      <w:r>
        <w:rPr>
          <w:rFonts w:ascii="SimSun" w:hAnsi="SimSun" w:eastAsia="SimSun" w:cs="SimSun"/>
          <w:color w:val="000000"/>
          <w:sz w:val="22"/>
        </w:rPr>
        <w:t xml:space="preserve">上述设备原厂质保期为</w:t>
      </w:r>
      <w:r>
        <w:rPr>
          <w:rFonts w:ascii="SimSun" w:hAnsi="SimSun" w:eastAsia="SimSun" w:cs="SimSun"/>
          <w:color w:val="000000"/>
          <w:sz w:val="22"/>
          <w:u w:val="single"/>
        </w:rPr>
        <w:t xml:space="preserve">     </w:t>
      </w:r>
      <w:r>
        <w:rPr>
          <w:rFonts w:ascii="SimSun" w:hAnsi="SimSun" w:eastAsia="SimSun" w:cs="SimSun"/>
          <w:color w:val="000000"/>
          <w:sz w:val="22"/>
        </w:rPr>
        <w:t xml:space="preserve">年，自验收合格之日起计算。质保期内，因设备自身质量问题发生故障，乙方免费提供上门维修、更换故障零部件、调试服务，免收人工费、差旅费、配件费；人为损坏、操作不当、配套耗材/易损件除外。保修期外乙方对本设备终身负责维修。</w:t>
      </w:r>
      <w:r>
        <w:rPr>
          <w:rFonts w:hint="eastAsia" w:asciiTheme="minorEastAsia" w:hAnsiTheme="minorEastAsia" w:eastAsiaTheme="minorEastAsia" w:cstheme="minorEastAsia"/>
          <w:sz w:val="22"/>
        </w:rPr>
      </w:r>
      <w:r/>
    </w:p>
    <w:p>
      <w:pPr>
        <w:ind w:left="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b/>
          <w:bCs/>
          <w:sz w:val="22"/>
        </w:rPr>
        <w:t xml:space="preserve">七、资质、质量要求及技术标准：</w:t>
      </w:r>
      <w:r/>
    </w:p>
    <w:p>
      <w:pPr>
        <w:ind w:left="0" w:firstLine="440"/>
        <w:keepLines w:val="0"/>
        <w:keepNext w:val="0"/>
        <w:pageBreakBefore w:val="0"/>
        <w:spacing w:line="480" w:lineRule="exact"/>
        <w:widowControl w:val="off"/>
        <w:rPr>
          <w:rFonts w:asciiTheme="minorEastAsia" w:hAnsiTheme="minorEastAsia" w:eastAsiaTheme="minorEastAsia" w:cstheme="minorEastAsia"/>
          <w:b/>
          <w:sz w:val="22"/>
        </w:rPr>
      </w:pPr>
      <w:r>
        <w:rPr>
          <w:rFonts w:hint="eastAsia" w:asciiTheme="minorEastAsia" w:hAnsiTheme="minorEastAsia" w:eastAsiaTheme="minorEastAsia" w:cstheme="minorEastAsia"/>
          <w:sz w:val="22"/>
        </w:rPr>
        <w:t xml:space="preserve">1．特别提醒条款：</w:t>
      </w:r>
      <w:r>
        <w:rPr>
          <w:rFonts w:hint="eastAsia" w:asciiTheme="minorEastAsia" w:hAnsiTheme="minorEastAsia" w:eastAsiaTheme="minorEastAsia" w:cstheme="minorEastAsia"/>
          <w:b/>
          <w:sz w:val="22"/>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乙方保证向甲方提供的设备满足中国国家标准或相关行业标准。根据国家规定，如需要提供3C认证证书和标记的设备及有关配置，必须提供上述证书和标记。供货时还需提供该设备的报关单、商检证明、产品合格证等。</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3．乙方保证所供设备是全新、未使用过的原包装产品，乙方提供的产品出厂日期不早于到货日期</w:t>
      </w:r>
      <w:r>
        <w:rPr>
          <w:rFonts w:hint="eastAsia" w:asciiTheme="minorEastAsia" w:hAnsiTheme="minorEastAsia" w:eastAsiaTheme="minorEastAsia" w:cstheme="minorEastAsia"/>
          <w:b/>
          <w:sz w:val="22"/>
          <w:u w:val="single"/>
        </w:rPr>
        <w:t xml:space="preserve">叁个月</w:t>
      </w:r>
      <w:r>
        <w:rPr>
          <w:rFonts w:hint="eastAsia" w:asciiTheme="minorEastAsia" w:hAnsiTheme="minorEastAsia" w:eastAsiaTheme="minorEastAsia" w:cstheme="minorEastAsia"/>
          <w:sz w:val="22"/>
        </w:rPr>
        <w:t xml:space="preserve">。乙方须保证所供产品质量合格，不得弄虚作假、不得提供假置伪劣产品或任意提供合同外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医疗事故和法律纠纷，乙方承担全部的法律和经济责任。</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4．乙方须免费开放所投产品的所有输入输出接口，并能与采购人现有网络及信息系统对接，如接入第三方系统产生费用，该费用由乙方承担。</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5.乙方保证同型号产品的成交价格为投标日前12个月内本地区的最低价。</w:t>
      </w:r>
      <w:r/>
    </w:p>
    <w:p>
      <w:pPr>
        <w:ind w:left="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b/>
          <w:bCs/>
          <w:sz w:val="22"/>
        </w:rPr>
        <w:t xml:space="preserve">八、设备包装、运输、到货、安装和验收要求：</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设备到货时间，请乙方提前一周通知甲方，以便甲方安排好接收工作。设备到货后，甲方及时通知乙方，乙方接到通知一周内到达现场，负责设备的免费安装和调试。设备安装时，乙方必须事先与甲方的医学装备管理科联系，并与医学装备管理科共同参与，否则引起的一切责任由乙方承担。</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2．如乙方提供的设备设有维修软件密码，乙方应保证无条件地为甲方永久免费打开。</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3．设备安装、调试结束后，甲方对设备试用后进行验收（时间由甲、乙双方商定），乙方免费派工程师到达现场协助验收工作。</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4．保修期自我院验收合格之日算起，保修期外只收配件费，免收人工费。</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5.设备的包装、运输应符合《商品包装政府采购需求标准（试行）》《快递包装政府采购需求标准（试行）》相关标准和要求。</w:t>
      </w:r>
      <w:r/>
    </w:p>
    <w:p>
      <w:pPr>
        <w:ind w:left="0"/>
        <w:keepLines w:val="0"/>
        <w:keepNext w:val="0"/>
        <w:pageBreakBefore w:val="0"/>
        <w:spacing w:line="480" w:lineRule="exact"/>
        <w:widowControl w:val="off"/>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 xml:space="preserve">九、售后服务要求：</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1．确保设备保修期内开机率为95%，如设备故障停机率超过5%（一年按365天计算，每年18天），每超过一天，保修期延长两周。</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如设备发生故障，乙方在接到甲方报修电话后2小时之内响应，24小时内到达甲方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无论在保修期内还是保修期外，乙方必须上门维修，乙方工程师来我院维修本设备，必须事先与我院医学装备管理科取得联系；在维修过程中与甲方工程师共同完成维修工作。否则由此引起的一切责任由乙方负责。</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4．乙方免费提供全套技术资料（中文说明书及光盘、操作流程电子版等），如技术资料不全，甲方有权不支付货款。</w:t>
      </w:r>
      <w:r/>
    </w:p>
    <w:p>
      <w:pPr>
        <w:ind w:left="0" w:firstLine="440"/>
        <w:keepLines w:val="0"/>
        <w:keepNext w:val="0"/>
        <w:pageBreakBefore w:val="0"/>
        <w:spacing w:line="480" w:lineRule="exact"/>
        <w:widowControl w:val="off"/>
        <w:rPr>
          <w:rFonts w:asciiTheme="minorEastAsia" w:hAnsiTheme="minorEastAsia" w:eastAsiaTheme="minorEastAsia" w:cstheme="minorEastAsia"/>
          <w:b/>
          <w:bCs/>
          <w:sz w:val="22"/>
        </w:rPr>
        <w:outlineLvl w:val="0"/>
      </w:pPr>
      <w:r>
        <w:rPr>
          <w:rFonts w:hint="eastAsia" w:asciiTheme="minorEastAsia" w:hAnsiTheme="minorEastAsia" w:eastAsiaTheme="minorEastAsia" w:cstheme="minorEastAsia"/>
          <w:b/>
          <w:bCs/>
          <w:sz w:val="22"/>
        </w:rPr>
        <w:t xml:space="preserve">十、技术培训：</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在安装过程中或安装结束后，乙方工程师或有关人员有义务对甲方工程师和操作人员进行现场维修、保养、操作培训，并提供培训课件PPT，考核试卷，解答甲方人员提出的问题。</w:t>
      </w:r>
      <w:r/>
    </w:p>
    <w:p>
      <w:pPr>
        <w:ind w:left="0" w:firstLine="440"/>
        <w:keepLines w:val="0"/>
        <w:keepNext w:val="0"/>
        <w:pageBreakBefore w:val="0"/>
        <w:spacing w:line="480" w:lineRule="exact"/>
        <w:widowControl w:val="off"/>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 xml:space="preserve">十一、各方的权利与义务</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(一)甲方权利义务</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1.按合同约定支付货款。</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(二)乙方权利义务</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1.负责并自行承担设备采购过程中的所有报价风险。本合同一经签订，乙方任何原因导致的报价漏项、缺项等的后果均由乙方自行承担。</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2.保证所供产品符合合同要求，不得弄虚作假、不得提供假冒伪劣产品或任意提供合同外产品。</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3.服从甲方的规章制度和现场管理，并按照合同要求办理相关设备的到货验收手续。本合同采购设备未办理验收交接手续前，相关资产的风险由乙方承担。</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完善安全质量保证措施，乙方自行承担其服行合同过程产生的所有费用和造成的任何财产和人身损失。乙方及乙方所有员工必须履行安全责任义务，按规范流程提供商品或服务。如因乙方及其员工安全责任或义务履行不到位，引起甲方或合同外其他方人身伤害、机器损毁以及财产损失等，由乙方承担一切后果及责任（包括但不限于赔偿责任及由此对甲方、合同外其他方造成的影响等）。</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本合同一式五份（三份），甲方执四（二）份，乙方执一份。</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协议签署地点:靖江市人民医院</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合同生效及其他</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1.本合同经甲方、乙方双方代表签字盖章后生效。</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2.甲方其他相关科室代表在附件二签字。</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甲方（单位盖章）：</w:t>
      </w:r>
      <w:r>
        <w:rPr>
          <w:rFonts w:hint="eastAsia" w:asciiTheme="minorEastAsia" w:hAnsiTheme="minorEastAsia" w:eastAsiaTheme="minorEastAsia" w:cstheme="minorEastAsia"/>
          <w:b/>
          <w:sz w:val="22"/>
        </w:rPr>
        <w:t xml:space="preserve">靖江市人民医院  </w:t>
      </w:r>
      <w:r>
        <w:rPr>
          <w:rFonts w:hint="eastAsia" w:asciiTheme="minorEastAsia" w:hAnsiTheme="minorEastAsia" w:eastAsiaTheme="minorEastAsia" w:cstheme="minorEastAsia"/>
          <w:sz w:val="22"/>
        </w:rPr>
        <w:t xml:space="preserve">          乙方（单位盖章）：</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asciiTheme="minorEastAsia" w:hAnsiTheme="minorEastAsia" w:eastAsiaTheme="minorEastAsia" w:cstheme="minorEastAsia"/>
          <w:sz w:val="22"/>
        </w:rPr>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甲方代表：                                 乙方代表：</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                                           </w:t>
      </w:r>
      <w:r/>
    </w:p>
    <w:p>
      <w:pPr>
        <w:ind w:left="0" w:firstLine="440"/>
        <w:keepLines w:val="0"/>
        <w:keepNext w:val="0"/>
        <w:pageBreakBefore w:val="0"/>
        <w:spacing w:line="480" w:lineRule="exact"/>
        <w:widowControl w:val="off"/>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年</w:t>
      </w: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月</w:t>
      </w: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日                    </w:t>
      </w: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年</w:t>
      </w: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月</w:t>
      </w: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日</w:t>
      </w:r>
      <w:r/>
    </w:p>
    <w:p>
      <w:pPr>
        <w:ind w:firstLine="440"/>
        <w:spacing w:line="360" w:lineRule="auto"/>
        <w:rPr>
          <w:rFonts w:asciiTheme="minorEastAsia" w:hAnsiTheme="minorEastAsia" w:eastAsiaTheme="minorEastAsia" w:cstheme="minorEastAsia"/>
          <w:sz w:val="22"/>
        </w:rPr>
      </w:pPr>
      <w:r>
        <w:rPr>
          <w:rFonts w:asciiTheme="minorEastAsia" w:hAnsiTheme="minorEastAsia" w:eastAsiaTheme="minorEastAsia" w:cstheme="minorEastAsia"/>
          <w:sz w:val="22"/>
        </w:rPr>
      </w:r>
      <w:r/>
    </w:p>
    <w:p>
      <w:pPr>
        <w:ind w:firstLine="440"/>
        <w:rPr>
          <w:rFonts w:ascii="华文中宋" w:hAnsi="华文中宋" w:cs="华文中宋"/>
          <w:sz w:val="22"/>
        </w:rPr>
      </w:pPr>
      <w:r>
        <w:rPr>
          <w:rFonts w:ascii="华文中宋" w:hAnsi="华文中宋" w:cs="华文中宋"/>
          <w:sz w:val="22"/>
        </w:rPr>
      </w:r>
      <w:r/>
    </w:p>
    <w:p>
      <w:pPr>
        <w:ind w:firstLine="440"/>
        <w:rPr>
          <w:rFonts w:ascii="华文中宋" w:hAnsi="华文中宋" w:cs="华文中宋"/>
          <w:sz w:val="22"/>
        </w:rPr>
      </w:pPr>
      <w:r>
        <w:rPr>
          <w:rFonts w:ascii="华文中宋" w:hAnsi="华文中宋" w:cs="华文中宋"/>
          <w:sz w:val="22"/>
        </w:rPr>
      </w:r>
      <w:r/>
    </w:p>
    <w:p>
      <w:pPr>
        <w:ind w:firstLine="440"/>
        <w:rPr>
          <w:rFonts w:ascii="华文中宋" w:hAnsi="华文中宋" w:cs="华文中宋"/>
          <w:sz w:val="22"/>
        </w:rPr>
      </w:pPr>
      <w:r>
        <w:rPr>
          <w:rFonts w:ascii="华文中宋" w:hAnsi="华文中宋" w:cs="华文中宋"/>
          <w:sz w:val="22"/>
        </w:rPr>
      </w:r>
      <w:r/>
    </w:p>
    <w:p>
      <w:pPr>
        <w:ind w:firstLine="440"/>
        <w:rPr>
          <w:rFonts w:ascii="华文中宋" w:hAnsi="华文中宋" w:cs="华文中宋"/>
          <w:sz w:val="22"/>
        </w:rPr>
      </w:pPr>
      <w:r>
        <w:rPr>
          <w:rFonts w:ascii="华文中宋" w:hAnsi="华文中宋" w:cs="华文中宋"/>
          <w:sz w:val="22"/>
        </w:rPr>
      </w:r>
      <w:r/>
    </w:p>
    <w:p>
      <w:pPr>
        <w:ind w:firstLine="440"/>
        <w:rPr>
          <w:rFonts w:ascii="华文中宋" w:hAnsi="华文中宋" w:cs="华文中宋"/>
          <w:sz w:val="22"/>
        </w:rPr>
      </w:pPr>
      <w:r>
        <w:rPr>
          <w:rFonts w:ascii="华文中宋" w:hAnsi="华文中宋" w:cs="华文中宋"/>
          <w:sz w:val="22"/>
        </w:rPr>
      </w:r>
      <w:r/>
    </w:p>
    <w:p>
      <w:pPr>
        <w:ind w:firstLine="440"/>
        <w:rPr>
          <w:rFonts w:ascii="华文中宋" w:hAnsi="华文中宋" w:cs="华文中宋"/>
          <w:sz w:val="22"/>
        </w:rPr>
      </w:pPr>
      <w:r>
        <w:rPr>
          <w:rFonts w:ascii="华文中宋" w:hAnsi="华文中宋" w:cs="华文中宋"/>
          <w:sz w:val="22"/>
        </w:rPr>
      </w:r>
      <w:r/>
    </w:p>
    <w:p>
      <w:pPr>
        <w:ind w:firstLine="440"/>
        <w:rPr>
          <w:rFonts w:ascii="华文中宋" w:hAnsi="华文中宋" w:cs="华文中宋"/>
          <w:sz w:val="22"/>
        </w:rPr>
      </w:pPr>
      <w:r>
        <w:rPr>
          <w:rFonts w:ascii="华文中宋" w:hAnsi="华文中宋" w:cs="华文中宋"/>
          <w:sz w:val="22"/>
        </w:rPr>
      </w:r>
      <w:r/>
    </w:p>
    <w:p>
      <w:pPr>
        <w:ind w:firstLine="440"/>
        <w:rPr>
          <w:rFonts w:ascii="华文中宋" w:hAnsi="华文中宋" w:cs="华文中宋"/>
          <w:sz w:val="22"/>
        </w:rPr>
      </w:pPr>
      <w:r>
        <w:rPr>
          <w:rFonts w:ascii="华文中宋" w:hAnsi="华文中宋" w:cs="华文中宋"/>
          <w:sz w:val="22"/>
        </w:rPr>
      </w:r>
      <w:r/>
    </w:p>
    <w:p>
      <w:pPr>
        <w:ind w:firstLine="440"/>
        <w:rPr>
          <w:rFonts w:ascii="华文中宋" w:hAnsi="华文中宋" w:cs="华文中宋"/>
          <w:sz w:val="22"/>
          <w:szCs w:val="22"/>
        </w:rPr>
      </w:pPr>
      <w:r>
        <w:rPr>
          <w:rFonts w:ascii="华文中宋" w:hAnsi="华文中宋" w:cs="华文中宋"/>
          <w:sz w:val="22"/>
        </w:rPr>
      </w:r>
      <w:r>
        <w:rPr>
          <w:rFonts w:ascii="华文中宋" w:hAnsi="华文中宋" w:cs="华文中宋"/>
          <w:sz w:val="22"/>
        </w:rPr>
      </w:r>
      <w:r/>
    </w:p>
    <w:p>
      <w:pPr>
        <w:ind w:firstLine="440"/>
        <w:rPr>
          <w:rFonts w:ascii="华文中宋" w:hAnsi="华文中宋" w:cs="华文中宋"/>
          <w:sz w:val="22"/>
          <w:szCs w:val="22"/>
        </w:rPr>
      </w:pPr>
      <w:r>
        <w:rPr>
          <w:rFonts w:ascii="华文中宋" w:hAnsi="华文中宋" w:cs="华文中宋"/>
          <w:sz w:val="22"/>
          <w:szCs w:val="22"/>
        </w:rPr>
      </w:r>
      <w:r>
        <w:rPr>
          <w:rFonts w:ascii="华文中宋" w:hAnsi="华文中宋" w:cs="华文中宋"/>
          <w:sz w:val="22"/>
          <w:szCs w:val="22"/>
        </w:rPr>
      </w:r>
      <w:r/>
    </w:p>
    <w:p>
      <w:pPr>
        <w:ind w:firstLine="440"/>
        <w:rPr>
          <w:rFonts w:ascii="华文中宋" w:hAnsi="华文中宋" w:cs="华文中宋"/>
          <w:sz w:val="22"/>
          <w:szCs w:val="22"/>
        </w:rPr>
      </w:pPr>
      <w:r>
        <w:rPr>
          <w:rFonts w:ascii="华文中宋" w:hAnsi="华文中宋" w:cs="华文中宋"/>
          <w:sz w:val="22"/>
          <w:szCs w:val="22"/>
        </w:rPr>
      </w:r>
      <w:r>
        <w:rPr>
          <w:rFonts w:ascii="华文中宋" w:hAnsi="华文中宋" w:cs="华文中宋"/>
          <w:sz w:val="22"/>
          <w:szCs w:val="22"/>
        </w:rPr>
      </w:r>
      <w:r/>
    </w:p>
    <w:p>
      <w:pPr>
        <w:ind w:firstLine="440"/>
        <w:rPr>
          <w:rFonts w:ascii="华文中宋" w:hAnsi="华文中宋" w:cs="华文中宋"/>
          <w:sz w:val="22"/>
          <w:szCs w:val="22"/>
        </w:rPr>
      </w:pPr>
      <w:r>
        <w:rPr>
          <w:rFonts w:ascii="华文中宋" w:hAnsi="华文中宋" w:cs="华文中宋"/>
          <w:sz w:val="22"/>
        </w:rPr>
      </w:r>
      <w:r/>
    </w:p>
    <w:p>
      <w:pPr>
        <w:ind w:firstLine="440"/>
        <w:rPr>
          <w:rFonts w:ascii="华文中宋" w:hAnsi="华文中宋" w:cs="华文中宋"/>
          <w:sz w:val="22"/>
        </w:rPr>
      </w:pPr>
      <w:r>
        <w:rPr>
          <w:rFonts w:ascii="华文中宋" w:hAnsi="华文中宋" w:cs="华文中宋"/>
          <w:sz w:val="22"/>
        </w:rPr>
      </w:r>
      <w:r/>
    </w:p>
    <w:p>
      <w:pPr>
        <w:pStyle w:val="761"/>
        <w:rPr>
          <w14:ligatures w14:val="none"/>
        </w:rPr>
      </w:pPr>
      <w:r>
        <w:rPr>
          <w14:ligatures w14:val="none"/>
        </w:rPr>
      </w:r>
      <w:r>
        <w:rPr>
          <w14:ligatures w14:val="none"/>
        </w:rPr>
      </w:r>
      <w:r/>
    </w:p>
    <w:p>
      <w:r/>
      <w:r/>
    </w:p>
    <w:p>
      <w:pPr>
        <w:pStyle w:val="917"/>
        <w:jc w:val="center"/>
        <w:spacing w:before="0" w:after="0" w:line="240" w:lineRule="auto"/>
        <w:rPr>
          <w:rFonts w:ascii="微软雅黑" w:hAnsi="微软雅黑" w:eastAsia="微软雅黑" w:cs="微软雅黑"/>
          <w:b w:val="0"/>
          <w:bCs w:val="0"/>
          <w:sz w:val="36"/>
          <w:szCs w:val="36"/>
        </w:rPr>
      </w:pPr>
      <w:r/>
      <w:bookmarkStart w:id="140" w:name="_Toc152268447"/>
      <w:r/>
      <w:bookmarkStart w:id="141" w:name="_Toc25476"/>
      <w:r>
        <w:rPr>
          <w:rFonts w:hint="eastAsia" w:ascii="微软雅黑" w:hAnsi="微软雅黑" w:eastAsia="微软雅黑" w:cs="微软雅黑"/>
          <w:b w:val="0"/>
          <w:bCs w:val="0"/>
          <w:sz w:val="36"/>
          <w:szCs w:val="36"/>
        </w:rPr>
        <w:t xml:space="preserve">第六章 项目采购需求</w:t>
      </w:r>
      <w:bookmarkEnd w:id="140"/>
      <w:r/>
      <w:bookmarkEnd w:id="141"/>
      <w:r/>
      <w:r/>
    </w:p>
    <w:p>
      <w:pPr>
        <w:pStyle w:val="728"/>
        <w:ind w:firstLine="0"/>
        <w:spacing w:line="360" w:lineRule="auto"/>
        <w:rPr>
          <w:rFonts w:ascii="黑体" w:hAnsi="黑体" w:eastAsia="黑体"/>
          <w:b/>
          <w:bCs/>
          <w:sz w:val="22"/>
          <w:szCs w:val="22"/>
        </w:rPr>
      </w:pPr>
      <w:r>
        <w:rPr>
          <w:rFonts w:hint="eastAsia" w:ascii="黑体" w:hAnsi="黑体" w:eastAsia="黑体"/>
          <w:b/>
          <w:bCs/>
          <w:sz w:val="22"/>
          <w:szCs w:val="22"/>
        </w:rPr>
        <w:t xml:space="preserve">一、项目概况</w:t>
      </w:r>
      <w:r/>
    </w:p>
    <w:p>
      <w:pPr>
        <w:pStyle w:val="728"/>
        <w:ind w:firstLine="442"/>
        <w:keepLines w:val="0"/>
        <w:keepNext w:val="0"/>
        <w:pageBreakBefore w:val="0"/>
        <w:spacing w:line="360" w:lineRule="auto"/>
        <w:widowControl w:val="off"/>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1.项目名称：靖江市人民医院聚焦超声皮肤治疗仪采购项目</w:t>
      </w:r>
      <w:r/>
    </w:p>
    <w:p>
      <w:pPr>
        <w:pStyle w:val="728"/>
        <w:ind w:firstLine="442"/>
        <w:keepLines w:val="0"/>
        <w:keepNext w:val="0"/>
        <w:pageBreakBefore w:val="0"/>
        <w:spacing w:line="360" w:lineRule="auto"/>
        <w:widowControl w:val="off"/>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2.采购预算：</w:t>
      </w:r>
      <w:r>
        <w:rPr>
          <w:rFonts w:hint="eastAsia" w:asciiTheme="minorEastAsia" w:hAnsiTheme="minorEastAsia" w:eastAsiaTheme="minorEastAsia" w:cstheme="minorEastAsia"/>
          <w:sz w:val="22"/>
          <w:szCs w:val="22"/>
          <w:u w:val="single"/>
          <w:lang w:val="en-US"/>
        </w:rPr>
        <w:t xml:space="preserve">120</w:t>
      </w:r>
      <w:r>
        <w:rPr>
          <w:rFonts w:hint="eastAsia" w:asciiTheme="minorEastAsia" w:hAnsiTheme="minorEastAsia" w:eastAsiaTheme="minorEastAsia" w:cstheme="minorEastAsia"/>
          <w:sz w:val="22"/>
          <w:szCs w:val="22"/>
          <w:lang w:val="en-US"/>
        </w:rPr>
        <w:t xml:space="preserve">万元</w:t>
      </w:r>
      <w:r/>
    </w:p>
    <w:p>
      <w:pPr>
        <w:pStyle w:val="728"/>
        <w:ind w:firstLine="442"/>
        <w:keepLines w:val="0"/>
        <w:keepNext w:val="0"/>
        <w:pageBreakBefore w:val="0"/>
        <w:spacing w:line="360" w:lineRule="auto"/>
        <w:widowControl w:val="off"/>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3.最高限价：115万元</w:t>
      </w:r>
      <w:r/>
    </w:p>
    <w:p>
      <w:pPr>
        <w:pStyle w:val="728"/>
        <w:ind w:firstLine="442"/>
        <w:keepLines w:val="0"/>
        <w:keepNext w:val="0"/>
        <w:pageBreakBefore w:val="0"/>
        <w:spacing w:line="360" w:lineRule="auto"/>
        <w:widowControl w:val="off"/>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4.合同履行期限：</w:t>
      </w:r>
      <w:r>
        <w:rPr>
          <w:rFonts w:hint="eastAsia" w:asciiTheme="minorEastAsia" w:hAnsiTheme="minorEastAsia" w:eastAsiaTheme="minorEastAsia" w:cstheme="minorEastAsia"/>
          <w:sz w:val="22"/>
          <w:szCs w:val="22"/>
          <w:u w:val="single"/>
          <w:lang w:val="en-US"/>
        </w:rPr>
        <w:t xml:space="preserve"> 30 </w:t>
      </w:r>
      <w:r>
        <w:rPr>
          <w:rFonts w:hint="eastAsia" w:asciiTheme="minorEastAsia" w:hAnsiTheme="minorEastAsia" w:eastAsiaTheme="minorEastAsia" w:cstheme="minorEastAsia"/>
          <w:sz w:val="22"/>
          <w:szCs w:val="22"/>
          <w:lang w:val="en-US"/>
        </w:rPr>
        <w:t xml:space="preserve">日历天</w:t>
      </w:r>
      <w:r/>
    </w:p>
    <w:p>
      <w:pPr>
        <w:pStyle w:val="728"/>
        <w:ind w:firstLine="0"/>
        <w:spacing w:line="360" w:lineRule="auto"/>
        <w:rPr>
          <w:rFonts w:ascii="黑体" w:hAnsi="黑体" w:eastAsia="黑体"/>
          <w:b/>
          <w:bCs/>
          <w:sz w:val="22"/>
          <w:szCs w:val="22"/>
        </w:rPr>
      </w:pPr>
      <w:r>
        <w:rPr>
          <w:rFonts w:hint="eastAsia" w:ascii="黑体" w:hAnsi="黑体" w:eastAsia="黑体"/>
          <w:b/>
          <w:bCs/>
          <w:sz w:val="22"/>
          <w:szCs w:val="22"/>
        </w:rPr>
        <w:t xml:space="preserve">二、</w:t>
      </w:r>
      <w:r>
        <w:rPr>
          <w:rFonts w:hint="eastAsia" w:ascii="黑体" w:hAnsi="黑体" w:eastAsia="黑体"/>
          <w:b/>
          <w:bCs/>
          <w:sz w:val="22"/>
          <w:szCs w:val="22"/>
          <w:lang w:val="en-US"/>
        </w:rPr>
        <w:t xml:space="preserve">采购</w:t>
      </w:r>
      <w:r>
        <w:rPr>
          <w:rFonts w:hint="eastAsia" w:ascii="黑体" w:hAnsi="黑体" w:eastAsia="黑体"/>
          <w:b/>
          <w:bCs/>
          <w:sz w:val="22"/>
          <w:szCs w:val="22"/>
        </w:rPr>
        <w:t xml:space="preserve">清单</w:t>
      </w:r>
      <w:r/>
    </w:p>
    <w:tbl>
      <w:tblPr>
        <w:tblStyle w:val="681"/>
        <w:tblW w:w="4805" w:type="pct"/>
        <w:jc w:val="center"/>
        <w:tblLayout w:type="autofit"/>
        <w:tblCellMar>
          <w:left w:w="108" w:type="dxa"/>
          <w:top w:w="0" w:type="dxa"/>
          <w:right w:w="108" w:type="dxa"/>
          <w:bottom w:w="0" w:type="dxa"/>
        </w:tblCellMar>
        <w:tblLook w:val="04A0" w:firstRow="1" w:lastRow="0" w:firstColumn="1" w:lastColumn="0" w:noHBand="0" w:noVBand="1"/>
      </w:tblPr>
      <w:tblGrid>
        <w:gridCol w:w="692"/>
        <w:gridCol w:w="2838"/>
        <w:gridCol w:w="1289"/>
        <w:gridCol w:w="882"/>
        <w:gridCol w:w="1176"/>
        <w:gridCol w:w="1923"/>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12" w:type="pct"/>
            <w:vAlign w:val="center"/>
            <w:textDirection w:val="lrTb"/>
            <w:noWrap/>
          </w:tcPr>
          <w:p>
            <w:pPr>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668" w:type="pct"/>
            <w:vAlign w:val="center"/>
            <w:textDirection w:val="lrTb"/>
            <w:noWrap/>
          </w:tcPr>
          <w:p>
            <w:pPr>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核心产品</w:t>
            </w:r>
            <w:r/>
          </w:p>
        </w:tc>
        <w:tc>
          <w:tcPr>
            <w:shd w:val="clear" w:color="auto" w:fill="auto"/>
            <w:tcBorders>
              <w:top w:val="single" w:color="000000" w:sz="4" w:space="0"/>
              <w:left w:val="single" w:color="000000" w:sz="4" w:space="0"/>
              <w:bottom w:val="single" w:color="auto" w:sz="4" w:space="0"/>
              <w:right w:val="single" w:color="000000" w:sz="4" w:space="0"/>
            </w:tcBorders>
            <w:tcW w:w="1092" w:type="pct"/>
            <w:vAlign w:val="center"/>
            <w:textDirection w:val="lrTb"/>
            <w:noWrap/>
          </w:tcPr>
          <w:p>
            <w:pPr>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是否接受</w:t>
            </w:r>
            <w:r/>
          </w:p>
          <w:p>
            <w:pPr>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进口产品</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聚焦超声皮肤治疗仪</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501"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109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否</w:t>
            </w:r>
            <w:r/>
          </w:p>
        </w:tc>
      </w:tr>
    </w:tbl>
    <w:p>
      <w:pPr>
        <w:pStyle w:val="728"/>
        <w:ind w:firstLine="0"/>
        <w:spacing w:before="240" w:line="360" w:lineRule="auto"/>
        <w:rPr>
          <w:rFonts w:ascii="黑体" w:hAnsi="黑体" w:eastAsia="黑体"/>
          <w:b/>
          <w:bCs/>
          <w:sz w:val="22"/>
          <w:szCs w:val="22"/>
        </w:rPr>
      </w:pPr>
      <w:r>
        <w:rPr>
          <w:rFonts w:hint="eastAsia" w:ascii="黑体" w:hAnsi="黑体" w:eastAsia="黑体"/>
          <w:b/>
          <w:bCs/>
          <w:sz w:val="22"/>
          <w:szCs w:val="22"/>
          <w:lang w:val="en-US"/>
        </w:rPr>
        <w:t xml:space="preserve">三、产品配置</w:t>
      </w:r>
      <w:r/>
    </w:p>
    <w:tbl>
      <w:tblPr>
        <w:tblStyle w:val="681"/>
        <w:tblW w:w="4825" w:type="pct"/>
        <w:tblInd w:w="248" w:type="dxa"/>
        <w:tblLayout w:type="fixed"/>
        <w:tblCellMar>
          <w:left w:w="108" w:type="dxa"/>
          <w:top w:w="0" w:type="dxa"/>
          <w:right w:w="108" w:type="dxa"/>
          <w:bottom w:w="0" w:type="dxa"/>
        </w:tblCellMar>
        <w:tblLook w:val="04A0" w:firstRow="1" w:lastRow="0" w:firstColumn="1" w:lastColumn="0" w:noHBand="0" w:noVBand="1"/>
      </w:tblPr>
      <w:tblGrid>
        <w:gridCol w:w="720"/>
        <w:gridCol w:w="2040"/>
        <w:gridCol w:w="6078"/>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b/>
                <w:bCs/>
              </w:rPr>
            </w:pPr>
            <w:r>
              <w:rPr>
                <w:rFonts w:hint="eastAsia"/>
                <w:b/>
                <w:bC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rPr>
                <w:rFonts w:hint="eastAsia"/>
                <w:b/>
                <w:bCs/>
              </w:rPr>
            </w:pPr>
            <w:r>
              <w:rPr>
                <w:rFonts w:hint="eastAsia"/>
                <w:b/>
                <w:bCs/>
              </w:rPr>
              <w:t xml:space="preserve">配置名称</w:t>
            </w:r>
            <w:r/>
          </w:p>
        </w:tc>
        <w:tc>
          <w:tcPr>
            <w:shd w:val="clear" w:color="auto" w:fill="auto"/>
            <w:tcBorders>
              <w:top w:val="single" w:color="000000" w:sz="4" w:space="0"/>
              <w:left w:val="single" w:color="000000" w:sz="4" w:space="0"/>
              <w:bottom w:val="single" w:color="000000" w:sz="4" w:space="0"/>
              <w:right w:val="single" w:color="000000" w:sz="4" w:space="0"/>
            </w:tcBorders>
            <w:tcW w:w="6078" w:type="dxa"/>
            <w:vAlign w:val="center"/>
            <w:textDirection w:val="lrTb"/>
            <w:noWrap/>
          </w:tcPr>
          <w:p>
            <w:pPr>
              <w:ind w:left="0" w:right="0" w:firstLine="0"/>
              <w:jc w:val="center"/>
              <w:rPr>
                <w:rFonts w:hint="eastAsia"/>
                <w:b/>
                <w:bCs/>
              </w:rPr>
            </w:pPr>
            <w:r>
              <w:rPr>
                <w:rFonts w:hint="eastAsia"/>
                <w:b/>
                <w:bCs/>
              </w:rPr>
              <w:t xml:space="preserve">备注</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rPr>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rPr>
                <w:rFonts w:hint="eastAsia"/>
              </w:rPr>
            </w:pPr>
            <w:r>
              <w:rPr>
                <w:rFonts w:hint="eastAsia"/>
              </w:rPr>
              <w:t xml:space="preserve">超声治疗仪</w:t>
            </w:r>
            <w:r/>
          </w:p>
        </w:tc>
        <w:tc>
          <w:tcPr>
            <w:shd w:val="clear" w:color="auto" w:fill="auto"/>
            <w:tcBorders>
              <w:top w:val="single" w:color="000000" w:sz="4" w:space="0"/>
              <w:left w:val="single" w:color="000000" w:sz="4" w:space="0"/>
              <w:bottom w:val="single" w:color="000000" w:sz="4" w:space="0"/>
              <w:right w:val="single" w:color="auto" w:sz="4" w:space="0"/>
            </w:tcBorders>
            <w:tcW w:w="6078" w:type="dxa"/>
            <w:vAlign w:val="center"/>
            <w:textDirection w:val="lrTb"/>
            <w:noWrap/>
          </w:tcPr>
          <w:p>
            <w:pPr>
              <w:rPr>
                <w:rFonts w:hint="eastAsia"/>
              </w:rPr>
            </w:pPr>
            <w:r>
              <w:rPr>
                <w:rFonts w:hint="eastAsia"/>
              </w:rPr>
              <w:t xml:space="preserve">主机、台车、脚踏、手柄1套、手柄支架</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rPr>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rPr>
                <w:rFonts w:hint="eastAsia"/>
              </w:rPr>
            </w:pPr>
            <w:r>
              <w:rPr>
                <w:rFonts w:hint="eastAsia"/>
              </w:rPr>
              <w:t xml:space="preserve">治疗中检查</w:t>
            </w:r>
            <w:r/>
          </w:p>
        </w:tc>
        <w:tc>
          <w:tcPr>
            <w:tcBorders>
              <w:top w:val="none" w:color="000000" w:sz="4" w:space="0"/>
              <w:left w:val="single" w:color="000000" w:sz="4" w:space="0"/>
              <w:bottom w:val="single" w:color="000000" w:sz="4" w:space="0"/>
              <w:right w:val="single" w:color="000000" w:sz="4" w:space="0"/>
            </w:tcBorders>
            <w:tcW w:w="6078" w:type="dxa"/>
            <w:vAlign w:val="center"/>
            <w:textDirection w:val="lrTb"/>
            <w:noWrap/>
          </w:tcPr>
          <w:p>
            <w:pPr>
              <w:rPr>
                <w:rFonts w:hint="eastAsia"/>
                <w:lang w:eastAsia="zh-CN"/>
              </w:rPr>
            </w:pPr>
            <w:r>
              <w:rPr>
                <w:rFonts w:hint="eastAsia"/>
              </w:rPr>
              <w:t xml:space="preserve">用于小器官、肌骨、外周血管等临床超声检查</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rPr>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rPr>
                <w:rFonts w:hint="eastAsia"/>
              </w:rPr>
            </w:pPr>
            <w:r>
              <w:rPr>
                <w:rFonts w:hint="eastAsia"/>
              </w:rPr>
              <w:t xml:space="preserve">治疗中生命监测</w:t>
            </w:r>
            <w:r/>
          </w:p>
        </w:tc>
        <w:tc>
          <w:tcPr>
            <w:tcBorders>
              <w:top w:val="none" w:color="000000" w:sz="4" w:space="0"/>
              <w:left w:val="single" w:color="000000" w:sz="4" w:space="0"/>
              <w:bottom w:val="single" w:color="000000" w:sz="4" w:space="0"/>
              <w:right w:val="single" w:color="000000" w:sz="4" w:space="0"/>
            </w:tcBorders>
            <w:tcW w:w="6078" w:type="dxa"/>
            <w:vAlign w:val="center"/>
            <w:textDirection w:val="lrTb"/>
            <w:noWrap/>
          </w:tcPr>
          <w:p>
            <w:pPr>
              <w:rPr>
                <w:rFonts w:hint="eastAsia"/>
                <w:lang w:eastAsia="zh-CN"/>
              </w:rPr>
            </w:pPr>
            <w:r>
              <w:rPr>
                <w:rFonts w:hint="eastAsia" w:asciiTheme="minorEastAsia" w:hAnsiTheme="minorEastAsia" w:eastAsiaTheme="minorEastAsia" w:cstheme="minorEastAsia"/>
                <w:spacing w:val="0"/>
                <w:szCs w:val="22"/>
                <w:lang w:eastAsia="zh-CN"/>
              </w:rPr>
              <w:t xml:space="preserve">包含主机、电池、体外电极板、心电主电缆导联线、心电电极</w:t>
            </w:r>
            <w:r>
              <w:rPr>
                <w:rFonts w:hint="eastAsia" w:asciiTheme="minorEastAsia" w:hAnsiTheme="minorEastAsia" w:eastAsiaTheme="minorEastAsia" w:cstheme="minorEastAsia"/>
                <w:spacing w:val="11"/>
                <w:szCs w:val="22"/>
                <w:lang w:eastAsia="zh-CN"/>
              </w:rPr>
              <w:t xml:space="preserve">片</w:t>
            </w:r>
            <w:r/>
          </w:p>
        </w:tc>
      </w:tr>
    </w:tbl>
    <w:p>
      <w:pPr>
        <w:pStyle w:val="728"/>
        <w:ind w:firstLine="0"/>
        <w:spacing w:before="240" w:line="360" w:lineRule="auto"/>
        <w:rPr>
          <w:rFonts w:ascii="黑体" w:hAnsi="黑体" w:eastAsia="黑体"/>
          <w:b/>
          <w:bCs/>
          <w:sz w:val="22"/>
          <w:szCs w:val="22"/>
        </w:rPr>
      </w:pPr>
      <w:r>
        <w:rPr>
          <w:rFonts w:hint="eastAsia" w:ascii="黑体" w:hAnsi="黑体" w:eastAsia="黑体"/>
          <w:b/>
          <w:bCs/>
          <w:sz w:val="22"/>
          <w:szCs w:val="22"/>
          <w:lang w:val="en-US"/>
        </w:rPr>
        <w:t xml:space="preserve">四、</w:t>
      </w:r>
      <w:r>
        <w:rPr>
          <w:rFonts w:hint="eastAsia" w:ascii="黑体" w:hAnsi="黑体" w:eastAsia="黑体"/>
          <w:b/>
          <w:bCs/>
          <w:sz w:val="22"/>
          <w:szCs w:val="22"/>
        </w:rPr>
        <w:t xml:space="preserve">技术要求</w:t>
      </w:r>
      <w:r/>
    </w:p>
    <w:tbl>
      <w:tblPr>
        <w:tblStyle w:val="681"/>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735"/>
        <w:gridCol w:w="685"/>
        <w:gridCol w:w="7480"/>
      </w:tblGrid>
      <w:tr>
        <w:trPr>
          <w:jc w:val="center"/>
          <w:trHeight w:val="348"/>
        </w:trPr>
        <w:tc>
          <w:tcPr>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b/>
                <w:bCs/>
              </w:rPr>
            </w:pPr>
            <w:r>
              <w:rPr>
                <w:rFonts w:hint="eastAsia"/>
                <w:b/>
                <w:bCs/>
                <w:lang w:eastAsia="zh-CN"/>
              </w:rPr>
              <w:t xml:space="preserve">参数性质</w:t>
            </w:r>
            <w:r/>
          </w:p>
        </w:tc>
        <w:tc>
          <w:tcPr>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b/>
                <w:bCs/>
              </w:rPr>
            </w:pPr>
            <w:r>
              <w:rPr>
                <w:rFonts w:hint="eastAsia"/>
                <w:b/>
                <w:bCs/>
                <w:lang w:eastAsia="zh-CN"/>
              </w:rPr>
              <w:t xml:space="preserve">序号</w:t>
            </w:r>
            <w:r/>
          </w:p>
        </w:tc>
        <w:tc>
          <w:tcPr>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ind w:left="0" w:right="0" w:firstLine="0"/>
              <w:jc w:val="center"/>
              <w:rPr>
                <w:b/>
                <w:bCs/>
              </w:rPr>
            </w:pPr>
            <w:r>
              <w:rPr>
                <w:rFonts w:hint="eastAsia"/>
                <w:b/>
                <w:bCs/>
                <w:lang w:eastAsia="zh-CN"/>
              </w:rPr>
              <w:t xml:space="preserve">具体技术（参数）要求</w:t>
            </w:r>
            <w:r/>
          </w:p>
        </w:tc>
      </w:tr>
      <w:tr>
        <w:trPr>
          <w:jc w:val="center"/>
          <w:trHeight w:val="479"/>
        </w:trPr>
        <w:tc>
          <w:tcPr>
            <w:gridSpan w:val="3"/>
            <w:tcBorders>
              <w:top w:val="single" w:color="auto" w:sz="2" w:space="0"/>
              <w:left w:val="single" w:color="auto" w:sz="2" w:space="0"/>
              <w:bottom w:val="single" w:color="auto" w:sz="2" w:space="0"/>
              <w:right w:val="single" w:color="auto" w:sz="2" w:space="0"/>
            </w:tcBorders>
            <w:tcW w:w="8900" w:type="dxa"/>
            <w:vAlign w:val="center"/>
            <w:textDirection w:val="lrTb"/>
            <w:noWrap w:val="false"/>
          </w:tcPr>
          <w:p>
            <w:pPr>
              <w:ind w:left="0" w:right="0" w:firstLine="0"/>
              <w:jc w:val="center"/>
              <w:rPr>
                <w:rFonts w:hint="eastAsia" w:ascii="黑体" w:hAnsi="黑体" w:eastAsia="黑体" w:cs="黑体"/>
              </w:rPr>
            </w:pPr>
            <w:r>
              <w:rPr>
                <w:rFonts w:hint="eastAsia" w:ascii="黑体" w:hAnsi="黑体" w:eastAsia="黑体" w:cs="黑体"/>
                <w:lang w:eastAsia="zh-CN"/>
              </w:rPr>
              <w:t xml:space="preserve">超声治疗仪</w:t>
            </w:r>
            <w:r/>
          </w:p>
        </w:tc>
      </w:tr>
      <w:tr>
        <w:trPr>
          <w:jc w:val="center"/>
          <w:trHeight w:val="316"/>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波束类型：会/汇聚型；</w:t>
            </w:r>
            <w:r/>
          </w:p>
        </w:tc>
      </w:tr>
      <w:tr>
        <w:trPr>
          <w:jc w:val="center"/>
          <w:trHeight w:val="316"/>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具备≥两种声工作频率；</w:t>
            </w:r>
            <w:r/>
          </w:p>
        </w:tc>
      </w:tr>
      <w:tr>
        <w:trPr>
          <w:jc w:val="center"/>
          <w:trHeight w:val="316"/>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Hans"/>
              </w:rPr>
              <w:t xml:space="preserve">具备≥三种焦平面距离；</w:t>
            </w:r>
            <w:r/>
          </w:p>
        </w:tc>
      </w:tr>
      <w:tr>
        <w:trPr>
          <w:jc w:val="center"/>
          <w:trHeight w:val="316"/>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lang w:eastAsia="zh-Hans"/>
              </w:rPr>
            </w:pPr>
            <w:r>
              <w:rPr>
                <w:rFonts w:hint="eastAsia" w:asciiTheme="minorEastAsia" w:hAnsiTheme="minorEastAsia" w:eastAsiaTheme="minorEastAsia" w:cstheme="minorEastAsia"/>
                <w:lang w:eastAsia="zh-Hans"/>
              </w:rPr>
              <w:t xml:space="preserve">具有大焦域技术；</w:t>
            </w:r>
            <w:r/>
          </w:p>
        </w:tc>
      </w:tr>
      <w:tr>
        <w:trPr>
          <w:jc w:val="center"/>
          <w:trHeight w:val="316"/>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频率：≥</w:t>
            </w:r>
            <w:r>
              <w:rPr>
                <w:rFonts w:hint="eastAsia" w:asciiTheme="minorEastAsia" w:hAnsiTheme="minorEastAsia" w:eastAsiaTheme="minorEastAsia" w:cstheme="minorEastAsia"/>
                <w:lang w:eastAsia="zh-CN"/>
              </w:rPr>
              <w:t xml:space="preserve">三种</w:t>
            </w:r>
            <w:r>
              <w:rPr>
                <w:rFonts w:hint="eastAsia" w:asciiTheme="minorEastAsia" w:hAnsiTheme="minorEastAsia" w:eastAsiaTheme="minorEastAsia" w:cstheme="minorEastAsia"/>
              </w:rPr>
              <w:t xml:space="preserve">模式可调节</w:t>
            </w:r>
            <w:r>
              <w:rPr>
                <w:rFonts w:hint="eastAsia" w:asciiTheme="minorEastAsia" w:hAnsiTheme="minorEastAsia" w:eastAsiaTheme="minorEastAsia" w:cstheme="minorEastAsia"/>
                <w:lang w:eastAsia="zh-CN"/>
              </w:rPr>
              <w:t xml:space="preserve">（频率</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eastAsia="zh-CN"/>
              </w:rPr>
              <w:t xml:space="preserve">15Hz）</w:t>
            </w:r>
            <w:r>
              <w:rPr>
                <w:rFonts w:hint="eastAsia" w:asciiTheme="minorEastAsia" w:hAnsiTheme="minorEastAsia" w:eastAsiaTheme="minorEastAsia" w:cstheme="minorEastAsia"/>
              </w:rPr>
              <w:t xml:space="preserve">；</w:t>
            </w:r>
            <w:r/>
          </w:p>
        </w:tc>
      </w:tr>
      <w:tr>
        <w:trPr>
          <w:jc w:val="center"/>
          <w:trHeight w:val="316"/>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超声炮手柄具有滑动传感器检测功能，手柄停止运动立即停止输出超声能量；</w:t>
            </w:r>
            <w:r/>
          </w:p>
        </w:tc>
      </w:tr>
      <w:tr>
        <w:trPr>
          <w:jc w:val="center"/>
          <w:trHeight w:val="316"/>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超声刀手柄能量作用头（治疗头）与手持部分连成一体，使用方便；</w:t>
            </w:r>
            <w:r/>
          </w:p>
        </w:tc>
      </w:tr>
      <w:tr>
        <w:trPr>
          <w:jc w:val="center"/>
          <w:trHeight w:val="316"/>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主机上可同时适配安装超声刀手柄和超声炮手柄；</w:t>
            </w:r>
            <w:r/>
          </w:p>
        </w:tc>
      </w:tr>
      <w:tr>
        <w:trPr>
          <w:jc w:val="center"/>
          <w:trHeight w:val="316"/>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设备设计使用年限不少于10年；</w:t>
            </w:r>
            <w:r/>
          </w:p>
        </w:tc>
      </w:tr>
      <w:tr>
        <w:trPr>
          <w:jc w:val="center"/>
          <w:trHeight w:val="316"/>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具备液晶可触摸显示屏，主机屏幕尺寸≥14英寸；</w:t>
            </w:r>
            <w:r/>
          </w:p>
        </w:tc>
      </w:tr>
      <w:tr>
        <w:trPr>
          <w:jc w:val="center"/>
          <w:trHeight w:val="354"/>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具备治疗档案查询功能，查询内容包括：治疗时间、治疗参数、治疗能量发数等。</w:t>
            </w:r>
            <w:r/>
          </w:p>
        </w:tc>
      </w:tr>
      <w:tr>
        <w:trPr>
          <w:jc w:val="center"/>
          <w:trHeight w:val="348"/>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单个超声刀</w:t>
            </w:r>
            <w:r>
              <w:rPr>
                <w:rFonts w:hint="eastAsia" w:asciiTheme="minorEastAsia" w:hAnsiTheme="minorEastAsia" w:eastAsiaTheme="minorEastAsia" w:cstheme="minorEastAsia"/>
                <w:lang w:eastAsia="zh-CN"/>
              </w:rPr>
              <w:t xml:space="preserve">头</w:t>
            </w:r>
            <w:r>
              <w:rPr>
                <w:rFonts w:hint="eastAsia" w:asciiTheme="minorEastAsia" w:hAnsiTheme="minorEastAsia" w:eastAsiaTheme="minorEastAsia" w:cstheme="minorEastAsia"/>
              </w:rPr>
              <w:t xml:space="preserve">手柄能量发数≥4</w:t>
            </w:r>
            <w:r>
              <w:rPr>
                <w:rFonts w:hint="eastAsia" w:asciiTheme="minorEastAsia" w:hAnsiTheme="minorEastAsia" w:eastAsiaTheme="minorEastAsia" w:cstheme="minorEastAsia"/>
                <w:lang w:eastAsia="zh-CN"/>
              </w:rPr>
              <w:t xml:space="preserve">万</w:t>
            </w:r>
            <w:r>
              <w:rPr>
                <w:rFonts w:hint="eastAsia" w:asciiTheme="minorEastAsia" w:hAnsiTheme="minorEastAsia" w:eastAsiaTheme="minorEastAsia" w:cstheme="minorEastAsia"/>
              </w:rPr>
              <w:t xml:space="preserve">发</w:t>
            </w:r>
            <w:r>
              <w:rPr>
                <w:rFonts w:hint="eastAsia" w:asciiTheme="minorEastAsia" w:hAnsiTheme="minorEastAsia" w:eastAsiaTheme="minorEastAsia" w:cstheme="minorEastAsia"/>
                <w:lang w:eastAsia="zh-CN"/>
              </w:rPr>
              <w:t xml:space="preserve">，单个超声炮头</w:t>
            </w:r>
            <w:r>
              <w:rPr>
                <w:rFonts w:hint="eastAsia" w:asciiTheme="minorEastAsia" w:hAnsiTheme="minorEastAsia" w:eastAsiaTheme="minorEastAsia" w:cstheme="minorEastAsia"/>
              </w:rPr>
              <w:t xml:space="preserve">手柄能量发数≥</w:t>
            </w:r>
            <w:r>
              <w:rPr>
                <w:rFonts w:hint="eastAsia" w:asciiTheme="minorEastAsia" w:hAnsiTheme="minorEastAsia" w:eastAsiaTheme="minorEastAsia" w:cstheme="minorEastAsia"/>
                <w:lang w:eastAsia="zh-CN"/>
              </w:rPr>
              <w:t xml:space="preserve">50万</w:t>
            </w:r>
            <w:r>
              <w:rPr>
                <w:rFonts w:hint="eastAsia" w:asciiTheme="minorEastAsia" w:hAnsiTheme="minorEastAsia" w:eastAsiaTheme="minorEastAsia" w:cstheme="minorEastAsia"/>
              </w:rPr>
              <w:t xml:space="preserve">发</w:t>
            </w:r>
            <w:r>
              <w:rPr>
                <w:rFonts w:hint="eastAsia" w:asciiTheme="minorEastAsia" w:hAnsiTheme="minorEastAsia" w:eastAsiaTheme="minorEastAsia" w:cstheme="minorEastAsia"/>
                <w:lang w:eastAsia="zh-CN"/>
              </w:rPr>
              <w:t xml:space="preserve">；</w:t>
            </w:r>
            <w:r/>
          </w:p>
        </w:tc>
      </w:tr>
      <w:tr>
        <w:trPr>
          <w:jc w:val="center"/>
          <w:trHeight w:val="174"/>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13</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 xml:space="preserve">具有明确面部除皱抗衰适应症；</w:t>
            </w:r>
            <w:r/>
          </w:p>
        </w:tc>
      </w:tr>
      <w:tr>
        <w:trPr>
          <w:jc w:val="center"/>
          <w:trHeight w:val="174"/>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lang w:eastAsia="zh-CN"/>
              </w:rPr>
              <w:t xml:space="preserve">4</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一台主机上可同时适配安装≥2把超声刀手柄和1把超声炮手柄；</w:t>
            </w:r>
            <w:r/>
          </w:p>
        </w:tc>
      </w:tr>
      <w:tr>
        <w:trPr>
          <w:jc w:val="center"/>
          <w:trHeight w:val="180"/>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lang w:eastAsia="zh-CN"/>
              </w:rPr>
              <w:t xml:space="preserve">5</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 xml:space="preserve">具备能量提升利用新技术</w:t>
            </w:r>
            <w:r>
              <w:rPr>
                <w:rFonts w:hint="eastAsia" w:asciiTheme="minorEastAsia" w:hAnsiTheme="minorEastAsia" w:eastAsiaTheme="minorEastAsia" w:cstheme="minorEastAsia"/>
              </w:rPr>
              <w:t xml:space="preserve">。</w:t>
            </w:r>
            <w:r/>
          </w:p>
        </w:tc>
      </w:tr>
      <w:tr>
        <w:trPr>
          <w:jc w:val="center"/>
          <w:trHeight w:val="180"/>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16</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主机、台车采用分体式设计，便于维护，降低整机维修更换成本。</w:t>
            </w:r>
            <w:r/>
          </w:p>
        </w:tc>
      </w:tr>
      <w:tr>
        <w:trPr>
          <w:jc w:val="center"/>
          <w:trHeight w:val="180"/>
        </w:trPr>
        <w:tc>
          <w:tcPr>
            <w:shd w:val="clear" w:color="auto" w:fill="auto"/>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17</w:t>
            </w:r>
            <w:r/>
          </w:p>
        </w:tc>
        <w:tc>
          <w:tcPr>
            <w:shd w:val="clear" w:color="auto" w:fill="auto"/>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配置超声影像模块，可用于治疗前人体临床超声检查；</w:t>
            </w:r>
            <w:r/>
          </w:p>
        </w:tc>
      </w:tr>
      <w:tr>
        <w:trPr>
          <w:jc w:val="center"/>
          <w:trHeight w:val="180"/>
        </w:trPr>
        <w:tc>
          <w:tcPr>
            <w:gridSpan w:val="3"/>
            <w:tcBorders>
              <w:top w:val="single" w:color="auto" w:sz="2" w:space="0"/>
              <w:left w:val="single" w:color="auto" w:sz="2" w:space="0"/>
              <w:bottom w:val="single" w:color="auto" w:sz="2" w:space="0"/>
              <w:right w:val="single" w:color="auto" w:sz="2" w:space="0"/>
            </w:tcBorders>
            <w:tcW w:w="8900" w:type="dxa"/>
            <w:vAlign w:val="center"/>
            <w:textDirection w:val="lrTb"/>
            <w:noWrap w:val="false"/>
          </w:tcPr>
          <w:p>
            <w:pPr>
              <w:ind w:left="0" w:right="0" w:firstLine="0"/>
              <w:jc w:val="center"/>
              <w:rPr>
                <w:lang w:eastAsia="zh-CN"/>
              </w:rPr>
            </w:pPr>
            <w:r>
              <w:rPr>
                <w:rFonts w:hint="eastAsia" w:ascii="黑体" w:hAnsi="黑体" w:eastAsia="黑体" w:cs="黑体"/>
                <w:lang w:eastAsia="zh-CN"/>
              </w:rPr>
              <w:t xml:space="preserve">治疗中检查</w:t>
            </w:r>
            <w:r/>
          </w:p>
        </w:tc>
      </w:tr>
      <w:tr>
        <w:trPr>
          <w:jc w:val="center"/>
          <w:trHeight w:val="180"/>
        </w:trPr>
        <w:tc>
          <w:tcPr>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1</w:t>
            </w:r>
            <w:r/>
          </w:p>
        </w:tc>
        <w:tc>
          <w:tcPr>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显示终端屏幕尺寸≥10.95英寸，显示分辨率≥1920×1200，支持中文触控操作；支持B、2B、彩色多普勒、PW及M等成像模式；具备USB Type-C接口和无线网络接口，支持有线及无线连接显示终端。</w:t>
            </w:r>
            <w:r/>
          </w:p>
        </w:tc>
      </w:tr>
      <w:tr>
        <w:trPr>
          <w:jc w:val="center"/>
          <w:trHeight w:val="180"/>
        </w:trPr>
        <w:tc>
          <w:tcPr>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2</w:t>
            </w:r>
            <w:r/>
          </w:p>
        </w:tc>
        <w:tc>
          <w:tcPr>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物理通道数量≥32，阵元数量≥128；如用于较高性能配置，物理通道≥64</w:t>
            </w:r>
            <w:r>
              <w:rPr>
                <w:rFonts w:hint="eastAsia" w:asciiTheme="minorEastAsia" w:hAnsiTheme="minorEastAsia" w:eastAsiaTheme="minorEastAsia" w:cstheme="minorEastAsia"/>
                <w:lang w:eastAsia="zh-CN"/>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3</w:t>
            </w:r>
            <w:r/>
          </w:p>
        </w:tc>
        <w:tc>
          <w:tcPr>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支持DICOM图像存储及工作清单，可连接DICOM服务器或PACS</w:t>
            </w:r>
            <w:r>
              <w:rPr>
                <w:rFonts w:hint="eastAsia" w:asciiTheme="minorEastAsia" w:hAnsiTheme="minorEastAsia" w:eastAsiaTheme="minorEastAsia" w:cstheme="minorEastAsia"/>
                <w:lang w:eastAsia="zh-CN"/>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4</w:t>
            </w:r>
            <w:r/>
          </w:p>
        </w:tc>
        <w:tc>
          <w:tcPr>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内置可充电锂电池，电池容量≥3800mAh，规定条件下续航时间≥5小时；具备电池电量状态显示、低电量自动关机及探头温度状态提示；电池完全充电时间≤2.5小时，充放电次数≥500次</w:t>
            </w:r>
            <w:r>
              <w:rPr>
                <w:rFonts w:hint="eastAsia" w:asciiTheme="minorEastAsia" w:hAnsiTheme="minorEastAsia" w:eastAsiaTheme="minorEastAsia" w:cstheme="minorEastAsia"/>
                <w:lang w:eastAsia="zh-CN"/>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5</w:t>
            </w:r>
            <w:r/>
          </w:p>
        </w:tc>
        <w:tc>
          <w:tcPr>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单机重量≤250g，便于手持及移动使用；支持静态图像和动态电影存储、浏览及图像对比</w:t>
            </w:r>
            <w:r>
              <w:rPr>
                <w:rFonts w:hint="eastAsia" w:asciiTheme="minorEastAsia" w:hAnsiTheme="minorEastAsia" w:eastAsiaTheme="minorEastAsia" w:cstheme="minorEastAsia"/>
                <w:lang w:eastAsia="zh-CN"/>
              </w:rPr>
              <w:t xml:space="preserve">。</w:t>
            </w:r>
            <w:r/>
          </w:p>
        </w:tc>
      </w:tr>
      <w:tr>
        <w:trPr>
          <w:jc w:val="center"/>
          <w:trHeight w:val="639"/>
        </w:trPr>
        <w:tc>
          <w:tcPr>
            <w:gridSpan w:val="3"/>
            <w:tcBorders>
              <w:top w:val="single" w:color="auto" w:sz="2" w:space="0"/>
              <w:left w:val="single" w:color="auto" w:sz="2" w:space="0"/>
              <w:bottom w:val="single" w:color="auto" w:sz="2" w:space="0"/>
              <w:right w:val="single" w:color="auto" w:sz="2" w:space="0"/>
            </w:tcBorders>
            <w:tcW w:w="8900" w:type="dxa"/>
            <w:vAlign w:val="center"/>
            <w:textDirection w:val="lrTb"/>
            <w:noWrap w:val="false"/>
          </w:tcPr>
          <w:p>
            <w:pPr>
              <w:ind w:left="0" w:right="0" w:firstLine="0"/>
              <w:jc w:val="center"/>
            </w:pPr>
            <w:r>
              <w:rPr>
                <w:rFonts w:hint="eastAsia" w:ascii="黑体" w:hAnsi="黑体" w:eastAsia="黑体" w:cs="黑体"/>
                <w:lang w:eastAsia="zh-CN"/>
              </w:rPr>
              <w:t xml:space="preserve">治疗中生命监测</w:t>
            </w:r>
            <w:r/>
          </w:p>
        </w:tc>
      </w:tr>
      <w:tr>
        <w:trPr>
          <w:jc w:val="center"/>
          <w:trHeight w:val="180"/>
        </w:trPr>
        <w:tc>
          <w:tcPr>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1</w:t>
            </w:r>
            <w:r/>
          </w:p>
        </w:tc>
        <w:tc>
          <w:tcPr>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对病人进行：手动体外除颤、手动体内除颤、同步电复律、AED除颤、CPR功能、无创体外起搏、生命体征监护等功能。</w:t>
            </w:r>
            <w:r/>
          </w:p>
        </w:tc>
      </w:tr>
      <w:tr>
        <w:trPr>
          <w:jc w:val="center"/>
          <w:trHeight w:val="180"/>
        </w:trPr>
        <w:tc>
          <w:tcPr>
            <w:tcBorders>
              <w:top w:val="single" w:color="auto" w:sz="2" w:space="0"/>
              <w:left w:val="single" w:color="auto" w:sz="2" w:space="0"/>
              <w:bottom w:val="single" w:color="auto" w:sz="2" w:space="0"/>
              <w:right w:val="single" w:color="auto" w:sz="2" w:space="0"/>
            </w:tcBorders>
            <w:tcW w:w="735"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685"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2</w:t>
            </w:r>
            <w:r/>
          </w:p>
        </w:tc>
        <w:tc>
          <w:tcPr>
            <w:tcBorders>
              <w:top w:val="single" w:color="auto" w:sz="2" w:space="0"/>
              <w:left w:val="single" w:color="auto" w:sz="2" w:space="0"/>
              <w:bottom w:val="single" w:color="auto" w:sz="2" w:space="0"/>
              <w:right w:val="single" w:color="auto" w:sz="2" w:space="0"/>
            </w:tcBorders>
            <w:tcW w:w="748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 采用双相指数截断波（ BTE）除颤波形，具有阻抗自动补偿,成人室颤患者体外首次除颤能量150J，保证除颤成功率的同时，减少除颤损伤；除颤能量选择范围为1J~360J，除颤充电至200J＜5S，充电至360J＜8S</w:t>
            </w:r>
            <w:r>
              <w:rPr>
                <w:rFonts w:hint="eastAsia" w:asciiTheme="minorEastAsia" w:hAnsiTheme="minorEastAsia" w:eastAsiaTheme="minorEastAsia" w:cstheme="minorEastAsia"/>
                <w:lang w:eastAsia="zh-CN"/>
              </w:rPr>
              <w:t xml:space="preserve">。</w:t>
            </w:r>
            <w:r/>
          </w:p>
        </w:tc>
      </w:tr>
    </w:tbl>
    <w:p>
      <w:pPr>
        <w:pStyle w:val="1094"/>
        <w:rPr>
          <w:rFonts w:cs="宋体"/>
          <w:sz w:val="22"/>
          <w:szCs w:val="22"/>
        </w:rPr>
      </w:pPr>
      <w:r>
        <w:rPr>
          <w:rFonts w:hint="eastAsia" w:cs="宋体"/>
          <w:sz w:val="22"/>
          <w:szCs w:val="22"/>
        </w:rPr>
        <w:t xml:space="preserve">注：</w:t>
      </w:r>
      <w:r/>
    </w:p>
    <w:p>
      <w:pPr>
        <w:pStyle w:val="1094"/>
        <w:ind w:firstLine="440"/>
        <w:rPr>
          <w:rFonts w:cs="宋体"/>
          <w:sz w:val="24"/>
          <w:szCs w:val="24"/>
        </w:rPr>
      </w:pPr>
      <w:r>
        <w:rPr>
          <w:rFonts w:hint="eastAsia" w:cs="宋体"/>
          <w:sz w:val="22"/>
          <w:szCs w:val="22"/>
        </w:rPr>
        <w:t xml:space="preserve">1.上表中加“▲”项需提供技术支撑材料（技术支撑材料可以为厂家产品白皮书、或产品印刷版彩页、或第三方出具的产品检测报告、或实物图片、或招标文件要求的其他方式）作为佐证，投标人未提供相关证明材料或提供的相关证明材料无效，该项作负偏离处理。</w:t>
      </w:r>
      <w:r/>
    </w:p>
    <w:p>
      <w:pPr>
        <w:pStyle w:val="1094"/>
        <w:ind w:firstLine="440"/>
        <w:rPr>
          <w:rFonts w:cs="宋体"/>
          <w:b w:val="0"/>
          <w:bCs/>
          <w:sz w:val="22"/>
          <w:szCs w:val="22"/>
        </w:rPr>
      </w:pPr>
      <w:r>
        <w:rPr>
          <w:rFonts w:hint="eastAsia" w:cs="宋体"/>
          <w:sz w:val="22"/>
          <w:szCs w:val="22"/>
        </w:rPr>
        <w:t xml:space="preserve">2.技术支撑材料若为外文的，需提供中文译文，并以中文译文为准。</w:t>
      </w:r>
      <w:r/>
    </w:p>
    <w:p>
      <w:pPr>
        <w:pStyle w:val="728"/>
        <w:ind w:firstLine="442"/>
        <w:spacing w:line="360" w:lineRule="auto"/>
        <w:rPr>
          <w:rFonts w:ascii="黑体" w:hAnsi="黑体" w:eastAsia="黑体"/>
          <w:b/>
          <w:bCs/>
          <w:sz w:val="22"/>
          <w:szCs w:val="22"/>
        </w:rPr>
      </w:pPr>
      <w:r>
        <w:rPr>
          <w:rFonts w:hint="eastAsia" w:ascii="黑体" w:hAnsi="黑体" w:eastAsia="黑体"/>
          <w:b/>
          <w:bCs/>
          <w:sz w:val="22"/>
          <w:szCs w:val="22"/>
          <w:lang w:val="en-US"/>
        </w:rPr>
        <w:t xml:space="preserve">五</w:t>
      </w:r>
      <w:r>
        <w:rPr>
          <w:rFonts w:hint="eastAsia" w:ascii="黑体" w:hAnsi="黑体" w:eastAsia="黑体"/>
          <w:b/>
          <w:bCs/>
          <w:sz w:val="22"/>
          <w:szCs w:val="22"/>
        </w:rPr>
        <w:t xml:space="preserve">、付款方式</w:t>
      </w:r>
      <w:r/>
    </w:p>
    <w:p>
      <w:pPr>
        <w:ind w:firstLine="440"/>
        <w:spacing w:line="360" w:lineRule="auto"/>
        <w:rPr>
          <w:rFonts w:asciiTheme="minorEastAsia" w:hAnsiTheme="minorEastAsia" w:eastAsiaTheme="minorEastAsia" w:cstheme="minorEastAsia"/>
          <w:sz w:val="22"/>
          <w:u w:val="single"/>
        </w:rPr>
      </w:pPr>
      <w:r>
        <w:rPr>
          <w:rFonts w:hint="eastAsia" w:asciiTheme="minorEastAsia" w:hAnsiTheme="minorEastAsia" w:eastAsiaTheme="minorEastAsia" w:cstheme="minorEastAsia"/>
          <w:sz w:val="22"/>
          <w:u w:val="single"/>
        </w:rPr>
        <w:t xml:space="preserve">1.合同签订生效后7日内，支付合同价款30%的预付款；</w:t>
      </w:r>
      <w:r/>
    </w:p>
    <w:p>
      <w:pPr>
        <w:ind w:firstLine="440"/>
        <w:spacing w:line="360" w:lineRule="auto"/>
        <w:rPr>
          <w:rFonts w:asciiTheme="minorEastAsia" w:hAnsiTheme="minorEastAsia" w:eastAsiaTheme="minorEastAsia" w:cstheme="minorEastAsia"/>
          <w:sz w:val="22"/>
          <w:u w:val="single"/>
        </w:rPr>
      </w:pPr>
      <w:r>
        <w:rPr>
          <w:rFonts w:hint="eastAsia" w:asciiTheme="minorEastAsia" w:hAnsiTheme="minorEastAsia" w:eastAsiaTheme="minorEastAsia" w:cstheme="minorEastAsia"/>
          <w:sz w:val="22"/>
          <w:u w:val="single"/>
        </w:rPr>
        <w:t xml:space="preserve">2.设备安装、调试、验收合格后，凭验收合格报告和发票支付至合同价款的90%；</w:t>
      </w:r>
      <w:r/>
    </w:p>
    <w:p>
      <w:pPr>
        <w:ind w:firstLine="440"/>
        <w:spacing w:line="360" w:lineRule="auto"/>
        <w:rPr>
          <w:rFonts w:asciiTheme="minorEastAsia" w:hAnsiTheme="minorEastAsia" w:eastAsiaTheme="minorEastAsia" w:cstheme="minorEastAsia"/>
          <w:sz w:val="22"/>
          <w:u w:val="single"/>
        </w:rPr>
      </w:pPr>
      <w:r>
        <w:rPr>
          <w:rFonts w:hint="eastAsia" w:asciiTheme="minorEastAsia" w:hAnsiTheme="minorEastAsia" w:eastAsiaTheme="minorEastAsia" w:cstheme="minorEastAsia"/>
          <w:sz w:val="22"/>
          <w:u w:val="single"/>
        </w:rPr>
        <w:t xml:space="preserve">3.验收合格满一年后付清余款。</w:t>
      </w:r>
      <w:r/>
    </w:p>
    <w:p>
      <w:pPr>
        <w:pStyle w:val="728"/>
        <w:ind w:firstLine="442"/>
        <w:spacing w:line="360" w:lineRule="auto"/>
        <w:rPr>
          <w:rFonts w:ascii="黑体" w:hAnsi="黑体" w:eastAsia="黑体" w:cs="宋体"/>
          <w:b/>
          <w:bCs/>
          <w:sz w:val="22"/>
          <w:szCs w:val="22"/>
        </w:rPr>
      </w:pPr>
      <w:r>
        <w:rPr>
          <w:rFonts w:hint="eastAsia" w:ascii="黑体" w:hAnsi="黑体" w:eastAsia="黑体"/>
          <w:b/>
          <w:bCs/>
          <w:sz w:val="22"/>
          <w:szCs w:val="22"/>
          <w:lang w:val="en-US"/>
        </w:rPr>
        <w:t xml:space="preserve">六</w:t>
      </w:r>
      <w:r>
        <w:rPr>
          <w:rFonts w:hint="eastAsia" w:ascii="黑体" w:hAnsi="黑体" w:eastAsia="黑体"/>
          <w:b/>
          <w:bCs/>
          <w:sz w:val="22"/>
          <w:szCs w:val="22"/>
        </w:rPr>
        <w:t xml:space="preserve">、交货期及交货地点</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1.交货期：</w:t>
      </w:r>
      <w:r>
        <w:rPr>
          <w:rFonts w:hint="eastAsia" w:asciiTheme="minorEastAsia" w:hAnsiTheme="minorEastAsia" w:eastAsiaTheme="minorEastAsia" w:cstheme="minorEastAsia"/>
          <w:sz w:val="22"/>
          <w:u w:val="single"/>
        </w:rPr>
        <w:t xml:space="preserve"> 30 </w:t>
      </w:r>
      <w:r>
        <w:rPr>
          <w:rFonts w:hint="eastAsia" w:asciiTheme="minorEastAsia" w:hAnsiTheme="minorEastAsia" w:eastAsiaTheme="minorEastAsia" w:cstheme="minorEastAsia"/>
          <w:sz w:val="22"/>
        </w:rPr>
        <w:t xml:space="preserve">日历天。 </w:t>
      </w:r>
      <w:r/>
    </w:p>
    <w:p>
      <w:pPr>
        <w:ind w:firstLine="440"/>
        <w:jc w:val="left"/>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2.交货地点：靖江市人民医院指定地点，由中标人负责办理运输和装卸等，费用由中标人负责，由采购人组织验收，检验不合格或不符合质量要求，中标人除无条件退货、返工外，还应承担采购人的一切损失。 </w:t>
      </w:r>
      <w:r/>
    </w:p>
    <w:p>
      <w:pPr>
        <w:pStyle w:val="1094"/>
        <w:ind w:firstLine="442"/>
        <w:rPr>
          <w:rFonts w:ascii="黑体" w:hAnsi="黑体" w:eastAsia="黑体" w:cs="宋体"/>
          <w:sz w:val="22"/>
          <w:szCs w:val="22"/>
        </w:rPr>
      </w:pPr>
      <w:r>
        <w:rPr>
          <w:rFonts w:hint="eastAsia" w:ascii="黑体" w:hAnsi="黑体" w:eastAsia="黑体" w:cs="宋体"/>
          <w:sz w:val="22"/>
          <w:szCs w:val="22"/>
        </w:rPr>
        <w:t xml:space="preserve">七、资质、质量要求及技术标准</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1．产品制造商及产品资质要求：</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（1）所投标产品制造商（注册人/备案人）必须具有合法、有效的《医疗器械生产企业许可证》，且许可范围包含所投标产品。</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（2）所投标产品必须具有合法、有效的《医疗器械注册证》。</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（3）投标人所提供医疗器械产品注册证必须真实有效。</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（4）所提供设备上的中文品名、型号及产品说明书所注适用范围必须与医疗器械产品注册证所标明的完全一致。</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（5）国产医疗设备上的铭牌必须标注医疗器械注册证号。</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（6）发票上所列品名与型号必须与合同所列品名与型号完全一致.</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（7）其他未提及事项必须符合国家食品药品监督管理局的相关规定。</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以上条款必须满足，否则由此引起的一切责任由乙方负责。</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中标人保证向采购人提供的设备满足中国国家标准或相关行业标准。根据国家规定，如需要提供3C认证证书和标记的设备及有关配置，必须提供上述证书和标记。供货时还需提供该设备的报关单、商检证明、产品合格证等。</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3．中标人保证所供设备是全新、未使用过的原包装产品，中标人提供的产品出厂日期不早于到货日期</w:t>
      </w:r>
      <w:r>
        <w:rPr>
          <w:rFonts w:hint="eastAsia" w:asciiTheme="minorEastAsia" w:hAnsiTheme="minorEastAsia" w:eastAsiaTheme="minorEastAsia" w:cstheme="minorEastAsia"/>
          <w:sz w:val="22"/>
          <w:u w:val="single"/>
        </w:rPr>
        <w:t xml:space="preserve">叁个月</w:t>
      </w:r>
      <w:r>
        <w:rPr>
          <w:rFonts w:hint="eastAsia" w:asciiTheme="minorEastAsia" w:hAnsiTheme="minorEastAsia" w:eastAsiaTheme="minorEastAsia" w:cstheme="minorEastAsia"/>
          <w:sz w:val="22"/>
        </w:rPr>
        <w:t xml:space="preserve">。中标人须保证所供产品质量合格，不得弄虚作假、不得提供假置伪劣产品或任意提供合同外产品，如果设备的质量或规格与合同不符，或证实设备有缺陷（包括潜在的缺陷或使用不符合要求的材料等）,中标人应在接到甲方通知后5个工作日内更换成达标设备，其费用由中标人负担。同时，采购人有权要求延长设备的保修期。由于设备质量问题引起的医疗事故和法律纠纷，中标人承担全部的法律和经济责任。</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4．中标人须免费开放所投产品的所有输入输出接口，并能与采购人现有网络及信息系统对接，如接入第三方系统产生费用，该费用由中标人承担。</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5.中标人保证同型号产品的成交价格为投标日前12个月内本地区的最低价。</w:t>
      </w:r>
      <w:r/>
    </w:p>
    <w:p>
      <w:pPr>
        <w:pStyle w:val="1094"/>
        <w:ind w:firstLine="442"/>
        <w:rPr>
          <w:rFonts w:ascii="黑体" w:hAnsi="黑体" w:eastAsia="黑体" w:cs="宋体"/>
          <w:sz w:val="22"/>
          <w:szCs w:val="22"/>
        </w:rPr>
      </w:pPr>
      <w:r>
        <w:rPr>
          <w:rFonts w:hint="eastAsia" w:ascii="黑体" w:hAnsi="黑体" w:eastAsia="黑体" w:cs="宋体"/>
          <w:sz w:val="22"/>
          <w:szCs w:val="22"/>
        </w:rPr>
        <w:t xml:space="preserve">八、设备到货、安装和验收要求</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设备到货时间，请中标人提前一周通知甲方，以便采购人安排好接收工作。设备到货后，甲方及时通知中标人，中标人接到通知一周内到达现场，负责设备的免费安装和调试。设备安装时，中标人必须事先与采购人的医学装备管理科联系，并与医学装备管理科共同参与，否则引起的一切责任由中标人承担。</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2．如中标人提供的设备设有维修软件密码，中标人应保证无条件地为采购人永久免费打开。</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3．设备安装、调试结束后，采购人对设备试用后进行验收（时间由双方商定），中标人免费派工程师到达现场协助验收工作。</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4．保修期自我院验收合格之日算起，保修期外只收配件费，免收人工费。</w:t>
      </w:r>
      <w:r/>
    </w:p>
    <w:p>
      <w:pPr>
        <w:pStyle w:val="1094"/>
        <w:ind w:firstLine="442"/>
        <w:rPr>
          <w:rFonts w:ascii="黑体" w:hAnsi="黑体" w:eastAsia="黑体" w:cs="宋体"/>
          <w:sz w:val="22"/>
          <w:szCs w:val="22"/>
        </w:rPr>
      </w:pPr>
      <w:r>
        <w:rPr>
          <w:rFonts w:hint="eastAsia" w:ascii="黑体" w:hAnsi="黑体" w:eastAsia="黑体" w:cs="宋体"/>
          <w:sz w:val="22"/>
          <w:szCs w:val="22"/>
        </w:rPr>
        <w:t xml:space="preserve">九、质保期</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r>
      <w:r>
        <w:rPr>
          <w:rFonts w:ascii="SimSun" w:hAnsi="SimSun" w:eastAsia="SimSun" w:cs="SimSun"/>
          <w:color w:val="000000"/>
          <w:sz w:val="22"/>
        </w:rPr>
        <w:t xml:space="preserve">上述设备原厂质保期为</w:t>
      </w:r>
      <w:r>
        <w:rPr>
          <w:rFonts w:ascii="SimSun" w:hAnsi="SimSun" w:eastAsia="SimSun" w:cs="SimSun"/>
          <w:color w:val="000000"/>
          <w:sz w:val="22"/>
          <w:u w:val="single"/>
        </w:rPr>
        <w:t xml:space="preserve"> 3 </w:t>
      </w:r>
      <w:r>
        <w:rPr>
          <w:rFonts w:ascii="SimSun" w:hAnsi="SimSun" w:eastAsia="SimSun" w:cs="SimSun"/>
          <w:color w:val="000000"/>
          <w:sz w:val="22"/>
        </w:rPr>
        <w:t xml:space="preserve">年，自验收合格之日起计算。质保期内，因设备自身质量问题发生故障，</w:t>
      </w:r>
      <w:r>
        <w:rPr>
          <w:rFonts w:ascii="SimSun" w:hAnsi="SimSun" w:eastAsia="SimSun" w:cs="SimSun"/>
          <w:color w:val="000000"/>
          <w:sz w:val="22"/>
        </w:rPr>
        <w:t xml:space="preserve">中标人</w:t>
      </w:r>
      <w:r>
        <w:rPr>
          <w:rFonts w:ascii="SimSun" w:hAnsi="SimSun" w:eastAsia="SimSun" w:cs="SimSun"/>
          <w:color w:val="000000"/>
          <w:sz w:val="22"/>
        </w:rPr>
        <w:t xml:space="preserve">免费提供上门维修、更换故障零部件、调试服务，免收人工费、差旅费、配件费；人为损坏、操作不当、配套耗材/易损件除外。保修期外</w:t>
      </w:r>
      <w:r>
        <w:rPr>
          <w:rFonts w:ascii="SimSun" w:hAnsi="SimSun" w:eastAsia="SimSun" w:cs="SimSun"/>
          <w:color w:val="000000"/>
          <w:sz w:val="22"/>
        </w:rPr>
        <w:t xml:space="preserve">中标人</w:t>
      </w:r>
      <w:r>
        <w:rPr>
          <w:rFonts w:ascii="SimSun" w:hAnsi="SimSun" w:eastAsia="SimSun" w:cs="SimSun"/>
          <w:color w:val="000000"/>
          <w:sz w:val="22"/>
        </w:rPr>
        <w:t xml:space="preserve">对本设备终身负责维修。</w:t>
      </w:r>
      <w:r>
        <w:rPr>
          <w:rFonts w:hint="eastAsia" w:asciiTheme="minorEastAsia" w:hAnsiTheme="minorEastAsia" w:eastAsiaTheme="minorEastAsia" w:cstheme="minorEastAsia"/>
          <w:sz w:val="22"/>
        </w:rPr>
        <w:t xml:space="preserve">。</w:t>
      </w:r>
      <w:r/>
    </w:p>
    <w:p>
      <w:pPr>
        <w:pStyle w:val="1094"/>
        <w:ind w:firstLine="442"/>
        <w:rPr>
          <w:rFonts w:ascii="黑体" w:hAnsi="黑体" w:eastAsia="黑体" w:cs="宋体"/>
          <w:sz w:val="22"/>
          <w:szCs w:val="22"/>
        </w:rPr>
      </w:pPr>
      <w:r>
        <w:rPr>
          <w:rFonts w:hint="eastAsia" w:ascii="黑体" w:hAnsi="黑体" w:eastAsia="黑体" w:cs="宋体"/>
          <w:sz w:val="22"/>
          <w:szCs w:val="22"/>
        </w:rPr>
        <w:t xml:space="preserve">十、售后服务要求：</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1．确保设备保修期内开机率为95%，如设备故障停机率超过5%（一年按365天计算，每年18天），每超过一天，保修期延长两周。</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如设备发生故障，中标人在接到采购人报修电话后2小时之内响应，24小时内到达采购人现场,48小时内修复或免费提供备用机，否则采购人可自行采取必要的措施，由此产生的风险和费用由中标人承担。如有特殊情况，中标人应立即电话通知甲方不能响应的原因，在获得采购人同意后，才可推迟响应时间。</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无论在保修期内还是保修期外，中标人必须上门维修，中标人工程师来我院维修本设备，必须事先与我院医学装备管理科取得联系；在维修过程中与采购人工程师共同完成维修工作。否则，由此引起的一切责任由中标人负责。</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4．中标人免费提供全套技术资料（中文说明书及光盘、操作流程电子版等），如技术资料不全，采购人有权不支付货款。</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5.本合同设备使用年限内，中标人应承诺保证配件、耗材的供应；若因设备升级等原因导致配件、耗材价格提高，或已无法正常供应配件、耗材时，采购人有权要求中标人按折旧后的价格将设备回购。</w:t>
      </w:r>
      <w:r/>
    </w:p>
    <w:p>
      <w:pPr>
        <w:pStyle w:val="1094"/>
        <w:ind w:firstLine="442"/>
        <w:rPr>
          <w:rFonts w:ascii="黑体" w:hAnsi="黑体" w:eastAsia="黑体" w:cs="宋体"/>
          <w:sz w:val="22"/>
          <w:szCs w:val="22"/>
        </w:rPr>
      </w:pPr>
      <w:r>
        <w:rPr>
          <w:rFonts w:hint="eastAsia" w:ascii="黑体" w:hAnsi="黑体" w:eastAsia="黑体" w:cs="宋体"/>
          <w:sz w:val="22"/>
          <w:szCs w:val="22"/>
        </w:rPr>
        <w:t xml:space="preserve">十一、技术培训</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在安装过程中或安装结束后，中标人工程师或有关人员有义务对采购人工程师和操作人员进行现场维修、保养、操作培训，并提供培训课件PPT，考核试卷，解答采购人人员提出的问题。</w:t>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17"/>
        <w:jc w:val="center"/>
        <w:spacing w:before="0" w:after="20" w:line="240" w:lineRule="auto"/>
        <w:rPr>
          <w:rFonts w:ascii="微软雅黑" w:hAnsi="微软雅黑" w:eastAsia="微软雅黑" w:cs="微软雅黑"/>
          <w:b w:val="0"/>
          <w:bCs w:val="0"/>
          <w:sz w:val="36"/>
          <w:szCs w:val="36"/>
        </w:rPr>
      </w:pPr>
      <w:r/>
      <w:bookmarkStart w:id="142" w:name="_Toc152268448"/>
      <w:r>
        <w:rPr>
          <w:rFonts w:hint="eastAsia" w:ascii="微软雅黑" w:hAnsi="微软雅黑" w:eastAsia="微软雅黑" w:cs="微软雅黑"/>
          <w:b w:val="0"/>
          <w:bCs w:val="0"/>
          <w:sz w:val="36"/>
          <w:szCs w:val="36"/>
        </w:rPr>
        <w:t xml:space="preserve">第七章 电子投标文件格式</w:t>
      </w:r>
      <w:bookmarkEnd w:id="142"/>
      <w:r/>
      <w:r/>
    </w:p>
    <w:p>
      <w:pPr>
        <w:rPr>
          <w:rStyle w:val="920"/>
          <w:rFonts w:ascii="黑体" w:hAnsi="黑体"/>
          <w:b w:val="0"/>
          <w:bCs w:val="0"/>
        </w:rPr>
      </w:pPr>
      <w:r>
        <w:rPr>
          <w:rStyle w:val="920"/>
          <w:rFonts w:hint="eastAsia" w:ascii="黑体" w:hAnsi="黑体"/>
          <w:b w:val="0"/>
          <w:highlight w:val="none"/>
        </w:rPr>
      </w:r>
      <w:r>
        <w:rPr>
          <w:rStyle w:val="920"/>
          <w:rFonts w:hint="eastAsia" w:ascii="黑体" w:hAnsi="黑体"/>
          <w:b w:val="0"/>
          <w:highlight w:val="none"/>
        </w:rPr>
      </w:r>
      <w:r/>
    </w:p>
    <w:p>
      <w:pPr>
        <w:rPr>
          <w:rStyle w:val="920"/>
          <w:rFonts w:hint="eastAsia" w:ascii="黑体" w:hAnsi="黑体"/>
          <w:b w:val="0"/>
          <w:bCs w:val="0"/>
          <w:highlight w:val="none"/>
        </w:rPr>
      </w:pPr>
      <w:r/>
      <w:bookmarkStart w:id="143" w:name="_Toc3586"/>
      <w:r>
        <w:rPr>
          <w:rStyle w:val="920"/>
          <w:rFonts w:hint="eastAsia" w:ascii="黑体" w:hAnsi="黑体"/>
          <w:b w:val="0"/>
        </w:rPr>
        <w:t xml:space="preserve">封面</w:t>
      </w:r>
      <w:r/>
    </w:p>
    <w:p>
      <w:r/>
      <w:r/>
    </w:p>
    <w:p>
      <w:pPr>
        <w:jc w:val="center"/>
        <w:rPr>
          <w:sz w:val="40"/>
          <w:szCs w:val="44"/>
        </w:rPr>
      </w:pPr>
      <w:r>
        <w:rPr>
          <w:rFonts w:hint="eastAsia"/>
          <w:sz w:val="32"/>
          <w:szCs w:val="36"/>
        </w:rPr>
        <w:t xml:space="preserve">靖江市人民医院聚焦超声皮肤治疗仪采购项目</w:t>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rFonts w:hint="eastAsia"/>
          <w:b/>
          <w:bCs/>
          <w:sz w:val="56"/>
          <w:szCs w:val="72"/>
        </w:rPr>
        <w:t xml:space="preserve">投 标 文 件</w:t>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28"/>
          <w:szCs w:val="32"/>
        </w:rPr>
      </w:pPr>
      <w:r>
        <w:rPr>
          <w:rFonts w:hint="eastAsia"/>
          <w:sz w:val="28"/>
          <w:szCs w:val="32"/>
        </w:rPr>
        <w:t xml:space="preserve">投标人名称：</w:t>
      </w:r>
      <w:r>
        <w:rPr>
          <w:rFonts w:hint="eastAsia"/>
          <w:sz w:val="28"/>
          <w:szCs w:val="32"/>
          <w:u w:val="single"/>
        </w:rPr>
        <w:t xml:space="preserve">                              </w:t>
      </w:r>
      <w:r>
        <w:rPr>
          <w:rFonts w:hint="eastAsia"/>
          <w:sz w:val="28"/>
          <w:szCs w:val="32"/>
        </w:rPr>
        <w:t xml:space="preserve">（电子签章）</w:t>
      </w:r>
      <w:r/>
    </w:p>
    <w:p>
      <w:pPr>
        <w:jc w:val="center"/>
        <w:rPr>
          <w:sz w:val="28"/>
          <w:szCs w:val="32"/>
        </w:rPr>
      </w:pPr>
      <w:r>
        <w:rPr>
          <w:sz w:val="28"/>
          <w:szCs w:val="32"/>
        </w:rPr>
      </w:r>
      <w:r/>
    </w:p>
    <w:p>
      <w:pPr>
        <w:jc w:val="center"/>
        <w:rPr>
          <w:rFonts w:ascii="宋体" w:hAnsi="宋体"/>
          <w:sz w:val="40"/>
          <w:szCs w:val="52"/>
        </w:rPr>
      </w:pPr>
      <w:r>
        <w:rPr>
          <w:rFonts w:hint="eastAsia"/>
          <w:sz w:val="28"/>
          <w:szCs w:val="32"/>
        </w:rPr>
        <w:t xml:space="preserve">日期：   年  月   日</w:t>
      </w:r>
      <w:r/>
    </w:p>
    <w:p>
      <w:pPr>
        <w:jc w:val="center"/>
        <w:spacing w:line="360" w:lineRule="auto"/>
        <w:rPr>
          <w:rFonts w:ascii="黑体" w:hAnsi="黑体" w:eastAsia="黑体"/>
          <w:sz w:val="36"/>
          <w:szCs w:val="36"/>
        </w:rPr>
      </w:pPr>
      <w:r>
        <w:rPr>
          <w:rFonts w:hint="eastAsia" w:ascii="黑体" w:hAnsi="黑体" w:eastAsia="黑体"/>
          <w:sz w:val="36"/>
          <w:szCs w:val="36"/>
        </w:rPr>
        <w:t xml:space="preserve">开标一览表</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eastAsia="微软雅黑"/>
          <w:sz w:val="24"/>
          <w:szCs w:val="24"/>
        </w:rPr>
      </w:pPr>
      <w:r>
        <w:rPr>
          <w:rFonts w:hint="eastAsia" w:ascii="宋体" w:hAnsi="宋体"/>
          <w:sz w:val="24"/>
          <w:szCs w:val="24"/>
        </w:rPr>
        <w:t xml:space="preserve">项目编号：</w:t>
      </w:r>
      <w:r/>
    </w:p>
    <w:p>
      <w:pPr>
        <w:jc w:val="left"/>
        <w:spacing w:line="360" w:lineRule="auto"/>
        <w:rPr>
          <w:rFonts w:ascii="宋体" w:hAnsi="宋体"/>
          <w:sz w:val="24"/>
          <w:szCs w:val="24"/>
        </w:rPr>
      </w:pPr>
      <w:r>
        <w:rPr>
          <w:rFonts w:hint="eastAsia" w:ascii="宋体" w:hAnsi="宋体"/>
          <w:sz w:val="24"/>
          <w:szCs w:val="24"/>
        </w:rPr>
        <w:t xml:space="preserve">货币单位：人民币元</w:t>
      </w:r>
      <w:r/>
    </w:p>
    <w:tbl>
      <w:tblPr>
        <w:tblStyle w:val="681"/>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61"/>
        <w:gridCol w:w="2059"/>
        <w:gridCol w:w="3260"/>
      </w:tblGrid>
      <w:tr>
        <w:trPr>
          <w:trHeight w:val="805"/>
        </w:trPr>
        <w:tc>
          <w:tcPr>
            <w:tcW w:w="3861" w:type="dxa"/>
            <w:vAlign w:val="center"/>
            <w:textDirection w:val="lrTb"/>
            <w:noWrap w:val="false"/>
          </w:tcPr>
          <w:p>
            <w:pPr>
              <w:pStyle w:val="935"/>
              <w:jc w:val="center"/>
              <w:rPr>
                <w:sz w:val="24"/>
              </w:rPr>
            </w:pPr>
            <w:r>
              <w:rPr>
                <w:rFonts w:hint="eastAsia"/>
                <w:sz w:val="24"/>
              </w:rPr>
              <w:t xml:space="preserve">项目名称</w:t>
            </w:r>
            <w:r/>
          </w:p>
        </w:tc>
        <w:tc>
          <w:tcPr>
            <w:tcW w:w="2059" w:type="dxa"/>
            <w:vAlign w:val="center"/>
            <w:textDirection w:val="lrTb"/>
            <w:noWrap w:val="false"/>
          </w:tcPr>
          <w:p>
            <w:pPr>
              <w:pStyle w:val="935"/>
              <w:jc w:val="center"/>
              <w:rPr>
                <w:sz w:val="24"/>
              </w:rPr>
            </w:pPr>
            <w:r>
              <w:rPr>
                <w:rFonts w:hint="eastAsia"/>
                <w:sz w:val="24"/>
              </w:rPr>
              <w:t xml:space="preserve">项目内容</w:t>
            </w:r>
            <w:r/>
          </w:p>
        </w:tc>
        <w:tc>
          <w:tcPr>
            <w:tcW w:w="3260" w:type="dxa"/>
            <w:vAlign w:val="center"/>
            <w:textDirection w:val="lrTb"/>
            <w:noWrap w:val="false"/>
          </w:tcPr>
          <w:p>
            <w:pPr>
              <w:pStyle w:val="935"/>
              <w:jc w:val="center"/>
              <w:rPr>
                <w:sz w:val="24"/>
              </w:rPr>
            </w:pPr>
            <w:r>
              <w:rPr>
                <w:rFonts w:hint="eastAsia"/>
                <w:sz w:val="24"/>
              </w:rPr>
              <w:t xml:space="preserve">总价（小写）</w:t>
            </w:r>
            <w:r/>
          </w:p>
        </w:tc>
      </w:tr>
      <w:tr>
        <w:trPr>
          <w:trHeight w:val="745"/>
        </w:trPr>
        <w:tc>
          <w:tcPr>
            <w:tcW w:w="3861" w:type="dxa"/>
            <w:vAlign w:val="center"/>
            <w:textDirection w:val="lrTb"/>
            <w:noWrap w:val="false"/>
          </w:tcPr>
          <w:p>
            <w:r/>
            <w:r/>
          </w:p>
        </w:tc>
        <w:tc>
          <w:tcPr>
            <w:tcW w:w="2059" w:type="dxa"/>
            <w:vAlign w:val="center"/>
            <w:textDirection w:val="lrTb"/>
            <w:noWrap w:val="false"/>
          </w:tcPr>
          <w:p>
            <w:pPr>
              <w:pStyle w:val="935"/>
              <w:jc w:val="center"/>
              <w:rPr>
                <w:sz w:val="24"/>
              </w:rPr>
            </w:pPr>
            <w:r>
              <w:rPr>
                <w:rFonts w:hint="eastAsia"/>
                <w:sz w:val="24"/>
              </w:rPr>
              <w:t xml:space="preserve">详见投标文件</w:t>
            </w:r>
            <w:r/>
          </w:p>
        </w:tc>
        <w:tc>
          <w:tcPr>
            <w:tcW w:w="3260" w:type="dxa"/>
            <w:vAlign w:val="center"/>
            <w:textDirection w:val="lrTb"/>
            <w:noWrap w:val="false"/>
          </w:tcPr>
          <w:p>
            <w:pPr>
              <w:ind w:right="240"/>
              <w:jc w:val="right"/>
              <w:spacing w:line="360" w:lineRule="auto"/>
              <w:rPr>
                <w:rFonts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153035</wp:posOffset>
                      </wp:positionH>
                      <wp:positionV relativeFrom="paragraph">
                        <wp:posOffset>240665</wp:posOffset>
                      </wp:positionV>
                      <wp:extent cx="1455420" cy="2286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455420" cy="228600"/>
                              </a:xfrm>
                              <a:prstGeom prst="rect">
                                <a:avLst/>
                              </a:prstGeom>
                              <a:solidFill>
                                <a:srgbClr val="FFFFFF"/>
                              </a:solidFill>
                              <a:ln w="1778">
                                <a:solidFill>
                                  <a:srgbClr val="000000"/>
                                </a:solidFill>
                              </a:ln>
                            </wps:spPr>
                            <wps:txbx>
                              <w:txbxContent>
                                <w:p>
                                  <w:pPr>
                                    <w:jc w:val="right"/>
                                  </w:pPr>
                                  <w:r/>
                                  <w:r/>
                                </w:p>
                                <w:p>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12.0pt;mso-position-horizontal:absolute;mso-position-vertical-relative:text;margin-top:18.9pt;mso-position-vertical:absolute;width:114.6pt;height:18.0pt;mso-wrap-distance-left:9.0pt;mso-wrap-distance-top:0.0pt;mso-wrap-distance-right:9.0pt;mso-wrap-distance-bottom:0.0pt;visibility:visible;" fillcolor="#FFFFFF" strokecolor="#000000" strokeweight="0.14pt">
                      <v:textbox inset="0,0,0,0">
                        <w:txbxContent>
                          <w:p>
                            <w:pPr>
                              <w:jc w:val="right"/>
                            </w:pPr>
                            <w:r/>
                            <w:r/>
                          </w:p>
                          <w:p>
                            <w:r/>
                            <w:r/>
                          </w:p>
                          <w:p>
                            <w:r/>
                            <w:r/>
                          </w:p>
                        </w:txbxContent>
                      </v:textbox>
                    </v:shape>
                  </w:pict>
                </mc:Fallback>
              </mc:AlternateContent>
            </w:r>
            <w:r/>
          </w:p>
          <w:p>
            <w:pPr>
              <w:ind w:right="240"/>
              <w:jc w:val="right"/>
              <w:spacing w:line="360" w:lineRule="auto"/>
              <w:rPr>
                <w:rFonts w:ascii="宋体" w:hAnsi="宋体"/>
                <w:sz w:val="24"/>
                <w:szCs w:val="24"/>
              </w:rPr>
            </w:pPr>
            <w:r>
              <w:rPr>
                <w:rFonts w:hint="eastAsia" w:ascii="宋体" w:hAnsi="宋体"/>
                <w:sz w:val="24"/>
                <w:szCs w:val="24"/>
              </w:rPr>
              <w:t xml:space="preserve">元</w:t>
            </w:r>
            <w:r/>
          </w:p>
        </w:tc>
      </w:tr>
      <w:tr>
        <w:trPr>
          <w:trHeight w:val="823"/>
        </w:trPr>
        <w:tc>
          <w:tcPr>
            <w:tcW w:w="3861" w:type="dxa"/>
            <w:vAlign w:val="center"/>
            <w:textDirection w:val="lrTb"/>
            <w:noWrap w:val="false"/>
          </w:tcPr>
          <w:p>
            <w:pPr>
              <w:pStyle w:val="935"/>
              <w:jc w:val="center"/>
              <w:rPr>
                <w:sz w:val="24"/>
              </w:rPr>
            </w:pPr>
            <w:r>
              <w:rPr>
                <w:rFonts w:hint="eastAsia"/>
                <w:sz w:val="24"/>
              </w:rPr>
              <w:t xml:space="preserve">总价（大写）：</w:t>
            </w:r>
            <w:r/>
          </w:p>
        </w:tc>
        <w:tc>
          <w:tcPr>
            <w:gridSpan w:val="2"/>
            <w:tcW w:w="5319" w:type="dxa"/>
            <w:vAlign w:val="center"/>
            <w:textDirection w:val="lrTb"/>
            <w:noWrap w:val="false"/>
          </w:tcPr>
          <w:p>
            <w:pPr>
              <w:jc w:val="left"/>
              <w:spacing w:line="360" w:lineRule="auto"/>
              <w:rPr>
                <w:rFonts w:ascii="宋体" w:hAnsi="宋体"/>
                <w:sz w:val="24"/>
                <w:szCs w:val="24"/>
              </w:rPr>
            </w:pPr>
            <w:r>
              <w:rPr>
                <w:rFonts w:hint="eastAsia"/>
                <w:sz w:val="24"/>
              </w:rPr>
              <w:t xml:space="preserve">金额大写 </w:t>
            </w:r>
            <w:r/>
          </w:p>
        </w:tc>
      </w:tr>
    </w:tbl>
    <w:p>
      <w:pPr>
        <w:pStyle w:val="935"/>
        <w:jc w:val="center"/>
        <w:rPr>
          <w:sz w:val="24"/>
        </w:rPr>
      </w:pPr>
      <w:r>
        <w:rPr>
          <w:sz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right"/>
        <w:spacing w:line="360" w:lineRule="auto"/>
        <w:rPr>
          <w:rFonts w:ascii="宋体" w:hAnsi="宋体"/>
          <w:sz w:val="24"/>
          <w:szCs w:val="24"/>
        </w:rPr>
      </w:pPr>
      <w:r>
        <w:rPr>
          <w:rFonts w:hint="eastAsia" w:ascii="宋体" w:hAnsi="宋体"/>
          <w:sz w:val="24"/>
          <w:szCs w:val="24"/>
        </w:rPr>
        <w:t xml:space="preserve">投标人公章：            （电子签章）</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（一）</w:t>
      </w:r>
      <w:bookmarkEnd w:id="143"/>
      <w:r>
        <w:rPr>
          <w:rFonts w:hint="eastAsia" w:ascii="黑体" w:hAnsi="黑体" w:eastAsia="黑体"/>
          <w:sz w:val="28"/>
          <w:szCs w:val="28"/>
        </w:rPr>
        <w:t xml:space="preserve">营业执照或事业单位法人登记证书原件扫描件</w:t>
      </w:r>
      <w:r/>
    </w:p>
    <w:p>
      <w:pPr>
        <w:pStyle w:val="931"/>
        <w:ind w:firstLine="562"/>
        <w:rPr>
          <w:rFonts w:ascii="宋体" w:hAnsi="宋体" w:cs="宋体"/>
          <w:b/>
          <w:bCs/>
          <w:sz w:val="28"/>
          <w:szCs w:val="28"/>
        </w:rPr>
      </w:pPr>
      <w:r>
        <w:rPr>
          <w:rFonts w:ascii="宋体" w:hAnsi="宋体" w:cs="宋体"/>
          <w:b/>
          <w:bCs/>
          <w:sz w:val="28"/>
          <w:szCs w:val="28"/>
        </w:rPr>
      </w:r>
      <w:r/>
    </w:p>
    <w:p>
      <w:pPr>
        <w:ind w:left="420"/>
        <w:jc w:val="center"/>
        <w:spacing w:line="440" w:lineRule="exact"/>
        <w:rPr>
          <w:rFonts w:ascii="宋体" w:hAnsi="宋体" w:cs="宋体"/>
          <w:b/>
          <w:bCs/>
          <w:sz w:val="28"/>
          <w:szCs w:val="28"/>
        </w:rPr>
      </w:pPr>
      <w:r>
        <w:rPr>
          <w:rFonts w:ascii="宋体" w:hAnsi="宋体" w:cs="宋体"/>
          <w:b/>
          <w:bCs/>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（二）政府采购基本资格条件声明函</w:t>
      </w:r>
      <w:r/>
    </w:p>
    <w:p>
      <w:pPr>
        <w:pStyle w:val="931"/>
        <w:spacing w:after="0" w:line="560" w:lineRule="exact"/>
        <w:rPr>
          <w:rFonts w:ascii="宋体" w:hAnsi="宋体" w:cs="宋体"/>
          <w:b/>
          <w:bCs/>
          <w:sz w:val="24"/>
          <w:u w:val="single"/>
        </w:rPr>
      </w:pPr>
      <w:r>
        <w:rPr>
          <w:rFonts w:hint="eastAsia" w:ascii="宋体" w:hAnsi="宋体" w:cs="宋体"/>
          <w:b/>
          <w:bCs/>
          <w:sz w:val="24"/>
          <w:u w:val="single"/>
        </w:rPr>
        <w:t xml:space="preserve">  采购人名称     </w:t>
      </w:r>
      <w:r>
        <w:rPr>
          <w:rFonts w:hint="eastAsia" w:ascii="宋体" w:hAnsi="宋体" w:cs="宋体"/>
          <w:b/>
          <w:bCs/>
          <w:sz w:val="24"/>
        </w:rPr>
        <w:t xml:space="preserve">：</w:t>
      </w:r>
      <w:r/>
    </w:p>
    <w:p>
      <w:pPr>
        <w:pStyle w:val="931"/>
        <w:ind w:firstLine="480"/>
        <w:spacing w:after="0" w:line="560" w:lineRule="exact"/>
        <w:rPr>
          <w:rFonts w:ascii="宋体" w:hAnsi="宋体" w:cs="宋体"/>
          <w:b/>
          <w:bCs/>
          <w:sz w:val="24"/>
        </w:rPr>
      </w:pPr>
      <w:r>
        <w:rPr>
          <w:rFonts w:hint="eastAsia" w:ascii="宋体" w:hAnsi="宋体" w:cs="宋体"/>
          <w:b/>
          <w:bCs/>
          <w:sz w:val="24"/>
        </w:rPr>
        <w:t xml:space="preserve">我单位自愿参加贵单位组织的</w:t>
      </w:r>
      <w:r>
        <w:rPr>
          <w:rFonts w:hint="eastAsia" w:ascii="宋体" w:hAnsi="宋体" w:cs="宋体"/>
          <w:b/>
          <w:bCs/>
          <w:sz w:val="24"/>
          <w:u w:val="single"/>
        </w:rPr>
        <w:t xml:space="preserve">    （项目名称）    </w:t>
      </w:r>
      <w:r>
        <w:rPr>
          <w:rFonts w:hint="eastAsia" w:ascii="宋体" w:hAnsi="宋体" w:cs="宋体"/>
          <w:b/>
          <w:bCs/>
          <w:sz w:val="24"/>
        </w:rPr>
        <w:t xml:space="preserve">政府采购活动，按照《政府采购法》及其实施条例等法律法规、规章政策以及本项目采购文件要求，我单位具备供应商基本资格条件。现就有关事项郑重声明如下：</w:t>
      </w:r>
      <w:r/>
    </w:p>
    <w:p>
      <w:pPr>
        <w:pStyle w:val="931"/>
        <w:ind w:firstLine="480"/>
        <w:spacing w:after="0" w:line="560" w:lineRule="exact"/>
        <w:rPr>
          <w:rFonts w:ascii="宋体" w:hAnsi="宋体" w:cs="宋体"/>
          <w:b/>
          <w:bCs/>
          <w:sz w:val="24"/>
        </w:rPr>
      </w:pPr>
      <w:r>
        <w:rPr>
          <w:rFonts w:hint="eastAsia" w:ascii="宋体" w:hAnsi="宋体" w:cs="宋体"/>
          <w:b/>
          <w:bCs/>
          <w:sz w:val="24"/>
        </w:rPr>
        <w:t xml:space="preserve">1．我公司具有良好的商业信誉和健全的财务制度；</w:t>
      </w:r>
      <w:r/>
    </w:p>
    <w:p>
      <w:pPr>
        <w:pStyle w:val="931"/>
        <w:ind w:firstLine="480"/>
        <w:spacing w:after="0" w:line="560" w:lineRule="exact"/>
        <w:rPr>
          <w:rFonts w:ascii="宋体" w:hAnsi="宋体" w:cs="宋体"/>
          <w:b/>
          <w:bCs/>
          <w:sz w:val="24"/>
        </w:rPr>
      </w:pPr>
      <w:r>
        <w:rPr>
          <w:rFonts w:hint="eastAsia" w:ascii="宋体" w:hAnsi="宋体" w:cs="宋体"/>
          <w:b/>
          <w:bCs/>
          <w:sz w:val="24"/>
        </w:rPr>
        <w:t xml:space="preserve">2．我公司具有履行合同所必须的设备和专业技术能力；</w:t>
      </w:r>
      <w:r/>
    </w:p>
    <w:p>
      <w:pPr>
        <w:pStyle w:val="931"/>
        <w:ind w:firstLine="480"/>
        <w:spacing w:after="0" w:line="560" w:lineRule="exact"/>
        <w:rPr>
          <w:rFonts w:ascii="宋体" w:hAnsi="宋体" w:cs="宋体"/>
          <w:b/>
          <w:bCs/>
          <w:sz w:val="24"/>
        </w:rPr>
      </w:pPr>
      <w:r>
        <w:rPr>
          <w:rFonts w:hint="eastAsia" w:ascii="宋体" w:hAnsi="宋体" w:cs="宋体"/>
          <w:b/>
          <w:bCs/>
          <w:sz w:val="24"/>
        </w:rPr>
        <w:t xml:space="preserve">3．我公司具有依法缴纳税收和社会保障资金的良好记录；</w:t>
      </w:r>
      <w:r/>
    </w:p>
    <w:p>
      <w:pPr>
        <w:pStyle w:val="931"/>
        <w:ind w:firstLine="480"/>
        <w:spacing w:after="0" w:line="560" w:lineRule="exact"/>
        <w:rPr>
          <w:rFonts w:ascii="宋体" w:hAnsi="宋体" w:cs="宋体"/>
          <w:b/>
          <w:bCs/>
          <w:sz w:val="24"/>
        </w:rPr>
      </w:pPr>
      <w:r>
        <w:rPr>
          <w:rFonts w:hint="eastAsia" w:ascii="宋体" w:hAnsi="宋体" w:cs="宋体"/>
          <w:b/>
          <w:bCs/>
          <w:sz w:val="24"/>
        </w:rPr>
        <w:t xml:space="preserve">4．我公司参加政府采购活动前三年内，在经营活动中没有重大违法记录；</w:t>
      </w:r>
      <w:r/>
    </w:p>
    <w:p>
      <w:pPr>
        <w:pStyle w:val="931"/>
        <w:ind w:firstLine="480"/>
        <w:spacing w:after="0" w:line="560" w:lineRule="exact"/>
        <w:rPr>
          <w:rFonts w:ascii="宋体" w:hAnsi="宋体" w:cs="宋体"/>
          <w:b/>
          <w:bCs/>
          <w:sz w:val="24"/>
        </w:rPr>
      </w:pPr>
      <w:r>
        <w:rPr>
          <w:rFonts w:hint="eastAsia" w:ascii="宋体" w:hAnsi="宋体" w:cs="宋体"/>
          <w:b/>
          <w:bCs/>
          <w:sz w:val="24"/>
        </w:rPr>
        <w:t xml:space="preserve">以上承诺内容真实准确，若有不实，自愿按照《中华人民共和国政府采购法》第七十七条规定，承担相应的法律责任。</w:t>
      </w:r>
      <w:r/>
    </w:p>
    <w:p>
      <w:pPr>
        <w:ind w:firstLine="480"/>
        <w:spacing w:line="560" w:lineRule="exact"/>
        <w:rPr>
          <w:rFonts w:ascii="宋体" w:hAnsi="宋体" w:cs="宋体"/>
          <w:sz w:val="24"/>
          <w:szCs w:val="24"/>
        </w:rPr>
      </w:pPr>
      <w:r>
        <w:rPr>
          <w:rFonts w:ascii="宋体" w:hAnsi="宋体" w:cs="宋体"/>
          <w:sz w:val="24"/>
          <w:szCs w:val="24"/>
        </w:rPr>
      </w:r>
      <w:r/>
    </w:p>
    <w:p>
      <w:pPr>
        <w:ind w:firstLine="480"/>
        <w:spacing w:line="560" w:lineRule="exact"/>
        <w:rPr>
          <w:rFonts w:ascii="宋体" w:hAnsi="宋体" w:cs="宋体"/>
          <w:sz w:val="24"/>
          <w:szCs w:val="24"/>
        </w:rPr>
      </w:pPr>
      <w:r>
        <w:rPr>
          <w:rFonts w:ascii="宋体" w:hAnsi="宋体" w:cs="宋体"/>
          <w:sz w:val="24"/>
          <w:szCs w:val="24"/>
        </w:rPr>
      </w:r>
      <w:r/>
    </w:p>
    <w:p>
      <w:pPr>
        <w:ind w:firstLine="480"/>
        <w:jc w:val="right"/>
        <w:spacing w:line="560" w:lineRule="exact"/>
        <w:rPr>
          <w:rFonts w:ascii="宋体" w:hAnsi="宋体" w:cs="宋体"/>
          <w:sz w:val="24"/>
          <w:szCs w:val="24"/>
        </w:rPr>
      </w:pPr>
      <w:r>
        <w:rPr>
          <w:rFonts w:hint="eastAsia" w:ascii="宋体" w:hAnsi="宋体" w:cs="宋体"/>
          <w:sz w:val="24"/>
          <w:szCs w:val="24"/>
        </w:rPr>
        <w:t xml:space="preserve">投标人公章：            （电子签章）</w:t>
      </w:r>
      <w:r/>
    </w:p>
    <w:p>
      <w:pPr>
        <w:ind w:firstLine="480"/>
        <w:jc w:val="right"/>
        <w:spacing w:line="560" w:lineRule="exact"/>
        <w:rPr>
          <w:rFonts w:ascii="宋体" w:hAnsi="宋体" w:cs="宋体"/>
          <w:sz w:val="24"/>
          <w:szCs w:val="24"/>
        </w:rPr>
      </w:pPr>
      <w:r>
        <w:rPr>
          <w:rFonts w:hint="eastAsia" w:ascii="宋体" w:hAnsi="宋体" w:cs="宋体"/>
          <w:sz w:val="24"/>
          <w:szCs w:val="24"/>
        </w:rPr>
        <w:t xml:space="preserve">法定代表人：            </w:t>
      </w:r>
      <w:r>
        <w:rPr>
          <w:rFonts w:hint="eastAsia" w:ascii="宋体" w:hAnsi="宋体" w:cs="宋体"/>
          <w:bCs/>
          <w:sz w:val="24"/>
          <w:szCs w:val="24"/>
        </w:rPr>
        <w:t xml:space="preserve">（电子签章</w:t>
      </w:r>
      <w:r>
        <w:rPr>
          <w:rFonts w:hint="eastAsia" w:ascii="宋体" w:hAnsi="宋体" w:cs="宋体"/>
          <w:sz w:val="24"/>
          <w:szCs w:val="24"/>
        </w:rPr>
        <w:t xml:space="preserve">）</w:t>
      </w:r>
      <w:r/>
    </w:p>
    <w:p>
      <w:pPr>
        <w:ind w:firstLine="480"/>
        <w:jc w:val="right"/>
        <w:spacing w:line="560" w:lineRule="exac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（三）医疗器械经营许可证原件扫描件</w:t>
      </w:r>
      <w:r/>
    </w:p>
    <w:p>
      <w:pPr>
        <w:jc w:val="center"/>
        <w:spacing w:line="360" w:lineRule="auto"/>
        <w:rPr>
          <w:rFonts w:ascii="黑体" w:hAnsi="黑体" w:eastAsia="黑体"/>
          <w:sz w:val="22"/>
        </w:rPr>
      </w:pPr>
      <w:r>
        <w:rPr>
          <w:rFonts w:ascii="黑体" w:hAnsi="黑体" w:eastAsia="黑体"/>
          <w:sz w:val="22"/>
        </w:rPr>
      </w:r>
      <w:r/>
    </w:p>
    <w:p>
      <w:pPr>
        <w:jc w:val="center"/>
        <w:spacing w:line="360" w:lineRule="auto"/>
        <w:rPr>
          <w:rFonts w:ascii="黑体" w:hAnsi="黑体" w:eastAsia="黑体"/>
          <w:sz w:val="28"/>
          <w:szCs w:val="28"/>
        </w:rPr>
      </w:pPr>
      <w:r>
        <w:rPr>
          <w:rFonts w:hint="eastAsia" w:ascii="黑体" w:hAnsi="黑体" w:eastAsia="黑体"/>
          <w:sz w:val="22"/>
        </w:rPr>
        <w:t xml:space="preserve">[适用于投标人为非投标产品制造商]</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（四）《医疗器械生产企业许可证》、《医疗器械注册证》原件扫描件</w:t>
      </w:r>
      <w:r/>
    </w:p>
    <w:p>
      <w:pPr>
        <w:jc w:val="center"/>
        <w:spacing w:line="360" w:lineRule="auto"/>
        <w:rPr>
          <w:rFonts w:ascii="黑体" w:hAnsi="黑体" w:eastAsia="黑体"/>
          <w:sz w:val="28"/>
          <w:szCs w:val="28"/>
        </w:rPr>
      </w:pPr>
      <w:r>
        <w:rPr>
          <w:rFonts w:hint="eastAsia" w:ascii="黑体" w:hAnsi="黑体" w:eastAsia="黑体"/>
          <w:sz w:val="22"/>
        </w:rPr>
        <w:t xml:space="preserve">[适用于投标人为产品制造商（注册人/备案人）且销售自产产品]</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left"/>
        <w:spacing w:line="360" w:lineRule="auto"/>
        <w:tabs>
          <w:tab w:val="left" w:pos="1608" w:leader="none"/>
        </w:tabs>
        <w:rPr>
          <w:rFonts w:ascii="黑体" w:hAnsi="黑体" w:eastAsia="黑体"/>
          <w:sz w:val="28"/>
          <w:szCs w:val="28"/>
        </w:rPr>
      </w:pPr>
      <w:r>
        <w:rPr>
          <w:rFonts w:hint="eastAsia" w:ascii="黑体" w:hAnsi="黑体" w:eastAsia="黑体"/>
          <w:sz w:val="28"/>
          <w:szCs w:val="28"/>
        </w:rPr>
        <w:tab/>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（五）其他条件</w:t>
      </w:r>
      <w:r/>
    </w:p>
    <w:p>
      <w:pPr>
        <w:jc w:val="center"/>
        <w:spacing w:line="360" w:lineRule="auto"/>
        <w:rPr>
          <w:rFonts w:ascii="黑体" w:hAnsi="黑体" w:eastAsia="黑体"/>
          <w:sz w:val="28"/>
          <w:szCs w:val="28"/>
        </w:rPr>
      </w:pPr>
      <w:r>
        <w:rPr>
          <w:rFonts w:hint="eastAsia" w:ascii="黑体" w:hAnsi="黑体" w:eastAsia="黑体"/>
          <w:sz w:val="28"/>
          <w:szCs w:val="28"/>
        </w:rPr>
        <w:t xml:space="preserve">1.非联合体投标声明函</w:t>
      </w:r>
      <w:r/>
    </w:p>
    <w:p>
      <w:pPr>
        <w:jc w:val="center"/>
        <w:spacing w:line="360" w:lineRule="auto"/>
        <w:rPr>
          <w:rFonts w:ascii="黑体" w:hAnsi="黑体" w:eastAsia="黑体"/>
          <w:sz w:val="36"/>
          <w:szCs w:val="28"/>
        </w:rPr>
      </w:pPr>
      <w:r>
        <w:rPr>
          <w:rFonts w:ascii="黑体" w:hAnsi="黑体" w:eastAsia="黑体"/>
          <w:sz w:val="36"/>
          <w:szCs w:val="28"/>
        </w:rPr>
      </w:r>
      <w:r/>
    </w:p>
    <w:p>
      <w:pPr>
        <w:ind w:firstLine="480"/>
        <w:jc w:val="center"/>
        <w:spacing w:line="360" w:lineRule="auto"/>
        <w:rPr>
          <w:rFonts w:ascii="宋体" w:hAnsi="宋体" w:cs="宋体"/>
          <w:b/>
          <w:bCs/>
          <w:sz w:val="22"/>
        </w:rPr>
      </w:pPr>
      <w:r>
        <w:rPr>
          <w:rFonts w:hint="eastAsia" w:ascii="宋体" w:hAnsi="宋体" w:cs="宋体"/>
          <w:b/>
          <w:bCs/>
          <w:sz w:val="22"/>
        </w:rPr>
        <w:t xml:space="preserve">我单位单独投标，未组成联合体投标。</w:t>
      </w:r>
      <w:r/>
    </w:p>
    <w:p>
      <w:pPr>
        <w:ind w:firstLine="480"/>
        <w:jc w:val="center"/>
        <w:spacing w:line="560" w:lineRule="exact"/>
        <w:rPr>
          <w:rFonts w:ascii="宋体" w:hAnsi="宋体" w:cs="宋体"/>
          <w:b/>
          <w:bCs/>
          <w:sz w:val="22"/>
        </w:rPr>
      </w:pPr>
      <w:r>
        <w:rPr>
          <w:rFonts w:ascii="宋体" w:hAnsi="宋体" w:cs="宋体"/>
          <w:b/>
          <w:bCs/>
          <w:sz w:val="22"/>
        </w:rPr>
      </w:r>
      <w:r/>
    </w:p>
    <w:p>
      <w:pPr>
        <w:ind w:firstLine="480"/>
        <w:jc w:val="center"/>
        <w:spacing w:line="560" w:lineRule="exact"/>
        <w:rPr>
          <w:rFonts w:ascii="宋体" w:hAnsi="宋体" w:cs="宋体"/>
          <w:b/>
          <w:bCs/>
          <w:sz w:val="22"/>
        </w:rPr>
      </w:pPr>
      <w:r>
        <w:rPr>
          <w:rFonts w:ascii="宋体" w:hAnsi="宋体" w:cs="宋体"/>
          <w:b/>
          <w:bCs/>
          <w:sz w:val="22"/>
        </w:rPr>
      </w:r>
      <w:r/>
    </w:p>
    <w:p>
      <w:pPr>
        <w:ind w:firstLine="480"/>
        <w:jc w:val="center"/>
        <w:spacing w:line="560" w:lineRule="exact"/>
        <w:rPr>
          <w:rFonts w:ascii="宋体" w:hAnsi="宋体" w:cs="宋体"/>
          <w:b/>
          <w:bCs/>
          <w:sz w:val="22"/>
        </w:rPr>
      </w:pPr>
      <w:r>
        <w:rPr>
          <w:rFonts w:ascii="宋体" w:hAnsi="宋体" w:cs="宋体"/>
          <w:b/>
          <w:bCs/>
          <w:sz w:val="22"/>
        </w:rPr>
      </w:r>
      <w:r/>
    </w:p>
    <w:p>
      <w:pPr>
        <w:ind w:firstLine="480"/>
        <w:jc w:val="center"/>
        <w:spacing w:line="560" w:lineRule="exact"/>
        <w:rPr>
          <w:rFonts w:ascii="宋体" w:hAnsi="宋体" w:cs="宋体"/>
          <w:b/>
          <w:bCs/>
          <w:sz w:val="22"/>
        </w:rPr>
      </w:pPr>
      <w:r>
        <w:rPr>
          <w:rFonts w:ascii="宋体" w:hAnsi="宋体" w:cs="宋体"/>
          <w:b/>
          <w:bCs/>
          <w:sz w:val="22"/>
        </w:rPr>
      </w:r>
      <w:r/>
    </w:p>
    <w:p>
      <w:pPr>
        <w:ind w:firstLine="480"/>
        <w:jc w:val="right"/>
        <w:spacing w:line="560" w:lineRule="exact"/>
        <w:rPr>
          <w:rFonts w:ascii="宋体" w:hAnsi="宋体" w:cs="宋体"/>
          <w:sz w:val="22"/>
        </w:rPr>
      </w:pPr>
      <w:r>
        <w:rPr>
          <w:rFonts w:hint="eastAsia" w:ascii="宋体" w:hAnsi="宋体" w:cs="宋体"/>
          <w:sz w:val="22"/>
        </w:rPr>
        <w:t xml:space="preserve">投标人公章：            （电子签章）</w:t>
      </w:r>
      <w:r/>
    </w:p>
    <w:p>
      <w:pPr>
        <w:ind w:firstLine="480"/>
        <w:jc w:val="right"/>
        <w:spacing w:line="560" w:lineRule="exact"/>
        <w:rPr>
          <w:rFonts w:ascii="宋体" w:hAnsi="宋体" w:cs="宋体"/>
          <w:sz w:val="22"/>
        </w:rPr>
      </w:pPr>
      <w:r>
        <w:rPr>
          <w:rFonts w:hint="eastAsia" w:ascii="宋体" w:hAnsi="宋体" w:cs="宋体"/>
          <w:sz w:val="22"/>
        </w:rPr>
        <w:t xml:space="preserve">法定代表人：            （电子签章）</w:t>
      </w:r>
      <w:r/>
    </w:p>
    <w:p>
      <w:pPr>
        <w:jc w:val="right"/>
        <w:spacing w:line="560" w:lineRule="exact"/>
        <w:rPr>
          <w:rFonts w:ascii="宋体" w:hAnsi="宋体" w:cs="宋体"/>
          <w:sz w:val="22"/>
        </w:rPr>
      </w:pPr>
      <w:r>
        <w:rPr>
          <w:rFonts w:hint="eastAsia" w:ascii="宋体" w:hAnsi="宋体" w:cs="宋体"/>
          <w:sz w:val="22"/>
          <w:u w:val="single"/>
        </w:rPr>
        <w:t xml:space="preserve">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jc w:val="center"/>
        <w:spacing w:line="560" w:lineRule="exact"/>
        <w:rPr>
          <w:rFonts w:ascii="宋体" w:hAnsi="宋体" w:cs="宋体"/>
          <w:sz w:val="22"/>
        </w:rPr>
      </w:pPr>
      <w:r>
        <w:rPr>
          <w:rFonts w:ascii="宋体" w:hAnsi="宋体" w:cs="宋体"/>
          <w:sz w:val="22"/>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2.政府采购诚信投标承诺书</w:t>
      </w:r>
      <w:r/>
    </w:p>
    <w:p>
      <w:pPr>
        <w:pStyle w:val="931"/>
        <w:spacing w:after="0" w:line="560" w:lineRule="exact"/>
        <w:rPr>
          <w:rFonts w:ascii="宋体" w:hAnsi="宋体" w:cs="宋体"/>
          <w:b/>
          <w:bCs/>
          <w:sz w:val="22"/>
          <w:szCs w:val="22"/>
          <w:u w:val="single"/>
        </w:rPr>
      </w:pPr>
      <w:r>
        <w:rPr>
          <w:rFonts w:hint="eastAsia" w:ascii="宋体" w:hAnsi="宋体" w:cs="宋体"/>
          <w:b/>
          <w:bCs/>
          <w:sz w:val="22"/>
          <w:szCs w:val="22"/>
          <w:u w:val="single"/>
        </w:rPr>
        <w:t xml:space="preserve">采购人名称  </w:t>
      </w:r>
      <w:r>
        <w:rPr>
          <w:rFonts w:hint="eastAsia" w:ascii="宋体" w:hAnsi="宋体" w:cs="宋体"/>
          <w:b/>
          <w:bCs/>
          <w:sz w:val="22"/>
          <w:szCs w:val="22"/>
        </w:rPr>
        <w:t xml:space="preserve">：</w:t>
      </w:r>
      <w:r/>
    </w:p>
    <w:p>
      <w:pPr>
        <w:ind w:firstLine="480"/>
        <w:spacing w:line="560" w:lineRule="exact"/>
        <w:rPr>
          <w:rFonts w:ascii="宋体" w:hAnsi="宋体" w:cs="宋体"/>
          <w:sz w:val="22"/>
        </w:rPr>
      </w:pPr>
      <w:r>
        <w:rPr>
          <w:rFonts w:hint="eastAsia" w:ascii="宋体" w:hAnsi="宋体" w:cs="宋体"/>
          <w:b/>
          <w:bCs/>
          <w:sz w:val="22"/>
        </w:rPr>
        <w:t xml:space="preserve">我单位自愿参加贵单位组织的</w:t>
      </w:r>
      <w:r>
        <w:rPr>
          <w:rFonts w:hint="eastAsia" w:ascii="宋体" w:hAnsi="宋体" w:cs="宋体"/>
          <w:b/>
          <w:bCs/>
          <w:sz w:val="22"/>
          <w:u w:val="single"/>
        </w:rPr>
        <w:t xml:space="preserve">    （项目名称）    </w:t>
      </w:r>
      <w:r>
        <w:rPr>
          <w:rFonts w:hint="eastAsia" w:ascii="宋体" w:hAnsi="宋体" w:cs="宋体"/>
          <w:b/>
          <w:bCs/>
          <w:sz w:val="22"/>
        </w:rPr>
        <w:t xml:space="preserve">政府采购活动，我单位在此郑重承诺：</w:t>
      </w:r>
      <w:r/>
    </w:p>
    <w:p>
      <w:pPr>
        <w:ind w:firstLine="480"/>
        <w:spacing w:line="560" w:lineRule="exact"/>
        <w:rPr>
          <w:rFonts w:ascii="宋体" w:hAnsi="宋体" w:cs="宋体"/>
          <w:b/>
          <w:bCs/>
          <w:sz w:val="22"/>
        </w:rPr>
      </w:pPr>
      <w:r>
        <w:rPr>
          <w:rFonts w:hint="eastAsia" w:ascii="宋体" w:hAnsi="宋体" w:cs="宋体"/>
          <w:b/>
          <w:bCs/>
          <w:sz w:val="22"/>
        </w:rPr>
        <w:t xml:space="preserve">1、我方承诺在招标文件规定的投标有效期内不修改、撤销投标文件。</w:t>
      </w:r>
      <w:r/>
    </w:p>
    <w:p>
      <w:pPr>
        <w:ind w:firstLine="480"/>
        <w:spacing w:line="560" w:lineRule="exact"/>
        <w:rPr>
          <w:rFonts w:ascii="宋体" w:hAnsi="宋体" w:cs="宋体"/>
          <w:b/>
          <w:bCs/>
          <w:sz w:val="22"/>
        </w:rPr>
      </w:pPr>
      <w:r>
        <w:rPr>
          <w:rFonts w:hint="eastAsia" w:ascii="宋体" w:hAnsi="宋体" w:cs="宋体"/>
          <w:b/>
          <w:bCs/>
          <w:sz w:val="22"/>
        </w:rPr>
        <w:t xml:space="preserve">2、我方未以他人名义投标或以其他方式弄虚作假，骗取中标。</w:t>
      </w:r>
      <w:r/>
    </w:p>
    <w:p>
      <w:pPr>
        <w:ind w:firstLine="480"/>
        <w:spacing w:line="560" w:lineRule="exact"/>
        <w:rPr>
          <w:rFonts w:ascii="宋体" w:hAnsi="宋体" w:cs="宋体"/>
          <w:b/>
          <w:bCs/>
          <w:sz w:val="22"/>
        </w:rPr>
      </w:pPr>
      <w:r>
        <w:rPr>
          <w:rFonts w:hint="eastAsia" w:ascii="宋体" w:hAnsi="宋体" w:cs="宋体"/>
          <w:b/>
          <w:bCs/>
          <w:sz w:val="22"/>
        </w:rPr>
        <w:t xml:space="preserve">3、我方未与其他投标人相互串通投标。</w:t>
      </w:r>
      <w:r/>
    </w:p>
    <w:p>
      <w:pPr>
        <w:ind w:firstLine="480"/>
        <w:spacing w:line="560" w:lineRule="exact"/>
        <w:rPr>
          <w:rFonts w:ascii="宋体" w:hAnsi="宋体" w:cs="宋体"/>
          <w:b/>
          <w:bCs/>
          <w:sz w:val="22"/>
        </w:rPr>
      </w:pPr>
      <w:r>
        <w:rPr>
          <w:rFonts w:hint="eastAsia" w:ascii="宋体" w:hAnsi="宋体" w:cs="宋体"/>
          <w:b/>
          <w:bCs/>
          <w:sz w:val="22"/>
        </w:rPr>
        <w:t xml:space="preserve">4、我方不向采购人或评标委员会行贿以牟取中标。</w:t>
      </w:r>
      <w:r/>
    </w:p>
    <w:p>
      <w:pPr>
        <w:ind w:firstLine="480"/>
        <w:spacing w:line="560" w:lineRule="exact"/>
        <w:rPr>
          <w:rFonts w:ascii="宋体" w:hAnsi="宋体" w:cs="宋体"/>
          <w:b/>
          <w:bCs/>
          <w:sz w:val="22"/>
        </w:rPr>
      </w:pPr>
      <w:r>
        <w:rPr>
          <w:rFonts w:hint="eastAsia" w:ascii="宋体" w:hAnsi="宋体" w:cs="宋体"/>
          <w:b/>
          <w:bCs/>
          <w:sz w:val="22"/>
        </w:rPr>
        <w:t xml:space="preserve">5、我方不存在第二章投标人须知第1.4.3项情形之一。</w:t>
      </w:r>
      <w:r/>
    </w:p>
    <w:p>
      <w:pPr>
        <w:ind w:firstLine="480"/>
        <w:spacing w:line="560" w:lineRule="exact"/>
        <w:rPr>
          <w:rFonts w:ascii="宋体" w:hAnsi="宋体" w:cs="宋体"/>
          <w:b/>
          <w:bCs/>
          <w:sz w:val="22"/>
        </w:rPr>
      </w:pPr>
      <w:r>
        <w:rPr>
          <w:rFonts w:hint="eastAsia" w:ascii="宋体" w:hAnsi="宋体" w:cs="宋体"/>
          <w:b/>
          <w:bCs/>
          <w:sz w:val="22"/>
        </w:rPr>
        <w:t xml:space="preserve">6、我方所提交的投标文件及有关资料内容完整、真实和准确。</w:t>
      </w:r>
      <w:r/>
    </w:p>
    <w:p>
      <w:pPr>
        <w:ind w:firstLine="480"/>
        <w:spacing w:line="560" w:lineRule="exact"/>
        <w:rPr>
          <w:rFonts w:ascii="宋体" w:hAnsi="宋体" w:cs="宋体"/>
          <w:b/>
          <w:bCs/>
          <w:sz w:val="22"/>
        </w:rPr>
      </w:pPr>
      <w:r>
        <w:rPr>
          <w:rFonts w:hint="eastAsia" w:ascii="宋体" w:hAnsi="宋体" w:cs="宋体"/>
          <w:b/>
          <w:bCs/>
          <w:sz w:val="22"/>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560" w:lineRule="exact"/>
        <w:rPr>
          <w:rFonts w:ascii="宋体" w:hAnsi="宋体" w:cs="宋体"/>
          <w:sz w:val="22"/>
        </w:rPr>
      </w:pPr>
      <w:r>
        <w:rPr>
          <w:rFonts w:ascii="宋体" w:hAnsi="宋体" w:cs="宋体"/>
          <w:sz w:val="22"/>
        </w:rPr>
      </w:r>
      <w:r/>
    </w:p>
    <w:p>
      <w:pPr>
        <w:ind w:firstLine="480"/>
        <w:spacing w:line="560" w:lineRule="exact"/>
        <w:rPr>
          <w:rFonts w:ascii="宋体" w:hAnsi="宋体" w:cs="宋体"/>
          <w:sz w:val="22"/>
        </w:rPr>
      </w:pPr>
      <w:r>
        <w:rPr>
          <w:rFonts w:ascii="宋体" w:hAnsi="宋体" w:cs="宋体"/>
          <w:sz w:val="22"/>
        </w:rPr>
      </w:r>
      <w:r/>
    </w:p>
    <w:p>
      <w:pPr>
        <w:ind w:firstLine="480"/>
        <w:spacing w:line="560" w:lineRule="exact"/>
        <w:rPr>
          <w:rFonts w:ascii="宋体" w:hAnsi="宋体" w:cs="宋体"/>
          <w:sz w:val="22"/>
        </w:rPr>
      </w:pPr>
      <w:r>
        <w:rPr>
          <w:rFonts w:ascii="宋体" w:hAnsi="宋体" w:cs="宋体"/>
          <w:sz w:val="22"/>
        </w:rPr>
      </w:r>
      <w:r/>
    </w:p>
    <w:p>
      <w:pPr>
        <w:ind w:firstLine="480"/>
        <w:spacing w:line="560" w:lineRule="exact"/>
        <w:rPr>
          <w:rFonts w:ascii="宋体" w:hAnsi="宋体" w:cs="宋体"/>
          <w:sz w:val="22"/>
        </w:rPr>
      </w:pPr>
      <w:r>
        <w:rPr>
          <w:rFonts w:ascii="宋体" w:hAnsi="宋体" w:cs="宋体"/>
          <w:sz w:val="22"/>
        </w:rPr>
      </w:r>
      <w:r/>
    </w:p>
    <w:p>
      <w:pPr>
        <w:ind w:firstLine="480"/>
        <w:jc w:val="right"/>
        <w:spacing w:line="560" w:lineRule="exact"/>
        <w:rPr>
          <w:rFonts w:ascii="宋体" w:hAnsi="宋体" w:cs="宋体"/>
          <w:sz w:val="22"/>
        </w:rPr>
      </w:pPr>
      <w:r>
        <w:rPr>
          <w:rFonts w:hint="eastAsia" w:ascii="宋体" w:hAnsi="宋体" w:cs="宋体"/>
          <w:sz w:val="22"/>
        </w:rPr>
        <w:t xml:space="preserve">投标人公章：            （电子签章）</w:t>
      </w:r>
      <w:r/>
    </w:p>
    <w:p>
      <w:pPr>
        <w:ind w:firstLine="480"/>
        <w:jc w:val="right"/>
        <w:spacing w:line="560" w:lineRule="exact"/>
        <w:rPr>
          <w:rFonts w:ascii="宋体" w:hAnsi="宋体" w:cs="宋体"/>
          <w:sz w:val="22"/>
        </w:rPr>
      </w:pPr>
      <w:r>
        <w:rPr>
          <w:rFonts w:hint="eastAsia" w:ascii="宋体" w:hAnsi="宋体" w:cs="宋体"/>
          <w:sz w:val="22"/>
        </w:rPr>
        <w:t xml:space="preserve">法定代表人：            （电子签章）</w:t>
      </w:r>
      <w:r/>
    </w:p>
    <w:p>
      <w:pPr>
        <w:jc w:val="right"/>
        <w:spacing w:line="560" w:lineRule="exact"/>
        <w:rPr>
          <w:rFonts w:ascii="宋体" w:hAnsi="宋体" w:cs="宋体"/>
          <w:sz w:val="22"/>
        </w:rPr>
      </w:pPr>
      <w:r>
        <w:rPr>
          <w:rFonts w:hint="eastAsia" w:ascii="宋体" w:hAnsi="宋体" w:cs="宋体"/>
          <w:sz w:val="22"/>
          <w:u w:val="single"/>
        </w:rPr>
        <w:t xml:space="preserve">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投标报价符合性审查</w:t>
      </w:r>
      <w:r/>
    </w:p>
    <w:p>
      <w:pPr>
        <w:jc w:val="center"/>
        <w:spacing w:line="360" w:lineRule="auto"/>
        <w:rPr>
          <w:rFonts w:ascii="黑体" w:hAnsi="黑体" w:eastAsia="黑体"/>
          <w:sz w:val="28"/>
          <w:szCs w:val="28"/>
        </w:rPr>
      </w:pPr>
      <w:r>
        <w:rPr>
          <w:rFonts w:ascii="黑体" w:hAnsi="黑体" w:eastAsia="黑体"/>
          <w:sz w:val="28"/>
          <w:szCs w:val="28"/>
        </w:rPr>
      </w:r>
      <w:r/>
    </w:p>
    <w:p>
      <w:pPr>
        <w:ind w:firstLine="440"/>
        <w:jc w:val="left"/>
        <w:spacing w:line="360" w:lineRule="auto"/>
        <w:rPr>
          <w:rFonts w:ascii="黑体" w:hAnsi="黑体" w:eastAsia="黑体"/>
          <w:sz w:val="22"/>
        </w:rPr>
      </w:pPr>
      <w:r>
        <w:rPr>
          <w:rFonts w:hint="eastAsia" w:ascii="黑体" w:hAnsi="黑体" w:eastAsia="黑体"/>
          <w:sz w:val="22"/>
        </w:rPr>
        <w:t xml:space="preserve">若</w:t>
      </w:r>
      <w:r>
        <w:rPr>
          <w:rFonts w:ascii="SimHei" w:hAnsi="SimHei" w:eastAsia="SimHei" w:cs="SimHei"/>
          <w:color w:val="000000"/>
          <w:sz w:val="20"/>
          <w:szCs w:val="18"/>
        </w:rPr>
        <w:t xml:space="preserve">若投标报价低于采购项目最高限价45%的，即投标报价&lt;采购项目最高限价×45%的，投标人可在此提供项目具体成本测算等与报价合理性相关的书面说明及必要的证明材料，包括但不限于</w:t>
      </w:r>
      <w:r>
        <w:rPr>
          <w:rFonts w:ascii="SimHei" w:hAnsi="SimHei" w:eastAsia="SimHei" w:cs="SimHei"/>
          <w:color w:val="000000"/>
          <w:sz w:val="20"/>
          <w:szCs w:val="18"/>
        </w:rPr>
        <w:t xml:space="preserve">产品</w:t>
      </w:r>
      <w:r>
        <w:rPr>
          <w:rFonts w:ascii="SimHei" w:hAnsi="SimHei" w:eastAsia="SimHei" w:cs="SimHei"/>
          <w:color w:val="000000"/>
          <w:sz w:val="20"/>
          <w:szCs w:val="18"/>
        </w:rPr>
        <w:t xml:space="preserve">成本</w:t>
      </w:r>
      <w:r>
        <w:rPr>
          <w:rFonts w:ascii="SimHei" w:hAnsi="SimHei" w:eastAsia="SimHei" w:cs="SimHei"/>
          <w:color w:val="000000"/>
          <w:sz w:val="20"/>
          <w:szCs w:val="18"/>
        </w:rPr>
        <w:t xml:space="preserve">、</w:t>
      </w:r>
      <w:r>
        <w:rPr>
          <w:rFonts w:ascii="SimHei" w:hAnsi="SimHei" w:eastAsia="SimHei" w:cs="SimHei"/>
          <w:color w:val="000000"/>
          <w:sz w:val="20"/>
          <w:szCs w:val="18"/>
        </w:rPr>
        <w:t xml:space="preserve">采购</w:t>
      </w:r>
      <w:r>
        <w:rPr>
          <w:rFonts w:ascii="SimHei" w:hAnsi="SimHei" w:eastAsia="SimHei" w:cs="SimHei"/>
          <w:color w:val="000000"/>
          <w:sz w:val="20"/>
          <w:szCs w:val="18"/>
        </w:rPr>
        <w:t xml:space="preserve">运输</w:t>
      </w:r>
      <w:r>
        <w:rPr>
          <w:rFonts w:ascii="SimHei" w:hAnsi="SimHei" w:eastAsia="SimHei" w:cs="SimHei"/>
          <w:color w:val="000000"/>
          <w:sz w:val="20"/>
          <w:szCs w:val="18"/>
        </w:rPr>
        <w:t xml:space="preserve">、</w:t>
      </w:r>
      <w:r>
        <w:rPr>
          <w:rFonts w:ascii="SimHei" w:hAnsi="SimHei" w:eastAsia="SimHei" w:cs="SimHei"/>
          <w:color w:val="000000"/>
          <w:sz w:val="20"/>
          <w:szCs w:val="18"/>
        </w:rPr>
        <w:t xml:space="preserve">保管</w:t>
      </w:r>
      <w:r>
        <w:rPr>
          <w:rFonts w:ascii="SimHei" w:hAnsi="SimHei" w:eastAsia="SimHei" w:cs="SimHei"/>
          <w:color w:val="000000"/>
          <w:sz w:val="20"/>
          <w:szCs w:val="18"/>
        </w:rPr>
        <w:t xml:space="preserve">费用</w:t>
      </w:r>
      <w:r>
        <w:rPr>
          <w:rFonts w:ascii="SimHei" w:hAnsi="SimHei" w:eastAsia="SimHei" w:cs="SimHei"/>
          <w:color w:val="000000"/>
          <w:sz w:val="20"/>
          <w:szCs w:val="18"/>
        </w:rPr>
        <w:t xml:space="preserve">、</w:t>
      </w:r>
      <w:r>
        <w:rPr>
          <w:rFonts w:ascii="SimHei" w:hAnsi="SimHei" w:eastAsia="SimHei" w:cs="SimHei"/>
          <w:color w:val="000000"/>
          <w:sz w:val="20"/>
          <w:szCs w:val="18"/>
        </w:rPr>
        <w:t xml:space="preserve">安装</w:t>
      </w:r>
      <w:r>
        <w:rPr>
          <w:rFonts w:ascii="SimHei" w:hAnsi="SimHei" w:eastAsia="SimHei" w:cs="SimHei"/>
          <w:color w:val="000000"/>
          <w:sz w:val="20"/>
          <w:szCs w:val="18"/>
        </w:rPr>
        <w:t xml:space="preserve">调试</w:t>
      </w:r>
      <w:r>
        <w:rPr>
          <w:rFonts w:ascii="SimHei" w:hAnsi="SimHei" w:eastAsia="SimHei" w:cs="SimHei"/>
          <w:color w:val="000000"/>
          <w:sz w:val="20"/>
          <w:szCs w:val="18"/>
        </w:rPr>
        <w:t xml:space="preserve">费用</w:t>
      </w:r>
      <w:r>
        <w:rPr>
          <w:rFonts w:ascii="SimHei" w:hAnsi="SimHei" w:eastAsia="SimHei" w:cs="SimHei"/>
          <w:color w:val="000000"/>
          <w:sz w:val="20"/>
          <w:szCs w:val="18"/>
        </w:rPr>
        <w:t xml:space="preserve">、</w:t>
      </w:r>
      <w:r>
        <w:rPr>
          <w:rFonts w:ascii="SimHei" w:hAnsi="SimHei" w:eastAsia="SimHei" w:cs="SimHei"/>
          <w:color w:val="000000"/>
          <w:sz w:val="20"/>
          <w:szCs w:val="18"/>
        </w:rPr>
        <w:t xml:space="preserve">售后</w:t>
      </w:r>
      <w:r>
        <w:rPr>
          <w:rFonts w:ascii="SimHei" w:hAnsi="SimHei" w:eastAsia="SimHei" w:cs="SimHei"/>
          <w:color w:val="000000"/>
          <w:sz w:val="20"/>
          <w:szCs w:val="18"/>
        </w:rPr>
        <w:t xml:space="preserve">服务</w:t>
      </w:r>
      <w:r>
        <w:rPr>
          <w:rFonts w:ascii="SimHei" w:hAnsi="SimHei" w:eastAsia="SimHei" w:cs="SimHei"/>
          <w:color w:val="000000"/>
          <w:sz w:val="20"/>
          <w:szCs w:val="18"/>
        </w:rPr>
        <w:t xml:space="preserve">费用</w:t>
      </w:r>
      <w:r>
        <w:rPr>
          <w:rFonts w:ascii="SimHei" w:hAnsi="SimHei" w:eastAsia="SimHei" w:cs="SimHei"/>
          <w:color w:val="000000"/>
          <w:sz w:val="20"/>
          <w:szCs w:val="18"/>
        </w:rPr>
        <w:t xml:space="preserve">等。投标人已随投标文件提交相关书面说明及必要的证明材料的，在评审现场将不再要求重复提交。</w:t>
      </w:r>
      <w:r>
        <w:rPr>
          <w:rFonts w:hint="eastAsia"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80"/>
        <w:jc w:val="right"/>
        <w:spacing w:line="360" w:lineRule="auto"/>
        <w:rPr>
          <w:rFonts w:ascii="黑体" w:hAnsi="黑体" w:eastAsia="黑体"/>
          <w:sz w:val="22"/>
        </w:rPr>
      </w:pPr>
      <w:r>
        <w:rPr>
          <w:rFonts w:hint="eastAsia" w:ascii="宋体" w:hAnsi="宋体" w:cs="宋体"/>
          <w:sz w:val="24"/>
          <w:szCs w:val="24"/>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pStyle w:val="761"/>
        <w:rPr>
          <w:rFonts w:ascii="黑体" w:hAnsi="黑体" w:eastAsia="黑体"/>
          <w:sz w:val="22"/>
          <w:szCs w:val="22"/>
        </w:rPr>
      </w:pPr>
      <w:r>
        <w:rPr>
          <w:rFonts w:ascii="黑体" w:hAnsi="黑体" w:eastAsia="黑体"/>
          <w:sz w:val="22"/>
        </w:rPr>
      </w:r>
      <w:r>
        <w:rPr>
          <w:rFonts w:ascii="黑体" w:hAnsi="黑体" w:eastAsia="黑体"/>
          <w:sz w:val="22"/>
        </w:rPr>
      </w:r>
      <w:r/>
    </w:p>
    <w:p>
      <w:pPr>
        <w:pStyle w:val="761"/>
        <w:rPr>
          <w:rFonts w:ascii="黑体" w:hAnsi="黑体" w:eastAsia="黑体"/>
          <w:sz w:val="22"/>
          <w:szCs w:val="22"/>
        </w:rPr>
      </w:pPr>
      <w:r>
        <w:rPr>
          <w:rFonts w:ascii="黑体" w:hAnsi="黑体" w:eastAsia="黑体"/>
          <w:sz w:val="22"/>
          <w:szCs w:val="22"/>
        </w:rPr>
      </w:r>
      <w:r>
        <w:rPr>
          <w:rFonts w:ascii="黑体" w:hAnsi="黑体" w:eastAsia="黑体"/>
          <w:sz w:val="22"/>
          <w:szCs w:val="22"/>
        </w:rPr>
      </w:r>
      <w:r/>
    </w:p>
    <w:p>
      <w:pPr>
        <w:pStyle w:val="761"/>
        <w:rPr>
          <w:rFonts w:ascii="黑体" w:hAnsi="黑体" w:eastAsia="黑体"/>
          <w:sz w:val="22"/>
          <w:szCs w:val="22"/>
        </w:rPr>
      </w:pPr>
      <w:r>
        <w:rPr>
          <w:rFonts w:ascii="黑体" w:hAnsi="黑体" w:eastAsia="黑体"/>
          <w:sz w:val="22"/>
          <w:szCs w:val="22"/>
        </w:rPr>
      </w:r>
      <w:r>
        <w:rPr>
          <w:rFonts w:ascii="黑体" w:hAnsi="黑体" w:eastAsia="黑体"/>
          <w:sz w:val="22"/>
          <w:szCs w:val="22"/>
        </w:rPr>
      </w:r>
      <w:r/>
    </w:p>
    <w:p>
      <w:pPr>
        <w:pStyle w:val="761"/>
        <w:rPr>
          <w:rFonts w:ascii="黑体" w:hAnsi="黑体" w:eastAsia="黑体"/>
          <w:sz w:val="22"/>
          <w:szCs w:val="22"/>
        </w:rPr>
      </w:pPr>
      <w:r>
        <w:rPr>
          <w:rFonts w:ascii="黑体" w:hAnsi="黑体" w:eastAsia="黑体"/>
          <w:sz w:val="22"/>
        </w:rPr>
      </w:r>
      <w:r/>
    </w:p>
    <w:p>
      <w:pPr>
        <w:pStyle w:val="761"/>
        <w:rPr>
          <w:rFonts w:ascii="黑体" w:hAnsi="黑体" w:eastAsia="黑体"/>
          <w:sz w:val="22"/>
          <w:szCs w:val="22"/>
        </w:rPr>
      </w:pPr>
      <w:r>
        <w:rPr>
          <w:rFonts w:ascii="黑体" w:hAnsi="黑体" w:eastAsia="黑体"/>
          <w:sz w:val="22"/>
        </w:rPr>
      </w:r>
      <w:r>
        <w:rPr>
          <w:rFonts w:ascii="黑体" w:hAnsi="黑体" w:eastAsia="黑体"/>
          <w:sz w:val="22"/>
        </w:rPr>
      </w:r>
      <w:r/>
    </w:p>
    <w:p>
      <w:pPr>
        <w:pStyle w:val="761"/>
        <w:rPr>
          <w:rFonts w:ascii="黑体" w:hAnsi="黑体" w:eastAsia="黑体"/>
          <w:sz w:val="22"/>
          <w:szCs w:val="22"/>
        </w:rPr>
      </w:pPr>
      <w:r>
        <w:rPr>
          <w:rFonts w:ascii="黑体" w:hAnsi="黑体" w:eastAsia="黑体"/>
          <w:sz w:val="22"/>
        </w:rPr>
      </w:r>
      <w:r/>
    </w:p>
    <w:p>
      <w:pPr>
        <w:jc w:val="center"/>
        <w:spacing w:line="360" w:lineRule="auto"/>
        <w:rPr>
          <w:sz w:val="18"/>
          <w:szCs w:val="18"/>
        </w:rPr>
      </w:pPr>
      <w:r>
        <w:rPr>
          <w:rFonts w:hint="eastAsia" w:ascii="黑体" w:hAnsi="黑体" w:eastAsia="黑体"/>
          <w:sz w:val="28"/>
          <w:szCs w:val="28"/>
        </w:rPr>
        <w:t xml:space="preserve">投标分项报价表</w:t>
      </w:r>
      <w:r/>
    </w:p>
    <w:tbl>
      <w:tblPr>
        <w:tblStyle w:val="681"/>
        <w:tblW w:w="9013"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900"/>
        <w:gridCol w:w="750"/>
        <w:gridCol w:w="750"/>
        <w:gridCol w:w="1580"/>
        <w:gridCol w:w="740"/>
        <w:gridCol w:w="769"/>
        <w:gridCol w:w="1008"/>
        <w:gridCol w:w="966"/>
      </w:tblGrid>
      <w:tr>
        <w:trPr>
          <w:cantSplit/>
          <w:trHeight w:val="812"/>
        </w:trPr>
        <w:tc>
          <w:tcPr>
            <w:tcW w:w="550"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序号</w:t>
            </w:r>
            <w:r/>
          </w:p>
        </w:tc>
        <w:tc>
          <w:tcPr>
            <w:shd w:val="clear" w:color="ffffff" w:fill="ffffff"/>
            <w:tcW w:w="1900"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产品名称</w:t>
            </w:r>
            <w:r/>
          </w:p>
        </w:tc>
        <w:tc>
          <w:tcPr>
            <w:shd w:val="clear" w:color="ffffff" w:fill="ffffff"/>
            <w:tcW w:w="750"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品牌</w:t>
            </w:r>
            <w:r/>
          </w:p>
        </w:tc>
        <w:tc>
          <w:tcPr>
            <w:shd w:val="clear" w:color="ffffff" w:fill="ffffff"/>
            <w:tcW w:w="750" w:type="dxa"/>
            <w:vAlign w:val="center"/>
            <w:textDirection w:val="lrTb"/>
            <w:noWrap w:val="false"/>
          </w:tcPr>
          <w:p>
            <w:pPr>
              <w:jc w:val="center"/>
              <w:spacing w:line="0" w:lineRule="atLeast"/>
              <w:rPr>
                <w:sz w:val="22"/>
              </w:rPr>
            </w:pPr>
            <w:r>
              <w:rPr>
                <w:rFonts w:hint="eastAsia" w:ascii="宋体" w:hAnsi="宋体" w:cs="宋体"/>
                <w:sz w:val="22"/>
              </w:rPr>
              <w:t xml:space="preserve">规格</w:t>
            </w:r>
            <w:r/>
          </w:p>
          <w:p>
            <w:pPr>
              <w:jc w:val="center"/>
              <w:spacing w:line="0" w:lineRule="atLeast"/>
              <w:rPr>
                <w:rFonts w:ascii="宋体" w:hAnsi="宋体" w:cs="宋体"/>
                <w:sz w:val="22"/>
              </w:rPr>
            </w:pPr>
            <w:r>
              <w:rPr>
                <w:rFonts w:hint="eastAsia" w:ascii="宋体" w:hAnsi="宋体" w:cs="宋体"/>
                <w:sz w:val="22"/>
              </w:rPr>
              <w:t xml:space="preserve">型号</w:t>
            </w:r>
            <w:r/>
          </w:p>
        </w:tc>
        <w:tc>
          <w:tcPr>
            <w:shd w:val="clear" w:color="ffffff" w:fill="ffffff"/>
            <w:tcW w:w="1580"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制造商名称</w:t>
            </w:r>
            <w:r/>
          </w:p>
        </w:tc>
        <w:tc>
          <w:tcPr>
            <w:shd w:val="clear" w:color="ffffff" w:fill="ffffff"/>
            <w:tcW w:w="740"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国别</w:t>
            </w:r>
            <w:r/>
          </w:p>
        </w:tc>
        <w:tc>
          <w:tcPr>
            <w:shd w:val="clear" w:color="ffffff" w:fill="ffffff"/>
            <w:tcW w:w="769"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数量</w:t>
            </w:r>
            <w:r/>
          </w:p>
        </w:tc>
        <w:tc>
          <w:tcPr>
            <w:shd w:val="clear" w:color="ffffff" w:fill="ffffff"/>
            <w:tcW w:w="1008" w:type="dxa"/>
            <w:vAlign w:val="center"/>
            <w:textDirection w:val="lrTb"/>
            <w:noWrap w:val="false"/>
          </w:tcPr>
          <w:p>
            <w:pPr>
              <w:jc w:val="center"/>
              <w:spacing w:line="0" w:lineRule="atLeast"/>
              <w:rPr>
                <w:sz w:val="22"/>
              </w:rPr>
            </w:pPr>
            <w:r>
              <w:rPr>
                <w:rFonts w:hint="eastAsia" w:ascii="宋体" w:hAnsi="宋体" w:cs="宋体"/>
                <w:sz w:val="22"/>
              </w:rPr>
              <w:t xml:space="preserve">分项</w:t>
            </w:r>
            <w:r/>
          </w:p>
          <w:p>
            <w:pPr>
              <w:jc w:val="center"/>
              <w:spacing w:line="0" w:lineRule="atLeast"/>
              <w:rPr>
                <w:rFonts w:ascii="宋体" w:hAnsi="宋体" w:cs="宋体"/>
                <w:sz w:val="22"/>
              </w:rPr>
            </w:pPr>
            <w:r>
              <w:rPr>
                <w:rFonts w:hint="eastAsia" w:ascii="宋体" w:hAnsi="宋体" w:cs="宋体"/>
                <w:sz w:val="22"/>
              </w:rPr>
              <w:t xml:space="preserve">单价</w:t>
            </w:r>
            <w:r/>
          </w:p>
          <w:p>
            <w:pPr>
              <w:jc w:val="center"/>
              <w:spacing w:line="0" w:lineRule="atLeast"/>
              <w:rPr>
                <w:rFonts w:ascii="宋体" w:hAnsi="宋体" w:cs="宋体"/>
                <w:sz w:val="22"/>
              </w:rPr>
            </w:pPr>
            <w:r>
              <w:rPr>
                <w:rFonts w:hint="eastAsia" w:ascii="宋体" w:hAnsi="宋体" w:cs="宋体"/>
                <w:sz w:val="22"/>
              </w:rPr>
              <w:t xml:space="preserve">（元）</w:t>
            </w:r>
            <w:r/>
          </w:p>
        </w:tc>
        <w:tc>
          <w:tcPr>
            <w:shd w:val="clear" w:color="ffffff" w:fill="ffffff"/>
            <w:tcW w:w="966" w:type="dxa"/>
            <w:vAlign w:val="center"/>
            <w:textDirection w:val="lrTb"/>
            <w:noWrap w:val="false"/>
          </w:tcPr>
          <w:p>
            <w:pPr>
              <w:jc w:val="center"/>
              <w:spacing w:line="0" w:lineRule="atLeast"/>
              <w:rPr>
                <w:sz w:val="22"/>
              </w:rPr>
            </w:pPr>
            <w:r>
              <w:rPr>
                <w:rFonts w:hint="eastAsia" w:ascii="宋体" w:hAnsi="宋体" w:cs="宋体"/>
                <w:sz w:val="22"/>
              </w:rPr>
              <w:t xml:space="preserve">分项</w:t>
            </w:r>
            <w:r/>
          </w:p>
          <w:p>
            <w:pPr>
              <w:jc w:val="center"/>
              <w:spacing w:line="0" w:lineRule="atLeast"/>
              <w:rPr>
                <w:rFonts w:ascii="宋体" w:hAnsi="宋体" w:cs="宋体"/>
                <w:sz w:val="22"/>
              </w:rPr>
            </w:pPr>
            <w:r>
              <w:rPr>
                <w:rFonts w:hint="eastAsia" w:ascii="宋体" w:hAnsi="宋体" w:cs="宋体"/>
                <w:sz w:val="22"/>
              </w:rPr>
              <w:t xml:space="preserve">总价</w:t>
            </w:r>
            <w:r/>
          </w:p>
          <w:p>
            <w:pPr>
              <w:jc w:val="center"/>
              <w:spacing w:line="0" w:lineRule="atLeast"/>
              <w:rPr>
                <w:rFonts w:ascii="宋体" w:hAnsi="宋体" w:cs="宋体"/>
                <w:sz w:val="22"/>
              </w:rPr>
            </w:pPr>
            <w:r>
              <w:rPr>
                <w:rFonts w:hint="eastAsia" w:ascii="宋体" w:hAnsi="宋体" w:cs="宋体"/>
                <w:sz w:val="22"/>
              </w:rPr>
              <w:t xml:space="preserve">（元）</w:t>
            </w:r>
            <w:r/>
          </w:p>
        </w:tc>
      </w:tr>
      <w:tr>
        <w:trPr>
          <w:cantSplit/>
          <w:trHeight w:val="601"/>
        </w:trPr>
        <w:tc>
          <w:tcPr>
            <w:tcW w:w="550"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1</w:t>
            </w:r>
            <w:r/>
          </w:p>
        </w:tc>
        <w:tc>
          <w:tcPr>
            <w:tcW w:w="1900" w:type="dxa"/>
            <w:vAlign w:val="center"/>
            <w:textDirection w:val="lrTb"/>
            <w:noWrap w:val="false"/>
          </w:tcPr>
          <w:p>
            <w:pPr>
              <w:jc w:val="center"/>
              <w:widowControl/>
              <w:rPr>
                <w:rFonts w:ascii="宋体" w:hAnsi="宋体" w:cs="宋体"/>
                <w:sz w:val="22"/>
              </w:rPr>
            </w:pPr>
            <w:r>
              <w:rPr>
                <w:rFonts w:hint="eastAsia" w:ascii="宋体" w:hAnsi="宋体" w:cs="宋体"/>
                <w:color w:val="000000"/>
                <w:sz w:val="22"/>
                <w:lang w:bidi="ar"/>
              </w:rPr>
              <w:t xml:space="preserve">聚焦超声皮肤治疗仪</w:t>
            </w:r>
            <w:r/>
          </w:p>
        </w:tc>
        <w:tc>
          <w:tcPr>
            <w:tcW w:w="750" w:type="dxa"/>
            <w:vAlign w:val="center"/>
            <w:textDirection w:val="lrTb"/>
            <w:noWrap w:val="false"/>
          </w:tcPr>
          <w:p>
            <w:pPr>
              <w:jc w:val="center"/>
              <w:spacing w:line="0" w:lineRule="atLeast"/>
              <w:rPr>
                <w:rFonts w:ascii="宋体" w:hAnsi="宋体" w:cs="宋体"/>
                <w:sz w:val="22"/>
              </w:rPr>
            </w:pPr>
            <w:r>
              <w:rPr>
                <w:rFonts w:ascii="宋体" w:hAnsi="宋体" w:cs="宋体"/>
                <w:sz w:val="22"/>
              </w:rPr>
            </w:r>
            <w:r/>
          </w:p>
        </w:tc>
        <w:tc>
          <w:tcPr>
            <w:tcW w:w="750" w:type="dxa"/>
            <w:vAlign w:val="center"/>
            <w:textDirection w:val="lrTb"/>
            <w:noWrap w:val="false"/>
          </w:tcPr>
          <w:p>
            <w:pPr>
              <w:jc w:val="center"/>
              <w:spacing w:line="0" w:lineRule="atLeast"/>
              <w:rPr>
                <w:rFonts w:ascii="宋体" w:hAnsi="宋体" w:cs="宋体"/>
                <w:sz w:val="22"/>
              </w:rPr>
            </w:pPr>
            <w:r>
              <w:rPr>
                <w:rFonts w:ascii="宋体" w:hAnsi="宋体" w:cs="宋体"/>
                <w:sz w:val="22"/>
              </w:rPr>
            </w:r>
            <w:r/>
          </w:p>
        </w:tc>
        <w:tc>
          <w:tcPr>
            <w:tcW w:w="1580" w:type="dxa"/>
            <w:vAlign w:val="center"/>
            <w:textDirection w:val="lrTb"/>
            <w:noWrap w:val="false"/>
          </w:tcPr>
          <w:p>
            <w:pPr>
              <w:jc w:val="center"/>
              <w:spacing w:line="0" w:lineRule="atLeast"/>
              <w:rPr>
                <w:rFonts w:ascii="宋体" w:hAnsi="宋体" w:cs="宋体"/>
                <w:sz w:val="22"/>
              </w:rPr>
            </w:pPr>
            <w:r>
              <w:rPr>
                <w:rFonts w:ascii="宋体" w:hAnsi="宋体" w:cs="宋体"/>
                <w:sz w:val="22"/>
              </w:rPr>
            </w:r>
            <w:r/>
          </w:p>
        </w:tc>
        <w:tc>
          <w:tcPr>
            <w:tcW w:w="740" w:type="dxa"/>
            <w:vAlign w:val="center"/>
            <w:textDirection w:val="lrTb"/>
            <w:noWrap w:val="false"/>
          </w:tcPr>
          <w:p>
            <w:pPr>
              <w:jc w:val="center"/>
              <w:spacing w:line="0" w:lineRule="atLeast"/>
              <w:rPr>
                <w:rFonts w:ascii="宋体" w:hAnsi="宋体" w:cs="宋体"/>
                <w:sz w:val="22"/>
              </w:rPr>
            </w:pPr>
            <w:r>
              <w:rPr>
                <w:rFonts w:ascii="宋体" w:hAnsi="宋体" w:cs="宋体"/>
                <w:sz w:val="22"/>
              </w:rPr>
            </w:r>
            <w:r/>
          </w:p>
        </w:tc>
        <w:tc>
          <w:tcPr>
            <w:tcW w:w="769" w:type="dxa"/>
            <w:vAlign w:val="center"/>
            <w:textDirection w:val="lrTb"/>
            <w:noWrap w:val="false"/>
          </w:tcPr>
          <w:p>
            <w:pPr>
              <w:jc w:val="center"/>
              <w:rPr>
                <w:rFonts w:ascii="宋体" w:hAnsi="宋体" w:cs="宋体"/>
                <w:sz w:val="22"/>
              </w:rPr>
            </w:pPr>
            <w:r>
              <w:rPr>
                <w:rFonts w:hint="eastAsia" w:ascii="宋体" w:hAnsi="宋体" w:cs="宋体"/>
                <w:color w:val="000000"/>
                <w:sz w:val="22"/>
              </w:rPr>
              <w:t xml:space="preserve">1台</w:t>
            </w:r>
            <w:r/>
          </w:p>
        </w:tc>
        <w:tc>
          <w:tcPr>
            <w:tcW w:w="1008" w:type="dxa"/>
            <w:vAlign w:val="center"/>
            <w:textDirection w:val="lrTb"/>
            <w:noWrap w:val="false"/>
          </w:tcPr>
          <w:p>
            <w:pPr>
              <w:jc w:val="center"/>
              <w:spacing w:line="0" w:lineRule="atLeast"/>
              <w:rPr>
                <w:rFonts w:ascii="宋体" w:hAnsi="宋体" w:cs="宋体"/>
                <w:sz w:val="22"/>
              </w:rPr>
            </w:pPr>
            <w:r>
              <w:rPr>
                <w:rFonts w:ascii="宋体" w:hAnsi="宋体" w:cs="宋体"/>
                <w:sz w:val="22"/>
              </w:rPr>
            </w:r>
            <w:r/>
          </w:p>
        </w:tc>
        <w:tc>
          <w:tcPr>
            <w:tcW w:w="966" w:type="dxa"/>
            <w:vAlign w:val="center"/>
            <w:textDirection w:val="lrTb"/>
            <w:noWrap w:val="false"/>
          </w:tcPr>
          <w:p>
            <w:pPr>
              <w:jc w:val="center"/>
              <w:spacing w:line="0" w:lineRule="atLeast"/>
              <w:rPr>
                <w:rFonts w:ascii="宋体" w:hAnsi="宋体" w:cs="宋体"/>
                <w:sz w:val="22"/>
              </w:rPr>
            </w:pPr>
            <w:r>
              <w:rPr>
                <w:rFonts w:ascii="宋体" w:hAnsi="宋体" w:cs="宋体"/>
                <w:sz w:val="22"/>
              </w:rPr>
            </w:r>
            <w:r/>
          </w:p>
        </w:tc>
      </w:tr>
      <w:tr>
        <w:trPr>
          <w:cantSplit/>
          <w:trHeight w:val="434"/>
        </w:trPr>
        <w:tc>
          <w:tcPr>
            <w:gridSpan w:val="9"/>
            <w:tcW w:w="9013" w:type="dxa"/>
            <w:vAlign w:val="center"/>
            <w:textDirection w:val="lrTb"/>
            <w:noWrap w:val="false"/>
          </w:tcPr>
          <w:p>
            <w:pPr>
              <w:jc w:val="left"/>
              <w:rPr>
                <w:rFonts w:ascii="宋体" w:hAnsi="宋体" w:cs="宋体"/>
                <w:sz w:val="22"/>
              </w:rPr>
            </w:pPr>
            <w:r>
              <w:rPr>
                <w:rFonts w:hint="eastAsia" w:ascii="宋体" w:hAnsi="宋体" w:cs="宋体"/>
                <w:sz w:val="22"/>
              </w:rPr>
              <w:t xml:space="preserve">投标总报价（人民币：元）</w:t>
            </w:r>
            <w:r>
              <w:rPr>
                <w:rFonts w:hint="eastAsia" w:ascii="宋体" w:hAnsi="宋体" w:cs="宋体"/>
                <w:sz w:val="22"/>
                <w:u w:val="single"/>
              </w:rPr>
              <w:t xml:space="preserve">                  </w:t>
            </w:r>
            <w:r>
              <w:rPr>
                <w:rFonts w:hint="eastAsia" w:ascii="宋体" w:hAnsi="宋体" w:cs="宋体"/>
                <w:sz w:val="22"/>
              </w:rPr>
              <w:t xml:space="preserve">。</w:t>
            </w:r>
            <w:r/>
          </w:p>
        </w:tc>
      </w:tr>
    </w:tbl>
    <w:p>
      <w:pPr>
        <w:jc w:val="left"/>
        <w:spacing w:line="440" w:lineRule="exact"/>
        <w:rPr>
          <w:sz w:val="22"/>
        </w:rPr>
      </w:pPr>
      <w:r>
        <w:rPr>
          <w:rFonts w:hint="eastAsia" w:ascii="宋体" w:hAnsi="宋体" w:cs="宋体"/>
          <w:b/>
          <w:bCs/>
          <w:sz w:val="22"/>
        </w:rPr>
        <w:t xml:space="preserve">备注：</w:t>
      </w:r>
      <w:r/>
    </w:p>
    <w:p>
      <w:pPr>
        <w:ind w:firstLine="480"/>
        <w:jc w:val="left"/>
        <w:spacing w:line="440" w:lineRule="exact"/>
        <w:rPr>
          <w:sz w:val="22"/>
        </w:rPr>
      </w:pPr>
      <w:r>
        <w:rPr>
          <w:rFonts w:hint="eastAsia" w:ascii="宋体" w:hAnsi="宋体" w:cs="宋体"/>
          <w:sz w:val="22"/>
        </w:rPr>
        <w:t xml:space="preserve">1.投标报价采用总承包方式，“投标总报价”投标报价应包括所投货物（包含与货物相关的服务）费用、安装调试费、测试验收费、培训费、管理费、利润、税金、运输保险、开证（如果有）及其他有关的为完成本项目发生的所有费用，招标文件中另有规定的除外。“投标总报价”数额为各“分项总价”之和。</w:t>
      </w:r>
      <w:r/>
    </w:p>
    <w:p>
      <w:pPr>
        <w:ind w:firstLine="480"/>
        <w:jc w:val="left"/>
        <w:spacing w:line="440" w:lineRule="exact"/>
        <w:rPr>
          <w:sz w:val="22"/>
        </w:rPr>
      </w:pPr>
      <w:r>
        <w:rPr>
          <w:rFonts w:hint="eastAsia" w:ascii="宋体" w:hAnsi="宋体" w:cs="宋体"/>
          <w:sz w:val="22"/>
        </w:rPr>
        <w:t xml:space="preserve">2.“投标分项报价表”中“投标总报价”数额应当与“开标一览表”中“投标总报价”数额一致。</w:t>
      </w:r>
      <w:r/>
    </w:p>
    <w:p>
      <w:pPr>
        <w:ind w:firstLine="480"/>
        <w:jc w:val="left"/>
        <w:spacing w:line="440" w:lineRule="exact"/>
        <w:rPr>
          <w:sz w:val="22"/>
        </w:rPr>
      </w:pPr>
      <w:r>
        <w:rPr>
          <w:rFonts w:hint="eastAsia" w:ascii="宋体" w:hAnsi="宋体" w:cs="宋体"/>
          <w:sz w:val="22"/>
        </w:rPr>
        <w:t xml:space="preserve">3.</w:t>
      </w:r>
      <w:r>
        <w:rPr>
          <w:rFonts w:hint="eastAsia" w:ascii="宋体" w:hAnsi="宋体" w:cs="宋体"/>
          <w:sz w:val="22"/>
        </w:rPr>
        <w:t xml:space="preserve">投标人需认真填写本报价表，尤其注意规格型号的准确填写。</w:t>
      </w:r>
      <w:r>
        <w:rPr>
          <w:sz w:val="22"/>
        </w:r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ind w:left="420"/>
        <w:jc w:val="right"/>
        <w:spacing w:line="480" w:lineRule="auto"/>
      </w:pPr>
      <w:r>
        <w:rPr>
          <w:rFonts w:hint="eastAsia" w:ascii="宋体" w:hAnsi="宋体" w:cs="宋体"/>
          <w:sz w:val="24"/>
          <w:szCs w:val="24"/>
        </w:rPr>
        <w:t xml:space="preserve">投标人公章：            （电子签章）</w:t>
      </w:r>
      <w:r/>
    </w:p>
    <w:p>
      <w:pPr>
        <w:ind w:firstLine="480"/>
        <w:jc w:val="right"/>
        <w:spacing w:line="360" w:lineRule="auto"/>
      </w:pPr>
      <w:r/>
      <w:r/>
    </w:p>
    <w:p>
      <w:pPr>
        <w:jc w:val="right"/>
        <w:spacing w:line="360" w:lineRule="auto"/>
        <w:rPr>
          <w:rFonts w:ascii="黑体" w:hAnsi="黑体" w:eastAsia="黑体"/>
          <w:sz w:val="28"/>
          <w:szCs w:val="28"/>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right"/>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36"/>
          <w:szCs w:val="28"/>
        </w:rPr>
      </w:pPr>
      <w:r>
        <w:rPr>
          <w:rFonts w:hint="eastAsia" w:ascii="黑体" w:hAnsi="黑体" w:eastAsia="黑体"/>
          <w:sz w:val="28"/>
        </w:rPr>
        <w:t xml:space="preserve">商务条款响应表</w:t>
      </w:r>
      <w:r/>
    </w:p>
    <w:tbl>
      <w:tblPr>
        <w:tblStyle w:val="681"/>
        <w:tblW w:w="9345" w:type="dxa"/>
        <w:tblInd w:w="88"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5"/>
        <w:gridCol w:w="2939"/>
        <w:gridCol w:w="2494"/>
        <w:gridCol w:w="1590"/>
      </w:tblGrid>
      <w:tr>
        <w:trPr>
          <w:cantSplit/>
          <w:trHeight w:val="610"/>
        </w:trPr>
        <w:tc>
          <w:tcPr>
            <w:tcW w:w="697" w:type="dxa"/>
            <w:vAlign w:val="center"/>
            <w:textDirection w:val="lrTb"/>
            <w:noWrap w:val="false"/>
          </w:tcPr>
          <w:p>
            <w:pPr>
              <w:jc w:val="center"/>
              <w:spacing w:line="240" w:lineRule="atLeast"/>
              <w:widowControl/>
              <w:rPr>
                <w:rFonts w:ascii="宋体" w:hAnsi="宋体" w:cs="宋体"/>
                <w:b/>
                <w:sz w:val="22"/>
              </w:rPr>
            </w:pPr>
            <w:r>
              <w:rPr>
                <w:rFonts w:hint="eastAsia" w:ascii="宋体" w:hAnsi="宋体" w:cs="宋体"/>
                <w:b/>
                <w:sz w:val="22"/>
              </w:rPr>
              <w:t xml:space="preserve">序号</w:t>
            </w:r>
            <w:r/>
          </w:p>
        </w:tc>
        <w:tc>
          <w:tcPr>
            <w:tcW w:w="1625" w:type="dxa"/>
            <w:vAlign w:val="center"/>
            <w:textDirection w:val="lrTb"/>
            <w:noWrap w:val="false"/>
          </w:tcPr>
          <w:p>
            <w:pPr>
              <w:jc w:val="center"/>
              <w:spacing w:line="240" w:lineRule="atLeast"/>
              <w:widowControl/>
              <w:rPr>
                <w:rFonts w:ascii="宋体" w:hAnsi="宋体" w:cs="宋体"/>
                <w:b/>
                <w:sz w:val="22"/>
              </w:rPr>
            </w:pPr>
            <w:r>
              <w:rPr>
                <w:rFonts w:hint="eastAsia" w:ascii="宋体" w:hAnsi="宋体" w:cs="宋体"/>
                <w:b/>
                <w:sz w:val="22"/>
              </w:rPr>
              <w:t xml:space="preserve">主要商务条款</w:t>
            </w:r>
            <w:r/>
          </w:p>
        </w:tc>
        <w:tc>
          <w:tcPr>
            <w:tcW w:w="2939" w:type="dxa"/>
            <w:vAlign w:val="center"/>
            <w:textDirection w:val="lrTb"/>
            <w:noWrap w:val="false"/>
          </w:tcPr>
          <w:p>
            <w:pPr>
              <w:jc w:val="center"/>
              <w:spacing w:line="240" w:lineRule="atLeast"/>
              <w:widowControl/>
              <w:rPr>
                <w:rFonts w:ascii="宋体" w:hAnsi="宋体" w:cs="宋体"/>
                <w:b/>
                <w:sz w:val="22"/>
              </w:rPr>
            </w:pPr>
            <w:r>
              <w:rPr>
                <w:rFonts w:hint="eastAsia" w:ascii="宋体" w:hAnsi="宋体" w:cs="宋体"/>
                <w:b/>
                <w:sz w:val="22"/>
              </w:rPr>
              <w:t xml:space="preserve">招标文件要求</w:t>
            </w:r>
            <w:r/>
          </w:p>
        </w:tc>
        <w:tc>
          <w:tcPr>
            <w:tcW w:w="2494" w:type="dxa"/>
            <w:vAlign w:val="center"/>
            <w:textDirection w:val="lrTb"/>
            <w:noWrap w:val="false"/>
          </w:tcPr>
          <w:p>
            <w:pPr>
              <w:jc w:val="center"/>
              <w:spacing w:line="240" w:lineRule="atLeast"/>
              <w:widowControl/>
              <w:rPr>
                <w:rFonts w:ascii="宋体" w:hAnsi="宋体" w:cs="宋体"/>
                <w:b/>
                <w:sz w:val="22"/>
              </w:rPr>
            </w:pPr>
            <w:r>
              <w:rPr>
                <w:rFonts w:hint="eastAsia" w:ascii="宋体" w:hAnsi="宋体" w:cs="宋体"/>
                <w:b/>
                <w:sz w:val="22"/>
              </w:rPr>
              <w:t xml:space="preserve">投标文件响应</w:t>
            </w:r>
            <w:r/>
          </w:p>
        </w:tc>
        <w:tc>
          <w:tcPr>
            <w:tcW w:w="1590" w:type="dxa"/>
            <w:vAlign w:val="center"/>
            <w:textDirection w:val="lrTb"/>
            <w:noWrap w:val="false"/>
          </w:tcPr>
          <w:p>
            <w:pPr>
              <w:jc w:val="center"/>
              <w:spacing w:line="240" w:lineRule="atLeast"/>
              <w:widowControl/>
              <w:rPr>
                <w:rFonts w:ascii="宋体" w:hAnsi="宋体" w:cs="宋体"/>
                <w:b/>
                <w:sz w:val="22"/>
              </w:rPr>
            </w:pPr>
            <w:r>
              <w:rPr>
                <w:rFonts w:hint="eastAsia" w:ascii="宋体" w:hAnsi="宋体" w:cs="宋体"/>
                <w:b/>
                <w:sz w:val="22"/>
              </w:rPr>
              <w:t xml:space="preserve">偏离情况</w:t>
            </w:r>
            <w:r/>
          </w:p>
          <w:p>
            <w:pPr>
              <w:jc w:val="center"/>
              <w:spacing w:line="240" w:lineRule="atLeast"/>
              <w:widowControl/>
              <w:rPr>
                <w:rFonts w:ascii="宋体" w:hAnsi="宋体" w:cs="宋体"/>
                <w:b/>
                <w:sz w:val="22"/>
              </w:rPr>
            </w:pPr>
            <w:r>
              <w:rPr>
                <w:rFonts w:hint="eastAsia" w:ascii="宋体" w:hAnsi="宋体" w:cs="宋体"/>
                <w:b/>
                <w:sz w:val="22"/>
              </w:rPr>
              <w:t xml:space="preserve">（正/负/无）</w:t>
            </w:r>
            <w:r/>
          </w:p>
        </w:tc>
      </w:tr>
      <w:tr>
        <w:trPr>
          <w:trHeight w:val="615"/>
        </w:trPr>
        <w:tc>
          <w:tcPr>
            <w:tcW w:w="697" w:type="dxa"/>
            <w:vAlign w:val="center"/>
            <w:textDirection w:val="lrTb"/>
            <w:noWrap w:val="false"/>
          </w:tcPr>
          <w:p>
            <w:pPr>
              <w:jc w:val="center"/>
              <w:spacing w:line="240" w:lineRule="atLeast"/>
              <w:widowControl/>
              <w:rPr>
                <w:rFonts w:ascii="宋体" w:hAnsi="宋体" w:cs="宋体"/>
                <w:sz w:val="22"/>
              </w:rPr>
            </w:pPr>
            <w:r>
              <w:rPr>
                <w:rFonts w:hint="eastAsia" w:ascii="宋体" w:hAnsi="宋体" w:cs="宋体"/>
                <w:sz w:val="22"/>
              </w:rPr>
              <w:t xml:space="preserve">1</w:t>
            </w:r>
            <w:r/>
          </w:p>
        </w:tc>
        <w:tc>
          <w:tcPr>
            <w:tcW w:w="1625" w:type="dxa"/>
            <w:vAlign w:val="center"/>
            <w:textDirection w:val="lrTb"/>
            <w:noWrap w:val="false"/>
          </w:tcPr>
          <w:p>
            <w:pPr>
              <w:jc w:val="center"/>
              <w:spacing w:line="240" w:lineRule="atLeast"/>
              <w:rPr>
                <w:rFonts w:ascii="宋体" w:hAnsi="宋体" w:cs="宋体"/>
                <w:sz w:val="22"/>
              </w:rPr>
            </w:pPr>
            <w:r>
              <w:rPr>
                <w:rFonts w:hint="eastAsia" w:ascii="宋体" w:hAnsi="宋体" w:cs="宋体"/>
                <w:sz w:val="22"/>
              </w:rPr>
              <w:t xml:space="preserve">履约期限</w:t>
            </w:r>
            <w:r/>
          </w:p>
        </w:tc>
        <w:tc>
          <w:tcPr>
            <w:tcW w:w="2939" w:type="dxa"/>
            <w:vAlign w:val="center"/>
            <w:textDirection w:val="lrTb"/>
            <w:noWrap w:val="false"/>
          </w:tcPr>
          <w:p>
            <w:pPr>
              <w:jc w:val="center"/>
              <w:spacing w:line="240" w:lineRule="atLeast"/>
              <w:rPr>
                <w:rFonts w:ascii="宋体" w:hAnsi="宋体" w:cs="宋体"/>
                <w:sz w:val="22"/>
              </w:rPr>
            </w:pPr>
            <w:r>
              <w:rPr>
                <w:rFonts w:hint="eastAsia" w:ascii="宋体" w:hAnsi="宋体" w:cs="宋体"/>
                <w:sz w:val="22"/>
                <w:u w:val="single"/>
              </w:rPr>
              <w:t xml:space="preserve">30</w:t>
            </w:r>
            <w:r>
              <w:rPr>
                <w:rFonts w:hint="eastAsia" w:ascii="宋体" w:hAnsi="宋体" w:cs="宋体"/>
                <w:sz w:val="22"/>
              </w:rPr>
              <w:t xml:space="preserve">日历天</w:t>
            </w:r>
            <w:r/>
          </w:p>
        </w:tc>
        <w:tc>
          <w:tcPr>
            <w:tcW w:w="2494" w:type="dxa"/>
            <w:vAlign w:val="center"/>
            <w:textDirection w:val="lrTb"/>
            <w:noWrap w:val="false"/>
          </w:tcPr>
          <w:p>
            <w:pPr>
              <w:jc w:val="center"/>
              <w:spacing w:line="240" w:lineRule="atLeast"/>
              <w:widowControl/>
              <w:rPr>
                <w:rFonts w:ascii="宋体" w:hAnsi="宋体" w:cs="宋体"/>
                <w:sz w:val="22"/>
              </w:rPr>
            </w:pPr>
            <w:r>
              <w:rPr>
                <w:rFonts w:ascii="宋体" w:hAnsi="宋体" w:cs="宋体"/>
                <w:sz w:val="22"/>
              </w:rPr>
            </w:r>
            <w:r/>
          </w:p>
        </w:tc>
        <w:tc>
          <w:tcPr>
            <w:tcW w:w="1590" w:type="dxa"/>
            <w:vAlign w:val="center"/>
            <w:textDirection w:val="lrTb"/>
            <w:noWrap w:val="false"/>
          </w:tcPr>
          <w:p>
            <w:pPr>
              <w:jc w:val="center"/>
              <w:spacing w:line="240" w:lineRule="atLeast"/>
              <w:widowControl/>
              <w:rPr>
                <w:rFonts w:ascii="宋体" w:hAnsi="宋体" w:cs="宋体"/>
                <w:sz w:val="22"/>
              </w:rPr>
            </w:pPr>
            <w:r>
              <w:rPr>
                <w:rFonts w:ascii="宋体" w:hAnsi="宋体" w:cs="宋体"/>
                <w:sz w:val="22"/>
              </w:rPr>
            </w:r>
            <w:r/>
          </w:p>
        </w:tc>
      </w:tr>
      <w:tr>
        <w:trPr>
          <w:trHeight w:val="529"/>
        </w:trPr>
        <w:tc>
          <w:tcPr>
            <w:tcW w:w="697" w:type="dxa"/>
            <w:vAlign w:val="center"/>
            <w:textDirection w:val="lrTb"/>
            <w:noWrap w:val="false"/>
          </w:tcPr>
          <w:p>
            <w:pPr>
              <w:jc w:val="center"/>
              <w:spacing w:line="240" w:lineRule="atLeast"/>
              <w:widowControl/>
              <w:rPr>
                <w:rFonts w:ascii="宋体" w:hAnsi="宋体" w:cs="宋体"/>
                <w:sz w:val="22"/>
              </w:rPr>
            </w:pPr>
            <w:r>
              <w:rPr>
                <w:rFonts w:hint="eastAsia" w:ascii="宋体" w:hAnsi="宋体" w:cs="宋体"/>
                <w:sz w:val="22"/>
              </w:rPr>
              <w:t xml:space="preserve">2</w:t>
            </w:r>
            <w:r/>
          </w:p>
        </w:tc>
        <w:tc>
          <w:tcPr>
            <w:tcW w:w="1625" w:type="dxa"/>
            <w:vAlign w:val="center"/>
            <w:textDirection w:val="lrTb"/>
            <w:noWrap w:val="false"/>
          </w:tcPr>
          <w:p>
            <w:pPr>
              <w:jc w:val="center"/>
              <w:spacing w:line="240" w:lineRule="atLeast"/>
              <w:rPr>
                <w:rFonts w:ascii="宋体" w:hAnsi="宋体" w:cs="宋体"/>
                <w:sz w:val="22"/>
              </w:rPr>
            </w:pPr>
            <w:r>
              <w:rPr>
                <w:rFonts w:hint="eastAsia" w:ascii="宋体" w:hAnsi="宋体" w:cs="宋体"/>
                <w:sz w:val="22"/>
              </w:rPr>
              <w:t xml:space="preserve">投标有效期</w:t>
            </w:r>
            <w:r/>
          </w:p>
        </w:tc>
        <w:tc>
          <w:tcPr>
            <w:tcW w:w="2939" w:type="dxa"/>
            <w:vAlign w:val="center"/>
            <w:textDirection w:val="lrTb"/>
            <w:noWrap w:val="false"/>
          </w:tcPr>
          <w:p>
            <w:pPr>
              <w:jc w:val="center"/>
              <w:spacing w:line="240" w:lineRule="atLeast"/>
              <w:rPr>
                <w:rFonts w:ascii="宋体" w:hAnsi="宋体" w:cs="宋体"/>
                <w:sz w:val="22"/>
              </w:rPr>
            </w:pPr>
            <w:r>
              <w:rPr>
                <w:rFonts w:hint="eastAsia" w:ascii="宋体" w:hAnsi="宋体" w:cs="宋体"/>
                <w:bCs/>
                <w:sz w:val="22"/>
                <w:u w:val="single"/>
              </w:rPr>
              <w:t xml:space="preserve">90</w:t>
            </w:r>
            <w:r>
              <w:rPr>
                <w:rFonts w:hint="eastAsia" w:ascii="宋体" w:hAnsi="宋体" w:cs="宋体"/>
                <w:b/>
                <w:sz w:val="22"/>
                <w:u w:val="single"/>
              </w:rPr>
              <w:t xml:space="preserve"> </w:t>
            </w:r>
            <w:r>
              <w:rPr>
                <w:rFonts w:hint="eastAsia" w:ascii="宋体" w:hAnsi="宋体" w:cs="宋体"/>
                <w:sz w:val="22"/>
                <w:lang w:val="zh-CN"/>
              </w:rPr>
              <w:t xml:space="preserve">日</w:t>
            </w:r>
            <w:r/>
          </w:p>
        </w:tc>
        <w:tc>
          <w:tcPr>
            <w:tcW w:w="2494" w:type="dxa"/>
            <w:vAlign w:val="center"/>
            <w:textDirection w:val="lrTb"/>
            <w:noWrap w:val="false"/>
          </w:tcPr>
          <w:p>
            <w:pPr>
              <w:jc w:val="left"/>
              <w:spacing w:line="240" w:lineRule="atLeast"/>
              <w:widowControl/>
              <w:rPr>
                <w:rFonts w:ascii="宋体" w:hAnsi="宋体" w:cs="宋体"/>
                <w:sz w:val="22"/>
                <w:u w:val="single"/>
              </w:rPr>
            </w:pPr>
            <w:r>
              <w:rPr>
                <w:rFonts w:ascii="宋体" w:hAnsi="宋体" w:cs="宋体"/>
                <w:sz w:val="22"/>
                <w:u w:val="single"/>
              </w:rPr>
            </w:r>
            <w:r/>
          </w:p>
        </w:tc>
        <w:tc>
          <w:tcPr>
            <w:tcW w:w="1590" w:type="dxa"/>
            <w:vAlign w:val="center"/>
            <w:textDirection w:val="lrTb"/>
            <w:noWrap w:val="false"/>
          </w:tcPr>
          <w:p>
            <w:pPr>
              <w:jc w:val="center"/>
              <w:spacing w:line="240" w:lineRule="atLeast"/>
              <w:widowControl/>
              <w:rPr>
                <w:rFonts w:ascii="宋体" w:hAnsi="宋体" w:cs="宋体"/>
                <w:sz w:val="22"/>
              </w:rPr>
            </w:pPr>
            <w:r>
              <w:rPr>
                <w:rFonts w:ascii="宋体" w:hAnsi="宋体" w:cs="宋体"/>
                <w:sz w:val="22"/>
              </w:rPr>
            </w:r>
            <w:r/>
          </w:p>
        </w:tc>
      </w:tr>
      <w:tr>
        <w:trPr>
          <w:trHeight w:val="640"/>
        </w:trPr>
        <w:tc>
          <w:tcPr>
            <w:tcW w:w="697" w:type="dxa"/>
            <w:vAlign w:val="center"/>
            <w:textDirection w:val="lrTb"/>
            <w:noWrap w:val="false"/>
          </w:tcPr>
          <w:p>
            <w:pPr>
              <w:jc w:val="center"/>
              <w:spacing w:line="240" w:lineRule="atLeast"/>
              <w:widowControl/>
              <w:rPr>
                <w:rFonts w:ascii="宋体" w:hAnsi="宋体" w:cs="宋体"/>
                <w:sz w:val="22"/>
              </w:rPr>
            </w:pPr>
            <w:r>
              <w:rPr>
                <w:rFonts w:hint="eastAsia" w:ascii="宋体" w:hAnsi="宋体" w:cs="宋体"/>
                <w:sz w:val="22"/>
              </w:rPr>
              <w:t xml:space="preserve">3</w:t>
            </w:r>
            <w:r/>
          </w:p>
        </w:tc>
        <w:tc>
          <w:tcPr>
            <w:tcW w:w="1625" w:type="dxa"/>
            <w:vAlign w:val="center"/>
            <w:textDirection w:val="lrTb"/>
            <w:noWrap w:val="false"/>
          </w:tcPr>
          <w:p>
            <w:pPr>
              <w:jc w:val="center"/>
              <w:spacing w:line="240" w:lineRule="atLeast"/>
              <w:widowControl/>
              <w:rPr>
                <w:rFonts w:ascii="宋体" w:hAnsi="宋体" w:cs="宋体"/>
                <w:sz w:val="22"/>
              </w:rPr>
            </w:pPr>
            <w:r>
              <w:rPr>
                <w:rFonts w:hint="eastAsia" w:ascii="宋体" w:hAnsi="宋体" w:cs="宋体"/>
                <w:sz w:val="22"/>
              </w:rPr>
              <w:t xml:space="preserve">付款方式</w:t>
            </w:r>
            <w:r/>
          </w:p>
        </w:tc>
        <w:tc>
          <w:tcPr>
            <w:tcW w:w="2939" w:type="dxa"/>
            <w:vAlign w:val="center"/>
            <w:textDirection w:val="lrTb"/>
            <w:noWrap w:val="false"/>
          </w:tcPr>
          <w:p>
            <w:pPr>
              <w:jc w:val="left"/>
              <w:spacing w:line="240" w:lineRule="atLeast"/>
              <w:widowControl/>
              <w:rPr>
                <w:rFonts w:ascii="宋体" w:hAnsi="宋体" w:cs="宋体"/>
                <w:sz w:val="22"/>
              </w:rPr>
            </w:pPr>
            <w:r>
              <w:rPr>
                <w:rFonts w:hint="eastAsia" w:ascii="宋体" w:hAnsi="宋体" w:cs="宋体"/>
                <w:sz w:val="22"/>
              </w:rPr>
              <w:t xml:space="preserve">（1）合同签订生效后7日内，支付合同价款30%的预付款；</w:t>
            </w:r>
            <w:r/>
          </w:p>
          <w:p>
            <w:pPr>
              <w:jc w:val="left"/>
              <w:spacing w:line="240" w:lineRule="atLeast"/>
              <w:widowControl/>
              <w:rPr>
                <w:rFonts w:ascii="宋体" w:hAnsi="宋体" w:cs="宋体"/>
                <w:sz w:val="22"/>
              </w:rPr>
            </w:pPr>
            <w:r>
              <w:rPr>
                <w:rFonts w:hint="eastAsia" w:ascii="宋体" w:hAnsi="宋体" w:cs="宋体"/>
                <w:sz w:val="22"/>
              </w:rPr>
              <w:t xml:space="preserve">（2）设备安装、调试、验收合格后，凭验收合格报告和发票支付至合同价款的90%；</w:t>
            </w:r>
            <w:r/>
          </w:p>
          <w:p>
            <w:pPr>
              <w:jc w:val="left"/>
              <w:spacing w:line="240" w:lineRule="atLeast"/>
              <w:widowControl/>
              <w:rPr>
                <w:rFonts w:ascii="宋体" w:hAnsi="宋体" w:cs="宋体"/>
                <w:sz w:val="22"/>
              </w:rPr>
            </w:pPr>
            <w:r>
              <w:rPr>
                <w:rFonts w:hint="eastAsia" w:ascii="宋体" w:hAnsi="宋体" w:cs="宋体"/>
                <w:sz w:val="22"/>
              </w:rPr>
              <w:t xml:space="preserve">（3）验收合格满一年后付清余款。</w:t>
            </w:r>
            <w:r/>
          </w:p>
        </w:tc>
        <w:tc>
          <w:tcPr>
            <w:tcW w:w="2494" w:type="dxa"/>
            <w:vAlign w:val="center"/>
            <w:textDirection w:val="lrTb"/>
            <w:noWrap w:val="false"/>
          </w:tcPr>
          <w:p>
            <w:pPr>
              <w:spacing w:line="240" w:lineRule="atLeast"/>
              <w:widowControl/>
              <w:rPr>
                <w:rFonts w:ascii="宋体" w:hAnsi="宋体" w:cs="宋体"/>
                <w:sz w:val="22"/>
              </w:rPr>
            </w:pPr>
            <w:r>
              <w:rPr>
                <w:rFonts w:ascii="宋体" w:hAnsi="宋体" w:cs="宋体"/>
                <w:sz w:val="22"/>
              </w:rPr>
            </w:r>
            <w:r/>
          </w:p>
        </w:tc>
        <w:tc>
          <w:tcPr>
            <w:tcW w:w="1590" w:type="dxa"/>
            <w:vAlign w:val="center"/>
            <w:textDirection w:val="lrTb"/>
            <w:noWrap w:val="false"/>
          </w:tcPr>
          <w:p>
            <w:pPr>
              <w:jc w:val="center"/>
              <w:spacing w:line="240" w:lineRule="atLeast"/>
              <w:widowControl/>
              <w:rPr>
                <w:rFonts w:ascii="宋体" w:hAnsi="宋体" w:cs="宋体"/>
                <w:sz w:val="22"/>
              </w:rPr>
            </w:pPr>
            <w:r>
              <w:rPr>
                <w:rFonts w:ascii="宋体" w:hAnsi="宋体" w:cs="宋体"/>
                <w:sz w:val="22"/>
              </w:rPr>
            </w:r>
            <w:r/>
          </w:p>
        </w:tc>
      </w:tr>
      <w:tr>
        <w:trPr>
          <w:trHeight w:val="640"/>
        </w:trPr>
        <w:tc>
          <w:tcPr>
            <w:tcW w:w="697" w:type="dxa"/>
            <w:vAlign w:val="center"/>
            <w:textDirection w:val="lrTb"/>
            <w:noWrap w:val="false"/>
          </w:tcPr>
          <w:p>
            <w:pPr>
              <w:jc w:val="center"/>
              <w:spacing w:line="240" w:lineRule="atLeast"/>
              <w:widowControl/>
              <w:rPr>
                <w:rFonts w:ascii="宋体" w:hAnsi="宋体" w:cs="宋体"/>
                <w:sz w:val="22"/>
              </w:rPr>
            </w:pPr>
            <w:r>
              <w:rPr>
                <w:rFonts w:hint="eastAsia" w:ascii="宋体" w:hAnsi="宋体" w:cs="宋体"/>
                <w:sz w:val="22"/>
              </w:rPr>
              <w:t xml:space="preserve">4</w:t>
            </w:r>
            <w:r/>
          </w:p>
        </w:tc>
        <w:tc>
          <w:tcPr>
            <w:tcW w:w="1625" w:type="dxa"/>
            <w:vAlign w:val="center"/>
            <w:textDirection w:val="lrTb"/>
            <w:noWrap w:val="false"/>
          </w:tcPr>
          <w:p>
            <w:pPr>
              <w:jc w:val="center"/>
              <w:spacing w:line="240" w:lineRule="atLeast"/>
              <w:widowControl/>
              <w:rPr>
                <w:rFonts w:ascii="宋体" w:hAnsi="宋体" w:cs="宋体"/>
                <w:sz w:val="22"/>
              </w:rPr>
            </w:pPr>
            <w:r>
              <w:rPr>
                <w:rFonts w:hint="eastAsia" w:ascii="宋体" w:hAnsi="宋体" w:cs="宋体"/>
                <w:sz w:val="22"/>
              </w:rPr>
              <w:t xml:space="preserve">故障响应时间</w:t>
            </w:r>
            <w:r/>
          </w:p>
        </w:tc>
        <w:tc>
          <w:tcPr>
            <w:tcW w:w="2939" w:type="dxa"/>
            <w:vAlign w:val="center"/>
            <w:textDirection w:val="lrTb"/>
            <w:noWrap w:val="false"/>
          </w:tcPr>
          <w:p>
            <w:pPr>
              <w:jc w:val="left"/>
              <w:spacing w:line="240" w:lineRule="atLeast"/>
              <w:widowControl/>
              <w:rPr>
                <w:rFonts w:ascii="宋体" w:hAnsi="宋体" w:cs="宋体"/>
                <w:sz w:val="22"/>
              </w:rPr>
            </w:pPr>
            <w:r>
              <w:rPr>
                <w:rFonts w:hint="eastAsia" w:ascii="宋体" w:hAnsi="宋体" w:cs="宋体"/>
                <w:sz w:val="22"/>
              </w:rPr>
              <w:t xml:space="preserve">如设备发生故障，乙方在接到甲方报修电话后2小时之内响应，24小时内到达甲方现场,48小时内修复或免费提供备用机，否则甲方可自行采取必要的措施，由此产生的风险和费用由乙方承担。如有特殊情况，乙方应立即电话通知甲方不能响应的原因，在获得甲方同意后，才可推迟响应时间。</w:t>
            </w:r>
            <w:r/>
          </w:p>
        </w:tc>
        <w:tc>
          <w:tcPr>
            <w:tcW w:w="2494" w:type="dxa"/>
            <w:vAlign w:val="center"/>
            <w:textDirection w:val="lrTb"/>
            <w:noWrap w:val="false"/>
          </w:tcPr>
          <w:p>
            <w:pPr>
              <w:jc w:val="center"/>
              <w:spacing w:line="240" w:lineRule="atLeast"/>
              <w:widowControl/>
              <w:rPr>
                <w:rFonts w:ascii="宋体" w:hAnsi="宋体" w:cs="宋体"/>
                <w:sz w:val="22"/>
              </w:rPr>
            </w:pPr>
            <w:r>
              <w:rPr>
                <w:rFonts w:ascii="宋体" w:hAnsi="宋体" w:cs="宋体"/>
                <w:sz w:val="22"/>
              </w:rPr>
            </w:r>
            <w:r/>
          </w:p>
        </w:tc>
        <w:tc>
          <w:tcPr>
            <w:tcW w:w="1590" w:type="dxa"/>
            <w:vAlign w:val="center"/>
            <w:textDirection w:val="lrTb"/>
            <w:noWrap w:val="false"/>
          </w:tcPr>
          <w:p>
            <w:pPr>
              <w:jc w:val="center"/>
              <w:spacing w:line="240" w:lineRule="atLeast"/>
              <w:widowControl/>
              <w:rPr>
                <w:rFonts w:ascii="宋体" w:hAnsi="宋体" w:cs="宋体"/>
                <w:sz w:val="22"/>
              </w:rPr>
            </w:pPr>
            <w:r>
              <w:rPr>
                <w:rFonts w:ascii="宋体" w:hAnsi="宋体" w:cs="宋体"/>
                <w:sz w:val="22"/>
              </w:rPr>
            </w:r>
            <w:r/>
          </w:p>
        </w:tc>
      </w:tr>
      <w:tr>
        <w:trPr>
          <w:trHeight w:val="640"/>
        </w:trPr>
        <w:tc>
          <w:tcPr>
            <w:tcW w:w="697" w:type="dxa"/>
            <w:vAlign w:val="center"/>
            <w:vMerge w:val="restart"/>
            <w:textDirection w:val="lrTb"/>
            <w:noWrap w:val="false"/>
          </w:tcPr>
          <w:p>
            <w:pPr>
              <w:jc w:val="center"/>
              <w:spacing w:line="240" w:lineRule="atLeast"/>
              <w:widowControl/>
              <w:rPr>
                <w:rFonts w:hint="eastAsia" w:ascii="宋体" w:hAnsi="宋体" w:cs="宋体"/>
                <w:sz w:val="22"/>
              </w:rPr>
            </w:pPr>
            <w:r>
              <w:rPr>
                <w:rFonts w:hint="eastAsia" w:ascii="宋体" w:hAnsi="宋体" w:cs="宋体"/>
                <w:sz w:val="22"/>
              </w:rPr>
              <w:t xml:space="preserve">5</w:t>
            </w:r>
            <w:r>
              <w:rPr>
                <w:rFonts w:hint="eastAsia" w:ascii="宋体" w:hAnsi="宋体" w:cs="宋体"/>
                <w:sz w:val="22"/>
              </w:rPr>
            </w:r>
            <w:r/>
          </w:p>
        </w:tc>
        <w:tc>
          <w:tcPr>
            <w:tcW w:w="1625"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保修期延长</w:t>
            </w:r>
            <w:r/>
          </w:p>
        </w:tc>
        <w:tc>
          <w:tcPr>
            <w:tcW w:w="2939"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color w:val="000000"/>
                <w:sz w:val="22"/>
              </w:rPr>
              <w:t xml:space="preserve">确保设备保修期内开机率为95%，如设备故障停机率超过5%（一年按365天计算，每年18天），每超过一天，保修期延长两周。</w:t>
            </w:r>
            <w:r>
              <w:rPr>
                <w:rFonts w:ascii="SimSun" w:hAnsi="SimSun" w:eastAsia="SimSun" w:cs="SimSun"/>
                <w:color w:val="000000"/>
                <w:sz w:val="22"/>
              </w:rPr>
            </w:r>
            <w:r/>
          </w:p>
        </w:tc>
        <w:tc>
          <w:tcPr>
            <w:tcW w:w="2494" w:type="dxa"/>
            <w:vAlign w:val="center"/>
            <w:vMerge w:val="restart"/>
            <w:textDirection w:val="lrTb"/>
            <w:noWrap w:val="false"/>
          </w:tcPr>
          <w:p>
            <w:pPr>
              <w:jc w:val="center"/>
              <w:spacing w:line="240" w:lineRule="atLeast"/>
              <w:widowControl/>
              <w:rPr>
                <w:rFonts w:ascii="宋体" w:hAnsi="宋体" w:cs="宋体"/>
                <w:sz w:val="22"/>
              </w:rPr>
            </w:pPr>
            <w:r>
              <w:rPr>
                <w:rFonts w:ascii="宋体" w:hAnsi="宋体" w:cs="宋体"/>
                <w:sz w:val="22"/>
              </w:rPr>
            </w:r>
            <w:r>
              <w:rPr>
                <w:rFonts w:ascii="宋体" w:hAnsi="宋体" w:cs="宋体"/>
                <w:sz w:val="22"/>
              </w:rPr>
            </w:r>
            <w:r/>
          </w:p>
        </w:tc>
        <w:tc>
          <w:tcPr>
            <w:tcW w:w="1590" w:type="dxa"/>
            <w:vAlign w:val="center"/>
            <w:vMerge w:val="restart"/>
            <w:textDirection w:val="lrTb"/>
            <w:noWrap w:val="false"/>
          </w:tcPr>
          <w:p>
            <w:pPr>
              <w:jc w:val="center"/>
              <w:spacing w:line="240" w:lineRule="atLeast"/>
              <w:widowControl/>
              <w:rPr>
                <w:rFonts w:ascii="宋体" w:hAnsi="宋体" w:cs="宋体"/>
                <w:sz w:val="22"/>
              </w:rPr>
            </w:pPr>
            <w:r>
              <w:rPr>
                <w:rFonts w:ascii="宋体" w:hAnsi="宋体" w:cs="宋体"/>
                <w:sz w:val="22"/>
              </w:rPr>
            </w:r>
            <w:r>
              <w:rPr>
                <w:rFonts w:ascii="宋体" w:hAnsi="宋体" w:cs="宋体"/>
                <w:sz w:val="22"/>
              </w:rPr>
            </w:r>
            <w:r/>
          </w:p>
        </w:tc>
      </w:tr>
      <w:tr>
        <w:trPr>
          <w:trHeight w:val="640"/>
        </w:trPr>
        <w:tc>
          <w:tcPr>
            <w:tcW w:w="697" w:type="dxa"/>
            <w:vAlign w:val="center"/>
            <w:textDirection w:val="lrTb"/>
            <w:noWrap w:val="false"/>
          </w:tcPr>
          <w:p>
            <w:pPr>
              <w:jc w:val="center"/>
              <w:spacing w:line="240" w:lineRule="atLeast"/>
              <w:widowControl/>
              <w:rPr>
                <w:rFonts w:ascii="宋体" w:hAnsi="宋体" w:cs="宋体"/>
                <w:sz w:val="22"/>
              </w:rPr>
            </w:pPr>
            <w:r>
              <w:rPr>
                <w:rFonts w:hint="eastAsia" w:ascii="宋体" w:hAnsi="宋体" w:cs="宋体"/>
                <w:sz w:val="22"/>
              </w:rPr>
              <w:t xml:space="preserve">6</w:t>
            </w:r>
            <w:r/>
          </w:p>
        </w:tc>
        <w:tc>
          <w:tcPr>
            <w:tcW w:w="1625" w:type="dxa"/>
            <w:vAlign w:val="center"/>
            <w:textDirection w:val="lrTb"/>
            <w:noWrap w:val="false"/>
          </w:tcPr>
          <w:p>
            <w:pPr>
              <w:jc w:val="center"/>
              <w:spacing w:line="240" w:lineRule="atLeast"/>
              <w:widowControl/>
              <w:rPr>
                <w:rFonts w:ascii="宋体" w:hAnsi="宋体" w:cs="宋体"/>
                <w:sz w:val="22"/>
              </w:rPr>
            </w:pPr>
            <w:r>
              <w:rPr>
                <w:rFonts w:hint="eastAsia" w:ascii="宋体" w:hAnsi="宋体" w:cs="宋体"/>
                <w:sz w:val="22"/>
              </w:rPr>
              <w:t xml:space="preserve">医疗器械生产企业许可证、医疗器械注册证</w:t>
            </w:r>
            <w:r/>
          </w:p>
        </w:tc>
        <w:tc>
          <w:tcPr>
            <w:tcW w:w="2939" w:type="dxa"/>
            <w:vAlign w:val="center"/>
            <w:textDirection w:val="lrTb"/>
            <w:noWrap w:val="false"/>
          </w:tcPr>
          <w:p>
            <w:pPr>
              <w:jc w:val="left"/>
              <w:spacing w:line="240" w:lineRule="atLeast"/>
              <w:widowControl/>
              <w:rPr>
                <w:rFonts w:ascii="宋体" w:hAnsi="宋体" w:cs="宋体"/>
                <w:sz w:val="22"/>
              </w:rPr>
            </w:pPr>
            <w:r>
              <w:rPr>
                <w:rFonts w:hint="eastAsia" w:ascii="宋体" w:hAnsi="宋体" w:cs="宋体"/>
                <w:sz w:val="22"/>
              </w:rPr>
              <w:t xml:space="preserve">投标产品制造商具有有效的《医疗器械生产企业许可证》及产品《医疗器械注册证》</w:t>
            </w:r>
            <w:r>
              <w:rPr>
                <w:rFonts w:hint="eastAsia" w:ascii="宋体" w:hAnsi="宋体" w:cs="宋体"/>
                <w:sz w:val="22"/>
                <w:lang w:eastAsia="zh-CN"/>
              </w:rPr>
              <w:t xml:space="preserve">（</w:t>
            </w:r>
            <w:r>
              <w:rPr>
                <w:rFonts w:hint="eastAsia" w:ascii="宋体" w:hAnsi="宋体" w:cs="宋体"/>
                <w:sz w:val="22"/>
                <w:lang w:val="en-US" w:eastAsia="zh-CN"/>
              </w:rPr>
              <w:t xml:space="preserve">附后</w:t>
            </w:r>
            <w:r>
              <w:rPr>
                <w:rFonts w:hint="eastAsia" w:ascii="宋体" w:hAnsi="宋体" w:cs="宋体"/>
                <w:sz w:val="22"/>
                <w:lang w:eastAsia="zh-CN"/>
              </w:rPr>
              <w:t xml:space="preserve">）</w:t>
            </w:r>
            <w:r>
              <w:rPr>
                <w:rFonts w:hint="eastAsia" w:ascii="宋体" w:hAnsi="宋体" w:cs="宋体"/>
                <w:sz w:val="22"/>
              </w:rPr>
              <w:t xml:space="preserve">。</w:t>
            </w:r>
            <w:r/>
          </w:p>
        </w:tc>
        <w:tc>
          <w:tcPr>
            <w:tcW w:w="2494" w:type="dxa"/>
            <w:vAlign w:val="center"/>
            <w:textDirection w:val="lrTb"/>
            <w:noWrap w:val="false"/>
          </w:tcPr>
          <w:p>
            <w:pPr>
              <w:jc w:val="center"/>
              <w:spacing w:line="240" w:lineRule="atLeast"/>
              <w:widowControl/>
              <w:rPr>
                <w:rFonts w:ascii="宋体" w:hAnsi="宋体" w:cs="宋体"/>
                <w:sz w:val="22"/>
              </w:rPr>
            </w:pPr>
            <w:r>
              <w:rPr>
                <w:rFonts w:ascii="宋体" w:hAnsi="宋体" w:cs="宋体"/>
                <w:sz w:val="22"/>
              </w:rPr>
            </w:r>
            <w:r/>
          </w:p>
        </w:tc>
        <w:tc>
          <w:tcPr>
            <w:tcW w:w="1590" w:type="dxa"/>
            <w:vAlign w:val="center"/>
            <w:textDirection w:val="lrTb"/>
            <w:noWrap w:val="false"/>
          </w:tcPr>
          <w:p>
            <w:pPr>
              <w:jc w:val="center"/>
              <w:spacing w:line="240" w:lineRule="atLeast"/>
              <w:widowControl/>
              <w:rPr>
                <w:rFonts w:ascii="宋体" w:hAnsi="宋体" w:cs="宋体"/>
                <w:sz w:val="22"/>
              </w:rPr>
            </w:pPr>
            <w:r>
              <w:rPr>
                <w:rFonts w:ascii="宋体" w:hAnsi="宋体" w:cs="宋体"/>
                <w:sz w:val="22"/>
              </w:rPr>
            </w:r>
            <w:r/>
          </w:p>
        </w:tc>
      </w:tr>
    </w:tbl>
    <w:p>
      <w:pPr>
        <w:ind w:left="420"/>
        <w:jc w:val="right"/>
        <w:spacing w:line="480" w:lineRule="auto"/>
        <w:rPr>
          <w:rFonts w:ascii="华文中宋" w:hAnsi="华文中宋" w:cs="华文中宋"/>
          <w:sz w:val="24"/>
          <w:szCs w:val="24"/>
        </w:rPr>
      </w:pPr>
      <w:r>
        <w:rPr>
          <w:rFonts w:ascii="华文中宋" w:hAnsi="华文中宋" w:cs="华文中宋"/>
          <w:sz w:val="24"/>
          <w:szCs w:val="24"/>
        </w:rPr>
      </w:r>
      <w:r/>
    </w:p>
    <w:p>
      <w:pPr>
        <w:ind w:left="420"/>
        <w:jc w:val="right"/>
        <w:spacing w:line="480" w:lineRule="auto"/>
        <w:rPr>
          <w:rFonts w:ascii="华文中宋" w:hAnsi="华文中宋" w:cs="华文中宋"/>
          <w:sz w:val="22"/>
          <w:szCs w:val="22"/>
        </w:rPr>
      </w:pPr>
      <w:r>
        <w:rPr>
          <w:rFonts w:hint="eastAsia" w:ascii="华文中宋" w:hAnsi="华文中宋" w:cs="华文中宋"/>
          <w:sz w:val="22"/>
          <w:highlight w:val="none"/>
        </w:rPr>
      </w:r>
      <w:r>
        <w:rPr>
          <w:rFonts w:hint="eastAsia" w:ascii="华文中宋" w:hAnsi="华文中宋" w:cs="华文中宋"/>
          <w:sz w:val="22"/>
          <w:highlight w:val="none"/>
        </w:rPr>
      </w:r>
      <w:r/>
    </w:p>
    <w:p>
      <w:pPr>
        <w:ind w:left="420"/>
        <w:jc w:val="right"/>
        <w:spacing w:line="480" w:lineRule="auto"/>
        <w:rPr>
          <w:rFonts w:hint="eastAsia" w:ascii="华文中宋" w:hAnsi="华文中宋" w:cs="华文中宋"/>
          <w:sz w:val="22"/>
          <w:szCs w:val="22"/>
          <w:highlight w:val="none"/>
        </w:rPr>
      </w:pPr>
      <w:r>
        <w:rPr>
          <w:rFonts w:hint="eastAsia" w:ascii="华文中宋" w:hAnsi="华文中宋" w:cs="华文中宋"/>
          <w:sz w:val="22"/>
        </w:rPr>
        <w:t xml:space="preserve">投标人公章：            （电子签章）</w:t>
      </w:r>
      <w:r/>
    </w:p>
    <w:p>
      <w:pPr>
        <w:ind w:firstLine="480"/>
        <w:jc w:val="right"/>
        <w:spacing w:line="360" w:lineRule="auto"/>
        <w:rPr>
          <w:rFonts w:ascii="华文中宋" w:hAnsi="华文中宋" w:cs="华文中宋"/>
          <w:sz w:val="22"/>
        </w:rPr>
      </w:pPr>
      <w:r>
        <w:rPr>
          <w:rFonts w:hint="eastAsia" w:ascii="华文中宋" w:hAnsi="华文中宋" w:cs="华文中宋"/>
          <w:sz w:val="22"/>
          <w:u w:val="single"/>
        </w:rPr>
        <w:t xml:space="preserve">         </w:t>
      </w:r>
      <w:r>
        <w:rPr>
          <w:rFonts w:hint="eastAsia" w:ascii="华文中宋" w:hAnsi="华文中宋" w:cs="华文中宋"/>
          <w:sz w:val="22"/>
        </w:rPr>
        <w:t xml:space="preserve">年</w:t>
      </w:r>
      <w:r>
        <w:rPr>
          <w:rFonts w:hint="eastAsia" w:ascii="华文中宋" w:hAnsi="华文中宋" w:cs="华文中宋"/>
          <w:sz w:val="22"/>
          <w:u w:val="single"/>
        </w:rPr>
        <w:t xml:space="preserve">   </w:t>
      </w:r>
      <w:r>
        <w:rPr>
          <w:rFonts w:hint="eastAsia" w:ascii="华文中宋" w:hAnsi="华文中宋" w:cs="华文中宋"/>
          <w:sz w:val="22"/>
        </w:rPr>
        <w:t xml:space="preserve">月</w:t>
      </w:r>
      <w:r>
        <w:rPr>
          <w:rFonts w:hint="eastAsia" w:ascii="华文中宋" w:hAnsi="华文中宋" w:cs="华文中宋"/>
          <w:sz w:val="22"/>
          <w:u w:val="single"/>
        </w:rPr>
        <w:t xml:space="preserve">   </w:t>
      </w:r>
      <w:r>
        <w:rPr>
          <w:rFonts w:hint="eastAsia" w:ascii="华文中宋" w:hAnsi="华文中宋" w:cs="华文中宋"/>
          <w:sz w:val="22"/>
        </w:rPr>
        <w:t xml:space="preserve">日</w:t>
      </w:r>
      <w:r/>
    </w:p>
    <w:p>
      <w:pPr>
        <w:jc w:val="left"/>
        <w:spacing w:line="360" w:lineRule="auto"/>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jc w:val="left"/>
        <w:spacing w:line="360" w:lineRule="auto"/>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spacing w:line="360" w:lineRule="auto"/>
        <w:rPr>
          <w:rFonts w:ascii="黑体" w:hAnsi="黑体" w:eastAsia="黑体"/>
          <w:sz w:val="28"/>
          <w:szCs w:val="36"/>
        </w:rPr>
      </w:pPr>
      <w:r>
        <w:rPr>
          <w:rFonts w:hint="eastAsia" w:ascii="黑体" w:hAnsi="黑体" w:eastAsia="黑体"/>
          <w:sz w:val="28"/>
          <w:szCs w:val="36"/>
        </w:rPr>
        <w:t xml:space="preserve">附：</w:t>
      </w:r>
      <w:r/>
    </w:p>
    <w:p>
      <w:pPr>
        <w:jc w:val="center"/>
        <w:spacing w:line="360" w:lineRule="auto"/>
        <w:rPr>
          <w:rFonts w:ascii="华文中宋" w:hAnsi="华文中宋" w:cs="华文中宋"/>
          <w:sz w:val="24"/>
          <w:szCs w:val="24"/>
        </w:rPr>
      </w:pPr>
      <w:r>
        <w:rPr>
          <w:rFonts w:hint="eastAsia" w:ascii="黑体" w:hAnsi="黑体" w:eastAsia="黑体"/>
          <w:sz w:val="28"/>
          <w:szCs w:val="36"/>
        </w:rPr>
        <w:t xml:space="preserve">《医疗器械生产企业许可证》、《医疗器械注册证》原件扫描件</w:t>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pPr>
      <w:r>
        <w:rPr>
          <w:rFonts w:ascii="华文中宋" w:hAnsi="华文中宋" w:cs="华文中宋"/>
          <w:sz w:val="24"/>
          <w:szCs w:val="24"/>
        </w:rPr>
      </w:r>
      <w:r/>
    </w:p>
    <w:p>
      <w:pPr>
        <w:spacing w:line="360" w:lineRule="auto"/>
        <w:rPr>
          <w:rFonts w:ascii="华文中宋" w:hAnsi="华文中宋" w:cs="华文中宋"/>
          <w:sz w:val="24"/>
          <w:szCs w:val="24"/>
        </w:rPr>
        <w:sectPr>
          <w:footerReference w:type="default" r:id="rId8"/>
          <w:footnotePr/>
          <w:endnotePr/>
          <w:type w:val="nextPage"/>
          <w:pgSz w:w="11906" w:h="16838" w:orient="portrait"/>
          <w:pgMar w:top="1361" w:right="1179" w:bottom="850" w:left="1417" w:header="851" w:footer="652" w:gutter="0"/>
          <w:pgNumType w:start="1"/>
          <w:cols w:num="1" w:sep="0" w:space="1701" w:equalWidth="1"/>
          <w:docGrid w:linePitch="360"/>
        </w:sectPr>
      </w:pPr>
      <w:r>
        <w:rPr>
          <w:rFonts w:ascii="华文中宋" w:hAnsi="华文中宋" w:cs="华文中宋"/>
          <w:sz w:val="24"/>
          <w:szCs w:val="24"/>
        </w:rPr>
      </w:r>
      <w:r/>
    </w:p>
    <w:p>
      <w:pPr>
        <w:jc w:val="center"/>
        <w:spacing w:line="360" w:lineRule="auto"/>
        <w:rPr>
          <w:rFonts w:ascii="黑体" w:hAnsi="黑体" w:eastAsia="黑体"/>
          <w:sz w:val="28"/>
          <w:szCs w:val="36"/>
        </w:rPr>
      </w:pPr>
      <w:r>
        <w:rPr>
          <w:rFonts w:ascii="黑体" w:hAnsi="黑体" w:eastAsia="黑体"/>
          <w:sz w:val="28"/>
          <w:szCs w:val="36"/>
        </w:rPr>
        <w:t xml:space="preserve">技术条款响应表</w:t>
      </w:r>
      <w:r/>
    </w:p>
    <w:tbl>
      <w:tblPr>
        <w:tblStyle w:val="681"/>
        <w:tblW w:w="0" w:type="auto"/>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722"/>
        <w:gridCol w:w="487"/>
        <w:gridCol w:w="5933"/>
        <w:gridCol w:w="4150"/>
        <w:gridCol w:w="1600"/>
        <w:gridCol w:w="1060"/>
      </w:tblGrid>
      <w:tr>
        <w:trPr>
          <w:trHeight w:val="348"/>
        </w:trPr>
        <w:tc>
          <w:tcPr>
            <w:tcBorders>
              <w:top w:val="single" w:color="auto" w:sz="2" w:space="0"/>
              <w:left w:val="single" w:color="auto" w:sz="2" w:space="0"/>
              <w:right w:val="single" w:color="auto" w:sz="2" w:space="0"/>
            </w:tcBorders>
            <w:tcW w:w="722" w:type="dxa"/>
            <w:vAlign w:val="center"/>
            <w:vMerge w:val="restart"/>
            <w:textDirection w:val="lrTb"/>
            <w:noWrap w:val="false"/>
          </w:tcPr>
          <w:p>
            <w:pPr>
              <w:ind w:left="0" w:right="0" w:firstLine="0"/>
              <w:jc w:val="center"/>
              <w:rPr>
                <w:b/>
                <w:bCs/>
              </w:rPr>
            </w:pPr>
            <w:r>
              <w:rPr>
                <w:rFonts w:hint="eastAsia"/>
                <w:b/>
                <w:bCs/>
                <w:lang w:eastAsia="zh-CN"/>
              </w:rPr>
              <w:t xml:space="preserve">参数性质</w:t>
            </w:r>
            <w:r/>
          </w:p>
        </w:tc>
        <w:tc>
          <w:tcPr>
            <w:tcBorders>
              <w:top w:val="single" w:color="auto" w:sz="2" w:space="0"/>
              <w:left w:val="single" w:color="auto" w:sz="2" w:space="0"/>
              <w:right w:val="single" w:color="auto" w:sz="2" w:space="0"/>
            </w:tcBorders>
            <w:tcW w:w="487" w:type="dxa"/>
            <w:vAlign w:val="center"/>
            <w:vMerge w:val="restart"/>
            <w:textDirection w:val="lrTb"/>
            <w:noWrap w:val="false"/>
          </w:tcPr>
          <w:p>
            <w:pPr>
              <w:ind w:left="0" w:right="0" w:firstLine="0"/>
              <w:jc w:val="center"/>
              <w:rPr>
                <w:b/>
                <w:bCs/>
              </w:rPr>
            </w:pPr>
            <w:r>
              <w:rPr>
                <w:rFonts w:hint="eastAsia"/>
                <w:b/>
                <w:bCs/>
                <w:lang w:eastAsia="zh-CN"/>
              </w:rPr>
              <w:t xml:space="preserve">序号</w:t>
            </w:r>
            <w:r/>
          </w:p>
        </w:tc>
        <w:tc>
          <w:tcPr>
            <w:gridSpan w:val="2"/>
            <w:tcBorders>
              <w:top w:val="single" w:color="auto" w:sz="2" w:space="0"/>
              <w:left w:val="single" w:color="auto" w:sz="2" w:space="0"/>
              <w:bottom w:val="single" w:color="auto" w:sz="2" w:space="0"/>
              <w:right w:val="single" w:color="auto" w:sz="2" w:space="0"/>
            </w:tcBorders>
            <w:tcW w:w="10083" w:type="dxa"/>
            <w:vAlign w:val="center"/>
            <w:textDirection w:val="lrTb"/>
            <w:noWrap w:val="false"/>
          </w:tcPr>
          <w:p>
            <w:pPr>
              <w:ind w:left="0" w:right="0" w:firstLine="0"/>
              <w:jc w:val="center"/>
              <w:rPr>
                <w:rFonts w:hint="eastAsia"/>
                <w:b/>
                <w:bCs/>
                <w:lang w:eastAsia="zh-CN"/>
              </w:rPr>
            </w:pPr>
            <w:r>
              <w:rPr>
                <w:rFonts w:hint="eastAsia"/>
                <w:b/>
                <w:bCs/>
                <w:lang w:eastAsia="zh-CN"/>
              </w:rPr>
              <w:t xml:space="preserve">具体技术（参数）要求</w:t>
            </w:r>
            <w:r/>
          </w:p>
        </w:tc>
        <w:tc>
          <w:tcPr>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jc w:val="center"/>
              <w:spacing w:line="240" w:lineRule="atLeast"/>
              <w:widowControl/>
              <w:rPr>
                <w:rFonts w:ascii="宋体" w:hAnsi="宋体" w:cs="宋体"/>
                <w:b/>
                <w:sz w:val="22"/>
              </w:rPr>
            </w:pPr>
            <w:r>
              <w:rPr>
                <w:rFonts w:hint="eastAsia" w:ascii="宋体" w:hAnsi="宋体" w:cs="宋体"/>
                <w:b/>
                <w:sz w:val="22"/>
              </w:rPr>
              <w:t xml:space="preserve">偏离情况</w:t>
            </w:r>
            <w:r/>
          </w:p>
          <w:p>
            <w:pPr>
              <w:ind w:left="0" w:right="0" w:firstLine="0"/>
              <w:jc w:val="center"/>
              <w:rPr>
                <w:rFonts w:hint="eastAsia"/>
                <w:b/>
                <w:bCs/>
                <w:lang w:eastAsia="zh-CN"/>
              </w:rPr>
            </w:pPr>
            <w:r>
              <w:rPr>
                <w:rFonts w:hint="eastAsia" w:ascii="宋体" w:hAnsi="宋体" w:cs="宋体"/>
                <w:b/>
                <w:sz w:val="22"/>
              </w:rPr>
              <w:t xml:space="preserve">（正/负/无）</w:t>
            </w:r>
            <w:r>
              <w:rPr>
                <w:rFonts w:hint="eastAsia"/>
                <w:b/>
                <w:bCs/>
                <w:lang w:eastAsia="zh-CN"/>
              </w:rPr>
            </w:r>
            <w:r/>
          </w:p>
        </w:tc>
        <w:tc>
          <w:tcPr>
            <w:tcBorders>
              <w:top w:val="single" w:color="auto" w:sz="2" w:space="0"/>
              <w:left w:val="single" w:color="auto" w:sz="2" w:space="0"/>
              <w:bottom w:val="single" w:color="auto" w:sz="2" w:space="0"/>
              <w:right w:val="single" w:color="auto" w:sz="2" w:space="0"/>
            </w:tcBorders>
            <w:tcW w:w="1060" w:type="dxa"/>
            <w:vAlign w:val="center"/>
            <w:vMerge w:val="restart"/>
            <w:textDirection w:val="lrTb"/>
            <w:noWrap w:val="false"/>
          </w:tcPr>
          <w:p>
            <w:pPr>
              <w:ind w:left="0" w:right="0" w:firstLine="0"/>
              <w:jc w:val="center"/>
              <w:rPr>
                <w:rFonts w:hint="default"/>
                <w:b/>
                <w:bCs/>
                <w:lang w:val="en-US" w:eastAsia="zh-CN"/>
              </w:rPr>
            </w:pPr>
            <w:r>
              <w:rPr>
                <w:rFonts w:hint="eastAsia"/>
                <w:b/>
                <w:bCs/>
                <w:lang w:val="en-US" w:eastAsia="zh-CN"/>
              </w:rPr>
              <w:t xml:space="preserve">证明材料所在页次</w:t>
            </w:r>
            <w:r>
              <w:rPr>
                <w:rFonts w:hint="default"/>
                <w:b/>
                <w:bCs/>
                <w:lang w:val="en-US" w:eastAsia="zh-CN"/>
              </w:rPr>
            </w:r>
            <w:r/>
          </w:p>
        </w:tc>
      </w:tr>
      <w:tr>
        <w:trPr>
          <w:trHeight w:val="473"/>
        </w:trPr>
        <w:tc>
          <w:tcPr>
            <w:tcBorders>
              <w:left w:val="single" w:color="auto" w:sz="2" w:space="0"/>
              <w:bottom w:val="single" w:color="auto" w:sz="2" w:space="0"/>
              <w:right w:val="single" w:color="auto" w:sz="2" w:space="0"/>
            </w:tcBorders>
            <w:tcW w:w="722" w:type="dxa"/>
            <w:vAlign w:val="center"/>
            <w:vMerge w:val="continue"/>
            <w:textDirection w:val="lrTb"/>
            <w:noWrap w:val="false"/>
          </w:tcPr>
          <w:p>
            <w:pPr>
              <w:ind w:left="0" w:right="0" w:firstLine="0"/>
              <w:jc w:val="center"/>
              <w:rPr>
                <w:rFonts w:hint="eastAsia"/>
                <w:b/>
                <w:bCs/>
                <w:lang w:eastAsia="zh-CN"/>
              </w:rPr>
            </w:pPr>
            <w:r>
              <w:rPr>
                <w:rFonts w:hint="eastAsia"/>
                <w:b/>
                <w:bCs/>
                <w:lang w:eastAsia="zh-CN"/>
              </w:rPr>
            </w:r>
            <w:r/>
          </w:p>
        </w:tc>
        <w:tc>
          <w:tcPr>
            <w:tcBorders>
              <w:left w:val="single" w:color="auto" w:sz="2" w:space="0"/>
              <w:bottom w:val="single" w:color="auto" w:sz="2" w:space="0"/>
              <w:right w:val="single" w:color="auto" w:sz="2" w:space="0"/>
            </w:tcBorders>
            <w:tcW w:w="487" w:type="dxa"/>
            <w:vAlign w:val="center"/>
            <w:vMerge w:val="continue"/>
            <w:textDirection w:val="lrTb"/>
            <w:noWrap w:val="false"/>
          </w:tcPr>
          <w:p>
            <w:pPr>
              <w:ind w:left="0" w:right="0" w:firstLine="0"/>
              <w:jc w:val="center"/>
              <w:rPr>
                <w:rFonts w:hint="eastAsia"/>
                <w:b/>
                <w:bCs/>
                <w:lang w:eastAsia="zh-CN"/>
              </w:rPr>
            </w:pPr>
            <w:r>
              <w:rPr>
                <w:rFonts w:hint="eastAsia"/>
                <w:b/>
                <w:bCs/>
                <w:lang w:eastAsia="zh-CN"/>
              </w:rPr>
            </w:r>
            <w:r/>
          </w:p>
        </w:tc>
        <w:tc>
          <w:tcPr>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ind w:left="0" w:right="0" w:firstLine="0"/>
              <w:jc w:val="center"/>
              <w:rPr>
                <w:rFonts w:hint="default"/>
                <w:b/>
                <w:bCs/>
                <w:lang w:val="en-US" w:eastAsia="zh-CN"/>
              </w:rPr>
            </w:pPr>
            <w:r>
              <w:rPr>
                <w:rFonts w:hint="eastAsia"/>
                <w:b/>
                <w:bCs/>
                <w:lang w:val="en-US" w:eastAsia="zh-CN"/>
              </w:rPr>
              <w:t xml:space="preserve">招标文件要求</w:t>
            </w:r>
            <w:r/>
          </w:p>
        </w:tc>
        <w:tc>
          <w:tcPr>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ind w:left="0" w:right="0" w:firstLine="0"/>
              <w:jc w:val="center"/>
              <w:rPr>
                <w:rFonts w:hint="default"/>
                <w:b/>
                <w:bCs/>
                <w:lang w:val="en-US" w:eastAsia="zh-CN"/>
              </w:rPr>
            </w:pPr>
            <w:r>
              <w:rPr>
                <w:rFonts w:hint="eastAsia"/>
                <w:b/>
                <w:bCs/>
                <w:lang w:val="en-US" w:eastAsia="zh-CN"/>
              </w:rPr>
              <w:t xml:space="preserve">投标文件响应</w:t>
            </w:r>
            <w:r/>
          </w:p>
        </w:tc>
        <w:tc>
          <w:tcPr>
            <w:tcBorders>
              <w:top w:val="single" w:color="auto" w:sz="2" w:space="0"/>
              <w:left w:val="single" w:color="auto" w:sz="2" w:space="0"/>
              <w:bottom w:val="single" w:color="auto" w:sz="2" w:space="0"/>
              <w:right w:val="single" w:color="auto" w:sz="2" w:space="0"/>
            </w:tcBorders>
            <w:tcW w:w="1600" w:type="dxa"/>
            <w:vAlign w:val="center"/>
            <w:vMerge w:val="continue"/>
            <w:textDirection w:val="lrTb"/>
            <w:noWrap w:val="false"/>
          </w:tcPr>
          <w:p>
            <w:r/>
            <w:r/>
          </w:p>
        </w:tc>
        <w:tc>
          <w:tcPr>
            <w:tcBorders>
              <w:top w:val="single" w:color="auto" w:sz="2" w:space="0"/>
              <w:left w:val="single" w:color="auto" w:sz="2" w:space="0"/>
              <w:bottom w:val="single" w:color="auto" w:sz="2" w:space="0"/>
              <w:right w:val="single" w:color="auto" w:sz="2" w:space="0"/>
            </w:tcBorders>
            <w:tcW w:w="1060" w:type="dxa"/>
            <w:vAlign w:val="center"/>
            <w:vMerge w:val="continue"/>
            <w:textDirection w:val="lrTb"/>
            <w:noWrap w:val="false"/>
          </w:tcPr>
          <w:p>
            <w:r/>
            <w:r/>
          </w:p>
        </w:tc>
      </w:tr>
      <w:tr>
        <w:trPr>
          <w:trHeight w:val="457"/>
        </w:trPr>
        <w:tc>
          <w:tcPr>
            <w:gridSpan w:val="6"/>
            <w:tcBorders>
              <w:top w:val="single" w:color="auto" w:sz="2" w:space="0"/>
              <w:left w:val="single" w:color="auto" w:sz="2" w:space="0"/>
              <w:bottom w:val="single" w:color="auto" w:sz="2" w:space="0"/>
              <w:right w:val="single" w:color="auto" w:sz="2" w:space="0"/>
            </w:tcBorders>
            <w:tcW w:w="13952" w:type="dxa"/>
            <w:vAlign w:val="center"/>
            <w:textDirection w:val="lrTb"/>
            <w:noWrap w:val="false"/>
          </w:tcPr>
          <w:p>
            <w:pPr>
              <w:ind w:left="0" w:right="0" w:firstLine="0"/>
              <w:jc w:val="center"/>
              <w:rPr>
                <w:rFonts w:hint="eastAsia" w:ascii="黑体" w:hAnsi="黑体" w:eastAsia="黑体" w:cs="黑体"/>
                <w:lang w:eastAsia="zh-CN"/>
              </w:rPr>
            </w:pPr>
            <w:r>
              <w:rPr>
                <w:rFonts w:hint="eastAsia" w:ascii="黑体" w:hAnsi="黑体" w:eastAsia="黑体" w:cs="黑体"/>
                <w:lang w:eastAsia="zh-CN"/>
              </w:rPr>
              <w:t xml:space="preserve">超声治疗仪</w:t>
            </w:r>
            <w:r/>
          </w:p>
        </w:tc>
      </w:tr>
      <w:tr>
        <w:trPr>
          <w:trHeight w:val="316"/>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波束类型：会/汇聚型；</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316"/>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具备≥两种声工作频率；</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316"/>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Hans"/>
              </w:rPr>
              <w:t xml:space="preserve">具备≥三种焦平面距离；</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lang w:eastAsia="zh-Hans"/>
              </w:rPr>
            </w:pPr>
            <w:r>
              <w:rPr>
                <w:rFonts w:hint="eastAsia" w:asciiTheme="minorEastAsia" w:hAnsiTheme="minorEastAsia" w:eastAsiaTheme="minorEastAsia" w:cstheme="minorEastAsia"/>
                <w:lang w:eastAsia="zh-Hans"/>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lang w:eastAsia="zh-Hans"/>
              </w:rPr>
            </w:pPr>
            <w:r>
              <w:rPr>
                <w:rFonts w:hint="eastAsia" w:asciiTheme="minorEastAsia" w:hAnsiTheme="minorEastAsia" w:eastAsiaTheme="minorEastAsia" w:cstheme="minorEastAsia"/>
                <w:lang w:eastAsia="zh-Hans"/>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lang w:eastAsia="zh-Hans"/>
              </w:rPr>
            </w:pPr>
            <w:r>
              <w:rPr>
                <w:rFonts w:hint="eastAsia" w:asciiTheme="minorEastAsia" w:hAnsiTheme="minorEastAsia" w:eastAsiaTheme="minorEastAsia" w:cstheme="minorEastAsia"/>
                <w:lang w:eastAsia="zh-Hans"/>
              </w:rPr>
            </w:r>
            <w:r/>
          </w:p>
        </w:tc>
      </w:tr>
      <w:tr>
        <w:trPr>
          <w:trHeight w:val="316"/>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lang w:eastAsia="zh-Hans"/>
              </w:rPr>
            </w:pPr>
            <w:r>
              <w:rPr>
                <w:rFonts w:hint="eastAsia" w:asciiTheme="minorEastAsia" w:hAnsiTheme="minorEastAsia" w:eastAsiaTheme="minorEastAsia" w:cstheme="minorEastAsia"/>
                <w:lang w:eastAsia="zh-Hans"/>
              </w:rPr>
              <w:t xml:space="preserve">具有大焦域技术；</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lang w:eastAsia="zh-Hans"/>
              </w:rPr>
            </w:pPr>
            <w:r>
              <w:rPr>
                <w:rFonts w:hint="eastAsia" w:asciiTheme="minorEastAsia" w:hAnsiTheme="minorEastAsia" w:eastAsiaTheme="minorEastAsia" w:cstheme="minorEastAsia"/>
                <w:lang w:eastAsia="zh-Hans"/>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lang w:eastAsia="zh-Hans"/>
              </w:rPr>
            </w:pPr>
            <w:r>
              <w:rPr>
                <w:rFonts w:hint="eastAsia" w:asciiTheme="minorEastAsia" w:hAnsiTheme="minorEastAsia" w:eastAsiaTheme="minorEastAsia" w:cstheme="minorEastAsia"/>
                <w:lang w:eastAsia="zh-Hans"/>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lang w:eastAsia="zh-Hans"/>
              </w:rPr>
            </w:pPr>
            <w:r>
              <w:rPr>
                <w:rFonts w:hint="eastAsia" w:asciiTheme="minorEastAsia" w:hAnsiTheme="minorEastAsia" w:eastAsiaTheme="minorEastAsia" w:cstheme="minorEastAsia"/>
                <w:lang w:eastAsia="zh-Hans"/>
              </w:rPr>
            </w:r>
            <w:r/>
          </w:p>
        </w:tc>
      </w:tr>
      <w:tr>
        <w:trPr>
          <w:trHeight w:val="316"/>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频率：≥</w:t>
            </w:r>
            <w:r>
              <w:rPr>
                <w:rFonts w:hint="eastAsia" w:asciiTheme="minorEastAsia" w:hAnsiTheme="minorEastAsia" w:eastAsiaTheme="minorEastAsia" w:cstheme="minorEastAsia"/>
                <w:lang w:eastAsia="zh-CN"/>
              </w:rPr>
              <w:t xml:space="preserve">三种</w:t>
            </w:r>
            <w:r>
              <w:rPr>
                <w:rFonts w:hint="eastAsia" w:asciiTheme="minorEastAsia" w:hAnsiTheme="minorEastAsia" w:eastAsiaTheme="minorEastAsia" w:cstheme="minorEastAsia"/>
              </w:rPr>
              <w:t xml:space="preserve">模式可调节</w:t>
            </w:r>
            <w:r>
              <w:rPr>
                <w:rFonts w:hint="eastAsia" w:asciiTheme="minorEastAsia" w:hAnsiTheme="minorEastAsia" w:eastAsiaTheme="minorEastAsia" w:cstheme="minorEastAsia"/>
                <w:lang w:eastAsia="zh-CN"/>
              </w:rPr>
              <w:t xml:space="preserve">（频率</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eastAsia="zh-CN"/>
              </w:rPr>
              <w:t xml:space="preserve">15Hz）</w:t>
            </w: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316"/>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超声炮手柄具有滑动传感器检测功能，手柄停止运动立即停止输出超声能量；</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316"/>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超声刀手柄能量作用头（治疗头）与手持部分连成一体，使用方便；</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316"/>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主机上可同时适配安装超声刀手柄和超声炮手柄；</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316"/>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设备设计使用年限不少于10年；</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316"/>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具备液晶可触摸显示屏，主机屏幕尺寸≥14英寸；</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354"/>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具备治疗档案查询功能，查询内容包括：治疗时间、治疗参数、治疗能量发数等。</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348"/>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单个超声刀</w:t>
            </w:r>
            <w:r>
              <w:rPr>
                <w:rFonts w:hint="eastAsia" w:asciiTheme="minorEastAsia" w:hAnsiTheme="minorEastAsia" w:eastAsiaTheme="minorEastAsia" w:cstheme="minorEastAsia"/>
                <w:lang w:eastAsia="zh-CN"/>
              </w:rPr>
              <w:t xml:space="preserve">头</w:t>
            </w:r>
            <w:r>
              <w:rPr>
                <w:rFonts w:hint="eastAsia" w:asciiTheme="minorEastAsia" w:hAnsiTheme="minorEastAsia" w:eastAsiaTheme="minorEastAsia" w:cstheme="minorEastAsia"/>
              </w:rPr>
              <w:t xml:space="preserve">手柄能量发数≥4</w:t>
            </w:r>
            <w:r>
              <w:rPr>
                <w:rFonts w:hint="eastAsia" w:asciiTheme="minorEastAsia" w:hAnsiTheme="minorEastAsia" w:eastAsiaTheme="minorEastAsia" w:cstheme="minorEastAsia"/>
                <w:lang w:eastAsia="zh-CN"/>
              </w:rPr>
              <w:t xml:space="preserve">万</w:t>
            </w:r>
            <w:r>
              <w:rPr>
                <w:rFonts w:hint="eastAsia" w:asciiTheme="minorEastAsia" w:hAnsiTheme="minorEastAsia" w:eastAsiaTheme="minorEastAsia" w:cstheme="minorEastAsia"/>
              </w:rPr>
              <w:t xml:space="preserve">发</w:t>
            </w:r>
            <w:r>
              <w:rPr>
                <w:rFonts w:hint="eastAsia" w:asciiTheme="minorEastAsia" w:hAnsiTheme="minorEastAsia" w:eastAsiaTheme="minorEastAsia" w:cstheme="minorEastAsia"/>
                <w:lang w:eastAsia="zh-CN"/>
              </w:rPr>
              <w:t xml:space="preserve">，单个超声炮头</w:t>
            </w:r>
            <w:r>
              <w:rPr>
                <w:rFonts w:hint="eastAsia" w:asciiTheme="minorEastAsia" w:hAnsiTheme="minorEastAsia" w:eastAsiaTheme="minorEastAsia" w:cstheme="minorEastAsia"/>
              </w:rPr>
              <w:t xml:space="preserve">手柄能量发数≥</w:t>
            </w:r>
            <w:r>
              <w:rPr>
                <w:rFonts w:hint="eastAsia" w:asciiTheme="minorEastAsia" w:hAnsiTheme="minorEastAsia" w:eastAsiaTheme="minorEastAsia" w:cstheme="minorEastAsia"/>
                <w:lang w:eastAsia="zh-CN"/>
              </w:rPr>
              <w:t xml:space="preserve">50万</w:t>
            </w:r>
            <w:r>
              <w:rPr>
                <w:rFonts w:hint="eastAsia" w:asciiTheme="minorEastAsia" w:hAnsiTheme="minorEastAsia" w:eastAsiaTheme="minorEastAsia" w:cstheme="minorEastAsia"/>
              </w:rPr>
              <w:t xml:space="preserve">发</w:t>
            </w:r>
            <w:r>
              <w:rPr>
                <w:rFonts w:hint="eastAsia" w:asciiTheme="minorEastAsia" w:hAnsiTheme="minorEastAsia" w:eastAsiaTheme="minorEastAsia" w:cstheme="minorEastAsia"/>
                <w:lang w:eastAsia="zh-CN"/>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174"/>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13</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 xml:space="preserve">具有明确面部除皱抗衰适应症；</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r>
      <w:tr>
        <w:trPr>
          <w:trHeight w:val="174"/>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lang w:eastAsia="zh-CN"/>
              </w:rPr>
              <w:t xml:space="preserve">4</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一台主机上可同时适配安装≥2把超声刀手柄和1把超声炮手柄；</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r>
      <w:tr>
        <w:trPr>
          <w:trHeight w:val="180"/>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lang w:eastAsia="zh-CN"/>
              </w:rPr>
              <w:t xml:space="preserve">5</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 xml:space="preserve">具备能量提升利用新技术</w:t>
            </w: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r>
      <w:tr>
        <w:trPr>
          <w:trHeight w:val="180"/>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16</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主机、台车采用分体式设计，便于维护，降低整机维修更换成本。</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r>
      <w:tr>
        <w:trPr>
          <w:trHeight w:val="180"/>
        </w:trPr>
        <w:tc>
          <w:tcPr>
            <w:shd w:val="clear" w:color="auto" w:fill="auto"/>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17</w:t>
            </w:r>
            <w:r/>
          </w:p>
        </w:tc>
        <w:tc>
          <w:tcPr>
            <w:shd w:val="clear" w:color="auto" w:fill="auto"/>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配置超声影像模块，可用于治疗前人体临床超声检查；</w:t>
            </w:r>
            <w:r/>
          </w:p>
        </w:tc>
        <w:tc>
          <w:tcPr>
            <w:shd w:val="clear" w:color="auto" w:fill="auto"/>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602"/>
        </w:trPr>
        <w:tc>
          <w:tcPr>
            <w:gridSpan w:val="6"/>
            <w:tcBorders>
              <w:top w:val="single" w:color="auto" w:sz="2" w:space="0"/>
              <w:left w:val="single" w:color="auto" w:sz="2" w:space="0"/>
              <w:bottom w:val="single" w:color="auto" w:sz="2" w:space="0"/>
              <w:right w:val="single" w:color="auto" w:sz="2" w:space="0"/>
            </w:tcBorders>
            <w:tcW w:w="13952" w:type="dxa"/>
            <w:vAlign w:val="center"/>
            <w:textDirection w:val="lrTb"/>
            <w:noWrap w:val="false"/>
          </w:tcPr>
          <w:p>
            <w:pPr>
              <w:ind w:left="0" w:right="0" w:firstLine="0"/>
              <w:jc w:val="center"/>
              <w:rPr>
                <w:rFonts w:hint="eastAsia" w:ascii="黑体" w:hAnsi="黑体" w:eastAsia="黑体" w:cs="黑体"/>
                <w:lang w:eastAsia="zh-CN"/>
              </w:rPr>
            </w:pPr>
            <w:r>
              <w:rPr>
                <w:rFonts w:hint="eastAsia" w:ascii="黑体" w:hAnsi="黑体" w:eastAsia="黑体" w:cs="黑体"/>
                <w:lang w:eastAsia="zh-CN"/>
              </w:rPr>
              <w:t xml:space="preserve">治疗中检查</w:t>
            </w:r>
            <w:r/>
          </w:p>
        </w:tc>
      </w:tr>
      <w:tr>
        <w:trPr>
          <w:trHeight w:val="180"/>
        </w:trPr>
        <w:tc>
          <w:tcPr>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1</w:t>
            </w:r>
            <w:r/>
          </w:p>
        </w:tc>
        <w:tc>
          <w:tcPr>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显示终端屏幕尺寸≥10.95英寸，显示分辨率≥1920×1200，支持中文触控操作；支持B、2B、彩色多普勒、PW及M等成像模式；具备USB Type-C接口和无线网络接口，支持有线及无线连接显示终端。</w:t>
            </w:r>
            <w:r/>
          </w:p>
        </w:tc>
        <w:tc>
          <w:tcPr>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c>
          <w:tcPr>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c>
          <w:tcPr>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tc>
      </w:tr>
      <w:tr>
        <w:trPr>
          <w:trHeight w:val="180"/>
        </w:trPr>
        <w:tc>
          <w:tcPr>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2</w:t>
            </w:r>
            <w:r/>
          </w:p>
        </w:tc>
        <w:tc>
          <w:tcPr>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物理通道数量≥32，阵元数量≥128；如用于较高性能配置，物理通道≥64</w:t>
            </w:r>
            <w:r>
              <w:rPr>
                <w:rFonts w:hint="eastAsia" w:asciiTheme="minorEastAsia" w:hAnsiTheme="minorEastAsia" w:eastAsiaTheme="minorEastAsia" w:cstheme="minorEastAsia"/>
                <w:lang w:eastAsia="zh-CN"/>
              </w:rPr>
              <w:t xml:space="preserve">。</w:t>
            </w:r>
            <w:r/>
          </w:p>
        </w:tc>
        <w:tc>
          <w:tcPr>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ind w:left="0" w:right="0"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ind w:left="0" w:right="0"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ind w:left="0" w:right="0"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180"/>
        </w:trPr>
        <w:tc>
          <w:tcPr>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3</w:t>
            </w:r>
            <w:r/>
          </w:p>
        </w:tc>
        <w:tc>
          <w:tcPr>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支持DICOM图像存储及工作清单，可连接DICOM服务器或PACS</w:t>
            </w:r>
            <w:r>
              <w:rPr>
                <w:rFonts w:hint="eastAsia" w:asciiTheme="minorEastAsia" w:hAnsiTheme="minorEastAsia" w:eastAsiaTheme="minorEastAsia" w:cstheme="minorEastAsia"/>
                <w:lang w:eastAsia="zh-CN"/>
              </w:rPr>
              <w:t xml:space="preserve">。</w:t>
            </w:r>
            <w:r/>
          </w:p>
        </w:tc>
        <w:tc>
          <w:tcPr>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ind w:left="0" w:right="0"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ind w:left="0" w:right="0"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ind w:left="0" w:right="0"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180"/>
        </w:trPr>
        <w:tc>
          <w:tcPr>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4</w:t>
            </w:r>
            <w:r/>
          </w:p>
        </w:tc>
        <w:tc>
          <w:tcPr>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内置可充电锂电池，电池容量≥3800mAh，规定条件下续航时间≥5小时；具备电池电量状态显示、低电量自动关机及探头温度状态提示；电池完全充电时间≤2.5小时，充放电次数≥500次</w:t>
            </w:r>
            <w:r>
              <w:rPr>
                <w:rFonts w:hint="eastAsia" w:asciiTheme="minorEastAsia" w:hAnsiTheme="minorEastAsia" w:eastAsiaTheme="minorEastAsia" w:cstheme="minorEastAsia"/>
                <w:lang w:eastAsia="zh-CN"/>
              </w:rPr>
              <w:t xml:space="preserve">。</w:t>
            </w:r>
            <w:r/>
          </w:p>
        </w:tc>
        <w:tc>
          <w:tcPr>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ind w:left="0" w:right="0"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ind w:left="0" w:right="0"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ind w:left="0" w:right="0"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180"/>
        </w:trPr>
        <w:tc>
          <w:tcPr>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5</w:t>
            </w:r>
            <w:r/>
          </w:p>
        </w:tc>
        <w:tc>
          <w:tcPr>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ind w:left="0" w:right="0" w:firstLine="0"/>
              <w:jc w:val="lef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单机重量≤250g，便于手持及移动使用；支持静态图像和动态电影存储、浏览及图像对比</w:t>
            </w:r>
            <w:r>
              <w:rPr>
                <w:rFonts w:hint="eastAsia" w:asciiTheme="minorEastAsia" w:hAnsiTheme="minorEastAsia" w:eastAsiaTheme="minorEastAsia" w:cstheme="minorEastAsia"/>
                <w:lang w:eastAsia="zh-CN"/>
              </w:rPr>
              <w:t xml:space="preserve">。</w:t>
            </w:r>
            <w:r/>
          </w:p>
        </w:tc>
        <w:tc>
          <w:tcPr>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ind w:left="0" w:right="0"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ind w:left="0" w:right="0"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ind w:left="0" w:right="0" w:firstLine="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524"/>
        </w:trPr>
        <w:tc>
          <w:tcPr>
            <w:gridSpan w:val="6"/>
            <w:tcBorders>
              <w:top w:val="single" w:color="auto" w:sz="2" w:space="0"/>
              <w:left w:val="single" w:color="auto" w:sz="2" w:space="0"/>
              <w:bottom w:val="single" w:color="auto" w:sz="2" w:space="0"/>
              <w:right w:val="single" w:color="auto" w:sz="2" w:space="0"/>
            </w:tcBorders>
            <w:tcW w:w="13952" w:type="dxa"/>
            <w:vAlign w:val="center"/>
            <w:textDirection w:val="lrTb"/>
            <w:noWrap w:val="false"/>
          </w:tcPr>
          <w:p>
            <w:pPr>
              <w:ind w:left="0" w:right="0" w:firstLine="0"/>
              <w:jc w:val="center"/>
              <w:rPr>
                <w:rFonts w:hint="eastAsia" w:ascii="黑体" w:hAnsi="黑体" w:eastAsia="黑体" w:cs="黑体"/>
                <w:lang w:eastAsia="zh-CN"/>
              </w:rPr>
            </w:pPr>
            <w:r>
              <w:rPr>
                <w:rFonts w:hint="eastAsia" w:ascii="黑体" w:hAnsi="黑体" w:eastAsia="黑体" w:cs="黑体"/>
                <w:lang w:eastAsia="zh-CN"/>
              </w:rPr>
              <w:t xml:space="preserve">治疗中生命监测</w:t>
            </w:r>
            <w:r/>
          </w:p>
        </w:tc>
      </w:tr>
      <w:tr>
        <w:trPr>
          <w:trHeight w:val="180"/>
        </w:trPr>
        <w:tc>
          <w:tcPr>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1</w:t>
            </w:r>
            <w:r/>
          </w:p>
        </w:tc>
        <w:tc>
          <w:tcPr>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对病人进行：手动体外除颤、手动体内除颤、同步电复律、AED除颤、CPR功能、无创体外起搏、生命体征监护等功能。</w:t>
            </w:r>
            <w:r/>
          </w:p>
        </w:tc>
        <w:tc>
          <w:tcPr>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180"/>
        </w:trPr>
        <w:tc>
          <w:tcPr>
            <w:tcBorders>
              <w:top w:val="single" w:color="auto" w:sz="2" w:space="0"/>
              <w:left w:val="single" w:color="auto" w:sz="2" w:space="0"/>
              <w:bottom w:val="single" w:color="auto" w:sz="2" w:space="0"/>
              <w:right w:val="single" w:color="auto" w:sz="2" w:space="0"/>
            </w:tcBorders>
            <w:tcW w:w="722" w:type="dxa"/>
            <w:vAlign w:val="center"/>
            <w:textDirection w:val="lrTb"/>
            <w:noWrap w:val="false"/>
          </w:tcPr>
          <w:p>
            <w:pPr>
              <w:ind w:left="0" w:right="0" w:firstLine="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487" w:type="dxa"/>
            <w:vAlign w:val="center"/>
            <w:textDirection w:val="lrTb"/>
            <w:noWrap w:val="false"/>
          </w:tcPr>
          <w:p>
            <w:pPr>
              <w:ind w:left="0" w:right="0"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2</w:t>
            </w:r>
            <w:r/>
          </w:p>
        </w:tc>
        <w:tc>
          <w:tcPr>
            <w:tcBorders>
              <w:top w:val="single" w:color="auto" w:sz="2" w:space="0"/>
              <w:left w:val="single" w:color="auto" w:sz="2" w:space="0"/>
              <w:bottom w:val="single" w:color="auto" w:sz="2" w:space="0"/>
              <w:right w:val="single" w:color="auto" w:sz="2" w:space="0"/>
            </w:tcBorders>
            <w:tcW w:w="5933" w:type="dxa"/>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 采用双相指数截断波（ BTE）除颤波形，具有阻抗自动补偿,成人室颤患者体外首次除颤能量150J，保证除颤成功率的同时，减少除颤损伤；除颤能量选择范围为1J~360J，除颤充电至200J＜5S，充电至360J＜8S</w:t>
            </w:r>
            <w:r>
              <w:rPr>
                <w:rFonts w:hint="eastAsia" w:asciiTheme="minorEastAsia" w:hAnsiTheme="minorEastAsia" w:eastAsiaTheme="minorEastAsia" w:cstheme="minorEastAsia"/>
                <w:lang w:eastAsia="zh-CN"/>
              </w:rPr>
              <w:t xml:space="preserve">。</w:t>
            </w:r>
            <w:r/>
          </w:p>
        </w:tc>
        <w:tc>
          <w:tcPr>
            <w:tcBorders>
              <w:top w:val="single" w:color="auto" w:sz="2" w:space="0"/>
              <w:left w:val="single" w:color="auto" w:sz="2" w:space="0"/>
              <w:bottom w:val="single" w:color="auto" w:sz="2" w:space="0"/>
              <w:right w:val="single" w:color="auto" w:sz="2" w:space="0"/>
            </w:tcBorders>
            <w:tcW w:w="415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2" w:space="0"/>
              <w:left w:val="single" w:color="auto" w:sz="2" w:space="0"/>
              <w:bottom w:val="single" w:color="auto" w:sz="2" w:space="0"/>
              <w:right w:val="single" w:color="auto" w:sz="2" w:space="0"/>
            </w:tcBorders>
            <w:tcW w:w="160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2" w:space="0"/>
              <w:left w:val="single" w:color="auto" w:sz="2" w:space="0"/>
              <w:bottom w:val="single" w:color="auto" w:sz="2" w:space="0"/>
              <w:right w:val="single" w:color="auto" w:sz="2" w:space="0"/>
            </w:tcBorders>
            <w:tcW w:w="106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bl>
    <w:p>
      <w:pPr>
        <w:pStyle w:val="1094"/>
        <w:rPr>
          <w:rFonts w:cs="宋体"/>
          <w:sz w:val="22"/>
          <w:szCs w:val="22"/>
        </w:rPr>
      </w:pPr>
      <w:r>
        <w:rPr>
          <w:rFonts w:hint="eastAsia" w:cs="宋体"/>
          <w:sz w:val="22"/>
          <w:szCs w:val="22"/>
        </w:rPr>
        <w:t xml:space="preserve">注：</w:t>
      </w:r>
      <w:r/>
    </w:p>
    <w:p>
      <w:pPr>
        <w:pStyle w:val="1094"/>
        <w:ind w:firstLine="440"/>
        <w:rPr>
          <w:rFonts w:cs="宋体"/>
          <w:sz w:val="22"/>
          <w:szCs w:val="22"/>
        </w:rPr>
      </w:pPr>
      <w:r>
        <w:rPr>
          <w:rFonts w:hint="eastAsia" w:cs="宋体"/>
          <w:sz w:val="22"/>
          <w:szCs w:val="22"/>
        </w:rPr>
        <w:t xml:space="preserve">1.以上表格中加“▲”项需提供技术支撑材料（技术支撑材料可以为厂家产品白皮书、或产品印刷版彩页、或第三方出具的产品检测报告、或实物图片、或招标文件要求的其他方式）作为佐证，投标人未提供相关证明材料或提供的相关证明材料无效，该项作负偏离处理。</w:t>
      </w:r>
      <w:r/>
    </w:p>
    <w:p>
      <w:pPr>
        <w:pStyle w:val="1094"/>
        <w:ind w:firstLine="440"/>
        <w:rPr>
          <w:rFonts w:hint="eastAsia" w:cs="宋体"/>
          <w:sz w:val="22"/>
          <w:szCs w:val="22"/>
        </w:rPr>
      </w:pPr>
      <w:r>
        <w:rPr>
          <w:rFonts w:hint="eastAsia" w:cs="宋体"/>
          <w:sz w:val="22"/>
          <w:szCs w:val="22"/>
        </w:rPr>
        <w:t xml:space="preserve">2.技术支撑材料若为外文的，需提供中文译文，并以中文译文为准。</w:t>
      </w:r>
      <w:r/>
    </w:p>
    <w:p>
      <w:pPr>
        <w:pStyle w:val="1094"/>
        <w:ind w:firstLine="440"/>
        <w:rPr>
          <w:rFonts w:hint="eastAsia" w:cs="宋体"/>
          <w:sz w:val="22"/>
          <w:szCs w:val="22"/>
        </w:rPr>
      </w:pPr>
      <w:r>
        <w:rPr>
          <w:rFonts w:hint="eastAsia" w:cs="宋体"/>
          <w:sz w:val="22"/>
          <w:szCs w:val="22"/>
          <w:lang w:val="en-US" w:eastAsia="zh-CN"/>
        </w:rPr>
        <w:t xml:space="preserve">3.</w:t>
      </w:r>
      <w:r>
        <w:rPr>
          <w:rFonts w:hint="eastAsia" w:cs="宋体"/>
          <w:sz w:val="22"/>
          <w:szCs w:val="22"/>
        </w:rPr>
        <w:t xml:space="preserve">投标人针对上表列明的技术条款在“投标文件响应”栏逐条应答，不得合并应答、漏项应答，且实质内容满足招标文件要求。</w:t>
      </w:r>
      <w:r/>
    </w:p>
    <w:p>
      <w:pPr>
        <w:pStyle w:val="1094"/>
        <w:ind w:firstLine="440"/>
        <w:rPr>
          <w:rFonts w:hint="eastAsia" w:cs="宋体"/>
          <w:sz w:val="22"/>
          <w:szCs w:val="22"/>
        </w:rPr>
      </w:pPr>
      <w:r>
        <w:rPr>
          <w:rFonts w:hint="eastAsia" w:cs="宋体"/>
          <w:sz w:val="22"/>
          <w:szCs w:val="22"/>
          <w:lang w:val="en-US" w:eastAsia="zh-CN"/>
        </w:rPr>
        <w:t xml:space="preserve">4.</w:t>
      </w:r>
      <w:r>
        <w:rPr>
          <w:rFonts w:hint="eastAsia" w:cs="宋体"/>
          <w:sz w:val="22"/>
          <w:szCs w:val="22"/>
        </w:rPr>
        <w:t xml:space="preserve">“投标文件响应”</w:t>
      </w:r>
      <w:r>
        <w:rPr>
          <w:rFonts w:hint="eastAsia" w:cs="宋体"/>
          <w:sz w:val="22"/>
          <w:szCs w:val="22"/>
          <w:lang w:val="en-US" w:eastAsia="zh-CN"/>
        </w:rPr>
        <w:t xml:space="preserve">栏</w:t>
      </w:r>
      <w:r>
        <w:rPr>
          <w:rFonts w:hint="eastAsia" w:cs="宋体"/>
          <w:sz w:val="22"/>
          <w:szCs w:val="22"/>
        </w:rPr>
        <w:t xml:space="preserve">应答文字表述可以和招标文件要求原文不完全一致，但实质性涵义无歧义且满足招标文件要求。</w:t>
      </w:r>
      <w:r/>
    </w:p>
    <w:p>
      <w:pPr>
        <w:pStyle w:val="1094"/>
        <w:ind w:firstLine="440"/>
        <w:rPr>
          <w:rFonts w:hint="eastAsia" w:cs="宋体"/>
          <w:sz w:val="22"/>
          <w:szCs w:val="22"/>
        </w:rPr>
      </w:pPr>
      <w:r>
        <w:rPr>
          <w:rFonts w:hint="eastAsia" w:cs="宋体"/>
          <w:sz w:val="22"/>
          <w:szCs w:val="22"/>
          <w:lang w:val="en-US" w:eastAsia="zh-CN"/>
        </w:rPr>
        <w:t xml:space="preserve">5.</w:t>
      </w:r>
      <w:r>
        <w:rPr>
          <w:rFonts w:hint="eastAsia" w:cs="宋体"/>
          <w:sz w:val="22"/>
          <w:szCs w:val="22"/>
        </w:rPr>
        <w:t xml:space="preserve">“投标文件响应”栏应答表述禁止仅使用“满足”“符合”“无偏离”“同意”“完全响应”等概括性简单词语应答，须对条款内容作出陈述性说明。</w:t>
      </w:r>
      <w:r/>
    </w:p>
    <w:p>
      <w:pPr>
        <w:pStyle w:val="683"/>
        <w:ind w:left="0"/>
      </w:pPr>
      <w:r/>
      <w:r/>
    </w:p>
    <w:p>
      <w:pPr>
        <w:jc w:val="left"/>
        <w:rPr>
          <w:b/>
          <w:bCs/>
          <w:sz w:val="22"/>
          <w:szCs w:val="24"/>
        </w:rPr>
      </w:pPr>
      <w:r>
        <w:rPr>
          <w:b/>
          <w:bCs/>
          <w:sz w:val="22"/>
          <w:szCs w:val="24"/>
        </w:rPr>
      </w:r>
      <w:r/>
    </w:p>
    <w:p>
      <w:pPr>
        <w:jc w:val="left"/>
        <w:rPr>
          <w:b/>
          <w:bCs/>
          <w:sz w:val="22"/>
          <w:szCs w:val="24"/>
        </w:rPr>
      </w:pPr>
      <w:r>
        <w:rPr>
          <w:b/>
          <w:bCs/>
          <w:sz w:val="22"/>
          <w:szCs w:val="24"/>
        </w:rPr>
      </w:r>
      <w:r/>
    </w:p>
    <w:p>
      <w:pPr>
        <w:jc w:val="left"/>
        <w:rPr>
          <w:b/>
          <w:bCs/>
          <w:sz w:val="22"/>
          <w:szCs w:val="24"/>
        </w:rPr>
      </w:pPr>
      <w:r>
        <w:rPr>
          <w:b/>
          <w:bCs/>
          <w:sz w:val="22"/>
          <w:szCs w:val="24"/>
        </w:rPr>
      </w:r>
      <w:r/>
    </w:p>
    <w:p>
      <w:pPr>
        <w:jc w:val="right"/>
        <w:rPr>
          <w:b/>
          <w:bCs/>
          <w:sz w:val="22"/>
          <w:szCs w:val="24"/>
        </w:rPr>
      </w:pPr>
      <w:r>
        <w:rPr>
          <w:b/>
          <w:bCs/>
          <w:sz w:val="22"/>
          <w:szCs w:val="24"/>
        </w:rPr>
      </w:r>
      <w:r/>
    </w:p>
    <w:p>
      <w:pPr>
        <w:jc w:val="right"/>
        <w:rPr>
          <w:b/>
          <w:bCs/>
          <w:sz w:val="22"/>
          <w:szCs w:val="24"/>
        </w:rPr>
      </w:pPr>
      <w:r>
        <w:rPr>
          <w:rFonts w:hint="eastAsia"/>
          <w:b/>
          <w:bCs/>
          <w:sz w:val="22"/>
          <w:szCs w:val="24"/>
        </w:rPr>
        <w:t xml:space="preserve">投标人公章：            （电子签章）</w:t>
      </w:r>
      <w:r/>
    </w:p>
    <w:p>
      <w:pPr>
        <w:jc w:val="right"/>
        <w:rPr>
          <w:b/>
          <w:bCs/>
          <w:sz w:val="22"/>
          <w:szCs w:val="24"/>
        </w:rPr>
      </w:pPr>
      <w:r>
        <w:rPr>
          <w:b/>
          <w:bCs/>
          <w:sz w:val="22"/>
          <w:szCs w:val="24"/>
        </w:rPr>
      </w:r>
      <w:r/>
    </w:p>
    <w:p>
      <w:pPr>
        <w:jc w:val="right"/>
        <w:rPr>
          <w:b/>
          <w:bCs/>
          <w:sz w:val="22"/>
          <w:szCs w:val="24"/>
        </w:rPr>
      </w:pPr>
      <w:r>
        <w:rPr>
          <w:rFonts w:hint="eastAsia"/>
          <w:b/>
          <w:bCs/>
          <w:sz w:val="22"/>
          <w:szCs w:val="24"/>
        </w:rPr>
        <w:t xml:space="preserve">      </w:t>
      </w:r>
      <w:r/>
    </w:p>
    <w:p>
      <w:pPr>
        <w:jc w:val="right"/>
        <w:rPr>
          <w:b/>
          <w:bCs/>
          <w:sz w:val="22"/>
          <w:szCs w:val="24"/>
        </w:rPr>
        <w:sectPr>
          <w:footnotePr/>
          <w:endnotePr/>
          <w:type w:val="nextPage"/>
          <w:pgSz w:w="16838" w:h="11906" w:orient="landscape"/>
          <w:pgMar w:top="1633" w:right="1440" w:bottom="1463" w:left="1440" w:header="851" w:footer="992" w:gutter="0"/>
          <w:cols w:num="1" w:sep="0" w:space="0" w:equalWidth="1"/>
          <w:docGrid w:linePitch="360"/>
        </w:sectPr>
      </w:pPr>
      <w:r>
        <w:rPr>
          <w:rFonts w:hint="eastAsia"/>
          <w:b/>
          <w:bCs/>
          <w:sz w:val="22"/>
          <w:szCs w:val="24"/>
        </w:rPr>
        <w:t xml:space="preserve">   年   月   日</w:t>
      </w:r>
      <w:r/>
    </w:p>
    <w:p>
      <w:pPr>
        <w:jc w:val="center"/>
        <w:spacing w:line="480" w:lineRule="auto"/>
        <w:rPr>
          <w:rFonts w:ascii="黑体" w:hAnsi="黑体" w:eastAsia="黑体" w:cs="Segoe UI"/>
          <w:sz w:val="28"/>
          <w:szCs w:val="18"/>
        </w:rPr>
      </w:pPr>
      <w:r>
        <w:rPr>
          <w:rFonts w:hint="eastAsia" w:ascii="黑体" w:hAnsi="黑体" w:eastAsia="黑体" w:cs="Segoe UI"/>
          <w:sz w:val="28"/>
          <w:szCs w:val="18"/>
        </w:rPr>
        <w:t xml:space="preserve">供货方案</w:t>
      </w:r>
      <w:r/>
    </w:p>
    <w:p>
      <w:pPr>
        <w:jc w:val="center"/>
        <w:spacing w:line="480" w:lineRule="auto"/>
        <w:rPr>
          <w:rFonts w:ascii="黑体" w:hAnsi="黑体" w:eastAsia="黑体" w:cs="Segoe UI"/>
          <w:sz w:val="28"/>
          <w:szCs w:val="18"/>
        </w:rPr>
      </w:pPr>
      <w:r>
        <w:rPr>
          <w:rFonts w:hint="eastAsia" w:ascii="黑体" w:hAnsi="黑体" w:eastAsia="黑体" w:cs="Segoe UI"/>
          <w:sz w:val="28"/>
          <w:szCs w:val="18"/>
        </w:rPr>
        <w:t xml:space="preserve">……</w:t>
      </w:r>
      <w:r/>
    </w:p>
    <w:p>
      <w:pPr>
        <w:jc w:val="center"/>
        <w:spacing w:line="480" w:lineRule="auto"/>
        <w:rPr>
          <w:rFonts w:ascii="黑体" w:hAnsi="黑体" w:eastAsia="黑体" w:cs="Segoe UI"/>
          <w:sz w:val="28"/>
          <w:szCs w:val="18"/>
        </w:rPr>
      </w:pPr>
      <w:r>
        <w:rPr>
          <w:rFonts w:hint="eastAsia" w:ascii="黑体" w:hAnsi="黑体" w:eastAsia="黑体" w:cs="Segoe UI"/>
          <w:sz w:val="28"/>
          <w:szCs w:val="18"/>
        </w:rPr>
        <w:t xml:space="preserve">质保措施</w:t>
      </w:r>
      <w:r/>
    </w:p>
    <w:p>
      <w:pPr>
        <w:jc w:val="center"/>
        <w:spacing w:line="480" w:lineRule="auto"/>
        <w:rPr>
          <w:rFonts w:ascii="黑体" w:hAnsi="黑体" w:eastAsia="黑体" w:cs="Segoe UI"/>
          <w:sz w:val="28"/>
          <w:szCs w:val="18"/>
        </w:rPr>
      </w:pPr>
      <w:r>
        <w:rPr>
          <w:rFonts w:hint="eastAsia" w:ascii="黑体" w:hAnsi="黑体" w:eastAsia="黑体" w:cs="Segoe UI"/>
          <w:sz w:val="28"/>
          <w:szCs w:val="18"/>
        </w:rPr>
        <w:t xml:space="preserve">……</w:t>
      </w:r>
      <w:r/>
    </w:p>
    <w:p>
      <w:pPr>
        <w:jc w:val="center"/>
        <w:spacing w:line="480" w:lineRule="auto"/>
        <w:rPr>
          <w:rFonts w:ascii="黑体" w:hAnsi="黑体" w:eastAsia="黑体" w:cs="Segoe UI"/>
          <w:sz w:val="28"/>
          <w:szCs w:val="18"/>
        </w:rPr>
      </w:pPr>
      <w:r>
        <w:rPr>
          <w:rFonts w:hint="eastAsia" w:ascii="黑体" w:hAnsi="黑体" w:eastAsia="黑体" w:cs="Segoe UI"/>
          <w:sz w:val="28"/>
          <w:szCs w:val="18"/>
        </w:rPr>
        <w:t xml:space="preserve">售后服务</w:t>
      </w:r>
      <w:r/>
    </w:p>
    <w:p>
      <w:pPr>
        <w:jc w:val="center"/>
        <w:spacing w:line="480" w:lineRule="auto"/>
        <w:rPr>
          <w:rFonts w:ascii="黑体" w:hAnsi="黑体" w:eastAsia="黑体" w:cs="Segoe UI"/>
          <w:sz w:val="28"/>
          <w:szCs w:val="18"/>
        </w:rPr>
      </w:pPr>
      <w:r>
        <w:rPr>
          <w:rFonts w:hint="eastAsia" w:ascii="黑体" w:hAnsi="黑体" w:eastAsia="黑体" w:cs="Segoe UI"/>
          <w:sz w:val="28"/>
          <w:szCs w:val="18"/>
        </w:rPr>
        <w:t xml:space="preserve">……</w:t>
      </w:r>
      <w:r/>
    </w:p>
    <w:p>
      <w:pPr>
        <w:jc w:val="center"/>
        <w:spacing w:line="480" w:lineRule="auto"/>
        <w:rPr>
          <w:rFonts w:ascii="黑体" w:hAnsi="黑体" w:eastAsia="黑体" w:cs="Segoe UI"/>
          <w:sz w:val="28"/>
          <w:szCs w:val="18"/>
        </w:rPr>
      </w:pPr>
      <w:r>
        <w:rPr>
          <w:rFonts w:hint="eastAsia" w:ascii="黑体" w:hAnsi="黑体" w:eastAsia="黑体" w:cs="Segoe UI"/>
          <w:sz w:val="28"/>
          <w:szCs w:val="18"/>
        </w:rPr>
        <w:t xml:space="preserve">培训方案</w:t>
      </w:r>
      <w:r/>
    </w:p>
    <w:p>
      <w:pPr>
        <w:jc w:val="center"/>
        <w:spacing w:line="480" w:lineRule="auto"/>
        <w:rPr>
          <w:rFonts w:ascii="黑体" w:hAnsi="黑体" w:eastAsia="黑体" w:cs="Segoe UI"/>
          <w:sz w:val="28"/>
          <w:szCs w:val="18"/>
        </w:rPr>
      </w:pPr>
      <w:r>
        <w:rPr>
          <w:rFonts w:hint="eastAsia" w:ascii="黑体" w:hAnsi="黑体" w:eastAsia="黑体" w:cs="Segoe UI"/>
          <w:sz w:val="28"/>
          <w:szCs w:val="18"/>
        </w:rPr>
        <w:t xml:space="preserve">……</w:t>
      </w:r>
      <w:r/>
    </w:p>
    <w:p>
      <w:pPr>
        <w:jc w:val="center"/>
        <w:spacing w:line="480" w:lineRule="auto"/>
        <w:rPr>
          <w:rFonts w:ascii="黑体" w:hAnsi="黑体" w:eastAsia="黑体" w:cs="Segoe UI"/>
          <w:sz w:val="28"/>
          <w:szCs w:val="18"/>
        </w:rPr>
      </w:pPr>
      <w:r>
        <w:rPr>
          <w:rFonts w:ascii="黑体" w:hAnsi="黑体" w:eastAsia="黑体" w:cs="Segoe UI"/>
          <w:sz w:val="28"/>
          <w:szCs w:val="18"/>
        </w:rPr>
      </w:r>
      <w:r/>
    </w:p>
    <w:p>
      <w:pPr>
        <w:jc w:val="center"/>
        <w:spacing w:line="480" w:lineRule="auto"/>
        <w:rPr>
          <w:rFonts w:ascii="黑体" w:hAnsi="黑体" w:eastAsia="黑体" w:cs="Segoe UI"/>
          <w:sz w:val="28"/>
          <w:szCs w:val="18"/>
        </w:rPr>
      </w:pPr>
      <w:r>
        <w:rPr>
          <w:rFonts w:ascii="黑体" w:hAnsi="黑体" w:eastAsia="黑体" w:cs="Segoe UI"/>
          <w:sz w:val="28"/>
          <w:szCs w:val="18"/>
        </w:rPr>
      </w:r>
      <w:r/>
    </w:p>
    <w:p>
      <w:pPr>
        <w:jc w:val="center"/>
        <w:spacing w:line="480" w:lineRule="auto"/>
        <w:rPr>
          <w:rFonts w:ascii="黑体" w:hAnsi="黑体" w:eastAsia="黑体" w:cs="Segoe UI"/>
          <w:sz w:val="28"/>
          <w:szCs w:val="18"/>
        </w:rPr>
      </w:pPr>
      <w:r>
        <w:rPr>
          <w:rFonts w:ascii="黑体" w:hAnsi="黑体" w:eastAsia="黑体" w:cs="Segoe UI"/>
          <w:sz w:val="28"/>
          <w:szCs w:val="18"/>
        </w:rPr>
      </w:r>
      <w:r/>
    </w:p>
    <w:p>
      <w:pPr>
        <w:jc w:val="center"/>
        <w:spacing w:line="480" w:lineRule="auto"/>
        <w:rPr>
          <w:rFonts w:ascii="黑体" w:hAnsi="黑体" w:eastAsia="黑体" w:cs="Segoe UI"/>
          <w:sz w:val="28"/>
          <w:szCs w:val="18"/>
        </w:rPr>
      </w:pPr>
      <w:r>
        <w:rPr>
          <w:rFonts w:ascii="黑体" w:hAnsi="黑体" w:eastAsia="黑体" w:cs="Segoe UI"/>
          <w:sz w:val="28"/>
          <w:szCs w:val="18"/>
        </w:rPr>
      </w:r>
      <w:r/>
    </w:p>
    <w:p>
      <w:pPr>
        <w:jc w:val="center"/>
        <w:spacing w:line="480" w:lineRule="auto"/>
        <w:rPr>
          <w:rFonts w:ascii="黑体" w:hAnsi="黑体" w:eastAsia="黑体" w:cs="Segoe UI"/>
          <w:sz w:val="28"/>
          <w:szCs w:val="18"/>
        </w:rPr>
      </w:pPr>
      <w:r>
        <w:rPr>
          <w:rFonts w:ascii="黑体" w:hAnsi="黑体" w:eastAsia="黑体" w:cs="Segoe UI"/>
          <w:sz w:val="28"/>
          <w:szCs w:val="18"/>
        </w:rPr>
      </w:r>
      <w:r/>
    </w:p>
    <w:p>
      <w:pPr>
        <w:jc w:val="center"/>
        <w:spacing w:line="480" w:lineRule="auto"/>
        <w:rPr>
          <w:rFonts w:ascii="黑体" w:hAnsi="黑体" w:eastAsia="黑体" w:cs="Segoe UI"/>
          <w:sz w:val="28"/>
          <w:szCs w:val="18"/>
        </w:rPr>
      </w:pPr>
      <w:r>
        <w:rPr>
          <w:rFonts w:ascii="黑体" w:hAnsi="黑体" w:eastAsia="黑体" w:cs="Segoe UI"/>
          <w:sz w:val="28"/>
          <w:szCs w:val="18"/>
        </w:rPr>
      </w:r>
      <w:r/>
    </w:p>
    <w:p>
      <w:pPr>
        <w:jc w:val="center"/>
        <w:spacing w:line="480" w:lineRule="auto"/>
        <w:rPr>
          <w:rFonts w:ascii="黑体" w:hAnsi="黑体" w:eastAsia="黑体" w:cs="Segoe UI"/>
          <w:sz w:val="28"/>
          <w:szCs w:val="18"/>
        </w:rPr>
      </w:pPr>
      <w:r>
        <w:rPr>
          <w:rFonts w:ascii="黑体" w:hAnsi="黑体" w:eastAsia="黑体" w:cs="Segoe UI"/>
          <w:sz w:val="28"/>
          <w:szCs w:val="18"/>
        </w:rPr>
      </w:r>
      <w:r/>
    </w:p>
    <w:p>
      <w:pPr>
        <w:jc w:val="center"/>
        <w:spacing w:line="480" w:lineRule="auto"/>
        <w:rPr>
          <w:rFonts w:ascii="黑体" w:hAnsi="黑体" w:eastAsia="黑体" w:cs="Segoe UI"/>
          <w:sz w:val="28"/>
          <w:szCs w:val="18"/>
        </w:rPr>
      </w:pPr>
      <w:r>
        <w:rPr>
          <w:rFonts w:ascii="黑体" w:hAnsi="黑体" w:eastAsia="黑体" w:cs="Segoe UI"/>
          <w:sz w:val="28"/>
          <w:szCs w:val="18"/>
        </w:rPr>
      </w:r>
      <w:r/>
    </w:p>
    <w:p>
      <w:pPr>
        <w:jc w:val="center"/>
        <w:spacing w:line="480" w:lineRule="auto"/>
        <w:rPr>
          <w:rFonts w:ascii="黑体" w:hAnsi="黑体" w:eastAsia="黑体" w:cs="Segoe UI"/>
          <w:sz w:val="28"/>
          <w:szCs w:val="18"/>
        </w:rPr>
      </w:pPr>
      <w:r>
        <w:rPr>
          <w:rFonts w:ascii="黑体" w:hAnsi="黑体" w:eastAsia="黑体" w:cs="Segoe UI"/>
          <w:sz w:val="28"/>
          <w:szCs w:val="18"/>
        </w:rPr>
      </w:r>
      <w:r/>
    </w:p>
    <w:p>
      <w:pPr>
        <w:jc w:val="center"/>
        <w:spacing w:line="480" w:lineRule="auto"/>
        <w:rPr>
          <w:rFonts w:ascii="黑体" w:hAnsi="黑体" w:eastAsia="黑体" w:cs="Segoe UI"/>
          <w:sz w:val="28"/>
          <w:szCs w:val="18"/>
        </w:rPr>
      </w:pPr>
      <w:r>
        <w:rPr>
          <w:rFonts w:ascii="黑体" w:hAnsi="黑体" w:eastAsia="黑体" w:cs="Segoe UI"/>
          <w:sz w:val="28"/>
          <w:szCs w:val="18"/>
        </w:rPr>
      </w:r>
      <w:r/>
    </w:p>
    <w:p>
      <w:pPr>
        <w:jc w:val="center"/>
        <w:spacing w:line="480" w:lineRule="auto"/>
        <w:rPr>
          <w:rFonts w:ascii="黑体" w:hAnsi="黑体" w:eastAsia="黑体" w:cs="Segoe UI"/>
          <w:sz w:val="28"/>
          <w:szCs w:val="18"/>
        </w:rPr>
      </w:pPr>
      <w:r>
        <w:rPr>
          <w:rFonts w:ascii="黑体" w:hAnsi="黑体" w:eastAsia="黑体" w:cs="Segoe UI"/>
          <w:sz w:val="28"/>
          <w:szCs w:val="18"/>
        </w:rPr>
      </w:r>
      <w:r/>
    </w:p>
    <w:p>
      <w:pPr>
        <w:jc w:val="center"/>
        <w:spacing w:line="480" w:lineRule="auto"/>
        <w:rPr>
          <w:rFonts w:ascii="黑体" w:hAnsi="黑体" w:eastAsia="黑体" w:cs="Segoe UI"/>
          <w:sz w:val="28"/>
          <w:szCs w:val="18"/>
        </w:rPr>
      </w:pPr>
      <w:r>
        <w:rPr>
          <w:rFonts w:hint="eastAsia" w:ascii="黑体" w:hAnsi="黑体" w:eastAsia="黑体" w:cs="Segoe UI"/>
          <w:sz w:val="28"/>
          <w:szCs w:val="18"/>
        </w:rPr>
        <w:t xml:space="preserve">同类业绩一览表</w:t>
      </w:r>
      <w:r/>
    </w:p>
    <w:tbl>
      <w:tblPr>
        <w:tblStyle w:val="681"/>
        <w:tblW w:w="89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8"/>
        <w:gridCol w:w="2203"/>
        <w:gridCol w:w="1880"/>
        <w:gridCol w:w="2432"/>
      </w:tblGrid>
      <w:tr>
        <w:trPr>
          <w:cantSplit/>
          <w:trHeight w:val="501"/>
        </w:trPr>
        <w:tc>
          <w:tcPr>
            <w:tcW w:w="2468" w:type="dxa"/>
            <w:vAlign w:val="center"/>
            <w:textDirection w:val="lrTb"/>
            <w:noWrap w:val="false"/>
          </w:tcPr>
          <w:p>
            <w:pPr>
              <w:jc w:val="center"/>
              <w:rPr>
                <w:rFonts w:ascii="宋体" w:hAnsi="宋体" w:cs="宋体"/>
                <w:b/>
                <w:bCs/>
                <w:sz w:val="22"/>
                <w:szCs w:val="24"/>
              </w:rPr>
            </w:pPr>
            <w:r>
              <w:rPr>
                <w:rFonts w:hint="eastAsia" w:ascii="宋体" w:hAnsi="宋体" w:cs="宋体"/>
                <w:b/>
                <w:bCs/>
                <w:sz w:val="22"/>
                <w:szCs w:val="24"/>
              </w:rPr>
              <w:t xml:space="preserve">合同名称</w:t>
            </w:r>
            <w:r/>
          </w:p>
        </w:tc>
        <w:tc>
          <w:tcPr>
            <w:tcW w:w="2203" w:type="dxa"/>
            <w:vAlign w:val="center"/>
            <w:textDirection w:val="lrTb"/>
            <w:noWrap w:val="false"/>
          </w:tcPr>
          <w:p>
            <w:pPr>
              <w:jc w:val="center"/>
              <w:rPr>
                <w:rFonts w:ascii="宋体" w:hAnsi="宋体" w:cs="宋体"/>
                <w:b/>
                <w:bCs/>
                <w:sz w:val="22"/>
                <w:szCs w:val="24"/>
              </w:rPr>
            </w:pPr>
            <w:r>
              <w:rPr>
                <w:rFonts w:hint="eastAsia" w:ascii="宋体" w:hAnsi="宋体" w:cs="宋体"/>
                <w:b/>
                <w:bCs/>
                <w:sz w:val="22"/>
                <w:szCs w:val="24"/>
              </w:rPr>
              <w:t xml:space="preserve">采购人名称</w:t>
            </w:r>
            <w:r/>
          </w:p>
        </w:tc>
        <w:tc>
          <w:tcPr>
            <w:tcW w:w="1880" w:type="dxa"/>
            <w:vAlign w:val="center"/>
            <w:textDirection w:val="lrTb"/>
            <w:noWrap w:val="false"/>
          </w:tcPr>
          <w:p>
            <w:pPr>
              <w:jc w:val="center"/>
              <w:rPr>
                <w:rFonts w:ascii="宋体" w:hAnsi="宋体" w:cs="宋体"/>
                <w:b/>
                <w:bCs/>
                <w:sz w:val="22"/>
                <w:szCs w:val="24"/>
              </w:rPr>
            </w:pPr>
            <w:r>
              <w:rPr>
                <w:rFonts w:hint="eastAsia" w:ascii="宋体" w:hAnsi="宋体" w:cs="宋体"/>
                <w:b/>
                <w:bCs/>
                <w:sz w:val="22"/>
                <w:szCs w:val="24"/>
              </w:rPr>
              <w:t xml:space="preserve">产品名称/型号</w:t>
            </w:r>
            <w:r/>
          </w:p>
        </w:tc>
        <w:tc>
          <w:tcPr>
            <w:tcW w:w="2432" w:type="dxa"/>
            <w:vAlign w:val="center"/>
            <w:textDirection w:val="lrTb"/>
            <w:noWrap w:val="false"/>
          </w:tcPr>
          <w:p>
            <w:pPr>
              <w:jc w:val="center"/>
              <w:rPr>
                <w:rFonts w:ascii="宋体" w:hAnsi="宋体" w:cs="宋体"/>
                <w:b/>
                <w:bCs/>
                <w:sz w:val="22"/>
                <w:szCs w:val="24"/>
              </w:rPr>
            </w:pPr>
            <w:r>
              <w:rPr>
                <w:rFonts w:hint="eastAsia" w:ascii="宋体" w:hAnsi="宋体" w:cs="宋体"/>
                <w:b/>
                <w:bCs/>
                <w:sz w:val="22"/>
                <w:szCs w:val="24"/>
              </w:rPr>
              <w:t xml:space="preserve">合同签订时间</w:t>
            </w:r>
            <w:r/>
          </w:p>
        </w:tc>
      </w:tr>
      <w:tr>
        <w:trPr>
          <w:cantSplit/>
          <w:trHeight w:val="501"/>
        </w:trPr>
        <w:tc>
          <w:tcPr>
            <w:tcW w:w="2468"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203"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1880"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432"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r>
      <w:tr>
        <w:trPr>
          <w:cantSplit/>
          <w:trHeight w:val="501"/>
        </w:trPr>
        <w:tc>
          <w:tcPr>
            <w:tcW w:w="2468"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203"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1880"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432"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r>
      <w:tr>
        <w:trPr>
          <w:cantSplit/>
          <w:trHeight w:val="501"/>
        </w:trPr>
        <w:tc>
          <w:tcPr>
            <w:tcW w:w="2468"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203"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1880"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432"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r>
      <w:tr>
        <w:trPr>
          <w:trHeight w:val="501"/>
        </w:trPr>
        <w:tc>
          <w:tcPr>
            <w:tcW w:w="2468"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203"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1880"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432"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r>
    </w:tbl>
    <w:p>
      <w:pPr>
        <w:spacing w:line="360" w:lineRule="auto"/>
        <w:rPr>
          <w:rFonts w:ascii="宋体" w:hAnsi="宋体" w:cs="宋体"/>
          <w:sz w:val="24"/>
          <w:szCs w:val="24"/>
        </w:rPr>
      </w:pPr>
      <w:r>
        <w:rPr>
          <w:rFonts w:hint="eastAsia" w:ascii="宋体" w:hAnsi="宋体" w:cs="宋体"/>
          <w:b/>
          <w:bCs/>
          <w:sz w:val="22"/>
        </w:rPr>
        <w:t xml:space="preserve">注：本表后附合同关键页原件扫描件。</w:t>
      </w:r>
      <w:r/>
    </w:p>
    <w:p>
      <w:pPr>
        <w:pStyle w:val="1098"/>
        <w:rPr>
          <w:rFonts w:hAnsi="宋体" w:cs="宋体"/>
          <w:sz w:val="28"/>
          <w:szCs w:val="28"/>
        </w:rPr>
      </w:pPr>
      <w:r>
        <w:rPr>
          <w:rFonts w:hAnsi="宋体" w:cs="宋体"/>
          <w:sz w:val="28"/>
          <w:szCs w:val="28"/>
        </w:rPr>
      </w:r>
      <w:r/>
    </w:p>
    <w:p>
      <w:pPr>
        <w:pStyle w:val="1098"/>
        <w:rPr>
          <w:rFonts w:hAnsi="宋体" w:cs="宋体"/>
          <w:sz w:val="28"/>
          <w:szCs w:val="28"/>
        </w:rPr>
      </w:pPr>
      <w:r>
        <w:rPr>
          <w:rFonts w:hAnsi="宋体" w:cs="宋体"/>
          <w:sz w:val="28"/>
          <w:szCs w:val="28"/>
        </w:rPr>
      </w:r>
      <w:r/>
    </w:p>
    <w:p>
      <w:pPr>
        <w:pStyle w:val="1098"/>
        <w:rPr>
          <w:rFonts w:hAnsi="宋体" w:cs="宋体"/>
          <w:sz w:val="28"/>
          <w:szCs w:val="28"/>
        </w:rPr>
      </w:pPr>
      <w:r>
        <w:rPr>
          <w:rFonts w:hAnsi="宋体" w:cs="宋体"/>
          <w:sz w:val="28"/>
          <w:szCs w:val="28"/>
        </w:rPr>
      </w:r>
      <w:r/>
    </w:p>
    <w:p>
      <w:pPr>
        <w:pStyle w:val="1098"/>
        <w:rPr>
          <w:rFonts w:hAnsi="宋体" w:cs="宋体"/>
          <w:sz w:val="28"/>
          <w:szCs w:val="28"/>
        </w:rPr>
      </w:pPr>
      <w:r>
        <w:rPr>
          <w:rFonts w:hAnsi="宋体" w:cs="宋体"/>
          <w:sz w:val="28"/>
          <w:szCs w:val="28"/>
        </w:rPr>
      </w:r>
      <w:r/>
    </w:p>
    <w:p>
      <w:pPr>
        <w:pStyle w:val="1098"/>
        <w:rPr>
          <w:rFonts w:hAnsi="宋体" w:cs="宋体"/>
          <w:sz w:val="28"/>
          <w:szCs w:val="28"/>
        </w:rPr>
      </w:pPr>
      <w:r>
        <w:rPr>
          <w:rFonts w:hAnsi="宋体" w:cs="宋体"/>
          <w:sz w:val="28"/>
          <w:szCs w:val="28"/>
        </w:rPr>
      </w:r>
      <w:r/>
    </w:p>
    <w:p>
      <w:pPr>
        <w:pStyle w:val="1098"/>
        <w:rPr>
          <w:rFonts w:hAnsi="宋体" w:cs="宋体"/>
          <w:sz w:val="28"/>
          <w:szCs w:val="28"/>
        </w:rPr>
      </w:pPr>
      <w:r>
        <w:rPr>
          <w:rFonts w:hAnsi="宋体" w:cs="宋体"/>
          <w:sz w:val="28"/>
          <w:szCs w:val="28"/>
        </w:rPr>
      </w:r>
      <w:r/>
    </w:p>
    <w:p>
      <w:pPr>
        <w:pStyle w:val="1098"/>
        <w:rPr>
          <w:rFonts w:hAnsi="宋体" w:cs="宋体"/>
          <w:sz w:val="28"/>
          <w:szCs w:val="28"/>
        </w:rPr>
      </w:pPr>
      <w:r>
        <w:rPr>
          <w:rFonts w:hAnsi="宋体" w:cs="宋体"/>
          <w:sz w:val="28"/>
          <w:szCs w:val="28"/>
        </w:rPr>
      </w:r>
      <w:r/>
    </w:p>
    <w:p>
      <w:pPr>
        <w:pStyle w:val="1098"/>
        <w:rPr>
          <w:rFonts w:hAnsi="宋体" w:cs="宋体"/>
          <w:sz w:val="28"/>
          <w:szCs w:val="28"/>
        </w:rPr>
      </w:pPr>
      <w:r>
        <w:rPr>
          <w:rFonts w:hAnsi="宋体" w:cs="宋体"/>
          <w:sz w:val="28"/>
          <w:szCs w:val="28"/>
        </w:rPr>
      </w:r>
      <w:r/>
    </w:p>
    <w:p>
      <w:pPr>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p>
    <w:p>
      <w:pPr>
        <w:ind w:firstLine="480"/>
        <w:jc w:val="right"/>
        <w:spacing w:line="360" w:lineRule="auto"/>
        <w:rPr>
          <w:rFonts w:ascii="宋体" w:hAnsi="宋体" w:cs="宋体"/>
          <w:sz w:val="24"/>
          <w:szCs w:val="24"/>
          <w:u w:val="single"/>
        </w:rPr>
      </w:pPr>
      <w:r>
        <w:rPr>
          <w:rFonts w:ascii="宋体" w:hAnsi="宋体" w:cs="宋体"/>
          <w:sz w:val="24"/>
          <w:szCs w:val="24"/>
          <w:u w:val="single"/>
        </w:rPr>
      </w:r>
      <w:r/>
    </w:p>
    <w:p>
      <w:pPr>
        <w:pStyle w:val="1098"/>
        <w:jc w:val="right"/>
        <w:rPr>
          <w:rFonts w:ascii="黑体" w:hAnsi="黑体" w:eastAsia="黑体"/>
          <w:sz w:val="28"/>
          <w:szCs w:val="28"/>
        </w:rPr>
      </w:pP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黑体" w:hAnsi="黑体" w:eastAsia="黑体"/>
          <w:sz w:val="28"/>
          <w:szCs w:val="28"/>
        </w:rPr>
      </w:r>
      <w:r>
        <w:rPr>
          <w:rFonts w:ascii="SimHei" w:hAnsi="SimHei" w:eastAsia="SimHei" w:cs="SimHei"/>
          <w:color w:val="000000"/>
          <w:sz w:val="28"/>
        </w:rPr>
        <w:t xml:space="preserve">质保期承诺函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采购人名称  </w:t>
      </w:r>
      <w:r>
        <w:rPr>
          <w:rFonts w:ascii="SimSun" w:hAnsi="SimSun" w:eastAsia="SimSun" w:cs="SimSun"/>
          <w:color w:val="000000"/>
          <w:sz w:val="24"/>
        </w:rPr>
        <w:t xml:space="preserve">：</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我单位自愿参加贵单位组织的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政府采购活动，我单位在此郑重承诺： 所投设备原厂质保期为</w:t>
      </w:r>
      <w:r>
        <w:rPr>
          <w:rFonts w:ascii="SimSun" w:hAnsi="SimSun" w:eastAsia="SimSun" w:cs="SimSun"/>
          <w:color w:val="000000"/>
          <w:sz w:val="24"/>
          <w:u w:val="single"/>
        </w:rPr>
        <w:t xml:space="preserve">   </w:t>
      </w:r>
      <w:r>
        <w:rPr>
          <w:rFonts w:ascii="SimSun" w:hAnsi="SimSun" w:eastAsia="SimSun" w:cs="SimSun"/>
          <w:color w:val="000000"/>
          <w:sz w:val="24"/>
        </w:rPr>
        <w:t xml:space="preserve">年，自验收合格之日起计算。质保期内，因设备自身质量问题发生故障，</w:t>
      </w:r>
      <w:r>
        <w:rPr>
          <w:rFonts w:ascii="SimSun" w:hAnsi="SimSun" w:eastAsia="SimSun" w:cs="SimSun"/>
          <w:color w:val="000000"/>
          <w:sz w:val="24"/>
        </w:rPr>
        <w:t xml:space="preserve">我单位</w:t>
      </w:r>
      <w:r>
        <w:rPr>
          <w:rFonts w:ascii="SimSun" w:hAnsi="SimSun" w:eastAsia="SimSun" w:cs="SimSun"/>
          <w:color w:val="000000"/>
          <w:sz w:val="24"/>
        </w:rPr>
        <w:t xml:space="preserve">免费提供上门维修、更换故障零部件、调试服务，免收人工费、差旅费、配件费；人为损坏、操作不当、配套耗材/易损件除外。保修期外</w:t>
      </w:r>
      <w:r>
        <w:rPr>
          <w:rFonts w:ascii="SimSun" w:hAnsi="SimSun" w:eastAsia="SimSun" w:cs="SimSun"/>
          <w:color w:val="000000"/>
          <w:sz w:val="24"/>
        </w:rPr>
        <w:t xml:space="preserve">我单位</w:t>
      </w:r>
      <w:r>
        <w:rPr>
          <w:rFonts w:ascii="SimSun" w:hAnsi="SimSun" w:eastAsia="SimSun" w:cs="SimSun"/>
          <w:color w:val="000000"/>
          <w:sz w:val="24"/>
        </w:rPr>
        <w:t xml:space="preserve">对本设备终身负责维修。</w:t>
      </w:r>
      <w:r/>
    </w:p>
    <w:p>
      <w:pPr>
        <w:ind w:left="420" w:right="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ind w:left="420" w:right="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法定代表人：（电子签章）</w:t>
      </w:r>
      <w:r/>
    </w:p>
    <w:p>
      <w:pPr>
        <w:pStyle w:val="1098"/>
        <w:jc w:val="right"/>
        <w:rPr>
          <w:rFonts w:ascii="SimSun" w:hAnsi="SimSun" w:eastAsia="SimSun" w:cs="SimSun"/>
          <w:color w:val="000000"/>
          <w:sz w:val="22"/>
          <w:szCs w:val="22"/>
          <w:highlight w:val="none"/>
        </w:rPr>
      </w:pPr>
      <w:r>
        <w:rPr>
          <w:rFonts w:ascii="SimSun" w:hAnsi="SimSun" w:eastAsia="SimSun" w:cs="SimSun"/>
          <w:color w:val="000000"/>
          <w:sz w:val="24"/>
        </w:rPr>
        <w:t xml:space="preserve">         年   月  日</w:t>
      </w:r>
      <w:r>
        <w:rPr>
          <w:rFonts w:ascii="SimSun" w:hAnsi="SimSun" w:eastAsia="SimSun" w:cs="SimSun"/>
          <w:color w:val="000000"/>
          <w:sz w:val="22"/>
        </w:rPr>
      </w:r>
      <w:r/>
    </w:p>
    <w:p>
      <w:pPr>
        <w:pStyle w:val="1098"/>
        <w:rPr>
          <w:rFonts w:ascii="黑体" w:hAnsi="黑体" w:eastAsia="黑体"/>
          <w:sz w:val="28"/>
          <w:szCs w:val="28"/>
          <w:highlight w:val="none"/>
        </w:rPr>
      </w:pPr>
      <w:r>
        <w:rPr>
          <w:rFonts w:ascii="黑体" w:hAnsi="黑体" w:eastAsia="黑体"/>
          <w:sz w:val="28"/>
          <w:szCs w:val="28"/>
        </w:rPr>
        <w:t xml:space="preserve"> </w:t>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rPr>
      </w:r>
      <w:r>
        <w:rPr>
          <w:rFonts w:ascii="黑体" w:hAnsi="黑体" w:eastAsia="黑体"/>
          <w:sz w:val="28"/>
          <w:szCs w:val="28"/>
        </w:rPr>
      </w:r>
      <w:r/>
    </w:p>
    <w:p>
      <w:pPr>
        <w:pStyle w:val="1098"/>
        <w:rPr>
          <w:rFonts w:ascii="黑体" w:hAnsi="黑体" w:eastAsia="黑体"/>
          <w:sz w:val="28"/>
          <w:szCs w:val="28"/>
        </w:rPr>
      </w:pPr>
      <w:r>
        <w:rPr>
          <w:rFonts w:ascii="黑体" w:hAnsi="黑体" w:eastAsia="黑体"/>
          <w:sz w:val="28"/>
          <w:szCs w:val="28"/>
          <w:highlight w:val="none"/>
        </w:rPr>
      </w:r>
      <w:r>
        <w:rPr>
          <w:rFonts w:ascii="黑体" w:hAnsi="黑体" w:eastAsia="黑体"/>
          <w:sz w:val="28"/>
          <w:szCs w:val="28"/>
          <w:highlight w:val="none"/>
        </w:rPr>
      </w:r>
      <w:r/>
    </w:p>
    <w:p>
      <w:pPr>
        <w:pStyle w:val="1098"/>
        <w:rPr>
          <w:rFonts w:ascii="黑体" w:hAnsi="黑体" w:eastAsia="黑体"/>
          <w:sz w:val="28"/>
          <w:szCs w:val="28"/>
        </w:rPr>
      </w:pPr>
      <w:r>
        <w:rPr>
          <w:rFonts w:ascii="黑体" w:hAnsi="黑体" w:eastAsia="黑体"/>
          <w:sz w:val="28"/>
          <w:szCs w:val="28"/>
        </w:rPr>
        <w:t xml:space="preserve"> </w:t>
      </w:r>
      <w:r/>
    </w:p>
    <w:p>
      <w:pPr>
        <w:jc w:val="center"/>
        <w:spacing w:line="360" w:lineRule="auto"/>
        <w:rPr>
          <w:rFonts w:ascii="黑体" w:hAnsi="黑体" w:eastAsia="黑体" w:cs="Segoe UI"/>
          <w:sz w:val="28"/>
          <w:szCs w:val="18"/>
        </w:rPr>
      </w:pPr>
      <w:r>
        <w:rPr>
          <w:rFonts w:hint="eastAsia" w:ascii="黑体" w:hAnsi="黑体" w:eastAsia="黑体" w:cs="Segoe UI"/>
          <w:sz w:val="28"/>
          <w:szCs w:val="18"/>
        </w:rPr>
        <w:t xml:space="preserve">企业报价折扣证明</w:t>
      </w:r>
      <w:r/>
    </w:p>
    <w:p>
      <w:pPr>
        <w:pStyle w:val="931"/>
        <w:jc w:val="center"/>
        <w:rPr>
          <w:rFonts w:ascii="宋体" w:hAnsi="宋体" w:cs="宋体"/>
          <w:b/>
          <w:bCs/>
          <w:sz w:val="28"/>
          <w:szCs w:val="28"/>
        </w:rPr>
      </w:pPr>
      <w:r>
        <w:rPr>
          <w:rFonts w:hint="eastAsia" w:ascii="宋体" w:hAnsi="宋体" w:cs="宋体"/>
          <w:b/>
          <w:bCs/>
          <w:sz w:val="28"/>
          <w:szCs w:val="28"/>
        </w:rPr>
        <w:t xml:space="preserve">（一）中小企业声明函</w:t>
      </w:r>
      <w:r/>
    </w:p>
    <w:p>
      <w:pPr>
        <w:ind w:firstLine="440"/>
        <w:spacing w:line="540" w:lineRule="exact"/>
        <w:rPr>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本公司郑重声明，根据《政府采购促进中小企业发展管理办法》（财库﹝</w:t>
      </w:r>
      <w:r>
        <w:rPr>
          <w:rFonts w:eastAsia="Times New Roman"/>
          <w:color w:val="000000"/>
          <w:sz w:val="22"/>
        </w:rPr>
        <w:t xml:space="preserve">2020</w:t>
      </w:r>
      <w:r>
        <w:rPr>
          <w:rFonts w:ascii="宋体" w:hAnsi="宋体" w:cs="宋体"/>
          <w:color w:val="000000"/>
          <w:sz w:val="22"/>
        </w:rPr>
        <w:t xml:space="preserve">﹞</w:t>
      </w:r>
      <w:r>
        <w:rPr>
          <w:rFonts w:eastAsia="Times New Roman"/>
          <w:color w:val="000000"/>
          <w:sz w:val="22"/>
        </w:rPr>
        <w:t xml:space="preserve">46</w:t>
      </w:r>
      <w:r>
        <w:rPr>
          <w:rFonts w:ascii="宋体" w:hAnsi="宋体" w:cs="宋体"/>
          <w:color w:val="000000"/>
          <w:sz w:val="22"/>
        </w:rPr>
        <w:t xml:space="preserve">号）的规定，本公司参加</w:t>
      </w:r>
      <w:r>
        <w:rPr>
          <w:rFonts w:ascii="宋体" w:hAnsi="宋体" w:cs="宋体"/>
          <w:b/>
          <w:iCs/>
          <w:color w:val="000000"/>
          <w:sz w:val="22"/>
          <w:u w:val="single"/>
        </w:rPr>
        <w:t xml:space="preserve"> （采购人名称）</w:t>
      </w:r>
      <w:r>
        <w:rPr>
          <w:rFonts w:ascii="宋体" w:hAnsi="宋体" w:cs="宋体"/>
          <w:iCs/>
          <w:color w:val="000000"/>
          <w:sz w:val="22"/>
        </w:rPr>
        <w:t xml:space="preserve">的</w:t>
      </w:r>
      <w:r>
        <w:rPr>
          <w:rFonts w:ascii="宋体" w:hAnsi="宋体" w:cs="宋体"/>
          <w:b/>
          <w:iCs/>
          <w:color w:val="000000"/>
          <w:sz w:val="22"/>
          <w:u w:val="single"/>
        </w:rPr>
        <w:t xml:space="preserve">   （项目名称）</w:t>
      </w:r>
      <w:r>
        <w:rPr>
          <w:rFonts w:hint="eastAsia" w:ascii="宋体" w:hAnsi="宋体" w:cs="宋体"/>
          <w:b/>
          <w:iCs/>
          <w:color w:val="000000"/>
          <w:sz w:val="22"/>
          <w:u w:val="single"/>
        </w:rPr>
        <w:t xml:space="preserve">    </w:t>
      </w:r>
      <w:r>
        <w:rPr>
          <w:rFonts w:ascii="宋体" w:hAnsi="宋体" w:cs="宋体"/>
          <w:color w:val="000000"/>
          <w:sz w:val="22"/>
        </w:rPr>
        <w:t xml:space="preserve">采购活动，提供的货物全部由符合政策要求的中小企业制造。相关企业的具体情况如下：</w:t>
      </w:r>
      <w:r/>
    </w:p>
    <w:p>
      <w:pPr>
        <w:ind w:firstLine="442"/>
        <w:spacing w:line="540" w:lineRule="exact"/>
        <w:tabs>
          <w:tab w:val="left" w:pos="312" w:leader="none"/>
        </w:tabs>
        <w:rPr>
          <w:sz w:val="22"/>
        </w:rPr>
        <w:pBdr>
          <w:top w:val="none" w:color="000000" w:sz="0" w:space="0"/>
          <w:left w:val="none" w:color="000000" w:sz="0" w:space="0"/>
          <w:bottom w:val="none" w:color="000000" w:sz="0" w:space="0"/>
          <w:right w:val="none" w:color="000000" w:sz="0" w:space="0"/>
        </w:pBdr>
      </w:pPr>
      <w:r>
        <w:rPr>
          <w:rFonts w:hint="eastAsia" w:ascii="宋体" w:hAnsi="宋体" w:cs="宋体"/>
          <w:b/>
          <w:iCs/>
          <w:color w:val="000000"/>
          <w:sz w:val="22"/>
          <w:u w:val="single"/>
        </w:rPr>
        <w:t xml:space="preserve"> 聚焦超声皮肤治疗仪</w:t>
      </w:r>
      <w:r>
        <w:rPr>
          <w:rFonts w:hint="eastAsia" w:ascii="宋体" w:hAnsi="宋体" w:cs="宋体"/>
          <w:b/>
          <w:iCs/>
          <w:color w:val="000000"/>
          <w:sz w:val="22"/>
          <w:u w:val="single"/>
          <w:lang w:val="en-US" w:eastAsia="zh-CN"/>
        </w:rPr>
        <w:t xml:space="preserve"> </w:t>
      </w:r>
      <w:r>
        <w:rPr>
          <w:rFonts w:ascii="宋体" w:hAnsi="宋体" w:cs="宋体"/>
          <w:iCs/>
          <w:color w:val="000000"/>
          <w:sz w:val="22"/>
        </w:rPr>
        <w:t xml:space="preserve">，属于</w:t>
      </w:r>
      <w:r>
        <w:rPr>
          <w:rFonts w:hint="eastAsia" w:ascii="宋体" w:hAnsi="宋体" w:cs="宋体"/>
          <w:iCs/>
          <w:color w:val="000000"/>
          <w:sz w:val="22"/>
          <w:u w:val="single"/>
          <w:lang w:val="en-US" w:eastAsia="zh-CN"/>
        </w:rPr>
        <w:t xml:space="preserve">  </w:t>
      </w:r>
      <w:r>
        <w:rPr>
          <w:rFonts w:hint="eastAsia" w:ascii="宋体" w:hAnsi="宋体" w:cs="宋体"/>
          <w:b/>
          <w:iCs/>
          <w:color w:val="000000"/>
          <w:sz w:val="22"/>
          <w:u w:val="single"/>
        </w:rPr>
        <w:t xml:space="preserve">工业</w:t>
      </w:r>
      <w:r>
        <w:rPr>
          <w:rFonts w:hint="eastAsia" w:ascii="宋体" w:hAnsi="宋体" w:cs="宋体"/>
          <w:b/>
          <w:iCs/>
          <w:color w:val="000000"/>
          <w:sz w:val="22"/>
          <w:u w:val="single"/>
          <w:lang w:val="en-US" w:eastAsia="zh-CN"/>
        </w:rPr>
        <w:t xml:space="preserve">  </w:t>
      </w:r>
      <w:r>
        <w:rPr>
          <w:rFonts w:ascii="宋体" w:hAnsi="宋体" w:cs="宋体"/>
          <w:iCs/>
          <w:color w:val="000000"/>
          <w:sz w:val="22"/>
        </w:rPr>
        <w:t xml:space="preserve">；承接企业为</w:t>
      </w:r>
      <w:r>
        <w:rPr>
          <w:rFonts w:hint="eastAsia" w:ascii="宋体" w:hAnsi="宋体" w:cs="宋体"/>
          <w:iCs/>
          <w:color w:val="000000"/>
          <w:sz w:val="22"/>
          <w:u w:val="single"/>
        </w:rPr>
        <w:t xml:space="preserve"> </w:t>
      </w:r>
      <w:r>
        <w:rPr>
          <w:rFonts w:hint="eastAsia" w:ascii="宋体" w:hAnsi="宋体" w:cs="宋体"/>
          <w:iCs/>
          <w:color w:val="000000"/>
          <w:sz w:val="22"/>
          <w:u w:val="single"/>
          <w:lang w:val="en-US" w:eastAsia="zh-CN"/>
        </w:rPr>
        <w:t xml:space="preserve">   </w:t>
      </w:r>
      <w:r>
        <w:rPr>
          <w:rFonts w:hint="eastAsia" w:ascii="宋体" w:hAnsi="宋体" w:cs="宋体"/>
          <w:iCs/>
          <w:color w:val="000000"/>
          <w:sz w:val="22"/>
          <w:u w:val="single"/>
        </w:rPr>
        <w:t xml:space="preserve"> </w:t>
      </w:r>
      <w:r>
        <w:rPr>
          <w:rFonts w:ascii="宋体" w:hAnsi="宋体" w:cs="宋体"/>
          <w:b/>
          <w:iCs/>
          <w:color w:val="000000"/>
          <w:sz w:val="22"/>
          <w:u w:val="single"/>
        </w:rPr>
        <w:t xml:space="preserve">（企业名称）</w:t>
      </w:r>
      <w:r>
        <w:rPr>
          <w:rFonts w:hint="eastAsia" w:ascii="宋体" w:hAnsi="宋体" w:cs="宋体"/>
          <w:b/>
          <w:iCs/>
          <w:color w:val="000000"/>
          <w:sz w:val="22"/>
          <w:u w:val="single"/>
          <w:lang w:val="en-US" w:eastAsia="zh-CN"/>
        </w:rPr>
        <w:t xml:space="preserve">   </w:t>
      </w:r>
      <w:r>
        <w:rPr>
          <w:rFonts w:hint="eastAsia" w:ascii="宋体" w:hAnsi="宋体" w:cs="宋体"/>
          <w:iCs/>
          <w:color w:val="000000"/>
          <w:sz w:val="22"/>
          <w:u w:val="single"/>
          <w:lang w:val="en-US" w:eastAsia="zh-CN"/>
        </w:rPr>
        <w:t xml:space="preserve">  </w:t>
      </w:r>
      <w:r>
        <w:rPr>
          <w:rFonts w:ascii="宋体" w:hAnsi="宋体" w:cs="宋体"/>
          <w:iCs/>
          <w:color w:val="000000"/>
          <w:sz w:val="22"/>
        </w:rPr>
        <w:t xml:space="preserve">，从业人员</w:t>
      </w:r>
      <w:r>
        <w:rPr>
          <w:rFonts w:hint="eastAsia" w:ascii="宋体" w:hAnsi="宋体" w:cs="宋体"/>
          <w:iCs/>
          <w:color w:val="000000"/>
          <w:sz w:val="22"/>
          <w:u w:val="single"/>
          <w:lang w:val="en-US" w:eastAsia="zh-CN"/>
        </w:rPr>
        <w:t xml:space="preserve">   </w:t>
      </w:r>
      <w:r>
        <w:rPr>
          <w:rFonts w:hint="eastAsia" w:ascii="宋体" w:hAnsi="宋体" w:cs="宋体"/>
          <w:iCs/>
          <w:color w:val="000000"/>
          <w:sz w:val="22"/>
          <w:u w:val="single"/>
        </w:rPr>
        <w:t xml:space="preserve">  </w:t>
      </w:r>
      <w:r>
        <w:rPr>
          <w:rFonts w:ascii="宋体" w:hAnsi="宋体" w:cs="宋体"/>
          <w:iCs/>
          <w:color w:val="000000"/>
          <w:sz w:val="22"/>
        </w:rPr>
        <w:t xml:space="preserve">人，营业收入为</w:t>
      </w:r>
      <w:r>
        <w:rPr>
          <w:rFonts w:hint="eastAsia" w:ascii="宋体" w:hAnsi="宋体" w:cs="宋体"/>
          <w:iCs/>
          <w:color w:val="000000"/>
          <w:sz w:val="22"/>
          <w:u w:val="single"/>
          <w:lang w:val="en-US" w:eastAsia="zh-CN"/>
        </w:rPr>
        <w:t xml:space="preserve">      </w:t>
      </w:r>
      <w:r>
        <w:rPr>
          <w:rFonts w:ascii="宋体" w:hAnsi="宋体" w:cs="宋体"/>
          <w:iCs/>
          <w:color w:val="000000"/>
          <w:sz w:val="22"/>
        </w:rPr>
        <w:t xml:space="preserve">万元；资产总额为：</w:t>
      </w:r>
      <w:r>
        <w:rPr>
          <w:rFonts w:hint="eastAsia" w:ascii="宋体" w:hAnsi="宋体" w:cs="宋体"/>
          <w:iCs/>
          <w:color w:val="000000"/>
          <w:sz w:val="22"/>
          <w:u w:val="single"/>
          <w:lang w:val="en-US" w:eastAsia="zh-CN"/>
        </w:rPr>
        <w:t xml:space="preserve">     </w:t>
      </w:r>
      <w:r>
        <w:rPr>
          <w:rFonts w:ascii="宋体" w:hAnsi="宋体" w:cs="宋体"/>
          <w:iCs/>
          <w:color w:val="000000"/>
          <w:sz w:val="22"/>
        </w:rPr>
        <w:t xml:space="preserve">万元，属于</w:t>
      </w:r>
      <w:r>
        <w:rPr>
          <w:rFonts w:hint="eastAsia" w:ascii="宋体" w:hAnsi="宋体" w:cs="宋体"/>
          <w:iCs/>
          <w:color w:val="000000"/>
          <w:sz w:val="22"/>
          <w:u w:val="single"/>
          <w:lang w:val="en-US" w:eastAsia="zh-CN"/>
        </w:rPr>
        <w:t xml:space="preserve">   </w:t>
      </w:r>
      <w:r>
        <w:rPr>
          <w:rFonts w:ascii="宋体" w:hAnsi="宋体" w:cs="宋体"/>
          <w:b/>
          <w:iCs/>
          <w:color w:val="000000"/>
          <w:sz w:val="22"/>
          <w:u w:val="single"/>
        </w:rPr>
        <w:t xml:space="preserve">中型企业□小型企业□微型企业</w:t>
      </w:r>
      <w:r>
        <w:rPr>
          <w:rFonts w:hint="eastAsia" w:ascii="宋体" w:hAnsi="宋体" w:cs="宋体"/>
          <w:b/>
          <w:iCs/>
          <w:color w:val="000000"/>
          <w:sz w:val="22"/>
          <w:u w:val="single"/>
          <w:lang w:val="en-US" w:eastAsia="zh-CN"/>
        </w:rPr>
        <w:t xml:space="preserve">   </w:t>
      </w:r>
      <w:r>
        <w:rPr>
          <w:rFonts w:ascii="宋体" w:hAnsi="宋体" w:cs="宋体"/>
          <w:color w:val="000000"/>
          <w:sz w:val="22"/>
        </w:rPr>
        <w:t xml:space="preserve">。</w:t>
      </w:r>
      <w:r/>
    </w:p>
    <w:p>
      <w:pPr>
        <w:ind w:firstLine="480"/>
        <w:spacing w:line="5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480"/>
        <w:spacing w:line="5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firstLine="482"/>
        <w:spacing w:line="85" w:lineRule="atLeast"/>
        <w:pBdr>
          <w:top w:val="none" w:color="000000" w:sz="0" w:space="0"/>
          <w:left w:val="none" w:color="000000" w:sz="0" w:space="0"/>
          <w:bottom w:val="none" w:color="000000" w:sz="0" w:space="0"/>
          <w:right w:val="none" w:color="000000" w:sz="0" w:space="0"/>
        </w:pBdr>
      </w:pPr>
      <w:r/>
      <w:r/>
    </w:p>
    <w:p>
      <w:pPr>
        <w:ind w:firstLine="482"/>
        <w:spacing w:line="85" w:lineRule="atLeast"/>
        <w:pBdr>
          <w:top w:val="none" w:color="000000" w:sz="0" w:space="0"/>
          <w:left w:val="none" w:color="000000" w:sz="0" w:space="0"/>
          <w:bottom w:val="none" w:color="000000" w:sz="0" w:space="0"/>
          <w:right w:val="none" w:color="000000" w:sz="0" w:space="0"/>
        </w:pBdr>
      </w:pPr>
      <w:r/>
      <w:r/>
    </w:p>
    <w:p>
      <w:pPr>
        <w:ind w:firstLine="482"/>
        <w:spacing w:line="85" w:lineRule="atLeast"/>
        <w:pBdr>
          <w:top w:val="none" w:color="000000" w:sz="0" w:space="0"/>
          <w:left w:val="none" w:color="000000" w:sz="0" w:space="0"/>
          <w:bottom w:val="none" w:color="000000" w:sz="0" w:space="0"/>
          <w:right w:val="none" w:color="000000" w:sz="0" w:space="0"/>
        </w:pBdr>
      </w:pPr>
      <w:r/>
      <w:r/>
    </w:p>
    <w:p>
      <w:pPr>
        <w:ind w:firstLine="482"/>
        <w:spacing w:line="85" w:lineRule="atLeast"/>
        <w:pBdr>
          <w:top w:val="none" w:color="000000" w:sz="0" w:space="0"/>
          <w:left w:val="none" w:color="000000" w:sz="0" w:space="0"/>
          <w:bottom w:val="none" w:color="000000" w:sz="0" w:space="0"/>
          <w:right w:val="none" w:color="000000" w:sz="0" w:space="0"/>
        </w:pBdr>
      </w:pPr>
      <w:r/>
      <w:r/>
    </w:p>
    <w:p>
      <w:pPr>
        <w:ind w:firstLine="482"/>
        <w:spacing w:line="85" w:lineRule="atLeast"/>
        <w:pBdr>
          <w:top w:val="none" w:color="000000" w:sz="0" w:space="0"/>
          <w:left w:val="none" w:color="000000" w:sz="0" w:space="0"/>
          <w:bottom w:val="none" w:color="000000" w:sz="0" w:space="0"/>
          <w:right w:val="none" w:color="000000" w:sz="0" w:space="0"/>
        </w:pBdr>
      </w:pPr>
      <w:r/>
      <w:r/>
    </w:p>
    <w:p>
      <w:pPr>
        <w:spacing w:line="540" w:lineRule="exact"/>
        <w:rPr>
          <w:rFonts w:ascii="黑体" w:hAnsi="黑体" w:eastAsia="黑体" w:cs="黑体"/>
          <w:bCs/>
          <w:sz w:val="20"/>
          <w:szCs w:val="2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sz w:val="20"/>
          <w:szCs w:val="20"/>
        </w:rPr>
        <w:t xml:space="preserve">备注：</w:t>
      </w:r>
      <w:r/>
    </w:p>
    <w:p>
      <w:pPr>
        <w:ind w:firstLine="400"/>
        <w:spacing w:line="540" w:lineRule="exact"/>
        <w:rPr>
          <w:rFonts w:ascii="黑体" w:hAnsi="黑体" w:eastAsia="黑体" w:cs="黑体"/>
          <w:bCs/>
          <w:sz w:val="20"/>
          <w:szCs w:val="2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sz w:val="20"/>
          <w:szCs w:val="20"/>
        </w:rPr>
        <w:t xml:space="preserve">1.从业人员、营业收入、资产总额填报上一年度数据，无上一年度数据的新成立企业可不填报。</w:t>
      </w:r>
      <w:r/>
    </w:p>
    <w:p>
      <w:pPr>
        <w:ind w:firstLine="400"/>
        <w:spacing w:line="540" w:lineRule="exact"/>
        <w:rPr>
          <w:rFonts w:ascii="黑体" w:hAnsi="黑体" w:eastAsia="黑体" w:cs="黑体"/>
          <w:bCs/>
          <w:sz w:val="20"/>
          <w:szCs w:val="2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sz w:val="20"/>
          <w:szCs w:val="20"/>
        </w:rPr>
        <w:t xml:space="preserve">2.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在“□”内打“✓”勾选制造商的企业规模类型；未打“✓”勾选制造商的企业规模类型的，不予认可。</w:t>
      </w:r>
      <w:r/>
    </w:p>
    <w:p>
      <w:pPr>
        <w:ind w:firstLine="400"/>
        <w:spacing w:line="540" w:lineRule="exact"/>
        <w:rPr>
          <w:bCs/>
          <w:sz w:val="20"/>
          <w:szCs w:val="2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sz w:val="20"/>
          <w:szCs w:val="20"/>
        </w:rPr>
        <w:t xml:space="preserve">3.专门面向中小微型企业采购的项目，投标人如不提供此声明函，则不能通过资格审查；非专门面向中小微型企业采购的项目，投标人如不提供此声明函，价格将不做相应扣除。</w:t>
      </w:r>
      <w:r/>
    </w:p>
    <w:p>
      <w:pPr>
        <w:jc w:val="right"/>
        <w:spacing w:line="5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jc w:val="right"/>
        <w:spacing w:line="5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投标人公章：（电子签章）</w:t>
      </w:r>
      <w:r/>
    </w:p>
    <w:p>
      <w:pPr>
        <w:ind w:firstLine="960"/>
        <w:jc w:val="right"/>
        <w:spacing w:line="540" w:lineRule="exact"/>
        <w:rPr>
          <w:rFonts w:ascii="宋体" w:hAnsi="宋体" w:cs="宋体"/>
          <w:color w:val="000000"/>
          <w:sz w:val="24"/>
        </w:rPr>
      </w:pPr>
      <w:r>
        <w:rPr>
          <w:rFonts w:hint="eastAsia" w:ascii="宋体" w:hAnsi="宋体" w:cs="宋体"/>
          <w:color w:val="000000"/>
          <w:sz w:val="24"/>
          <w:u w:val="single"/>
          <w:lang w:val="en-US" w:eastAsia="zh-CN"/>
        </w:rPr>
        <w:t xml:space="preserve">       </w:t>
      </w:r>
      <w:r>
        <w:rPr>
          <w:rFonts w:ascii="宋体" w:hAnsi="宋体" w:cs="宋体"/>
          <w:color w:val="000000"/>
          <w:sz w:val="24"/>
        </w:rPr>
        <w:t xml:space="preserve">年</w:t>
      </w:r>
      <w:r>
        <w:rPr>
          <w:rFonts w:hint="eastAsia" w:ascii="宋体" w:hAnsi="宋体" w:cs="宋体"/>
          <w:color w:val="000000"/>
          <w:sz w:val="24"/>
          <w:u w:val="single"/>
          <w:lang w:val="en-US" w:eastAsia="zh-CN"/>
        </w:rPr>
        <w:t xml:space="preserve">    </w:t>
      </w:r>
      <w:r>
        <w:rPr>
          <w:rFonts w:ascii="宋体" w:hAnsi="宋体" w:cs="宋体"/>
          <w:color w:val="000000"/>
          <w:sz w:val="24"/>
        </w:rPr>
        <w:t xml:space="preserve">月</w:t>
      </w:r>
      <w:r>
        <w:rPr>
          <w:rFonts w:hint="eastAsia" w:ascii="宋体" w:hAnsi="宋体" w:cs="宋体"/>
          <w:color w:val="000000"/>
          <w:sz w:val="24"/>
          <w:u w:val="single"/>
          <w:lang w:val="en-US" w:eastAsia="zh-CN"/>
        </w:rPr>
        <w:t xml:space="preserve">    </w:t>
      </w:r>
      <w:r>
        <w:rPr>
          <w:rFonts w:ascii="宋体" w:hAnsi="宋体" w:cs="宋体"/>
          <w:color w:val="000000"/>
          <w:sz w:val="24"/>
        </w:rPr>
        <w:t xml:space="preserve">日</w:t>
      </w:r>
      <w:r/>
    </w:p>
    <w:p>
      <w:pPr>
        <w:ind w:firstLine="960"/>
        <w:jc w:val="right"/>
        <w:spacing w:line="540" w:lineRule="exact"/>
        <w:rPr>
          <w:rFonts w:ascii="宋体" w:hAnsi="宋体" w:cs="宋体"/>
          <w:color w:val="000000"/>
          <w:sz w:val="24"/>
        </w:rPr>
      </w:pPr>
      <w:r>
        <w:rPr>
          <w:rFonts w:ascii="宋体" w:hAnsi="宋体" w:cs="宋体"/>
          <w:color w:val="000000"/>
          <w:sz w:val="24"/>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（二）残疾人福利性单位声明函</w:t>
      </w:r>
      <w:r/>
    </w:p>
    <w:p>
      <w:pPr>
        <w:jc w:val="center"/>
        <w:spacing w:line="588" w:lineRule="exact"/>
        <w:rPr>
          <w:rFonts w:ascii="仿宋_GB2312" w:eastAsia="仿宋_GB2312"/>
          <w:b/>
          <w:spacing w:val="6"/>
          <w:sz w:val="30"/>
          <w:szCs w:val="30"/>
        </w:rPr>
      </w:pPr>
      <w:r>
        <w:rPr>
          <w:rFonts w:hint="eastAsia" w:ascii="仿宋_GB2312" w:eastAsia="仿宋_GB2312"/>
          <w:b/>
          <w:spacing w:val="6"/>
          <w:sz w:val="24"/>
          <w:szCs w:val="24"/>
        </w:rPr>
        <w:t xml:space="preserve">【非残疾人福利性单位无需提供】</w:t>
      </w:r>
      <w:r/>
    </w:p>
    <w:p>
      <w:pPr>
        <w:ind w:firstLine="480"/>
        <w:jc w:val="left"/>
        <w:spacing w:line="360" w:lineRule="auto"/>
        <w:rPr>
          <w:rFonts w:ascii="华文中宋" w:hAnsi="华文中宋" w:cs="华文中宋"/>
          <w:sz w:val="24"/>
          <w:szCs w:val="24"/>
          <w:shd w:val="clear" w:color="auto" w:fill="ffffff"/>
        </w:rPr>
      </w:pPr>
      <w:r>
        <w:rPr>
          <w:rFonts w:ascii="华文中宋" w:hAnsi="华文中宋" w:cs="华文中宋"/>
          <w:sz w:val="24"/>
          <w:szCs w:val="24"/>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hint="eastAsia" w:asciiTheme="minorEastAsia" w:hAnsiTheme="minorEastAsia" w:eastAsiaTheme="minorEastAsia" w:cstheme="minorEastAsia"/>
          <w:sz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heme="minorEastAsia" w:hAnsiTheme="minorEastAsia" w:eastAsiaTheme="minorEastAsia" w:cstheme="minorEastAsia"/>
          <w:sz w:val="22"/>
          <w:u w:val="single"/>
          <w:shd w:val="clear" w:color="auto" w:fill="ffffff"/>
        </w:rPr>
        <w:t xml:space="preserve">                </w:t>
      </w:r>
      <w:r>
        <w:rPr>
          <w:rFonts w:hint="eastAsia" w:asciiTheme="minorEastAsia" w:hAnsiTheme="minorEastAsia" w:eastAsiaTheme="minorEastAsia" w:cstheme="minorEastAsia"/>
          <w:sz w:val="22"/>
          <w:shd w:val="clear" w:color="auto" w:fill="ffffff"/>
        </w:rPr>
        <w:t xml:space="preserve">单位的</w:t>
      </w:r>
      <w:r>
        <w:rPr>
          <w:rFonts w:hint="eastAsia" w:asciiTheme="minorEastAsia" w:hAnsiTheme="minorEastAsia" w:eastAsiaTheme="minorEastAsia" w:cstheme="minorEastAsia"/>
          <w:sz w:val="22"/>
          <w:u w:val="single"/>
          <w:shd w:val="clear" w:color="auto" w:fill="ffffff"/>
        </w:rPr>
        <w:t xml:space="preserve">         </w:t>
      </w:r>
      <w:r>
        <w:rPr>
          <w:rFonts w:hint="eastAsia" w:asciiTheme="minorEastAsia" w:hAnsiTheme="minorEastAsia" w:eastAsiaTheme="minorEastAsia" w:cstheme="minorEastAsia"/>
          <w:sz w:val="22"/>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asciiTheme="minorEastAsia" w:hAnsiTheme="minorEastAsia" w:eastAsiaTheme="minorEastAsia" w:cstheme="minorEastAsia"/>
          <w:sz w:val="22"/>
          <w:shd w:val="clear" w:color="auto" w:fill="ffffff"/>
        </w:rPr>
      </w:pPr>
      <w:r>
        <w:rPr>
          <w:rFonts w:hint="eastAsia" w:asciiTheme="minorEastAsia" w:hAnsiTheme="minorEastAsia" w:eastAsiaTheme="minorEastAsia" w:cstheme="minorEastAsia"/>
          <w:sz w:val="22"/>
          <w:shd w:val="clear" w:color="auto" w:fill="ffffff"/>
        </w:rPr>
        <w:t xml:space="preserve">本单位对上述声明的真实性负责。如有虚假，将依法承担相应责任。</w:t>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pStyle w:val="931"/>
        <w:ind w:firstLine="440"/>
        <w:spacing w:after="0" w:line="360" w:lineRule="auto"/>
        <w:rPr>
          <w:rFonts w:asciiTheme="minorEastAsia" w:hAnsiTheme="minorEastAsia" w:eastAsiaTheme="minorEastAsia" w:cstheme="minorEastAsia"/>
          <w:sz w:val="22"/>
          <w:szCs w:val="22"/>
        </w:rPr>
      </w:pPr>
      <w:r>
        <w:rPr>
          <w:rFonts w:asciiTheme="minorEastAsia" w:hAnsiTheme="minorEastAsia" w:eastAsiaTheme="minorEastAsia" w:cstheme="minorEastAsia"/>
          <w:sz w:val="22"/>
          <w:szCs w:val="22"/>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right"/>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投标人公章：            （电子签章）</w:t>
      </w:r>
      <w:r/>
    </w:p>
    <w:p>
      <w:pPr>
        <w:ind w:firstLine="440"/>
        <w:jc w:val="right"/>
        <w:spacing w:line="360" w:lineRule="auto"/>
        <w:rPr>
          <w:rFonts w:asciiTheme="minorEastAsia" w:hAnsiTheme="minorEastAsia" w:eastAsiaTheme="minorEastAsia" w:cstheme="minorEastAsia"/>
          <w:sz w:val="22"/>
        </w:rPr>
      </w:pPr>
      <w:r>
        <w:rPr>
          <w:rFonts w:asciiTheme="minorEastAsia" w:hAnsiTheme="minorEastAsia" w:eastAsiaTheme="minorEastAsia" w:cstheme="minorEastAsia"/>
          <w:sz w:val="22"/>
        </w:rPr>
      </w:r>
      <w:r/>
    </w:p>
    <w:p>
      <w:pPr>
        <w:ind w:firstLine="440"/>
        <w:jc w:val="right"/>
        <w:spacing w:line="360" w:lineRule="auto"/>
        <w:rPr>
          <w:rFonts w:asciiTheme="minorEastAsia" w:hAnsiTheme="minorEastAsia" w:eastAsiaTheme="minorEastAsia" w:cstheme="minorEastAsia"/>
          <w:sz w:val="22"/>
        </w:rPr>
      </w:pPr>
      <w:r>
        <w:rPr>
          <w:rFonts w:asciiTheme="minorEastAsia" w:hAnsiTheme="minorEastAsia" w:eastAsiaTheme="minorEastAsia" w:cstheme="minorEastAsia"/>
          <w:sz w:val="22"/>
        </w:rPr>
      </w:r>
      <w:r/>
    </w:p>
    <w:p>
      <w:pPr>
        <w:ind w:firstLine="440"/>
        <w:jc w:val="right"/>
        <w:spacing w:line="360" w:lineRule="auto"/>
        <w:rPr>
          <w:rFonts w:ascii="宋体" w:hAnsi="宋体"/>
          <w:sz w:val="22"/>
        </w:rPr>
      </w:pP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年</w:t>
      </w: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月</w:t>
      </w: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日</w:t>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（三）监狱企业证明</w:t>
      </w:r>
      <w:r/>
    </w:p>
    <w:p>
      <w:pPr>
        <w:pStyle w:val="931"/>
        <w:jc w:val="center"/>
        <w:spacing w:line="360" w:lineRule="auto"/>
        <w:rPr>
          <w:rFonts w:ascii="宋体" w:hAnsi="宋体" w:cs="宋体"/>
          <w:sz w:val="22"/>
          <w:szCs w:val="22"/>
        </w:rPr>
      </w:pPr>
      <w:r>
        <w:rPr>
          <w:rFonts w:hint="eastAsia" w:ascii="仿宋_GB2312" w:eastAsia="仿宋_GB2312"/>
          <w:b/>
          <w:spacing w:val="6"/>
          <w:sz w:val="24"/>
        </w:rPr>
        <w:t xml:space="preserve">【非监狱企业无需提供】</w:t>
      </w:r>
      <w:r/>
    </w:p>
    <w:p>
      <w:pPr>
        <w:pStyle w:val="931"/>
        <w:ind w:firstLine="482"/>
        <w:spacing w:line="480" w:lineRule="auto"/>
        <w:rPr>
          <w:rFonts w:ascii="宋体" w:hAnsi="宋体" w:cs="宋体"/>
          <w:b/>
          <w:bCs/>
          <w:sz w:val="24"/>
          <w:szCs w:val="21"/>
        </w:rPr>
      </w:pPr>
      <w:r>
        <w:rPr>
          <w:rFonts w:ascii="宋体" w:hAnsi="宋体" w:cs="宋体"/>
          <w:b/>
          <w:bCs/>
          <w:sz w:val="24"/>
          <w:szCs w:val="21"/>
        </w:rPr>
      </w:r>
      <w:r/>
    </w:p>
    <w:p>
      <w:pPr>
        <w:pStyle w:val="931"/>
        <w:ind w:firstLine="482"/>
        <w:spacing w:line="480" w:lineRule="auto"/>
        <w:rPr>
          <w:rFonts w:ascii="宋体" w:hAnsi="宋体" w:cs="宋体"/>
          <w:b/>
          <w:bCs/>
          <w:sz w:val="24"/>
          <w:szCs w:val="21"/>
        </w:rPr>
      </w:pPr>
      <w:r>
        <w:rPr>
          <w:rFonts w:ascii="宋体" w:hAnsi="宋体" w:cs="宋体"/>
          <w:b/>
          <w:bCs/>
          <w:sz w:val="24"/>
          <w:szCs w:val="21"/>
        </w:rPr>
      </w:r>
      <w:r/>
    </w:p>
    <w:p>
      <w:pPr>
        <w:pStyle w:val="931"/>
        <w:ind w:firstLine="482"/>
        <w:spacing w:line="480" w:lineRule="auto"/>
        <w:rPr>
          <w:rFonts w:ascii="宋体" w:hAnsi="宋体" w:cs="宋体"/>
          <w:sz w:val="22"/>
          <w:szCs w:val="22"/>
        </w:rPr>
      </w:pPr>
      <w:r>
        <w:rPr>
          <w:rFonts w:hint="eastAsia" w:ascii="宋体" w:hAnsi="宋体" w:cs="宋体"/>
          <w:b/>
          <w:bCs/>
          <w:sz w:val="22"/>
          <w:szCs w:val="20"/>
        </w:rPr>
        <w:t xml:space="preserve">提供由省级以上监狱管理局、戒毒管理局（含新疆生产建设兵团）出具的投标人属于监狱企业的证明文件原件扫描件。</w:t>
      </w:r>
      <w:r/>
    </w:p>
    <w:p>
      <w:pPr>
        <w:pStyle w:val="931"/>
        <w:ind w:firstLine="440"/>
        <w:rPr>
          <w:rFonts w:ascii="宋体" w:hAnsi="宋体" w:cs="宋体"/>
          <w:sz w:val="22"/>
          <w:szCs w:val="22"/>
        </w:rPr>
      </w:pPr>
      <w:r>
        <w:rPr>
          <w:rFonts w:ascii="宋体" w:hAnsi="宋体" w:cs="宋体"/>
          <w:sz w:val="22"/>
          <w:szCs w:val="22"/>
        </w:rPr>
      </w:r>
      <w:r/>
    </w:p>
    <w:p>
      <w:pPr>
        <w:pStyle w:val="931"/>
        <w:ind w:firstLine="440"/>
        <w:rPr>
          <w:rFonts w:ascii="宋体" w:hAnsi="宋体" w:cs="宋体"/>
          <w:sz w:val="22"/>
          <w:szCs w:val="22"/>
        </w:rPr>
      </w:pPr>
      <w:r>
        <w:rPr>
          <w:rFonts w:ascii="宋体" w:hAnsi="宋体" w:cs="宋体"/>
          <w:sz w:val="22"/>
          <w:szCs w:val="22"/>
        </w:rPr>
      </w:r>
      <w:r/>
    </w:p>
    <w:p>
      <w:pPr>
        <w:pStyle w:val="931"/>
        <w:ind w:firstLine="440"/>
        <w:rPr>
          <w:rFonts w:ascii="宋体" w:hAnsi="宋体" w:cs="宋体"/>
          <w:sz w:val="22"/>
          <w:szCs w:val="22"/>
        </w:rPr>
      </w:pPr>
      <w:r>
        <w:rPr>
          <w:rFonts w:ascii="宋体" w:hAnsi="宋体" w:cs="宋体"/>
          <w:sz w:val="22"/>
          <w:szCs w:val="22"/>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spacing w:line="360" w:lineRule="auto"/>
        <w:rPr>
          <w:rFonts w:ascii="宋体" w:hAnsi="宋体"/>
          <w:sz w:val="24"/>
          <w:szCs w:val="24"/>
        </w:rPr>
        <w:sectPr>
          <w:footnotePr/>
          <w:endnotePr/>
          <w:type w:val="nextPage"/>
          <w:pgSz w:w="11906" w:h="16838" w:orient="portrait"/>
          <w:pgMar w:top="1440" w:right="1463" w:bottom="1440" w:left="1633" w:header="851" w:footer="992" w:gutter="0"/>
          <w:cols w:num="1" w:sep="0" w:space="0" w:equalWidth="1"/>
          <w:docGrid w:linePitch="360"/>
        </w:sectPr>
      </w:pPr>
      <w:r>
        <w:rPr>
          <w:rFonts w:ascii="宋体" w:hAnsi="宋体"/>
          <w:sz w:val="24"/>
          <w:szCs w:val="24"/>
        </w:rPr>
      </w:r>
      <w:r/>
    </w:p>
    <w:p>
      <w:pPr>
        <w:jc w:val="center"/>
        <w:rPr>
          <w:rFonts w:ascii="黑体" w:hAnsi="黑体" w:eastAsia="黑体" w:cs="Segoe UI"/>
          <w:sz w:val="36"/>
          <w:szCs w:val="21"/>
        </w:rPr>
      </w:pPr>
      <w:r>
        <w:rPr>
          <w:rFonts w:hint="eastAsia" w:ascii="黑体" w:hAnsi="黑体" w:eastAsia="黑体" w:cs="Segoe UI"/>
          <w:sz w:val="36"/>
          <w:szCs w:val="21"/>
        </w:rPr>
        <w:t xml:space="preserve">关于符合本国产品标准的声明函</w:t>
      </w:r>
      <w:r/>
    </w:p>
    <w:p>
      <w:r/>
      <w:r/>
    </w:p>
    <w:p>
      <w:pPr>
        <w:ind w:firstLine="420"/>
        <w:spacing w:line="360" w:lineRule="auto"/>
        <w:rPr>
          <w:rFonts w:ascii="宋体" w:hAnsi="宋体" w:cs="宋体"/>
          <w:sz w:val="24"/>
          <w:szCs w:val="28"/>
        </w:rPr>
      </w:pPr>
      <w:r>
        <w:rPr>
          <w:rFonts w:hint="eastAsia" w:ascii="宋体" w:hAnsi="宋体" w:cs="宋体"/>
          <w:sz w:val="24"/>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1"/>
        <w:ind w:firstLine="482"/>
        <w:spacing w:before="30" w:beforeAutospacing="0" w:after="30" w:afterAutospacing="0" w:line="560" w:lineRule="atLeast"/>
        <w:rPr>
          <w:shd w:val="clear" w:color="auto" w:fill="ffffff"/>
        </w:rPr>
      </w:pPr>
      <w:r>
        <w:rPr>
          <w:b/>
          <w:bCs/>
          <w:u w:val="single"/>
        </w:rPr>
      </w:r>
      <w:r>
        <w:rPr>
          <w:rFonts w:hint="eastAsia"/>
          <w:b/>
          <w:bCs/>
          <w:u w:val="single"/>
          <w:lang w:eastAsia="zh-CN"/>
        </w:rPr>
        <w:t xml:space="preserve">（</w:t>
      </w:r>
      <w:r>
        <w:rPr>
          <w:rFonts w:hint="eastAsia"/>
          <w:b/>
          <w:bCs/>
          <w:u w:val="single"/>
          <w:lang w:val="en-US" w:eastAsia="zh-CN"/>
        </w:rPr>
        <w:t xml:space="preserve">产品</w:t>
      </w:r>
      <w:r>
        <w:rPr>
          <w:rFonts w:hint="eastAsia"/>
          <w:b/>
          <w:bCs/>
          <w:u w:val="single"/>
          <w:lang w:val="en-US" w:eastAsia="zh-CN"/>
        </w:rPr>
        <w:t xml:space="preserve">名称</w:t>
      </w:r>
      <w:r>
        <w:rPr>
          <w:rFonts w:hint="eastAsia"/>
          <w:b/>
          <w:bCs/>
          <w:u w:val="single"/>
          <w:lang w:eastAsia="zh-CN"/>
        </w:rPr>
        <w:t xml:space="preserve">）</w:t>
      </w:r>
      <w:r>
        <w:rPr>
          <w:rStyle w:val="705"/>
          <w:rFonts w:hint="eastAsia"/>
          <w:i w:val="0"/>
          <w:shd w:val="clear" w:color="auto" w:fill="ffffff"/>
          <w:vertAlign w:val="superscript"/>
        </w:rPr>
        <w:t xml:space="preserve">1</w:t>
      </w:r>
      <w:r>
        <w:rPr>
          <w:rFonts w:hint="eastAsia"/>
          <w:shd w:val="clear" w:color="auto" w:fill="ffffff"/>
        </w:rPr>
        <w:t xml:space="preserve">，生产厂为</w:t>
      </w:r>
      <w:r>
        <w:rPr>
          <w:rFonts w:hint="eastAsia"/>
          <w:u w:val="single"/>
          <w:shd w:val="clear" w:color="auto" w:fill="ffffff"/>
        </w:rPr>
        <w:t xml:space="preserve">   </w:t>
      </w:r>
      <w:r>
        <w:rPr>
          <w:rStyle w:val="705"/>
          <w:rFonts w:hint="eastAsia"/>
          <w:i w:val="0"/>
          <w:u w:val="single"/>
          <w:shd w:val="clear" w:color="auto" w:fill="ffffff"/>
        </w:rPr>
        <w:t xml:space="preserve"> </w:t>
      </w:r>
      <w:r>
        <w:rPr>
          <w:rStyle w:val="705"/>
          <w:rFonts w:hint="eastAsia"/>
          <w:b/>
          <w:bCs/>
          <w:i w:val="0"/>
          <w:u w:val="single"/>
          <w:shd w:val="clear" w:color="auto" w:fill="ffffff"/>
        </w:rPr>
        <w:t xml:space="preserve">（厂名）</w:t>
      </w:r>
      <w:r>
        <w:rPr>
          <w:rStyle w:val="705"/>
          <w:rFonts w:hint="eastAsia"/>
          <w:i w:val="0"/>
          <w:u w:val="single"/>
          <w:shd w:val="clear" w:color="auto" w:fill="ffffff"/>
          <w:vertAlign w:val="superscript"/>
        </w:rPr>
        <w:t xml:space="preserve">2   </w:t>
      </w:r>
      <w:r>
        <w:rPr>
          <w:rFonts w:hint="eastAsia"/>
          <w:shd w:val="clear" w:color="auto" w:fill="ffffff"/>
        </w:rPr>
        <w:t xml:space="preserve">，厂址为</w:t>
      </w:r>
      <w:r>
        <w:rPr>
          <w:rFonts w:hint="eastAsia"/>
          <w:u w:val="single"/>
          <w:shd w:val="clear" w:color="auto" w:fill="ffffff"/>
        </w:rPr>
        <w:t xml:space="preserve">   </w:t>
      </w:r>
      <w:r>
        <w:rPr>
          <w:rStyle w:val="705"/>
          <w:rFonts w:hint="eastAsia"/>
          <w:b/>
          <w:bCs/>
          <w:i w:val="0"/>
          <w:u w:val="single"/>
          <w:shd w:val="clear" w:color="auto" w:fill="ffffff"/>
        </w:rPr>
        <w:t xml:space="preserve">（生产厂址）</w:t>
      </w:r>
      <w:r>
        <w:rPr>
          <w:rStyle w:val="705"/>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Fonts w:hint="eastAsia"/>
          <w:b/>
          <w:bCs/>
          <w:u w:val="single"/>
        </w:rPr>
        <w:t xml:space="preserve"> / </w:t>
      </w:r>
      <w:r>
        <w:rPr>
          <w:rStyle w:val="705"/>
          <w:rFonts w:hint="eastAsia"/>
          <w:i w:val="0"/>
          <w:u w:val="single"/>
          <w:shd w:val="clear" w:color="auto" w:fill="ffffff"/>
          <w:vertAlign w:val="superscript"/>
        </w:rPr>
        <w:t xml:space="preserve">1</w:t>
      </w:r>
      <w:r>
        <w:rPr>
          <w:rStyle w:val="705"/>
          <w:rFonts w:hint="eastAsia"/>
          <w:i w:val="0"/>
          <w:u w:val="single"/>
          <w:shd w:val="clear" w:color="auto" w:fill="ffffff"/>
        </w:rPr>
        <w:t xml:space="preserve"> </w:t>
      </w:r>
      <w:r>
        <w:rPr>
          <w:rFonts w:hint="eastAsia"/>
          <w:shd w:val="clear" w:color="auto" w:fill="ffffff"/>
        </w:rPr>
        <w:t xml:space="preserve">的中国境内生产的组件成本占比≥</w:t>
      </w:r>
      <w:r>
        <w:rPr>
          <w:rStyle w:val="705"/>
          <w:rFonts w:hint="eastAsia"/>
          <w:i w:val="0"/>
          <w:u w:val="single"/>
          <w:shd w:val="clear" w:color="auto" w:fill="ffffff"/>
        </w:rPr>
        <w:t xml:space="preserve">  </w:t>
      </w:r>
      <w:r>
        <w:rPr>
          <w:rFonts w:hint="eastAsia"/>
          <w:b/>
          <w:bCs/>
          <w:u w:val="single"/>
        </w:rPr>
        <w:t xml:space="preserve">/</w:t>
      </w:r>
      <w:r>
        <w:rPr>
          <w:rStyle w:val="705"/>
          <w:rFonts w:hint="eastAsia"/>
          <w:i w:val="0"/>
          <w:u w:val="single"/>
          <w:shd w:val="clear" w:color="auto" w:fill="ffffff"/>
        </w:rPr>
        <w:t xml:space="preserve"> </w:t>
      </w:r>
      <w:r>
        <w:rPr>
          <w:rStyle w:val="705"/>
          <w:rFonts w:hint="eastAsia"/>
          <w:i w:val="0"/>
          <w:shd w:val="clear" w:color="auto" w:fill="ffffff"/>
          <w:vertAlign w:val="superscript"/>
        </w:rPr>
        <w:t xml:space="preserve">3</w:t>
      </w:r>
      <w:r>
        <w:rPr>
          <w:rFonts w:hint="eastAsia"/>
          <w:shd w:val="clear" w:color="auto" w:fill="ffffff"/>
        </w:rPr>
        <w:t xml:space="preserve">。</w:t>
      </w:r>
      <w:r>
        <w:rPr>
          <w:rFonts w:hint="eastAsia"/>
          <w:b/>
          <w:bCs/>
          <w:u w:val="single"/>
        </w:rPr>
        <w:t xml:space="preserve">   /  </w:t>
      </w:r>
      <w:r>
        <w:rPr>
          <w:rStyle w:val="705"/>
          <w:rFonts w:hint="eastAsia"/>
          <w:i w:val="0"/>
          <w:shd w:val="clear" w:color="auto" w:fill="ffffff"/>
          <w:vertAlign w:val="superscript"/>
        </w:rPr>
        <w:t xml:space="preserve">1 </w:t>
      </w:r>
      <w:r>
        <w:rPr>
          <w:rFonts w:hint="eastAsia"/>
          <w:shd w:val="clear" w:color="auto" w:fill="ffffff"/>
        </w:rPr>
        <w:t xml:space="preserve">的</w:t>
      </w:r>
      <w:r>
        <w:rPr>
          <w:rFonts w:hint="eastAsia"/>
          <w:b/>
          <w:bCs/>
          <w:u w:val="single"/>
        </w:rPr>
        <w:t xml:space="preserve">  / </w:t>
      </w:r>
      <w:r>
        <w:rPr>
          <w:rStyle w:val="705"/>
          <w:rFonts w:hint="eastAsia"/>
          <w:i w:val="0"/>
          <w:shd w:val="clear" w:color="auto" w:fill="ffffff"/>
          <w:vertAlign w:val="superscript"/>
        </w:rPr>
        <w:t xml:space="preserve">4</w:t>
      </w:r>
      <w:r>
        <w:rPr>
          <w:rFonts w:hint="eastAsia"/>
          <w:shd w:val="clear" w:color="auto" w:fill="ffffff"/>
        </w:rPr>
        <w:t xml:space="preserve">在中国境内生产。</w:t>
      </w:r>
      <w:r>
        <w:rPr>
          <w:rFonts w:hint="eastAsia"/>
          <w:b/>
          <w:bCs/>
          <w:u w:val="single"/>
        </w:rPr>
        <w:t xml:space="preserve">  </w:t>
      </w:r>
      <w:r>
        <w:rPr>
          <w:rFonts w:hint="eastAsia"/>
          <w:b/>
          <w:bCs/>
          <w:u w:val="single"/>
        </w:rPr>
        <w:t xml:space="preserve">/</w:t>
      </w:r>
      <w:r>
        <w:rPr>
          <w:rFonts w:hint="eastAsia"/>
          <w:b/>
          <w:bCs/>
          <w:u w:val="single"/>
          <w:lang w:val="en-US" w:eastAsia="zh-CN"/>
        </w:rPr>
        <w:t xml:space="preserve"> </w:t>
      </w:r>
      <w:r>
        <w:rPr>
          <w:rStyle w:val="705"/>
          <w:rFonts w:hint="eastAsia"/>
          <w:i w:val="0"/>
          <w:shd w:val="clear" w:color="auto" w:fill="ffffff"/>
          <w:vertAlign w:val="superscript"/>
        </w:rPr>
        <w:t xml:space="preserve">1</w:t>
      </w:r>
      <w:r>
        <w:rPr>
          <w:rFonts w:hint="eastAsia"/>
          <w:shd w:val="clear" w:color="auto" w:fill="ffffff"/>
        </w:rPr>
        <w:t xml:space="preserve">的</w:t>
      </w:r>
      <w:r>
        <w:rPr>
          <w:rFonts w:hint="eastAsia"/>
          <w:b/>
          <w:bCs/>
          <w:u w:val="single"/>
        </w:rPr>
        <w:t xml:space="preserve">  </w:t>
      </w:r>
      <w:r>
        <w:rPr>
          <w:rFonts w:hint="eastAsia"/>
          <w:b/>
          <w:bCs/>
          <w:u w:val="single"/>
        </w:rPr>
        <w:t xml:space="preserve">/</w:t>
      </w:r>
      <w:r>
        <w:rPr>
          <w:rFonts w:hint="eastAsia"/>
          <w:b/>
          <w:bCs/>
          <w:u w:val="single"/>
          <w:lang w:val="en-US" w:eastAsia="zh-CN"/>
        </w:rPr>
        <w:t xml:space="preserve"> </w:t>
      </w:r>
      <w:r>
        <w:rPr>
          <w:rStyle w:val="705"/>
          <w:rFonts w:hint="eastAsia"/>
          <w:i w:val="0"/>
          <w:shd w:val="clear" w:color="auto" w:fill="ffffff"/>
          <w:vertAlign w:val="superscript"/>
        </w:rPr>
        <w:t xml:space="preserve">5</w:t>
      </w:r>
      <w:r>
        <w:rPr>
          <w:rFonts w:hint="eastAsia"/>
          <w:shd w:val="clear" w:color="auto" w:fill="ffffff"/>
        </w:rPr>
        <w:t xml:space="preserve">在中国境内完成。</w:t>
      </w:r>
      <w:r/>
    </w:p>
    <w:p>
      <w:pPr>
        <w:pStyle w:val="701"/>
        <w:ind w:firstLine="480"/>
        <w:spacing w:before="30" w:beforeAutospacing="0" w:after="30" w:afterAutospacing="0" w:line="560" w:lineRule="atLeast"/>
      </w:pPr>
      <w:r>
        <w:rPr>
          <w:rFonts w:hint="eastAsia"/>
          <w:shd w:val="clear" w:color="auto" w:fill="ffffff"/>
        </w:rPr>
        <w:t xml:space="preserve">本公司（单位）对上述声明内容的真实性负责。如有虚假，愿承担相应法律责任。</w:t>
      </w:r>
      <w:r/>
    </w:p>
    <w:p>
      <w:pPr>
        <w:pStyle w:val="701"/>
        <w:spacing w:before="30" w:beforeAutospacing="0" w:after="30" w:afterAutospacing="0" w:line="0" w:lineRule="atLeast"/>
      </w:pPr>
      <w:r/>
      <w:r/>
    </w:p>
    <w:p>
      <w:pPr>
        <w:pStyle w:val="701"/>
        <w:spacing w:before="30" w:beforeAutospacing="0" w:after="30" w:afterAutospacing="0" w:line="0" w:lineRule="atLeast"/>
      </w:pPr>
      <w:r/>
      <w:r/>
    </w:p>
    <w:p>
      <w:pPr>
        <w:pStyle w:val="701"/>
        <w:spacing w:before="30" w:beforeAutospacing="0" w:after="30" w:afterAutospacing="0" w:line="0" w:lineRule="atLeast"/>
      </w:pPr>
      <w:r/>
      <w:r/>
    </w:p>
    <w:p>
      <w:pPr>
        <w:pStyle w:val="701"/>
        <w:spacing w:before="30" w:beforeAutospacing="0" w:after="30" w:afterAutospacing="0" w:line="0" w:lineRule="atLeast"/>
      </w:pPr>
      <w:r/>
      <w:r/>
    </w:p>
    <w:p>
      <w:pPr>
        <w:pStyle w:val="701"/>
        <w:spacing w:before="30" w:beforeAutospacing="0" w:after="30" w:afterAutospacing="0" w:line="0" w:lineRule="atLeast"/>
      </w:pPr>
      <w:r/>
      <w:r/>
    </w:p>
    <w:p>
      <w:pPr>
        <w:pStyle w:val="701"/>
        <w:spacing w:before="30" w:beforeAutospacing="0" w:after="30" w:afterAutospacing="0" w:line="0" w:lineRule="atLeast"/>
      </w:pPr>
      <w:r/>
      <w:r/>
    </w:p>
    <w:p>
      <w:pPr>
        <w:pStyle w:val="701"/>
        <w:spacing w:before="30" w:beforeAutospacing="0" w:after="30" w:afterAutospacing="0" w:line="0" w:lineRule="atLeast"/>
      </w:pPr>
      <w:r/>
      <w:r/>
    </w:p>
    <w:p>
      <w:pPr>
        <w:pStyle w:val="701"/>
        <w:ind w:right="480" w:firstLine="3720"/>
        <w:spacing w:before="30" w:beforeAutospacing="0" w:after="30" w:afterAutospacing="0" w:line="0" w:lineRule="atLeast"/>
        <w:rPr>
          <w:shd w:val="clear" w:color="auto" w:fill="ffffff"/>
        </w:rPr>
      </w:pPr>
      <w:r>
        <w:rPr>
          <w:shd w:val="clear" w:color="auto" w:fill="ffffff"/>
        </w:rPr>
      </w:r>
      <w:r/>
    </w:p>
    <w:p>
      <w:pPr>
        <w:pStyle w:val="701"/>
        <w:ind w:right="480" w:firstLine="4728"/>
        <w:spacing w:before="30" w:beforeAutospacing="0" w:after="30" w:afterAutospacing="0" w:line="0" w:lineRule="atLeast"/>
        <w:rPr>
          <w:rFonts w:hint="eastAsia"/>
          <w:shd w:val="clear" w:color="auto" w:fill="ffffff"/>
        </w:rPr>
      </w:pPr>
      <w:r>
        <w:rPr>
          <w:rFonts w:hint="eastAsia"/>
          <w:shd w:val="clear" w:color="auto" w:fill="ffffff"/>
        </w:rPr>
        <w:t xml:space="preserve">公司（单位）名称（电子签章）：</w:t>
      </w:r>
      <w:r/>
    </w:p>
    <w:p>
      <w:pPr>
        <w:pStyle w:val="701"/>
        <w:ind w:right="480" w:firstLine="3720"/>
        <w:spacing w:before="30" w:beforeAutospacing="0" w:after="30" w:afterAutospacing="0" w:line="0" w:lineRule="atLeast"/>
        <w:rPr>
          <w:rFonts w:hint="eastAsia"/>
          <w:shd w:val="clear" w:color="auto" w:fill="ffffff"/>
        </w:rPr>
      </w:pPr>
      <w:r>
        <w:rPr>
          <w:rFonts w:hint="eastAsia"/>
          <w:shd w:val="clear" w:color="auto" w:fill="ffffff"/>
        </w:rPr>
      </w:r>
      <w:r/>
    </w:p>
    <w:p>
      <w:pPr>
        <w:pStyle w:val="701"/>
        <w:jc w:val="center"/>
        <w:spacing w:before="30" w:beforeAutospacing="0" w:after="30" w:afterAutospacing="0" w:line="0" w:lineRule="atLeast"/>
        <w:rPr>
          <w:rFonts w:hint="eastAsia" w:ascii="方正魏碑_GBK" w:hAnsi="方正魏碑_GBK" w:eastAsia="宋体" w:cs="方正魏碑_GBK"/>
          <w:color w:val="ff0000"/>
          <w:shd w:val="clear" w:color="auto" w:fill="ffffff"/>
          <w:lang w:eastAsia="zh-CN"/>
        </w:rPr>
      </w:pPr>
      <w:r>
        <w:rPr>
          <w:rFonts w:hint="eastAsia"/>
          <w:shd w:val="clear" w:color="auto" w:fill="ffffff"/>
        </w:rPr>
        <w:t xml:space="preserve">                                日期：</w:t>
      </w:r>
      <w:r>
        <w:rPr>
          <w:rFonts w:hint="eastAsia"/>
          <w:shd w:val="clear" w:color="auto" w:fill="ffffff"/>
          <w:lang w:val="en-US" w:eastAsia="zh-CN"/>
        </w:rPr>
        <w:t xml:space="preserve">     </w:t>
      </w:r>
      <w:r>
        <w:rPr>
          <w:rFonts w:hint="eastAsia"/>
          <w:shd w:val="clear" w:color="auto" w:fill="ffffff"/>
        </w:rPr>
        <w:t xml:space="preserve">年</w:t>
      </w:r>
      <w:r>
        <w:rPr>
          <w:rFonts w:hint="eastAsia"/>
          <w:shd w:val="clear" w:color="auto" w:fill="ffffff"/>
          <w:lang w:val="en-US" w:eastAsia="zh-CN"/>
        </w:rPr>
        <w:t xml:space="preserve">    </w:t>
      </w:r>
      <w:r>
        <w:rPr>
          <w:rFonts w:hint="eastAsia"/>
          <w:shd w:val="clear" w:color="auto" w:fill="ffffff"/>
        </w:rPr>
        <w:t xml:space="preserve">月　</w:t>
      </w:r>
      <w:r>
        <w:rPr>
          <w:rFonts w:hint="eastAsia"/>
          <w:shd w:val="clear" w:color="auto" w:fill="ffffff"/>
          <w:lang w:val="en-US" w:eastAsia="zh-CN"/>
        </w:rPr>
        <w:t xml:space="preserve">    </w:t>
      </w:r>
      <w:r>
        <w:rPr>
          <w:rFonts w:hint="eastAsia"/>
          <w:shd w:val="clear" w:color="auto" w:fill="ffffff"/>
        </w:rPr>
        <w:t xml:space="preserve">日</w:t>
      </w:r>
      <w:r>
        <w:rPr>
          <w:rFonts w:hint="eastAsia"/>
          <w:shd w:val="clear" w:color="auto" w:fill="ffffff"/>
          <w:lang w:val="en-US" w:eastAsia="zh-CN"/>
        </w:rPr>
        <w:t xml:space="preserve"> </w:t>
      </w:r>
      <w:r/>
    </w:p>
    <w:p>
      <w:pPr>
        <w:pStyle w:val="701"/>
        <w:jc w:val="center"/>
        <w:spacing w:before="30" w:beforeAutospacing="0" w:after="30" w:afterAutospacing="0" w:line="0" w:lineRule="atLeast"/>
        <w:rPr>
          <w:rFonts w:ascii="方正魏碑_GBK" w:hAnsi="方正魏碑_GBK" w:eastAsia="方正魏碑_GBK" w:cs="方正魏碑_GBK"/>
          <w:color w:val="ff0000"/>
          <w:shd w:val="clear" w:color="auto" w:fill="ffffff"/>
        </w:rPr>
      </w:pPr>
      <w:r>
        <w:rPr>
          <w:rFonts w:ascii="方正魏碑_GBK" w:hAnsi="方正魏碑_GBK" w:eastAsia="方正魏碑_GBK" w:cs="方正魏碑_GBK"/>
          <w:color w:val="ff0000"/>
          <w:shd w:val="clear" w:color="auto" w:fill="ffffff"/>
        </w:rPr>
      </w:r>
      <w:r/>
    </w:p>
    <w:p>
      <w:pPr>
        <w:pStyle w:val="701"/>
        <w:jc w:val="center"/>
        <w:spacing w:before="30" w:beforeAutospacing="0" w:after="30" w:afterAutospacing="0" w:line="0" w:lineRule="atLeast"/>
        <w:rPr>
          <w:rFonts w:ascii="方正魏碑_GBK" w:hAnsi="方正魏碑_GBK" w:eastAsia="方正魏碑_GBK" w:cs="方正魏碑_GBK"/>
          <w:color w:val="ff0000"/>
          <w:shd w:val="clear" w:color="auto" w:fill="ffffff"/>
        </w:rPr>
      </w:pPr>
      <w:r>
        <w:rPr>
          <w:rFonts w:ascii="方正魏碑_GBK" w:hAnsi="方正魏碑_GBK" w:eastAsia="方正魏碑_GBK" w:cs="方正魏碑_GBK"/>
          <w:color w:val="ff0000"/>
          <w:shd w:val="clear" w:color="auto" w:fill="ffffff"/>
        </w:rPr>
      </w:r>
      <w:r/>
    </w:p>
    <w:p>
      <w:pPr>
        <w:pStyle w:val="701"/>
        <w:jc w:val="center"/>
        <w:spacing w:before="30" w:beforeAutospacing="0" w:after="30" w:afterAutospacing="0" w:line="0" w:lineRule="atLeast"/>
        <w:rPr>
          <w:rFonts w:ascii="方正魏碑_GBK" w:hAnsi="方正魏碑_GBK" w:eastAsia="方正魏碑_GBK" w:cs="方正魏碑_GBK"/>
          <w:color w:val="ff0000"/>
          <w:shd w:val="clear" w:color="auto" w:fill="ffffff"/>
        </w:rPr>
      </w:pPr>
      <w:r>
        <w:rPr>
          <w:rFonts w:ascii="方正魏碑_GBK" w:hAnsi="方正魏碑_GBK" w:eastAsia="方正魏碑_GBK" w:cs="方正魏碑_GBK"/>
          <w:color w:val="ff0000"/>
          <w:shd w:val="clear" w:color="auto" w:fill="ffffff"/>
        </w:rPr>
      </w:r>
      <w:r/>
    </w:p>
    <w:p>
      <w:pPr>
        <w:pStyle w:val="701"/>
        <w:jc w:val="center"/>
        <w:spacing w:before="30" w:beforeAutospacing="0" w:after="30" w:afterAutospacing="0" w:line="0" w:lineRule="atLeast"/>
        <w:rPr>
          <w:rFonts w:ascii="方正魏碑_GBK" w:hAnsi="方正魏碑_GBK" w:eastAsia="方正魏碑_GBK" w:cs="方正魏碑_GBK"/>
          <w:color w:val="ff0000"/>
          <w:shd w:val="clear" w:color="auto" w:fill="ffffff"/>
        </w:rPr>
      </w:pPr>
      <w:r>
        <w:rPr>
          <w:rFonts w:ascii="方正魏碑_GBK" w:hAnsi="方正魏碑_GBK" w:eastAsia="方正魏碑_GBK" w:cs="方正魏碑_GBK"/>
          <w:color w:val="ff0000"/>
          <w:shd w:val="clear" w:color="auto" w:fill="ffffff"/>
        </w:rPr>
      </w:r>
      <w:r/>
    </w:p>
    <w:p>
      <w:pPr>
        <w:pStyle w:val="701"/>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p>
    <w:tbl>
      <w:tblPr>
        <w:tblStyle w:val="703"/>
        <w:tblpPr w:horzAnchor="page" w:tblpX="1667" w:vertAnchor="text" w:tblpY="176" w:leftFromText="180" w:topFromText="0" w:rightFromText="180" w:bottomFromText="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10"/>
      </w:tblGrid>
      <w:tr>
        <w:trPr/>
        <w:tc>
          <w:tcPr>
            <w:tcW w:w="9026" w:type="dxa"/>
            <w:textDirection w:val="lrTb"/>
            <w:noWrap w:val="false"/>
          </w:tcPr>
          <w:p>
            <w:pPr>
              <w:pStyle w:val="701"/>
              <w:spacing w:before="30" w:beforeAutospacing="0" w:after="30" w:afterAutospacing="0" w:line="0" w:lineRule="atLeast"/>
              <w:rPr>
                <w:rFonts w:ascii="黑体" w:hAnsi="黑体" w:eastAsia="黑体" w:cs="黑体"/>
                <w:sz w:val="20"/>
                <w:szCs w:val="20"/>
              </w:rPr>
            </w:pPr>
            <w:r>
              <w:rPr>
                <w:rFonts w:hint="eastAsia" w:ascii="黑体" w:hAnsi="黑体" w:eastAsia="黑体" w:cs="黑体"/>
                <w:sz w:val="20"/>
                <w:szCs w:val="20"/>
                <w:shd w:val="clear" w:color="auto" w:fill="ffffff"/>
              </w:rPr>
              <w:t xml:space="preserve">1.产品如有型号，请在“产品名称”栏一并填写。</w:t>
            </w:r>
            <w:r/>
          </w:p>
          <w:p>
            <w:pPr>
              <w:pStyle w:val="701"/>
              <w:spacing w:before="30" w:beforeAutospacing="0" w:after="30" w:afterAutospacing="0" w:line="0" w:lineRule="atLeast"/>
              <w:rPr>
                <w:rFonts w:ascii="黑体" w:hAnsi="黑体" w:eastAsia="黑体" w:cs="黑体"/>
                <w:sz w:val="20"/>
                <w:szCs w:val="20"/>
              </w:rPr>
            </w:pPr>
            <w:r>
              <w:rPr>
                <w:rFonts w:hint="eastAsia" w:ascii="黑体" w:hAnsi="黑体" w:eastAsia="黑体" w:cs="黑体"/>
                <w:sz w:val="20"/>
                <w:szCs w:val="20"/>
                <w:shd w:val="clear" w:color="auto" w:fill="ffffff"/>
              </w:rPr>
              <w:t xml:space="preserve">2.生产厂名与厂址应与生产厂营业执照载明的相关信息保持一致。</w:t>
            </w:r>
            <w:r/>
          </w:p>
          <w:p>
            <w:pPr>
              <w:pStyle w:val="701"/>
              <w:spacing w:before="30" w:beforeAutospacing="0" w:after="30" w:afterAutospacing="0" w:line="0" w:lineRule="atLeast"/>
              <w:rPr>
                <w:rFonts w:ascii="黑体" w:hAnsi="黑体" w:eastAsia="黑体" w:cs="黑体"/>
                <w:sz w:val="20"/>
                <w:szCs w:val="20"/>
              </w:rPr>
            </w:pPr>
            <w:r>
              <w:rPr>
                <w:rFonts w:hint="eastAsia" w:ascii="黑体" w:hAnsi="黑体" w:eastAsia="黑体" w:cs="黑体"/>
                <w:sz w:val="20"/>
                <w:szCs w:val="20"/>
                <w:shd w:val="clear" w:color="auto" w:fill="ffffff"/>
              </w:rPr>
              <w:t xml:space="preserve">3.该产品的中国境内生产的组件成本占比相关要求实施前，“规定比例”栏可不填，下同。</w:t>
            </w:r>
            <w:r/>
          </w:p>
          <w:p>
            <w:pPr>
              <w:pStyle w:val="701"/>
              <w:spacing w:before="30" w:beforeAutospacing="0" w:after="30" w:afterAutospacing="0" w:line="0" w:lineRule="atLeast"/>
              <w:rPr>
                <w:rFonts w:ascii="黑体" w:hAnsi="黑体" w:eastAsia="黑体" w:cs="黑体"/>
                <w:sz w:val="20"/>
                <w:szCs w:val="20"/>
              </w:rPr>
            </w:pPr>
            <w:r>
              <w:rPr>
                <w:rFonts w:hint="eastAsia" w:ascii="黑体" w:hAnsi="黑体" w:eastAsia="黑体" w:cs="黑体"/>
                <w:sz w:val="20"/>
                <w:szCs w:val="20"/>
                <w:shd w:val="clear" w:color="auto" w:fill="ffffff"/>
              </w:rPr>
              <w:t xml:space="preserve">4.该产品的关键组件要求实施前，“关键组件”栏可不填，下同。</w:t>
            </w:r>
            <w:r/>
          </w:p>
          <w:p>
            <w:pPr>
              <w:pStyle w:val="701"/>
              <w:spacing w:before="30" w:beforeAutospacing="0" w:after="30" w:afterAutospacing="0" w:line="0" w:lineRule="atLeast"/>
              <w:rPr>
                <w:rFonts w:ascii="黑体" w:hAnsi="黑体" w:eastAsia="黑体" w:cs="黑体"/>
                <w:sz w:val="20"/>
                <w:szCs w:val="20"/>
                <w:shd w:val="clear" w:color="auto" w:fill="ffffff"/>
              </w:rPr>
            </w:pPr>
            <w:r>
              <w:rPr>
                <w:rFonts w:hint="eastAsia" w:ascii="黑体" w:hAnsi="黑体" w:eastAsia="黑体" w:cs="黑体"/>
                <w:sz w:val="20"/>
                <w:szCs w:val="20"/>
                <w:shd w:val="clear" w:color="auto" w:fill="ffffff"/>
              </w:rPr>
              <w:t xml:space="preserve">5.该产品的关键工序要求实施前，“关键工序”栏可不填，下同。</w:t>
            </w:r>
            <w:r/>
          </w:p>
          <w:p>
            <w:pPr>
              <w:pStyle w:val="701"/>
              <w:spacing w:before="30" w:beforeAutospacing="0" w:after="30" w:afterAutospacing="0" w:line="0" w:lineRule="atLeast"/>
              <w:rPr>
                <w:rFonts w:hint="eastAsia" w:ascii="黑体" w:hAnsi="黑体" w:eastAsia="黑体" w:cs="黑体"/>
                <w:sz w:val="20"/>
                <w:szCs w:val="20"/>
                <w:shd w:val="clear" w:color="auto" w:fill="ffffff"/>
              </w:rPr>
            </w:pPr>
            <w:r>
              <w:rPr>
                <w:rFonts w:hint="eastAsia" w:ascii="黑体" w:hAnsi="黑体" w:eastAsia="黑体" w:cs="黑体"/>
                <w:sz w:val="20"/>
                <w:szCs w:val="20"/>
                <w:shd w:val="clear" w:color="auto" w:fill="ffffff"/>
              </w:rPr>
              <w:t xml:space="preserve">6.用斜线划除的地方无需填写。</w:t>
            </w:r>
            <w:r>
              <w:rPr>
                <w:rFonts w:ascii="黑体" w:hAnsi="黑体" w:eastAsia="黑体" w:cs="黑体"/>
                <w:sz w:val="20"/>
                <w:szCs w:val="20"/>
                <w:shd w:val="clear" w:color="auto" w:fill="ffffff"/>
              </w:rPr>
            </w:r>
            <w:r/>
          </w:p>
          <w:p>
            <w:pPr>
              <w:pStyle w:val="701"/>
              <w:spacing w:before="30" w:beforeAutospacing="0" w:after="30" w:afterAutospacing="0" w:line="0" w:lineRule="atLeast"/>
              <w:rPr>
                <w:rFonts w:ascii="黑体" w:hAnsi="黑体" w:eastAsia="黑体" w:cs="黑体"/>
                <w:sz w:val="20"/>
                <w:szCs w:val="20"/>
              </w:rPr>
            </w:pPr>
            <w:r>
              <w:rPr>
                <w:rFonts w:hint="eastAsia" w:ascii="黑体" w:hAnsi="黑体" w:eastAsia="黑体" w:cs="黑体"/>
                <w:sz w:val="20"/>
                <w:szCs w:val="20"/>
                <w:shd w:val="clear" w:color="auto" w:fill="ffffff"/>
              </w:rPr>
              <w:t xml:space="preserve">7</w:t>
            </w:r>
            <w:r>
              <w:rPr>
                <w:rFonts w:hint="eastAsia" w:ascii="黑体" w:hAnsi="黑体" w:eastAsia="黑体" w:cs="黑体"/>
                <w:sz w:val="20"/>
                <w:szCs w:val="20"/>
                <w:shd w:val="clear" w:color="auto" w:fill="ffffff"/>
              </w:rPr>
              <w:t xml:space="preserve">.</w:t>
            </w:r>
            <w:r>
              <w:rPr>
                <w:rFonts w:ascii="SimHei" w:hAnsi="SimHei" w:eastAsia="SimHei" w:cs="SimHei"/>
                <w:b/>
                <w:color w:val="000000"/>
                <w:sz w:val="22"/>
              </w:rPr>
              <w:t xml:space="preserve">取得药品监督管理部门授予的准字号医疗器械注册证的，属于在中国境内生产的产品</w:t>
            </w:r>
            <w:r>
              <w:rPr>
                <w:rFonts w:ascii="SimHei" w:hAnsi="SimHei" w:eastAsia="SimHei" w:cs="SimHei"/>
                <w:b/>
                <w:color w:val="000000"/>
                <w:sz w:val="22"/>
              </w:rPr>
              <w:t xml:space="preserve">。</w:t>
            </w:r>
            <w:r/>
          </w:p>
        </w:tc>
      </w:tr>
    </w:tbl>
    <w:p>
      <w:pPr>
        <w:pStyle w:val="683"/>
        <w:rPr>
          <w:rFonts w:cs="宋体"/>
          <w:sz w:val="22"/>
          <w:szCs w:val="22"/>
        </w:rPr>
      </w:pPr>
      <w:r>
        <w:rPr>
          <w:rFonts w:cs="宋体"/>
          <w:sz w:val="22"/>
          <w:szCs w:val="22"/>
        </w:rPr>
      </w:r>
      <w:r/>
    </w:p>
    <w:p>
      <w:pPr>
        <w:pStyle w:val="683"/>
        <w:rPr>
          <w:rFonts w:cs="宋体"/>
          <w:sz w:val="22"/>
          <w:szCs w:val="22"/>
        </w:rPr>
      </w:pPr>
      <w:r>
        <w:rPr>
          <w:rFonts w:cs="宋体"/>
          <w:sz w:val="22"/>
          <w:szCs w:val="22"/>
        </w:rPr>
      </w:r>
      <w:r/>
    </w:p>
    <w:p>
      <w:pPr>
        <w:pStyle w:val="683"/>
        <w:rPr>
          <w:rFonts w:cs="宋体"/>
          <w:sz w:val="22"/>
          <w:szCs w:val="22"/>
        </w:rPr>
      </w:pPr>
      <w:r>
        <w:rPr>
          <w:rFonts w:cs="宋体"/>
          <w:sz w:val="22"/>
          <w:szCs w:val="22"/>
        </w:rPr>
      </w:r>
      <w:r/>
    </w:p>
    <w:p>
      <w:pPr>
        <w:pStyle w:val="683"/>
        <w:rPr>
          <w:rFonts w:cs="宋体"/>
          <w:sz w:val="22"/>
          <w:szCs w:val="22"/>
        </w:rPr>
      </w:pPr>
      <w:r>
        <w:rPr>
          <w:rFonts w:cs="宋体"/>
          <w:sz w:val="22"/>
          <w:szCs w:val="22"/>
        </w:rPr>
      </w:r>
      <w:r/>
    </w:p>
    <w:p>
      <w:pPr>
        <w:pStyle w:val="683"/>
        <w:rPr>
          <w:rFonts w:cs="宋体"/>
          <w:sz w:val="22"/>
          <w:szCs w:val="22"/>
        </w:rPr>
      </w:pPr>
      <w:r>
        <w:rPr>
          <w:rFonts w:cs="宋体"/>
          <w:sz w:val="22"/>
          <w:szCs w:val="22"/>
        </w:rPr>
      </w:r>
      <w:r/>
    </w:p>
    <w:p>
      <w:pPr>
        <w:pStyle w:val="931"/>
        <w:ind w:firstLine="440"/>
        <w:rPr>
          <w:rFonts w:ascii="宋体" w:hAnsi="宋体" w:cs="宋体"/>
          <w:sz w:val="22"/>
          <w:szCs w:val="22"/>
        </w:rPr>
      </w:pPr>
      <w:r>
        <w:rPr>
          <w:rFonts w:ascii="宋体" w:hAnsi="宋体" w:cs="宋体"/>
          <w:sz w:val="22"/>
          <w:szCs w:val="22"/>
        </w:rPr>
      </w:r>
      <w:r/>
    </w:p>
    <w:p>
      <w:pPr>
        <w:pStyle w:val="931"/>
        <w:jc w:val="center"/>
        <w:rPr>
          <w:rFonts w:ascii="黑体" w:hAnsi="黑体" w:eastAsia="黑体" w:cs="黑体"/>
          <w:b/>
          <w:bCs/>
          <w:sz w:val="28"/>
          <w:szCs w:val="22"/>
        </w:rPr>
      </w:pPr>
      <w:r>
        <w:rPr>
          <w:rFonts w:hint="eastAsia" w:ascii="黑体" w:hAnsi="黑体" w:eastAsia="黑体" w:cs="黑体"/>
          <w:b/>
          <w:bCs/>
          <w:sz w:val="24"/>
          <w:szCs w:val="20"/>
        </w:rPr>
        <w:t xml:space="preserve">备注：以上内容，如含有排除或限制市场竞争的内容，请与我单位反映。</w:t>
      </w:r>
      <w:r/>
    </w:p>
    <w:p>
      <w:pPr>
        <w:jc w:val="center"/>
        <w:spacing w:line="360" w:lineRule="auto"/>
        <w:rPr>
          <w:rFonts w:ascii="宋体" w:hAnsi="宋体" w:cs="宋体"/>
          <w:b/>
          <w:bCs/>
          <w:sz w:val="24"/>
          <w:szCs w:val="21"/>
        </w:rPr>
      </w:pPr>
      <w:r>
        <w:rPr>
          <w:rFonts w:ascii="宋体" w:hAnsi="宋体" w:cs="宋体"/>
          <w:b/>
          <w:bCs/>
          <w:sz w:val="24"/>
          <w:szCs w:val="21"/>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Segoe UI" w:hAnsi="Segoe UI" w:cs="Segoe UI"/>
          <w:szCs w:val="21"/>
        </w:rPr>
      </w:pPr>
      <w:r>
        <w:rPr>
          <w:rFonts w:ascii="Segoe UI" w:hAnsi="Segoe UI" w:cs="Segoe UI"/>
          <w:szCs w:val="21"/>
        </w:rPr>
      </w:r>
      <w:r/>
    </w:p>
    <w:p>
      <w:pPr>
        <w:jc w:val="center"/>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sectPr>
      <w:footnotePr/>
      <w:endnotePr/>
      <w:type w:val="nextPage"/>
      <w:pgSz w:w="11906" w:h="16838" w:orient="portrait"/>
      <w:pgMar w:top="1440" w:right="1463" w:bottom="1440" w:left="1633"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imHei">
    <w:panose1 w:val="02010609060101010101"/>
  </w:font>
  <w:font w:name="仿宋">
    <w:panose1 w:val="02010609060101010101"/>
  </w:font>
  <w:font w:name="iconfont">
    <w:panose1 w:val="020B0503020202020204"/>
  </w:font>
  <w:font w:name="微软雅黑">
    <w:panose1 w:val="020B050302020402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华文中宋">
    <w:panose1 w:val="02010600040101010101"/>
  </w:font>
  <w:font w:name="黑体">
    <w:panose1 w:val="02010609060101010101"/>
  </w:font>
  <w:font w:name="楷体_GB2312">
    <w:panose1 w:val="02010609060101010101"/>
  </w:font>
  <w:font w:name="Arial">
    <w:panose1 w:val="020B0604020202020204"/>
  </w:font>
  <w:font w:name="华文宋体">
    <w:panose1 w:val="02010600040101010101"/>
  </w:font>
  <w:font w:name="monospace">
    <w:panose1 w:val="020B0503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pPr>
    <w:fldSimple w:instr="PAGE \* MERGEFORMAT">
      <w:r>
        <w:t xml:space="preserve">1</w:t>
      </w:r>
    </w:fldSimple>
    <w:r/>
    <w:r/>
  </w:p>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0">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1">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2">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3">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4">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5">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56">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57">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58">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59">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0">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1">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2">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3">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4">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5">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6">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67">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68">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69">
    <w:name w:val="TOC Heading"/>
    <w:uiPriority w:val="39"/>
    <w:unhideWhenUsed/>
  </w:style>
  <w:style w:type="paragraph" w:styleId="67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71">
    <w:name w:val="Heading 1"/>
    <w:basedOn w:val="670"/>
    <w:next w:val="670"/>
    <w:link w:val="789"/>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90"/>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91"/>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92"/>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93"/>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94"/>
    <w:uiPriority w:val="9"/>
    <w:unhideWhenUsed/>
    <w:qFormat/>
    <w:pPr>
      <w:keepLines/>
      <w:keepNext/>
      <w:spacing w:before="320" w:after="200"/>
      <w:outlineLvl w:val="5"/>
    </w:pPr>
    <w:rPr>
      <w:rFonts w:ascii="Arial" w:hAnsi="Arial" w:eastAsia="Arial" w:cs="Arial"/>
      <w:b/>
      <w:bCs/>
      <w:sz w:val="22"/>
    </w:rPr>
  </w:style>
  <w:style w:type="paragraph" w:styleId="677">
    <w:name w:val="Heading 7"/>
    <w:basedOn w:val="670"/>
    <w:next w:val="670"/>
    <w:link w:val="795"/>
    <w:uiPriority w:val="9"/>
    <w:unhideWhenUsed/>
    <w:qFormat/>
    <w:pPr>
      <w:keepLines/>
      <w:keepNext/>
      <w:spacing w:before="320" w:after="200"/>
      <w:outlineLvl w:val="6"/>
    </w:pPr>
    <w:rPr>
      <w:rFonts w:ascii="Arial" w:hAnsi="Arial" w:eastAsia="Arial" w:cs="Arial"/>
      <w:b/>
      <w:bCs/>
      <w:i/>
      <w:iCs/>
      <w:sz w:val="22"/>
    </w:rPr>
  </w:style>
  <w:style w:type="paragraph" w:styleId="678">
    <w:name w:val="Heading 8"/>
    <w:basedOn w:val="670"/>
    <w:next w:val="670"/>
    <w:link w:val="796"/>
    <w:uiPriority w:val="9"/>
    <w:unhideWhenUsed/>
    <w:qFormat/>
    <w:pPr>
      <w:keepLines/>
      <w:keepNext/>
      <w:spacing w:before="320" w:after="200"/>
      <w:outlineLvl w:val="7"/>
    </w:pPr>
    <w:rPr>
      <w:rFonts w:ascii="Arial" w:hAnsi="Arial" w:eastAsia="Arial" w:cs="Arial"/>
      <w:i/>
      <w:iCs/>
      <w:sz w:val="22"/>
    </w:rPr>
  </w:style>
  <w:style w:type="paragraph" w:styleId="679">
    <w:name w:val="Heading 9"/>
    <w:basedOn w:val="670"/>
    <w:next w:val="670"/>
    <w:link w:val="797"/>
    <w:uiPriority w:val="9"/>
    <w:unhideWhenUsed/>
    <w:qFormat/>
    <w:pPr>
      <w:keepLines/>
      <w:keepNext/>
      <w:spacing w:before="320" w:after="200"/>
      <w:outlineLvl w:val="8"/>
    </w:pPr>
    <w:rPr>
      <w:rFonts w:ascii="Arial" w:hAnsi="Arial" w:eastAsia="Arial" w:cs="Arial"/>
      <w:i/>
      <w:iCs/>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spacing w:after="57"/>
    </w:pPr>
  </w:style>
  <w:style w:type="paragraph" w:styleId="683">
    <w:name w:val="Normal Indent"/>
    <w:basedOn w:val="670"/>
    <w:uiPriority w:val="0"/>
    <w:qFormat/>
    <w:pPr>
      <w:ind w:left="359"/>
      <w:spacing w:line="360" w:lineRule="auto"/>
    </w:pPr>
    <w:rPr>
      <w:rFonts w:ascii="宋体" w:hAnsi="宋体"/>
      <w:szCs w:val="21"/>
    </w:rPr>
  </w:style>
  <w:style w:type="paragraph" w:styleId="684">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Body Text"/>
    <w:basedOn w:val="670"/>
    <w:next w:val="686"/>
    <w:uiPriority w:val="99"/>
    <w:unhideWhenUsed/>
    <w:qFormat/>
    <w:pPr>
      <w:ind w:left="117"/>
      <w:jc w:val="left"/>
      <w:spacing w:before="86" w:after="160" w:line="278" w:lineRule="auto"/>
    </w:pPr>
    <w:rPr>
      <w:rFonts w:ascii="宋体" w:hAnsi="宋体"/>
      <w:sz w:val="24"/>
    </w:rPr>
  </w:style>
  <w:style w:type="paragraph" w:styleId="686">
    <w:name w:val="Subtitle"/>
    <w:basedOn w:val="670"/>
    <w:next w:val="670"/>
    <w:link w:val="749"/>
    <w:uiPriority w:val="11"/>
    <w:qFormat/>
    <w:pPr>
      <w:spacing w:before="200" w:after="200"/>
    </w:pPr>
    <w:rPr>
      <w:sz w:val="24"/>
      <w:szCs w:val="24"/>
    </w:rPr>
  </w:style>
  <w:style w:type="paragraph" w:styleId="687">
    <w:name w:val="toc 5"/>
    <w:basedOn w:val="670"/>
    <w:next w:val="670"/>
    <w:uiPriority w:val="39"/>
    <w:unhideWhenUsed/>
    <w:qFormat/>
    <w:pPr>
      <w:ind w:left="1134"/>
      <w:spacing w:after="57"/>
    </w:pPr>
  </w:style>
  <w:style w:type="paragraph" w:styleId="688">
    <w:name w:val="toc 3"/>
    <w:basedOn w:val="670"/>
    <w:next w:val="670"/>
    <w:uiPriority w:val="39"/>
    <w:unhideWhenUsed/>
    <w:qFormat/>
    <w:pPr>
      <w:ind w:left="567"/>
      <w:spacing w:after="57"/>
    </w:pPr>
  </w:style>
  <w:style w:type="paragraph" w:styleId="689">
    <w:name w:val="toc 8"/>
    <w:basedOn w:val="670"/>
    <w:next w:val="670"/>
    <w:uiPriority w:val="39"/>
    <w:unhideWhenUsed/>
    <w:qFormat/>
    <w:pPr>
      <w:ind w:left="1984"/>
      <w:spacing w:after="57"/>
    </w:pPr>
  </w:style>
  <w:style w:type="paragraph" w:styleId="690">
    <w:name w:val="endnote text"/>
    <w:basedOn w:val="670"/>
    <w:link w:val="755"/>
    <w:uiPriority w:val="99"/>
    <w:semiHidden/>
    <w:unhideWhenUsed/>
    <w:qFormat/>
    <w:rPr>
      <w:sz w:val="20"/>
    </w:rPr>
  </w:style>
  <w:style w:type="paragraph" w:styleId="691">
    <w:name w:val="Balloon Text"/>
    <w:basedOn w:val="670"/>
    <w:link w:val="1096"/>
    <w:uiPriority w:val="99"/>
    <w:semiHidden/>
    <w:unhideWhenUsed/>
    <w:qFormat/>
    <w:rPr>
      <w:sz w:val="18"/>
      <w:szCs w:val="18"/>
    </w:rPr>
  </w:style>
  <w:style w:type="paragraph" w:styleId="692">
    <w:name w:val="Footer"/>
    <w:basedOn w:val="670"/>
    <w:link w:val="808"/>
    <w:uiPriority w:val="99"/>
    <w:unhideWhenUsed/>
    <w:qFormat/>
    <w:pPr>
      <w:ind w:firstLine="440"/>
      <w:spacing w:line="360" w:lineRule="auto"/>
    </w:pPr>
    <w:rPr>
      <w:rFonts w:ascii="宋体" w:hAnsi="宋体" w:cs="宋体"/>
      <w:sz w:val="22"/>
    </w:rPr>
  </w:style>
  <w:style w:type="paragraph" w:styleId="693">
    <w:name w:val="Header"/>
    <w:basedOn w:val="670"/>
    <w:uiPriority w:val="99"/>
    <w:unhideWhenUsed/>
    <w:qFormat/>
    <w:pPr>
      <w:tabs>
        <w:tab w:val="center" w:pos="7143" w:leader="none"/>
        <w:tab w:val="right" w:pos="14287" w:leader="none"/>
      </w:tabs>
    </w:pPr>
  </w:style>
  <w:style w:type="paragraph" w:styleId="694">
    <w:name w:val="toc 1"/>
    <w:basedOn w:val="670"/>
    <w:next w:val="670"/>
    <w:uiPriority w:val="39"/>
    <w:unhideWhenUsed/>
    <w:qFormat/>
    <w:pPr>
      <w:spacing w:after="57"/>
    </w:pPr>
  </w:style>
  <w:style w:type="paragraph" w:styleId="695">
    <w:name w:val="toc 4"/>
    <w:basedOn w:val="670"/>
    <w:next w:val="670"/>
    <w:uiPriority w:val="39"/>
    <w:unhideWhenUsed/>
    <w:qFormat/>
    <w:pPr>
      <w:ind w:left="850"/>
      <w:spacing w:after="57"/>
    </w:pPr>
  </w:style>
  <w:style w:type="paragraph" w:styleId="696">
    <w:name w:val="footnote text"/>
    <w:basedOn w:val="670"/>
    <w:link w:val="754"/>
    <w:uiPriority w:val="99"/>
    <w:semiHidden/>
    <w:unhideWhenUsed/>
    <w:qFormat/>
    <w:pPr>
      <w:spacing w:after="40"/>
    </w:pPr>
    <w:rPr>
      <w:sz w:val="18"/>
    </w:rPr>
  </w:style>
  <w:style w:type="paragraph" w:styleId="697">
    <w:name w:val="toc 6"/>
    <w:basedOn w:val="670"/>
    <w:next w:val="670"/>
    <w:uiPriority w:val="39"/>
    <w:unhideWhenUsed/>
    <w:qFormat/>
    <w:pPr>
      <w:ind w:left="1417"/>
      <w:spacing w:after="57"/>
    </w:pPr>
  </w:style>
  <w:style w:type="paragraph" w:styleId="698">
    <w:name w:val="table of figures"/>
    <w:basedOn w:val="670"/>
    <w:next w:val="670"/>
    <w:uiPriority w:val="99"/>
    <w:unhideWhenUsed/>
    <w:qFormat/>
  </w:style>
  <w:style w:type="paragraph" w:styleId="699">
    <w:name w:val="toc 2"/>
    <w:basedOn w:val="670"/>
    <w:next w:val="670"/>
    <w:uiPriority w:val="39"/>
    <w:unhideWhenUsed/>
    <w:qFormat/>
    <w:pPr>
      <w:ind w:left="283"/>
      <w:spacing w:after="57"/>
    </w:pPr>
  </w:style>
  <w:style w:type="paragraph" w:styleId="700">
    <w:name w:val="toc 9"/>
    <w:basedOn w:val="670"/>
    <w:next w:val="670"/>
    <w:uiPriority w:val="39"/>
    <w:unhideWhenUsed/>
    <w:qFormat/>
    <w:pPr>
      <w:ind w:left="2268"/>
      <w:spacing w:after="57"/>
    </w:pPr>
  </w:style>
  <w:style w:type="paragraph" w:styleId="701">
    <w:name w:val="Normal (Web)"/>
    <w:basedOn w:val="670"/>
    <w:uiPriority w:val="99"/>
    <w:qFormat/>
    <w:pPr>
      <w:jc w:val="left"/>
      <w:spacing w:before="100" w:beforeAutospacing="1" w:after="100" w:afterAutospacing="1"/>
      <w:widowControl/>
    </w:pPr>
    <w:rPr>
      <w:rFonts w:ascii="宋体" w:hAnsi="宋体" w:cs="宋体"/>
      <w:sz w:val="24"/>
      <w:szCs w:val="24"/>
    </w:rPr>
  </w:style>
  <w:style w:type="paragraph" w:styleId="702">
    <w:name w:val="Title"/>
    <w:basedOn w:val="670"/>
    <w:next w:val="670"/>
    <w:link w:val="748"/>
    <w:uiPriority w:val="10"/>
    <w:qFormat/>
    <w:pPr>
      <w:contextualSpacing/>
      <w:spacing w:before="300" w:after="200"/>
    </w:pPr>
    <w:rPr>
      <w:sz w:val="48"/>
      <w:szCs w:val="48"/>
    </w:rPr>
  </w:style>
  <w:style w:type="table" w:styleId="7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Emphasis"/>
    <w:uiPriority w:val="0"/>
    <w:qFormat/>
    <w:rPr>
      <w:i/>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table" w:styleId="708" w:customStyle="1">
    <w:name w:val="无格式表格 11"/>
    <w:basedOn w:val="681"/>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无格式表格 21"/>
    <w:basedOn w:val="681"/>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无格式表格 31"/>
    <w:basedOn w:val="6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无格式表格 41"/>
    <w:basedOn w:val="6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无格式表格 51"/>
    <w:basedOn w:val="6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网格表 1 浅色1"/>
    <w:basedOn w:val="681"/>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网格表 21"/>
    <w:basedOn w:val="681"/>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网格表 31"/>
    <w:basedOn w:val="681"/>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网格表 41"/>
    <w:basedOn w:val="681"/>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customStyle="1">
    <w:name w:val="网格表 5 深色1"/>
    <w:basedOn w:val="681"/>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8" w:customStyle="1">
    <w:name w:val="网格表 6 彩色1"/>
    <w:basedOn w:val="681"/>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9" w:customStyle="1">
    <w:name w:val="网格表 7 彩色1"/>
    <w:basedOn w:val="681"/>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0" w:customStyle="1">
    <w:name w:val="清单表 1 浅色1"/>
    <w:basedOn w:val="68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customStyle="1">
    <w:name w:val="清单表 21"/>
    <w:basedOn w:val="681"/>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2" w:customStyle="1">
    <w:name w:val="清单表 31"/>
    <w:basedOn w:val="681"/>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3" w:customStyle="1">
    <w:name w:val="清单表 41"/>
    <w:basedOn w:val="681"/>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4" w:customStyle="1">
    <w:name w:val="清单表 5 深色1"/>
    <w:basedOn w:val="681"/>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5" w:customStyle="1">
    <w:name w:val="清单表 6 彩色1"/>
    <w:basedOn w:val="681"/>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6" w:customStyle="1">
    <w:name w:val="清单表 7 彩色1"/>
    <w:basedOn w:val="681"/>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7" w:customStyle="1">
    <w:name w:val="TOC 标题1"/>
    <w:uiPriority w:val="39"/>
    <w:unhideWhenUsed/>
    <w:qFormat/>
    <w:rPr>
      <w:rFonts w:ascii="Times New Roman" w:hAnsi="Times New Roman" w:eastAsia="宋体" w:cs="Times New Roman"/>
      <w:lang w:val="en-US" w:eastAsia="zh-CN" w:bidi="ar-SA"/>
    </w:rPr>
  </w:style>
  <w:style w:type="paragraph" w:styleId="728" w:customStyle="1">
    <w:name w:val="首行缩进"/>
    <w:basedOn w:val="670"/>
    <w:uiPriority w:val="0"/>
    <w:qFormat/>
    <w:pPr>
      <w:ind w:firstLine="200"/>
    </w:pPr>
    <w:rPr>
      <w:szCs w:val="20"/>
      <w:lang w:val="zh-CN"/>
    </w:rPr>
  </w:style>
  <w:style w:type="character" w:styleId="729" w:customStyle="1">
    <w:name w:val="Heading 1 Char"/>
    <w:basedOn w:val="680"/>
    <w:uiPriority w:val="9"/>
    <w:qFormat/>
    <w:rPr>
      <w:rFonts w:ascii="Arial" w:hAnsi="Arial" w:eastAsia="Arial" w:cs="Arial"/>
      <w:sz w:val="40"/>
      <w:szCs w:val="40"/>
    </w:rPr>
  </w:style>
  <w:style w:type="character" w:styleId="730" w:customStyle="1">
    <w:name w:val="Heading 2 Char"/>
    <w:basedOn w:val="680"/>
    <w:uiPriority w:val="9"/>
    <w:qFormat/>
    <w:rPr>
      <w:rFonts w:ascii="Arial" w:hAnsi="Arial" w:eastAsia="Arial" w:cs="Arial"/>
      <w:sz w:val="34"/>
    </w:rPr>
  </w:style>
  <w:style w:type="character" w:styleId="731" w:customStyle="1">
    <w:name w:val="Heading 3 Char"/>
    <w:basedOn w:val="680"/>
    <w:uiPriority w:val="9"/>
    <w:qFormat/>
    <w:rPr>
      <w:rFonts w:ascii="Arial" w:hAnsi="Arial" w:eastAsia="Arial" w:cs="Arial"/>
      <w:sz w:val="30"/>
      <w:szCs w:val="30"/>
    </w:rPr>
  </w:style>
  <w:style w:type="character" w:styleId="732" w:customStyle="1">
    <w:name w:val="Heading 4 Char"/>
    <w:basedOn w:val="680"/>
    <w:uiPriority w:val="9"/>
    <w:qFormat/>
    <w:rPr>
      <w:rFonts w:ascii="Arial" w:hAnsi="Arial" w:eastAsia="Arial" w:cs="Arial"/>
      <w:b/>
      <w:bCs/>
      <w:sz w:val="26"/>
      <w:szCs w:val="26"/>
    </w:rPr>
  </w:style>
  <w:style w:type="character" w:styleId="733" w:customStyle="1">
    <w:name w:val="Heading 5 Char"/>
    <w:basedOn w:val="680"/>
    <w:uiPriority w:val="9"/>
    <w:qFormat/>
    <w:rPr>
      <w:rFonts w:ascii="Arial" w:hAnsi="Arial" w:eastAsia="Arial" w:cs="Arial"/>
      <w:b/>
      <w:bCs/>
      <w:sz w:val="24"/>
      <w:szCs w:val="24"/>
    </w:rPr>
  </w:style>
  <w:style w:type="character" w:styleId="734" w:customStyle="1">
    <w:name w:val="Heading 6 Char"/>
    <w:basedOn w:val="680"/>
    <w:uiPriority w:val="9"/>
    <w:qFormat/>
    <w:rPr>
      <w:rFonts w:ascii="Arial" w:hAnsi="Arial" w:eastAsia="Arial" w:cs="Arial"/>
      <w:b/>
      <w:bCs/>
      <w:sz w:val="22"/>
      <w:szCs w:val="22"/>
    </w:rPr>
  </w:style>
  <w:style w:type="character" w:styleId="735" w:customStyle="1">
    <w:name w:val="Heading 7 Char"/>
    <w:basedOn w:val="680"/>
    <w:uiPriority w:val="9"/>
    <w:qFormat/>
    <w:rPr>
      <w:rFonts w:ascii="Arial" w:hAnsi="Arial" w:eastAsia="Arial" w:cs="Arial"/>
      <w:b/>
      <w:bCs/>
      <w:i/>
      <w:iCs/>
      <w:sz w:val="22"/>
      <w:szCs w:val="22"/>
    </w:rPr>
  </w:style>
  <w:style w:type="character" w:styleId="736" w:customStyle="1">
    <w:name w:val="Heading 8 Char"/>
    <w:basedOn w:val="680"/>
    <w:uiPriority w:val="9"/>
    <w:qFormat/>
    <w:rPr>
      <w:rFonts w:ascii="Arial" w:hAnsi="Arial" w:eastAsia="Arial" w:cs="Arial"/>
      <w:i/>
      <w:iCs/>
      <w:sz w:val="22"/>
      <w:szCs w:val="22"/>
    </w:rPr>
  </w:style>
  <w:style w:type="character" w:styleId="737" w:customStyle="1">
    <w:name w:val="Heading 9 Char"/>
    <w:basedOn w:val="680"/>
    <w:uiPriority w:val="9"/>
    <w:qFormat/>
    <w:rPr>
      <w:rFonts w:ascii="Arial" w:hAnsi="Arial" w:eastAsia="Arial" w:cs="Arial"/>
      <w:i/>
      <w:iCs/>
      <w:sz w:val="21"/>
      <w:szCs w:val="21"/>
    </w:rPr>
  </w:style>
  <w:style w:type="character" w:styleId="738" w:customStyle="1">
    <w:name w:val="Title Char"/>
    <w:basedOn w:val="680"/>
    <w:uiPriority w:val="10"/>
    <w:qFormat/>
    <w:rPr>
      <w:sz w:val="48"/>
      <w:szCs w:val="48"/>
    </w:rPr>
  </w:style>
  <w:style w:type="character" w:styleId="739" w:customStyle="1">
    <w:name w:val="Subtitle Char"/>
    <w:basedOn w:val="680"/>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Caption Char"/>
    <w:uiPriority w:val="99"/>
    <w:qFormat/>
  </w:style>
  <w:style w:type="character" w:styleId="743" w:customStyle="1">
    <w:name w:val="Footnote Text Char"/>
    <w:uiPriority w:val="99"/>
    <w:qFormat/>
    <w:rPr>
      <w:sz w:val="18"/>
    </w:rPr>
  </w:style>
  <w:style w:type="character" w:styleId="744" w:customStyle="1">
    <w:name w:val="Endnote Text Char"/>
    <w:uiPriority w:val="99"/>
    <w:qFormat/>
    <w:rPr>
      <w:sz w:val="20"/>
    </w:rPr>
  </w:style>
  <w:style w:type="paragraph" w:styleId="745" w:customStyle="1">
    <w:name w:val="TOC 标题111"/>
    <w:uiPriority w:val="39"/>
    <w:unhideWhenUsed/>
    <w:qFormat/>
    <w:rPr>
      <w:rFonts w:ascii="Times New Roman" w:hAnsi="Times New Roman" w:eastAsia="宋体" w:cs="Times New Roman"/>
      <w:lang w:val="en-US" w:eastAsia="zh-CN" w:bidi="ar-SA"/>
    </w:rPr>
  </w:style>
  <w:style w:type="paragraph" w:styleId="746">
    <w:name w:val="List Paragraph"/>
    <w:basedOn w:val="670"/>
    <w:uiPriority w:val="34"/>
    <w:qFormat/>
    <w:pPr>
      <w:contextualSpacing/>
      <w:ind w:left="720"/>
    </w:pPr>
  </w:style>
  <w:style w:type="paragraph" w:styleId="747">
    <w:name w:val="No Spacing"/>
    <w:uiPriority w:val="1"/>
    <w:qFormat/>
    <w:rPr>
      <w:rFonts w:ascii="Times New Roman" w:hAnsi="Times New Roman" w:eastAsia="宋体" w:cs="Times New Roman"/>
      <w:lang w:val="en-US" w:eastAsia="zh-CN" w:bidi="ar-SA"/>
    </w:rPr>
  </w:style>
  <w:style w:type="character" w:styleId="748" w:customStyle="1">
    <w:name w:val="标题 字符1"/>
    <w:link w:val="702"/>
    <w:uiPriority w:val="10"/>
    <w:qFormat/>
    <w:rPr>
      <w:sz w:val="48"/>
      <w:szCs w:val="48"/>
    </w:rPr>
  </w:style>
  <w:style w:type="character" w:styleId="749" w:customStyle="1">
    <w:name w:val="副标题 字符1"/>
    <w:link w:val="686"/>
    <w:uiPriority w:val="11"/>
    <w:qFormat/>
    <w:rPr>
      <w:sz w:val="24"/>
      <w:szCs w:val="24"/>
    </w:rPr>
  </w:style>
  <w:style w:type="paragraph" w:styleId="750">
    <w:name w:val="Quote"/>
    <w:basedOn w:val="670"/>
    <w:next w:val="670"/>
    <w:link w:val="751"/>
    <w:uiPriority w:val="29"/>
    <w:qFormat/>
    <w:pPr>
      <w:ind w:left="720" w:right="720"/>
    </w:pPr>
    <w:rPr>
      <w:i/>
    </w:rPr>
  </w:style>
  <w:style w:type="character" w:styleId="751" w:customStyle="1">
    <w:name w:val="引用 字符1"/>
    <w:link w:val="750"/>
    <w:uiPriority w:val="29"/>
    <w:qFormat/>
    <w:rPr>
      <w:i/>
    </w:rPr>
  </w:style>
  <w:style w:type="paragraph" w:styleId="752">
    <w:name w:val="Intense Quote"/>
    <w:basedOn w:val="670"/>
    <w:next w:val="670"/>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明显引用 字符1"/>
    <w:link w:val="752"/>
    <w:uiPriority w:val="30"/>
    <w:qFormat/>
    <w:rPr>
      <w:i/>
    </w:rPr>
  </w:style>
  <w:style w:type="character" w:styleId="754" w:customStyle="1">
    <w:name w:val="脚注文本 字符1"/>
    <w:link w:val="696"/>
    <w:uiPriority w:val="99"/>
    <w:qFormat/>
    <w:rPr>
      <w:sz w:val="18"/>
    </w:rPr>
  </w:style>
  <w:style w:type="character" w:styleId="755" w:customStyle="1">
    <w:name w:val="尾注文本 字符1"/>
    <w:link w:val="690"/>
    <w:uiPriority w:val="99"/>
    <w:qFormat/>
    <w:rPr>
      <w:sz w:val="20"/>
    </w:rPr>
  </w:style>
  <w:style w:type="paragraph" w:styleId="756" w:customStyle="1">
    <w:name w:val="TOC 标题11"/>
    <w:uiPriority w:val="39"/>
    <w:unhideWhenUsed/>
    <w:qFormat/>
    <w:rPr>
      <w:rFonts w:ascii="Times New Roman" w:hAnsi="Times New Roman" w:eastAsia="宋体" w:cs="Times New Roman"/>
      <w:lang w:val="en-US" w:eastAsia="zh-CN" w:bidi="ar-SA"/>
    </w:rPr>
  </w:style>
  <w:style w:type="character" w:styleId="757" w:customStyle="1">
    <w:name w:val="默认段落字体11"/>
    <w:uiPriority w:val="1"/>
    <w:unhideWhenUsed/>
    <w:qFormat/>
  </w:style>
  <w:style w:type="table" w:styleId="758" w:customStyle="1">
    <w:name w:val="普通表格11"/>
    <w:uiPriority w:val="99"/>
    <w:unhideWhenUsed/>
    <w:qFormat/>
    <w:tblPr>
      <w:tblCellMar>
        <w:left w:w="0" w:type="dxa"/>
        <w:top w:w="0" w:type="dxa"/>
        <w:right w:w="0" w:type="dxa"/>
        <w:bottom w:w="0" w:type="dxa"/>
      </w:tblCellMar>
    </w:tblPr>
  </w:style>
  <w:style w:type="paragraph" w:styleId="759" w:customStyle="1">
    <w:name w:val="目录 711"/>
    <w:basedOn w:val="670"/>
    <w:next w:val="670"/>
    <w:uiPriority w:val="39"/>
    <w:unhideWhenUsed/>
    <w:qFormat/>
    <w:pPr>
      <w:ind w:left="1701"/>
      <w:spacing w:after="57"/>
    </w:pPr>
  </w:style>
  <w:style w:type="paragraph" w:styleId="760" w:customStyle="1">
    <w:name w:val="批注文字11"/>
    <w:basedOn w:val="670"/>
    <w:uiPriority w:val="0"/>
    <w:qFormat/>
    <w:pPr>
      <w:jc w:val="left"/>
    </w:pPr>
  </w:style>
  <w:style w:type="paragraph" w:styleId="761" w:customStyle="1">
    <w:name w:val="正文文本11"/>
    <w:basedOn w:val="670"/>
    <w:next w:val="670"/>
    <w:uiPriority w:val="0"/>
    <w:qFormat/>
    <w:rPr>
      <w:rFonts w:ascii="楷体_GB2312" w:hAnsi="Arial" w:eastAsia="楷体_GB2312"/>
      <w:sz w:val="28"/>
      <w:szCs w:val="28"/>
    </w:rPr>
  </w:style>
  <w:style w:type="paragraph" w:styleId="762" w:customStyle="1">
    <w:name w:val="目录 511"/>
    <w:basedOn w:val="670"/>
    <w:next w:val="670"/>
    <w:uiPriority w:val="39"/>
    <w:unhideWhenUsed/>
    <w:qFormat/>
    <w:pPr>
      <w:ind w:left="1134"/>
      <w:spacing w:after="57"/>
    </w:pPr>
  </w:style>
  <w:style w:type="paragraph" w:styleId="763" w:customStyle="1">
    <w:name w:val="目录 311"/>
    <w:basedOn w:val="670"/>
    <w:next w:val="670"/>
    <w:uiPriority w:val="39"/>
    <w:unhideWhenUsed/>
    <w:qFormat/>
    <w:pPr>
      <w:ind w:left="567"/>
      <w:spacing w:after="57"/>
    </w:pPr>
  </w:style>
  <w:style w:type="paragraph" w:styleId="764" w:customStyle="1">
    <w:name w:val="目录 811"/>
    <w:basedOn w:val="670"/>
    <w:next w:val="670"/>
    <w:uiPriority w:val="39"/>
    <w:unhideWhenUsed/>
    <w:qFormat/>
    <w:pPr>
      <w:ind w:left="1984"/>
      <w:spacing w:after="57"/>
    </w:pPr>
  </w:style>
  <w:style w:type="paragraph" w:styleId="765" w:customStyle="1">
    <w:name w:val="日期11"/>
    <w:basedOn w:val="670"/>
    <w:next w:val="670"/>
    <w:link w:val="766"/>
    <w:uiPriority w:val="99"/>
    <w:unhideWhenUsed/>
    <w:qFormat/>
    <w:pPr>
      <w:ind w:left="100"/>
    </w:pPr>
  </w:style>
  <w:style w:type="character" w:styleId="766" w:customStyle="1">
    <w:name w:val="日期 字符"/>
    <w:link w:val="765"/>
    <w:uiPriority w:val="99"/>
    <w:semiHidden/>
    <w:qFormat/>
    <w:rPr>
      <w:sz w:val="21"/>
      <w:szCs w:val="22"/>
    </w:rPr>
  </w:style>
  <w:style w:type="paragraph" w:styleId="767" w:customStyle="1">
    <w:name w:val="尾注文本1"/>
    <w:basedOn w:val="670"/>
    <w:link w:val="768"/>
    <w:uiPriority w:val="99"/>
    <w:unhideWhenUsed/>
    <w:qFormat/>
    <w:rPr>
      <w:sz w:val="20"/>
    </w:rPr>
  </w:style>
  <w:style w:type="character" w:styleId="768" w:customStyle="1">
    <w:name w:val="尾注文本 字符"/>
    <w:link w:val="767"/>
    <w:uiPriority w:val="99"/>
    <w:qFormat/>
    <w:rPr>
      <w:sz w:val="20"/>
    </w:rPr>
  </w:style>
  <w:style w:type="paragraph" w:styleId="769" w:customStyle="1">
    <w:name w:val="批注框文本11"/>
    <w:basedOn w:val="670"/>
    <w:link w:val="770"/>
    <w:uiPriority w:val="99"/>
    <w:unhideWhenUsed/>
    <w:qFormat/>
    <w:rPr>
      <w:sz w:val="18"/>
      <w:szCs w:val="18"/>
    </w:rPr>
  </w:style>
  <w:style w:type="character" w:styleId="770" w:customStyle="1">
    <w:name w:val="批注框文本 字符"/>
    <w:link w:val="769"/>
    <w:uiPriority w:val="99"/>
    <w:semiHidden/>
    <w:qFormat/>
    <w:rPr>
      <w:sz w:val="18"/>
      <w:szCs w:val="18"/>
    </w:rPr>
  </w:style>
  <w:style w:type="paragraph" w:styleId="771" w:customStyle="1">
    <w:name w:val="页脚11"/>
    <w:basedOn w:val="670"/>
    <w:uiPriority w:val="99"/>
    <w:unhideWhenUsed/>
    <w:qFormat/>
    <w:pPr>
      <w:jc w:val="left"/>
      <w:tabs>
        <w:tab w:val="center" w:pos="4153" w:leader="none"/>
        <w:tab w:val="right" w:pos="8306" w:leader="none"/>
      </w:tabs>
    </w:pPr>
    <w:rPr>
      <w:sz w:val="18"/>
    </w:rPr>
  </w:style>
  <w:style w:type="paragraph" w:styleId="772" w:customStyle="1">
    <w:name w:val="页眉11"/>
    <w:basedOn w:val="670"/>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73" w:customStyle="1">
    <w:name w:val="目录 111"/>
    <w:basedOn w:val="670"/>
    <w:next w:val="670"/>
    <w:uiPriority w:val="39"/>
    <w:unhideWhenUsed/>
    <w:qFormat/>
    <w:pPr>
      <w:spacing w:after="57"/>
    </w:pPr>
  </w:style>
  <w:style w:type="paragraph" w:styleId="774" w:customStyle="1">
    <w:name w:val="目录 411"/>
    <w:basedOn w:val="670"/>
    <w:next w:val="670"/>
    <w:uiPriority w:val="39"/>
    <w:unhideWhenUsed/>
    <w:qFormat/>
    <w:pPr>
      <w:ind w:left="850"/>
      <w:spacing w:after="57"/>
    </w:pPr>
  </w:style>
  <w:style w:type="paragraph" w:styleId="775" w:customStyle="1">
    <w:name w:val="副标题1"/>
    <w:basedOn w:val="670"/>
    <w:next w:val="670"/>
    <w:link w:val="776"/>
    <w:uiPriority w:val="11"/>
    <w:qFormat/>
    <w:pPr>
      <w:spacing w:before="200" w:after="200"/>
    </w:pPr>
    <w:rPr>
      <w:sz w:val="24"/>
      <w:szCs w:val="24"/>
    </w:rPr>
  </w:style>
  <w:style w:type="character" w:styleId="776" w:customStyle="1">
    <w:name w:val="副标题 字符"/>
    <w:link w:val="775"/>
    <w:uiPriority w:val="11"/>
    <w:qFormat/>
    <w:rPr>
      <w:sz w:val="24"/>
      <w:szCs w:val="24"/>
    </w:rPr>
  </w:style>
  <w:style w:type="paragraph" w:styleId="777" w:customStyle="1">
    <w:name w:val="脚注文本11"/>
    <w:basedOn w:val="670"/>
    <w:link w:val="778"/>
    <w:uiPriority w:val="99"/>
    <w:unhideWhenUsed/>
    <w:qFormat/>
    <w:pPr>
      <w:spacing w:after="40"/>
    </w:pPr>
    <w:rPr>
      <w:sz w:val="18"/>
    </w:rPr>
  </w:style>
  <w:style w:type="character" w:styleId="778" w:customStyle="1">
    <w:name w:val="脚注文本 字符"/>
    <w:link w:val="777"/>
    <w:uiPriority w:val="99"/>
    <w:qFormat/>
    <w:rPr>
      <w:sz w:val="18"/>
    </w:rPr>
  </w:style>
  <w:style w:type="paragraph" w:styleId="779" w:customStyle="1">
    <w:name w:val="目录 611"/>
    <w:basedOn w:val="670"/>
    <w:next w:val="670"/>
    <w:uiPriority w:val="39"/>
    <w:unhideWhenUsed/>
    <w:qFormat/>
    <w:pPr>
      <w:ind w:left="1417"/>
      <w:spacing w:after="57"/>
    </w:pPr>
  </w:style>
  <w:style w:type="paragraph" w:styleId="780" w:customStyle="1">
    <w:name w:val="图表目录1"/>
    <w:basedOn w:val="670"/>
    <w:next w:val="670"/>
    <w:uiPriority w:val="99"/>
    <w:unhideWhenUsed/>
    <w:qFormat/>
  </w:style>
  <w:style w:type="paragraph" w:styleId="781" w:customStyle="1">
    <w:name w:val="目录 211"/>
    <w:basedOn w:val="670"/>
    <w:next w:val="670"/>
    <w:uiPriority w:val="39"/>
    <w:unhideWhenUsed/>
    <w:qFormat/>
    <w:pPr>
      <w:ind w:left="283"/>
      <w:spacing w:after="57"/>
    </w:pPr>
  </w:style>
  <w:style w:type="paragraph" w:styleId="782" w:customStyle="1">
    <w:name w:val="目录 911"/>
    <w:basedOn w:val="670"/>
    <w:next w:val="670"/>
    <w:uiPriority w:val="39"/>
    <w:unhideWhenUsed/>
    <w:qFormat/>
    <w:pPr>
      <w:ind w:left="2268"/>
      <w:spacing w:after="57"/>
    </w:pPr>
  </w:style>
  <w:style w:type="paragraph" w:styleId="783" w:customStyle="1">
    <w:name w:val="标题1"/>
    <w:basedOn w:val="670"/>
    <w:next w:val="670"/>
    <w:link w:val="784"/>
    <w:uiPriority w:val="10"/>
    <w:qFormat/>
    <w:pPr>
      <w:contextualSpacing/>
      <w:spacing w:before="300" w:after="200"/>
    </w:pPr>
    <w:rPr>
      <w:sz w:val="48"/>
      <w:szCs w:val="48"/>
    </w:rPr>
  </w:style>
  <w:style w:type="character" w:styleId="784" w:customStyle="1">
    <w:name w:val="标题 字符"/>
    <w:link w:val="783"/>
    <w:uiPriority w:val="10"/>
    <w:qFormat/>
    <w:rPr>
      <w:sz w:val="48"/>
      <w:szCs w:val="48"/>
    </w:rPr>
  </w:style>
  <w:style w:type="table" w:styleId="785" w:customStyle="1">
    <w:name w:val="网格型11"/>
    <w:uiPriority w:val="59"/>
    <w:qFormat/>
    <w:tblPr>
      <w:tblCellMar>
        <w:left w:w="0" w:type="dxa"/>
        <w:top w:w="0" w:type="dxa"/>
        <w:right w:w="0" w:type="dxa"/>
        <w:bottom w:w="0" w:type="dxa"/>
      </w:tblCellMar>
    </w:tblPr>
  </w:style>
  <w:style w:type="character" w:styleId="786" w:customStyle="1">
    <w:name w:val="尾注引用1"/>
    <w:uiPriority w:val="99"/>
    <w:unhideWhenUsed/>
    <w:qFormat/>
    <w:rPr>
      <w:vertAlign w:val="superscript"/>
    </w:rPr>
  </w:style>
  <w:style w:type="character" w:styleId="787" w:customStyle="1">
    <w:name w:val="超链接11"/>
    <w:uiPriority w:val="99"/>
    <w:unhideWhenUsed/>
    <w:qFormat/>
    <w:rPr>
      <w:color w:val="0000ff"/>
      <w:u w:val="single"/>
    </w:rPr>
  </w:style>
  <w:style w:type="character" w:styleId="788" w:customStyle="1">
    <w:name w:val="脚注引用11"/>
    <w:uiPriority w:val="99"/>
    <w:unhideWhenUsed/>
    <w:qFormat/>
    <w:rPr>
      <w:vertAlign w:val="superscript"/>
    </w:rPr>
  </w:style>
  <w:style w:type="character" w:styleId="789" w:customStyle="1">
    <w:name w:val="标题 1 字符"/>
    <w:link w:val="671"/>
    <w:uiPriority w:val="9"/>
    <w:qFormat/>
    <w:rPr>
      <w:rFonts w:ascii="Arial" w:hAnsi="Arial" w:eastAsia="Arial" w:cs="Arial"/>
      <w:sz w:val="40"/>
      <w:szCs w:val="40"/>
    </w:rPr>
  </w:style>
  <w:style w:type="character" w:styleId="790" w:customStyle="1">
    <w:name w:val="标题 2 字符"/>
    <w:link w:val="672"/>
    <w:uiPriority w:val="9"/>
    <w:qFormat/>
    <w:rPr>
      <w:rFonts w:ascii="Arial" w:hAnsi="Arial" w:eastAsia="Arial" w:cs="Arial"/>
      <w:sz w:val="34"/>
    </w:rPr>
  </w:style>
  <w:style w:type="character" w:styleId="791" w:customStyle="1">
    <w:name w:val="标题 3 字符"/>
    <w:link w:val="673"/>
    <w:uiPriority w:val="9"/>
    <w:qFormat/>
    <w:rPr>
      <w:rFonts w:ascii="Arial" w:hAnsi="Arial" w:eastAsia="Arial" w:cs="Arial"/>
      <w:sz w:val="30"/>
      <w:szCs w:val="30"/>
    </w:rPr>
  </w:style>
  <w:style w:type="character" w:styleId="792" w:customStyle="1">
    <w:name w:val="标题 4 字符"/>
    <w:link w:val="674"/>
    <w:uiPriority w:val="9"/>
    <w:qFormat/>
    <w:rPr>
      <w:rFonts w:ascii="Arial" w:hAnsi="Arial" w:eastAsia="Arial" w:cs="Arial"/>
      <w:b/>
      <w:bCs/>
      <w:sz w:val="26"/>
      <w:szCs w:val="26"/>
    </w:rPr>
  </w:style>
  <w:style w:type="character" w:styleId="793" w:customStyle="1">
    <w:name w:val="标题 5 字符"/>
    <w:link w:val="675"/>
    <w:uiPriority w:val="9"/>
    <w:qFormat/>
    <w:rPr>
      <w:rFonts w:ascii="Arial" w:hAnsi="Arial" w:eastAsia="Arial" w:cs="Arial"/>
      <w:b/>
      <w:bCs/>
      <w:sz w:val="24"/>
      <w:szCs w:val="24"/>
    </w:rPr>
  </w:style>
  <w:style w:type="character" w:styleId="794" w:customStyle="1">
    <w:name w:val="标题 6 字符"/>
    <w:link w:val="676"/>
    <w:uiPriority w:val="9"/>
    <w:qFormat/>
    <w:rPr>
      <w:rFonts w:ascii="Arial" w:hAnsi="Arial" w:eastAsia="Arial" w:cs="Arial"/>
      <w:b/>
      <w:bCs/>
      <w:sz w:val="22"/>
      <w:szCs w:val="22"/>
    </w:rPr>
  </w:style>
  <w:style w:type="character" w:styleId="795" w:customStyle="1">
    <w:name w:val="标题 7 字符"/>
    <w:link w:val="677"/>
    <w:uiPriority w:val="9"/>
    <w:qFormat/>
    <w:rPr>
      <w:rFonts w:ascii="Arial" w:hAnsi="Arial" w:eastAsia="Arial" w:cs="Arial"/>
      <w:b/>
      <w:bCs/>
      <w:i/>
      <w:iCs/>
      <w:sz w:val="22"/>
      <w:szCs w:val="22"/>
    </w:rPr>
  </w:style>
  <w:style w:type="character" w:styleId="796" w:customStyle="1">
    <w:name w:val="标题 8 字符"/>
    <w:link w:val="678"/>
    <w:uiPriority w:val="9"/>
    <w:qFormat/>
    <w:rPr>
      <w:rFonts w:ascii="Arial" w:hAnsi="Arial" w:eastAsia="Arial" w:cs="Arial"/>
      <w:i/>
      <w:iCs/>
      <w:sz w:val="22"/>
      <w:szCs w:val="22"/>
    </w:rPr>
  </w:style>
  <w:style w:type="character" w:styleId="797" w:customStyle="1">
    <w:name w:val="标题 9 字符"/>
    <w:link w:val="679"/>
    <w:uiPriority w:val="9"/>
    <w:qFormat/>
    <w:rPr>
      <w:rFonts w:ascii="Arial" w:hAnsi="Arial" w:eastAsia="Arial" w:cs="Arial"/>
      <w:i/>
      <w:iCs/>
      <w:sz w:val="21"/>
      <w:szCs w:val="21"/>
    </w:rPr>
  </w:style>
  <w:style w:type="paragraph" w:styleId="798" w:customStyle="1">
    <w:name w:val="列表段落1"/>
    <w:basedOn w:val="670"/>
    <w:uiPriority w:val="34"/>
    <w:qFormat/>
    <w:pPr>
      <w:contextualSpacing/>
      <w:ind w:left="720"/>
    </w:pPr>
  </w:style>
  <w:style w:type="paragraph" w:styleId="799" w:customStyle="1">
    <w:name w:val="无间隔1"/>
    <w:uiPriority w:val="1"/>
    <w:qFormat/>
    <w:rPr>
      <w:rFonts w:ascii="Times New Roman" w:hAnsi="Times New Roman" w:eastAsia="宋体" w:cs="Times New Roman"/>
      <w:lang w:val="en-US" w:eastAsia="zh-CN" w:bidi="ar-SA"/>
    </w:rPr>
  </w:style>
  <w:style w:type="paragraph" w:styleId="800" w:customStyle="1">
    <w:name w:val="引用1"/>
    <w:basedOn w:val="670"/>
    <w:next w:val="670"/>
    <w:link w:val="801"/>
    <w:uiPriority w:val="29"/>
    <w:qFormat/>
    <w:pPr>
      <w:ind w:left="720" w:right="720"/>
    </w:pPr>
    <w:rPr>
      <w:i/>
    </w:rPr>
  </w:style>
  <w:style w:type="character" w:styleId="801" w:customStyle="1">
    <w:name w:val="引用 字符"/>
    <w:link w:val="800"/>
    <w:uiPriority w:val="29"/>
    <w:qFormat/>
    <w:rPr>
      <w:i/>
    </w:rPr>
  </w:style>
  <w:style w:type="paragraph" w:styleId="802" w:customStyle="1">
    <w:name w:val="明显引用1"/>
    <w:basedOn w:val="670"/>
    <w:next w:val="670"/>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paragraph" w:styleId="804" w:customStyle="1">
    <w:name w:val="Header1"/>
    <w:basedOn w:val="670"/>
    <w:link w:val="805"/>
    <w:uiPriority w:val="99"/>
    <w:unhideWhenUsed/>
    <w:qFormat/>
    <w:pPr>
      <w:tabs>
        <w:tab w:val="center" w:pos="7143" w:leader="none"/>
        <w:tab w:val="right" w:pos="14287" w:leader="none"/>
      </w:tabs>
    </w:pPr>
  </w:style>
  <w:style w:type="character" w:styleId="805" w:customStyle="1">
    <w:name w:val="Header Char"/>
    <w:link w:val="804"/>
    <w:uiPriority w:val="99"/>
    <w:qFormat/>
  </w:style>
  <w:style w:type="paragraph" w:styleId="806" w:customStyle="1">
    <w:name w:val="Footer1"/>
    <w:basedOn w:val="670"/>
    <w:link w:val="807"/>
    <w:uiPriority w:val="99"/>
    <w:unhideWhenUsed/>
    <w:qFormat/>
    <w:pPr>
      <w:tabs>
        <w:tab w:val="center" w:pos="7143" w:leader="none"/>
        <w:tab w:val="right" w:pos="14287" w:leader="none"/>
      </w:tabs>
    </w:pPr>
  </w:style>
  <w:style w:type="character" w:styleId="807" w:customStyle="1">
    <w:name w:val="Footer Char"/>
    <w:link w:val="806"/>
    <w:uiPriority w:val="99"/>
    <w:qFormat/>
  </w:style>
  <w:style w:type="character" w:styleId="808" w:customStyle="1">
    <w:name w:val="页脚 字符"/>
    <w:link w:val="692"/>
    <w:uiPriority w:val="99"/>
    <w:qFormat/>
    <w:rPr>
      <w:rFonts w:ascii="宋体" w:hAnsi="宋体" w:eastAsia="宋体" w:cs="宋体"/>
      <w:sz w:val="22"/>
      <w:szCs w:val="22"/>
      <w:lang w:val="en-US" w:eastAsia="zh-CN" w:bidi="ar-SA"/>
    </w:rPr>
  </w:style>
  <w:style w:type="paragraph" w:styleId="809" w:customStyle="1">
    <w:name w:val="Caption1"/>
    <w:basedOn w:val="670"/>
    <w:next w:val="670"/>
    <w:uiPriority w:val="35"/>
    <w:unhideWhenUsed/>
    <w:qFormat/>
    <w:pPr>
      <w:spacing w:line="276" w:lineRule="auto"/>
    </w:pPr>
    <w:rPr>
      <w:b/>
      <w:bCs/>
      <w:color w:val="4f81bd"/>
      <w:sz w:val="18"/>
      <w:szCs w:val="18"/>
    </w:rPr>
  </w:style>
  <w:style w:type="table" w:styleId="810" w:customStyle="1">
    <w:name w:val="Table Grid Light"/>
    <w:uiPriority w:val="59"/>
    <w:qFormat/>
    <w:tblPr>
      <w:tblCellMar>
        <w:left w:w="0" w:type="dxa"/>
        <w:top w:w="0" w:type="dxa"/>
        <w:right w:w="0" w:type="dxa"/>
        <w:bottom w:w="0" w:type="dxa"/>
      </w:tblCellMar>
    </w:tblPr>
  </w:style>
  <w:style w:type="table" w:styleId="811" w:customStyle="1">
    <w:name w:val="Grid Table 1 Light - Accent 1"/>
    <w:uiPriority w:val="99"/>
    <w:qFormat/>
    <w:tblPr>
      <w:tblCellMar>
        <w:left w:w="0" w:type="dxa"/>
        <w:top w:w="0" w:type="dxa"/>
        <w:right w:w="0" w:type="dxa"/>
        <w:bottom w:w="0" w:type="dxa"/>
      </w:tblCellMar>
    </w:tblPr>
  </w:style>
  <w:style w:type="table" w:styleId="812" w:customStyle="1">
    <w:name w:val="Grid Table 1 Light - Accent 2"/>
    <w:uiPriority w:val="99"/>
    <w:qFormat/>
    <w:tblPr>
      <w:tblCellMar>
        <w:left w:w="0" w:type="dxa"/>
        <w:top w:w="0" w:type="dxa"/>
        <w:right w:w="0" w:type="dxa"/>
        <w:bottom w:w="0" w:type="dxa"/>
      </w:tblCellMar>
    </w:tblPr>
  </w:style>
  <w:style w:type="table" w:styleId="813" w:customStyle="1">
    <w:name w:val="Grid Table 1 Light - Accent 3"/>
    <w:uiPriority w:val="99"/>
    <w:qFormat/>
    <w:tblPr>
      <w:tblCellMar>
        <w:left w:w="0" w:type="dxa"/>
        <w:top w:w="0" w:type="dxa"/>
        <w:right w:w="0" w:type="dxa"/>
        <w:bottom w:w="0" w:type="dxa"/>
      </w:tblCellMar>
    </w:tblPr>
  </w:style>
  <w:style w:type="table" w:styleId="814" w:customStyle="1">
    <w:name w:val="Grid Table 1 Light - Accent 4"/>
    <w:uiPriority w:val="99"/>
    <w:qFormat/>
    <w:tblPr>
      <w:tblCellMar>
        <w:left w:w="0" w:type="dxa"/>
        <w:top w:w="0" w:type="dxa"/>
        <w:right w:w="0" w:type="dxa"/>
        <w:bottom w:w="0" w:type="dxa"/>
      </w:tblCellMar>
    </w:tblPr>
  </w:style>
  <w:style w:type="table" w:styleId="815" w:customStyle="1">
    <w:name w:val="Grid Table 1 Light - Accent 5"/>
    <w:uiPriority w:val="99"/>
    <w:qFormat/>
    <w:tblPr>
      <w:tblCellMar>
        <w:left w:w="0" w:type="dxa"/>
        <w:top w:w="0" w:type="dxa"/>
        <w:right w:w="0" w:type="dxa"/>
        <w:bottom w:w="0" w:type="dxa"/>
      </w:tblCellMar>
    </w:tblPr>
  </w:style>
  <w:style w:type="table" w:styleId="816" w:customStyle="1">
    <w:name w:val="Grid Table 1 Light - Accent 6"/>
    <w:uiPriority w:val="99"/>
    <w:qFormat/>
    <w:tblPr>
      <w:tblCellMar>
        <w:left w:w="0" w:type="dxa"/>
        <w:top w:w="0" w:type="dxa"/>
        <w:right w:w="0" w:type="dxa"/>
        <w:bottom w:w="0" w:type="dxa"/>
      </w:tblCellMar>
    </w:tblPr>
  </w:style>
  <w:style w:type="table" w:styleId="817" w:customStyle="1">
    <w:name w:val="Grid Table 2 - Accent 1"/>
    <w:uiPriority w:val="99"/>
    <w:qFormat/>
    <w:tblPr>
      <w:tblCellMar>
        <w:left w:w="0" w:type="dxa"/>
        <w:top w:w="0" w:type="dxa"/>
        <w:right w:w="0" w:type="dxa"/>
        <w:bottom w:w="0" w:type="dxa"/>
      </w:tblCellMar>
    </w:tblPr>
  </w:style>
  <w:style w:type="table" w:styleId="818" w:customStyle="1">
    <w:name w:val="Grid Table 2 - Accent 2"/>
    <w:uiPriority w:val="99"/>
    <w:qFormat/>
    <w:tblPr>
      <w:tblCellMar>
        <w:left w:w="0" w:type="dxa"/>
        <w:top w:w="0" w:type="dxa"/>
        <w:right w:w="0" w:type="dxa"/>
        <w:bottom w:w="0" w:type="dxa"/>
      </w:tblCellMar>
    </w:tblPr>
  </w:style>
  <w:style w:type="table" w:styleId="819" w:customStyle="1">
    <w:name w:val="Grid Table 2 - Accent 3"/>
    <w:uiPriority w:val="99"/>
    <w:qFormat/>
    <w:tblPr>
      <w:tblCellMar>
        <w:left w:w="0" w:type="dxa"/>
        <w:top w:w="0" w:type="dxa"/>
        <w:right w:w="0" w:type="dxa"/>
        <w:bottom w:w="0" w:type="dxa"/>
      </w:tblCellMar>
    </w:tblPr>
  </w:style>
  <w:style w:type="table" w:styleId="820" w:customStyle="1">
    <w:name w:val="Grid Table 2 - Accent 4"/>
    <w:uiPriority w:val="99"/>
    <w:qFormat/>
    <w:tblPr>
      <w:tblCellMar>
        <w:left w:w="0" w:type="dxa"/>
        <w:top w:w="0" w:type="dxa"/>
        <w:right w:w="0" w:type="dxa"/>
        <w:bottom w:w="0" w:type="dxa"/>
      </w:tblCellMar>
    </w:tblPr>
  </w:style>
  <w:style w:type="table" w:styleId="821" w:customStyle="1">
    <w:name w:val="Grid Table 2 - Accent 5"/>
    <w:uiPriority w:val="99"/>
    <w:qFormat/>
    <w:tblPr>
      <w:tblCellMar>
        <w:left w:w="0" w:type="dxa"/>
        <w:top w:w="0" w:type="dxa"/>
        <w:right w:w="0" w:type="dxa"/>
        <w:bottom w:w="0" w:type="dxa"/>
      </w:tblCellMar>
    </w:tblPr>
  </w:style>
  <w:style w:type="table" w:styleId="822" w:customStyle="1">
    <w:name w:val="Grid Table 2 - Accent 6"/>
    <w:uiPriority w:val="99"/>
    <w:qFormat/>
    <w:tblPr>
      <w:tblCellMar>
        <w:left w:w="0" w:type="dxa"/>
        <w:top w:w="0" w:type="dxa"/>
        <w:right w:w="0" w:type="dxa"/>
        <w:bottom w:w="0" w:type="dxa"/>
      </w:tblCellMar>
    </w:tblPr>
  </w:style>
  <w:style w:type="table" w:styleId="823" w:customStyle="1">
    <w:name w:val="Grid Table 3 - Accent 1"/>
    <w:uiPriority w:val="99"/>
    <w:qFormat/>
    <w:tblPr>
      <w:tblCellMar>
        <w:left w:w="0" w:type="dxa"/>
        <w:top w:w="0" w:type="dxa"/>
        <w:right w:w="0" w:type="dxa"/>
        <w:bottom w:w="0" w:type="dxa"/>
      </w:tblCellMar>
    </w:tblPr>
  </w:style>
  <w:style w:type="table" w:styleId="824" w:customStyle="1">
    <w:name w:val="Grid Table 3 - Accent 2"/>
    <w:uiPriority w:val="99"/>
    <w:qFormat/>
    <w:tblPr>
      <w:tblCellMar>
        <w:left w:w="0" w:type="dxa"/>
        <w:top w:w="0" w:type="dxa"/>
        <w:right w:w="0" w:type="dxa"/>
        <w:bottom w:w="0" w:type="dxa"/>
      </w:tblCellMar>
    </w:tblPr>
  </w:style>
  <w:style w:type="table" w:styleId="825" w:customStyle="1">
    <w:name w:val="Grid Table 3 - Accent 3"/>
    <w:uiPriority w:val="99"/>
    <w:qFormat/>
    <w:tblPr>
      <w:tblCellMar>
        <w:left w:w="0" w:type="dxa"/>
        <w:top w:w="0" w:type="dxa"/>
        <w:right w:w="0" w:type="dxa"/>
        <w:bottom w:w="0" w:type="dxa"/>
      </w:tblCellMar>
    </w:tblPr>
  </w:style>
  <w:style w:type="table" w:styleId="826" w:customStyle="1">
    <w:name w:val="Grid Table 3 - Accent 4"/>
    <w:uiPriority w:val="99"/>
    <w:qFormat/>
    <w:tblPr>
      <w:tblCellMar>
        <w:left w:w="0" w:type="dxa"/>
        <w:top w:w="0" w:type="dxa"/>
        <w:right w:w="0" w:type="dxa"/>
        <w:bottom w:w="0" w:type="dxa"/>
      </w:tblCellMar>
    </w:tblPr>
  </w:style>
  <w:style w:type="table" w:styleId="827" w:customStyle="1">
    <w:name w:val="Grid Table 3 - Accent 5"/>
    <w:uiPriority w:val="99"/>
    <w:qFormat/>
    <w:tblPr>
      <w:tblCellMar>
        <w:left w:w="0" w:type="dxa"/>
        <w:top w:w="0" w:type="dxa"/>
        <w:right w:w="0" w:type="dxa"/>
        <w:bottom w:w="0" w:type="dxa"/>
      </w:tblCellMar>
    </w:tblPr>
  </w:style>
  <w:style w:type="table" w:styleId="828" w:customStyle="1">
    <w:name w:val="Grid Table 3 - Accent 6"/>
    <w:uiPriority w:val="99"/>
    <w:qFormat/>
    <w:tblPr>
      <w:tblCellMar>
        <w:left w:w="0" w:type="dxa"/>
        <w:top w:w="0" w:type="dxa"/>
        <w:right w:w="0" w:type="dxa"/>
        <w:bottom w:w="0" w:type="dxa"/>
      </w:tblCellMar>
    </w:tblPr>
  </w:style>
  <w:style w:type="table" w:styleId="829" w:customStyle="1">
    <w:name w:val="Grid Table 4 - Accent 1"/>
    <w:uiPriority w:val="59"/>
    <w:qFormat/>
    <w:tblPr>
      <w:tblCellMar>
        <w:left w:w="0" w:type="dxa"/>
        <w:top w:w="0" w:type="dxa"/>
        <w:right w:w="0" w:type="dxa"/>
        <w:bottom w:w="0" w:type="dxa"/>
      </w:tblCellMar>
    </w:tblPr>
  </w:style>
  <w:style w:type="table" w:styleId="830" w:customStyle="1">
    <w:name w:val="Grid Table 4 - Accent 2"/>
    <w:uiPriority w:val="59"/>
    <w:qFormat/>
    <w:tblPr>
      <w:tblCellMar>
        <w:left w:w="0" w:type="dxa"/>
        <w:top w:w="0" w:type="dxa"/>
        <w:right w:w="0" w:type="dxa"/>
        <w:bottom w:w="0" w:type="dxa"/>
      </w:tblCellMar>
    </w:tblPr>
  </w:style>
  <w:style w:type="table" w:styleId="831" w:customStyle="1">
    <w:name w:val="Grid Table 4 - Accent 3"/>
    <w:uiPriority w:val="59"/>
    <w:qFormat/>
    <w:tblPr>
      <w:tblCellMar>
        <w:left w:w="0" w:type="dxa"/>
        <w:top w:w="0" w:type="dxa"/>
        <w:right w:w="0" w:type="dxa"/>
        <w:bottom w:w="0" w:type="dxa"/>
      </w:tblCellMar>
    </w:tblPr>
  </w:style>
  <w:style w:type="table" w:styleId="832" w:customStyle="1">
    <w:name w:val="Grid Table 4 - Accent 4"/>
    <w:uiPriority w:val="59"/>
    <w:qFormat/>
    <w:tblPr>
      <w:tblCellMar>
        <w:left w:w="0" w:type="dxa"/>
        <w:top w:w="0" w:type="dxa"/>
        <w:right w:w="0" w:type="dxa"/>
        <w:bottom w:w="0" w:type="dxa"/>
      </w:tblCellMar>
    </w:tblPr>
  </w:style>
  <w:style w:type="table" w:styleId="833" w:customStyle="1">
    <w:name w:val="Grid Table 4 - Accent 5"/>
    <w:uiPriority w:val="59"/>
    <w:qFormat/>
    <w:tblPr>
      <w:tblCellMar>
        <w:left w:w="0" w:type="dxa"/>
        <w:top w:w="0" w:type="dxa"/>
        <w:right w:w="0" w:type="dxa"/>
        <w:bottom w:w="0" w:type="dxa"/>
      </w:tblCellMar>
    </w:tblPr>
  </w:style>
  <w:style w:type="table" w:styleId="834" w:customStyle="1">
    <w:name w:val="Grid Table 4 - Accent 6"/>
    <w:uiPriority w:val="59"/>
    <w:qFormat/>
    <w:tblPr>
      <w:tblCellMar>
        <w:left w:w="0" w:type="dxa"/>
        <w:top w:w="0" w:type="dxa"/>
        <w:right w:w="0" w:type="dxa"/>
        <w:bottom w:w="0" w:type="dxa"/>
      </w:tblCellMar>
    </w:tblPr>
  </w:style>
  <w:style w:type="table" w:styleId="835" w:customStyle="1">
    <w:name w:val="Grid Table 5 Dark- Accent 1"/>
    <w:uiPriority w:val="99"/>
    <w:qFormat/>
    <w:tblPr>
      <w:tblCellMar>
        <w:left w:w="0" w:type="dxa"/>
        <w:top w:w="0" w:type="dxa"/>
        <w:right w:w="0" w:type="dxa"/>
        <w:bottom w:w="0" w:type="dxa"/>
      </w:tblCellMar>
    </w:tblPr>
  </w:style>
  <w:style w:type="table" w:styleId="836" w:customStyle="1">
    <w:name w:val="Grid Table 5 Dark - Accent 2"/>
    <w:uiPriority w:val="99"/>
    <w:qFormat/>
    <w:tblPr>
      <w:tblCellMar>
        <w:left w:w="0" w:type="dxa"/>
        <w:top w:w="0" w:type="dxa"/>
        <w:right w:w="0" w:type="dxa"/>
        <w:bottom w:w="0" w:type="dxa"/>
      </w:tblCellMar>
    </w:tblPr>
  </w:style>
  <w:style w:type="table" w:styleId="837" w:customStyle="1">
    <w:name w:val="Grid Table 5 Dark - Accent 3"/>
    <w:uiPriority w:val="99"/>
    <w:qFormat/>
    <w:tblPr>
      <w:tblCellMar>
        <w:left w:w="0" w:type="dxa"/>
        <w:top w:w="0" w:type="dxa"/>
        <w:right w:w="0" w:type="dxa"/>
        <w:bottom w:w="0" w:type="dxa"/>
      </w:tblCellMar>
    </w:tblPr>
  </w:style>
  <w:style w:type="table" w:styleId="838" w:customStyle="1">
    <w:name w:val="Grid Table 5 Dark- Accent 4"/>
    <w:uiPriority w:val="99"/>
    <w:qFormat/>
    <w:tblPr>
      <w:tblCellMar>
        <w:left w:w="0" w:type="dxa"/>
        <w:top w:w="0" w:type="dxa"/>
        <w:right w:w="0" w:type="dxa"/>
        <w:bottom w:w="0" w:type="dxa"/>
      </w:tblCellMar>
    </w:tblPr>
  </w:style>
  <w:style w:type="table" w:styleId="839" w:customStyle="1">
    <w:name w:val="Grid Table 5 Dark - Accent 5"/>
    <w:uiPriority w:val="99"/>
    <w:qFormat/>
    <w:tblPr>
      <w:tblCellMar>
        <w:left w:w="0" w:type="dxa"/>
        <w:top w:w="0" w:type="dxa"/>
        <w:right w:w="0" w:type="dxa"/>
        <w:bottom w:w="0" w:type="dxa"/>
      </w:tblCellMar>
    </w:tblPr>
  </w:style>
  <w:style w:type="table" w:styleId="840" w:customStyle="1">
    <w:name w:val="Grid Table 5 Dark - Accent 6"/>
    <w:uiPriority w:val="99"/>
    <w:qFormat/>
    <w:tblPr>
      <w:tblCellMar>
        <w:left w:w="0" w:type="dxa"/>
        <w:top w:w="0" w:type="dxa"/>
        <w:right w:w="0" w:type="dxa"/>
        <w:bottom w:w="0" w:type="dxa"/>
      </w:tblCellMar>
    </w:tblPr>
  </w:style>
  <w:style w:type="table" w:styleId="841" w:customStyle="1">
    <w:name w:val="Grid Table 6 Colorful - Accent 1"/>
    <w:uiPriority w:val="99"/>
    <w:qFormat/>
    <w:tblPr>
      <w:tblCellMar>
        <w:left w:w="0" w:type="dxa"/>
        <w:top w:w="0" w:type="dxa"/>
        <w:right w:w="0" w:type="dxa"/>
        <w:bottom w:w="0" w:type="dxa"/>
      </w:tblCellMar>
    </w:tblPr>
  </w:style>
  <w:style w:type="table" w:styleId="842" w:customStyle="1">
    <w:name w:val="Grid Table 6 Colorful - Accent 2"/>
    <w:uiPriority w:val="99"/>
    <w:qFormat/>
    <w:tblPr>
      <w:tblCellMar>
        <w:left w:w="0" w:type="dxa"/>
        <w:top w:w="0" w:type="dxa"/>
        <w:right w:w="0" w:type="dxa"/>
        <w:bottom w:w="0" w:type="dxa"/>
      </w:tblCellMar>
    </w:tblPr>
  </w:style>
  <w:style w:type="table" w:styleId="843" w:customStyle="1">
    <w:name w:val="Grid Table 6 Colorful - Accent 3"/>
    <w:uiPriority w:val="99"/>
    <w:qFormat/>
    <w:tblPr>
      <w:tblCellMar>
        <w:left w:w="0" w:type="dxa"/>
        <w:top w:w="0" w:type="dxa"/>
        <w:right w:w="0" w:type="dxa"/>
        <w:bottom w:w="0" w:type="dxa"/>
      </w:tblCellMar>
    </w:tblPr>
  </w:style>
  <w:style w:type="table" w:styleId="844" w:customStyle="1">
    <w:name w:val="Grid Table 6 Colorful - Accent 4"/>
    <w:uiPriority w:val="99"/>
    <w:qFormat/>
    <w:tblPr>
      <w:tblCellMar>
        <w:left w:w="0" w:type="dxa"/>
        <w:top w:w="0" w:type="dxa"/>
        <w:right w:w="0" w:type="dxa"/>
        <w:bottom w:w="0" w:type="dxa"/>
      </w:tblCellMar>
    </w:tblPr>
  </w:style>
  <w:style w:type="table" w:styleId="845" w:customStyle="1">
    <w:name w:val="Grid Table 6 Colorful - Accent 5"/>
    <w:uiPriority w:val="99"/>
    <w:qFormat/>
    <w:tblPr>
      <w:tblCellMar>
        <w:left w:w="0" w:type="dxa"/>
        <w:top w:w="0" w:type="dxa"/>
        <w:right w:w="0" w:type="dxa"/>
        <w:bottom w:w="0" w:type="dxa"/>
      </w:tblCellMar>
    </w:tblPr>
  </w:style>
  <w:style w:type="table" w:styleId="846" w:customStyle="1">
    <w:name w:val="Grid Table 6 Colorful - Accent 6"/>
    <w:uiPriority w:val="99"/>
    <w:qFormat/>
    <w:tblPr>
      <w:tblCellMar>
        <w:left w:w="0" w:type="dxa"/>
        <w:top w:w="0" w:type="dxa"/>
        <w:right w:w="0" w:type="dxa"/>
        <w:bottom w:w="0" w:type="dxa"/>
      </w:tblCellMar>
    </w:tblPr>
  </w:style>
  <w:style w:type="table" w:styleId="847" w:customStyle="1">
    <w:name w:val="Grid Table 7 Colorful - Accent 1"/>
    <w:uiPriority w:val="99"/>
    <w:qFormat/>
    <w:tblPr>
      <w:tblCellMar>
        <w:left w:w="0" w:type="dxa"/>
        <w:top w:w="0" w:type="dxa"/>
        <w:right w:w="0" w:type="dxa"/>
        <w:bottom w:w="0" w:type="dxa"/>
      </w:tblCellMar>
    </w:tblPr>
  </w:style>
  <w:style w:type="table" w:styleId="848" w:customStyle="1">
    <w:name w:val="Grid Table 7 Colorful - Accent 2"/>
    <w:uiPriority w:val="99"/>
    <w:qFormat/>
    <w:tblPr>
      <w:tblCellMar>
        <w:left w:w="0" w:type="dxa"/>
        <w:top w:w="0" w:type="dxa"/>
        <w:right w:w="0" w:type="dxa"/>
        <w:bottom w:w="0" w:type="dxa"/>
      </w:tblCellMar>
    </w:tblPr>
  </w:style>
  <w:style w:type="table" w:styleId="849" w:customStyle="1">
    <w:name w:val="Grid Table 7 Colorful - Accent 3"/>
    <w:uiPriority w:val="99"/>
    <w:qFormat/>
    <w:tblPr>
      <w:tblCellMar>
        <w:left w:w="0" w:type="dxa"/>
        <w:top w:w="0" w:type="dxa"/>
        <w:right w:w="0" w:type="dxa"/>
        <w:bottom w:w="0" w:type="dxa"/>
      </w:tblCellMar>
    </w:tblPr>
  </w:style>
  <w:style w:type="table" w:styleId="850" w:customStyle="1">
    <w:name w:val="Grid Table 7 Colorful - Accent 4"/>
    <w:uiPriority w:val="99"/>
    <w:qFormat/>
    <w:tblPr>
      <w:tblCellMar>
        <w:left w:w="0" w:type="dxa"/>
        <w:top w:w="0" w:type="dxa"/>
        <w:right w:w="0" w:type="dxa"/>
        <w:bottom w:w="0" w:type="dxa"/>
      </w:tblCellMar>
    </w:tblPr>
  </w:style>
  <w:style w:type="table" w:styleId="851" w:customStyle="1">
    <w:name w:val="Grid Table 7 Colorful - Accent 5"/>
    <w:uiPriority w:val="99"/>
    <w:qFormat/>
    <w:tblPr>
      <w:tblCellMar>
        <w:left w:w="0" w:type="dxa"/>
        <w:top w:w="0" w:type="dxa"/>
        <w:right w:w="0" w:type="dxa"/>
        <w:bottom w:w="0" w:type="dxa"/>
      </w:tblCellMar>
    </w:tblPr>
  </w:style>
  <w:style w:type="table" w:styleId="852" w:customStyle="1">
    <w:name w:val="Grid Table 7 Colorful - Accent 6"/>
    <w:uiPriority w:val="99"/>
    <w:qFormat/>
    <w:tblPr>
      <w:tblCellMar>
        <w:left w:w="0" w:type="dxa"/>
        <w:top w:w="0" w:type="dxa"/>
        <w:right w:w="0" w:type="dxa"/>
        <w:bottom w:w="0" w:type="dxa"/>
      </w:tblCellMar>
    </w:tblPr>
  </w:style>
  <w:style w:type="table" w:styleId="853" w:customStyle="1">
    <w:name w:val="List Table 1 Light - Accent 1"/>
    <w:uiPriority w:val="99"/>
    <w:qFormat/>
    <w:tblPr>
      <w:tblCellMar>
        <w:left w:w="0" w:type="dxa"/>
        <w:top w:w="0" w:type="dxa"/>
        <w:right w:w="0" w:type="dxa"/>
        <w:bottom w:w="0" w:type="dxa"/>
      </w:tblCellMar>
    </w:tblPr>
  </w:style>
  <w:style w:type="table" w:styleId="854" w:customStyle="1">
    <w:name w:val="List Table 1 Light - Accent 2"/>
    <w:uiPriority w:val="99"/>
    <w:qFormat/>
    <w:tblPr>
      <w:tblCellMar>
        <w:left w:w="0" w:type="dxa"/>
        <w:top w:w="0" w:type="dxa"/>
        <w:right w:w="0" w:type="dxa"/>
        <w:bottom w:w="0" w:type="dxa"/>
      </w:tblCellMar>
    </w:tblPr>
  </w:style>
  <w:style w:type="table" w:styleId="855" w:customStyle="1">
    <w:name w:val="List Table 1 Light - Accent 3"/>
    <w:uiPriority w:val="99"/>
    <w:qFormat/>
    <w:tblPr>
      <w:tblCellMar>
        <w:left w:w="0" w:type="dxa"/>
        <w:top w:w="0" w:type="dxa"/>
        <w:right w:w="0" w:type="dxa"/>
        <w:bottom w:w="0" w:type="dxa"/>
      </w:tblCellMar>
    </w:tblPr>
  </w:style>
  <w:style w:type="table" w:styleId="856" w:customStyle="1">
    <w:name w:val="List Table 1 Light - Accent 4"/>
    <w:uiPriority w:val="99"/>
    <w:qFormat/>
    <w:tblPr>
      <w:tblCellMar>
        <w:left w:w="0" w:type="dxa"/>
        <w:top w:w="0" w:type="dxa"/>
        <w:right w:w="0" w:type="dxa"/>
        <w:bottom w:w="0" w:type="dxa"/>
      </w:tblCellMar>
    </w:tblPr>
  </w:style>
  <w:style w:type="table" w:styleId="857" w:customStyle="1">
    <w:name w:val="List Table 1 Light - Accent 5"/>
    <w:uiPriority w:val="99"/>
    <w:qFormat/>
    <w:tblPr>
      <w:tblCellMar>
        <w:left w:w="0" w:type="dxa"/>
        <w:top w:w="0" w:type="dxa"/>
        <w:right w:w="0" w:type="dxa"/>
        <w:bottom w:w="0" w:type="dxa"/>
      </w:tblCellMar>
    </w:tblPr>
  </w:style>
  <w:style w:type="table" w:styleId="858" w:customStyle="1">
    <w:name w:val="List Table 1 Light - Accent 6"/>
    <w:uiPriority w:val="99"/>
    <w:qFormat/>
    <w:tblPr>
      <w:tblCellMar>
        <w:left w:w="0" w:type="dxa"/>
        <w:top w:w="0" w:type="dxa"/>
        <w:right w:w="0" w:type="dxa"/>
        <w:bottom w:w="0" w:type="dxa"/>
      </w:tblCellMar>
    </w:tblPr>
  </w:style>
  <w:style w:type="table" w:styleId="859" w:customStyle="1">
    <w:name w:val="List Table 2 - Accent 1"/>
    <w:uiPriority w:val="99"/>
    <w:qFormat/>
    <w:tblPr>
      <w:tblCellMar>
        <w:left w:w="0" w:type="dxa"/>
        <w:top w:w="0" w:type="dxa"/>
        <w:right w:w="0" w:type="dxa"/>
        <w:bottom w:w="0" w:type="dxa"/>
      </w:tblCellMar>
    </w:tblPr>
  </w:style>
  <w:style w:type="table" w:styleId="860" w:customStyle="1">
    <w:name w:val="List Table 2 - Accent 2"/>
    <w:uiPriority w:val="99"/>
    <w:qFormat/>
    <w:tblPr>
      <w:tblCellMar>
        <w:left w:w="0" w:type="dxa"/>
        <w:top w:w="0" w:type="dxa"/>
        <w:right w:w="0" w:type="dxa"/>
        <w:bottom w:w="0" w:type="dxa"/>
      </w:tblCellMar>
    </w:tblPr>
  </w:style>
  <w:style w:type="table" w:styleId="861" w:customStyle="1">
    <w:name w:val="List Table 2 - Accent 3"/>
    <w:uiPriority w:val="99"/>
    <w:qFormat/>
    <w:tblPr>
      <w:tblCellMar>
        <w:left w:w="0" w:type="dxa"/>
        <w:top w:w="0" w:type="dxa"/>
        <w:right w:w="0" w:type="dxa"/>
        <w:bottom w:w="0" w:type="dxa"/>
      </w:tblCellMar>
    </w:tblPr>
  </w:style>
  <w:style w:type="table" w:styleId="862" w:customStyle="1">
    <w:name w:val="List Table 2 - Accent 4"/>
    <w:uiPriority w:val="99"/>
    <w:qFormat/>
    <w:tblPr>
      <w:tblCellMar>
        <w:left w:w="0" w:type="dxa"/>
        <w:top w:w="0" w:type="dxa"/>
        <w:right w:w="0" w:type="dxa"/>
        <w:bottom w:w="0" w:type="dxa"/>
      </w:tblCellMar>
    </w:tblPr>
  </w:style>
  <w:style w:type="table" w:styleId="863" w:customStyle="1">
    <w:name w:val="List Table 2 - Accent 5"/>
    <w:uiPriority w:val="99"/>
    <w:qFormat/>
    <w:tblPr>
      <w:tblCellMar>
        <w:left w:w="0" w:type="dxa"/>
        <w:top w:w="0" w:type="dxa"/>
        <w:right w:w="0" w:type="dxa"/>
        <w:bottom w:w="0" w:type="dxa"/>
      </w:tblCellMar>
    </w:tblPr>
  </w:style>
  <w:style w:type="table" w:styleId="864" w:customStyle="1">
    <w:name w:val="List Table 2 - Accent 6"/>
    <w:uiPriority w:val="99"/>
    <w:qFormat/>
    <w:tblPr>
      <w:tblCellMar>
        <w:left w:w="0" w:type="dxa"/>
        <w:top w:w="0" w:type="dxa"/>
        <w:right w:w="0" w:type="dxa"/>
        <w:bottom w:w="0" w:type="dxa"/>
      </w:tblCellMar>
    </w:tblPr>
  </w:style>
  <w:style w:type="table" w:styleId="865" w:customStyle="1">
    <w:name w:val="List Table 3 - Accent 1"/>
    <w:uiPriority w:val="99"/>
    <w:qFormat/>
    <w:tblPr>
      <w:tblCellMar>
        <w:left w:w="0" w:type="dxa"/>
        <w:top w:w="0" w:type="dxa"/>
        <w:right w:w="0" w:type="dxa"/>
        <w:bottom w:w="0" w:type="dxa"/>
      </w:tblCellMar>
    </w:tblPr>
  </w:style>
  <w:style w:type="table" w:styleId="866" w:customStyle="1">
    <w:name w:val="List Table 3 - Accent 2"/>
    <w:uiPriority w:val="99"/>
    <w:qFormat/>
    <w:tblPr>
      <w:tblCellMar>
        <w:left w:w="0" w:type="dxa"/>
        <w:top w:w="0" w:type="dxa"/>
        <w:right w:w="0" w:type="dxa"/>
        <w:bottom w:w="0" w:type="dxa"/>
      </w:tblCellMar>
    </w:tblPr>
  </w:style>
  <w:style w:type="table" w:styleId="867" w:customStyle="1">
    <w:name w:val="List Table 3 - Accent 3"/>
    <w:uiPriority w:val="99"/>
    <w:qFormat/>
    <w:tblPr>
      <w:tblCellMar>
        <w:left w:w="0" w:type="dxa"/>
        <w:top w:w="0" w:type="dxa"/>
        <w:right w:w="0" w:type="dxa"/>
        <w:bottom w:w="0" w:type="dxa"/>
      </w:tblCellMar>
    </w:tblPr>
  </w:style>
  <w:style w:type="table" w:styleId="868" w:customStyle="1">
    <w:name w:val="List Table 3 - Accent 4"/>
    <w:uiPriority w:val="99"/>
    <w:qFormat/>
    <w:tblPr>
      <w:tblCellMar>
        <w:left w:w="0" w:type="dxa"/>
        <w:top w:w="0" w:type="dxa"/>
        <w:right w:w="0" w:type="dxa"/>
        <w:bottom w:w="0" w:type="dxa"/>
      </w:tblCellMar>
    </w:tblPr>
  </w:style>
  <w:style w:type="table" w:styleId="869" w:customStyle="1">
    <w:name w:val="List Table 3 - Accent 5"/>
    <w:uiPriority w:val="99"/>
    <w:qFormat/>
    <w:tblPr>
      <w:tblCellMar>
        <w:left w:w="0" w:type="dxa"/>
        <w:top w:w="0" w:type="dxa"/>
        <w:right w:w="0" w:type="dxa"/>
        <w:bottom w:w="0" w:type="dxa"/>
      </w:tblCellMar>
    </w:tblPr>
  </w:style>
  <w:style w:type="table" w:styleId="870" w:customStyle="1">
    <w:name w:val="List Table 3 - Accent 6"/>
    <w:uiPriority w:val="99"/>
    <w:qFormat/>
    <w:tblPr>
      <w:tblCellMar>
        <w:left w:w="0" w:type="dxa"/>
        <w:top w:w="0" w:type="dxa"/>
        <w:right w:w="0" w:type="dxa"/>
        <w:bottom w:w="0" w:type="dxa"/>
      </w:tblCellMar>
    </w:tblPr>
  </w:style>
  <w:style w:type="table" w:styleId="871" w:customStyle="1">
    <w:name w:val="List Table 4 - Accent 1"/>
    <w:uiPriority w:val="99"/>
    <w:qFormat/>
    <w:tblPr>
      <w:tblCellMar>
        <w:left w:w="0" w:type="dxa"/>
        <w:top w:w="0" w:type="dxa"/>
        <w:right w:w="0" w:type="dxa"/>
        <w:bottom w:w="0" w:type="dxa"/>
      </w:tblCellMar>
    </w:tblPr>
  </w:style>
  <w:style w:type="table" w:styleId="872" w:customStyle="1">
    <w:name w:val="List Table 4 - Accent 2"/>
    <w:uiPriority w:val="99"/>
    <w:qFormat/>
    <w:tblPr>
      <w:tblCellMar>
        <w:left w:w="0" w:type="dxa"/>
        <w:top w:w="0" w:type="dxa"/>
        <w:right w:w="0" w:type="dxa"/>
        <w:bottom w:w="0" w:type="dxa"/>
      </w:tblCellMar>
    </w:tblPr>
  </w:style>
  <w:style w:type="table" w:styleId="873" w:customStyle="1">
    <w:name w:val="List Table 4 - Accent 3"/>
    <w:uiPriority w:val="99"/>
    <w:qFormat/>
    <w:tblPr>
      <w:tblCellMar>
        <w:left w:w="0" w:type="dxa"/>
        <w:top w:w="0" w:type="dxa"/>
        <w:right w:w="0" w:type="dxa"/>
        <w:bottom w:w="0" w:type="dxa"/>
      </w:tblCellMar>
    </w:tblPr>
  </w:style>
  <w:style w:type="table" w:styleId="874" w:customStyle="1">
    <w:name w:val="List Table 4 - Accent 4"/>
    <w:uiPriority w:val="99"/>
    <w:qFormat/>
    <w:tblPr>
      <w:tblCellMar>
        <w:left w:w="0" w:type="dxa"/>
        <w:top w:w="0" w:type="dxa"/>
        <w:right w:w="0" w:type="dxa"/>
        <w:bottom w:w="0" w:type="dxa"/>
      </w:tblCellMar>
    </w:tblPr>
  </w:style>
  <w:style w:type="table" w:styleId="875" w:customStyle="1">
    <w:name w:val="List Table 4 - Accent 5"/>
    <w:uiPriority w:val="99"/>
    <w:qFormat/>
    <w:tblPr>
      <w:tblCellMar>
        <w:left w:w="0" w:type="dxa"/>
        <w:top w:w="0" w:type="dxa"/>
        <w:right w:w="0" w:type="dxa"/>
        <w:bottom w:w="0" w:type="dxa"/>
      </w:tblCellMar>
    </w:tblPr>
  </w:style>
  <w:style w:type="table" w:styleId="876" w:customStyle="1">
    <w:name w:val="List Table 4 - Accent 6"/>
    <w:uiPriority w:val="99"/>
    <w:qFormat/>
    <w:tblPr>
      <w:tblCellMar>
        <w:left w:w="0" w:type="dxa"/>
        <w:top w:w="0" w:type="dxa"/>
        <w:right w:w="0" w:type="dxa"/>
        <w:bottom w:w="0" w:type="dxa"/>
      </w:tblCellMar>
    </w:tblPr>
  </w:style>
  <w:style w:type="table" w:styleId="877" w:customStyle="1">
    <w:name w:val="List Table 5 Dark - Accent 1"/>
    <w:uiPriority w:val="99"/>
    <w:qFormat/>
    <w:tblPr>
      <w:tblCellMar>
        <w:left w:w="0" w:type="dxa"/>
        <w:top w:w="0" w:type="dxa"/>
        <w:right w:w="0" w:type="dxa"/>
        <w:bottom w:w="0" w:type="dxa"/>
      </w:tblCellMar>
    </w:tblPr>
  </w:style>
  <w:style w:type="table" w:styleId="878" w:customStyle="1">
    <w:name w:val="List Table 5 Dark - Accent 2"/>
    <w:uiPriority w:val="99"/>
    <w:qFormat/>
    <w:tblPr>
      <w:tblCellMar>
        <w:left w:w="0" w:type="dxa"/>
        <w:top w:w="0" w:type="dxa"/>
        <w:right w:w="0" w:type="dxa"/>
        <w:bottom w:w="0" w:type="dxa"/>
      </w:tblCellMar>
    </w:tblPr>
  </w:style>
  <w:style w:type="table" w:styleId="879" w:customStyle="1">
    <w:name w:val="List Table 5 Dark - Accent 3"/>
    <w:uiPriority w:val="99"/>
    <w:qFormat/>
    <w:tblPr>
      <w:tblCellMar>
        <w:left w:w="0" w:type="dxa"/>
        <w:top w:w="0" w:type="dxa"/>
        <w:right w:w="0" w:type="dxa"/>
        <w:bottom w:w="0" w:type="dxa"/>
      </w:tblCellMar>
    </w:tblPr>
  </w:style>
  <w:style w:type="table" w:styleId="880" w:customStyle="1">
    <w:name w:val="List Table 5 Dark - Accent 4"/>
    <w:uiPriority w:val="99"/>
    <w:qFormat/>
    <w:tblPr>
      <w:tblCellMar>
        <w:left w:w="0" w:type="dxa"/>
        <w:top w:w="0" w:type="dxa"/>
        <w:right w:w="0" w:type="dxa"/>
        <w:bottom w:w="0" w:type="dxa"/>
      </w:tblCellMar>
    </w:tblPr>
  </w:style>
  <w:style w:type="table" w:styleId="881" w:customStyle="1">
    <w:name w:val="List Table 5 Dark - Accent 5"/>
    <w:uiPriority w:val="99"/>
    <w:qFormat/>
    <w:tblPr>
      <w:tblCellMar>
        <w:left w:w="0" w:type="dxa"/>
        <w:top w:w="0" w:type="dxa"/>
        <w:right w:w="0" w:type="dxa"/>
        <w:bottom w:w="0" w:type="dxa"/>
      </w:tblCellMar>
    </w:tblPr>
  </w:style>
  <w:style w:type="table" w:styleId="882" w:customStyle="1">
    <w:name w:val="List Table 5 Dark - Accent 6"/>
    <w:uiPriority w:val="99"/>
    <w:qFormat/>
    <w:tblPr>
      <w:tblCellMar>
        <w:left w:w="0" w:type="dxa"/>
        <w:top w:w="0" w:type="dxa"/>
        <w:right w:w="0" w:type="dxa"/>
        <w:bottom w:w="0" w:type="dxa"/>
      </w:tblCellMar>
    </w:tblPr>
  </w:style>
  <w:style w:type="table" w:styleId="883" w:customStyle="1">
    <w:name w:val="List Table 6 Colorful - Accent 1"/>
    <w:uiPriority w:val="99"/>
    <w:qFormat/>
    <w:tblPr>
      <w:tblCellMar>
        <w:left w:w="0" w:type="dxa"/>
        <w:top w:w="0" w:type="dxa"/>
        <w:right w:w="0" w:type="dxa"/>
        <w:bottom w:w="0" w:type="dxa"/>
      </w:tblCellMar>
    </w:tblPr>
  </w:style>
  <w:style w:type="table" w:styleId="884" w:customStyle="1">
    <w:name w:val="List Table 6 Colorful - Accent 2"/>
    <w:uiPriority w:val="99"/>
    <w:qFormat/>
    <w:tblPr>
      <w:tblCellMar>
        <w:left w:w="0" w:type="dxa"/>
        <w:top w:w="0" w:type="dxa"/>
        <w:right w:w="0" w:type="dxa"/>
        <w:bottom w:w="0" w:type="dxa"/>
      </w:tblCellMar>
    </w:tblPr>
  </w:style>
  <w:style w:type="table" w:styleId="885" w:customStyle="1">
    <w:name w:val="List Table 6 Colorful - Accent 3"/>
    <w:uiPriority w:val="99"/>
    <w:qFormat/>
    <w:tblPr>
      <w:tblCellMar>
        <w:left w:w="0" w:type="dxa"/>
        <w:top w:w="0" w:type="dxa"/>
        <w:right w:w="0" w:type="dxa"/>
        <w:bottom w:w="0" w:type="dxa"/>
      </w:tblCellMar>
    </w:tblPr>
  </w:style>
  <w:style w:type="table" w:styleId="886" w:customStyle="1">
    <w:name w:val="List Table 6 Colorful - Accent 4"/>
    <w:uiPriority w:val="99"/>
    <w:qFormat/>
    <w:tblPr>
      <w:tblCellMar>
        <w:left w:w="0" w:type="dxa"/>
        <w:top w:w="0" w:type="dxa"/>
        <w:right w:w="0" w:type="dxa"/>
        <w:bottom w:w="0" w:type="dxa"/>
      </w:tblCellMar>
    </w:tblPr>
  </w:style>
  <w:style w:type="table" w:styleId="887" w:customStyle="1">
    <w:name w:val="List Table 6 Colorful - Accent 5"/>
    <w:uiPriority w:val="99"/>
    <w:qFormat/>
    <w:tblPr>
      <w:tblCellMar>
        <w:left w:w="0" w:type="dxa"/>
        <w:top w:w="0" w:type="dxa"/>
        <w:right w:w="0" w:type="dxa"/>
        <w:bottom w:w="0" w:type="dxa"/>
      </w:tblCellMar>
    </w:tblPr>
  </w:style>
  <w:style w:type="table" w:styleId="888" w:customStyle="1">
    <w:name w:val="List Table 6 Colorful - Accent 6"/>
    <w:uiPriority w:val="99"/>
    <w:qFormat/>
    <w:tblPr>
      <w:tblCellMar>
        <w:left w:w="0" w:type="dxa"/>
        <w:top w:w="0" w:type="dxa"/>
        <w:right w:w="0" w:type="dxa"/>
        <w:bottom w:w="0" w:type="dxa"/>
      </w:tblCellMar>
    </w:tblPr>
  </w:style>
  <w:style w:type="table" w:styleId="889" w:customStyle="1">
    <w:name w:val="List Table 7 Colorful - Accent 1"/>
    <w:uiPriority w:val="99"/>
    <w:qFormat/>
    <w:tblPr>
      <w:tblCellMar>
        <w:left w:w="0" w:type="dxa"/>
        <w:top w:w="0" w:type="dxa"/>
        <w:right w:w="0" w:type="dxa"/>
        <w:bottom w:w="0" w:type="dxa"/>
      </w:tblCellMar>
    </w:tblPr>
  </w:style>
  <w:style w:type="table" w:styleId="890" w:customStyle="1">
    <w:name w:val="List Table 7 Colorful - Accent 2"/>
    <w:uiPriority w:val="99"/>
    <w:qFormat/>
    <w:tblPr>
      <w:tblCellMar>
        <w:left w:w="0" w:type="dxa"/>
        <w:top w:w="0" w:type="dxa"/>
        <w:right w:w="0" w:type="dxa"/>
        <w:bottom w:w="0" w:type="dxa"/>
      </w:tblCellMar>
    </w:tblPr>
  </w:style>
  <w:style w:type="table" w:styleId="891" w:customStyle="1">
    <w:name w:val="List Table 7 Colorful - Accent 3"/>
    <w:uiPriority w:val="99"/>
    <w:qFormat/>
    <w:tblPr>
      <w:tblCellMar>
        <w:left w:w="0" w:type="dxa"/>
        <w:top w:w="0" w:type="dxa"/>
        <w:right w:w="0" w:type="dxa"/>
        <w:bottom w:w="0" w:type="dxa"/>
      </w:tblCellMar>
    </w:tblPr>
  </w:style>
  <w:style w:type="table" w:styleId="892" w:customStyle="1">
    <w:name w:val="List Table 7 Colorful - Accent 4"/>
    <w:uiPriority w:val="99"/>
    <w:qFormat/>
    <w:tblPr>
      <w:tblCellMar>
        <w:left w:w="0" w:type="dxa"/>
        <w:top w:w="0" w:type="dxa"/>
        <w:right w:w="0" w:type="dxa"/>
        <w:bottom w:w="0" w:type="dxa"/>
      </w:tblCellMar>
    </w:tblPr>
  </w:style>
  <w:style w:type="table" w:styleId="893" w:customStyle="1">
    <w:name w:val="List Table 7 Colorful - Accent 5"/>
    <w:uiPriority w:val="99"/>
    <w:qFormat/>
    <w:tblPr>
      <w:tblCellMar>
        <w:left w:w="0" w:type="dxa"/>
        <w:top w:w="0" w:type="dxa"/>
        <w:right w:w="0" w:type="dxa"/>
        <w:bottom w:w="0" w:type="dxa"/>
      </w:tblCellMar>
    </w:tblPr>
  </w:style>
  <w:style w:type="table" w:styleId="894" w:customStyle="1">
    <w:name w:val="List Table 7 Colorful - Accent 6"/>
    <w:uiPriority w:val="99"/>
    <w:qFormat/>
    <w:tblPr>
      <w:tblCellMar>
        <w:left w:w="0" w:type="dxa"/>
        <w:top w:w="0" w:type="dxa"/>
        <w:right w:w="0" w:type="dxa"/>
        <w:bottom w:w="0" w:type="dxa"/>
      </w:tblCellMar>
    </w:tblPr>
  </w:style>
  <w:style w:type="table" w:styleId="895" w:customStyle="1">
    <w:name w:val="Lined - Accent"/>
    <w:uiPriority w:val="99"/>
    <w:qFormat/>
    <w:rPr>
      <w:color w:val="404040"/>
    </w:rPr>
    <w:tblPr>
      <w:tblCellMar>
        <w:left w:w="0" w:type="dxa"/>
        <w:top w:w="0" w:type="dxa"/>
        <w:right w:w="0" w:type="dxa"/>
        <w:bottom w:w="0" w:type="dxa"/>
      </w:tblCellMar>
    </w:tblPr>
  </w:style>
  <w:style w:type="table" w:styleId="896" w:customStyle="1">
    <w:name w:val="Lined - Accent 1"/>
    <w:uiPriority w:val="99"/>
    <w:qFormat/>
    <w:rPr>
      <w:color w:val="404040"/>
    </w:rPr>
    <w:tblPr>
      <w:tblCellMar>
        <w:left w:w="0" w:type="dxa"/>
        <w:top w:w="0" w:type="dxa"/>
        <w:right w:w="0" w:type="dxa"/>
        <w:bottom w:w="0" w:type="dxa"/>
      </w:tblCellMar>
    </w:tblPr>
  </w:style>
  <w:style w:type="table" w:styleId="897" w:customStyle="1">
    <w:name w:val="Lined - Accent 2"/>
    <w:uiPriority w:val="99"/>
    <w:qFormat/>
    <w:rPr>
      <w:color w:val="404040"/>
    </w:rPr>
    <w:tblPr>
      <w:tblCellMar>
        <w:left w:w="0" w:type="dxa"/>
        <w:top w:w="0" w:type="dxa"/>
        <w:right w:w="0" w:type="dxa"/>
        <w:bottom w:w="0" w:type="dxa"/>
      </w:tblCellMar>
    </w:tblPr>
  </w:style>
  <w:style w:type="table" w:styleId="898" w:customStyle="1">
    <w:name w:val="Lined - Accent 3"/>
    <w:uiPriority w:val="99"/>
    <w:qFormat/>
    <w:rPr>
      <w:color w:val="404040"/>
    </w:rPr>
    <w:tblPr>
      <w:tblCellMar>
        <w:left w:w="0" w:type="dxa"/>
        <w:top w:w="0" w:type="dxa"/>
        <w:right w:w="0" w:type="dxa"/>
        <w:bottom w:w="0" w:type="dxa"/>
      </w:tblCellMar>
    </w:tblPr>
  </w:style>
  <w:style w:type="table" w:styleId="899" w:customStyle="1">
    <w:name w:val="Lined - Accent 4"/>
    <w:uiPriority w:val="99"/>
    <w:qFormat/>
    <w:rPr>
      <w:color w:val="404040"/>
    </w:rPr>
    <w:tblPr>
      <w:tblCellMar>
        <w:left w:w="0" w:type="dxa"/>
        <w:top w:w="0" w:type="dxa"/>
        <w:right w:w="0" w:type="dxa"/>
        <w:bottom w:w="0" w:type="dxa"/>
      </w:tblCellMar>
    </w:tblPr>
  </w:style>
  <w:style w:type="table" w:styleId="900" w:customStyle="1">
    <w:name w:val="Lined - Accent 5"/>
    <w:uiPriority w:val="99"/>
    <w:qFormat/>
    <w:rPr>
      <w:color w:val="404040"/>
    </w:rPr>
    <w:tblPr>
      <w:tblCellMar>
        <w:left w:w="0" w:type="dxa"/>
        <w:top w:w="0" w:type="dxa"/>
        <w:right w:w="0" w:type="dxa"/>
        <w:bottom w:w="0" w:type="dxa"/>
      </w:tblCellMar>
    </w:tblPr>
  </w:style>
  <w:style w:type="table" w:styleId="901" w:customStyle="1">
    <w:name w:val="Lined - Accent 6"/>
    <w:uiPriority w:val="99"/>
    <w:qFormat/>
    <w:rPr>
      <w:color w:val="404040"/>
    </w:rPr>
    <w:tblPr>
      <w:tblCellMar>
        <w:left w:w="0" w:type="dxa"/>
        <w:top w:w="0" w:type="dxa"/>
        <w:right w:w="0" w:type="dxa"/>
        <w:bottom w:w="0" w:type="dxa"/>
      </w:tblCellMar>
    </w:tblPr>
  </w:style>
  <w:style w:type="table" w:styleId="902" w:customStyle="1">
    <w:name w:val="Bordered &amp; Lined - Accent"/>
    <w:uiPriority w:val="99"/>
    <w:qFormat/>
    <w:rPr>
      <w:color w:val="404040"/>
    </w:rPr>
    <w:tblPr>
      <w:tblCellMar>
        <w:left w:w="0" w:type="dxa"/>
        <w:top w:w="0" w:type="dxa"/>
        <w:right w:w="0" w:type="dxa"/>
        <w:bottom w:w="0" w:type="dxa"/>
      </w:tblCellMar>
    </w:tblPr>
  </w:style>
  <w:style w:type="table" w:styleId="903" w:customStyle="1">
    <w:name w:val="Bordered &amp; Lined - Accent 1"/>
    <w:uiPriority w:val="99"/>
    <w:qFormat/>
    <w:rPr>
      <w:color w:val="404040"/>
    </w:rPr>
    <w:tblPr>
      <w:tblCellMar>
        <w:left w:w="0" w:type="dxa"/>
        <w:top w:w="0" w:type="dxa"/>
        <w:right w:w="0" w:type="dxa"/>
        <w:bottom w:w="0" w:type="dxa"/>
      </w:tblCellMar>
    </w:tblPr>
  </w:style>
  <w:style w:type="table" w:styleId="904" w:customStyle="1">
    <w:name w:val="Bordered &amp; Lined - Accent 2"/>
    <w:uiPriority w:val="99"/>
    <w:qFormat/>
    <w:rPr>
      <w:color w:val="404040"/>
    </w:rPr>
    <w:tblPr>
      <w:tblCellMar>
        <w:left w:w="0" w:type="dxa"/>
        <w:top w:w="0" w:type="dxa"/>
        <w:right w:w="0" w:type="dxa"/>
        <w:bottom w:w="0" w:type="dxa"/>
      </w:tblCellMar>
    </w:tblPr>
  </w:style>
  <w:style w:type="table" w:styleId="905" w:customStyle="1">
    <w:name w:val="Bordered &amp; Lined - Accent 3"/>
    <w:uiPriority w:val="99"/>
    <w:qFormat/>
    <w:rPr>
      <w:color w:val="404040"/>
    </w:rPr>
    <w:tblPr>
      <w:tblCellMar>
        <w:left w:w="0" w:type="dxa"/>
        <w:top w:w="0" w:type="dxa"/>
        <w:right w:w="0" w:type="dxa"/>
        <w:bottom w:w="0" w:type="dxa"/>
      </w:tblCellMar>
    </w:tblPr>
  </w:style>
  <w:style w:type="table" w:styleId="906" w:customStyle="1">
    <w:name w:val="Bordered &amp; Lined - Accent 4"/>
    <w:uiPriority w:val="99"/>
    <w:qFormat/>
    <w:rPr>
      <w:color w:val="404040"/>
    </w:rPr>
    <w:tblPr>
      <w:tblCellMar>
        <w:left w:w="0" w:type="dxa"/>
        <w:top w:w="0" w:type="dxa"/>
        <w:right w:w="0" w:type="dxa"/>
        <w:bottom w:w="0" w:type="dxa"/>
      </w:tblCellMar>
    </w:tblPr>
  </w:style>
  <w:style w:type="table" w:styleId="907" w:customStyle="1">
    <w:name w:val="Bordered &amp; Lined - Accent 5"/>
    <w:uiPriority w:val="99"/>
    <w:qFormat/>
    <w:rPr>
      <w:color w:val="404040"/>
    </w:rPr>
    <w:tblPr>
      <w:tblCellMar>
        <w:left w:w="0" w:type="dxa"/>
        <w:top w:w="0" w:type="dxa"/>
        <w:right w:w="0" w:type="dxa"/>
        <w:bottom w:w="0" w:type="dxa"/>
      </w:tblCellMar>
    </w:tblPr>
  </w:style>
  <w:style w:type="table" w:styleId="908" w:customStyle="1">
    <w:name w:val="Bordered &amp; Lined - Accent 6"/>
    <w:uiPriority w:val="99"/>
    <w:qFormat/>
    <w:rPr>
      <w:color w:val="404040"/>
    </w:rPr>
    <w:tblPr>
      <w:tblCellMar>
        <w:left w:w="0" w:type="dxa"/>
        <w:top w:w="0" w:type="dxa"/>
        <w:right w:w="0" w:type="dxa"/>
        <w:bottom w:w="0" w:type="dxa"/>
      </w:tblCellMar>
    </w:tblPr>
  </w:style>
  <w:style w:type="table" w:styleId="909" w:customStyle="1">
    <w:name w:val="Bordered"/>
    <w:uiPriority w:val="99"/>
    <w:qFormat/>
    <w:tblPr>
      <w:tblCellMar>
        <w:left w:w="0" w:type="dxa"/>
        <w:top w:w="0" w:type="dxa"/>
        <w:right w:w="0" w:type="dxa"/>
        <w:bottom w:w="0" w:type="dxa"/>
      </w:tblCellMar>
    </w:tblPr>
  </w:style>
  <w:style w:type="table" w:styleId="910" w:customStyle="1">
    <w:name w:val="Bordered - Accent 1"/>
    <w:uiPriority w:val="99"/>
    <w:qFormat/>
    <w:tblPr>
      <w:tblCellMar>
        <w:left w:w="0" w:type="dxa"/>
        <w:top w:w="0" w:type="dxa"/>
        <w:right w:w="0" w:type="dxa"/>
        <w:bottom w:w="0" w:type="dxa"/>
      </w:tblCellMar>
    </w:tblPr>
  </w:style>
  <w:style w:type="table" w:styleId="911" w:customStyle="1">
    <w:name w:val="Bordered - Accent 2"/>
    <w:uiPriority w:val="99"/>
    <w:qFormat/>
    <w:tblPr>
      <w:tblCellMar>
        <w:left w:w="0" w:type="dxa"/>
        <w:top w:w="0" w:type="dxa"/>
        <w:right w:w="0" w:type="dxa"/>
        <w:bottom w:w="0" w:type="dxa"/>
      </w:tblCellMar>
    </w:tblPr>
  </w:style>
  <w:style w:type="table" w:styleId="912" w:customStyle="1">
    <w:name w:val="Bordered - Accent 3"/>
    <w:uiPriority w:val="99"/>
    <w:qFormat/>
    <w:tblPr>
      <w:tblCellMar>
        <w:left w:w="0" w:type="dxa"/>
        <w:top w:w="0" w:type="dxa"/>
        <w:right w:w="0" w:type="dxa"/>
        <w:bottom w:w="0" w:type="dxa"/>
      </w:tblCellMar>
    </w:tblPr>
  </w:style>
  <w:style w:type="table" w:styleId="913" w:customStyle="1">
    <w:name w:val="Bordered - Accent 4"/>
    <w:uiPriority w:val="99"/>
    <w:qFormat/>
    <w:tblPr>
      <w:tblCellMar>
        <w:left w:w="0" w:type="dxa"/>
        <w:top w:w="0" w:type="dxa"/>
        <w:right w:w="0" w:type="dxa"/>
        <w:bottom w:w="0" w:type="dxa"/>
      </w:tblCellMar>
    </w:tblPr>
  </w:style>
  <w:style w:type="table" w:styleId="914" w:customStyle="1">
    <w:name w:val="Bordered - Accent 5"/>
    <w:uiPriority w:val="99"/>
    <w:qFormat/>
    <w:tblPr>
      <w:tblCellMar>
        <w:left w:w="0" w:type="dxa"/>
        <w:top w:w="0" w:type="dxa"/>
        <w:right w:w="0" w:type="dxa"/>
        <w:bottom w:w="0" w:type="dxa"/>
      </w:tblCellMar>
    </w:tblPr>
  </w:style>
  <w:style w:type="table" w:styleId="915" w:customStyle="1">
    <w:name w:val="Bordered - Accent 6"/>
    <w:uiPriority w:val="99"/>
    <w:qFormat/>
    <w:tblPr>
      <w:tblCellMar>
        <w:left w:w="0" w:type="dxa"/>
        <w:top w:w="0" w:type="dxa"/>
        <w:right w:w="0" w:type="dxa"/>
        <w:bottom w:w="0" w:type="dxa"/>
      </w:tblCellMar>
    </w:tblPr>
  </w:style>
  <w:style w:type="paragraph" w:styleId="916" w:customStyle="1">
    <w:name w:val="TOC 标题2"/>
    <w:uiPriority w:val="39"/>
    <w:qFormat/>
    <w:rPr>
      <w:rFonts w:ascii="Times New Roman" w:hAnsi="Times New Roman" w:eastAsia="宋体" w:cs="Times New Roman"/>
      <w:lang w:val="en-US" w:eastAsia="zh-CN" w:bidi="ar-SA"/>
    </w:rPr>
  </w:style>
  <w:style w:type="paragraph" w:styleId="917" w:customStyle="1">
    <w:name w:val="标题 11"/>
    <w:basedOn w:val="670"/>
    <w:next w:val="670"/>
    <w:link w:val="918"/>
    <w:uiPriority w:val="0"/>
    <w:qFormat/>
    <w:pPr>
      <w:keepLines/>
      <w:keepNext/>
      <w:spacing w:before="340" w:after="330" w:line="578" w:lineRule="auto"/>
      <w:outlineLvl w:val="0"/>
    </w:pPr>
    <w:rPr>
      <w:b/>
      <w:bCs/>
      <w:sz w:val="44"/>
      <w:szCs w:val="44"/>
    </w:rPr>
  </w:style>
  <w:style w:type="character" w:styleId="918" w:customStyle="1">
    <w:name w:val="标题 1 Char"/>
    <w:link w:val="917"/>
    <w:uiPriority w:val="0"/>
    <w:qFormat/>
    <w:rPr>
      <w:rFonts w:ascii="Times New Roman" w:hAnsi="Times New Roman" w:eastAsia="宋体" w:cs="Times New Roman"/>
      <w:b/>
      <w:bCs/>
      <w:sz w:val="44"/>
      <w:szCs w:val="44"/>
    </w:rPr>
  </w:style>
  <w:style w:type="paragraph" w:styleId="919" w:customStyle="1">
    <w:name w:val="标题 21"/>
    <w:basedOn w:val="670"/>
    <w:next w:val="670"/>
    <w:link w:val="920"/>
    <w:uiPriority w:val="9"/>
    <w:qFormat/>
    <w:pPr>
      <w:keepLines/>
      <w:keepNext/>
      <w:spacing w:before="260" w:after="260" w:line="416" w:lineRule="auto"/>
      <w:outlineLvl w:val="1"/>
    </w:pPr>
    <w:rPr>
      <w:rFonts w:ascii="Arial" w:hAnsi="Arial" w:eastAsia="黑体"/>
      <w:b/>
      <w:bCs/>
      <w:sz w:val="32"/>
      <w:szCs w:val="32"/>
    </w:rPr>
  </w:style>
  <w:style w:type="character" w:styleId="920" w:customStyle="1">
    <w:name w:val="标题 2 Char"/>
    <w:link w:val="919"/>
    <w:uiPriority w:val="9"/>
    <w:qFormat/>
    <w:rPr>
      <w:rFonts w:ascii="Arial" w:hAnsi="Arial" w:eastAsia="黑体" w:cs="Times New Roman"/>
      <w:b/>
      <w:bCs/>
      <w:sz w:val="32"/>
      <w:szCs w:val="32"/>
    </w:rPr>
  </w:style>
  <w:style w:type="paragraph" w:styleId="921" w:customStyle="1">
    <w:name w:val="标题 31"/>
    <w:basedOn w:val="670"/>
    <w:next w:val="670"/>
    <w:link w:val="922"/>
    <w:uiPriority w:val="0"/>
    <w:qFormat/>
    <w:pPr>
      <w:ind w:firstLine="49"/>
      <w:keepLines/>
      <w:keepNext/>
      <w:spacing w:before="20" w:after="20" w:line="415" w:lineRule="auto"/>
      <w:outlineLvl w:val="2"/>
    </w:pPr>
    <w:rPr>
      <w:rFonts w:hAnsi="黑体" w:eastAsia="黑体"/>
      <w:sz w:val="24"/>
      <w:szCs w:val="20"/>
    </w:rPr>
  </w:style>
  <w:style w:type="character" w:styleId="922" w:customStyle="1">
    <w:name w:val="标题 3 Char"/>
    <w:link w:val="921"/>
    <w:uiPriority w:val="0"/>
    <w:qFormat/>
    <w:rPr>
      <w:rFonts w:ascii="Times New Roman" w:hAnsi="黑体" w:eastAsia="黑体" w:cs="Times New Roman"/>
      <w:sz w:val="24"/>
      <w:szCs w:val="20"/>
    </w:rPr>
  </w:style>
  <w:style w:type="paragraph" w:styleId="923" w:customStyle="1">
    <w:name w:val="标题 41"/>
    <w:basedOn w:val="670"/>
    <w:next w:val="670"/>
    <w:link w:val="924"/>
    <w:uiPriority w:val="1"/>
    <w:qFormat/>
    <w:pPr>
      <w:keepLines/>
      <w:keepNext/>
      <w:spacing w:before="280" w:after="290" w:line="376" w:lineRule="auto"/>
      <w:outlineLvl w:val="3"/>
    </w:pPr>
    <w:rPr>
      <w:rFonts w:ascii="Cambria" w:hAnsi="Cambria"/>
      <w:b/>
      <w:bCs/>
      <w:sz w:val="28"/>
      <w:szCs w:val="28"/>
    </w:rPr>
  </w:style>
  <w:style w:type="character" w:styleId="924" w:customStyle="1">
    <w:name w:val="标题 4 Char"/>
    <w:link w:val="923"/>
    <w:uiPriority w:val="1"/>
    <w:qFormat/>
    <w:rPr>
      <w:rFonts w:ascii="Cambria" w:hAnsi="Cambria" w:eastAsia="宋体" w:cs="Times New Roman"/>
      <w:b/>
      <w:bCs/>
      <w:sz w:val="28"/>
      <w:szCs w:val="28"/>
    </w:rPr>
  </w:style>
  <w:style w:type="character" w:styleId="925" w:customStyle="1">
    <w:name w:val="默认段落字体1"/>
    <w:uiPriority w:val="1"/>
    <w:unhideWhenUsed/>
    <w:qFormat/>
  </w:style>
  <w:style w:type="table" w:styleId="926" w:customStyle="1">
    <w:name w:val="普通表格1"/>
    <w:uiPriority w:val="99"/>
    <w:unhideWhenUsed/>
    <w:qFormat/>
    <w:tblPr>
      <w:tblCellMar>
        <w:left w:w="0" w:type="dxa"/>
        <w:top w:w="0" w:type="dxa"/>
        <w:right w:w="0" w:type="dxa"/>
        <w:bottom w:w="0" w:type="dxa"/>
      </w:tblCellMar>
    </w:tblPr>
  </w:style>
  <w:style w:type="paragraph" w:styleId="927" w:customStyle="1">
    <w:name w:val="目录 71"/>
    <w:basedOn w:val="670"/>
    <w:next w:val="670"/>
    <w:uiPriority w:val="0"/>
    <w:qFormat/>
    <w:pPr>
      <w:ind w:left="1200"/>
    </w:pPr>
    <w:rPr>
      <w:szCs w:val="24"/>
    </w:rPr>
  </w:style>
  <w:style w:type="paragraph" w:styleId="928" w:customStyle="1">
    <w:name w:val="正文缩进1"/>
    <w:basedOn w:val="670"/>
    <w:uiPriority w:val="0"/>
    <w:qFormat/>
    <w:pPr>
      <w:ind w:firstLine="200"/>
    </w:pPr>
    <w:rPr>
      <w:szCs w:val="24"/>
    </w:rPr>
  </w:style>
  <w:style w:type="paragraph" w:styleId="929" w:customStyle="1">
    <w:name w:val="批注文字1"/>
    <w:basedOn w:val="670"/>
    <w:link w:val="930"/>
    <w:uiPriority w:val="0"/>
    <w:qFormat/>
    <w:pPr>
      <w:jc w:val="left"/>
    </w:pPr>
    <w:rPr>
      <w:sz w:val="20"/>
      <w:szCs w:val="24"/>
    </w:rPr>
  </w:style>
  <w:style w:type="character" w:styleId="930" w:customStyle="1">
    <w:name w:val="批注文字 Char"/>
    <w:link w:val="929"/>
    <w:uiPriority w:val="0"/>
    <w:qFormat/>
    <w:rPr>
      <w:rFonts w:ascii="Times New Roman" w:hAnsi="Times New Roman" w:eastAsia="宋体" w:cs="Times New Roman"/>
      <w:szCs w:val="24"/>
    </w:rPr>
  </w:style>
  <w:style w:type="paragraph" w:styleId="931" w:customStyle="1">
    <w:name w:val="正文文本1"/>
    <w:basedOn w:val="670"/>
    <w:next w:val="670"/>
    <w:link w:val="932"/>
    <w:uiPriority w:val="0"/>
    <w:qFormat/>
    <w:pPr>
      <w:spacing w:after="120"/>
    </w:pPr>
    <w:rPr>
      <w:sz w:val="20"/>
      <w:szCs w:val="24"/>
    </w:rPr>
  </w:style>
  <w:style w:type="character" w:styleId="932" w:customStyle="1">
    <w:name w:val="正文文本 Char"/>
    <w:link w:val="931"/>
    <w:uiPriority w:val="99"/>
    <w:qFormat/>
    <w:rPr>
      <w:rFonts w:ascii="Times New Roman" w:hAnsi="Times New Roman" w:eastAsia="宋体" w:cs="Times New Roman"/>
      <w:szCs w:val="24"/>
    </w:rPr>
  </w:style>
  <w:style w:type="paragraph" w:styleId="933" w:customStyle="1">
    <w:name w:val="目录 51"/>
    <w:basedOn w:val="670"/>
    <w:next w:val="670"/>
    <w:uiPriority w:val="0"/>
    <w:qFormat/>
    <w:pPr>
      <w:ind w:left="800"/>
    </w:pPr>
    <w:rPr>
      <w:szCs w:val="24"/>
    </w:rPr>
  </w:style>
  <w:style w:type="paragraph" w:styleId="934" w:customStyle="1">
    <w:name w:val="目录 31"/>
    <w:basedOn w:val="670"/>
    <w:next w:val="670"/>
    <w:uiPriority w:val="0"/>
    <w:qFormat/>
    <w:pPr>
      <w:ind w:left="400"/>
    </w:pPr>
    <w:rPr>
      <w:szCs w:val="24"/>
    </w:rPr>
  </w:style>
  <w:style w:type="paragraph" w:styleId="935" w:customStyle="1">
    <w:name w:val="纯文本2"/>
    <w:basedOn w:val="670"/>
    <w:link w:val="936"/>
    <w:uiPriority w:val="0"/>
    <w:qFormat/>
    <w:rPr>
      <w:rFonts w:ascii="宋体" w:hAnsi="Courier New"/>
      <w:sz w:val="20"/>
      <w:szCs w:val="20"/>
    </w:rPr>
  </w:style>
  <w:style w:type="character" w:styleId="936" w:customStyle="1">
    <w:name w:val="纯文本 Char"/>
    <w:link w:val="935"/>
    <w:uiPriority w:val="0"/>
    <w:qFormat/>
    <w:rPr>
      <w:rFonts w:ascii="宋体" w:hAnsi="Courier New" w:eastAsia="宋体" w:cs="Times New Roman"/>
      <w:szCs w:val="20"/>
    </w:rPr>
  </w:style>
  <w:style w:type="paragraph" w:styleId="937" w:customStyle="1">
    <w:name w:val="目录 81"/>
    <w:basedOn w:val="670"/>
    <w:next w:val="670"/>
    <w:uiPriority w:val="0"/>
    <w:qFormat/>
    <w:pPr>
      <w:ind w:left="1400"/>
    </w:pPr>
    <w:rPr>
      <w:szCs w:val="24"/>
    </w:rPr>
  </w:style>
  <w:style w:type="paragraph" w:styleId="938" w:customStyle="1">
    <w:name w:val="日期1"/>
    <w:basedOn w:val="670"/>
    <w:next w:val="670"/>
    <w:link w:val="939"/>
    <w:uiPriority w:val="0"/>
    <w:qFormat/>
    <w:rPr>
      <w:rFonts w:ascii="宋体" w:hAnsi="宋体" w:eastAsia="楷体_GB2312"/>
      <w:sz w:val="24"/>
      <w:szCs w:val="20"/>
    </w:rPr>
  </w:style>
  <w:style w:type="character" w:styleId="939" w:customStyle="1">
    <w:name w:val="日期 Char"/>
    <w:link w:val="938"/>
    <w:uiPriority w:val="0"/>
    <w:qFormat/>
    <w:rPr>
      <w:rFonts w:ascii="宋体" w:hAnsi="宋体" w:eastAsia="楷体_GB2312" w:cs="Times New Roman"/>
      <w:sz w:val="24"/>
      <w:szCs w:val="20"/>
    </w:rPr>
  </w:style>
  <w:style w:type="paragraph" w:styleId="940" w:customStyle="1">
    <w:name w:val="批注框文本1"/>
    <w:basedOn w:val="670"/>
    <w:link w:val="941"/>
    <w:uiPriority w:val="0"/>
    <w:qFormat/>
    <w:rPr>
      <w:sz w:val="18"/>
      <w:szCs w:val="18"/>
    </w:rPr>
  </w:style>
  <w:style w:type="character" w:styleId="941" w:customStyle="1">
    <w:name w:val="批注框文本 Char"/>
    <w:link w:val="940"/>
    <w:uiPriority w:val="0"/>
    <w:qFormat/>
    <w:rPr>
      <w:rFonts w:ascii="Times New Roman" w:hAnsi="Times New Roman" w:eastAsia="宋体" w:cs="Times New Roman"/>
      <w:sz w:val="18"/>
      <w:szCs w:val="18"/>
    </w:rPr>
  </w:style>
  <w:style w:type="paragraph" w:styleId="942" w:customStyle="1">
    <w:name w:val="页脚1"/>
    <w:basedOn w:val="670"/>
    <w:link w:val="943"/>
    <w:uiPriority w:val="99"/>
    <w:qFormat/>
    <w:pPr>
      <w:jc w:val="left"/>
      <w:tabs>
        <w:tab w:val="center" w:pos="4153" w:leader="none"/>
        <w:tab w:val="right" w:pos="8306" w:leader="none"/>
      </w:tabs>
    </w:pPr>
    <w:rPr>
      <w:sz w:val="18"/>
      <w:szCs w:val="20"/>
    </w:rPr>
  </w:style>
  <w:style w:type="character" w:styleId="943" w:customStyle="1">
    <w:name w:val="页脚 Char"/>
    <w:link w:val="942"/>
    <w:uiPriority w:val="99"/>
    <w:qFormat/>
    <w:rPr>
      <w:rFonts w:ascii="Times New Roman" w:hAnsi="Times New Roman" w:eastAsia="宋体" w:cs="Times New Roman"/>
      <w:sz w:val="18"/>
      <w:szCs w:val="20"/>
    </w:rPr>
  </w:style>
  <w:style w:type="paragraph" w:styleId="944" w:customStyle="1">
    <w:name w:val="页眉1"/>
    <w:basedOn w:val="670"/>
    <w:link w:val="945"/>
    <w:uiPriority w:val="0"/>
    <w:qFormat/>
    <w:pPr>
      <w:jc w:val="center"/>
      <w:tabs>
        <w:tab w:val="center" w:pos="4153" w:leader="none"/>
        <w:tab w:val="right" w:pos="8306" w:leader="none"/>
      </w:tabs>
      <w:pBdr>
        <w:bottom w:val="single" w:color="000000" w:sz="6" w:space="1"/>
      </w:pBdr>
    </w:pPr>
    <w:rPr>
      <w:sz w:val="18"/>
      <w:szCs w:val="18"/>
    </w:rPr>
  </w:style>
  <w:style w:type="character" w:styleId="945" w:customStyle="1">
    <w:name w:val="页眉 Char"/>
    <w:link w:val="944"/>
    <w:uiPriority w:val="0"/>
    <w:qFormat/>
    <w:rPr>
      <w:rFonts w:ascii="Times New Roman" w:hAnsi="Times New Roman" w:eastAsia="宋体" w:cs="Times New Roman"/>
      <w:sz w:val="18"/>
      <w:szCs w:val="18"/>
    </w:rPr>
  </w:style>
  <w:style w:type="paragraph" w:styleId="946" w:customStyle="1">
    <w:name w:val="目录 11"/>
    <w:basedOn w:val="670"/>
    <w:next w:val="670"/>
    <w:uiPriority w:val="39"/>
    <w:qFormat/>
    <w:rPr>
      <w:szCs w:val="24"/>
    </w:rPr>
  </w:style>
  <w:style w:type="paragraph" w:styleId="947" w:customStyle="1">
    <w:name w:val="目录 41"/>
    <w:basedOn w:val="670"/>
    <w:next w:val="670"/>
    <w:uiPriority w:val="0"/>
    <w:qFormat/>
    <w:pPr>
      <w:ind w:left="600"/>
    </w:pPr>
    <w:rPr>
      <w:szCs w:val="24"/>
    </w:rPr>
  </w:style>
  <w:style w:type="paragraph" w:styleId="948" w:customStyle="1">
    <w:name w:val="脚注文本1"/>
    <w:basedOn w:val="670"/>
    <w:link w:val="949"/>
    <w:uiPriority w:val="0"/>
    <w:qFormat/>
    <w:pPr>
      <w:jc w:val="left"/>
    </w:pPr>
    <w:rPr>
      <w:sz w:val="18"/>
      <w:szCs w:val="18"/>
    </w:rPr>
  </w:style>
  <w:style w:type="character" w:styleId="949" w:customStyle="1">
    <w:name w:val="脚注文本 Char"/>
    <w:link w:val="948"/>
    <w:uiPriority w:val="0"/>
    <w:qFormat/>
    <w:rPr>
      <w:rFonts w:ascii="Times New Roman" w:hAnsi="Times New Roman" w:eastAsia="宋体" w:cs="Times New Roman"/>
      <w:sz w:val="18"/>
      <w:szCs w:val="18"/>
    </w:rPr>
  </w:style>
  <w:style w:type="paragraph" w:styleId="950" w:customStyle="1">
    <w:name w:val="目录 61"/>
    <w:basedOn w:val="670"/>
    <w:next w:val="670"/>
    <w:uiPriority w:val="0"/>
    <w:qFormat/>
    <w:pPr>
      <w:ind w:left="1000"/>
    </w:pPr>
    <w:rPr>
      <w:szCs w:val="24"/>
    </w:rPr>
  </w:style>
  <w:style w:type="paragraph" w:styleId="951" w:customStyle="1">
    <w:name w:val="目录 21"/>
    <w:basedOn w:val="670"/>
    <w:next w:val="670"/>
    <w:uiPriority w:val="0"/>
    <w:qFormat/>
    <w:pPr>
      <w:ind w:left="200"/>
    </w:pPr>
    <w:rPr>
      <w:szCs w:val="24"/>
    </w:rPr>
  </w:style>
  <w:style w:type="paragraph" w:styleId="952" w:customStyle="1">
    <w:name w:val="目录 91"/>
    <w:basedOn w:val="670"/>
    <w:next w:val="670"/>
    <w:uiPriority w:val="0"/>
    <w:qFormat/>
    <w:pPr>
      <w:ind w:left="1600"/>
    </w:pPr>
    <w:rPr>
      <w:szCs w:val="24"/>
    </w:rPr>
  </w:style>
  <w:style w:type="paragraph" w:styleId="953" w:customStyle="1">
    <w:name w:val="普通(网站)1"/>
    <w:basedOn w:val="670"/>
    <w:uiPriority w:val="0"/>
    <w:qFormat/>
    <w:pPr>
      <w:jc w:val="left"/>
      <w:spacing w:beforeAutospacing="1" w:afterAutospacing="1"/>
    </w:pPr>
    <w:rPr>
      <w:sz w:val="24"/>
      <w:szCs w:val="24"/>
    </w:rPr>
  </w:style>
  <w:style w:type="paragraph" w:styleId="954" w:customStyle="1">
    <w:name w:val="批注主题1"/>
    <w:basedOn w:val="929"/>
    <w:next w:val="929"/>
    <w:link w:val="955"/>
    <w:uiPriority w:val="0"/>
    <w:qFormat/>
    <w:rPr>
      <w:b/>
      <w:bCs/>
    </w:rPr>
  </w:style>
  <w:style w:type="character" w:styleId="955" w:customStyle="1">
    <w:name w:val="批注主题 Char"/>
    <w:link w:val="954"/>
    <w:uiPriority w:val="0"/>
    <w:qFormat/>
    <w:rPr>
      <w:rFonts w:ascii="Times New Roman" w:hAnsi="Times New Roman" w:eastAsia="宋体" w:cs="Times New Roman"/>
      <w:b/>
      <w:bCs/>
      <w:szCs w:val="24"/>
    </w:rPr>
  </w:style>
  <w:style w:type="table" w:styleId="956" w:customStyle="1">
    <w:name w:val="网格型1"/>
    <w:basedOn w:val="926"/>
    <w:uiPriority w:val="0"/>
    <w:qFormat/>
    <w:pPr>
      <w:jc w:val="both"/>
      <w:widowControl w:val="off"/>
    </w:pPr>
    <w:tblPr/>
  </w:style>
  <w:style w:type="character" w:styleId="957" w:customStyle="1">
    <w:name w:val="要点1"/>
    <w:uiPriority w:val="0"/>
    <w:qFormat/>
    <w:rPr>
      <w:b/>
      <w:sz w:val="24"/>
      <w:szCs w:val="24"/>
    </w:rPr>
  </w:style>
  <w:style w:type="character" w:styleId="958" w:customStyle="1">
    <w:name w:val="访问过的超链接1"/>
    <w:uiPriority w:val="0"/>
    <w:qFormat/>
    <w:rPr>
      <w:color w:val="800080"/>
      <w:u w:val="none"/>
    </w:rPr>
  </w:style>
  <w:style w:type="character" w:styleId="959" w:customStyle="1">
    <w:name w:val="强调1"/>
    <w:uiPriority w:val="0"/>
    <w:qFormat/>
    <w:rPr>
      <w:color w:val="cc0000"/>
      <w:sz w:val="24"/>
      <w:szCs w:val="24"/>
    </w:rPr>
  </w:style>
  <w:style w:type="character" w:styleId="960" w:customStyle="1">
    <w:name w:val="HTML 定义1"/>
    <w:uiPriority w:val="0"/>
    <w:qFormat/>
  </w:style>
  <w:style w:type="character" w:styleId="961" w:customStyle="1">
    <w:name w:val="HTML 缩写1"/>
    <w:uiPriority w:val="0"/>
    <w:qFormat/>
  </w:style>
  <w:style w:type="character" w:styleId="962" w:customStyle="1">
    <w:name w:val="HTML 变量1"/>
    <w:uiPriority w:val="0"/>
    <w:qFormat/>
  </w:style>
  <w:style w:type="character" w:styleId="963" w:customStyle="1">
    <w:name w:val="超链接1"/>
    <w:uiPriority w:val="99"/>
    <w:qFormat/>
    <w:rPr>
      <w:color w:val="555555"/>
      <w:u w:val="none"/>
    </w:rPr>
  </w:style>
  <w:style w:type="character" w:styleId="964" w:customStyle="1">
    <w:name w:val="HTML 代码1"/>
    <w:uiPriority w:val="0"/>
    <w:qFormat/>
    <w:rPr>
      <w:rFonts w:ascii="monospace" w:hAnsi="monospace" w:eastAsia="monospace" w:cs="monospace"/>
      <w:color w:val="555555"/>
      <w:sz w:val="24"/>
      <w:szCs w:val="24"/>
      <w:u w:val="none"/>
    </w:rPr>
  </w:style>
  <w:style w:type="character" w:styleId="965" w:customStyle="1">
    <w:name w:val="批注引用1"/>
    <w:uiPriority w:val="0"/>
    <w:qFormat/>
    <w:rPr>
      <w:sz w:val="21"/>
      <w:szCs w:val="21"/>
    </w:rPr>
  </w:style>
  <w:style w:type="character" w:styleId="966" w:customStyle="1">
    <w:name w:val="HTML 引文1"/>
    <w:uiPriority w:val="0"/>
    <w:qFormat/>
  </w:style>
  <w:style w:type="character" w:styleId="967" w:customStyle="1">
    <w:name w:val="脚注引用1"/>
    <w:uiPriority w:val="0"/>
    <w:qFormat/>
    <w:rPr>
      <w:vertAlign w:val="superscript"/>
    </w:rPr>
  </w:style>
  <w:style w:type="character" w:styleId="968" w:customStyle="1">
    <w:name w:val="HTML 键盘1"/>
    <w:uiPriority w:val="0"/>
    <w:qFormat/>
    <w:rPr>
      <w:rFonts w:ascii="monospace" w:hAnsi="monospace" w:eastAsia="monospace" w:cs="monospace"/>
      <w:sz w:val="24"/>
      <w:szCs w:val="24"/>
    </w:rPr>
  </w:style>
  <w:style w:type="character" w:styleId="969" w:customStyle="1">
    <w:name w:val="HTML 样本1"/>
    <w:uiPriority w:val="0"/>
    <w:qFormat/>
    <w:rPr>
      <w:rFonts w:ascii="monospace" w:hAnsi="monospace" w:eastAsia="monospace" w:cs="monospace"/>
      <w:sz w:val="24"/>
      <w:szCs w:val="24"/>
    </w:rPr>
  </w:style>
  <w:style w:type="paragraph" w:styleId="970" w:customStyle="1">
    <w:name w:val="段"/>
    <w:next w:val="670"/>
    <w:uiPriority w:val="0"/>
    <w:qFormat/>
    <w:pPr>
      <w:ind w:firstLine="200"/>
      <w:jc w:val="both"/>
    </w:pPr>
    <w:rPr>
      <w:rFonts w:ascii="宋体" w:hAnsi="Times New Roman" w:eastAsia="宋体" w:cs="Times New Roman"/>
      <w:sz w:val="21"/>
      <w:lang w:val="en-US" w:eastAsia="zh-CN" w:bidi="ar-SA"/>
    </w:rPr>
  </w:style>
  <w:style w:type="character" w:styleId="971" w:customStyle="1">
    <w:name w:val="place2"/>
    <w:uiPriority w:val="0"/>
    <w:qFormat/>
    <w:rPr>
      <w:rFonts w:ascii="微软雅黑" w:hAnsi="微软雅黑" w:eastAsia="微软雅黑" w:cs="微软雅黑"/>
      <w:color w:val="888888"/>
      <w:sz w:val="25"/>
      <w:szCs w:val="25"/>
    </w:rPr>
  </w:style>
  <w:style w:type="character" w:styleId="972" w:customStyle="1">
    <w:name w:val="ui-bz-bg-hover"/>
    <w:uiPriority w:val="0"/>
    <w:qFormat/>
    <w:rPr>
      <w:shd w:val="clear" w:color="auto" w:fill="000000"/>
    </w:rPr>
  </w:style>
  <w:style w:type="character" w:styleId="973" w:customStyle="1">
    <w:name w:val="font1"/>
    <w:uiPriority w:val="0"/>
    <w:qFormat/>
  </w:style>
  <w:style w:type="character" w:styleId="974" w:customStyle="1">
    <w:name w:val="place3"/>
    <w:uiPriority w:val="0"/>
    <w:qFormat/>
  </w:style>
  <w:style w:type="character" w:styleId="975" w:customStyle="1">
    <w:name w:val="bds_more1"/>
    <w:uiPriority w:val="0"/>
    <w:qFormat/>
  </w:style>
  <w:style w:type="character" w:styleId="976" w:customStyle="1">
    <w:name w:val="bds_nopic1"/>
    <w:uiPriority w:val="0"/>
    <w:qFormat/>
  </w:style>
  <w:style w:type="character" w:styleId="977" w:customStyle="1">
    <w:name w:val="redfilefwwh"/>
    <w:uiPriority w:val="0"/>
    <w:qFormat/>
    <w:rPr>
      <w:color w:val="ba2636"/>
      <w:sz w:val="18"/>
      <w:szCs w:val="18"/>
    </w:rPr>
  </w:style>
  <w:style w:type="character" w:styleId="978" w:customStyle="1">
    <w:name w:val="bds_nopic2"/>
    <w:uiPriority w:val="0"/>
    <w:qFormat/>
  </w:style>
  <w:style w:type="character" w:styleId="979" w:customStyle="1">
    <w:name w:val="top-icon"/>
    <w:uiPriority w:val="0"/>
    <w:qFormat/>
  </w:style>
  <w:style w:type="character" w:styleId="980" w:customStyle="1">
    <w:name w:val="no42"/>
    <w:uiPriority w:val="0"/>
    <w:qFormat/>
  </w:style>
  <w:style w:type="character" w:styleId="981" w:customStyle="1">
    <w:name w:val="hover"/>
    <w:uiPriority w:val="0"/>
    <w:qFormat/>
    <w:rPr>
      <w:color w:val="025291"/>
    </w:rPr>
  </w:style>
  <w:style w:type="character" w:styleId="982" w:customStyle="1">
    <w:name w:val="qxdate"/>
    <w:uiPriority w:val="0"/>
    <w:qFormat/>
    <w:rPr>
      <w:color w:val="333333"/>
      <w:sz w:val="18"/>
      <w:szCs w:val="18"/>
    </w:rPr>
  </w:style>
  <w:style w:type="character" w:styleId="983" w:customStyle="1">
    <w:name w:val="displayarti"/>
    <w:uiPriority w:val="0"/>
    <w:qFormat/>
    <w:rPr>
      <w:color w:val="ffffff"/>
      <w:shd w:val="clear" w:color="auto" w:fill="a00000"/>
    </w:rPr>
  </w:style>
  <w:style w:type="character" w:styleId="984" w:customStyle="1">
    <w:name w:val="tip7"/>
    <w:uiPriority w:val="0"/>
    <w:qFormat/>
    <w:rPr>
      <w:vanish/>
      <w:color w:val="ff0000"/>
      <w:sz w:val="18"/>
      <w:szCs w:val="18"/>
    </w:rPr>
  </w:style>
  <w:style w:type="character" w:styleId="985" w:customStyle="1">
    <w:name w:val="orange6"/>
    <w:uiPriority w:val="0"/>
    <w:qFormat/>
    <w:rPr>
      <w:color w:val="3fb58f"/>
    </w:rPr>
  </w:style>
  <w:style w:type="character" w:styleId="986" w:customStyle="1">
    <w:name w:val="ico-jiang1"/>
    <w:uiPriority w:val="0"/>
    <w:qFormat/>
  </w:style>
  <w:style w:type="character" w:styleId="987" w:customStyle="1">
    <w:name w:val="font"/>
    <w:uiPriority w:val="0"/>
    <w:qFormat/>
  </w:style>
  <w:style w:type="character" w:styleId="988" w:customStyle="1">
    <w:name w:val="prev"/>
    <w:uiPriority w:val="0"/>
    <w:qFormat/>
    <w:rPr>
      <w:color w:val="888888"/>
    </w:rPr>
  </w:style>
  <w:style w:type="character" w:styleId="989" w:customStyle="1">
    <w:name w:val="no72"/>
    <w:uiPriority w:val="0"/>
    <w:qFormat/>
  </w:style>
  <w:style w:type="character" w:styleId="990" w:customStyle="1">
    <w:name w:val="ui-bz-bg-hover1"/>
    <w:uiPriority w:val="0"/>
    <w:qFormat/>
  </w:style>
  <w:style w:type="character" w:styleId="991" w:customStyle="1">
    <w:name w:val="font31"/>
    <w:uiPriority w:val="0"/>
    <w:qFormat/>
    <w:rPr>
      <w:rFonts w:hint="eastAsia" w:ascii="宋体" w:hAnsi="宋体" w:eastAsia="宋体" w:cs="宋体"/>
      <w:color w:val="000000"/>
      <w:sz w:val="22"/>
      <w:szCs w:val="22"/>
      <w:u w:val="none"/>
    </w:rPr>
  </w:style>
  <w:style w:type="character" w:styleId="992" w:customStyle="1">
    <w:name w:val="font41"/>
    <w:uiPriority w:val="0"/>
    <w:qFormat/>
    <w:rPr>
      <w:rFonts w:hint="eastAsia" w:ascii="宋体" w:hAnsi="宋体" w:eastAsia="宋体" w:cs="宋体"/>
      <w:color w:val="000000"/>
      <w:sz w:val="22"/>
      <w:szCs w:val="22"/>
      <w:u w:val="none"/>
    </w:rPr>
  </w:style>
  <w:style w:type="character" w:styleId="993" w:customStyle="1">
    <w:name w:val="ico-jiang"/>
    <w:uiPriority w:val="0"/>
    <w:qFormat/>
  </w:style>
  <w:style w:type="character" w:styleId="994" w:customStyle="1">
    <w:name w:val="f-star"/>
    <w:uiPriority w:val="0"/>
    <w:qFormat/>
    <w:rPr>
      <w:color w:val="999999"/>
      <w:sz w:val="21"/>
      <w:szCs w:val="21"/>
    </w:rPr>
  </w:style>
  <w:style w:type="character" w:styleId="995" w:customStyle="1">
    <w:name w:val="next3"/>
    <w:uiPriority w:val="0"/>
    <w:qFormat/>
    <w:rPr>
      <w:rFonts w:hint="eastAsia" w:ascii="微软雅黑" w:hAnsi="微软雅黑" w:eastAsia="微软雅黑" w:cs="微软雅黑"/>
      <w:sz w:val="21"/>
      <w:szCs w:val="21"/>
    </w:rPr>
  </w:style>
  <w:style w:type="character" w:styleId="996" w:customStyle="1">
    <w:name w:val="bds_more"/>
    <w:uiPriority w:val="0"/>
    <w:qFormat/>
    <w:rPr>
      <w:rFonts w:hint="eastAsia" w:ascii="宋体" w:hAnsi="宋体" w:eastAsia="宋体" w:cs="宋体"/>
    </w:rPr>
  </w:style>
  <w:style w:type="character" w:styleId="997" w:customStyle="1">
    <w:name w:val="font11"/>
    <w:uiPriority w:val="0"/>
    <w:qFormat/>
    <w:rPr>
      <w:rFonts w:hint="eastAsia" w:ascii="仿宋" w:hAnsi="仿宋" w:eastAsia="仿宋" w:cs="仿宋"/>
      <w:color w:val="000000"/>
      <w:sz w:val="24"/>
      <w:szCs w:val="24"/>
      <w:u w:val="none"/>
    </w:rPr>
  </w:style>
  <w:style w:type="character" w:styleId="998" w:customStyle="1">
    <w:name w:val="redfilenumber"/>
    <w:uiPriority w:val="0"/>
    <w:qFormat/>
    <w:rPr>
      <w:color w:val="ba2636"/>
      <w:sz w:val="18"/>
      <w:szCs w:val="18"/>
    </w:rPr>
  </w:style>
  <w:style w:type="character" w:styleId="999" w:customStyle="1">
    <w:name w:val="cfdate"/>
    <w:uiPriority w:val="0"/>
    <w:qFormat/>
    <w:rPr>
      <w:color w:val="333333"/>
      <w:sz w:val="18"/>
      <w:szCs w:val="18"/>
    </w:rPr>
  </w:style>
  <w:style w:type="character" w:styleId="1000" w:customStyle="1">
    <w:name w:val="next2"/>
    <w:uiPriority w:val="0"/>
    <w:qFormat/>
    <w:rPr>
      <w:color w:val="888888"/>
    </w:rPr>
  </w:style>
  <w:style w:type="character" w:styleId="1001" w:customStyle="1">
    <w:name w:val="font61"/>
    <w:uiPriority w:val="0"/>
    <w:qFormat/>
    <w:rPr>
      <w:rFonts w:hint="eastAsia" w:ascii="宋体" w:hAnsi="宋体" w:eastAsia="宋体" w:cs="宋体"/>
      <w:color w:val="000000"/>
      <w:sz w:val="22"/>
      <w:szCs w:val="22"/>
      <w:u w:val="none"/>
    </w:rPr>
  </w:style>
  <w:style w:type="character" w:styleId="1002" w:customStyle="1">
    <w:name w:val="bds_nopic"/>
    <w:uiPriority w:val="0"/>
    <w:qFormat/>
  </w:style>
  <w:style w:type="character" w:styleId="1003" w:customStyle="1">
    <w:name w:val="laypage_curr"/>
    <w:uiPriority w:val="0"/>
    <w:qFormat/>
    <w:rPr>
      <w:color w:val="fffdf4"/>
      <w:shd w:val="clear" w:color="auto" w:fill="0b67a6"/>
    </w:rPr>
  </w:style>
  <w:style w:type="character" w:styleId="1004" w:customStyle="1">
    <w:name w:val="gwds_nopic2"/>
    <w:uiPriority w:val="0"/>
    <w:qFormat/>
  </w:style>
  <w:style w:type="character" w:styleId="1005" w:customStyle="1">
    <w:name w:val="no62"/>
    <w:uiPriority w:val="0"/>
    <w:qFormat/>
  </w:style>
  <w:style w:type="character" w:styleId="1006" w:customStyle="1">
    <w:name w:val="font21"/>
    <w:basedOn w:val="680"/>
    <w:uiPriority w:val="0"/>
    <w:qFormat/>
    <w:rPr>
      <w:rFonts w:hint="eastAsia" w:ascii="宋体" w:hAnsi="宋体" w:eastAsia="宋体" w:cs="宋体"/>
      <w:color w:val="000000"/>
      <w:sz w:val="24"/>
      <w:szCs w:val="24"/>
      <w:u w:val="none"/>
    </w:rPr>
  </w:style>
  <w:style w:type="character" w:styleId="1007" w:customStyle="1">
    <w:name w:val="hover17"/>
    <w:uiPriority w:val="0"/>
    <w:qFormat/>
    <w:rPr>
      <w:color w:val="025291"/>
    </w:rPr>
  </w:style>
  <w:style w:type="character" w:styleId="1008" w:customStyle="1">
    <w:name w:val="prev1"/>
    <w:uiPriority w:val="0"/>
    <w:qFormat/>
    <w:rPr>
      <w:rFonts w:ascii="微软雅黑" w:hAnsi="微软雅黑" w:eastAsia="微软雅黑" w:cs="微软雅黑"/>
      <w:sz w:val="21"/>
      <w:szCs w:val="21"/>
    </w:rPr>
  </w:style>
  <w:style w:type="character" w:styleId="1009" w:customStyle="1">
    <w:name w:val="t-tag"/>
    <w:uiPriority w:val="0"/>
    <w:qFormat/>
    <w:rPr>
      <w:color w:val="ffffff"/>
      <w:sz w:val="18"/>
      <w:szCs w:val="18"/>
      <w:shd w:val="clear" w:color="auto" w:fill="fe8833"/>
    </w:rPr>
  </w:style>
  <w:style w:type="character" w:styleId="1010" w:customStyle="1">
    <w:name w:val="org_name2"/>
    <w:uiPriority w:val="0"/>
    <w:qFormat/>
    <w:rPr>
      <w:color w:val="ff0000"/>
      <w:sz w:val="21"/>
      <w:szCs w:val="21"/>
    </w:rPr>
  </w:style>
  <w:style w:type="character" w:styleId="1011" w:customStyle="1">
    <w:name w:val="font01"/>
    <w:basedOn w:val="680"/>
    <w:uiPriority w:val="99"/>
    <w:qFormat/>
    <w:rPr>
      <w:rFonts w:hint="eastAsia" w:ascii="宋体" w:hAnsi="宋体" w:eastAsia="宋体" w:cs="宋体"/>
      <w:color w:val="000000"/>
      <w:sz w:val="22"/>
      <w:szCs w:val="22"/>
      <w:u w:val="none"/>
    </w:rPr>
  </w:style>
  <w:style w:type="character" w:styleId="1012" w:customStyle="1">
    <w:name w:val="noline"/>
    <w:uiPriority w:val="0"/>
    <w:qFormat/>
  </w:style>
  <w:style w:type="character" w:styleId="1013" w:customStyle="1">
    <w:name w:val="place"/>
    <w:uiPriority w:val="0"/>
    <w:qFormat/>
  </w:style>
  <w:style w:type="character" w:styleId="1014" w:customStyle="1">
    <w:name w:val="place1"/>
    <w:uiPriority w:val="0"/>
    <w:qFormat/>
  </w:style>
  <w:style w:type="character" w:styleId="1015" w:customStyle="1">
    <w:name w:val="no52"/>
    <w:uiPriority w:val="0"/>
    <w:qFormat/>
  </w:style>
  <w:style w:type="character" w:styleId="1016" w:customStyle="1">
    <w:name w:val="my-notice1"/>
    <w:uiPriority w:val="0"/>
    <w:qFormat/>
  </w:style>
  <w:style w:type="character" w:styleId="1017" w:customStyle="1">
    <w:name w:val="gjfg"/>
    <w:uiPriority w:val="0"/>
    <w:qFormat/>
  </w:style>
  <w:style w:type="character" w:styleId="1018" w:customStyle="1">
    <w:name w:val="gwds_nopic1"/>
    <w:uiPriority w:val="0"/>
    <w:qFormat/>
  </w:style>
  <w:style w:type="character" w:styleId="1019" w:customStyle="1">
    <w:name w:val="gwds_nopic"/>
    <w:uiPriority w:val="0"/>
    <w:qFormat/>
  </w:style>
  <w:style w:type="character" w:styleId="1020" w:customStyle="1">
    <w:name w:val="bds_more2"/>
    <w:uiPriority w:val="0"/>
    <w:qFormat/>
  </w:style>
  <w:style w:type="character" w:styleId="1021" w:customStyle="1">
    <w:name w:val="my-class"/>
    <w:uiPriority w:val="0"/>
    <w:qFormat/>
  </w:style>
  <w:style w:type="character" w:styleId="1022" w:customStyle="1">
    <w:name w:val="hover18"/>
    <w:uiPriority w:val="0"/>
    <w:qFormat/>
    <w:rPr>
      <w:color w:val="025291"/>
    </w:rPr>
  </w:style>
  <w:style w:type="character" w:styleId="1023" w:customStyle="1">
    <w:name w:val="tip6"/>
    <w:uiPriority w:val="0"/>
    <w:qFormat/>
  </w:style>
  <w:style w:type="character" w:styleId="1024" w:customStyle="1">
    <w:name w:val="nth-child(1)"/>
    <w:uiPriority w:val="0"/>
    <w:qFormat/>
  </w:style>
  <w:style w:type="character" w:styleId="1025" w:customStyle="1">
    <w:name w:val="nth-child(1)1"/>
    <w:uiPriority w:val="0"/>
    <w:qFormat/>
  </w:style>
  <w:style w:type="character" w:styleId="1026" w:customStyle="1">
    <w:name w:val="pause-close"/>
    <w:uiPriority w:val="0"/>
    <w:qFormat/>
  </w:style>
  <w:style w:type="character" w:styleId="1027" w:customStyle="1">
    <w:name w:val="before"/>
    <w:uiPriority w:val="0"/>
    <w:qFormat/>
  </w:style>
  <w:style w:type="character" w:styleId="1028" w:customStyle="1">
    <w:name w:val="before1"/>
    <w:uiPriority w:val="0"/>
    <w:qFormat/>
  </w:style>
  <w:style w:type="character" w:styleId="1029" w:customStyle="1">
    <w:name w:val="after2"/>
    <w:uiPriority w:val="0"/>
    <w:qFormat/>
  </w:style>
  <w:style w:type="character" w:styleId="1030" w:customStyle="1">
    <w:name w:val="nth-child(2)"/>
    <w:uiPriority w:val="0"/>
    <w:qFormat/>
    <w:rPr>
      <w:b/>
      <w:sz w:val="36"/>
      <w:szCs w:val="36"/>
    </w:rPr>
  </w:style>
  <w:style w:type="character" w:styleId="1031" w:customStyle="1">
    <w:name w:val="nth-child(2)1"/>
    <w:uiPriority w:val="0"/>
    <w:qFormat/>
    <w:rPr>
      <w:rFonts w:ascii="iconfont" w:hAnsi="iconfont" w:eastAsia="iconfont" w:cs="iconfont"/>
    </w:rPr>
  </w:style>
  <w:style w:type="character" w:styleId="1032" w:customStyle="1">
    <w:name w:val="more1"/>
    <w:uiPriority w:val="0"/>
    <w:qFormat/>
    <w:rPr>
      <w:color w:val="666666"/>
      <w:sz w:val="18"/>
      <w:szCs w:val="18"/>
    </w:rPr>
  </w:style>
  <w:style w:type="character" w:styleId="1033" w:customStyle="1">
    <w:name w:val="ing"/>
    <w:uiPriority w:val="0"/>
    <w:qFormat/>
    <w:rPr>
      <w:color w:val="00b882"/>
    </w:rPr>
  </w:style>
  <w:style w:type="character" w:styleId="1034" w:customStyle="1">
    <w:name w:val="ing1"/>
    <w:uiPriority w:val="0"/>
    <w:qFormat/>
    <w:rPr>
      <w:color w:val="00b882"/>
    </w:rPr>
  </w:style>
  <w:style w:type="character" w:styleId="1035" w:customStyle="1">
    <w:name w:val="bg-icon2"/>
    <w:uiPriority w:val="0"/>
    <w:qFormat/>
    <w:rPr>
      <w:color w:val="00b28e"/>
    </w:rPr>
  </w:style>
  <w:style w:type="character" w:styleId="1036" w:customStyle="1">
    <w:name w:val="text6"/>
    <w:uiPriority w:val="0"/>
    <w:qFormat/>
  </w:style>
  <w:style w:type="character" w:styleId="1037" w:customStyle="1">
    <w:name w:val="hover34"/>
    <w:uiPriority w:val="0"/>
    <w:qFormat/>
    <w:rPr>
      <w:color w:val="00b882"/>
      <w:u w:val="single"/>
    </w:rPr>
  </w:style>
  <w:style w:type="character" w:styleId="1038" w:customStyle="1">
    <w:name w:val="hover35"/>
    <w:uiPriority w:val="0"/>
    <w:qFormat/>
    <w:rPr>
      <w:color w:val="ffffff"/>
    </w:rPr>
  </w:style>
  <w:style w:type="character" w:styleId="1039" w:customStyle="1">
    <w:name w:val="icons14"/>
    <w:uiPriority w:val="0"/>
    <w:qFormat/>
  </w:style>
  <w:style w:type="character" w:styleId="1040" w:customStyle="1">
    <w:name w:val="default-color"/>
    <w:uiPriority w:val="0"/>
    <w:qFormat/>
    <w:rPr>
      <w:sz w:val="24"/>
      <w:szCs w:val="24"/>
    </w:rPr>
  </w:style>
  <w:style w:type="character" w:styleId="1041" w:customStyle="1">
    <w:name w:val="default-color1"/>
    <w:uiPriority w:val="0"/>
    <w:qFormat/>
  </w:style>
  <w:style w:type="character" w:styleId="1042" w:customStyle="1">
    <w:name w:val="complete2"/>
    <w:uiPriority w:val="0"/>
    <w:qFormat/>
    <w:rPr>
      <w:shd w:val="clear" w:color="auto" w:fill="4bb7ce"/>
    </w:rPr>
  </w:style>
  <w:style w:type="paragraph" w:styleId="1043" w:customStyle="1">
    <w:name w:val="样式 标题 3 + (中文) 黑体 小四 非加粗 段前: 7.8 磅 段后: 0 磅 行距: 固定值 20 磅"/>
    <w:basedOn w:val="921"/>
    <w:uiPriority w:val="0"/>
    <w:qFormat/>
    <w:pPr>
      <w:spacing w:before="0" w:after="0" w:line="400" w:lineRule="exact"/>
    </w:pPr>
    <w:rPr>
      <w:rFonts w:cs="宋体"/>
    </w:rPr>
  </w:style>
  <w:style w:type="paragraph" w:styleId="1044" w:customStyle="1">
    <w:name w:val="列出段落3"/>
    <w:basedOn w:val="670"/>
    <w:uiPriority w:val="99"/>
    <w:qFormat/>
    <w:pPr>
      <w:ind w:firstLine="200"/>
    </w:pPr>
    <w:rPr>
      <w:szCs w:val="24"/>
    </w:rPr>
  </w:style>
  <w:style w:type="paragraph" w:styleId="1045"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46" w:customStyle="1">
    <w:name w:val="样式 标题 2 + Times New Roman 四号 非加粗 段前: 5 磅 段后: 0 磅 行距: 固定值 20..."/>
    <w:basedOn w:val="919"/>
    <w:uiPriority w:val="0"/>
    <w:qFormat/>
    <w:pPr>
      <w:spacing w:before="100" w:after="0" w:line="400" w:lineRule="exact"/>
    </w:pPr>
    <w:rPr>
      <w:rFonts w:ascii="Times New Roman" w:hAnsi="Times New Roman" w:cs="宋体"/>
      <w:b w:val="0"/>
      <w:bCs w:val="0"/>
      <w:sz w:val="28"/>
      <w:szCs w:val="20"/>
    </w:rPr>
  </w:style>
  <w:style w:type="paragraph" w:styleId="1047" w:customStyle="1">
    <w:name w:val="样式"/>
    <w:uiPriority w:val="0"/>
    <w:qFormat/>
    <w:pPr>
      <w:widowControl w:val="off"/>
    </w:pPr>
    <w:rPr>
      <w:rFonts w:ascii="宋体" w:hAnsi="宋体" w:eastAsia="宋体" w:cs="宋体"/>
      <w:sz w:val="24"/>
      <w:szCs w:val="24"/>
      <w:lang w:val="en-US" w:eastAsia="zh-CN" w:bidi="ar-SA"/>
    </w:rPr>
  </w:style>
  <w:style w:type="paragraph" w:styleId="1048" w:customStyle="1">
    <w:name w:val="纯文本1"/>
    <w:basedOn w:val="670"/>
    <w:uiPriority w:val="0"/>
    <w:qFormat/>
    <w:rPr>
      <w:rFonts w:ascii="宋体" w:hAnsi="Courier New"/>
      <w:sz w:val="28"/>
      <w:szCs w:val="24"/>
    </w:rPr>
  </w:style>
  <w:style w:type="paragraph" w:styleId="1049" w:customStyle="1">
    <w:name w:val="列出段落2"/>
    <w:basedOn w:val="670"/>
    <w:uiPriority w:val="99"/>
    <w:unhideWhenUsed/>
    <w:qFormat/>
    <w:pPr>
      <w:ind w:firstLine="200"/>
    </w:pPr>
    <w:rPr>
      <w:szCs w:val="24"/>
    </w:rPr>
  </w:style>
  <w:style w:type="paragraph" w:styleId="1050" w:customStyle="1">
    <w:name w:val="列出段落1"/>
    <w:basedOn w:val="670"/>
    <w:uiPriority w:val="99"/>
    <w:unhideWhenUsed/>
    <w:qFormat/>
    <w:pPr>
      <w:ind w:firstLine="200"/>
    </w:pPr>
    <w:rPr>
      <w:szCs w:val="24"/>
    </w:rPr>
  </w:style>
  <w:style w:type="paragraph" w:styleId="1051" w:customStyle="1">
    <w:name w:val="修订1"/>
    <w:uiPriority w:val="99"/>
    <w:unhideWhenUsed/>
    <w:qFormat/>
    <w:rPr>
      <w:rFonts w:ascii="Times New Roman" w:hAnsi="Times New Roman" w:eastAsia="宋体" w:cs="Times New Roman"/>
      <w:sz w:val="21"/>
      <w:szCs w:val="24"/>
      <w:lang w:val="en-US" w:eastAsia="zh-CN" w:bidi="ar-SA"/>
    </w:rPr>
  </w:style>
  <w:style w:type="paragraph" w:styleId="1052" w:customStyle="1">
    <w:name w:val="reply-text"/>
    <w:basedOn w:val="670"/>
    <w:uiPriority w:val="0"/>
    <w:qFormat/>
    <w:pPr>
      <w:ind w:right="1200"/>
      <w:jc w:val="left"/>
    </w:pPr>
    <w:rPr>
      <w:szCs w:val="21"/>
    </w:rPr>
  </w:style>
  <w:style w:type="character" w:styleId="1053" w:customStyle="1">
    <w:name w:val="next"/>
    <w:uiPriority w:val="0"/>
    <w:qFormat/>
    <w:rPr>
      <w:color w:val="888888"/>
    </w:rPr>
  </w:style>
  <w:style w:type="character" w:styleId="1054" w:customStyle="1">
    <w:name w:val="next1"/>
    <w:uiPriority w:val="0"/>
    <w:qFormat/>
    <w:rPr>
      <w:rFonts w:ascii="微软雅黑" w:hAnsi="微软雅黑" w:eastAsia="微软雅黑" w:cs="微软雅黑"/>
      <w:sz w:val="21"/>
      <w:szCs w:val="21"/>
    </w:rPr>
  </w:style>
  <w:style w:type="character" w:styleId="1055" w:customStyle="1">
    <w:name w:val="count3"/>
    <w:uiPriority w:val="0"/>
    <w:qFormat/>
  </w:style>
  <w:style w:type="character" w:styleId="1056" w:customStyle="1">
    <w:name w:val="t"/>
    <w:uiPriority w:val="0"/>
    <w:qFormat/>
  </w:style>
  <w:style w:type="character" w:styleId="1057" w:customStyle="1">
    <w:name w:val="lv5"/>
    <w:uiPriority w:val="0"/>
    <w:qFormat/>
  </w:style>
  <w:style w:type="character" w:styleId="1058" w:customStyle="1">
    <w:name w:val="jianj"/>
    <w:uiPriority w:val="0"/>
    <w:qFormat/>
  </w:style>
  <w:style w:type="character" w:styleId="1059" w:customStyle="1">
    <w:name w:val="jianj1"/>
    <w:uiPriority w:val="0"/>
    <w:qFormat/>
  </w:style>
  <w:style w:type="character" w:styleId="1060" w:customStyle="1">
    <w:name w:val="jianj2"/>
    <w:uiPriority w:val="0"/>
    <w:qFormat/>
  </w:style>
  <w:style w:type="character" w:styleId="1061" w:customStyle="1">
    <w:name w:val="sd"/>
    <w:uiPriority w:val="0"/>
    <w:qFormat/>
  </w:style>
  <w:style w:type="character" w:styleId="1062" w:customStyle="1">
    <w:name w:val="sc"/>
    <w:uiPriority w:val="0"/>
    <w:qFormat/>
  </w:style>
  <w:style w:type="character" w:styleId="1063" w:customStyle="1">
    <w:name w:val="sc1"/>
    <w:uiPriority w:val="0"/>
    <w:qFormat/>
  </w:style>
  <w:style w:type="character" w:styleId="1064" w:customStyle="1">
    <w:name w:val="aut"/>
    <w:uiPriority w:val="0"/>
    <w:qFormat/>
  </w:style>
  <w:style w:type="character" w:styleId="1065" w:customStyle="1">
    <w:name w:val="aut1"/>
    <w:uiPriority w:val="0"/>
    <w:qFormat/>
  </w:style>
  <w:style w:type="character" w:styleId="1066" w:customStyle="1">
    <w:name w:val="dn"/>
    <w:uiPriority w:val="0"/>
    <w:qFormat/>
  </w:style>
  <w:style w:type="character" w:styleId="1067" w:customStyle="1">
    <w:name w:val="pl"/>
    <w:uiPriority w:val="0"/>
    <w:qFormat/>
  </w:style>
  <w:style w:type="character" w:styleId="1068" w:customStyle="1">
    <w:name w:val="pl1"/>
    <w:uiPriority w:val="0"/>
    <w:qFormat/>
  </w:style>
  <w:style w:type="character" w:styleId="1069" w:customStyle="1">
    <w:name w:val="jrxz"/>
    <w:uiPriority w:val="0"/>
    <w:qFormat/>
  </w:style>
  <w:style w:type="character" w:styleId="1070" w:customStyle="1">
    <w:name w:val="jrxz1"/>
    <w:uiPriority w:val="0"/>
    <w:qFormat/>
  </w:style>
  <w:style w:type="character" w:styleId="1071" w:customStyle="1">
    <w:name w:val="down14"/>
    <w:uiPriority w:val="0"/>
    <w:qFormat/>
  </w:style>
  <w:style w:type="character" w:styleId="1072" w:customStyle="1">
    <w:name w:val="down15"/>
    <w:uiPriority w:val="0"/>
    <w:qFormat/>
  </w:style>
  <w:style w:type="character" w:styleId="1073" w:customStyle="1">
    <w:name w:val="zt"/>
    <w:uiPriority w:val="0"/>
    <w:qFormat/>
  </w:style>
  <w:style w:type="character" w:styleId="1074" w:customStyle="1">
    <w:name w:val="zt1"/>
    <w:uiPriority w:val="0"/>
    <w:qFormat/>
  </w:style>
  <w:style w:type="character" w:styleId="1075" w:customStyle="1">
    <w:name w:val="time22"/>
    <w:uiPriority w:val="0"/>
    <w:qFormat/>
  </w:style>
  <w:style w:type="character" w:styleId="1076" w:customStyle="1">
    <w:name w:val="time23"/>
    <w:uiPriority w:val="0"/>
    <w:qFormat/>
  </w:style>
  <w:style w:type="character" w:styleId="1077" w:customStyle="1">
    <w:name w:val="time24"/>
    <w:uiPriority w:val="0"/>
    <w:qFormat/>
  </w:style>
  <w:style w:type="character" w:styleId="1078" w:customStyle="1">
    <w:name w:val="anz"/>
    <w:uiPriority w:val="0"/>
    <w:qFormat/>
  </w:style>
  <w:style w:type="character" w:styleId="1079" w:customStyle="1">
    <w:name w:val="anz1"/>
    <w:uiPriority w:val="0"/>
    <w:qFormat/>
  </w:style>
  <w:style w:type="character" w:styleId="1080" w:customStyle="1">
    <w:name w:val="anz2"/>
    <w:uiPriority w:val="0"/>
    <w:qFormat/>
  </w:style>
  <w:style w:type="character" w:styleId="1081" w:customStyle="1">
    <w:name w:val="jiet"/>
    <w:uiPriority w:val="0"/>
    <w:qFormat/>
  </w:style>
  <w:style w:type="character" w:styleId="1082" w:customStyle="1">
    <w:name w:val="jiet1"/>
    <w:uiPriority w:val="0"/>
    <w:qFormat/>
  </w:style>
  <w:style w:type="character" w:styleId="1083" w:customStyle="1">
    <w:name w:val="jiet2"/>
    <w:uiPriority w:val="0"/>
    <w:qFormat/>
  </w:style>
  <w:style w:type="character" w:styleId="1084" w:customStyle="1">
    <w:name w:val="lv1"/>
    <w:uiPriority w:val="0"/>
    <w:qFormat/>
  </w:style>
  <w:style w:type="character" w:styleId="1085" w:customStyle="1">
    <w:name w:val="lv2"/>
    <w:uiPriority w:val="0"/>
    <w:qFormat/>
  </w:style>
  <w:style w:type="character" w:styleId="1086" w:customStyle="1">
    <w:name w:val="lv3"/>
    <w:uiPriority w:val="0"/>
    <w:qFormat/>
  </w:style>
  <w:style w:type="character" w:styleId="1087" w:customStyle="1">
    <w:name w:val="lv4"/>
    <w:uiPriority w:val="0"/>
    <w:qFormat/>
  </w:style>
  <w:style w:type="character" w:styleId="1088" w:customStyle="1">
    <w:name w:val="disabled"/>
    <w:uiPriority w:val="0"/>
    <w:qFormat/>
    <w:rPr>
      <w:color w:val="666666"/>
      <w:shd w:val="clear" w:color="auto" w:fill="ffffff"/>
    </w:rPr>
  </w:style>
  <w:style w:type="paragraph" w:styleId="1089" w:customStyle="1">
    <w:name w:val="格式３"/>
    <w:basedOn w:val="670"/>
    <w:uiPriority w:val="0"/>
    <w:qFormat/>
    <w:pPr>
      <w:ind w:left="600" w:hanging="250"/>
      <w:spacing w:line="420" w:lineRule="exact"/>
    </w:pPr>
    <w:rPr>
      <w:rFonts w:ascii="宋体" w:hAnsi="宋体"/>
      <w:color w:val="000000"/>
      <w:sz w:val="24"/>
      <w:szCs w:val="20"/>
    </w:rPr>
  </w:style>
  <w:style w:type="paragraph" w:styleId="1090" w:customStyle="1">
    <w:name w:val="正文文本 31"/>
    <w:basedOn w:val="670"/>
    <w:link w:val="1091"/>
    <w:uiPriority w:val="0"/>
    <w:qFormat/>
    <w:pPr>
      <w:jc w:val="center"/>
    </w:pPr>
    <w:rPr>
      <w:rFonts w:eastAsia="黑体"/>
      <w:sz w:val="72"/>
      <w:szCs w:val="24"/>
    </w:rPr>
  </w:style>
  <w:style w:type="character" w:styleId="1091" w:customStyle="1">
    <w:name w:val="正文文本 3 Char"/>
    <w:link w:val="1090"/>
    <w:uiPriority w:val="0"/>
    <w:qFormat/>
    <w:rPr>
      <w:rFonts w:ascii="Times New Roman" w:hAnsi="Times New Roman" w:eastAsia="黑体"/>
      <w:sz w:val="72"/>
      <w:szCs w:val="24"/>
    </w:rPr>
  </w:style>
  <w:style w:type="paragraph" w:styleId="1092" w:customStyle="1">
    <w:name w:val="正文文本缩进1"/>
    <w:basedOn w:val="670"/>
    <w:link w:val="1093"/>
    <w:uiPriority w:val="99"/>
    <w:unhideWhenUsed/>
    <w:qFormat/>
    <w:pPr>
      <w:ind w:left="200"/>
      <w:spacing w:after="120"/>
    </w:pPr>
    <w:rPr>
      <w:szCs w:val="24"/>
    </w:rPr>
  </w:style>
  <w:style w:type="character" w:styleId="1093" w:customStyle="1">
    <w:name w:val="正文文本缩进 Char"/>
    <w:link w:val="1092"/>
    <w:uiPriority w:val="99"/>
    <w:qFormat/>
    <w:rPr>
      <w:rFonts w:ascii="Times New Roman" w:hAnsi="Times New Roman"/>
      <w:sz w:val="21"/>
      <w:szCs w:val="24"/>
    </w:rPr>
  </w:style>
  <w:style w:type="paragraph" w:styleId="1094" w:customStyle="1">
    <w:name w:val="标题二、"/>
    <w:basedOn w:val="670"/>
    <w:uiPriority w:val="99"/>
    <w:qFormat/>
    <w:pPr>
      <w:ind w:firstLine="200"/>
      <w:spacing w:line="360" w:lineRule="auto"/>
      <w:outlineLvl w:val="2"/>
    </w:pPr>
    <w:rPr>
      <w:rFonts w:ascii="宋体" w:hAnsi="宋体"/>
      <w:b/>
      <w:szCs w:val="21"/>
    </w:rPr>
  </w:style>
  <w:style w:type="character" w:styleId="1095" w:customStyle="1">
    <w:name w:val="font51"/>
    <w:uiPriority w:val="0"/>
    <w:qFormat/>
    <w:rPr>
      <w:rFonts w:hint="eastAsia" w:ascii="华文中宋" w:hAnsi="华文中宋" w:eastAsia="华文中宋" w:cs="华文中宋"/>
      <w:color w:val="000000"/>
      <w:sz w:val="21"/>
      <w:szCs w:val="21"/>
      <w:u w:val="none"/>
    </w:rPr>
  </w:style>
  <w:style w:type="character" w:styleId="1096" w:customStyle="1">
    <w:name w:val="批注框文本 字符1"/>
    <w:basedOn w:val="680"/>
    <w:link w:val="691"/>
    <w:uiPriority w:val="99"/>
    <w:semiHidden/>
    <w:qFormat/>
    <w:rPr>
      <w:sz w:val="18"/>
      <w:szCs w:val="18"/>
    </w:rPr>
  </w:style>
  <w:style w:type="paragraph" w:styleId="1097" w:customStyle="1">
    <w:name w:val="标题 411"/>
    <w:basedOn w:val="670"/>
    <w:next w:val="670"/>
    <w:uiPriority w:val="1"/>
    <w:qFormat/>
    <w:pPr>
      <w:keepLines/>
      <w:keepNext/>
      <w:spacing w:before="280" w:after="290" w:line="376" w:lineRule="auto"/>
      <w:outlineLvl w:val="3"/>
    </w:pPr>
    <w:rPr>
      <w:rFonts w:ascii="Cambria" w:hAnsi="Cambria"/>
      <w:b/>
      <w:bCs/>
      <w:sz w:val="28"/>
      <w:szCs w:val="28"/>
    </w:rPr>
  </w:style>
  <w:style w:type="paragraph" w:styleId="1098" w:customStyle="1">
    <w:name w:val="纯文本11"/>
    <w:basedOn w:val="670"/>
    <w:uiPriority w:val="99"/>
    <w:unhideWhenUsed/>
    <w:qFormat/>
    <w:rPr>
      <w:rFonts w:ascii="宋体" w:hAnsi="Courier New" w:cs="Courier New"/>
    </w:rPr>
  </w:style>
  <w:style w:type="character" w:styleId="1099" w:customStyle="1">
    <w:name w:val="text-only"/>
    <w:basedOn w:val="680"/>
    <w:uiPriority w:val="0"/>
    <w:qFormat/>
  </w:style>
  <w:style w:type="paragraph" w:styleId="1100" w:customStyle="1">
    <w:name w:val="null3"/>
    <w:uiPriority w:val="0"/>
    <w:qFormat/>
    <w:rPr>
      <w:rFonts w:asciiTheme="minorHAnsi" w:hAnsiTheme="minorHAnsi" w:eastAsiaTheme="minorEastAsia" w:cstheme="minorBidi"/>
      <w:lang w:val="en-US" w:eastAsia="zh-Hans" w:bidi="ar-SA"/>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纵横</dc:creator>
  <cp:lastModifiedBy>陆静娟</cp:lastModifiedBy>
  <cp:revision>81</cp:revision>
  <dcterms:created xsi:type="dcterms:W3CDTF">2025-05-26T08:25:00Z</dcterms:created>
  <dcterms:modified xsi:type="dcterms:W3CDTF">2026-10-30T02:44:04Z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eyJoZGlkIjoiMzQ2NmMwMTI1OGNmODVlNDU2MDBkZWEwZTE4NmQzMDAiLCJ1c2VySWQiOiIyNTAyNzA3NDUifQ==</vt:lpwstr>
  </property>
  <property fmtid="{D5CDD505-2E9C-101B-9397-08002B2CF9AE}" pid="3" name="KSOProductBuildVer">
    <vt:lpwstr>2052-12.1.0.29161</vt:lpwstr>
  </property>
  <property fmtid="{D5CDD505-2E9C-101B-9397-08002B2CF9AE}" pid="4" name="ICV">
    <vt:lpwstr>80B1F7760D28431E93A5D3AFC1A88BB6_12</vt:lpwstr>
  </property>
</Properties>
</file>