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ind w:firstLine="420"/>
        <w:shd w:val="clear" w:color="auto"/>
        <w:rPr>
          <w:rFonts w:hAnsi="宋体" w:cs="宋体"/>
          <w:color w:val="auto"/>
          <w:highlight w:val="none"/>
        </w:rPr>
      </w:pPr>
      <w:r>
        <w:rPr>
          <w:rFonts w:hAnsi="宋体" w:cs="宋体"/>
          <w:color w:val="auto"/>
          <w:highlight w:val="none"/>
        </w:rPr>
      </w:r>
      <w:r/>
    </w:p>
    <w:p>
      <w:pPr>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shd w:val="clear" w:color="auto"/>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jc w:val="center"/>
        <w:spacing w:line="360" w:lineRule="auto"/>
        <w:shd w:val="clear" w:color="auto"/>
        <w:rPr>
          <w:rFonts w:ascii="宋体" w:hAnsi="宋体" w:cs="宋体"/>
          <w:b/>
          <w:color w:val="auto"/>
          <w:sz w:val="72"/>
          <w:szCs w:val="20"/>
          <w:highlight w:val="none"/>
        </w:rPr>
      </w:pPr>
      <w:r>
        <w:rPr>
          <w:rFonts w:hint="eastAsia" w:ascii="宋体" w:hAnsi="宋体" w:cs="宋体"/>
          <w:b/>
          <w:color w:val="auto"/>
          <w:sz w:val="72"/>
          <w:szCs w:val="20"/>
          <w:highlight w:val="none"/>
        </w:rPr>
        <w:t xml:space="preserve">招标文件</w:t>
      </w:r>
      <w:r/>
    </w:p>
    <w:p>
      <w:pPr>
        <w:spacing w:line="360" w:lineRule="auto"/>
        <w:shd w:val="clear" w:color="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shd w:val="clear" w:color="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pStyle w:val="772"/>
        <w:shd w:val="clear" w:color="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pStyle w:val="772"/>
        <w:shd w:val="clear" w:color="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pStyle w:val="772"/>
        <w:shd w:val="clear" w:color="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ind w:firstLine="643"/>
        <w:spacing w:line="360" w:lineRule="auto"/>
        <w:shd w:val="clear" w:color="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val="en-US" w:eastAsia="zh-CN"/>
        </w:rPr>
        <w:t xml:space="preserve">JSZC-320509-YZZJ-G2026-0006</w:t>
      </w:r>
      <w:r/>
    </w:p>
    <w:p>
      <w:pPr>
        <w:ind w:firstLine="643"/>
        <w:spacing w:line="360" w:lineRule="auto"/>
        <w:shd w:val="clear" w:color="auto"/>
        <w:rPr>
          <w:rFonts w:hint="eastAsia" w:ascii="宋体" w:hAnsi="宋体" w:cs="宋体"/>
          <w:b/>
          <w:bCs/>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bCs/>
          <w:color w:val="auto"/>
          <w:sz w:val="32"/>
          <w:highlight w:val="none"/>
          <w:lang w:eastAsia="zh-CN"/>
        </w:rPr>
        <w:t xml:space="preserve">苏州市吴江区第四人民医院</w:t>
      </w:r>
      <w:r/>
    </w:p>
    <w:p>
      <w:pPr>
        <w:ind w:firstLine="643"/>
        <w:spacing w:line="360" w:lineRule="auto"/>
        <w:shd w:val="clear" w:color="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rPr>
        <w:t xml:space="preserve">采购内容：</w:t>
      </w:r>
      <w:r>
        <w:rPr>
          <w:rFonts w:hint="eastAsia" w:ascii="宋体" w:hAnsi="宋体" w:cs="宋体"/>
          <w:b/>
          <w:bCs/>
          <w:color w:val="auto"/>
          <w:sz w:val="32"/>
          <w:highlight w:val="none"/>
          <w:lang w:eastAsia="zh-CN"/>
        </w:rPr>
        <w:t xml:space="preserve">吴江四院扩建工程-数据存储及安全和智慧门诊项目</w:t>
      </w:r>
      <w:r>
        <w:rPr>
          <w:rFonts w:hint="eastAsia" w:ascii="宋体" w:hAnsi="宋体" w:cs="宋体"/>
          <w:b/>
          <w:bCs/>
          <w:color w:val="auto"/>
          <w:sz w:val="32"/>
          <w:highlight w:val="none"/>
          <w:lang w:val="en-US" w:eastAsia="zh-CN"/>
        </w:rPr>
        <w:t xml:space="preserve"> </w:t>
      </w:r>
      <w:r/>
    </w:p>
    <w:p>
      <w:pPr>
        <w:ind w:firstLine="643"/>
        <w:spacing w:line="360" w:lineRule="auto"/>
        <w:shd w:val="clear" w:color="auto"/>
        <w:rPr>
          <w:rFonts w:hint="default" w:ascii="宋体" w:hAnsi="宋体" w:cs="宋体"/>
          <w:b/>
          <w:bCs/>
          <w:color w:val="auto"/>
          <w:sz w:val="32"/>
          <w:highlight w:val="none"/>
          <w:lang w:val="en-US"/>
        </w:rPr>
      </w:pPr>
      <w:r>
        <w:rPr>
          <w:rFonts w:hint="eastAsia" w:ascii="宋体" w:hAnsi="宋体" w:cs="宋体"/>
          <w:b/>
          <w:bCs/>
          <w:color w:val="auto"/>
          <w:sz w:val="32"/>
          <w:highlight w:val="none"/>
        </w:rPr>
        <w:t xml:space="preserve">采购类别：</w:t>
      </w:r>
      <w:r>
        <w:rPr>
          <w:rFonts w:hint="eastAsia" w:ascii="宋体" w:hAnsi="宋体" w:cs="宋体"/>
          <w:b/>
          <w:bCs/>
          <w:color w:val="auto"/>
          <w:sz w:val="32"/>
          <w:highlight w:val="none"/>
          <w:lang w:val="en-US" w:eastAsia="zh-CN"/>
        </w:rPr>
        <w:t xml:space="preserve">货物类</w:t>
      </w:r>
      <w:r/>
    </w:p>
    <w:p>
      <w:pPr>
        <w:pStyle w:val="772"/>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shd w:val="clear" w:color="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hd w:val="clear" w:color="auto"/>
        <w:rPr>
          <w:rFonts w:ascii="宋体" w:hAnsi="宋体" w:cs="宋体"/>
          <w:color w:val="auto"/>
          <w:highlight w:val="none"/>
        </w:rPr>
      </w:pPr>
      <w:r>
        <w:rPr>
          <w:rFonts w:ascii="宋体" w:hAnsi="宋体" w:cs="宋体"/>
          <w:color w:val="auto"/>
          <w:highlight w:val="none"/>
        </w:rPr>
      </w:r>
      <w:r/>
    </w:p>
    <w:p>
      <w:pPr>
        <w:jc w:val="center"/>
        <w:spacing w:line="360" w:lineRule="auto"/>
        <w:shd w:val="clear" w:color="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苏州永正造价师事务所有限公司</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二○二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rPr>
        <w:t xml:space="preserve">月</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hd w:val="clear" w:color="auto"/>
        <w:rPr>
          <w:rFonts w:ascii="宋体" w:hAnsi="宋体" w:cs="宋体"/>
          <w:b/>
          <w:color w:val="auto"/>
          <w:sz w:val="36"/>
          <w:highlight w:val="none"/>
          <w:u w:val="none"/>
        </w:rPr>
      </w:pPr>
      <w:r>
        <w:rPr>
          <w:rFonts w:hint="eastAsia" w:ascii="宋体" w:hAnsi="宋体" w:cs="宋体"/>
          <w:b/>
          <w:color w:val="auto"/>
          <w:sz w:val="36"/>
          <w:highlight w:val="none"/>
          <w:u w:val="none"/>
        </w:rPr>
        <w:t xml:space="preserve">前附表</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49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招标编号</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szCs w:val="21"/>
                <w:highlight w:val="none"/>
                <w:lang w:val="en-US" w:eastAsia="zh-CN"/>
              </w:rPr>
              <w:t xml:space="preserve">JSZC-320509-YZZJ-G2026-0006</w:t>
            </w:r>
            <w:r/>
          </w:p>
        </w:tc>
      </w:tr>
      <w:tr>
        <w:trPr>
          <w:jc w:val="center"/>
          <w:trHeight w:val="45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吴江四院扩建工程-数据存储及安全和智慧门诊项目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称：苏州永正造价师事务所有限公司　　　　　　　　　　　</w:t>
            </w:r>
            <w:r/>
          </w:p>
          <w:p>
            <w:pPr>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lang w:eastAsia="zh-CN"/>
              </w:rPr>
              <w:t xml:space="preserve">苏州市吴江区梅石路1133号5楼</w:t>
            </w:r>
            <w:r>
              <w:rPr>
                <w:rFonts w:hint="eastAsia" w:ascii="宋体" w:hAnsi="宋体" w:cs="宋体"/>
                <w:color w:val="auto"/>
                <w:szCs w:val="21"/>
                <w:highlight w:val="none"/>
                <w:lang w:val="zh-CN"/>
              </w:rPr>
              <w:t xml:space="preserve">　　　　　　　　　　　　　</w:t>
            </w:r>
            <w:r/>
          </w:p>
          <w:p>
            <w:pPr>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顾海舟、雷美玉</w:t>
            </w:r>
            <w:r/>
          </w:p>
          <w:p>
            <w:pPr>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电　话：0512-</w:t>
            </w:r>
            <w:r>
              <w:rPr>
                <w:rFonts w:hint="eastAsia" w:ascii="宋体" w:hAnsi="宋体" w:cs="宋体"/>
                <w:color w:val="auto"/>
                <w:szCs w:val="21"/>
                <w:highlight w:val="none"/>
                <w:lang w:val="en-US" w:eastAsia="zh-CN"/>
              </w:rPr>
              <w:t xml:space="preserve">63346881</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采购单位</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称：苏州市吴江区第四人民医院</w:t>
            </w:r>
            <w:r/>
          </w:p>
          <w:p>
            <w:pPr>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址：苏州市吴江区震泽镇镇南一路1333号</w:t>
            </w:r>
            <w:r/>
          </w:p>
          <w:p>
            <w:pPr>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戴剑虹  </w:t>
            </w:r>
            <w:r>
              <w:rPr>
                <w:rFonts w:hint="eastAsia" w:ascii="宋体" w:hAnsi="宋体" w:cs="宋体"/>
                <w:color w:val="auto"/>
                <w:szCs w:val="21"/>
                <w:highlight w:val="none"/>
              </w:rPr>
              <w:t xml:space="preserve">电  话：</w:t>
            </w:r>
            <w:r>
              <w:rPr>
                <w:rFonts w:hint="eastAsia" w:ascii="宋体" w:hAnsi="宋体" w:cs="宋体"/>
                <w:color w:val="auto"/>
                <w:szCs w:val="21"/>
                <w:highlight w:val="none"/>
                <w:lang w:val="zh-CN"/>
              </w:rPr>
              <w:t xml:space="preserve">0512-63192201-8000　</w:t>
            </w:r>
            <w:r/>
          </w:p>
        </w:tc>
      </w:tr>
      <w:tr>
        <w:trPr>
          <w:jc w:val="cente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详见第三章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根据苏州市财政局《关于进一步优化市级政府采购营商环境的通知》（苏财购〔2020〕32号），本项目不收取投标保证金。投标人应在投标文件中提交《投标(响应)保证承诺书》，格式详见招标文件第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textDirection w:val="lrTb"/>
            <w:noWrap/>
          </w:tcPr>
          <w:p>
            <w:pPr>
              <w:pStyle w:val="1053"/>
              <w:ind w:firstLine="0"/>
              <w:jc w:val="center"/>
              <w:spacing w:line="360" w:lineRule="auto"/>
              <w:shd w:val="clear" w:color="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olor w:val="auto"/>
                <w:szCs w:val="21"/>
                <w:highlight w:val="none"/>
              </w:rPr>
              <w:t xml:space="preserve">获取招标文件时间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360" w:lineRule="auto"/>
              <w:shd w:val="clear" w:color="auto"/>
              <w:rPr>
                <w:rFonts w:ascii="宋体" w:hAnsi="宋体" w:cs="宋体"/>
                <w:color w:val="auto"/>
                <w:szCs w:val="21"/>
                <w:highlight w:val="none"/>
              </w:rPr>
            </w:pPr>
            <w:r>
              <w:rPr>
                <w:rFonts w:hint="eastAsia" w:ascii="宋体" w:hAnsi="宋体" w:cs="宋体"/>
                <w:color w:val="auto"/>
                <w:sz w:val="21"/>
                <w:szCs w:val="21"/>
                <w:highlight w:val="none"/>
              </w:rPr>
              <w:t xml:space="preserve">自招标公告发布之日起5个工作日。</w:t>
            </w:r>
            <w:r/>
          </w:p>
        </w:tc>
      </w:tr>
      <w:tr>
        <w:trPr>
          <w:jc w:val="center"/>
          <w:trHeight w:val="680"/>
        </w:trPr>
        <w:tc>
          <w:tcPr>
            <w:tcBorders>
              <w:left w:val="single" w:color="auto" w:sz="4" w:space="0"/>
              <w:bottom w:val="single" w:color="auto" w:sz="4" w:space="0"/>
              <w:right w:val="single" w:color="auto" w:sz="4" w:space="0"/>
            </w:tcBorders>
            <w:tcW w:w="639" w:type="dxa"/>
            <w:vAlign w:val="center"/>
            <w:textDirection w:val="lrTb"/>
            <w:noWrap/>
          </w:tcPr>
          <w:p>
            <w:pPr>
              <w:pStyle w:val="1053"/>
              <w:ind w:firstLine="0"/>
              <w:jc w:val="center"/>
              <w:spacing w:line="360" w:lineRule="auto"/>
              <w:shd w:val="clear" w:color="auto"/>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both"/>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：30（北京时间）</w:t>
            </w:r>
            <w:r/>
          </w:p>
          <w:p>
            <w:pPr>
              <w:jc w:val="both"/>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投标文件必须在截止时间前完成提交（上传），逾期提交（上传）的投标文件恕不接受。</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开标地点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both"/>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：30（北京时间）</w:t>
            </w:r>
            <w:r/>
          </w:p>
          <w:p>
            <w:pPr>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both"/>
              <w:spacing w:line="360" w:lineRule="auto"/>
              <w:shd w:val="clear" w:color="auto"/>
              <w:rPr>
                <w:rFonts w:ascii="宋体" w:hAnsi="宋体" w:cs="宋体"/>
                <w:color w:val="auto"/>
                <w:szCs w:val="21"/>
                <w:highlight w:val="none"/>
              </w:rPr>
            </w:pPr>
            <w:r>
              <w:rPr>
                <w:rFonts w:hint="eastAsia" w:ascii="宋体" w:hAnsi="宋体" w:cs="宋体"/>
                <w:b/>
                <w:color w:val="auto"/>
                <w:szCs w:val="21"/>
                <w:highlight w:val="none"/>
              </w:rPr>
              <w:t xml:space="preserve">本项目为不见面开标项目，开启阶段供应商在【供应商解密】环节必须使用 CA证书解密电子投标文件，如在系统规定的解密时间(投标文件提交截止时间后 30 分钟)内未能完成解密的视为放弃投标。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both"/>
              <w:spacing w:line="360" w:lineRule="auto"/>
              <w:shd w:val="clear" w:color="auto"/>
              <w:rPr>
                <w:rFonts w:ascii="宋体" w:hAnsi="宋体" w:cs="宋体"/>
                <w:b/>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：30（北京时间）</w:t>
            </w:r>
            <w:r/>
          </w:p>
          <w:p>
            <w:pPr>
              <w:jc w:val="both"/>
              <w:spacing w:line="360" w:lineRule="auto"/>
              <w:shd w:val="clear" w:color="auto"/>
              <w:rPr>
                <w:rFonts w:ascii="宋体" w:hAnsi="宋体" w:cs="宋体"/>
                <w:color w:val="auto"/>
                <w:szCs w:val="21"/>
                <w:highlight w:val="none"/>
              </w:rPr>
            </w:pPr>
            <w:r>
              <w:rPr>
                <w:rFonts w:hint="eastAsia" w:ascii="宋体" w:hAnsi="宋体" w:cs="宋体"/>
                <w:bCs/>
                <w:color w:val="auto"/>
                <w:szCs w:val="21"/>
                <w:highlight w:val="none"/>
                <w:lang w:bidi="ar"/>
              </w:rPr>
              <w:t xml:space="preserve">地点：</w:t>
            </w:r>
            <w:r>
              <w:rPr>
                <w:rFonts w:hint="eastAsia" w:ascii="宋体" w:hAnsi="宋体" w:cs="宋体"/>
                <w:bCs/>
                <w:color w:val="auto"/>
                <w:szCs w:val="21"/>
                <w:highlight w:val="none"/>
              </w:rPr>
              <w:t xml:space="preserve">苏州市公共资源交易中心吴江分中心</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楼评标区（吴江区开平路998号三楼</w:t>
            </w:r>
            <w:r>
              <w:rPr>
                <w:rStyle w:val="1067"/>
                <w:rFonts w:hint="eastAsia" w:ascii="宋体" w:hAnsi="宋体" w:cs="宋体"/>
                <w:bCs/>
                <w:color w:val="auto"/>
                <w:szCs w:val="21"/>
                <w:highlight w:val="none"/>
              </w:rPr>
              <w:t xml:space="preserve">）</w:t>
            </w:r>
            <w:r/>
          </w:p>
        </w:tc>
      </w:tr>
      <w:tr>
        <w:trPr>
          <w:jc w:val="center"/>
          <w:trHeight w:val="2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both"/>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本项目采用电子投标文件，投标人按照招标文件要求制作上传电子投标文件，投标人无需提供纸质投标文件。</w:t>
            </w:r>
            <w:r/>
          </w:p>
          <w:p>
            <w:pPr>
              <w:jc w:val="both"/>
              <w:spacing w:line="360" w:lineRule="auto"/>
              <w:shd w:val="clear" w:color="auto"/>
              <w:rPr>
                <w:rFonts w:hint="eastAsia" w:ascii="宋体" w:hAnsi="宋体" w:cs="宋体"/>
                <w:color w:val="auto"/>
                <w:szCs w:val="21"/>
                <w:highlight w:val="none"/>
              </w:rPr>
            </w:pPr>
            <w:r>
              <w:rPr>
                <w:rFonts w:hint="eastAsia" w:ascii="宋体" w:hAnsi="宋体"/>
                <w:bCs/>
                <w:color w:val="auto"/>
                <w:szCs w:val="21"/>
                <w:highlight w:val="none"/>
                <w:lang w:val="zh-CN"/>
              </w:rPr>
              <w:t xml:space="preserve">中标后5个工作日内，中标单位向采购</w:t>
            </w:r>
            <w:r>
              <w:rPr>
                <w:rFonts w:hint="eastAsia" w:ascii="宋体" w:hAnsi="宋体" w:cs="宋体"/>
                <w:color w:val="auto"/>
                <w:szCs w:val="21"/>
                <w:highlight w:val="none"/>
              </w:rPr>
              <w:t xml:space="preserve">代理</w:t>
            </w:r>
            <w:r>
              <w:rPr>
                <w:rFonts w:hint="eastAsia" w:ascii="宋体" w:hAnsi="宋体"/>
                <w:bCs/>
                <w:color w:val="auto"/>
                <w:szCs w:val="21"/>
                <w:highlight w:val="none"/>
                <w:lang w:val="zh-CN"/>
              </w:rPr>
              <w:t xml:space="preserve">机构提供与电子投标文件内容一致的纸质投标文件叁份。</w:t>
            </w:r>
            <w:r/>
          </w:p>
        </w:tc>
      </w:tr>
      <w:tr>
        <w:trPr>
          <w:jc w:val="center"/>
          <w:trHeight w:val="53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ascii="宋体" w:hAnsi="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投标报价本位币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ascii="宋体" w:hAnsi="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s="宋体"/>
                <w:color w:val="auto"/>
                <w:szCs w:val="21"/>
                <w:highlight w:val="none"/>
              </w:rPr>
            </w:pPr>
            <w:r>
              <w:rPr>
                <w:rFonts w:hint="eastAsia" w:ascii="宋体" w:hAnsi="宋体"/>
                <w:color w:val="auto"/>
                <w:szCs w:val="21"/>
                <w:highlight w:val="none"/>
              </w:rPr>
              <w:t xml:space="preserve">按合同约定，未做说明的则为无。</w:t>
            </w:r>
            <w:r/>
          </w:p>
        </w:tc>
      </w:tr>
      <w:tr>
        <w:trPr>
          <w:jc w:val="cente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ascii="宋体" w:hAnsi="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olor w:val="auto"/>
                <w:szCs w:val="21"/>
                <w:highlight w:val="none"/>
              </w:rPr>
            </w:pPr>
            <w:r>
              <w:rPr>
                <w:rFonts w:hint="eastAsia" w:ascii="宋体" w:hAnsi="宋体" w:cs="宋体"/>
                <w:color w:val="auto"/>
                <w:highlight w:val="none"/>
              </w:rPr>
              <w:t xml:space="preserve">具体见招标文件</w:t>
            </w:r>
            <w:r/>
          </w:p>
        </w:tc>
      </w:tr>
      <w:tr>
        <w:trPr>
          <w:jc w:val="cente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highlight w:val="none"/>
              </w:rPr>
              <w:t xml:space="preserve">评标方法</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olor w:val="auto"/>
                <w:szCs w:val="21"/>
                <w:highlight w:val="none"/>
              </w:rPr>
            </w:pPr>
            <w:r>
              <w:rPr>
                <w:rFonts w:hint="eastAsia" w:ascii="宋体" w:hAnsi="宋体" w:cs="宋体"/>
                <w:color w:val="auto"/>
                <w:highlight w:val="none"/>
              </w:rPr>
              <w:t xml:space="preserve">综合评分法</w:t>
            </w:r>
            <w:r/>
          </w:p>
        </w:tc>
      </w:tr>
      <w:tr>
        <w:trPr>
          <w:jc w:val="cente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ascii="宋体" w:hAnsi="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中标通知书</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请中标人在中标结果公告届满之日起30日内,使用CA证书登录“苏采云”系统及时下载中标通知书。</w:t>
            </w:r>
            <w:r/>
          </w:p>
        </w:tc>
      </w:tr>
      <w:tr>
        <w:trPr>
          <w:jc w:val="center"/>
          <w:trHeight w:val="525"/>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ascii="宋体" w:hAnsi="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中标服务费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详见第三章</w:t>
            </w:r>
            <w:r/>
          </w:p>
        </w:tc>
      </w:tr>
      <w:tr>
        <w:trPr>
          <w:jc w:val="center"/>
          <w:trHeight w:val="41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ascii="宋体" w:hAnsi="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导致无效标因素</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投标文件属下列情况之一的，在资格性、符合性检查时按照无效投标处理：</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（一）未按照招标文件规定要求签署、盖章的；</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（二）不具备招标文件中规定资格要求的；</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（三）报价超过招标文件中规定的预算金额或者最高限价的；</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（四）投标文件含有采购人不能接受的附加条件的；</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（五）</w:t>
            </w:r>
            <w:r>
              <w:rPr>
                <w:rFonts w:hint="eastAsia" w:ascii="宋体" w:hAnsi="宋体"/>
                <w:bCs/>
                <w:color w:val="auto"/>
                <w:szCs w:val="21"/>
                <w:highlight w:val="none"/>
                <w:lang w:val="zh-CN"/>
              </w:rPr>
              <w:t xml:space="preserve">不同投标（响应）文件制作机器码一致的；</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（六）法律、法规和招标文件规定的其他无效情形。</w:t>
            </w:r>
            <w:r/>
          </w:p>
        </w:tc>
      </w:tr>
      <w:tr>
        <w:trPr>
          <w:jc w:val="center"/>
          <w:trHeight w:val="6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导致废标因素</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出现下列情形之一的，为废标： </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（一）符合专业条件的投标人或者对招标文件作实质响应的投标人不足三家的；</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（二）出现影响采购公正的违法、违规行为的； </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（三）投标人的报价均超过了采购预算或最高限价，采购人不能支付的； </w:t>
            </w:r>
            <w:r/>
          </w:p>
          <w:p>
            <w:pPr>
              <w:jc w:val="left"/>
              <w:spacing w:line="38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（四）因重大变故，采购任务取消的。</w:t>
            </w:r>
            <w:r/>
          </w:p>
        </w:tc>
      </w:tr>
    </w:tbl>
    <w:p>
      <w:pPr>
        <w:jc w:val="cente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center"/>
        <w:shd w:val="clear" w:color="auto"/>
        <w:rPr>
          <w:rFonts w:ascii="宋体" w:hAnsi="宋体" w:cs="宋体"/>
          <w:color w:val="auto"/>
          <w:sz w:val="52"/>
          <w:highlight w:val="none"/>
        </w:rPr>
      </w:pPr>
      <w:r>
        <w:rPr>
          <w:rFonts w:ascii="宋体" w:hAnsi="宋体" w:cs="宋体"/>
          <w:color w:val="auto"/>
          <w:sz w:val="24"/>
          <w:szCs w:val="24"/>
          <w:highlight w:val="none"/>
        </w:rPr>
        <w:br w:type="page" w:clear="all"/>
      </w:r>
      <w:r>
        <w:rPr>
          <w:rFonts w:hint="eastAsia" w:ascii="宋体" w:hAnsi="宋体" w:cs="宋体"/>
          <w:color w:val="auto"/>
          <w:sz w:val="52"/>
          <w:highlight w:val="none"/>
        </w:rPr>
        <w:t xml:space="preserve">总目录</w:t>
      </w:r>
      <w:r/>
    </w:p>
    <w:p>
      <w:pPr>
        <w:pStyle w:val="766"/>
        <w:ind w:firstLine="0"/>
        <w:jc w:val="center"/>
        <w:spacing w:line="360" w:lineRule="auto"/>
        <w:shd w:val="clear" w:color="auto"/>
        <w:rPr>
          <w:rFonts w:ascii="宋体" w:hAnsi="宋体" w:eastAsia="宋体" w:cs="宋体"/>
          <w:color w:val="auto"/>
          <w:sz w:val="30"/>
          <w:highlight w:val="none"/>
        </w:rPr>
      </w:pPr>
      <w:r>
        <w:rPr>
          <w:rFonts w:ascii="宋体" w:hAnsi="宋体" w:eastAsia="宋体" w:cs="宋体"/>
          <w:color w:val="auto"/>
          <w:sz w:val="30"/>
          <w:highlight w:val="none"/>
        </w:rPr>
      </w:r>
      <w:r/>
    </w:p>
    <w:p>
      <w:pPr>
        <w:pStyle w:val="786"/>
        <w:shd w:val="clear" w:color="auto"/>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807"/>
          <w:rFonts w:hint="eastAsia" w:cs="宋体"/>
          <w:color w:val="auto"/>
          <w:sz w:val="36"/>
          <w:highlight w:val="none"/>
          <w:lang w:val="zh-CN"/>
        </w:rPr>
        <w:t xml:space="preserve">第一章 投标邀请函</w:t>
      </w:r>
      <w:r>
        <w:rPr>
          <w:rStyle w:val="807"/>
          <w:rFonts w:hint="eastAsia" w:cs="宋体"/>
          <w:color w:val="auto"/>
          <w:sz w:val="36"/>
          <w:highlight w:val="none"/>
          <w:lang w:val="zh-CN"/>
        </w:rPr>
        <w:fldChar w:fldCharType="end"/>
      </w:r>
      <w:r/>
    </w:p>
    <w:p>
      <w:pPr>
        <w:pStyle w:val="786"/>
        <w:shd w:val="clear" w:color="auto"/>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807"/>
          <w:rFonts w:hint="eastAsia" w:cs="宋体"/>
          <w:color w:val="auto"/>
          <w:sz w:val="36"/>
          <w:highlight w:val="none"/>
          <w:lang w:val="zh-CN"/>
        </w:rPr>
        <w:t xml:space="preserve">第二章 采 购 内 容</w:t>
      </w:r>
      <w:r>
        <w:rPr>
          <w:rStyle w:val="807"/>
          <w:rFonts w:hint="eastAsia" w:cs="宋体"/>
          <w:color w:val="auto"/>
          <w:sz w:val="36"/>
          <w:highlight w:val="none"/>
          <w:lang w:val="zh-CN"/>
        </w:rPr>
        <w:fldChar w:fldCharType="end"/>
      </w:r>
      <w:r/>
    </w:p>
    <w:p>
      <w:pPr>
        <w:pStyle w:val="786"/>
        <w:shd w:val="clear" w:color="auto"/>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807"/>
          <w:rFonts w:hint="eastAsia" w:cs="宋体"/>
          <w:color w:val="auto"/>
          <w:sz w:val="36"/>
          <w:highlight w:val="none"/>
          <w:lang w:val="zh-CN"/>
        </w:rPr>
        <w:t xml:space="preserve">第三章 投标单位须知</w:t>
      </w:r>
      <w:r>
        <w:rPr>
          <w:rStyle w:val="807"/>
          <w:rFonts w:hint="eastAsia" w:cs="宋体"/>
          <w:color w:val="auto"/>
          <w:sz w:val="36"/>
          <w:highlight w:val="none"/>
          <w:lang w:val="zh-CN"/>
        </w:rPr>
        <w:fldChar w:fldCharType="end"/>
      </w:r>
      <w:r/>
    </w:p>
    <w:p>
      <w:pPr>
        <w:pStyle w:val="786"/>
        <w:shd w:val="clear" w:color="auto"/>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807"/>
          <w:rFonts w:hint="eastAsia" w:cs="宋体"/>
          <w:color w:val="auto"/>
          <w:sz w:val="36"/>
          <w:highlight w:val="none"/>
          <w:lang w:val="zh-CN"/>
        </w:rPr>
        <w:t xml:space="preserve">第四章 投标文件格式</w:t>
      </w:r>
      <w:r>
        <w:rPr>
          <w:rStyle w:val="807"/>
          <w:rFonts w:hint="eastAsia" w:cs="宋体"/>
          <w:color w:val="auto"/>
          <w:sz w:val="36"/>
          <w:highlight w:val="none"/>
          <w:lang w:val="zh-CN"/>
        </w:rPr>
        <w:fldChar w:fldCharType="end"/>
      </w:r>
      <w:r/>
    </w:p>
    <w:p>
      <w:pPr>
        <w:pStyle w:val="786"/>
        <w:shd w:val="clear" w:color="auto"/>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807"/>
          <w:rFonts w:hint="eastAsia" w:cs="宋体"/>
          <w:color w:val="auto"/>
          <w:sz w:val="36"/>
          <w:highlight w:val="none"/>
          <w:lang w:val="zh-CN"/>
        </w:rPr>
        <w:t xml:space="preserve">第五章 拟签订的合同文本</w:t>
      </w:r>
      <w:r>
        <w:rPr>
          <w:rStyle w:val="807"/>
          <w:rFonts w:hint="eastAsia" w:cs="宋体"/>
          <w:color w:val="auto"/>
          <w:sz w:val="36"/>
          <w:highlight w:val="none"/>
          <w:lang w:val="zh-CN"/>
        </w:rPr>
        <w:fldChar w:fldCharType="end"/>
      </w:r>
      <w:r/>
    </w:p>
    <w:p>
      <w:pPr>
        <w:pStyle w:val="786"/>
        <w:shd w:val="clear" w:color="auto"/>
        <w:rPr>
          <w:rFonts w:cs="宋体"/>
          <w:color w:val="auto"/>
          <w:sz w:val="44"/>
          <w:szCs w:val="22"/>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807"/>
          <w:rFonts w:hint="eastAsia" w:cs="宋体"/>
          <w:color w:val="auto"/>
          <w:sz w:val="36"/>
          <w:highlight w:val="none"/>
          <w:lang w:val="zh-CN"/>
        </w:rPr>
        <w:t xml:space="preserve">第六章 评标办法与评审内容</w:t>
      </w:r>
      <w:r>
        <w:rPr>
          <w:rStyle w:val="807"/>
          <w:rFonts w:hint="eastAsia" w:cs="宋体"/>
          <w:color w:val="auto"/>
          <w:sz w:val="36"/>
          <w:highlight w:val="none"/>
          <w:lang w:val="zh-CN"/>
        </w:rPr>
        <w:fldChar w:fldCharType="end"/>
      </w:r>
      <w:r/>
    </w:p>
    <w:p>
      <w:pPr>
        <w:spacing w:line="360" w:lineRule="auto"/>
        <w:shd w:val="clear" w:color="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shd w:val="clear" w:color="auto"/>
        <w:rPr>
          <w:rFonts w:ascii="宋体" w:hAnsi="宋体" w:cs="宋体"/>
          <w:color w:val="auto"/>
          <w:highlight w:val="none"/>
        </w:rPr>
      </w:pPr>
      <w:r>
        <w:rPr>
          <w:rFonts w:ascii="宋体" w:hAnsi="宋体" w:cs="宋体"/>
          <w:color w:val="auto"/>
          <w:highlight w:val="none"/>
        </w:rPr>
      </w:r>
      <w:r/>
    </w:p>
    <w:p>
      <w:pPr>
        <w:pStyle w:val="754"/>
        <w:jc w:val="center"/>
        <w:pageBreakBefore/>
        <w:spacing w:line="240" w:lineRule="auto"/>
        <w:shd w:val="clear" w:color="auto"/>
        <w:rPr>
          <w:rFonts w:hint="default" w:ascii="宋体" w:hAnsi="宋体" w:eastAsia="宋体" w:cs="宋体"/>
          <w:color w:val="auto"/>
          <w:sz w:val="32"/>
          <w:szCs w:val="32"/>
          <w:highlight w:val="none"/>
          <w:lang w:val="en-US" w:eastAsia="zh-CN"/>
        </w:rPr>
      </w:pPr>
      <w:r/>
      <w:bookmarkStart w:id="0" w:name="_Toc230158462"/>
      <w:r/>
      <w:bookmarkStart w:id="1" w:name="_Toc419388186"/>
      <w:r/>
      <w:bookmarkStart w:id="2" w:name="_Toc288547513"/>
      <w:r/>
      <w:bookmarkStart w:id="3" w:name="_Toc7115787"/>
      <w:r>
        <w:rPr>
          <w:rFonts w:hint="eastAsia" w:ascii="宋体" w:hAnsi="宋体" w:eastAsia="宋体" w:cs="宋体"/>
          <w:color w:val="auto"/>
          <w:sz w:val="32"/>
          <w:szCs w:val="32"/>
          <w:highlight w:val="none"/>
          <w:lang w:val="zh-CN"/>
        </w:rPr>
        <w:t xml:space="preserve">第一章 </w:t>
      </w:r>
      <w:bookmarkEnd w:id="0"/>
      <w:r/>
      <w:bookmarkEnd w:id="1"/>
      <w:r/>
      <w:bookmarkEnd w:id="2"/>
      <w:r/>
      <w:bookmarkEnd w:id="3"/>
      <w:r>
        <w:rPr>
          <w:rFonts w:hint="eastAsia" w:ascii="宋体" w:hAnsi="宋体" w:eastAsia="宋体" w:cs="宋体"/>
          <w:color w:val="auto"/>
          <w:sz w:val="32"/>
          <w:szCs w:val="32"/>
          <w:highlight w:val="none"/>
          <w:lang w:val="en-US" w:eastAsia="zh-CN"/>
        </w:rPr>
        <w:t xml:space="preserve">招标公告</w:t>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苏州市吴江区第四人民医院的吴江四院扩建工程-数据存储及安全和智慧门诊项目的潜在投标人应在吴江区公共资源网上交易系统获取招标文件，并于20</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lang w:val="zh-CN"/>
              </w:rPr>
              <w:t xml:space="preserve">时30分（北京时间）前递交投标文件。</w:t>
            </w:r>
            <w:r/>
          </w:p>
        </w:tc>
      </w:tr>
    </w:tbl>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lang w:val="en-US" w:eastAsia="zh-CN"/>
        </w:rPr>
        <w:t xml:space="preserve">JSZC-320509-YZZJ-G2026-0006</w:t>
      </w:r>
      <w:r/>
    </w:p>
    <w:p>
      <w:pPr>
        <w:ind w:firstLine="420"/>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项目名称：吴江四院扩建工程-数据存储及安全和智慧门诊项目</w:t>
      </w:r>
      <w:r/>
    </w:p>
    <w:p>
      <w:pPr>
        <w:ind w:firstLine="420"/>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、预算金额：人民币陆佰肆拾贰万元整（￥6420000.00）</w:t>
      </w:r>
      <w:r/>
    </w:p>
    <w:p>
      <w:pPr>
        <w:ind w:firstLine="420"/>
        <w:spacing w:line="360" w:lineRule="auto"/>
        <w:shd w:val="clear" w:color="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 w:val="21"/>
          <w:szCs w:val="21"/>
          <w:highlight w:val="none"/>
          <w:lang w:val="en-US" w:eastAsia="zh-CN" w:bidi="ar-SA"/>
        </w:rPr>
        <w:t xml:space="preserve">最高限价：</w:t>
      </w:r>
      <w:r>
        <w:rPr>
          <w:rFonts w:hint="eastAsia" w:ascii="宋体" w:hAnsi="宋体" w:cs="宋体"/>
          <w:color w:val="auto"/>
          <w:sz w:val="21"/>
          <w:szCs w:val="21"/>
          <w:highlight w:val="none"/>
          <w:lang w:val="en-US" w:eastAsia="zh-CN" w:bidi="ar-SA"/>
        </w:rPr>
        <w:t xml:space="preserve">人民币伍佰捌拾玖万壹仟玖佰伍拾陆元贰角伍分（￥5891956.25）</w:t>
      </w:r>
      <w:r/>
    </w:p>
    <w:p>
      <w:pPr>
        <w:ind w:firstLine="420"/>
        <w:spacing w:line="360" w:lineRule="auto"/>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项目需求：吴江区第四人民医院扩建工程是区域重点民生工程。随着门诊量、住院量及医学影像数据量增长，医院现有模式及老旧设备已难以支撑业务发展，且不符合信息技术应用创新及网络安全、密码安全等要求。本项目拟招标存储、交换机、网络安全及基础软件能力建设，为扩建后的医院运营提供保障。</w:t>
      </w:r>
      <w:r/>
    </w:p>
    <w:p>
      <w:pPr>
        <w:ind w:firstLine="420"/>
        <w:spacing w:line="360" w:lineRule="auto"/>
        <w:shd w:val="clear" w:color="auto"/>
        <w:rPr>
          <w:rFonts w:hint="eastAsia" w:cs="宋体"/>
          <w:color w:val="auto"/>
          <w:sz w:val="21"/>
          <w:szCs w:val="21"/>
          <w:highlight w:val="none"/>
          <w:u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交货期限</w:t>
      </w:r>
      <w:r>
        <w:rPr>
          <w:rFonts w:hint="eastAsia" w:ascii="宋体" w:hAnsi="宋体" w:eastAsia="宋体" w:cs="宋体"/>
          <w:color w:val="auto"/>
          <w:szCs w:val="21"/>
          <w:highlight w:val="none"/>
          <w:lang w:val="zh-CN" w:eastAsia="zh-CN"/>
        </w:rPr>
        <w:t xml:space="preserve">：</w:t>
      </w:r>
      <w:r>
        <w:rPr>
          <w:rFonts w:hint="eastAsia" w:ascii="宋体" w:hAnsi="宋体" w:cs="宋体"/>
          <w:color w:val="auto"/>
          <w:szCs w:val="21"/>
          <w:highlight w:val="none"/>
          <w:lang w:val="en-US" w:eastAsia="zh-CN"/>
        </w:rPr>
        <w:t xml:space="preserve">接到采购人通知后30日历天内完成全部货物到货、安装、调试、集成并交付使用。具体开始时间以采购人书面通知时间为准。</w:t>
      </w:r>
      <w:r/>
    </w:p>
    <w:p>
      <w:pPr>
        <w:ind w:firstLine="420"/>
        <w:spacing w:line="360" w:lineRule="auto"/>
        <w:shd w:val="clear" w:color="auto"/>
        <w:rPr>
          <w:rFonts w:hint="eastAsia" w:ascii="宋体" w:hAnsi="宋体" w:cs="宋体"/>
          <w:b/>
          <w:bCs/>
          <w:color w:val="auto"/>
          <w:szCs w:val="21"/>
          <w:highlight w:val="none"/>
          <w:lang w:eastAsia="zh-CN"/>
        </w:rPr>
      </w:pP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w:t>
      </w:r>
      <w:r>
        <w:rPr>
          <w:rFonts w:hint="eastAsia" w:ascii="宋体" w:hAnsi="宋体" w:cs="宋体"/>
          <w:b/>
          <w:bCs/>
          <w:color w:val="auto"/>
          <w:szCs w:val="21"/>
          <w:highlight w:val="none"/>
        </w:rPr>
        <w:t xml:space="preserve">★</w:t>
      </w:r>
      <w:r>
        <w:rPr>
          <w:rFonts w:hint="eastAsia" w:ascii="宋体" w:hAnsi="宋体"/>
          <w:b/>
          <w:bCs/>
          <w:color w:val="auto"/>
          <w:szCs w:val="21"/>
          <w:highlight w:val="none"/>
        </w:rPr>
        <w:t xml:space="preserve">本项目</w:t>
      </w:r>
      <w:r>
        <w:rPr>
          <w:rFonts w:hint="eastAsia" w:ascii="宋体" w:hAnsi="宋体"/>
          <w:b/>
          <w:bCs/>
          <w:color w:val="auto"/>
          <w:szCs w:val="21"/>
          <w:highlight w:val="none"/>
          <w:lang w:val="en-US" w:eastAsia="zh-CN"/>
        </w:rPr>
        <w:t xml:space="preserve">不</w:t>
      </w:r>
      <w:r>
        <w:rPr>
          <w:rFonts w:hint="eastAsia" w:ascii="宋体" w:hAnsi="宋体"/>
          <w:b/>
          <w:bCs/>
          <w:color w:val="auto"/>
          <w:szCs w:val="21"/>
          <w:highlight w:val="none"/>
        </w:rPr>
        <w:t xml:space="preserve">接受联合体投标</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也</w:t>
      </w:r>
      <w:r>
        <w:rPr>
          <w:rFonts w:hint="eastAsia" w:ascii="宋体" w:hAnsi="宋体" w:cs="宋体"/>
          <w:b/>
          <w:bCs/>
          <w:color w:val="auto"/>
          <w:szCs w:val="21"/>
          <w:highlight w:val="none"/>
        </w:rPr>
        <w:t xml:space="preserve">不接受分包转包</w:t>
      </w:r>
      <w:r>
        <w:rPr>
          <w:rFonts w:hint="eastAsia" w:ascii="宋体" w:hAnsi="宋体" w:cs="宋体"/>
          <w:b/>
          <w:bCs/>
          <w:color w:val="auto"/>
          <w:szCs w:val="21"/>
          <w:highlight w:val="none"/>
          <w:lang w:eastAsia="zh-CN"/>
        </w:rPr>
        <w:t xml:space="preserve">。</w:t>
      </w:r>
      <w:r/>
    </w:p>
    <w:p>
      <w:pPr>
        <w:ind w:firstLine="420"/>
        <w:spacing w:line="360" w:lineRule="auto"/>
        <w:shd w:val="clear" w:color="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本次招标不接受进口产品。</w:t>
      </w:r>
      <w:r/>
    </w:p>
    <w:p>
      <w:pPr>
        <w:ind w:firstLine="422"/>
        <w:spacing w:line="400" w:lineRule="exact"/>
        <w:shd w:val="clear" w:color="auto"/>
        <w:rPr>
          <w:rFonts w:hint="eastAsia" w:ascii="宋体" w:hAnsi="宋体" w:cs="宋体"/>
          <w:b/>
          <w:bCs/>
          <w:color w:val="auto"/>
          <w:szCs w:val="21"/>
          <w:highlight w:val="none"/>
          <w:lang w:val="en-US" w:eastAsia="zh-CN"/>
        </w:rPr>
      </w:pPr>
      <w:r/>
      <w:bookmarkStart w:id="4" w:name="_Toc128746627"/>
      <w:r>
        <w:rPr>
          <w:rFonts w:hint="eastAsia" w:ascii="宋体" w:hAnsi="宋体" w:cs="宋体"/>
          <w:b/>
          <w:bCs/>
          <w:color w:val="auto"/>
          <w:szCs w:val="21"/>
          <w:highlight w:val="none"/>
        </w:rPr>
        <w:t xml:space="preserve">二、申请人的资格要求：</w:t>
      </w:r>
      <w:bookmarkEnd w:id="4"/>
      <w:r/>
      <w:r/>
    </w:p>
    <w:p>
      <w:pPr>
        <w:ind w:firstLine="420"/>
        <w:spacing w:line="400" w:lineRule="exact"/>
        <w:shd w:val="clear" w:color="auto"/>
        <w:rPr>
          <w:rFonts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满足《中华人民共和国政府采购法》第二十二条规定：</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（1）具有独立承担民事责任的能力 ；</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（2）具有良好的商业信誉和健全的财务会计制度 ；</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（3）具有履行合同所必须的设备和专业技术能力；</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w:t>
      </w:r>
      <w:r/>
    </w:p>
    <w:p>
      <w:pPr>
        <w:ind w:firstLine="420"/>
        <w:spacing w:line="400" w:lineRule="exact"/>
        <w:shd w:val="clear" w:color="auto"/>
        <w:rPr>
          <w:rFonts w:hint="eastAsia" w:ascii="宋体" w:hAnsi="宋体" w:cs="宋体"/>
          <w:color w:val="auto"/>
          <w:highlight w:val="none"/>
        </w:rPr>
      </w:pPr>
      <w:r>
        <w:rPr>
          <w:rFonts w:hint="eastAsia" w:ascii="宋体" w:hAnsi="宋体" w:cs="宋体"/>
          <w:color w:val="auto"/>
          <w:highlight w:val="none"/>
        </w:rPr>
        <w:t xml:space="preserve">（6）法律、行政法规规定的其他条件。</w:t>
      </w:r>
      <w:r/>
    </w:p>
    <w:p>
      <w:pPr>
        <w:ind w:firstLine="420"/>
        <w:spacing w:line="400" w:lineRule="exact"/>
        <w:shd w:val="clear" w:color="auto"/>
        <w:rPr>
          <w:rFonts w:hint="eastAsia" w:ascii="宋体" w:hAnsi="宋体" w:eastAsia="宋体" w:cs="宋体"/>
          <w:color w:val="auto"/>
          <w:highlight w:val="none"/>
          <w:lang w:val="zh-CN"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落实政府采购政策需满足的资格要求：</w:t>
      </w:r>
      <w:r>
        <w:rPr>
          <w:rFonts w:hint="eastAsia" w:ascii="宋体" w:hAnsi="宋体" w:cs="宋体"/>
          <w:color w:val="auto"/>
          <w:highlight w:val="none"/>
          <w:lang w:val="en-US" w:eastAsia="zh-CN"/>
        </w:rPr>
        <w:t xml:space="preserve">无</w:t>
      </w:r>
      <w:r/>
    </w:p>
    <w:p>
      <w:pPr>
        <w:ind w:firstLine="420"/>
        <w:spacing w:line="400" w:lineRule="exact"/>
        <w:shd w:val="clear" w:color="auto"/>
        <w:rPr>
          <w:rFonts w:hint="eastAsia" w:ascii="宋体" w:hAnsi="宋体" w:cs="宋体"/>
          <w:color w:val="auto"/>
          <w:highlight w:val="none"/>
          <w:lang w:val="en-US" w:eastAsia="zh-CN"/>
        </w:rPr>
      </w:pPr>
      <w:r>
        <w:rPr>
          <w:rFonts w:hint="eastAsia" w:ascii="宋体" w:hAnsi="宋体" w:cs="宋体"/>
          <w:color w:val="auto"/>
          <w:highlight w:val="none"/>
        </w:rPr>
        <w:t xml:space="preserve">3.本项目的特定资格要求：</w:t>
      </w:r>
      <w:r>
        <w:rPr>
          <w:rFonts w:hint="eastAsia" w:ascii="宋体" w:hAnsi="宋体" w:cs="宋体"/>
          <w:color w:val="auto"/>
          <w:highlight w:val="none"/>
          <w:lang w:val="en-US" w:eastAsia="zh-CN"/>
        </w:rPr>
        <w:t xml:space="preserve">无</w:t>
      </w:r>
      <w:r/>
    </w:p>
    <w:p>
      <w:pPr>
        <w:pStyle w:val="1053"/>
        <w:ind w:firstLine="420"/>
        <w:spacing w:line="400" w:lineRule="exact"/>
        <w:shd w:val="clear" w:color="auto"/>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w:t>
      </w:r>
      <w:r>
        <w:rPr>
          <w:rFonts w:hint="default" w:ascii="宋体" w:hAnsi="宋体" w:eastAsia="宋体" w:cs="宋体"/>
          <w:color w:val="auto"/>
          <w:sz w:val="21"/>
          <w:szCs w:val="24"/>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其他要求：</w:t>
      </w:r>
      <w:r/>
    </w:p>
    <w:p>
      <w:pPr>
        <w:ind w:firstLine="420"/>
        <w:spacing w:line="400" w:lineRule="exact"/>
        <w:shd w:val="clear" w:color="auto"/>
        <w:rPr>
          <w:rFonts w:ascii="宋体" w:hAnsi="宋体" w:cs="宋体"/>
          <w:color w:val="auto"/>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）未被“信用中国”网站（www.creditchina.gov.cn）列入失信被执行人、重大税收违法案件当事人名单、政府采购严重失信行为记录名单。</w:t>
      </w:r>
      <w:r/>
    </w:p>
    <w:p>
      <w:pPr>
        <w:ind w:firstLine="420"/>
        <w:jc w:val="left"/>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2"/>
        <w:spacing w:line="360" w:lineRule="auto"/>
        <w:shd w:val="clear" w:color="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三、获取</w:t>
      </w:r>
      <w:r>
        <w:rPr>
          <w:rFonts w:hint="eastAsia" w:ascii="宋体" w:hAnsi="宋体" w:cs="宋体"/>
          <w:b/>
          <w:bCs/>
          <w:color w:val="auto"/>
          <w:szCs w:val="21"/>
          <w:highlight w:val="none"/>
          <w:lang w:eastAsia="zh-CN"/>
        </w:rPr>
        <w:t xml:space="preserve">招标文件</w:t>
      </w:r>
      <w:r/>
    </w:p>
    <w:p>
      <w:pPr>
        <w:ind w:firstLine="420"/>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本项目实行投标单位网上报名：</w:t>
      </w: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lang w:val="zh-CN"/>
        </w:rPr>
        <w:t xml:space="preserve">公告发布之日起5个工作日</w:t>
      </w:r>
      <w:r>
        <w:rPr>
          <w:rFonts w:hint="eastAsia" w:ascii="宋体" w:hAnsi="宋体" w:cs="宋体"/>
          <w:color w:val="auto"/>
          <w:szCs w:val="21"/>
          <w:highlight w:val="none"/>
          <w:lang w:val="zh-CN"/>
        </w:rPr>
        <w:t xml:space="preserve">，每天上午00:00-12:00，下午12:00-23:59（北京时间，法定节假日除外）。</w:t>
      </w:r>
      <w:r/>
    </w:p>
    <w:p>
      <w:pPr>
        <w:ind w:firstLine="420"/>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售价：0.00元 </w:t>
      </w:r>
      <w:r/>
    </w:p>
    <w:p>
      <w:pPr>
        <w:ind w:firstLine="422"/>
        <w:spacing w:line="360" w:lineRule="auto"/>
        <w:shd w:val="clear" w:color="auto"/>
        <w:rPr>
          <w:rFonts w:ascii="宋体" w:hAnsi="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b/>
          <w:bCs/>
          <w:color w:val="auto"/>
          <w:szCs w:val="21"/>
          <w:highlight w:val="none"/>
        </w:rPr>
        <w:t xml:space="preserve">提交投标文件截止时间</w:t>
      </w:r>
      <w:r/>
    </w:p>
    <w:p>
      <w:pPr>
        <w:ind w:firstLine="420"/>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时间：202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lang w:eastAsia="zh-CN"/>
        </w:rPr>
        <w:t xml:space="preserve">月</w:t>
      </w:r>
      <w:r>
        <w:rPr>
          <w:rFonts w:hint="eastAsia" w:ascii="宋体" w:hAnsi="宋体" w:cs="宋体"/>
          <w:bCs/>
          <w:color w:val="auto"/>
          <w:szCs w:val="21"/>
          <w:highlight w:val="none"/>
          <w:lang w:val="en-US" w:eastAsia="zh-CN"/>
        </w:rPr>
        <w:t xml:space="preserve">13 </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lang w:val="en-US" w:eastAsia="zh-CN"/>
        </w:rPr>
        <w:t xml:space="preserve">09</w:t>
      </w:r>
      <w:r>
        <w:rPr>
          <w:rFonts w:hint="eastAsia" w:ascii="宋体" w:hAnsi="宋体" w:cs="宋体"/>
          <w:bCs/>
          <w:color w:val="auto"/>
          <w:szCs w:val="21"/>
          <w:highlight w:val="none"/>
        </w:rPr>
        <w:t xml:space="preserve">:30（北京时间）</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bCs/>
          <w:color w:val="auto"/>
          <w:szCs w:val="21"/>
          <w:highlight w:val="none"/>
          <w:lang w:bidi="ar"/>
        </w:rPr>
        <w:t xml:space="preserve">地点：</w:t>
      </w:r>
      <w:r>
        <w:rPr>
          <w:rFonts w:hint="eastAsia" w:ascii="宋体" w:hAnsi="宋体" w:cs="宋体"/>
          <w:bCs/>
          <w:color w:val="auto"/>
          <w:szCs w:val="21"/>
          <w:highlight w:val="none"/>
        </w:rPr>
        <w:t xml:space="preserve">“苏采云”系统</w:t>
      </w:r>
      <w:r/>
    </w:p>
    <w:p>
      <w:pPr>
        <w:ind w:firstLine="422"/>
        <w:jc w:val="left"/>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日期视同为依法获取招标文件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shd w:val="clear" w:color="auto"/>
        <w:rPr>
          <w:rFonts w:ascii="宋体" w:hAnsi="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shd w:val="clear" w:color="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勘察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苏州市吴江区梅石路1133号5楼</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顾海舟、雷美玉</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0512-63346881</w:t>
      </w:r>
      <w:r/>
    </w:p>
    <w:p>
      <w:pPr>
        <w:numPr>
          <w:ilvl w:val="0"/>
          <w:numId w:val="0"/>
        </w:num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投标保证金：无，需提供投标（响应）保证承诺书。 </w:t>
      </w:r>
      <w:r/>
    </w:p>
    <w:p>
      <w:pPr>
        <w:numPr>
          <w:ilvl w:val="0"/>
          <w:numId w:val="0"/>
        </w:numPr>
        <w:ind w:firstLine="420"/>
        <w:spacing w:line="360" w:lineRule="auto"/>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8、履约保证金：</w:t>
      </w:r>
      <w:r>
        <w:rPr>
          <w:rFonts w:hint="eastAsia" w:ascii="宋体" w:hAnsi="宋体" w:eastAsia="宋体" w:cs="宋体"/>
          <w:b/>
          <w:bCs/>
          <w:color w:val="auto"/>
          <w:szCs w:val="21"/>
          <w:highlight w:val="none"/>
          <w:lang w:val="en-US" w:eastAsia="zh-CN"/>
        </w:rPr>
        <w:t xml:space="preserve">详见合同条款。</w:t>
      </w:r>
      <w:r/>
    </w:p>
    <w:p>
      <w:pPr>
        <w:pStyle w:val="1064"/>
        <w:ind w:left="0" w:firstLine="420"/>
        <w:shd w:val="clear" w:color="auto"/>
        <w:rPr>
          <w:color w:val="auto"/>
          <w:highlight w:val="none"/>
        </w:rPr>
      </w:pPr>
      <w:r>
        <w:rPr>
          <w:rFonts w:hint="eastAsia" w:ascii="宋体" w:hAnsi="宋体" w:cs="宋体"/>
          <w:b w:val="0"/>
          <w:color w:val="auto"/>
          <w:sz w:val="21"/>
          <w:szCs w:val="21"/>
          <w:highlight w:val="none"/>
          <w:lang w:val="en-US" w:eastAsia="zh-CN"/>
        </w:rPr>
        <w:t xml:space="preserve">9、</w:t>
      </w:r>
      <w:r>
        <w:rPr>
          <w:rFonts w:hint="eastAsia" w:ascii="宋体" w:hAnsi="宋体" w:eastAsia="宋体" w:cs="宋体"/>
          <w:b w:val="0"/>
          <w:color w:val="auto"/>
          <w:sz w:val="21"/>
          <w:szCs w:val="21"/>
          <w:highlight w:val="none"/>
        </w:rPr>
        <w:t xml:space="preserve">苏州市吴江区财政局政府采购管理部门，电话：0512-63982393</w:t>
      </w:r>
      <w:r>
        <w:rPr>
          <w:rFonts w:hint="eastAsia" w:ascii="宋体" w:hAnsi="宋体" w:cs="宋体"/>
          <w:b w:val="0"/>
          <w:color w:val="auto"/>
          <w:sz w:val="21"/>
          <w:szCs w:val="21"/>
          <w:highlight w:val="none"/>
          <w:lang w:eastAsia="zh-CN"/>
        </w:rPr>
        <w:t xml:space="preserve">。</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shd w:val="clear" w:color="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称：苏州市吴江区第四人民医院</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址：苏州市吴江区震泽镇镇南一路1333号</w:t>
      </w:r>
      <w:r/>
    </w:p>
    <w:p>
      <w:pPr>
        <w:ind w:firstLine="420"/>
        <w:jc w:val="left"/>
        <w:spacing w:line="360" w:lineRule="auto"/>
        <w:shd w:val="clear" w:color="auto"/>
        <w:rPr>
          <w:rFonts w:hint="default" w:ascii="宋体" w:hAnsi="宋体" w:cs="宋体"/>
          <w:color w:val="auto"/>
          <w:szCs w:val="21"/>
          <w:highlight w:val="none"/>
          <w:lang w:val="en-US"/>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戴剑虹</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zh-CN"/>
        </w:rPr>
        <w:t xml:space="preserve">0512-63192201-8000　　　　　 </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称：苏州永正造价师事务所有限公司　　　　　　　　　　　</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lang w:eastAsia="zh-CN"/>
        </w:rPr>
        <w:t xml:space="preserve">苏州市吴江区梅石路1133号5楼</w:t>
      </w:r>
      <w:r>
        <w:rPr>
          <w:rFonts w:hint="eastAsia" w:ascii="宋体" w:hAnsi="宋体" w:cs="宋体"/>
          <w:color w:val="auto"/>
          <w:szCs w:val="21"/>
          <w:highlight w:val="none"/>
          <w:lang w:val="zh-CN"/>
        </w:rPr>
        <w:t xml:space="preserve">　　　　　　　　　　　　　</w:t>
      </w:r>
      <w:r/>
    </w:p>
    <w:p>
      <w:pPr>
        <w:ind w:firstLine="420"/>
        <w:jc w:val="left"/>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顾海舟、雷美玉</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电　话：0512-</w:t>
      </w:r>
      <w:r>
        <w:rPr>
          <w:rFonts w:hint="eastAsia" w:ascii="宋体" w:hAnsi="宋体" w:cs="宋体"/>
          <w:color w:val="auto"/>
          <w:szCs w:val="21"/>
          <w:highlight w:val="none"/>
          <w:lang w:val="en-US" w:eastAsia="zh-CN"/>
        </w:rPr>
        <w:t xml:space="preserve">63346881</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p>
    <w:p>
      <w:pPr>
        <w:ind w:firstLine="420"/>
        <w:jc w:val="righ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54"/>
        <w:jc w:val="center"/>
        <w:pageBreakBefore/>
        <w:spacing w:line="240" w:lineRule="auto"/>
        <w:shd w:val="clear" w:color="auto"/>
        <w:rPr>
          <w:rFonts w:hint="default" w:ascii="宋体" w:hAnsi="宋体" w:eastAsia="宋体" w:cs="宋体"/>
          <w:color w:val="auto"/>
          <w:sz w:val="32"/>
          <w:szCs w:val="32"/>
          <w:highlight w:val="none"/>
          <w:lang w:val="en-US" w:eastAsia="zh-CN"/>
        </w:rPr>
      </w:pPr>
      <w:r/>
      <w:bookmarkStart w:id="5" w:name="_Toc230158463"/>
      <w:r/>
      <w:bookmarkStart w:id="6" w:name="_Toc288547514"/>
      <w:r/>
      <w:bookmarkStart w:id="7" w:name="_Toc7115788"/>
      <w:r/>
      <w:bookmarkStart w:id="8" w:name="_Toc419388187"/>
      <w:r>
        <w:rPr>
          <w:rFonts w:hint="eastAsia" w:ascii="宋体" w:hAnsi="宋体" w:eastAsia="宋体" w:cs="宋体"/>
          <w:color w:val="auto"/>
          <w:sz w:val="32"/>
          <w:szCs w:val="32"/>
          <w:highlight w:val="none"/>
          <w:lang w:val="zh-CN"/>
        </w:rPr>
        <w:t xml:space="preserve">第二章 </w:t>
      </w:r>
      <w:bookmarkEnd w:id="5"/>
      <w:r/>
      <w:bookmarkEnd w:id="6"/>
      <w:r>
        <w:rPr>
          <w:rFonts w:hint="eastAsia" w:ascii="宋体" w:hAnsi="宋体" w:eastAsia="宋体" w:cs="宋体"/>
          <w:color w:val="auto"/>
          <w:sz w:val="32"/>
          <w:szCs w:val="32"/>
          <w:highlight w:val="none"/>
          <w:lang w:val="zh-CN"/>
        </w:rPr>
        <w:t xml:space="preserve">采购内容</w:t>
      </w:r>
      <w:bookmarkEnd w:id="7"/>
      <w:r/>
      <w:bookmarkEnd w:id="8"/>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受苏州市吴江区第四人民医院的委托，苏州永正造价师事务所有限公司作为采购代理机构，就其吴江四院扩建工程-数据存储及安全和智慧门诊项目进行国内公开招标，欢迎有资格的供应商前来参加投标。</w:t>
      </w:r>
      <w:r/>
    </w:p>
    <w:p>
      <w:pPr>
        <w:numPr>
          <w:ilvl w:val="0"/>
          <w:numId w:val="0"/>
        </w:numPr>
        <w:ind w:firstLine="422"/>
        <w:spacing w:line="360" w:lineRule="auto"/>
        <w:shd w:val="clear" w:color="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val="zh-CN"/>
        </w:rPr>
        <w:t xml:space="preserve">项目编号：</w:t>
      </w:r>
      <w:r>
        <w:rPr>
          <w:rFonts w:hint="eastAsia" w:ascii="宋体" w:hAnsi="宋体" w:cs="宋体"/>
          <w:color w:val="auto"/>
          <w:szCs w:val="21"/>
          <w:highlight w:val="none"/>
          <w:lang w:val="en-US" w:eastAsia="zh-CN"/>
        </w:rPr>
        <w:t xml:space="preserve">JSZC-320509-YZZJ-G2026-0006</w:t>
      </w:r>
      <w:r/>
    </w:p>
    <w:p>
      <w:pPr>
        <w:ind w:firstLine="420"/>
        <w:spacing w:line="360" w:lineRule="auto"/>
        <w:shd w:val="clear" w:color="auto"/>
        <w:rPr>
          <w:rFonts w:hint="eastAsia" w:ascii="宋体" w:hAnsi="宋体" w:cs="宋体"/>
          <w:color w:val="auto"/>
          <w:szCs w:val="21"/>
          <w:highlight w:val="none"/>
          <w:lang w:val="zh-CN"/>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lang w:val="zh-CN"/>
        </w:rPr>
        <w:t xml:space="preserve">项目名称：</w:t>
      </w:r>
      <w:r>
        <w:rPr>
          <w:rFonts w:hint="eastAsia" w:ascii="宋体" w:hAnsi="宋体" w:cs="宋体"/>
          <w:color w:val="auto"/>
          <w:szCs w:val="21"/>
          <w:highlight w:val="none"/>
          <w:lang w:val="zh-CN"/>
        </w:rPr>
        <w:t xml:space="preserve">吴江四院扩建工程-数据存储及安全和智慧门诊项目</w:t>
      </w:r>
      <w:r/>
    </w:p>
    <w:p>
      <w:pPr>
        <w:ind w:firstLine="420"/>
        <w:spacing w:line="360" w:lineRule="auto"/>
        <w:shd w:val="clear" w:color="auto"/>
        <w:rPr>
          <w:rFonts w:hint="eastAsia" w:ascii="宋体" w:hAnsi="宋体" w:cs="宋体"/>
          <w:color w:val="auto"/>
          <w:szCs w:val="21"/>
          <w:highlight w:val="none"/>
          <w:lang w:val="zh-CN"/>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lang w:val="zh-CN"/>
        </w:rPr>
        <w:t xml:space="preserve">、预算金额：</w:t>
      </w:r>
      <w:r>
        <w:rPr>
          <w:rFonts w:hint="eastAsia" w:ascii="宋体" w:hAnsi="宋体" w:cs="宋体"/>
          <w:color w:val="auto"/>
          <w:szCs w:val="21"/>
          <w:highlight w:val="none"/>
          <w:lang w:val="zh-CN"/>
        </w:rPr>
        <w:t xml:space="preserve">人民币陆佰肆拾贰万元整（￥6420000.00）</w:t>
      </w:r>
      <w:r/>
    </w:p>
    <w:p>
      <w:pPr>
        <w:numPr>
          <w:ilvl w:val="0"/>
          <w:numId w:val="0"/>
        </w:numPr>
        <w:ind w:left="420"/>
        <w:spacing w:line="360" w:lineRule="auto"/>
        <w:shd w:val="clear" w:color="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    </w:t>
      </w:r>
      <w:r>
        <w:rPr>
          <w:rFonts w:hint="eastAsia" w:ascii="宋体" w:hAnsi="宋体" w:eastAsia="宋体" w:cs="宋体"/>
          <w:b/>
          <w:bCs/>
          <w:color w:val="auto"/>
          <w:sz w:val="21"/>
          <w:szCs w:val="21"/>
          <w:highlight w:val="none"/>
          <w:lang w:val="en-US" w:eastAsia="zh-CN" w:bidi="ar-SA"/>
        </w:rPr>
        <w:t xml:space="preserve">最高限价：</w:t>
      </w:r>
      <w:r>
        <w:rPr>
          <w:rFonts w:hint="eastAsia" w:ascii="宋体" w:hAnsi="宋体" w:cs="宋体"/>
          <w:color w:val="auto"/>
          <w:sz w:val="21"/>
          <w:szCs w:val="21"/>
          <w:highlight w:val="none"/>
          <w:lang w:val="en-US" w:eastAsia="zh-CN" w:bidi="ar-SA"/>
        </w:rPr>
        <w:t xml:space="preserve">人民币伍佰捌拾玖万壹仟玖佰伍拾陆元贰角伍分（￥5891956.25）</w:t>
      </w:r>
      <w:r/>
    </w:p>
    <w:p>
      <w:pPr>
        <w:numPr>
          <w:ilvl w:val="0"/>
          <w:numId w:val="0"/>
        </w:numPr>
        <w:ind w:left="420"/>
        <w:spacing w:line="360" w:lineRule="auto"/>
        <w:shd w:val="clear" w:color="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四、交付时间</w:t>
      </w:r>
      <w:r>
        <w:rPr>
          <w:rFonts w:hint="eastAsia" w:ascii="宋体" w:hAnsi="宋体" w:eastAsia="宋体" w:cs="宋体"/>
          <w:b/>
          <w:bCs/>
          <w:color w:val="auto"/>
          <w:szCs w:val="21"/>
          <w:highlight w:val="none"/>
          <w:lang w:val="zh-CN" w:eastAsia="zh-CN"/>
        </w:rPr>
        <w:t xml:space="preserve">：</w:t>
      </w:r>
      <w:r>
        <w:rPr>
          <w:rFonts w:hint="eastAsia" w:ascii="宋体" w:hAnsi="宋体" w:cs="宋体"/>
          <w:color w:val="auto"/>
          <w:szCs w:val="21"/>
          <w:highlight w:val="none"/>
          <w:lang w:val="en-US" w:eastAsia="zh-CN"/>
        </w:rPr>
        <w:t xml:space="preserve">接到采购人通知后30日历天内完成全部货物到货、安装、调试、集成并交付使用。具体开始时间以采购人书面通知时间为准。</w:t>
      </w:r>
      <w:r/>
    </w:p>
    <w:p>
      <w:pPr>
        <w:numPr>
          <w:ilvl w:val="0"/>
          <w:numId w:val="0"/>
        </w:numPr>
        <w:ind w:left="420"/>
        <w:spacing w:line="360" w:lineRule="auto"/>
        <w:shd w:val="clear" w:color="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五、招标内容</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吴江区第四人民医院扩建工程是区域重点民生工程。随着门诊量、住院量及医学影像数据量增长，医院现有模式及老旧设备已难以支撑业务发展，且不符合信息技术应用创新及网络安全、密码安全等要求。本项目拟招标存储、交换机、网络安全及基础软件能力建设，为扩建后的医院运营提供保障。</w:t>
      </w:r>
      <w:r/>
    </w:p>
    <w:p>
      <w:pPr>
        <w:numPr>
          <w:ilvl w:val="0"/>
          <w:numId w:val="9"/>
        </w:num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采购清单</w:t>
      </w:r>
      <w:r/>
    </w:p>
    <w:tbl>
      <w:tblPr>
        <w:tblStyle w:val="764"/>
        <w:tblW w:w="4697" w:type="pct"/>
        <w:jc w:val="center"/>
        <w:tblLayout w:type="autofit"/>
        <w:tblCellMar>
          <w:left w:w="108" w:type="dxa"/>
          <w:top w:w="0" w:type="dxa"/>
          <w:right w:w="108" w:type="dxa"/>
          <w:bottom w:w="0" w:type="dxa"/>
        </w:tblCellMar>
        <w:tblLook w:val="04A0" w:firstRow="1" w:lastRow="0" w:firstColumn="1" w:lastColumn="0" w:noHBand="0" w:noVBand="1"/>
      </w:tblPr>
      <w:tblGrid>
        <w:gridCol w:w="1084"/>
        <w:gridCol w:w="2394"/>
        <w:gridCol w:w="3018"/>
        <w:gridCol w:w="1380"/>
        <w:gridCol w:w="1381"/>
      </w:tblGrid>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参数配置</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FC双活存储</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PACS存储</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FC交换机</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数据中心交换机</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管理交换机</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外网防火墙</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上网行为管理</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内网边界防火墙</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网闸</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堡垒机</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入侵防御</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jc w:val="center"/>
          <w:trHeight w:val="404"/>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应用中间件</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lef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集群软件</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r>
    </w:tbl>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本项目核心产品为</w:t>
      </w:r>
      <w:r>
        <w:rPr>
          <w:rFonts w:hint="eastAsia" w:ascii="宋体" w:hAnsi="宋体" w:eastAsia="宋体" w:cs="宋体"/>
          <w:b/>
          <w:bCs/>
          <w:color w:val="auto"/>
          <w:sz w:val="21"/>
          <w:szCs w:val="21"/>
          <w:highlight w:val="none"/>
        </w:rPr>
        <w:t xml:space="preserve">PACS存储</w:t>
      </w:r>
      <w:r>
        <w:rPr>
          <w:rFonts w:hint="eastAsia" w:ascii="宋体" w:hAnsi="宋体" w:eastAsia="宋体" w:cs="宋体"/>
          <w:color w:val="auto"/>
          <w:sz w:val="21"/>
          <w:szCs w:val="21"/>
          <w:highlight w:val="none"/>
        </w:rPr>
        <w:t xml:space="preserve">。核心产品提供相同品牌产品且通过资格审查、符合性审查的不同</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计算，评审后得分最高的同品牌</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获得中标人推荐资格；评审得分相同的，由采购人或者采购人委托评标委员会按照招标文件规定的方式确定一个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获得中标人推荐资格，招标文件未规定的采取随机抽取方式确定，其他同品牌</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不作为中标候选人。</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（三）技术参数要求</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FC双活存储产品详细技术参数要求</w:t>
      </w:r>
      <w:r/>
    </w:p>
    <w:tbl>
      <w:tblPr>
        <w:tblStyle w:val="80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8116"/>
      </w:tblGrid>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指标项</w:t>
            </w:r>
            <w:r/>
          </w:p>
        </w:tc>
        <w:tc>
          <w:tcPr>
            <w:tcW w:w="4119"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技术规格及参数要求</w:t>
            </w:r>
            <w:r/>
          </w:p>
        </w:tc>
      </w:tr>
      <w:tr>
        <w:trPr>
          <w:trHeight w:val="397"/>
        </w:trPr>
        <w:tc>
          <w:tcPr>
            <w:tcW w:w="880"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设备架构</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控制器采用Active-Active架构，LUN不归属于某一个控制器，业务负载均衡到≥2个控制器，业务运行过程中，每个控制器的IOPS和CPU利用率差异不超过10%。</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采用2U盘控一体架构，控制器框提供≥25个硬盘槽位</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稳定时延≤0.5ms，包括开启增值功能（不少于3个，包括开启快照）的情况下。</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▲所投存储产品使用国产自研ARM架构CPU。</w:t>
            </w:r>
            <w:r/>
          </w:p>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shd w:val="clear" w:color="auto"/>
                <w:lang w:val="en-US" w:eastAsia="zh-CN"/>
                <w14:ligatures w14:val="standardContextual"/>
              </w:rPr>
              <w:t xml:space="preserve">须</w:t>
            </w:r>
            <w:r>
              <w:rPr>
                <w:rFonts w:hint="eastAsia" w:ascii="宋体" w:hAnsi="宋体" w:eastAsia="宋体" w:cs="宋体"/>
                <w:color w:val="auto"/>
                <w:sz w:val="21"/>
                <w:szCs w:val="21"/>
                <w:highlight w:val="none"/>
                <w14:ligatures w14:val="standardContextual"/>
              </w:rPr>
              <w:t xml:space="preserve">提供产品官网截图证明，并加盖投标人公章。</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支持无中断升级，采用模块化软件架构设计，超过90%的组件用户态，升级无需重启控制器。</w:t>
            </w:r>
            <w:r/>
          </w:p>
        </w:tc>
      </w:tr>
      <w:tr>
        <w:trPr>
          <w:trHeight w:val="397"/>
        </w:trPr>
        <w:tc>
          <w:tcPr>
            <w:tcW w:w="880"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功能</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▲配置无损快照功能，满足如下：</w:t>
            </w:r>
            <w:r/>
          </w:p>
          <w:p>
            <w:pPr>
              <w:numPr>
                <w:ilvl w:val="0"/>
                <w:numId w:val="0"/>
              </w:num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1.</w:t>
            </w:r>
            <w:r>
              <w:rPr>
                <w:rFonts w:hint="eastAsia" w:ascii="宋体" w:hAnsi="宋体" w:eastAsia="宋体" w:cs="宋体"/>
                <w:color w:val="auto"/>
                <w:sz w:val="21"/>
                <w:szCs w:val="21"/>
                <w:highlight w:val="none"/>
                <w14:ligatures w14:val="standardContextual"/>
              </w:rPr>
              <w:t xml:space="preserve">系统提供每3秒做一次快照备份。</w:t>
            </w:r>
            <w:r/>
          </w:p>
          <w:p>
            <w:pPr>
              <w:numPr>
                <w:ilvl w:val="0"/>
                <w:numId w:val="0"/>
              </w:num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2.</w:t>
            </w:r>
            <w:r>
              <w:rPr>
                <w:rFonts w:hint="eastAsia" w:ascii="宋体" w:hAnsi="宋体" w:eastAsia="宋体" w:cs="宋体"/>
                <w:color w:val="auto"/>
                <w:sz w:val="21"/>
                <w:szCs w:val="21"/>
                <w:highlight w:val="none"/>
                <w14:ligatures w14:val="standardContextual"/>
              </w:rPr>
              <w:t xml:space="preserve">恢复任意时间点快照，其他时间点快照不丢失。</w:t>
            </w:r>
            <w:r/>
          </w:p>
          <w:p>
            <w:pPr>
              <w:numPr>
                <w:ilvl w:val="0"/>
                <w:numId w:val="0"/>
              </w:num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3.</w:t>
            </w:r>
            <w:r>
              <w:rPr>
                <w:rFonts w:hint="eastAsia" w:ascii="宋体" w:hAnsi="宋体" w:eastAsia="宋体" w:cs="宋体"/>
                <w:color w:val="auto"/>
                <w:sz w:val="21"/>
                <w:szCs w:val="21"/>
                <w:highlight w:val="none"/>
                <w14:ligatures w14:val="standardContextual"/>
              </w:rPr>
              <w:t xml:space="preserve">支持快照一致性组。</w:t>
            </w:r>
            <w:r/>
          </w:p>
          <w:p>
            <w:pPr>
              <w:numPr>
                <w:ilvl w:val="0"/>
                <w:numId w:val="0"/>
              </w:num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4.</w:t>
            </w:r>
            <w:r>
              <w:rPr>
                <w:rFonts w:hint="eastAsia" w:ascii="宋体" w:hAnsi="宋体" w:eastAsia="宋体" w:cs="宋体"/>
                <w:color w:val="auto"/>
                <w:sz w:val="21"/>
                <w:szCs w:val="21"/>
                <w:highlight w:val="none"/>
                <w14:ligatures w14:val="standardContextual"/>
              </w:rPr>
              <w:t xml:space="preserve">提供无损快照功能，系统性能不因快照数量增加而下降，同时开启快照功能时阵列时延能够稳定在＜1ms。</w:t>
            </w:r>
            <w:r/>
          </w:p>
          <w:p>
            <w:pPr>
              <w:numPr>
                <w:ilvl w:val="0"/>
                <w:numId w:val="0"/>
              </w:num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shd w:val="clear" w:color="auto"/>
                <w:lang w:val="en-US" w:eastAsia="zh-CN"/>
              </w:rPr>
              <w:t xml:space="preserve">须提供国家认可的第三方检测机构出具的检验检测报告原件扫描件并加盖投标人公章。</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▲配置双活功能：</w:t>
            </w:r>
            <w:r/>
          </w:p>
          <w:p>
            <w:pPr>
              <w:numPr>
                <w:ilvl w:val="0"/>
                <w:numId w:val="0"/>
              </w:num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提供A-A免网关双活架构，实现两套核心存储数据双活（主机能够并发读写同一双活卷），任何一套设备宕机均不影响上层业务系统运行</w:t>
            </w:r>
            <w:r>
              <w:rPr>
                <w:rFonts w:hint="eastAsia" w:ascii="宋体" w:hAnsi="宋体" w:eastAsia="宋体" w:cs="宋体"/>
                <w:color w:val="auto"/>
                <w:sz w:val="21"/>
                <w:szCs w:val="21"/>
                <w:highlight w:val="none"/>
                <w:lang w:eastAsia="zh-CN"/>
              </w:rPr>
              <w:t xml:space="preserve">；</w:t>
            </w:r>
            <w:r/>
          </w:p>
          <w:p>
            <w:pPr>
              <w:numPr>
                <w:ilvl w:val="0"/>
                <w:numId w:val="0"/>
              </w:num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双活引擎采用集群冗余架构，双活引擎数据传送采用FC协议；</w:t>
            </w:r>
            <w:r/>
          </w:p>
          <w:p>
            <w:pPr>
              <w:numPr>
                <w:ilvl w:val="0"/>
                <w:numId w:val="0"/>
              </w:num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双活架构能够支持的第三方仲裁设备。仲裁设备故障时，不影响业务运行，同时双活卷仍能保持数据实时一致</w:t>
            </w:r>
            <w:r>
              <w:rPr>
                <w:rFonts w:hint="eastAsia" w:ascii="宋体" w:hAnsi="宋体" w:eastAsia="宋体" w:cs="宋体"/>
                <w:color w:val="auto"/>
                <w:sz w:val="21"/>
                <w:szCs w:val="21"/>
                <w:highlight w:val="none"/>
                <w:lang w:eastAsia="zh-CN"/>
              </w:rPr>
              <w:t xml:space="preserve">；</w:t>
            </w:r>
            <w:r/>
          </w:p>
          <w:p>
            <w:pPr>
              <w:numPr>
                <w:ilvl w:val="0"/>
                <w:numId w:val="0"/>
              </w:num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一个站点发生故障后，另一个站点可自动快速拉起业务（秒级）；一个站点故障恢复后，双活关系可自动恢复</w:t>
            </w:r>
            <w:r>
              <w:rPr>
                <w:rFonts w:hint="eastAsia" w:ascii="宋体" w:hAnsi="宋体" w:eastAsia="宋体" w:cs="宋体"/>
                <w:color w:val="auto"/>
                <w:sz w:val="21"/>
                <w:szCs w:val="21"/>
                <w:highlight w:val="none"/>
                <w:lang w:eastAsia="zh-CN"/>
              </w:rPr>
              <w:t xml:space="preserve">。</w:t>
            </w:r>
            <w:r/>
          </w:p>
          <w:p>
            <w:pPr>
              <w:numPr>
                <w:ilvl w:val="0"/>
                <w:numId w:val="0"/>
              </w:num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lang w:val="en-US" w:eastAsia="zh-CN"/>
              </w:rPr>
              <w:t xml:space="preserve">须提供国家认可的第三方检测机构出具的检验检测报告原件扫描件并加盖投标人公章。</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磁盘冗余：支持全局动态热备技术，磁盘热备功能通过磁盘剩余空间实现。</w:t>
            </w:r>
            <w:r/>
          </w:p>
        </w:tc>
      </w:tr>
      <w:tr>
        <w:trPr>
          <w:trHeight w:val="397"/>
        </w:trPr>
        <w:tc>
          <w:tcPr>
            <w:tcW w:w="880"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配置</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配置2个控制器，控制器采用多核处理器，且单个控制器处理器核心数≥24核，CPU主频率≥2.5GHz</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系统内总一级缓存容量配置≥128GB，且任意控制器一级缓存容量≥64GB（不含任何性能加速模块、FlashCache、PAM卡，SSDCache、SCM等）</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配置≥8*1GE ETH接口，配置≥8*16G FC接口（含光模块），≥4*10Gb ETH(含万兆模块)</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配置≥25块3.84TB SSD SAS硬盘</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五年原厂质保</w:t>
            </w:r>
            <w:r/>
          </w:p>
        </w:tc>
      </w:tr>
    </w:tbl>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PACS存储产品详细技术参数要求</w:t>
      </w:r>
      <w:r/>
    </w:p>
    <w:tbl>
      <w:tblPr>
        <w:tblStyle w:val="76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4"/>
        <w:gridCol w:w="8126"/>
      </w:tblGrid>
      <w:tr>
        <w:trPr>
          <w:trHeight w:val="397"/>
        </w:trPr>
        <w:tc>
          <w:tcPr>
            <w:shd w:val="clear" w:color="000000" w:fill="auto"/>
            <w:tcW w:w="875"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shd w:val="clear" w:color="000000" w:fill="auto"/>
            <w:tcW w:w="4125"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875"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架构</w:t>
            </w:r>
            <w:r/>
          </w:p>
        </w:tc>
        <w:tc>
          <w:tcPr>
            <w:shd w:val="clear" w:color="auto" w:fill="auto"/>
            <w:tcW w:w="4125" w:type="pct"/>
            <w:vAlign w:val="center"/>
            <w:textDirection w:val="lrTb"/>
            <w:noWrap w:val="false"/>
          </w:tcPr>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rPr>
              <w:t xml:space="preserve">▲</w:t>
            </w:r>
            <w:r>
              <w:rPr>
                <w:rFonts w:hint="eastAsia" w:ascii="宋体" w:hAnsi="宋体" w:eastAsia="宋体" w:cs="宋体"/>
                <w:color w:val="auto"/>
                <w:sz w:val="21"/>
                <w:szCs w:val="21"/>
                <w:highlight w:val="none"/>
                <w:shd w:val="clear" w:color="auto"/>
                <w:lang w:val="en-US" w:eastAsia="zh-CN"/>
              </w:rPr>
              <w:t xml:space="preserve">为保证后期扩容性能与数据安全性，</w:t>
            </w:r>
            <w:r>
              <w:rPr>
                <w:rFonts w:hint="eastAsia" w:ascii="宋体" w:hAnsi="宋体" w:eastAsia="宋体" w:cs="宋体"/>
                <w:color w:val="auto"/>
                <w:sz w:val="21"/>
                <w:szCs w:val="21"/>
                <w:highlight w:val="none"/>
                <w:shd w:val="clear" w:color="auto"/>
              </w:rPr>
              <w:t xml:space="preserve">存储系统支持 SAN 和 NAS 免网关一体化Active-Active 双活，实现两套核心存储数据双活，任何一套设备宕机均不影响上层业务系统运行。仲裁设备故障时，不影响业务运行。一个站点发生故障后，另一个站点可自动快速拉起业务（秒级）；支持双活文件系统在线扩容和缩容，支持双活 LUN </w:t>
            </w:r>
            <w:r>
              <w:rPr>
                <w:rFonts w:hint="eastAsia" w:ascii="宋体" w:hAnsi="宋体" w:eastAsia="宋体" w:cs="宋体"/>
                <w:color w:val="auto"/>
                <w:sz w:val="21"/>
                <w:szCs w:val="21"/>
                <w:highlight w:val="none"/>
              </w:rPr>
              <w:t xml:space="preserve">在线扩容。</w:t>
            </w:r>
            <w:r/>
          </w:p>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须提供国家认可的第三方检测机构出具的检验检测报告原件扫描件并加盖投标人公章。</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125" w:type="pct"/>
            <w:vAlign w:val="center"/>
            <w:textDirection w:val="lrTb"/>
            <w:noWrap w:val="false"/>
          </w:tcPr>
          <w:p>
            <w:p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▲存储系统采用对称AA架构，LUN无控制器归属，在多控配置下，能够负载到所有控制器，CPU利用率差异小于5%。</w:t>
            </w:r>
            <w:r/>
          </w:p>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lang w:val="en-US" w:eastAsia="zh-CN"/>
              </w:rPr>
              <w:t xml:space="preserve">须提供国家认可的第三方检测机构出具的检验检测报告原件扫描件并加盖投标人公章。</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25" w:type="pct"/>
            <w:vAlign w:val="center"/>
            <w:textDirection w:val="lrTb"/>
            <w:noWrap w:val="false"/>
          </w:tcPr>
          <w:p>
            <w:p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▲所投存储产品使用成熟稳定的国产品牌自主研发ARM架构CPU。</w:t>
            </w:r>
            <w:r/>
          </w:p>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lang w:val="en-US" w:eastAsia="zh-CN"/>
              </w:rPr>
              <w:t xml:space="preserve">须</w:t>
            </w:r>
            <w:r>
              <w:rPr>
                <w:rFonts w:hint="eastAsia" w:ascii="宋体" w:hAnsi="宋体" w:eastAsia="宋体" w:cs="宋体"/>
                <w:color w:val="auto"/>
                <w:sz w:val="21"/>
                <w:szCs w:val="21"/>
                <w:highlight w:val="none"/>
              </w:rPr>
              <w:t xml:space="preserve">提供产品官网截图证明，并加盖投标人公章。</w:t>
            </w:r>
            <w:r/>
          </w:p>
        </w:tc>
      </w:tr>
      <w:tr>
        <w:trPr>
          <w:trHeight w:val="397"/>
        </w:trPr>
        <w:tc>
          <w:tcPr>
            <w:tcW w:w="875"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w:t>
            </w:r>
            <w:r/>
          </w:p>
        </w:tc>
        <w:tc>
          <w:tcPr>
            <w:tcW w:w="4125" w:type="pct"/>
            <w:vAlign w:val="center"/>
            <w:textDirection w:val="lrTb"/>
            <w:noWrap w:val="false"/>
          </w:tcPr>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存储配置同步远程复制，支持复制 LUN 在线扩容，容量修改在单端完成，对端容量信息同步修改，对同步复制的状态无任何影响，主机无感知。支持同步复制和异步复制在线相互转换。</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25" w:type="pct"/>
            <w:vAlign w:val="center"/>
            <w:textDirection w:val="lrTb"/>
            <w:noWrap w:val="false"/>
          </w:tcPr>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存储支持文件系统</w:t>
            </w:r>
            <w:r>
              <w:rPr>
                <w:rFonts w:hint="eastAsia" w:ascii="宋体" w:hAnsi="宋体" w:eastAsia="宋体" w:cs="宋体"/>
                <w:color w:val="auto"/>
                <w:sz w:val="21"/>
                <w:szCs w:val="21"/>
                <w:highlight w:val="none"/>
                <w:lang w:bidi="en-US"/>
              </w:rPr>
              <w:t xml:space="preserve">（NFS</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bidi="en-US"/>
              </w:rPr>
              <w:t xml:space="preserve">CIFS）</w:t>
            </w:r>
            <w:r>
              <w:rPr>
                <w:rFonts w:hint="eastAsia" w:ascii="宋体" w:hAnsi="宋体" w:eastAsia="宋体" w:cs="宋体"/>
                <w:color w:val="auto"/>
                <w:sz w:val="21"/>
                <w:szCs w:val="21"/>
                <w:highlight w:val="none"/>
              </w:rPr>
              <w:t xml:space="preserve">防病毒服务， 支持文件实时扫描和按需扫描，按需扫描可配置扫 描周期和扫描策略。</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25" w:type="pct"/>
            <w:vAlign w:val="center"/>
            <w:textDirection w:val="lrTb"/>
            <w:noWrap w:val="false"/>
          </w:tcPr>
          <w:p>
            <w:p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▲存储配置快照功能</w:t>
            </w:r>
            <w:r/>
          </w:p>
          <w:p>
            <w:pPr>
              <w:numPr>
                <w:ilvl w:val="0"/>
                <w:numId w:val="0"/>
              </w:num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提供高密快照功能，系统支持最小每15秒做一次快照备份；</w:t>
            </w:r>
            <w:r/>
          </w:p>
          <w:p>
            <w:pPr>
              <w:numPr>
                <w:ilvl w:val="0"/>
                <w:numId w:val="0"/>
              </w:num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单文件系统支持 4096 个快照，整系统支持 32000个文件系统快照。</w:t>
            </w:r>
            <w:r/>
          </w:p>
          <w:p>
            <w:pPr>
              <w:numPr>
                <w:ilvl w:val="0"/>
                <w:numId w:val="0"/>
              </w:num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创建快照，文件系统性能变化幅度小于 10%。</w:t>
            </w:r>
            <w:r/>
          </w:p>
          <w:p>
            <w:pPr>
              <w:numPr>
                <w:ilvl w:val="0"/>
                <w:numId w:val="0"/>
              </w:num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lang w:val="en-US" w:eastAsia="zh-CN"/>
              </w:rPr>
              <w:t xml:space="preserve">须提供国家认可的第三方检测机构出具的检验检测报告原件扫描件并加盖投标人公章。</w:t>
            </w:r>
            <w:r/>
          </w:p>
        </w:tc>
      </w:tr>
      <w:tr>
        <w:trPr>
          <w:trHeight w:val="397"/>
        </w:trPr>
        <w:tc>
          <w:tcPr>
            <w:tcW w:w="875"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w:t>
            </w:r>
            <w:r/>
          </w:p>
        </w:tc>
        <w:tc>
          <w:tcPr>
            <w:tcW w:w="4125" w:type="pct"/>
            <w:vAlign w:val="center"/>
            <w:textDirection w:val="lrTb"/>
            <w:noWrap w:val="false"/>
          </w:tcPr>
          <w:p>
            <w:pPr>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配置2个控制器，控制器采用多核处理器，且单控制器处理器总核心数≥20核，CPU主频为≥2.0GHz；</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25" w:type="pct"/>
            <w:textDirection w:val="lrTb"/>
            <w:noWrap w:val="false"/>
          </w:tcPr>
          <w:p>
            <w:pPr>
              <w:jc w:val="left"/>
              <w:spacing w:line="24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系统内总一级缓存容量配置≥64GB</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25" w:type="pct"/>
            <w:vAlign w:val="center"/>
            <w:textDirection w:val="lrTb"/>
            <w:noWrap w:val="false"/>
          </w:tcPr>
          <w:p>
            <w:p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配置8*GE ETH接口，配置4*10GE ETH接口(含万兆模块)，8*16Gb FC(含光模块)</w:t>
            </w:r>
            <w:r/>
          </w:p>
        </w:tc>
      </w:tr>
      <w:tr>
        <w:trPr>
          <w:trHeight w:val="397"/>
        </w:trPr>
        <w:tc>
          <w:tcPr>
            <w:tcW w:w="875"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25" w:type="pct"/>
            <w:vAlign w:val="center"/>
            <w:textDirection w:val="lrTb"/>
            <w:noWrap w:val="false"/>
          </w:tcPr>
          <w:p>
            <w:p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配置≥16个20TB HDD硬盘，配置≥5个960GB SSD硬盘。</w:t>
            </w:r>
            <w:r/>
          </w:p>
        </w:tc>
      </w:tr>
      <w:tr>
        <w:trPr>
          <w:trHeight w:val="397"/>
        </w:trPr>
        <w:tc>
          <w:tcPr>
            <w:tcW w:w="875"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tc>
        <w:tc>
          <w:tcPr>
            <w:tcW w:w="4125" w:type="pct"/>
            <w:vAlign w:val="center"/>
            <w:textDirection w:val="lrTb"/>
            <w:noWrap w:val="false"/>
          </w:tcPr>
          <w:p>
            <w:pP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五年原厂质保</w:t>
            </w:r>
            <w:r/>
          </w:p>
        </w:tc>
      </w:tr>
    </w:tbl>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FC交换机产品详细技术参数要求</w:t>
      </w:r>
      <w:r/>
    </w:p>
    <w:tbl>
      <w:tblPr>
        <w:tblStyle w:val="80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8118"/>
      </w:tblGrid>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指标项</w:t>
            </w:r>
            <w:r/>
          </w:p>
        </w:tc>
        <w:tc>
          <w:tcPr>
            <w:tcW w:w="4119"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技术规格及参数要求</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端口数</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lang w:eastAsia="zh-CN"/>
                <w14:ligatures w14:val="standardContextual"/>
              </w:rPr>
            </w:pPr>
            <w:r>
              <w:rPr>
                <w:rFonts w:hint="eastAsia" w:ascii="宋体" w:hAnsi="宋体" w:eastAsia="宋体" w:cs="宋体"/>
                <w:color w:val="auto"/>
                <w:sz w:val="21"/>
                <w:szCs w:val="21"/>
                <w:highlight w:val="none"/>
                <w:lang w:val="en-US"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48个FC端口，</w:t>
            </w:r>
            <w:r>
              <w:rPr>
                <w:rFonts w:hint="eastAsia" w:ascii="宋体" w:hAnsi="宋体" w:eastAsia="宋体" w:cs="宋体"/>
                <w:color w:val="auto"/>
                <w:sz w:val="21"/>
                <w:szCs w:val="21"/>
                <w:highlight w:val="none"/>
                <w:lang w:val="en-US" w:eastAsia="zh-CN"/>
                <w14:ligatures w14:val="standardContextual"/>
              </w:rPr>
              <w:t xml:space="preserve">本项目</w:t>
            </w:r>
            <w:r>
              <w:rPr>
                <w:rFonts w:hint="eastAsia" w:ascii="宋体" w:hAnsi="宋体" w:eastAsia="宋体" w:cs="宋体"/>
                <w:color w:val="auto"/>
                <w:sz w:val="21"/>
                <w:szCs w:val="21"/>
                <w:highlight w:val="none"/>
                <w14:ligatures w14:val="standardContextual"/>
              </w:rPr>
              <w:t xml:space="preserve">激活</w:t>
            </w:r>
            <w:r>
              <w:rPr>
                <w:rFonts w:hint="eastAsia" w:ascii="宋体" w:hAnsi="宋体" w:eastAsia="宋体" w:cs="宋体"/>
                <w:color w:val="auto"/>
                <w:sz w:val="21"/>
                <w:szCs w:val="21"/>
                <w:highlight w:val="none"/>
                <w:lang w:val="en-US"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24个端口</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含24个16G SFP多模模块</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lang w:val="en-US" w:eastAsia="zh-CN"/>
                <w14:ligatures w14:val="standardContextual"/>
              </w:rPr>
              <w:t xml:space="preserve">剩余FC端口留作扩容</w:t>
            </w:r>
            <w:r>
              <w:rPr>
                <w:rFonts w:hint="eastAsia" w:ascii="宋体" w:hAnsi="宋体" w:eastAsia="宋体" w:cs="宋体"/>
                <w:color w:val="auto"/>
                <w:sz w:val="21"/>
                <w:szCs w:val="21"/>
                <w:highlight w:val="none"/>
                <w:lang w:eastAsia="zh-CN"/>
                <w14:ligatures w14:val="standardContextual"/>
              </w:rPr>
              <w:t xml:space="preserve">；</w:t>
            </w:r>
            <w:r>
              <w:rPr>
                <w:rFonts w:hint="eastAsia" w:ascii="宋体" w:hAnsi="宋体" w:eastAsia="宋体" w:cs="宋体"/>
                <w:color w:val="auto"/>
                <w:sz w:val="21"/>
                <w:szCs w:val="21"/>
                <w:highlight w:val="none"/>
                <w:lang w:val="en-US"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4个扩展口，</w:t>
            </w:r>
            <w:r>
              <w:rPr>
                <w:rFonts w:hint="eastAsia" w:ascii="宋体" w:hAnsi="宋体" w:eastAsia="宋体" w:cs="宋体"/>
                <w:color w:val="auto"/>
                <w:sz w:val="21"/>
                <w:szCs w:val="21"/>
                <w:highlight w:val="none"/>
                <w:lang w:val="en-US" w:eastAsia="zh-CN"/>
                <w14:ligatures w14:val="standardContextual"/>
              </w:rPr>
              <w:t xml:space="preserve">共</w:t>
            </w:r>
            <w:r>
              <w:rPr>
                <w:rFonts w:hint="eastAsia" w:ascii="宋体" w:hAnsi="宋体" w:eastAsia="宋体" w:cs="宋体"/>
                <w:color w:val="auto"/>
                <w:sz w:val="21"/>
                <w:szCs w:val="21"/>
                <w:highlight w:val="none"/>
                <w14:ligatures w14:val="standardContextual"/>
              </w:rPr>
              <w:t xml:space="preserve">可扩展</w:t>
            </w:r>
            <w:r>
              <w:rPr>
                <w:rFonts w:hint="eastAsia" w:ascii="宋体" w:hAnsi="宋体" w:eastAsia="宋体" w:cs="宋体"/>
                <w:color w:val="auto"/>
                <w:sz w:val="21"/>
                <w:szCs w:val="21"/>
                <w:highlight w:val="none"/>
                <w:lang w:val="en-US" w:eastAsia="zh-CN"/>
                <w14:ligatures w14:val="standardContextual"/>
              </w:rPr>
              <w:t xml:space="preserve">≥</w:t>
            </w:r>
            <w:r>
              <w:rPr>
                <w:rFonts w:hint="eastAsia" w:ascii="宋体" w:hAnsi="宋体" w:eastAsia="宋体" w:cs="宋体"/>
                <w:color w:val="auto"/>
                <w:sz w:val="21"/>
                <w:szCs w:val="21"/>
                <w:highlight w:val="none"/>
                <w14:ligatures w14:val="standardContextual"/>
              </w:rPr>
              <w:t xml:space="preserve">16个光口</w:t>
            </w:r>
            <w:r>
              <w:rPr>
                <w:rFonts w:hint="eastAsia" w:ascii="宋体" w:hAnsi="宋体" w:eastAsia="宋体" w:cs="宋体"/>
                <w:color w:val="auto"/>
                <w:sz w:val="21"/>
                <w:szCs w:val="21"/>
                <w:highlight w:val="none"/>
                <w:lang w:eastAsia="zh-CN"/>
                <w14:ligatures w14:val="standardContextual"/>
              </w:rPr>
              <w:t xml:space="preserve">。</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端口速率</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32,16,10,8,4Gbps自适应</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管理性</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支持SNMPv1/v3、Telnet、Web管理／GUI界面</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服务</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五年原厂质保</w:t>
            </w:r>
            <w:r/>
          </w:p>
        </w:tc>
      </w:tr>
    </w:tbl>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数据中心交换机产品详细技术参数要求</w:t>
      </w:r>
      <w:r/>
    </w:p>
    <w:tbl>
      <w:tblPr>
        <w:tblStyle w:val="80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8118"/>
      </w:tblGrid>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指标项</w:t>
            </w:r>
            <w:r/>
          </w:p>
        </w:tc>
        <w:tc>
          <w:tcPr>
            <w:tcW w:w="4119" w:type="pct"/>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技术规格及参数要求</w:t>
            </w:r>
            <w:r/>
          </w:p>
        </w:tc>
      </w:tr>
      <w:tr>
        <w:trPr>
          <w:trHeight w:val="397"/>
        </w:trPr>
        <w:tc>
          <w:tcPr>
            <w:tcW w:w="880"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硬件要求</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交换容量≥4.8Tbps；</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包转发率≥2000Mpps；</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≥48口10GE 万兆交换机，8个QSFP28端口，冗余电源；</w:t>
            </w:r>
            <w:r/>
          </w:p>
        </w:tc>
      </w:tr>
      <w:tr>
        <w:trPr>
          <w:trHeight w:val="397"/>
        </w:trPr>
        <w:tc>
          <w:tcPr>
            <w:tcW w:w="880" w:type="pct"/>
            <w:vAlign w:val="center"/>
            <w:vMerge w:val="restart"/>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软件要求</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支持跨设备链路聚合；</w:t>
            </w:r>
            <w:r/>
          </w:p>
        </w:tc>
      </w:tr>
      <w:tr>
        <w:trPr>
          <w:trHeight w:val="397"/>
        </w:trPr>
        <w:tc>
          <w:tcPr>
            <w:tcW w:w="880" w:type="pct"/>
            <w:vAlign w:val="center"/>
            <w:vMerge w:val="continue"/>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支持基于端口、基于协议、基于MAC的VLAN；</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配置要求</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本次配置光模块≥48个万兆多模光模块，≥4个40G多模光模块，≥1根40G堆叠线缆</w:t>
            </w:r>
            <w:r/>
          </w:p>
        </w:tc>
      </w:tr>
      <w:tr>
        <w:trPr>
          <w:trHeight w:val="397"/>
        </w:trPr>
        <w:tc>
          <w:tcPr>
            <w:tcW w:w="880" w:type="pct"/>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服务</w:t>
            </w:r>
            <w:r/>
          </w:p>
        </w:tc>
        <w:tc>
          <w:tcPr>
            <w:tcW w:w="4119" w:type="pct"/>
            <w:vAlign w:val="center"/>
            <w:textDirection w:val="lrTb"/>
            <w:noWrap w:val="false"/>
          </w:tcPr>
          <w:p>
            <w:pPr>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五年原厂质保</w:t>
            </w:r>
            <w:r/>
          </w:p>
        </w:tc>
      </w:tr>
    </w:tbl>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管理交换机产品详细技术参数要求</w:t>
      </w:r>
      <w:r/>
    </w:p>
    <w:tbl>
      <w:tblPr>
        <w:tblStyle w:val="80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8118"/>
      </w:tblGrid>
      <w:tr>
        <w:trPr>
          <w:trHeight w:val="397"/>
        </w:trPr>
        <w:tc>
          <w:tcPr>
            <w:tcW w:w="880" w:type="pct"/>
            <w:vAlign w:val="center"/>
            <w:textDirection w:val="lrTb"/>
            <w:noWrap w:val="false"/>
          </w:tcPr>
          <w:p>
            <w:pPr>
              <w:jc w:val="center"/>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指标项</w:t>
            </w:r>
            <w:r/>
          </w:p>
        </w:tc>
        <w:tc>
          <w:tcPr>
            <w:tcW w:w="4119" w:type="pct"/>
            <w:vAlign w:val="center"/>
            <w:textDirection w:val="lrTb"/>
            <w:noWrap w:val="false"/>
          </w:tcPr>
          <w:p>
            <w:pPr>
              <w:jc w:val="center"/>
              <w:shd w:val="clear" w:color="auto"/>
              <w:rPr>
                <w:rFonts w:hint="eastAsia" w:ascii="宋体" w:hAnsi="宋体" w:eastAsia="宋体" w:cs="宋体"/>
                <w:b/>
                <w:bCs/>
                <w:color w:val="auto"/>
                <w:sz w:val="21"/>
                <w:szCs w:val="21"/>
                <w:highlight w:val="none"/>
                <w14:ligatures w14:val="standardContextual"/>
              </w:rPr>
            </w:pPr>
            <w:r>
              <w:rPr>
                <w:rFonts w:hint="eastAsia" w:ascii="宋体" w:hAnsi="宋体" w:eastAsia="宋体" w:cs="宋体"/>
                <w:b/>
                <w:bCs/>
                <w:color w:val="auto"/>
                <w:sz w:val="21"/>
                <w:szCs w:val="21"/>
                <w:highlight w:val="none"/>
                <w14:ligatures w14:val="standardContextual"/>
              </w:rPr>
              <w:t xml:space="preserve">技术规格及参数要求</w:t>
            </w:r>
            <w:r/>
          </w:p>
        </w:tc>
      </w:tr>
      <w:tr>
        <w:trPr>
          <w:trHeight w:val="397"/>
        </w:trPr>
        <w:tc>
          <w:tcPr>
            <w:tcW w:w="88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硬件要求</w:t>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交换容量≥432Gbps；</w:t>
            </w:r>
            <w:r/>
          </w:p>
        </w:tc>
      </w:tr>
      <w:tr>
        <w:trPr>
          <w:trHeight w:val="397"/>
        </w:trPr>
        <w:tc>
          <w:tcPr>
            <w:tcW w:w="88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包转发率≥166Mpps；</w:t>
            </w:r>
            <w:r/>
          </w:p>
        </w:tc>
      </w:tr>
      <w:tr>
        <w:trPr>
          <w:trHeight w:val="397"/>
        </w:trPr>
        <w:tc>
          <w:tcPr>
            <w:tcW w:w="88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≥48口1GE电口千兆交换机，4个10GE 万兆端口，冗余电源；</w:t>
            </w:r>
            <w:r/>
          </w:p>
        </w:tc>
      </w:tr>
      <w:tr>
        <w:trPr>
          <w:trHeight w:val="397"/>
        </w:trPr>
        <w:tc>
          <w:tcPr>
            <w:tcW w:w="88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软件要求</w:t>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支持跨设备链路聚合；</w:t>
            </w:r>
            <w:r/>
          </w:p>
        </w:tc>
      </w:tr>
      <w:tr>
        <w:trPr>
          <w:trHeight w:val="397"/>
        </w:trPr>
        <w:tc>
          <w:tcPr>
            <w:tcW w:w="88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支持基于端口、基于协议、基于MAC的VLAN；</w:t>
            </w:r>
            <w:r/>
          </w:p>
        </w:tc>
      </w:tr>
      <w:tr>
        <w:trPr>
          <w:trHeight w:val="397"/>
        </w:trPr>
        <w:tc>
          <w:tcPr>
            <w:tcW w:w="880" w:type="pct"/>
            <w:vAlign w:val="center"/>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配置要求</w:t>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本次配置光模块：≥4个万兆多模光模块</w:t>
            </w:r>
            <w:r/>
          </w:p>
        </w:tc>
      </w:tr>
      <w:tr>
        <w:trPr>
          <w:trHeight w:val="397"/>
        </w:trPr>
        <w:tc>
          <w:tcPr>
            <w:tcW w:w="880" w:type="pct"/>
            <w:vAlign w:val="center"/>
            <w:textDirection w:val="lrTb"/>
            <w:noWrap w:val="false"/>
          </w:tcPr>
          <w:p>
            <w:pPr>
              <w:jc w:val="center"/>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服务</w:t>
            </w:r>
            <w:r/>
          </w:p>
        </w:tc>
        <w:tc>
          <w:tcPr>
            <w:tcW w:w="4119" w:type="pct"/>
            <w:vAlign w:val="center"/>
            <w:textDirection w:val="lrTb"/>
            <w:noWrap w:val="false"/>
          </w:tcPr>
          <w:p>
            <w:pPr>
              <w:jc w:val="left"/>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14:ligatures w14:val="standardContextual"/>
              </w:rPr>
              <w:t xml:space="preserve">五年原厂质保</w:t>
            </w:r>
            <w:r/>
          </w:p>
        </w:tc>
      </w:tr>
    </w:tbl>
    <w:p>
      <w:pPr>
        <w:numPr>
          <w:ilvl w:val="0"/>
          <w:numId w:val="10"/>
        </w:num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外网防火墙产品详细技术参数要求</w:t>
      </w:r>
      <w:r/>
    </w:p>
    <w:tbl>
      <w:tblPr>
        <w:tblStyle w:val="802"/>
        <w:tblW w:w="9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8371"/>
      </w:tblGrid>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371"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硬件参数</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个CON 口，≥1 个MGT口，≥1个HA口，≥2个USB口，≥6个千兆电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≥4个千兆光口，≥2个通用扩展槽，内存≥16G，≥64GB SSD系统盘+960G SSD数据盘</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性能参数</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网络层吞吐≥10Gbps，应用层吞吐≥7Gbps，整机并发≥700万，每秒新建≥25万</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国产化</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国产CPU、国产操作系统</w:t>
            </w:r>
            <w:r/>
          </w:p>
        </w:tc>
      </w:tr>
      <w:tr>
        <w:trPr>
          <w:trHeight w:val="397"/>
        </w:trPr>
        <w:tc>
          <w:tcPr>
            <w:shd w:val="clear" w:color="auto" w:fill="auto"/>
            <w:tcW w:w="1496" w:type="dxa"/>
            <w:vAlign w:val="center"/>
            <w:vMerge w:val="restart"/>
            <w:textDirection w:val="lrTb"/>
            <w:noWrap w:val="false"/>
          </w:tcPr>
          <w:p>
            <w:pPr>
              <w:pStyle w:val="1066"/>
              <w:jc w:val="center"/>
              <w:spacing w:before="223"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pacing w:val="-2"/>
                <w:sz w:val="21"/>
                <w:szCs w:val="21"/>
                <w:highlight w:val="none"/>
              </w:rPr>
              <w:t xml:space="preserve">网络适应性</w:t>
            </w:r>
            <w:r>
              <w:rPr>
                <w:rFonts w:hint="eastAsia" w:ascii="宋体" w:hAnsi="宋体" w:eastAsia="宋体" w:cs="宋体"/>
                <w:color w:val="auto"/>
                <w:spacing w:val="-2"/>
                <w:sz w:val="21"/>
                <w:szCs w:val="21"/>
                <w:highlight w:val="none"/>
                <w:lang w:val="en-US" w:eastAsia="zh-CN"/>
              </w:rPr>
              <w:t xml:space="preserve">要求</w:t>
            </w:r>
            <w:r/>
          </w:p>
        </w:tc>
        <w:tc>
          <w:tcPr>
            <w:shd w:val="clear" w:color="auto" w:fill="auto"/>
            <w:tcW w:w="8371" w:type="dxa"/>
            <w:vAlign w:val="center"/>
            <w:textDirection w:val="lrTb"/>
            <w:noWrap w:val="false"/>
          </w:tcPr>
          <w:p>
            <w:pPr>
              <w:pStyle w:val="1066"/>
              <w:jc w:val="left"/>
              <w:spacing w:before="83"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具备透明、路由、混合、旁路四种工作模式。</w:t>
            </w:r>
            <w:r/>
          </w:p>
        </w:tc>
      </w:tr>
      <w:tr>
        <w:trPr>
          <w:trHeight w:val="397"/>
        </w:trPr>
        <w:tc>
          <w:tcPr>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84"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具备BFD功能，与静态路由/OSPF/BGP/ISIS进行联动。</w:t>
            </w:r>
            <w:r/>
          </w:p>
        </w:tc>
      </w:tr>
      <w:tr>
        <w:trPr>
          <w:trHeight w:val="397"/>
        </w:trPr>
        <w:tc>
          <w:tcPr>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具备静态路由、ISP路由，OSPF、BGP、RIP、ISIS、策略路由。</w:t>
            </w:r>
            <w:r/>
          </w:p>
        </w:tc>
      </w:tr>
      <w:tr>
        <w:trPr>
          <w:trHeight w:val="397"/>
        </w:trPr>
        <w:tc>
          <w:tcPr>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22"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功能，满足</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组网需要</w:t>
            </w:r>
            <w:r/>
          </w:p>
        </w:tc>
      </w:tr>
      <w:tr>
        <w:trPr>
          <w:trHeight w:val="397"/>
        </w:trPr>
        <w:tc>
          <w:tcPr>
            <w:shd w:val="clear" w:color="auto" w:fill="auto"/>
            <w:tcW w:w="1496" w:type="dxa"/>
            <w:vAlign w:val="center"/>
            <w:textDirection w:val="lrTb"/>
            <w:noWrap w:val="false"/>
          </w:tcPr>
          <w:p>
            <w:pPr>
              <w:pStyle w:val="1066"/>
              <w:jc w:val="center"/>
              <w:spacing w:before="22"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安全访问控制要求</w:t>
            </w:r>
            <w:r/>
          </w:p>
        </w:tc>
        <w:tc>
          <w:tcPr>
            <w:shd w:val="clear" w:color="auto" w:fill="auto"/>
            <w:tcW w:w="8371" w:type="dxa"/>
            <w:vAlign w:val="center"/>
            <w:textDirection w:val="lrTb"/>
            <w:noWrap w:val="false"/>
          </w:tcPr>
          <w:p>
            <w:pPr>
              <w:pStyle w:val="1066"/>
              <w:jc w:val="left"/>
              <w:spacing w:before="22"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具备基础策略控制功能，可进行源地址、目的地址、服务、应用控制。</w:t>
            </w:r>
            <w:r/>
          </w:p>
        </w:tc>
      </w:tr>
      <w:tr>
        <w:trPr>
          <w:trHeight w:val="397"/>
        </w:trPr>
        <w:tc>
          <w:tcPr>
            <w:shd w:val="clear" w:color="auto" w:fill="auto"/>
            <w:tcW w:w="1496" w:type="dxa"/>
            <w:vAlign w:val="center"/>
            <w:textDirection w:val="lrTb"/>
            <w:noWrap w:val="false"/>
          </w:tcPr>
          <w:p>
            <w:pPr>
              <w:pStyle w:val="1066"/>
              <w:jc w:val="center"/>
              <w:spacing w:before="22"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地址转换要求</w:t>
            </w:r>
            <w:r/>
          </w:p>
        </w:tc>
        <w:tc>
          <w:tcPr>
            <w:shd w:val="clear" w:color="auto" w:fill="auto"/>
            <w:tcW w:w="8371" w:type="dxa"/>
            <w:vAlign w:val="center"/>
            <w:textDirection w:val="lrTb"/>
            <w:noWrap w:val="false"/>
          </w:tcPr>
          <w:p>
            <w:pPr>
              <w:pStyle w:val="1066"/>
              <w:jc w:val="left"/>
              <w:spacing w:before="22"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具备SNAT、DNAT等功能满足地址转换需要。</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负载均衡</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出站链路负载，满足多出口负载分担需要。</w:t>
            </w:r>
            <w:r/>
          </w:p>
        </w:tc>
      </w:tr>
      <w:tr>
        <w:trPr>
          <w:trHeight w:val="397"/>
        </w:trPr>
        <w:tc>
          <w:tcPr>
            <w:tcW w:w="149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安全策略</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精细化策略管控，包括源安全区域、源地址、目的安全区域、目的地址、应用、服务、用户等过滤。</w:t>
            </w:r>
            <w:r/>
          </w:p>
        </w:tc>
      </w:tr>
      <w:tr>
        <w:trPr>
          <w:trHeight w:val="397"/>
        </w:trPr>
        <w:tc>
          <w:tcPr>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策略自学习，能够提取命中指定策略ID的流量作为流量数据分析源，基于条目的命中数、报文数及字节数大小，过滤出有效数据，</w:t>
            </w:r>
            <w:r>
              <w:rPr>
                <w:rFonts w:hint="eastAsia" w:ascii="宋体" w:hAnsi="宋体" w:eastAsia="宋体" w:cs="宋体"/>
                <w:color w:val="auto"/>
                <w:sz w:val="21"/>
                <w:szCs w:val="21"/>
                <w:highlight w:val="none"/>
                <w:shd w:val="clear" w:color="auto"/>
                <w:lang w:val="en-US" w:eastAsia="zh-CN"/>
              </w:rPr>
              <w:t xml:space="preserve">并且根据管理员设置的替换规则、聚合规则优化流量数据</w:t>
            </w:r>
            <w:r>
              <w:rPr>
                <w:rFonts w:hint="eastAsia" w:ascii="宋体" w:hAnsi="宋体" w:eastAsia="宋体" w:cs="宋体"/>
                <w:color w:val="auto"/>
                <w:sz w:val="21"/>
                <w:szCs w:val="21"/>
                <w:highlight w:val="none"/>
                <w:lang w:val="en-US" w:eastAsia="zh-CN"/>
              </w:rPr>
              <w:t xml:space="preserve">，最后自动生成符合管理员期望的基于服务/应用的安全策略规则</w:t>
            </w:r>
            <w:r/>
          </w:p>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shd w:val="clear" w:color="auto"/>
                <w:lang w:val="en-US" w:eastAsia="zh-CN" w:bidi="ar-SA"/>
                <w14:ligatures w14:val="standardContextual"/>
              </w:rPr>
              <w:t xml:space="preserve">须提供产品功能截图</w:t>
            </w:r>
            <w:r>
              <w:rPr>
                <w:rFonts w:hint="eastAsia" w:ascii="宋体" w:hAnsi="宋体" w:eastAsia="宋体" w:cs="宋体"/>
                <w:color w:val="auto"/>
                <w:sz w:val="21"/>
                <w:szCs w:val="21"/>
                <w:highlight w:val="none"/>
                <w:shd w:val="clear" w:color="auto"/>
              </w:rPr>
              <w:t xml:space="preserve">并加盖投标人公章。</w:t>
            </w:r>
            <w:r/>
          </w:p>
        </w:tc>
      </w:tr>
      <w:tr>
        <w:trPr>
          <w:trHeight w:val="397"/>
        </w:trPr>
        <w:tc>
          <w:tcPr>
            <w:tcW w:w="149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NAT</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SNAT、DNAT等规则</w:t>
            </w:r>
            <w:r/>
          </w:p>
        </w:tc>
      </w:tr>
      <w:tr>
        <w:trPr>
          <w:trHeight w:val="397"/>
        </w:trPr>
        <w:tc>
          <w:tcPr>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rPr>
              <w:t xml:space="preserve">SNAT/DNAT</w:t>
            </w:r>
            <w:r>
              <w:rPr>
                <w:rFonts w:hint="eastAsia" w:ascii="宋体" w:hAnsi="宋体" w:eastAsia="宋体" w:cs="宋体"/>
                <w:color w:val="auto"/>
                <w:sz w:val="21"/>
                <w:szCs w:val="21"/>
                <w:highlight w:val="none"/>
                <w:shd w:val="clear" w:color="auto"/>
                <w:lang w:eastAsia="zh-CN"/>
              </w:rPr>
              <w:t xml:space="preserve">具备</w:t>
            </w:r>
            <w:r>
              <w:rPr>
                <w:rFonts w:hint="eastAsia" w:ascii="宋体" w:hAnsi="宋体" w:eastAsia="宋体" w:cs="宋体"/>
                <w:color w:val="auto"/>
                <w:sz w:val="21"/>
                <w:szCs w:val="21"/>
                <w:highlight w:val="none"/>
                <w:shd w:val="clear" w:color="auto"/>
              </w:rPr>
              <w:t xml:space="preserve">命中数分析，显示策略创建时间、命中数、首次命中时间、最近一次命中时间、未命中天数等信息，并可针对分析结果，对NAT规则进行删除或禁用</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高可靠组网</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主备模式，主主模式，</w:t>
            </w: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同步配置、会话</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全面的威胁防护</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具备</w:t>
            </w:r>
            <w:r>
              <w:rPr>
                <w:rFonts w:hint="eastAsia" w:ascii="宋体" w:hAnsi="宋体" w:eastAsia="宋体" w:cs="宋体"/>
                <w:color w:val="auto"/>
                <w:sz w:val="21"/>
                <w:szCs w:val="21"/>
                <w:highlight w:val="none"/>
                <w:lang w:val="en-US" w:eastAsia="zh-CN"/>
              </w:rPr>
              <w:t xml:space="preserve">入侵防御、病毒过滤、DDOS防护、威胁情报等</w:t>
            </w:r>
            <w:r/>
          </w:p>
        </w:tc>
      </w:tr>
      <w:tr>
        <w:trPr>
          <w:trHeight w:val="397"/>
        </w:trPr>
        <w:tc>
          <w:tcPr>
            <w:shd w:val="clear" w:color="auto" w:fill="auto"/>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零信任访问</w:t>
            </w:r>
            <w:r/>
          </w:p>
        </w:tc>
        <w:tc>
          <w:tcPr>
            <w:shd w:val="clear" w:color="auto" w:fill="auto"/>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rPr>
              <w:t xml:space="preserve">▲</w:t>
            </w:r>
            <w:r>
              <w:rPr>
                <w:rFonts w:hint="eastAsia" w:ascii="宋体" w:hAnsi="宋体" w:eastAsia="宋体" w:cs="宋体"/>
                <w:color w:val="auto"/>
                <w:sz w:val="21"/>
                <w:szCs w:val="21"/>
                <w:highlight w:val="none"/>
                <w:shd w:val="clear" w:color="auto"/>
                <w:lang w:val="en-US" w:eastAsia="zh-CN"/>
              </w:rPr>
              <w:t xml:space="preserve">具备零信任（ztna功能），可显示ZTNA用户/终端的状态信息，包括登录时间、用户名称、用户IP、主机名称、终端IP、区域终端标签、操作系统类型、允许访问的资源等。</w:t>
            </w:r>
            <w:r/>
          </w:p>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须提供产品功能截图证明，并提供国家认可的第三方检测机构出具的检验检测报告原件扫描件并加盖投标人公章。</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可视化运维</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具备威胁监控、用户流量监控、应用监控等，实现可视化运维分析</w:t>
            </w:r>
            <w:r/>
          </w:p>
        </w:tc>
      </w:tr>
      <w:tr>
        <w:trPr>
          <w:trHeight w:val="397"/>
        </w:trPr>
        <w:tc>
          <w:tcPr>
            <w:shd w:val="clear" w:color="auto" w:fill="auto"/>
            <w:tcW w:w="149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高效运维要求</w:t>
            </w:r>
            <w:r/>
          </w:p>
        </w:tc>
        <w:tc>
          <w:tcPr>
            <w:shd w:val="clear" w:color="auto" w:fill="auto"/>
            <w:tcBorders>
              <w:bottom w:val="none" w:color="000000"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具备DNS、ping、traceroute基本的诊断测试工具</w:t>
            </w:r>
            <w:r/>
          </w:p>
        </w:tc>
      </w:tr>
      <w:tr>
        <w:trPr>
          <w:trHeight w:val="90"/>
        </w:trPr>
        <w:tc>
          <w:tcPr>
            <w:tcBorders>
              <w:right w:val="none" w:color="000000" w:sz="4" w:space="0"/>
            </w:tcBorders>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none" w:color="000000" w:sz="4" w:space="0"/>
              <w:left w:val="none" w:color="000000" w:sz="4" w:space="0"/>
              <w:right w:val="none" w:color="000000"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具备常规抓包分析能力，如debug或tcpdump等。</w:t>
            </w:r>
            <w:r/>
          </w:p>
        </w:tc>
      </w:tr>
      <w:tr>
        <w:trPr>
          <w:trHeight w:val="397"/>
        </w:trPr>
        <w:tc>
          <w:tcPr>
            <w:tcBorders>
              <w:right w:val="none" w:color="000000" w:sz="4" w:space="0"/>
            </w:tcBorders>
            <w:tcW w:w="149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left w:val="none" w:color="000000" w:sz="4" w:space="0"/>
              <w:right w:val="none" w:color="000000"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strike w:val="0"/>
                <w:color w:val="auto"/>
                <w:sz w:val="21"/>
                <w:szCs w:val="21"/>
                <w:highlight w:val="none"/>
                <w:shd w:val="clear" w:color="auto"/>
                <w:lang w:val="en-US" w:eastAsia="zh-CN"/>
              </w:rPr>
              <w:t xml:space="preserve">具备数据包路径检测，可模拟数据包穿越设备，图形化展示数据包通过防火墙各个功能模块包括攻击防护、会话匹配、工作模式、NAT转换、策略匹配、ARP防护、流量管理等，进行有效性检测和快速故障定位。</w:t>
            </w:r>
            <w:r/>
          </w:p>
        </w:tc>
      </w:tr>
      <w:tr>
        <w:trPr>
          <w:trHeight w:val="397"/>
        </w:trPr>
        <w:tc>
          <w:tcPr>
            <w:shd w:val="clear" w:color="auto" w:fill="auto"/>
            <w:tcBorders>
              <w:right w:val="none" w:color="000000" w:sz="4" w:space="0"/>
            </w:tcBorders>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售后服务</w:t>
            </w:r>
            <w:r/>
          </w:p>
        </w:tc>
        <w:tc>
          <w:tcPr>
            <w:shd w:val="clear" w:color="auto" w:fill="auto"/>
            <w:tcBorders>
              <w:left w:val="none" w:color="000000" w:sz="4" w:space="0"/>
              <w:bottom w:val="none" w:color="000000" w:sz="4" w:space="0"/>
              <w:right w:val="none" w:color="000000"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三年软硬件质保服务；三年(AV病毒过滤特征库、Ti威胁情报特征库、IPS)功能授权</w:t>
            </w:r>
            <w:r/>
          </w:p>
        </w:tc>
      </w:tr>
    </w:tbl>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上网行为管理产品详细技术参数要求</w:t>
      </w:r>
      <w:r/>
    </w:p>
    <w:tbl>
      <w:tblPr>
        <w:tblStyle w:val="80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8102"/>
      </w:tblGrid>
      <w:tr>
        <w:trPr>
          <w:trHeight w:val="397"/>
        </w:trPr>
        <w:tc>
          <w:tcPr>
            <w:tcW w:w="884"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4115" w:type="pct"/>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884" w:type="pct"/>
            <w:vAlign w:val="center"/>
            <w:textDirection w:val="lrTb"/>
            <w:noWrap w:val="false"/>
          </w:tcPr>
          <w:p>
            <w:pPr>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硬件</w:t>
            </w:r>
            <w:r>
              <w:rPr>
                <w:rFonts w:hint="eastAsia" w:ascii="宋体" w:hAnsi="宋体" w:eastAsia="宋体" w:cs="宋体"/>
                <w:b w:val="0"/>
                <w:bCs w:val="0"/>
                <w:color w:val="auto"/>
                <w:sz w:val="21"/>
                <w:szCs w:val="21"/>
                <w:highlight w:val="none"/>
                <w:shd w:val="clear" w:color="auto"/>
                <w:lang w:val="en-US" w:eastAsia="zh-CN"/>
              </w:rPr>
              <w:t xml:space="preserve">参数</w:t>
            </w:r>
            <w:r/>
          </w:p>
        </w:tc>
        <w:tc>
          <w:tcPr>
            <w:shd w:val="clear" w:color="auto" w:fill="auto"/>
            <w:tcW w:w="4115" w:type="pct"/>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采用国产化成熟操作系统，国产化成熟CPU，</w:t>
            </w:r>
            <w:r>
              <w:rPr>
                <w:rFonts w:hint="eastAsia" w:ascii="宋体" w:hAnsi="宋体" w:eastAsia="宋体" w:cs="宋体"/>
                <w:color w:val="auto"/>
                <w:sz w:val="21"/>
                <w:szCs w:val="21"/>
                <w:highlight w:val="none"/>
              </w:rPr>
              <w:t xml:space="preserve">网络吞吐量</w:t>
            </w:r>
            <w:r>
              <w:rPr>
                <w:rFonts w:hint="eastAsia" w:ascii="宋体" w:hAnsi="宋体" w:eastAsia="宋体" w:cs="宋体"/>
                <w:color w:val="auto"/>
                <w:sz w:val="21"/>
                <w:szCs w:val="21"/>
                <w:highlight w:val="none"/>
                <w:lang w:val="en-US" w:eastAsia="zh-CN"/>
              </w:rPr>
              <w:t xml:space="preserve">不低于5G</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适用带宽不低于650M，设备</w:t>
            </w:r>
            <w:r>
              <w:rPr>
                <w:rFonts w:hint="eastAsia" w:ascii="宋体" w:hAnsi="宋体" w:eastAsia="宋体" w:cs="宋体"/>
                <w:color w:val="auto"/>
                <w:sz w:val="21"/>
                <w:szCs w:val="21"/>
                <w:highlight w:val="none"/>
              </w:rPr>
              <w:t xml:space="preserve">标配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10个千兆电口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4个光电复用接口，设备标配硬盘容量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1T。</w:t>
            </w:r>
            <w:r/>
          </w:p>
        </w:tc>
      </w:tr>
      <w:tr>
        <w:trPr>
          <w:trHeight w:val="397"/>
        </w:trPr>
        <w:tc>
          <w:tcPr>
            <w:shd w:val="clear" w:color="auto" w:fill="auto"/>
            <w:tcW w:w="884" w:type="pct"/>
            <w:vAlign w:val="center"/>
            <w:vMerge w:val="restart"/>
            <w:textDirection w:val="lrTb"/>
            <w:noWrap w:val="false"/>
          </w:tcPr>
          <w:p>
            <w:pPr>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部署适应性</w:t>
            </w:r>
            <w:r/>
          </w:p>
        </w:tc>
        <w:tc>
          <w:tcPr>
            <w:shd w:val="clear" w:color="auto" w:fill="auto"/>
            <w:tcW w:w="4115" w:type="pct"/>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shd w:val="clear" w:color="auto" w:fill="ffffff"/>
                <w:lang w:val="en-US" w:eastAsia="zh-CN" w:bidi="ar-SA"/>
                <w14:ligatures w14:val="standardContextual"/>
              </w:rPr>
            </w:pPr>
            <w:r>
              <w:rPr>
                <w:rFonts w:hint="eastAsia" w:ascii="宋体" w:hAnsi="宋体" w:eastAsia="宋体" w:cs="宋体"/>
                <w:color w:val="auto"/>
                <w:sz w:val="21"/>
                <w:szCs w:val="21"/>
                <w:highlight w:val="none"/>
              </w:rPr>
              <w:t xml:space="preserve">支持路由模式、透明（网桥）模式、混合模式，支持镜像接口，部署模式切换无需重启设备</w:t>
            </w:r>
            <w:r/>
          </w:p>
        </w:tc>
      </w:tr>
      <w:tr>
        <w:trPr>
          <w:trHeight w:val="397"/>
        </w:trPr>
        <w:tc>
          <w:tcPr>
            <w:tcW w:w="884" w:type="pct"/>
            <w:vAlign w:val="center"/>
            <w:vMerge w:val="continue"/>
            <w:textDirection w:val="lrTb"/>
            <w:noWrap w:val="false"/>
          </w:tcPr>
          <w:p>
            <w:pPr>
              <w:jc w:val="center"/>
              <w:spacing w:before="0" w:after="0"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4115" w:type="pct"/>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网络部署支持虚拟网线部署，且支持vlan标签</w:t>
            </w:r>
            <w:r/>
          </w:p>
        </w:tc>
      </w:tr>
      <w:tr>
        <w:trPr>
          <w:trHeight w:val="397"/>
        </w:trPr>
        <w:tc>
          <w:tcPr>
            <w:tcW w:w="884"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4115" w:type="pct"/>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网络，可对</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网络进行审计、流量控制</w:t>
            </w:r>
            <w:r/>
          </w:p>
        </w:tc>
      </w:tr>
      <w:tr>
        <w:trPr>
          <w:trHeight w:val="397"/>
        </w:trPr>
        <w:tc>
          <w:tcPr>
            <w:tcW w:w="884"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4115" w:type="pct"/>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支持服务器负载均衡，支持一个公网IP映射到内网多台服务器，服务器间支持连接和源地址hash,支持服务器健康检查</w:t>
            </w:r>
            <w:r/>
          </w:p>
        </w:tc>
      </w:tr>
      <w:tr>
        <w:trPr>
          <w:trHeight w:val="397"/>
        </w:trPr>
        <w:tc>
          <w:tcPr>
            <w:shd w:val="clear" w:color="auto" w:fill="auto"/>
            <w:tcW w:w="884"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shd w:val="clear" w:color="auto"/>
              </w:rPr>
              <w:t xml:space="preserve">行为管控</w:t>
            </w:r>
            <w:r/>
          </w:p>
        </w:tc>
        <w:tc>
          <w:tcPr>
            <w:shd w:val="clear" w:color="auto" w:fill="auto"/>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lang w:val="en-US" w:eastAsia="zh-CN" w:bidi="ar-SA"/>
                <w14:ligatures w14:val="standardContextual"/>
              </w:rPr>
              <w:t xml:space="preserve">支持基于角色的审计策略对主体的访问行为进行审计，对客体进行保护，并根据管理员设定的规则记录TCP会话内容，以便事后取证分析。支持定义信任用户、信任子网、认证用户三类用户，可以指定需要保护的主机和主机上需要保护的服务，可以根据应用层协议制定细粒度的访问规则，可以根据对保护资源访问控制的需要制定角色</w:t>
            </w:r>
            <w:r/>
          </w:p>
        </w:tc>
      </w:tr>
      <w:tr>
        <w:trPr>
          <w:trHeight w:val="397"/>
        </w:trPr>
        <w:tc>
          <w:tcPr>
            <w:tcW w:w="884"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自建代理软件审计控制</w:t>
            </w:r>
            <w:r/>
          </w:p>
        </w:tc>
        <w:tc>
          <w:tcPr>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SA"/>
                <w14:ligatures w14:val="standardContextual"/>
              </w:rPr>
              <w:t xml:space="preserve">至少支持120+种自建代理类软件的审计控制，可有效的阻止违规代理访问行为，并可独立展示代理服务器所属地域、用户、用户组、应用等排行。</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shd w:val="clear" w:color="auto"/>
                <w:lang w:val="en-US" w:eastAsia="zh-CN" w:bidi="ar-SA"/>
                <w14:ligatures w14:val="standardContextual"/>
              </w:rPr>
              <w:t xml:space="preserve">须提供产品功能截图</w:t>
            </w:r>
            <w:r>
              <w:rPr>
                <w:rFonts w:hint="eastAsia" w:ascii="宋体" w:hAnsi="宋体" w:eastAsia="宋体" w:cs="宋体"/>
                <w:color w:val="auto"/>
                <w:sz w:val="21"/>
                <w:szCs w:val="21"/>
                <w:highlight w:val="none"/>
                <w:shd w:val="clear" w:color="auto"/>
              </w:rPr>
              <w:t xml:space="preserve">并加盖投标人公章。</w:t>
            </w:r>
            <w:r/>
          </w:p>
        </w:tc>
      </w:tr>
      <w:tr>
        <w:trPr>
          <w:trHeight w:val="397"/>
        </w:trPr>
        <w:tc>
          <w:tcPr>
            <w:tcW w:w="884"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上网认证</w:t>
            </w:r>
            <w:r/>
          </w:p>
        </w:tc>
        <w:tc>
          <w:tcPr>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支持WEB Portal认证功能，支持本地认证、Radius认证、LDAP认证 和LDAP用户同步，支持对接IMC、SAM等常见AAA服务器，支持配置强制重新认证间隔，支持配置认证通过后重定向URL，要求本机自身支持短信认证功能</w:t>
            </w:r>
            <w:r/>
          </w:p>
        </w:tc>
      </w:tr>
      <w:tr>
        <w:trPr>
          <w:trHeight w:val="397"/>
        </w:trPr>
        <w:tc>
          <w:tcPr>
            <w:shd w:val="clear" w:color="auto" w:fill="auto"/>
            <w:tcW w:w="884"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策略配置</w:t>
            </w:r>
            <w:r/>
          </w:p>
        </w:tc>
        <w:tc>
          <w:tcPr>
            <w:shd w:val="clear" w:color="auto" w:fill="auto"/>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rPr>
              <w:t xml:space="preserve">▲</w:t>
            </w:r>
            <w:r>
              <w:rPr>
                <w:rFonts w:hint="eastAsia" w:ascii="宋体" w:hAnsi="宋体" w:eastAsia="宋体" w:cs="宋体"/>
                <w:color w:val="auto"/>
                <w:sz w:val="21"/>
                <w:szCs w:val="21"/>
                <w:highlight w:val="none"/>
                <w:shd w:val="clear" w:color="auto"/>
              </w:rPr>
              <w:t xml:space="preserve">提供智能策略分析功能，支持策略冗余分析、策略冲突检查，并可在WEB界面显示检测结果；支持</w:t>
            </w:r>
            <w:r>
              <w:rPr>
                <w:rFonts w:hint="eastAsia" w:ascii="宋体" w:hAnsi="宋体" w:eastAsia="宋体" w:cs="宋体"/>
                <w:color w:val="auto"/>
                <w:sz w:val="21"/>
                <w:szCs w:val="21"/>
                <w:highlight w:val="none"/>
                <w:shd w:val="clear" w:color="auto"/>
                <w:lang w:val="en-US" w:eastAsia="zh-CN"/>
              </w:rPr>
              <w:t xml:space="preserve">立即</w:t>
            </w:r>
            <w:r>
              <w:rPr>
                <w:rFonts w:hint="eastAsia" w:ascii="宋体" w:hAnsi="宋体" w:eastAsia="宋体" w:cs="宋体"/>
                <w:color w:val="auto"/>
                <w:sz w:val="21"/>
                <w:szCs w:val="21"/>
                <w:highlight w:val="none"/>
                <w:shd w:val="clear" w:color="auto"/>
              </w:rPr>
              <w:t xml:space="preserve">和周期性对所有安全策略进行分析</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shd w:val="clear" w:color="auto"/>
                <w:lang w:val="en-US" w:eastAsia="zh-CN" w:bidi="ar-SA"/>
                <w14:ligatures w14:val="standardContextual"/>
              </w:rPr>
              <w:t xml:space="preserve">须提供产品功能截图</w:t>
            </w:r>
            <w:r>
              <w:rPr>
                <w:rFonts w:hint="eastAsia" w:ascii="宋体" w:hAnsi="宋体" w:eastAsia="宋体" w:cs="宋体"/>
                <w:color w:val="auto"/>
                <w:sz w:val="21"/>
                <w:szCs w:val="21"/>
                <w:highlight w:val="none"/>
                <w:shd w:val="clear" w:color="auto"/>
              </w:rPr>
              <w:t xml:space="preserve">并加盖投标人公章。</w:t>
            </w:r>
            <w:r/>
          </w:p>
        </w:tc>
      </w:tr>
      <w:tr>
        <w:trPr>
          <w:trHeight w:val="397"/>
        </w:trPr>
        <w:tc>
          <w:tcPr>
            <w:shd w:val="clear" w:color="auto" w:fill="auto"/>
            <w:tcW w:w="884" w:type="pct"/>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安全防护</w:t>
            </w:r>
            <w:r/>
          </w:p>
        </w:tc>
        <w:tc>
          <w:tcPr>
            <w:shd w:val="clear" w:color="auto" w:fill="auto"/>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支持杀毒功能，可对HTTP、FTP、POP3、SNMP、IMAP协议的病毒进行查杀；支持ZIP、RAR等压缩文件的病毒查杀。压缩默认支持5层，最大20层</w:t>
            </w:r>
            <w:r/>
          </w:p>
        </w:tc>
      </w:tr>
      <w:tr>
        <w:trPr>
          <w:trHeight w:val="397"/>
        </w:trPr>
        <w:tc>
          <w:tcPr>
            <w:shd w:val="clear" w:color="auto" w:fill="auto"/>
            <w:tcW w:w="884"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提供WEB防护功能，可对防盗链、CSRF攻击、CC等攻击行为进行防护</w:t>
            </w:r>
            <w:r/>
          </w:p>
        </w:tc>
      </w:tr>
      <w:tr>
        <w:trPr>
          <w:trHeight w:val="397"/>
        </w:trPr>
        <w:tc>
          <w:tcPr>
            <w:tcW w:w="884"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支持入侵防御功能，支持基于源、目的、规则集的入侵检测；支持针对WEB服务器防护，包括木马/后门、挖矿、病毒蠕虫、SQL注入、木马外联、间谍软件、工控攻击等</w:t>
            </w:r>
            <w:r/>
          </w:p>
        </w:tc>
      </w:tr>
      <w:tr>
        <w:trPr>
          <w:trHeight w:val="397"/>
        </w:trPr>
        <w:tc>
          <w:tcPr>
            <w:tcW w:w="884" w:type="pct"/>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设备管理</w:t>
            </w:r>
            <w:r/>
          </w:p>
        </w:tc>
        <w:tc>
          <w:tcPr>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支持应用、用户流量统计，应用流量支持趋势图、饼状图呈现，可查看某一应用的流量趋势图和其Top流量用户</w:t>
            </w:r>
            <w:r/>
          </w:p>
        </w:tc>
      </w:tr>
      <w:tr>
        <w:trPr>
          <w:trHeight w:val="397"/>
        </w:trPr>
        <w:tc>
          <w:tcPr>
            <w:tcW w:w="884"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内网资产监控，可对终端风险级别、操作系统、浏览器类型、应用、杀毒软件等方面进行监控</w:t>
            </w:r>
            <w:r/>
          </w:p>
        </w:tc>
      </w:tr>
      <w:tr>
        <w:trPr>
          <w:trHeight w:val="397"/>
        </w:trPr>
        <w:tc>
          <w:tcPr>
            <w:shd w:val="clear" w:color="auto" w:fill="auto"/>
            <w:tcW w:w="884"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rPr>
              <w:t xml:space="preserve">售后服务</w:t>
            </w:r>
            <w:r/>
          </w:p>
        </w:tc>
        <w:tc>
          <w:tcPr>
            <w:shd w:val="clear" w:color="auto" w:fill="auto"/>
            <w:tcW w:w="4115"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三年原厂硬件质保，三年行为管理特征库升级</w:t>
            </w:r>
            <w:r/>
          </w:p>
        </w:tc>
      </w:tr>
    </w:tbl>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内网边界防火墙产品详细技术参数要求</w:t>
      </w:r>
      <w:r/>
    </w:p>
    <w:tbl>
      <w:tblPr>
        <w:tblStyle w:val="802"/>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8371"/>
      </w:tblGrid>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371"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硬件参数</w:t>
            </w:r>
            <w:r/>
          </w:p>
        </w:tc>
        <w:tc>
          <w:tcPr>
            <w:shd w:val="clear" w:color="auto" w:fill="auto"/>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rPr>
              <w:t xml:space="preserve">≥1 个CON 口，≥1 个MGT口，≥1个HA口，≥2个USB口，≥12个GE、≥8个10GE，双交流电源,内存≥8G，≥1T SSD。</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性能参数</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网络层吞吐≥10Gbps，整机并发≥450万，每秒新建≥7.5万</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国产化</w:t>
            </w:r>
            <w:r/>
          </w:p>
        </w:tc>
        <w:tc>
          <w:tcPr>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国产CPU、国产操作系统</w:t>
            </w:r>
            <w:r/>
          </w:p>
        </w:tc>
      </w:tr>
      <w:tr>
        <w:trPr>
          <w:trHeight w:val="537"/>
        </w:trPr>
        <w:tc>
          <w:tcPr>
            <w:shd w:val="clear" w:color="auto" w:fill="auto"/>
            <w:tcW w:w="1506" w:type="dxa"/>
            <w:vAlign w:val="center"/>
            <w:vMerge w:val="restart"/>
            <w:textDirection w:val="lrTb"/>
            <w:noWrap w:val="false"/>
          </w:tcPr>
          <w:p>
            <w:pPr>
              <w:pStyle w:val="1066"/>
              <w:jc w:val="center"/>
              <w:spacing w:before="223"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pacing w:val="-2"/>
                <w:sz w:val="21"/>
                <w:szCs w:val="21"/>
                <w:highlight w:val="none"/>
              </w:rPr>
              <w:t xml:space="preserve">网络适应性</w:t>
            </w:r>
            <w:r>
              <w:rPr>
                <w:rFonts w:hint="eastAsia" w:ascii="宋体" w:hAnsi="宋体" w:eastAsia="宋体" w:cs="宋体"/>
                <w:color w:val="auto"/>
                <w:spacing w:val="-2"/>
                <w:sz w:val="21"/>
                <w:szCs w:val="21"/>
                <w:highlight w:val="none"/>
                <w:lang w:val="en-US" w:eastAsia="zh-CN"/>
              </w:rPr>
              <w:t xml:space="preserve">要求</w:t>
            </w:r>
            <w:r/>
          </w:p>
        </w:tc>
        <w:tc>
          <w:tcPr>
            <w:shd w:val="clear" w:color="auto" w:fill="auto"/>
            <w:tcW w:w="8371" w:type="dxa"/>
            <w:vAlign w:val="center"/>
            <w:textDirection w:val="lrTb"/>
            <w:noWrap w:val="false"/>
          </w:tcPr>
          <w:p>
            <w:pPr>
              <w:pStyle w:val="1066"/>
              <w:jc w:val="left"/>
              <w:spacing w:before="83"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具备透明、路由、混合、旁路四种工作模式。</w:t>
            </w:r>
            <w:r/>
          </w:p>
        </w:tc>
      </w:tr>
      <w:tr>
        <w:trPr>
          <w:trHeight w:val="397"/>
        </w:trPr>
        <w:tc>
          <w:tcPr>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84" w:line="240" w:lineRule="auto"/>
              <w:shd w:val="clear" w:color="auto"/>
              <w:rPr>
                <w:rFonts w:hint="eastAsia" w:ascii="宋体" w:hAnsi="宋体" w:eastAsia="宋体" w:cs="宋体"/>
                <w:color w:val="auto"/>
                <w:sz w:val="21"/>
                <w:szCs w:val="21"/>
                <w:highlight w:val="none"/>
                <w:lang w:val="en-US" w:eastAsia="en-US" w:bidi="ar-SA"/>
                <w14:ligatures w14:val="standardContextual"/>
              </w:rPr>
            </w:pPr>
            <w:r>
              <w:rPr>
                <w:rFonts w:hint="eastAsia" w:ascii="宋体" w:hAnsi="宋体" w:eastAsia="宋体" w:cs="宋体"/>
                <w:color w:val="auto"/>
                <w:sz w:val="21"/>
                <w:szCs w:val="21"/>
                <w:highlight w:val="none"/>
              </w:rPr>
              <w:t xml:space="preserve">具备BFD功能，与静态路由/OSPF/BGP/ISIS进行联动。</w:t>
            </w:r>
            <w:r/>
          </w:p>
        </w:tc>
      </w:tr>
      <w:tr>
        <w:trPr>
          <w:trHeight w:val="397"/>
        </w:trPr>
        <w:tc>
          <w:tcPr>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具备静态路由、ISP路由，OSPF、BGP、RIP、ISIS、策略路由。</w:t>
            </w:r>
            <w:r/>
          </w:p>
        </w:tc>
      </w:tr>
      <w:tr>
        <w:trPr>
          <w:trHeight w:val="397"/>
        </w:trPr>
        <w:tc>
          <w:tcPr>
            <w:tcW w:w="1506" w:type="dxa"/>
            <w:vAlign w:val="center"/>
            <w:vMerge w:val="restart"/>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安全访问控制要求</w:t>
            </w:r>
            <w:r>
              <w:rPr>
                <w:rFonts w:hint="eastAsia" w:ascii="宋体" w:hAnsi="宋体" w:eastAsia="宋体" w:cs="宋体"/>
                <w:color w:val="auto"/>
                <w:sz w:val="21"/>
                <w:szCs w:val="21"/>
                <w:highlight w:val="none"/>
                <w:lang w:val="en-US" w:eastAsia="zh-CN"/>
              </w:rPr>
              <w:t xml:space="preserve">可视化运维</w:t>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功能，满足</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组网需要</w:t>
            </w:r>
            <w:r/>
          </w:p>
        </w:tc>
      </w:tr>
      <w:tr>
        <w:trPr>
          <w:trHeight w:val="397"/>
        </w:trPr>
        <w:tc>
          <w:tcPr>
            <w:shd w:val="clear" w:color="auto" w:fill="auto"/>
            <w:tcW w:w="1506" w:type="dxa"/>
            <w:vAlign w:val="center"/>
            <w:vMerge w:val="continue"/>
            <w:textDirection w:val="lrTb"/>
            <w:noWrap w:val="false"/>
          </w:tcPr>
          <w:p>
            <w:pPr>
              <w:pStyle w:val="1066"/>
              <w:ind w:left="91"/>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具备基础策略控制功能，可进行源地址、目的地址、服务、应用控制。</w:t>
            </w:r>
            <w:r/>
          </w:p>
        </w:tc>
      </w:tr>
      <w:tr>
        <w:trPr>
          <w:trHeight w:val="397"/>
        </w:trPr>
        <w:tc>
          <w:tcPr>
            <w:shd w:val="clear" w:color="auto" w:fill="auto"/>
            <w:tcW w:w="1506" w:type="dxa"/>
            <w:vAlign w:val="center"/>
            <w:vMerge w:val="restart"/>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地址转换要求</w:t>
            </w:r>
            <w:r>
              <w:rPr>
                <w:rFonts w:hint="eastAsia" w:ascii="宋体" w:hAnsi="宋体" w:eastAsia="宋体" w:cs="宋体"/>
                <w:color w:val="auto"/>
                <w:sz w:val="21"/>
                <w:szCs w:val="21"/>
                <w:highlight w:val="none"/>
                <w:lang w:val="en-US" w:eastAsia="zh-CN"/>
              </w:rPr>
              <w:t xml:space="preserve">负载均衡</w:t>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具备SNAT、DNAT等功能满足地址转换需要。</w:t>
            </w:r>
            <w:r/>
          </w:p>
        </w:tc>
      </w:tr>
      <w:tr>
        <w:trPr>
          <w:trHeight w:val="397"/>
        </w:trPr>
        <w:tc>
          <w:tcPr>
            <w:shd w:val="clear" w:color="auto" w:fill="auto"/>
            <w:tcW w:w="1506" w:type="dxa"/>
            <w:vAlign w:val="center"/>
            <w:vMerge w:val="continue"/>
            <w:textDirection w:val="lrTb"/>
            <w:noWrap w:val="false"/>
          </w:tcPr>
          <w:p>
            <w:pPr>
              <w:pStyle w:val="1066"/>
              <w:ind w:left="91"/>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具备出站链路负载，满足多出口负载分担需要。</w:t>
            </w:r>
            <w:r/>
          </w:p>
        </w:tc>
      </w:tr>
      <w:tr>
        <w:trPr>
          <w:trHeight w:val="397"/>
        </w:trPr>
        <w:tc>
          <w:tcPr>
            <w:shd w:val="clear" w:color="auto" w:fill="auto"/>
            <w:tcW w:w="1506" w:type="dxa"/>
            <w:vAlign w:val="center"/>
            <w:vMerge w:val="restart"/>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安全策略</w:t>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具备精细化策略管控，包括源安全区域、源地址、目的安全区域、目的地址、应用、服务、用户等过滤。</w:t>
            </w:r>
            <w:r/>
          </w:p>
        </w:tc>
      </w:tr>
      <w:tr>
        <w:trPr>
          <w:trHeight w:val="397"/>
        </w:trPr>
        <w:tc>
          <w:tcPr>
            <w:tcW w:w="1506" w:type="dxa"/>
            <w:vAlign w:val="center"/>
            <w:vMerge w:val="continue"/>
            <w:textDirection w:val="lrTb"/>
            <w:noWrap w:val="false"/>
          </w:tcPr>
          <w:p>
            <w:pPr>
              <w:pStyle w:val="1066"/>
              <w:ind w:left="91"/>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备策略自学习，能够提取命中指定策略ID的流量作为流量数据分析源，基于条目的命中数、报文数及字节数大小，过滤出有效数据，并且根据管理员设置的替换规则、聚合规则优化流量数据，最后自动生成符合管理员期望的基于服务/应用的安全策略规则</w:t>
            </w:r>
            <w:r/>
          </w:p>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14:ligatures w14:val="standardContextual"/>
              </w:rPr>
              <w:t xml:space="preserve">须提供产品功能截图</w:t>
            </w:r>
            <w:r>
              <w:rPr>
                <w:rFonts w:hint="eastAsia" w:ascii="宋体" w:hAnsi="宋体" w:eastAsia="宋体" w:cs="宋体"/>
                <w:color w:val="auto"/>
                <w:sz w:val="21"/>
                <w:szCs w:val="21"/>
                <w:highlight w:val="none"/>
              </w:rPr>
              <w:t xml:space="preserve">并加盖投标人公章。</w:t>
            </w:r>
            <w:r/>
          </w:p>
        </w:tc>
      </w:tr>
      <w:tr>
        <w:trPr>
          <w:trHeight w:val="397"/>
        </w:trPr>
        <w:tc>
          <w:tcPr>
            <w:shd w:val="clear" w:color="auto" w:fill="auto"/>
            <w:tcW w:w="1506" w:type="dxa"/>
            <w:vAlign w:val="center"/>
            <w:vMerge w:val="restart"/>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NAT</w:t>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具备SNAT、DNAT等规则</w:t>
            </w:r>
            <w:r/>
          </w:p>
        </w:tc>
      </w:tr>
      <w:tr>
        <w:trPr>
          <w:trHeight w:val="397"/>
        </w:trPr>
        <w:tc>
          <w:tcPr>
            <w:shd w:val="clear" w:color="auto" w:fill="auto"/>
            <w:tcBorders>
              <w:bottom w:val="single" w:color="auto" w:sz="4" w:space="0"/>
            </w:tcBorders>
            <w:tcW w:w="1506" w:type="dxa"/>
            <w:vAlign w:val="center"/>
            <w:vMerge w:val="continue"/>
            <w:textDirection w:val="lrTb"/>
            <w:noWrap w:val="false"/>
          </w:tcPr>
          <w:p>
            <w:pPr>
              <w:pStyle w:val="1066"/>
              <w:ind w:left="91"/>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bottom w:val="single" w:color="auto"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rPr>
              <w:t xml:space="preserve">SNAT/DNAT</w:t>
            </w:r>
            <w:r>
              <w:rPr>
                <w:rFonts w:hint="eastAsia" w:ascii="宋体" w:hAnsi="宋体" w:eastAsia="宋体" w:cs="宋体"/>
                <w:color w:val="auto"/>
                <w:sz w:val="21"/>
                <w:szCs w:val="21"/>
                <w:highlight w:val="none"/>
                <w:shd w:val="clear" w:color="auto"/>
                <w:lang w:eastAsia="zh-CN"/>
              </w:rPr>
              <w:t xml:space="preserve">具备</w:t>
            </w:r>
            <w:r>
              <w:rPr>
                <w:rFonts w:hint="eastAsia" w:ascii="宋体" w:hAnsi="宋体" w:eastAsia="宋体" w:cs="宋体"/>
                <w:color w:val="auto"/>
                <w:sz w:val="21"/>
                <w:szCs w:val="21"/>
                <w:highlight w:val="none"/>
                <w:shd w:val="clear" w:color="auto"/>
              </w:rPr>
              <w:t xml:space="preserve">命中数分析，显示策略创建时间、命中数、首次命中时间、最近一次命中时间、未命中天数等信息，并可针对分析结果，对NAT规则进行删除或禁用</w:t>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高可靠组网</w:t>
            </w:r>
            <w:r/>
          </w:p>
        </w:tc>
        <w:tc>
          <w:tcPr>
            <w:shd w:val="clear" w:color="auto" w:fill="auto"/>
            <w:tcBorders>
              <w:top w:val="single" w:color="auto" w:sz="4" w:space="0"/>
              <w:left w:val="single" w:color="auto" w:sz="4" w:space="0"/>
              <w:bottom w:val="single" w:color="auto" w:sz="4" w:space="0"/>
              <w:right w:val="single" w:color="auto" w:sz="4" w:space="0"/>
            </w:tcBorders>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具备主备模式，主主模式，具备同步配置、会话</w:t>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全面的威胁防护</w:t>
            </w:r>
            <w:r/>
          </w:p>
        </w:tc>
        <w:tc>
          <w:tcPr>
            <w:shd w:val="clear" w:color="auto" w:fill="auto"/>
            <w:tcBorders>
              <w:top w:val="single" w:color="auto" w:sz="4" w:space="0"/>
              <w:left w:val="single" w:color="auto" w:sz="4" w:space="0"/>
              <w:bottom w:val="single" w:color="auto" w:sz="4" w:space="0"/>
              <w:right w:val="single" w:color="auto" w:sz="4" w:space="0"/>
            </w:tcBorders>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具备入侵防御、病毒过滤、DDOS防护、威胁情报等</w:t>
            </w:r>
            <w:r/>
          </w:p>
        </w:tc>
      </w:tr>
      <w:tr>
        <w:trPr>
          <w:trHeight w:val="397"/>
        </w:trPr>
        <w:tc>
          <w:tcPr>
            <w:shd w:val="clear" w:color="auto" w:fill="auto"/>
            <w:tcBorders>
              <w:top w:val="single" w:color="auto" w:sz="4" w:space="0"/>
            </w:tcBorders>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零信任访问</w:t>
            </w:r>
            <w:r/>
          </w:p>
        </w:tc>
        <w:tc>
          <w:tcPr>
            <w:shd w:val="clear" w:color="auto" w:fill="auto"/>
            <w:tcBorders>
              <w:top w:val="single" w:color="auto"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具备零信任（ztna功能），可显示ZTNA用户/终端的状态信息，包括登录时间、用户名称、用户IP、主机名称、终端IP、区域终端标签、操作系统类型、允许访问的资源等。</w:t>
            </w:r>
            <w:r/>
          </w:p>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须提供产品功能截图证明，并提供国家认可的第三方检测机构出具的检验检测报告</w:t>
            </w:r>
            <w:r>
              <w:rPr>
                <w:rFonts w:hint="eastAsia" w:ascii="宋体" w:hAnsi="宋体" w:eastAsia="宋体" w:cs="宋体"/>
                <w:color w:val="auto"/>
                <w:sz w:val="21"/>
                <w:szCs w:val="21"/>
                <w:highlight w:val="none"/>
                <w:shd w:val="clear" w:color="auto"/>
                <w:lang w:val="en-US" w:eastAsia="zh-CN"/>
              </w:rPr>
              <w:t xml:space="preserve">原件扫描件</w:t>
            </w:r>
            <w:r>
              <w:rPr>
                <w:rFonts w:hint="eastAsia" w:ascii="宋体" w:hAnsi="宋体" w:eastAsia="宋体" w:cs="宋体"/>
                <w:color w:val="auto"/>
                <w:sz w:val="21"/>
                <w:szCs w:val="21"/>
                <w:highlight w:val="none"/>
                <w:lang w:val="en-US" w:eastAsia="zh-CN"/>
              </w:rPr>
              <w:t xml:space="preserve">并加盖投标人公章。</w:t>
            </w:r>
            <w:r/>
          </w:p>
        </w:tc>
      </w:tr>
      <w:tr>
        <w:trPr>
          <w:trHeight w:val="397"/>
        </w:trPr>
        <w:tc>
          <w:tcPr>
            <w:shd w:val="clear" w:color="auto" w:fill="auto"/>
            <w:tcBorders>
              <w:top w:val="single" w:color="auto" w:sz="4" w:space="0"/>
            </w:tcBorders>
            <w:tcW w:w="1506" w:type="dxa"/>
            <w:vAlign w:val="center"/>
            <w:vMerge w:val="restart"/>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高效运维要求</w:t>
            </w:r>
            <w:r/>
          </w:p>
        </w:tc>
        <w:tc>
          <w:tcPr>
            <w:shd w:val="clear" w:color="auto" w:fill="auto"/>
            <w:tcBorders>
              <w:top w:val="single" w:color="auto" w:sz="4" w:space="0"/>
            </w:tcBorders>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具备DNS、ping、traceroute基本的诊断测试工具</w:t>
            </w:r>
            <w:r/>
          </w:p>
        </w:tc>
      </w:tr>
      <w:tr>
        <w:trPr>
          <w:trHeight w:val="397"/>
        </w:trPr>
        <w:tc>
          <w:tcPr>
            <w:shd w:val="clear" w:color="auto" w:fill="auto"/>
            <w:tcW w:w="1506" w:type="dxa"/>
            <w:vAlign w:val="center"/>
            <w:vMerge w:val="continue"/>
            <w:textDirection w:val="lrTb"/>
            <w:noWrap w:val="false"/>
          </w:tcPr>
          <w:p>
            <w:pPr>
              <w:pStyle w:val="1066"/>
              <w:ind w:left="91"/>
              <w:jc w:val="center"/>
              <w:spacing w:before="65"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具备常规抓包分析能力，如debug或tcpdump等。</w:t>
            </w:r>
            <w:r/>
          </w:p>
        </w:tc>
      </w:tr>
      <w:tr>
        <w:trPr>
          <w:trHeight w:val="397"/>
        </w:trPr>
        <w:tc>
          <w:tcPr>
            <w:shd w:val="clear" w:color="auto" w:fill="auto"/>
            <w:tcW w:w="1506" w:type="dxa"/>
            <w:vAlign w:val="center"/>
            <w:vMerge w:val="continue"/>
            <w:textDirection w:val="lrTb"/>
            <w:noWrap w:val="false"/>
          </w:tcPr>
          <w:p>
            <w:pPr>
              <w:pStyle w:val="1066"/>
              <w:ind w:left="91"/>
              <w:jc w:val="center"/>
              <w:spacing w:before="65"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37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lang w:val="en-US" w:eastAsia="zh-CN"/>
              </w:rPr>
              <w:t xml:space="preserve">具备数据包路径检测，可模拟数据包穿越设备，图形化展示数据包通过防火墙各个功能模块包括攻击防护、会话匹配、工作模式、NAT转换、策略匹配、ARP防护、流量管理等，进行有效性检测和快速故障定位。</w:t>
            </w:r>
            <w:r/>
          </w:p>
        </w:tc>
      </w:tr>
      <w:tr>
        <w:trPr>
          <w:trHeight w:val="397"/>
        </w:trPr>
        <w:tc>
          <w:tcPr>
            <w:shd w:val="clear" w:color="auto" w:fill="auto"/>
            <w:tcW w:w="1506" w:type="dxa"/>
            <w:vAlign w:val="center"/>
            <w:textDirection w:val="lrTb"/>
            <w:noWrap w:val="false"/>
          </w:tcPr>
          <w:p>
            <w:pPr>
              <w:pStyle w:val="1066"/>
              <w:jc w:val="center"/>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售后服务</w:t>
            </w:r>
            <w:r/>
          </w:p>
        </w:tc>
        <w:tc>
          <w:tcPr>
            <w:shd w:val="clear" w:color="auto" w:fill="auto"/>
            <w:tcW w:w="8371" w:type="dxa"/>
            <w:vAlign w:val="center"/>
            <w:textDirection w:val="lrTb"/>
            <w:noWrap w:val="false"/>
          </w:tcPr>
          <w:p>
            <w:pPr>
              <w:pStyle w:val="1066"/>
              <w:jc w:val="left"/>
              <w:spacing w:before="65"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三年原厂质保(含AV病毒过滤特征库、Ti威胁情报特征库)功能授权</w:t>
            </w:r>
            <w:r/>
          </w:p>
        </w:tc>
      </w:tr>
    </w:tbl>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数据库审计产品详细技术参数要求</w:t>
      </w:r>
      <w:r/>
    </w:p>
    <w:tbl>
      <w:tblPr>
        <w:tblStyle w:val="802"/>
        <w:tblW w:w="9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8361"/>
      </w:tblGrid>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361"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1506" w:type="dxa"/>
            <w:vAlign w:val="center"/>
            <w:textDirection w:val="lrTb"/>
            <w:noWrap w:val="false"/>
          </w:tcPr>
          <w:p>
            <w:pPr>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硬件</w:t>
            </w:r>
            <w:r>
              <w:rPr>
                <w:rFonts w:hint="eastAsia" w:ascii="宋体" w:hAnsi="宋体" w:eastAsia="宋体" w:cs="宋体"/>
                <w:b w:val="0"/>
                <w:bCs w:val="0"/>
                <w:color w:val="auto"/>
                <w:sz w:val="21"/>
                <w:szCs w:val="21"/>
                <w:highlight w:val="none"/>
                <w:lang w:val="en-US" w:eastAsia="zh-CN"/>
              </w:rPr>
              <w:t xml:space="preserve">参数</w:t>
            </w:r>
            <w:r/>
          </w:p>
        </w:tc>
        <w:tc>
          <w:tcPr>
            <w:shd w:val="clear" w:color="auto" w:fill="auto"/>
            <w:tcW w:w="8361" w:type="dxa"/>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采用国产化成熟CPU，国产化成熟操作系统，</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标配千兆电口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个，</w:t>
            </w:r>
            <w:r>
              <w:rPr>
                <w:rFonts w:hint="eastAsia" w:ascii="宋体" w:hAnsi="宋体" w:eastAsia="宋体" w:cs="宋体"/>
                <w:color w:val="auto"/>
                <w:sz w:val="21"/>
                <w:szCs w:val="21"/>
                <w:highlight w:val="none"/>
                <w:lang w:val="en-US" w:eastAsia="zh-CN"/>
              </w:rPr>
              <w:t xml:space="preserve">千兆光口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4个，接口</w:t>
            </w:r>
            <w:r>
              <w:rPr>
                <w:rFonts w:hint="eastAsia" w:ascii="宋体" w:hAnsi="宋体" w:eastAsia="宋体" w:cs="宋体"/>
                <w:color w:val="auto"/>
                <w:sz w:val="21"/>
                <w:szCs w:val="21"/>
                <w:highlight w:val="none"/>
              </w:rPr>
              <w:t xml:space="preserve">扩展插槽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w:t>
            </w:r>
            <w:r>
              <w:rPr>
                <w:rFonts w:hint="eastAsia" w:ascii="宋体" w:hAnsi="宋体" w:eastAsia="宋体" w:cs="宋体"/>
                <w:color w:val="auto"/>
                <w:sz w:val="21"/>
                <w:szCs w:val="21"/>
                <w:highlight w:val="none"/>
                <w:lang w:val="en-US" w:eastAsia="zh-CN"/>
              </w:rPr>
              <w:t xml:space="preserve">设备标配</w:t>
            </w:r>
            <w:r>
              <w:rPr>
                <w:rFonts w:hint="eastAsia" w:ascii="宋体" w:hAnsi="宋体" w:eastAsia="宋体" w:cs="宋体"/>
                <w:color w:val="auto"/>
                <w:sz w:val="21"/>
                <w:szCs w:val="21"/>
                <w:highlight w:val="none"/>
              </w:rPr>
              <w:t xml:space="preserve">存储容量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T</w:t>
            </w:r>
            <w:r/>
          </w:p>
        </w:tc>
      </w:tr>
      <w:tr>
        <w:trPr>
          <w:trHeight w:val="397"/>
        </w:trPr>
        <w:tc>
          <w:tcPr>
            <w:shd w:val="clear" w:color="auto" w:fill="auto"/>
            <w:tcW w:w="1506" w:type="dxa"/>
            <w:vAlign w:val="center"/>
            <w:textDirection w:val="lrTb"/>
            <w:noWrap w:val="false"/>
          </w:tcPr>
          <w:p>
            <w:pPr>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性能</w:t>
            </w:r>
            <w:r>
              <w:rPr>
                <w:rFonts w:hint="eastAsia" w:ascii="宋体" w:hAnsi="宋体" w:eastAsia="宋体" w:cs="宋体"/>
                <w:b w:val="0"/>
                <w:bCs w:val="0"/>
                <w:color w:val="auto"/>
                <w:sz w:val="21"/>
                <w:szCs w:val="21"/>
                <w:highlight w:val="none"/>
                <w:lang w:val="en-US" w:eastAsia="zh-CN"/>
              </w:rPr>
              <w:t xml:space="preserve">参数</w:t>
            </w:r>
            <w:r/>
          </w:p>
        </w:tc>
        <w:tc>
          <w:tcPr>
            <w:shd w:val="clear" w:color="auto" w:fill="auto"/>
            <w:tcW w:w="8361" w:type="dxa"/>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可审计流量</w:t>
            </w:r>
            <w:r>
              <w:rPr>
                <w:rFonts w:hint="eastAsia" w:ascii="宋体" w:hAnsi="宋体" w:eastAsia="宋体" w:cs="宋体"/>
                <w:color w:val="auto"/>
                <w:sz w:val="21"/>
                <w:szCs w:val="21"/>
                <w:highlight w:val="none"/>
                <w:lang w:val="en-US" w:eastAsia="zh-CN"/>
              </w:rPr>
              <w:t xml:space="preserve">不低于400</w:t>
            </w:r>
            <w:r>
              <w:rPr>
                <w:rFonts w:hint="eastAsia" w:ascii="宋体" w:hAnsi="宋体" w:eastAsia="宋体" w:cs="宋体"/>
                <w:color w:val="auto"/>
                <w:sz w:val="21"/>
                <w:szCs w:val="21"/>
                <w:highlight w:val="none"/>
              </w:rPr>
              <w:t xml:space="preserve">Mbps、日处理事</w:t>
            </w:r>
            <w:r>
              <w:rPr>
                <w:rFonts w:hint="eastAsia" w:ascii="宋体" w:hAnsi="宋体" w:eastAsia="宋体" w:cs="宋体"/>
                <w:color w:val="auto"/>
                <w:sz w:val="21"/>
                <w:szCs w:val="21"/>
                <w:highlight w:val="none"/>
                <w:lang w:val="en-US" w:eastAsia="zh-CN"/>
              </w:rPr>
              <w:t xml:space="preserve">件数不低于400000条/秒，</w:t>
            </w:r>
            <w:r>
              <w:rPr>
                <w:rFonts w:hint="eastAsia" w:ascii="宋体" w:hAnsi="宋体" w:eastAsia="宋体" w:cs="宋体"/>
                <w:color w:val="auto"/>
                <w:sz w:val="21"/>
                <w:szCs w:val="21"/>
                <w:highlight w:val="none"/>
              </w:rPr>
              <w:t xml:space="preserve">数据库实例个数≥13个</w:t>
            </w:r>
            <w:r/>
          </w:p>
        </w:tc>
      </w:tr>
      <w:tr>
        <w:trPr>
          <w:trHeight w:val="397"/>
        </w:trPr>
        <w:tc>
          <w:tcPr>
            <w:shd w:val="clear" w:color="auto" w:fill="auto"/>
            <w:tcW w:w="1506" w:type="dxa"/>
            <w:vAlign w:val="center"/>
            <w:vMerge w:val="restart"/>
            <w:textDirection w:val="lrTb"/>
            <w:noWrap w:val="false"/>
          </w:tcPr>
          <w:p>
            <w:pPr>
              <w:jc w:val="center"/>
              <w:spacing w:before="0" w:after="0"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部署和管理</w:t>
            </w:r>
            <w:r/>
          </w:p>
        </w:tc>
        <w:tc>
          <w:tcPr>
            <w:shd w:val="clear" w:color="auto" w:fill="auto"/>
            <w:tcW w:w="8361" w:type="dxa"/>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支持旁路部署方式，无须在被审计系统上安装软件，对原有网络不造成影响，审计产品的故障不影响被审计系统的正常运行</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shd w:val="clear" w:color="auto"/>
              </w:rPr>
              <w:t xml:space="preserve">支持对部署在虚拟化环境中的数据库进行审计，审计系统可虚拟化部署</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支持采用agent进行导流，解决云上流量或无法进行交换机镜像时的审计问题</w:t>
            </w:r>
            <w:r/>
          </w:p>
        </w:tc>
      </w:tr>
      <w:tr>
        <w:trPr>
          <w:trHeight w:val="397"/>
        </w:trPr>
        <w:tc>
          <w:tcPr>
            <w:shd w:val="clear" w:color="auto" w:fill="auto"/>
            <w:tcW w:w="150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数据库审计</w:t>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支持国产数据库人大金仓、达梦、南大通用、神通、高斯等数据库的审计</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▲支持对针对数据库的XSS攻击、SQL注入、漏洞攻击、口令攻击、缓冲区溢出等攻击行为进行审计。</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须提供</w:t>
            </w:r>
            <w:r>
              <w:rPr>
                <w:rFonts w:hint="eastAsia" w:ascii="宋体" w:hAnsi="宋体" w:eastAsia="宋体" w:cs="宋体"/>
                <w:b w:val="0"/>
                <w:bCs w:val="0"/>
                <w:color w:val="auto"/>
                <w:sz w:val="21"/>
                <w:szCs w:val="21"/>
                <w:highlight w:val="none"/>
                <w:shd w:val="clear" w:color="auto"/>
                <w:lang w:val="en-US" w:eastAsia="zh-CN" w:bidi="ar-SA"/>
                <w14:ligatures w14:val="standardContextual"/>
              </w:rPr>
              <w:t xml:space="preserve">产品功能截图</w:t>
            </w:r>
            <w:r>
              <w:rPr>
                <w:rFonts w:hint="eastAsia" w:ascii="宋体" w:hAnsi="宋体" w:eastAsia="宋体" w:cs="宋体"/>
                <w:color w:val="auto"/>
                <w:sz w:val="21"/>
                <w:szCs w:val="21"/>
                <w:highlight w:val="none"/>
                <w:shd w:val="clear" w:color="auto"/>
              </w:rPr>
              <w:t xml:space="preserve">并加盖投标人公章。</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color w:val="auto"/>
                <w:sz w:val="21"/>
                <w:szCs w:val="21"/>
                <w:highlight w:val="none"/>
              </w:rPr>
              <w:t xml:space="preserve">客户端驱动类型定位器、jdbc驱动环境协议解析器、行为特征关键字库、odbc驱动环境行为特征匹配及审计信息定位器、审计装置，解决传统审计产品中对于Oracle数据库操作行为的审计仅仅依赖协议解析带来的不准确性或仅仅依赖特征匹配带来的系统性能问题</w:t>
            </w:r>
            <w:r>
              <w:rPr>
                <w:rFonts w:hint="eastAsia" w:ascii="宋体" w:hAnsi="宋体" w:eastAsia="宋体" w:cs="宋体"/>
                <w:color w:val="auto"/>
                <w:sz w:val="21"/>
                <w:szCs w:val="21"/>
                <w:highlight w:val="none"/>
                <w:lang w:eastAsia="zh-CN"/>
              </w:rPr>
              <w:t xml:space="preserve">。</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支持数据库操作类、表、视图、索引、触发器、存储过程、游标、事物等各种对象的SQL操作审计。支持对超长SQL语句的审计，支持对数据库绑定变量方式访问的审计</w:t>
            </w:r>
            <w:r/>
          </w:p>
        </w:tc>
      </w:tr>
      <w:tr>
        <w:trPr>
          <w:trHeight w:val="397"/>
        </w:trPr>
        <w:tc>
          <w:tcPr>
            <w:tcW w:w="150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智能发现与敏感数据分类分级</w:t>
            </w:r>
            <w:r/>
          </w:p>
        </w:tc>
        <w:tc>
          <w:tcPr>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数据库审计支持用户环境中的数据库和资源账号、表名的自动发现，方便用户使用</w:t>
            </w:r>
            <w:r/>
          </w:p>
        </w:tc>
      </w:tr>
      <w:tr>
        <w:trPr>
          <w:trHeight w:val="397"/>
        </w:trPr>
        <w:tc>
          <w:tcPr>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支持对敏感信息敏感级别进行定义，各级别可对应不同风险值，方便对敏感数据泄露进行风险进行评估</w:t>
            </w:r>
            <w:r/>
          </w:p>
        </w:tc>
      </w:tr>
      <w:tr>
        <w:trPr>
          <w:trHeight w:val="397"/>
        </w:trPr>
        <w:tc>
          <w:tcPr>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敏感信息发现支持探测器和正则表达式两种方式，探测器至少包含：姓名、地名、银行卡、身份证、IP地址、密码等多种探测器</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审计策略支持</w:t>
            </w:r>
            <w:r/>
          </w:p>
        </w:tc>
        <w:tc>
          <w:tcPr>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数据库审计策略支持频次统计，某一操作在周期时间内达到设定的次数阀值后可以进行单独记录和展示，周期事件和次数可按需配置</w:t>
            </w:r>
            <w:r/>
          </w:p>
        </w:tc>
      </w:tr>
      <w:tr>
        <w:trPr>
          <w:trHeight w:val="397"/>
        </w:trPr>
        <w:tc>
          <w:tcPr>
            <w:shd w:val="clear" w:color="auto" w:fill="auto"/>
            <w:tcW w:w="150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日志查询</w:t>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▲支持敏感信息掩码，用户可以针对姓名</w:t>
            </w:r>
            <w:r>
              <w:rPr>
                <w:rFonts w:hint="eastAsia" w:ascii="宋体" w:hAnsi="宋体" w:eastAsia="宋体" w:cs="宋体"/>
                <w:color w:val="auto"/>
                <w:sz w:val="21"/>
                <w:szCs w:val="21"/>
                <w:highlight w:val="none"/>
                <w:lang w:val="en-US" w:eastAsia="zh-CN"/>
              </w:rPr>
              <w:t xml:space="preserve">/用户名</w:t>
            </w:r>
            <w:r>
              <w:rPr>
                <w:rFonts w:hint="eastAsia" w:ascii="宋体" w:hAnsi="宋体" w:eastAsia="宋体" w:cs="宋体"/>
                <w:color w:val="auto"/>
                <w:sz w:val="21"/>
                <w:szCs w:val="21"/>
                <w:highlight w:val="none"/>
              </w:rPr>
              <w:t xml:space="preserve">、身份证号、手机号、银行卡号、住址以及自定义信息进行敏感信息掩码配置，防止敏感信息在审计系统中进行泄露。</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须提供产</w:t>
            </w:r>
            <w:r>
              <w:rPr>
                <w:rFonts w:hint="eastAsia" w:ascii="宋体" w:hAnsi="宋体" w:eastAsia="宋体" w:cs="宋体"/>
                <w:b w:val="0"/>
                <w:bCs w:val="0"/>
                <w:color w:val="auto"/>
                <w:sz w:val="21"/>
                <w:szCs w:val="21"/>
                <w:highlight w:val="none"/>
                <w:lang w:val="en-US" w:eastAsia="zh-CN" w:bidi="ar-SA"/>
                <w14:ligatures w14:val="standardContextual"/>
              </w:rPr>
              <w:t xml:space="preserve">品功能截图</w:t>
            </w:r>
            <w:r>
              <w:rPr>
                <w:rFonts w:hint="eastAsia" w:ascii="宋体" w:hAnsi="宋体" w:eastAsia="宋体" w:cs="宋体"/>
                <w:color w:val="auto"/>
                <w:sz w:val="21"/>
                <w:szCs w:val="21"/>
                <w:highlight w:val="none"/>
              </w:rPr>
              <w:t xml:space="preserve">并加盖投标人公章。</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支持基于场景的操作异常分析；可直观展现数据库异常、异常账号的访问、同账号多IP登录、上下班操作量对比异常、操作响应时间分析、用户变更、弱口令检测</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支持疑似暴力破解、疑似撞库攻击、场景的操作异常分析；行为周期与阀值可按需定义</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可支持根据sql命令中的关键字进行查询，查询事件为sql命令中包含该关键字的所有符合条件的操作记录。</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设备管理</w:t>
            </w:r>
            <w:r/>
          </w:p>
        </w:tc>
        <w:tc>
          <w:tcPr>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系统支持一键自检功能，可以检查系统当前运行状态，检查内容包括：系统信息、进程信息、数据库信息、授权信息、用户信息等17项内容，协助管理员迅速定位系统异常，减少日常维护工作量</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售后服务</w:t>
            </w:r>
            <w:r/>
          </w:p>
        </w:tc>
        <w:tc>
          <w:tcPr>
            <w:tcW w:w="8361"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三年原厂软硬件质保。 </w:t>
            </w:r>
            <w:r/>
          </w:p>
        </w:tc>
      </w:tr>
    </w:tbl>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日志审计产品详细技术参数要求</w:t>
      </w:r>
      <w:r/>
    </w:p>
    <w:tbl>
      <w:tblPr>
        <w:tblStyle w:val="802"/>
        <w:tblW w:w="5018"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8098"/>
      </w:tblGrid>
      <w:tr>
        <w:trPr>
          <w:trHeight w:val="397"/>
        </w:trPr>
        <w:tc>
          <w:tcPr>
            <w:tcW w:w="905" w:type="pct"/>
            <w:vAlign w:val="center"/>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指标项</w:t>
            </w:r>
            <w:r/>
          </w:p>
        </w:tc>
        <w:tc>
          <w:tcPr>
            <w:tcW w:w="4094" w:type="pct"/>
            <w:vAlign w:val="center"/>
            <w:textDirection w:val="lrTb"/>
            <w:noWrap w:val="false"/>
          </w:tcPr>
          <w:p>
            <w:pPr>
              <w:pStyle w:val="1022"/>
              <w:jc w:val="center"/>
              <w:spacing w:line="24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技术规格及参数要求</w:t>
            </w:r>
            <w:r/>
          </w:p>
        </w:tc>
      </w:tr>
      <w:tr>
        <w:trPr>
          <w:trHeight w:val="397"/>
        </w:trPr>
        <w:tc>
          <w:tcPr>
            <w:tcW w:w="905" w:type="pct"/>
            <w:vAlign w:val="center"/>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rPr>
              <w:t xml:space="preserve">硬件</w:t>
            </w:r>
            <w:r>
              <w:rPr>
                <w:rFonts w:hint="eastAsia" w:ascii="宋体" w:hAnsi="宋体" w:eastAsia="宋体" w:cs="宋体"/>
                <w:b w:val="0"/>
                <w:bCs w:val="0"/>
                <w:color w:val="auto"/>
                <w:sz w:val="21"/>
                <w:szCs w:val="21"/>
                <w:highlight w:val="none"/>
                <w:lang w:val="en-US" w:eastAsia="zh-CN"/>
              </w:rPr>
              <w:t xml:space="preserve">参数</w:t>
            </w:r>
            <w:r/>
          </w:p>
        </w:tc>
        <w:tc>
          <w:tcPr>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国产化CPU，国产化操作系统</w:t>
            </w:r>
            <w:r>
              <w:rPr>
                <w:rFonts w:hint="eastAsia" w:ascii="宋体" w:hAnsi="宋体" w:eastAsia="宋体" w:cs="宋体"/>
                <w:bCs/>
                <w:color w:val="auto"/>
                <w:sz w:val="21"/>
                <w:szCs w:val="21"/>
                <w:highlight w:val="none"/>
              </w:rPr>
              <w:t xml:space="preserve">；双电源；设备配置≥6个千兆电口，≥4个千兆光口，≥2个接口扩展插槽，≥1个Console接口，≥2个USB接口，≥8TB企业级硬盘，≥16G内存，日志采集处理均值不小于8000EPS；此次提供≥260个审计对象授权。</w:t>
            </w:r>
            <w:r/>
          </w:p>
        </w:tc>
      </w:tr>
      <w:tr>
        <w:trPr>
          <w:trHeight w:val="397"/>
        </w:trPr>
        <w:tc>
          <w:tcPr>
            <w:shd w:val="clear" w:color="auto" w:fill="auto"/>
            <w:tcW w:w="905" w:type="pct"/>
            <w:vAlign w:val="center"/>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等保大屏</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bCs/>
                <w:color w:val="auto"/>
                <w:sz w:val="21"/>
                <w:szCs w:val="21"/>
                <w:highlight w:val="none"/>
              </w:rPr>
              <w:t xml:space="preserve">内置大屏展示。展示系统运行时间、日志总体概况（日志总数、日志存储占用空间等）、日志源状态TOP5、系统资源利用率（CPU、内存、资源）、最近24小时告警等级分布、最新24小时告警TOP等。</w:t>
            </w:r>
            <w:r/>
          </w:p>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val="en-US" w:eastAsia="zh-CN" w:bidi="ar-SA"/>
                <w14:ligatures w14:val="standardContextual"/>
              </w:rPr>
              <w:t xml:space="preserve">须提供产品功能截图</w:t>
            </w:r>
            <w:r>
              <w:rPr>
                <w:rFonts w:hint="eastAsia" w:ascii="宋体" w:hAnsi="宋体" w:eastAsia="宋体" w:cs="宋体"/>
                <w:color w:val="auto"/>
                <w:sz w:val="21"/>
                <w:szCs w:val="21"/>
                <w:highlight w:val="none"/>
              </w:rPr>
              <w:t xml:space="preserve">并加盖投标人公章。</w:t>
            </w:r>
            <w:r/>
          </w:p>
        </w:tc>
      </w:tr>
      <w:tr>
        <w:trPr>
          <w:trHeight w:val="397"/>
        </w:trPr>
        <w:tc>
          <w:tcPr>
            <w:tcW w:w="905" w:type="pct"/>
            <w:vAlign w:val="center"/>
            <w:vMerge w:val="restart"/>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日志采集</w:t>
            </w:r>
            <w:r/>
          </w:p>
        </w:tc>
        <w:tc>
          <w:tcPr>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支持通过Syslog/Syslog-ng、SNMP Trap、JDBC/ODBC、Agent日志代理(Windows/Linux)、WMI、文件/目录读取、FTP/SFTP、SMB、NetBIOS、Kafka、WebServices、OPSEC等多种方式完成各种日志的收集功能，支持页面文件导入采集。</w:t>
            </w:r>
            <w:r/>
          </w:p>
        </w:tc>
      </w:tr>
      <w:tr>
        <w:trPr>
          <w:trHeight w:val="397"/>
        </w:trPr>
        <w:tc>
          <w:tcPr>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为保证数据安全性，日志审计需要支持日志数据的双备份，满足数据的高可靠要求；同时需要支持日志自定义备份功能；日志远程备份方式，支持FTP、SFTP、SMB三种方式实现远程备份。</w:t>
            </w:r>
            <w:r/>
          </w:p>
        </w:tc>
      </w:tr>
      <w:tr>
        <w:trPr>
          <w:trHeight w:val="397"/>
        </w:trPr>
        <w:tc>
          <w:tcPr>
            <w:shd w:val="clear" w:color="auto" w:fill="auto"/>
            <w:tcW w:w="905" w:type="pct"/>
            <w:vAlign w:val="center"/>
            <w:vMerge w:val="restart"/>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日志范式化（归一化）</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支持日志范式化，实现对多元异构日志格式的进行统一描述和处理；</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支持为未解析日志提供一种简洁在线编辑解析文件视图，做到精准解析； </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支持自动识别收集的日志并自动选择范化策略，对不支持的事件类型提供扩展机制，采用自适应解析文件方式进行事件匹配；</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支持对日志设备类型、日志类型、日志级别等字段进行重定义；</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支持点击单条事件进行解析文件追溯，可在线编辑解析文件并更新启用满足个性化解析需求；</w:t>
            </w:r>
            <w:r/>
          </w:p>
        </w:tc>
      </w:tr>
      <w:tr>
        <w:trPr>
          <w:trHeight w:val="397"/>
        </w:trPr>
        <w:tc>
          <w:tcPr>
            <w:shd w:val="clear" w:color="auto" w:fill="auto"/>
            <w:tcW w:w="905" w:type="pct"/>
            <w:vAlign w:val="center"/>
            <w:vMerge w:val="restart"/>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日志查询</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支持基于日志查询任务模式的日志导出功能；</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支持交互式事件分析模式，支持历史查询记录浏览和快捷查询； </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查询过滤条件可以无限叠加，逐层筛选，任意回退，且支持将用户的查询条件保存为策略，供后期快速分析使用，支持策略的导入导出；</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为保证查询数据及时更新，查询页面需支持最近5分钟、15分钟、30分钟、1小时、6小时、12小时、1天、7天、30天快捷查询，支持不同间隔的刷新时间设定。</w:t>
            </w:r>
            <w:r/>
          </w:p>
        </w:tc>
      </w:tr>
      <w:tr>
        <w:trPr>
          <w:trHeight w:val="397"/>
        </w:trPr>
        <w:tc>
          <w:tcPr>
            <w:shd w:val="clear" w:color="auto" w:fill="auto"/>
            <w:tcW w:w="905" w:type="pct"/>
            <w:vAlign w:val="center"/>
            <w:vMerge w:val="restart"/>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日志统计分析</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支持日志源统计功能，可以综合展示采集日志总数、日志范式化成功率、24小时日志量、接入设备数量、日志接收速率等；</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支持按源地址、源端口、源名称、目的地址、目的端口、日志等级、日志类型、设备类型、日志分类等自定义条件进行历史查询；且任意字段均可为查询条件进行历史查询；支持查询结果导出；</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历史日志查询内置综合策略、设备分类、日志分类、系统日志、性能日志5个大类查询策略模版，内置不少于30个小类的细项查询策略。</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支持对事件依据其源目的IP和端口等各类字段信息进行深入的事件追踪调查；</w:t>
            </w:r>
            <w:r/>
          </w:p>
        </w:tc>
      </w:tr>
      <w:tr>
        <w:trPr>
          <w:trHeight w:val="397"/>
        </w:trPr>
        <w:tc>
          <w:tcPr>
            <w:shd w:val="clear" w:color="auto" w:fill="auto"/>
            <w:tcW w:w="905" w:type="pct"/>
            <w:vAlign w:val="center"/>
            <w:vMerge w:val="restart"/>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资产管理</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支持资产大类图形化展示，支持手动编辑、导入方式录入资产数据，支持资产标签设置，能够根据收到事件的设备地址自动识别新的资产并自动添加到资产库中；</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支持资产自动发现，支持对新发现的资产保存入预备资产库中，管理员可编辑预备库中的资产并添加至资产库。</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支持对资产Web访问和工具访问，访问工具支持ping、telnet和远程桌面等；Web访问支持SHA加密访问，请求方式支持post、get。</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支持资产检索，包括基于IP、类型、序列号、名称、联系人、资产标签等信息进行快速搜索；支持保存资产检索条件保存为常用查询条件；</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支持自定义添加资产厂商、资产属性。</w:t>
            </w:r>
            <w:r/>
          </w:p>
        </w:tc>
      </w:tr>
      <w:tr>
        <w:trPr>
          <w:trHeight w:val="397"/>
        </w:trPr>
        <w:tc>
          <w:tcPr>
            <w:shd w:val="clear" w:color="auto" w:fill="auto"/>
            <w:tcW w:w="905" w:type="pct"/>
            <w:vAlign w:val="center"/>
            <w:vMerge w:val="restart"/>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告警管理</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支持关联分析的结果进行告警重定义功能，能够对规则触发的告警时间和关联后事件的任意字段进行重定义，包括修订告警级别和告警类型等；</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支持告警合并规则，支持把同一时间内相同的告警合并成一条事件进行展示实现告警抑制；规则中的时间范围与合并数目支持手动配置；告警抑制规则支持实时启用和停用；</w:t>
            </w:r>
            <w:r/>
          </w:p>
        </w:tc>
      </w:tr>
      <w:tr>
        <w:trPr>
          <w:trHeight w:val="397"/>
        </w:trPr>
        <w:tc>
          <w:tcPr>
            <w:shd w:val="clear" w:color="auto" w:fill="auto"/>
            <w:tcW w:w="905" w:type="pct"/>
            <w:vAlign w:val="center"/>
            <w:vMerge w:val="continue"/>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standardContextual"/>
              </w:rPr>
              <w:t xml:space="preserve">▲</w:t>
            </w:r>
            <w:r>
              <w:rPr>
                <w:rFonts w:hint="eastAsia" w:ascii="宋体" w:hAnsi="宋体" w:eastAsia="宋体" w:cs="宋体"/>
                <w:color w:val="auto"/>
                <w:sz w:val="21"/>
                <w:szCs w:val="21"/>
                <w:highlight w:val="none"/>
              </w:rPr>
              <w:t xml:space="preserve">支持多种告警方式和告警动作，包括弹出提示框、播放警示音、发送邮件、发送SNMP Trap、发送短信、执行命令行脚本、设备联动、发送飞鸽传书、发送Syslog、发送微信消息、发送飞书消息、发送钉钉消息等。</w:t>
            </w:r>
            <w:r/>
          </w:p>
          <w:p>
            <w:pPr>
              <w:pStyle w:val="1022"/>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14:ligatures w14:val="standardContextual"/>
              </w:rPr>
              <w:t xml:space="preserve">须提供产品功能截图</w:t>
            </w:r>
            <w:r>
              <w:rPr>
                <w:rFonts w:hint="eastAsia" w:ascii="宋体" w:hAnsi="宋体" w:eastAsia="宋体" w:cs="宋体"/>
                <w:color w:val="auto"/>
                <w:sz w:val="21"/>
                <w:szCs w:val="21"/>
                <w:highlight w:val="none"/>
              </w:rPr>
              <w:t xml:space="preserve">并加盖投标人公章。</w:t>
            </w:r>
            <w:r/>
          </w:p>
        </w:tc>
      </w:tr>
      <w:tr>
        <w:trPr>
          <w:trHeight w:val="397"/>
        </w:trPr>
        <w:tc>
          <w:tcPr>
            <w:shd w:val="clear" w:color="auto" w:fill="auto"/>
            <w:tcW w:w="905" w:type="pct"/>
            <w:vAlign w:val="center"/>
            <w:textDirection w:val="lrTb"/>
            <w:noWrap w:val="false"/>
          </w:tcPr>
          <w:p>
            <w:pPr>
              <w:pStyle w:val="1022"/>
              <w:jc w:val="center"/>
              <w:keepLines w:val="0"/>
              <w:keepNext w:val="0"/>
              <w:pageBreakBefore w:val="0"/>
              <w:spacing w:line="240"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售后服务</w:t>
            </w:r>
            <w:r/>
          </w:p>
        </w:tc>
        <w:tc>
          <w:tcPr>
            <w:shd w:val="clear" w:color="auto" w:fill="auto"/>
            <w:tcW w:w="4094" w:type="pct"/>
            <w:vAlign w:val="center"/>
            <w:textDirection w:val="lrTb"/>
            <w:noWrap w:val="false"/>
          </w:tcPr>
          <w:p>
            <w:pPr>
              <w:pStyle w:val="1022"/>
              <w:jc w:val="left"/>
              <w:spacing w:line="240" w:lineRule="auto"/>
              <w:shd w:val="clear" w:color="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sz w:val="21"/>
                <w:szCs w:val="21"/>
                <w:highlight w:val="none"/>
              </w:rPr>
              <w:t xml:space="preserve">三年原厂软硬件质保。</w:t>
            </w:r>
            <w:r/>
          </w:p>
        </w:tc>
      </w:tr>
    </w:tbl>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网闸产品详细技术参数要求</w:t>
      </w:r>
      <w:r/>
    </w:p>
    <w:tbl>
      <w:tblPr>
        <w:tblStyle w:val="802"/>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8122"/>
      </w:tblGrid>
      <w:tr>
        <w:trPr>
          <w:trHeight w:val="397"/>
        </w:trPr>
        <w:tc>
          <w:tcPr>
            <w:tcW w:w="882"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4117" w:type="pct"/>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882" w:type="pct"/>
            <w:vAlign w:val="center"/>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硬件</w:t>
            </w:r>
            <w:r>
              <w:rPr>
                <w:rFonts w:hint="eastAsia" w:ascii="宋体" w:hAnsi="宋体" w:eastAsia="宋体" w:cs="宋体"/>
                <w:b w:val="0"/>
                <w:bCs w:val="0"/>
                <w:color w:val="auto"/>
                <w:sz w:val="21"/>
                <w:szCs w:val="21"/>
                <w:highlight w:val="none"/>
                <w:lang w:val="en-US" w:eastAsia="zh-CN"/>
              </w:rPr>
              <w:t xml:space="preserve">参数</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设备提供液晶面板实时显示设备工作状态及配置信息。</w:t>
            </w:r>
            <w:r>
              <w:rPr>
                <w:rFonts w:hint="eastAsia" w:ascii="宋体" w:hAnsi="宋体" w:eastAsia="宋体" w:cs="宋体"/>
                <w:color w:val="auto"/>
                <w:sz w:val="21"/>
                <w:szCs w:val="21"/>
                <w:highlight w:val="none"/>
                <w:lang w:val="en-US" w:eastAsia="zh-CN"/>
              </w:rPr>
              <w:t xml:space="preserve">采用国产化成熟CPU和国产化操作系统</w:t>
            </w:r>
            <w:r/>
          </w:p>
        </w:tc>
      </w:tr>
      <w:tr>
        <w:trPr>
          <w:trHeight w:val="397"/>
        </w:trPr>
        <w:tc>
          <w:tcPr>
            <w:shd w:val="clear" w:color="auto" w:fill="auto"/>
            <w:tcW w:w="882" w:type="pct"/>
            <w:vAlign w:val="center"/>
            <w:vMerge w:val="restart"/>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接口要求</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内网接口：</w:t>
            </w:r>
            <w:r>
              <w:rPr>
                <w:rFonts w:hint="eastAsia" w:ascii="宋体" w:hAnsi="宋体" w:eastAsia="宋体" w:cs="宋体"/>
                <w:color w:val="auto"/>
                <w:sz w:val="21"/>
                <w:szCs w:val="21"/>
                <w:highlight w:val="none"/>
                <w:lang w:val="en-US" w:eastAsia="zh-CN"/>
              </w:rPr>
              <w:t xml:space="preserve">设备标配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4个千兆电口，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1个管理口，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1个HA接口，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4个千兆SFP插槽，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2个扩展槽位</w:t>
            </w:r>
            <w:r/>
          </w:p>
        </w:tc>
      </w:tr>
      <w:tr>
        <w:trPr>
          <w:trHeight w:val="397"/>
        </w:trPr>
        <w:tc>
          <w:tcPr>
            <w:tcW w:w="882"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外网接口：</w:t>
            </w:r>
            <w:r>
              <w:rPr>
                <w:rFonts w:hint="eastAsia" w:ascii="宋体" w:hAnsi="宋体" w:eastAsia="宋体" w:cs="宋体"/>
                <w:color w:val="auto"/>
                <w:sz w:val="21"/>
                <w:szCs w:val="21"/>
                <w:highlight w:val="none"/>
                <w:lang w:val="en-US" w:eastAsia="zh-CN"/>
              </w:rPr>
              <w:t xml:space="preserve">设备标配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4个千兆电口，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1个管理口，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1个HA接口，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4个千兆SFP插槽，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2个扩展槽位</w:t>
            </w:r>
            <w:r/>
          </w:p>
        </w:tc>
      </w:tr>
      <w:tr>
        <w:trPr>
          <w:trHeight w:val="397"/>
        </w:trPr>
        <w:tc>
          <w:tcPr>
            <w:shd w:val="clear" w:color="auto" w:fill="auto"/>
            <w:tcW w:w="882" w:type="pct"/>
            <w:vAlign w:val="center"/>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系统架构</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采用“2+1”系统架构，即由两个主机系统和一个隔离交换专用硬件组成；隔离交换矩阵基于专用芯片实现，保证数据在搬移的时间内，内、外网隔离卡与内、外网系统为断开状态。</w:t>
            </w:r>
            <w:r/>
          </w:p>
        </w:tc>
      </w:tr>
      <w:tr>
        <w:trPr>
          <w:trHeight w:val="397"/>
        </w:trPr>
        <w:tc>
          <w:tcPr>
            <w:shd w:val="clear" w:color="auto" w:fill="auto"/>
            <w:tcW w:w="882" w:type="pct"/>
            <w:vAlign w:val="center"/>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系统要求</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外网主机</w:t>
            </w:r>
            <w:r>
              <w:rPr>
                <w:rFonts w:hint="eastAsia" w:ascii="宋体" w:hAnsi="宋体" w:eastAsia="宋体" w:cs="宋体"/>
                <w:color w:val="auto"/>
                <w:sz w:val="21"/>
                <w:szCs w:val="21"/>
                <w:highlight w:val="none"/>
                <w:lang w:val="en-US" w:eastAsia="zh-CN"/>
              </w:rPr>
              <w:t xml:space="preserve">分别具备三系统，即系统A、系统B和备份系统。支持</w:t>
            </w:r>
            <w:r>
              <w:rPr>
                <w:rFonts w:hint="eastAsia" w:ascii="宋体" w:hAnsi="宋体" w:eastAsia="宋体" w:cs="宋体"/>
                <w:color w:val="auto"/>
                <w:sz w:val="21"/>
                <w:szCs w:val="21"/>
                <w:highlight w:val="none"/>
              </w:rPr>
              <w:t xml:space="preserve">在WEB界面上配置</w:t>
            </w:r>
            <w:r>
              <w:rPr>
                <w:rFonts w:hint="eastAsia" w:ascii="宋体" w:hAnsi="宋体" w:eastAsia="宋体" w:cs="宋体"/>
                <w:color w:val="auto"/>
                <w:sz w:val="21"/>
                <w:szCs w:val="21"/>
                <w:highlight w:val="none"/>
                <w:lang w:val="en-US" w:eastAsia="zh-CN"/>
              </w:rPr>
              <w:t xml:space="preserve">默认启动系统</w:t>
            </w:r>
            <w:r>
              <w:rPr>
                <w:rFonts w:hint="eastAsia" w:ascii="宋体" w:hAnsi="宋体" w:eastAsia="宋体" w:cs="宋体"/>
                <w:color w:val="auto"/>
                <w:sz w:val="21"/>
                <w:szCs w:val="21"/>
                <w:highlight w:val="none"/>
              </w:rPr>
              <w:t xml:space="preserve">，在A系统发生故障时，可以切换到B系统；支持</w:t>
            </w:r>
            <w:r>
              <w:rPr>
                <w:rFonts w:hint="eastAsia" w:ascii="宋体" w:hAnsi="宋体" w:eastAsia="宋体" w:cs="宋体"/>
                <w:color w:val="auto"/>
                <w:sz w:val="21"/>
                <w:szCs w:val="21"/>
                <w:highlight w:val="none"/>
                <w:lang w:val="en-US" w:eastAsia="zh-CN"/>
              </w:rPr>
              <w:t xml:space="preserve">将当前运行</w:t>
            </w:r>
            <w:r>
              <w:rPr>
                <w:rFonts w:hint="eastAsia" w:ascii="宋体" w:hAnsi="宋体" w:eastAsia="宋体" w:cs="宋体"/>
                <w:color w:val="auto"/>
                <w:sz w:val="21"/>
                <w:szCs w:val="21"/>
                <w:highlight w:val="none"/>
              </w:rPr>
              <w:t xml:space="preserve">系统备份；</w:t>
            </w:r>
            <w:r/>
          </w:p>
          <w:p>
            <w:pPr>
              <w:ind w:firstLine="0"/>
              <w:jc w:val="left"/>
              <w:spacing w:before="0" w:after="0" w:line="240" w:lineRule="auto"/>
              <w:shd w:val="clear" w:color="auto"/>
              <w:rPr>
                <w:rFonts w:hint="eastAsia" w:ascii="宋体" w:hAnsi="宋体" w:eastAsia="宋体" w:cs="宋体"/>
                <w:b/>
                <w:bCs/>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bidi="ar-SA"/>
                <w14:ligatures w14:val="standardContextual"/>
              </w:rPr>
              <w:t xml:space="preserve">须提供产品功能截图</w:t>
            </w:r>
            <w:r>
              <w:rPr>
                <w:rFonts w:hint="eastAsia" w:ascii="宋体" w:hAnsi="宋体" w:eastAsia="宋体" w:cs="宋体"/>
                <w:color w:val="auto"/>
                <w:sz w:val="21"/>
                <w:szCs w:val="21"/>
                <w:highlight w:val="none"/>
              </w:rPr>
              <w:t xml:space="preserve">并加盖投标人公章。</w:t>
            </w:r>
            <w:r/>
          </w:p>
        </w:tc>
      </w:tr>
      <w:tr>
        <w:trPr>
          <w:trHeight w:val="397"/>
        </w:trPr>
        <w:tc>
          <w:tcPr>
            <w:shd w:val="clear" w:color="auto" w:fill="auto"/>
            <w:tcW w:w="882" w:type="pct"/>
            <w:vAlign w:val="center"/>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eastAsia="zh-CN"/>
              </w:rPr>
              <w:t xml:space="preserve">IPv6</w:t>
            </w:r>
            <w:r>
              <w:rPr>
                <w:rFonts w:hint="eastAsia" w:ascii="宋体" w:hAnsi="宋体" w:eastAsia="宋体" w:cs="宋体"/>
                <w:b w:val="0"/>
                <w:bCs w:val="0"/>
                <w:color w:val="auto"/>
                <w:sz w:val="21"/>
                <w:szCs w:val="21"/>
                <w:highlight w:val="none"/>
              </w:rPr>
              <w:t xml:space="preserve">环境支持</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支持纯</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网络环境，能够在纯</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网络环境下正常工作。</w:t>
            </w:r>
            <w:r/>
          </w:p>
        </w:tc>
      </w:tr>
      <w:tr>
        <w:trPr>
          <w:trHeight w:val="397"/>
        </w:trPr>
        <w:tc>
          <w:tcPr>
            <w:shd w:val="clear" w:color="auto" w:fill="auto"/>
            <w:tcW w:w="882" w:type="pct"/>
            <w:vAlign w:val="center"/>
            <w:vMerge w:val="restart"/>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rPr>
              <w:t xml:space="preserve">文件交换</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b/>
                <w:bCs/>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支持文件传输长度及MD5校验，并支持校验失败自动重传；</w:t>
            </w:r>
            <w:r/>
          </w:p>
        </w:tc>
      </w:tr>
      <w:tr>
        <w:trPr>
          <w:trHeight w:val="397"/>
        </w:trPr>
        <w:tc>
          <w:tcPr>
            <w:shd w:val="clear" w:color="auto" w:fill="auto"/>
            <w:tcW w:w="882"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支持断点续传；支持增量传输、发送后删除、改名传输等发送策略；</w:t>
            </w:r>
            <w:r/>
          </w:p>
        </w:tc>
      </w:tr>
      <w:tr>
        <w:trPr>
          <w:trHeight w:val="397"/>
        </w:trPr>
        <w:tc>
          <w:tcPr>
            <w:shd w:val="clear" w:color="auto" w:fill="auto"/>
            <w:tcW w:w="882" w:type="pct"/>
            <w:vAlign w:val="center"/>
            <w:vMerge w:val="continue"/>
            <w:textDirection w:val="lrTb"/>
            <w:noWrap w:val="false"/>
          </w:tcPr>
          <w:p>
            <w:pPr>
              <w:ind w:left="0" w:right="0"/>
              <w:jc w:val="center"/>
              <w:pageBreakBefore w:val="0"/>
              <w:spacing w:before="0" w:after="0" w:line="240" w:lineRule="auto"/>
              <w:shd w:val="clear" w:color="auto"/>
              <w:widowControl w:val="off"/>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bidi="ar-SA"/>
                <w14:ligatures w14:val="standardContextual"/>
              </w:rPr>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支持病毒检测；支持NFS、SMBFS、SAMBA等文件系统；文件服务器可以是Windows、Linux/Unix等系统平台；</w:t>
            </w:r>
            <w:r/>
          </w:p>
        </w:tc>
      </w:tr>
      <w:tr>
        <w:trPr>
          <w:trHeight w:val="397"/>
        </w:trPr>
        <w:tc>
          <w:tcPr>
            <w:shd w:val="clear" w:color="auto" w:fill="auto"/>
            <w:tcW w:w="882" w:type="pct"/>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支持文件格式特征过滤；并能提供具备图形化界面的文件类型判断工具以帮助用户识别不常见文件类型</w:t>
            </w:r>
            <w:r>
              <w:rPr>
                <w:rFonts w:hint="eastAsia" w:ascii="宋体" w:hAnsi="宋体" w:eastAsia="宋体" w:cs="宋体"/>
                <w:color w:val="auto"/>
                <w:sz w:val="21"/>
                <w:szCs w:val="21"/>
                <w:highlight w:val="none"/>
                <w:lang w:eastAsia="zh-CN"/>
              </w:rPr>
              <w:t xml:space="preserve">；</w:t>
            </w:r>
            <w:r/>
          </w:p>
        </w:tc>
      </w:tr>
      <w:tr>
        <w:trPr>
          <w:trHeight w:val="397"/>
        </w:trPr>
        <w:tc>
          <w:tcPr>
            <w:shd w:val="clear" w:color="auto" w:fill="auto"/>
            <w:tcW w:w="882" w:type="pct"/>
            <w:vAlign w:val="center"/>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rPr>
              <w:t xml:space="preserve">文件网盘</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支持对外开启WEB服务，供用户登录进行文件上传/下载操作</w:t>
            </w:r>
            <w:r/>
          </w:p>
        </w:tc>
      </w:tr>
      <w:tr>
        <w:trPr>
          <w:trHeight w:val="397"/>
        </w:trPr>
        <w:tc>
          <w:tcPr>
            <w:shd w:val="clear" w:color="auto" w:fill="auto"/>
            <w:tcW w:w="882" w:type="pct"/>
            <w:vAlign w:val="center"/>
            <w:vMerge w:val="restart"/>
            <w:textDirection w:val="lrTb"/>
            <w:noWrap w:val="false"/>
          </w:tcPr>
          <w:p>
            <w:pPr>
              <w:ind w:firstLine="0"/>
              <w:jc w:val="center"/>
              <w:spacing w:before="0" w:after="0" w:line="240" w:lineRule="auto"/>
              <w:shd w:val="clear" w:color="auto"/>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rPr>
              <w:t xml:space="preserve">安全功能</w:t>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能够抵御各种DoS/DDoS攻击，能够识别和防御SYN Flood、ICMP Flood等</w:t>
            </w:r>
            <w:r/>
          </w:p>
        </w:tc>
      </w:tr>
      <w:tr>
        <w:trPr>
          <w:trHeight w:val="397"/>
        </w:trPr>
        <w:tc>
          <w:tcPr>
            <w:shd w:val="clear" w:color="auto" w:fill="auto"/>
            <w:tcW w:w="882" w:type="pct"/>
            <w:vAlign w:val="center"/>
            <w:vMerge w:val="continue"/>
            <w:textDirection w:val="lrTb"/>
            <w:noWrap w:val="false"/>
          </w:tcPr>
          <w:p>
            <w:pPr>
              <w:ind w:right="0"/>
              <w:jc w:val="center"/>
              <w:pageBreakBefore w:val="0"/>
              <w:spacing w:before="0" w:after="0" w:line="240" w:lineRule="auto"/>
              <w:shd w:val="clear" w:color="auto"/>
              <w:widowControl w:val="off"/>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bidi="ar-SA"/>
                <w14:ligatures w14:val="standardContextual"/>
              </w:rPr>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rPr>
              <w:t xml:space="preserve">具备病毒检测功能</w:t>
            </w:r>
            <w:r/>
          </w:p>
        </w:tc>
      </w:tr>
      <w:tr>
        <w:trPr>
          <w:trHeight w:val="397"/>
        </w:trPr>
        <w:tc>
          <w:tcPr>
            <w:shd w:val="clear" w:color="auto" w:fill="auto"/>
            <w:tcW w:w="882" w:type="pct"/>
            <w:vAlign w:val="center"/>
            <w:vMerge w:val="continue"/>
            <w:textDirection w:val="lrTb"/>
            <w:noWrap w:val="false"/>
          </w:tcPr>
          <w:p>
            <w:pPr>
              <w:ind w:left="0" w:right="0"/>
              <w:jc w:val="center"/>
              <w:pageBreakBefore w:val="0"/>
              <w:spacing w:before="0" w:after="0" w:line="240" w:lineRule="auto"/>
              <w:shd w:val="clear" w:color="auto"/>
              <w:widowControl w:val="off"/>
              <w:rPr>
                <w:rFonts w:hint="eastAsia" w:ascii="宋体" w:hAnsi="宋体" w:eastAsia="宋体" w:cs="宋体"/>
                <w:b w:val="0"/>
                <w:bCs w:val="0"/>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bidi="ar-SA"/>
                <w14:ligatures w14:val="standardContextual"/>
              </w:rPr>
            </w:r>
            <w:r/>
          </w:p>
        </w:tc>
        <w:tc>
          <w:tcPr>
            <w:shd w:val="clear" w:color="auto" w:fill="auto"/>
            <w:tcW w:w="4117" w:type="pct"/>
            <w:vAlign w:val="center"/>
            <w:textDirection w:val="lrTb"/>
            <w:noWrap w:val="false"/>
          </w:tcPr>
          <w:p>
            <w:pPr>
              <w:ind w:firstLine="0"/>
              <w:jc w:val="left"/>
              <w:spacing w:before="0" w:after="0"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能够为授权管理员和授权管理员控制的安全功能数据设定敏感标记，可根据强制访问控制模型得出相应的规则</w:t>
            </w:r>
            <w:r/>
          </w:p>
          <w:p>
            <w:pPr>
              <w:numPr>
                <w:ilvl w:val="0"/>
                <w:numId w:val="0"/>
              </w:numPr>
              <w:jc w:val="left"/>
              <w:spacing w:line="240" w:lineRule="auto"/>
              <w:shd w:val="clear" w:color="auto"/>
              <w:widowControl/>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b w:val="0"/>
                <w:bCs w:val="0"/>
                <w:color w:val="auto"/>
                <w:sz w:val="21"/>
                <w:szCs w:val="21"/>
                <w:highlight w:val="none"/>
                <w:lang w:val="en-US" w:eastAsia="zh-CN" w:bidi="ar-SA"/>
                <w14:ligatures w14:val="standardContextual"/>
              </w:rPr>
              <w:t xml:space="preserve">须</w:t>
            </w:r>
            <w:r>
              <w:rPr>
                <w:rFonts w:hint="eastAsia" w:ascii="宋体" w:hAnsi="宋体" w:eastAsia="宋体" w:cs="宋体"/>
                <w:color w:val="auto"/>
                <w:sz w:val="21"/>
                <w:szCs w:val="21"/>
                <w:highlight w:val="none"/>
                <w:shd w:val="clear" w:color="auto"/>
                <w:lang w:val="en-US" w:eastAsia="zh-CN"/>
              </w:rPr>
              <w:t xml:space="preserve">提供国家认可的第三方检测机构出具的检验检测报告原件扫描件并加盖投标人公章。</w:t>
            </w:r>
            <w:r/>
          </w:p>
        </w:tc>
      </w:tr>
      <w:tr>
        <w:trPr>
          <w:trHeight w:val="397"/>
        </w:trPr>
        <w:tc>
          <w:tcPr>
            <w:tcW w:w="882" w:type="pct"/>
            <w:vAlign w:val="center"/>
            <w:textDirection w:val="lrTb"/>
            <w:noWrap w:val="false"/>
          </w:tcPr>
          <w:p>
            <w:pPr>
              <w:pStyle w:val="766"/>
              <w:ind w:firstLine="0"/>
              <w:jc w:val="cente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售后服务</w:t>
            </w:r>
            <w:r/>
          </w:p>
        </w:tc>
        <w:tc>
          <w:tcPr>
            <w:tcW w:w="4117" w:type="pct"/>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三年原厂软硬件质保。</w:t>
            </w:r>
            <w:r/>
          </w:p>
        </w:tc>
      </w:tr>
    </w:tbl>
    <w:p>
      <w:pPr>
        <w:pStyle w:val="766"/>
        <w:numPr>
          <w:ilvl w:val="0"/>
          <w:numId w:val="0"/>
        </w:numPr>
        <w:jc w:val="both"/>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堡垒机产品详细技术参数要求</w:t>
      </w:r>
      <w:r/>
    </w:p>
    <w:tbl>
      <w:tblPr>
        <w:tblStyle w:val="802"/>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8350"/>
      </w:tblGrid>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350"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硬件参数</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支持国产化CPU和国产操作系统，</w:t>
            </w:r>
            <w:r>
              <w:rPr>
                <w:rFonts w:hint="eastAsia" w:ascii="宋体" w:hAnsi="宋体" w:eastAsia="宋体" w:cs="宋体"/>
                <w:color w:val="auto"/>
                <w:sz w:val="21"/>
                <w:szCs w:val="21"/>
                <w:highlight w:val="none"/>
                <w:lang w:eastAsia="zh-CN"/>
              </w:rPr>
              <w:t xml:space="preserve">交流冗余电源，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10个千兆电口，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4个combo千兆光电复用口，2个接口扩展槽位，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2T机械硬盘。授权管理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200台设备</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性能参数</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支持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1000字符会话，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500路图形会话并发</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客户端</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堡垒机系统支持BS以及CS模式，支持免费专用客户端。支持在windows、麒麟、统信、MAC等操作系统下部署。支持在客户端上完成日常运维工作。</w:t>
            </w:r>
            <w:r/>
          </w:p>
        </w:tc>
      </w:tr>
      <w:tr>
        <w:trPr>
          <w:trHeight w:val="397"/>
        </w:trPr>
        <w:tc>
          <w:tcPr>
            <w:shd w:val="clear" w:color="auto" w:fill="auto"/>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用户角色自定义</w:t>
            </w:r>
            <w:r/>
          </w:p>
        </w:tc>
        <w:tc>
          <w:tcPr>
            <w:shd w:val="clear" w:color="auto" w:fill="auto"/>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堡垒机具有用户角色权限自定义功能，可对用户进行细粒度权限划分，可细分用户管理，用户角色管理，资产管理，密码管理、策略管理、审计管理，支持不同角色相互组合。</w:t>
            </w:r>
            <w:r/>
          </w:p>
        </w:tc>
      </w:tr>
      <w:tr>
        <w:trPr>
          <w:trHeight w:val="397"/>
        </w:trPr>
        <w:tc>
          <w:tcPr>
            <w:shd w:val="clear" w:color="auto" w:fill="auto"/>
            <w:tcW w:w="1506" w:type="dxa"/>
            <w:vAlign w:val="center"/>
            <w:vMerge w:val="restart"/>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多因子认证</w:t>
            </w:r>
            <w:r/>
          </w:p>
        </w:tc>
        <w:tc>
          <w:tcPr>
            <w:shd w:val="clear" w:color="auto" w:fill="auto"/>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▲支持静态密码身份认证，支持配置静态密码的有效期、最小长度要求、到期提醒、密码强度限制，弱密码字典。支持通过电子邮件、短信方式找回密码</w:t>
            </w:r>
            <w:r>
              <w:rPr>
                <w:rFonts w:hint="eastAsia" w:ascii="宋体" w:hAnsi="宋体" w:eastAsia="宋体" w:cs="宋体"/>
                <w:color w:val="auto"/>
                <w:sz w:val="21"/>
                <w:szCs w:val="21"/>
                <w:highlight w:val="none"/>
                <w:lang w:eastAsia="zh-CN"/>
              </w:rPr>
              <w:t xml:space="preserve">。</w:t>
            </w:r>
            <w:r/>
          </w:p>
          <w:p>
            <w:pPr>
              <w:pStyle w:val="766"/>
              <w:ind w:firstLine="0"/>
              <w:jc w:val="left"/>
              <w:spacing w:line="240" w:lineRule="auto"/>
              <w:shd w:val="clear" w:color="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须提供</w:t>
            </w:r>
            <w:r>
              <w:rPr>
                <w:rFonts w:hint="eastAsia" w:ascii="宋体" w:hAnsi="宋体" w:eastAsia="宋体" w:cs="宋体"/>
                <w:b w:val="0"/>
                <w:bCs w:val="0"/>
                <w:color w:val="auto"/>
                <w:sz w:val="21"/>
                <w:szCs w:val="21"/>
                <w:highlight w:val="none"/>
                <w:lang w:val="en-US" w:eastAsia="zh-CN" w:bidi="ar-SA"/>
                <w14:ligatures w14:val="standardContextual"/>
              </w:rPr>
              <w:t xml:space="preserve">产品功能截图</w:t>
            </w:r>
            <w:r>
              <w:rPr>
                <w:rFonts w:hint="eastAsia" w:ascii="宋体" w:hAnsi="宋体" w:eastAsia="宋体" w:cs="宋体"/>
                <w:color w:val="auto"/>
                <w:sz w:val="21"/>
                <w:szCs w:val="21"/>
                <w:highlight w:val="none"/>
              </w:rPr>
              <w:t xml:space="preserve">并加盖投标人公章。</w:t>
            </w:r>
            <w:r/>
          </w:p>
        </w:tc>
      </w:tr>
      <w:tr>
        <w:trPr>
          <w:trHeight w:val="397"/>
        </w:trPr>
        <w:tc>
          <w:tcPr>
            <w:shd w:val="clear" w:color="auto" w:fill="auto"/>
            <w:tcW w:w="1506" w:type="dxa"/>
            <w:vAlign w:val="center"/>
            <w:vMerge w:val="continue"/>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支持从</w:t>
            </w:r>
            <w:r>
              <w:rPr>
                <w:rFonts w:hint="eastAsia" w:ascii="宋体" w:hAnsi="宋体" w:eastAsia="宋体" w:cs="宋体"/>
                <w:color w:val="auto"/>
                <w:sz w:val="21"/>
                <w:szCs w:val="21"/>
                <w:highlight w:val="none"/>
                <w:lang w:val="en-US" w:eastAsia="zh-CN"/>
              </w:rPr>
              <w:t xml:space="preserve">LDAP</w:t>
            </w:r>
            <w:r>
              <w:rPr>
                <w:rFonts w:hint="eastAsia" w:ascii="宋体" w:hAnsi="宋体" w:eastAsia="宋体" w:cs="宋体"/>
                <w:color w:val="auto"/>
                <w:sz w:val="21"/>
                <w:szCs w:val="21"/>
                <w:highlight w:val="none"/>
                <w:lang w:eastAsia="zh-CN"/>
              </w:rPr>
              <w:t xml:space="preserve">、AD域、企业微信、钉钉等手动或自动同步账号。</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资产运维</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支持RDP、X11、VNC、SSH、TELNET、RLOGIN、SFTP、FTP、SAMBA协议的HTML5运维，无需本地运维客户端。支持通过H5文件运维的方式上传和下载文件。</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运维管控</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支持可通过参数配置开启或关闭字符、图形、文件、数据库等协议的审计范围，但不影响对应协议的基础会话审计。</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授权策略</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支持基于用户、用户组、组织机构、角色和用户属性的静态授权，通过不同授权模型满足运维管控要求。</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日志管理</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支持FTP、SFTP、NFS备份，支持手动备份和自动备份，支持备份指定的日志类型，以及备份后是否需要清除原文件，支持日志从FTP恢复和从文件恢复。</w:t>
            </w:r>
            <w:r/>
          </w:p>
        </w:tc>
      </w:tr>
      <w:tr>
        <w:trPr>
          <w:trHeight w:val="397"/>
        </w:trPr>
        <w:tc>
          <w:tcPr>
            <w:tcW w:w="150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none"/>
              </w:rPr>
              <w:t xml:space="preserve">售后服务</w:t>
            </w:r>
            <w:r/>
          </w:p>
        </w:tc>
        <w:tc>
          <w:tcPr>
            <w:tcW w:w="8350"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三年原厂软硬件质保。</w:t>
            </w:r>
            <w:r/>
          </w:p>
        </w:tc>
      </w:tr>
    </w:tbl>
    <w:p>
      <w:pPr>
        <w:pStyle w:val="766"/>
        <w:numPr>
          <w:ilvl w:val="0"/>
          <w:numId w:val="0"/>
        </w:numPr>
        <w:jc w:val="both"/>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10"/>
        </w:numPr>
        <w:ind w:left="0"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入侵防御产品详细技术参数要求</w:t>
      </w:r>
      <w:r/>
    </w:p>
    <w:tbl>
      <w:tblPr>
        <w:tblStyle w:val="802"/>
        <w:tblW w:w="98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8349"/>
      </w:tblGrid>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349"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硬件参数</w:t>
            </w:r>
            <w:r/>
          </w:p>
        </w:tc>
        <w:tc>
          <w:tcPr>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标准机架式硬件，</w:t>
            </w:r>
            <w:r>
              <w:rPr>
                <w:rFonts w:hint="eastAsia" w:ascii="宋体" w:hAnsi="宋体" w:eastAsia="宋体" w:cs="宋体"/>
                <w:color w:val="auto"/>
                <w:sz w:val="21"/>
                <w:szCs w:val="21"/>
                <w:highlight w:val="none"/>
                <w:lang w:val="en-US" w:eastAsia="zh-CN"/>
              </w:rPr>
              <w:t xml:space="preserve">支持国产化CPU和国产操作系统，</w:t>
            </w:r>
            <w:r>
              <w:rPr>
                <w:rFonts w:hint="eastAsia" w:ascii="宋体" w:hAnsi="宋体" w:eastAsia="宋体" w:cs="宋体"/>
                <w:color w:val="auto"/>
                <w:sz w:val="21"/>
                <w:szCs w:val="21"/>
                <w:highlight w:val="none"/>
                <w:lang w:eastAsia="zh-CN"/>
              </w:rPr>
              <w:t xml:space="preserve">交流双电，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2个扩展槽位，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2*USB接口，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1*RJ45串口，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2*千兆电口（1*管理，1*热备），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128G SSD，</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4T硬盘，</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6*电口（3组bypass），</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4*千兆光口。</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性能参数</w:t>
            </w:r>
            <w:r/>
          </w:p>
        </w:tc>
        <w:tc>
          <w:tcPr>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网络层吞吐量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25G,应用层吞吐量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20G,新建连接数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21W,最大并发连接数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400W。</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弱口令</w:t>
            </w:r>
            <w:r/>
          </w:p>
        </w:tc>
        <w:tc>
          <w:tcPr>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支持不少于七种弱口令配置，支持导入自定义弱口令字典。须支持强密码复杂度限制，如同时包含大小写字母、特殊字符、数字、不能包含用户名等组合方式限制；</w:t>
            </w:r>
            <w:r/>
          </w:p>
        </w:tc>
      </w:tr>
      <w:tr>
        <w:trPr>
          <w:trHeight w:val="397"/>
        </w:trPr>
        <w:tc>
          <w:tcPr>
            <w:shd w:val="clear" w:color="auto" w:fill="auto"/>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两高一弱</w:t>
            </w:r>
            <w:r/>
          </w:p>
        </w:tc>
        <w:tc>
          <w:tcPr>
            <w:shd w:val="clear" w:color="auto" w:fill="auto"/>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▲对高危漏洞、高危端口、弱口令进行有效识别，支持场景化配置与展示，支持关联高频高危漏洞、关联高危端口配置，支持关联漏洞动作自定义设置，支持开启高危端口访问拦截</w:t>
            </w:r>
            <w:r>
              <w:rPr>
                <w:rFonts w:hint="eastAsia" w:ascii="宋体" w:hAnsi="宋体" w:eastAsia="宋体" w:cs="宋体"/>
                <w:color w:val="auto"/>
                <w:sz w:val="21"/>
                <w:szCs w:val="21"/>
                <w:highlight w:val="none"/>
                <w:lang w:eastAsia="zh-CN"/>
              </w:rPr>
              <w:t xml:space="preserve">。</w:t>
            </w:r>
            <w:r/>
          </w:p>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14:ligatures w14:val="standardContextual"/>
              </w:rPr>
              <w:t xml:space="preserve">须提供产品功能截图</w:t>
            </w:r>
            <w:r>
              <w:rPr>
                <w:rFonts w:hint="eastAsia" w:ascii="宋体" w:hAnsi="宋体" w:eastAsia="宋体" w:cs="宋体"/>
                <w:color w:val="auto"/>
                <w:sz w:val="21"/>
                <w:szCs w:val="21"/>
                <w:highlight w:val="none"/>
              </w:rPr>
              <w:t xml:space="preserve">并加盖投标人公章。</w:t>
            </w:r>
            <w:r/>
          </w:p>
        </w:tc>
      </w:tr>
      <w:tr>
        <w:trPr>
          <w:trHeight w:val="397"/>
        </w:trPr>
        <w:tc>
          <w:tcPr>
            <w:shd w:val="clear" w:color="auto" w:fill="auto"/>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全局黑名单</w:t>
            </w:r>
            <w:r/>
          </w:p>
        </w:tc>
        <w:tc>
          <w:tcPr>
            <w:shd w:val="clear" w:color="auto" w:fill="auto"/>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系统支持手动添加和导入方式添加非法IP到黑名单的功能。</w:t>
            </w:r>
            <w:r/>
          </w:p>
        </w:tc>
      </w:tr>
      <w:tr>
        <w:trPr>
          <w:trHeight w:val="397"/>
        </w:trPr>
        <w:tc>
          <w:tcPr>
            <w:shd w:val="clear" w:color="auto" w:fill="auto"/>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一体化策略</w:t>
            </w:r>
            <w:r/>
          </w:p>
        </w:tc>
        <w:tc>
          <w:tcPr>
            <w:shd w:val="clear" w:color="auto" w:fill="auto"/>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系统可零配置上线，提供策略模板、规则模板，减少配置工作量，提高部署效率。</w:t>
            </w:r>
            <w:r/>
          </w:p>
        </w:tc>
      </w:tr>
      <w:tr>
        <w:trPr>
          <w:trHeight w:val="397"/>
        </w:trPr>
        <w:tc>
          <w:tcPr>
            <w:shd w:val="clear" w:color="auto" w:fill="auto"/>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t xml:space="preserve">综合日志查询</w:t>
            </w:r>
            <w:r/>
          </w:p>
        </w:tc>
        <w:tc>
          <w:tcPr>
            <w:shd w:val="clear" w:color="auto" w:fill="auto"/>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eastAsia="zh-CN"/>
              </w:rPr>
              <w:t xml:space="preserve">提供统一的跨类型安全日志综合查询功能，支持按时间范围、源/目的IP地址、源/目的端口、处置动作等条件自由组合检索，将分散的多类安全日志汇聚为单一视图集中展示，并支持从汇总结果下钻快速定位至原始详细日志，以便安全运维人员在一个界面内完成任意安全事件的追溯。</w:t>
            </w:r>
            <w:r/>
          </w:p>
        </w:tc>
      </w:tr>
      <w:tr>
        <w:trPr>
          <w:trHeight w:val="397"/>
        </w:trPr>
        <w:tc>
          <w:tcPr>
            <w:shd w:val="clear" w:color="auto" w:fill="auto"/>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账号管理</w:t>
            </w:r>
            <w:r/>
          </w:p>
        </w:tc>
        <w:tc>
          <w:tcPr>
            <w:shd w:val="clear" w:color="auto" w:fill="auto"/>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系统具备管理员、审计员不同角色权限，支持基于用户身份进行策略、日志及告警等权限配置。</w:t>
            </w:r>
            <w:r/>
          </w:p>
        </w:tc>
      </w:tr>
      <w:tr>
        <w:trPr>
          <w:trHeight w:val="397"/>
        </w:trPr>
        <w:tc>
          <w:tcPr>
            <w:shd w:val="clear" w:color="auto" w:fill="auto"/>
            <w:tcW w:w="1496"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系统状态监控</w:t>
            </w:r>
            <w:r/>
          </w:p>
        </w:tc>
        <w:tc>
          <w:tcPr>
            <w:shd w:val="clear" w:color="auto" w:fill="auto"/>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系统需提供基础信息，如证书版本、系统时间，提供状态信息，如工作模式、HA状态，提供资源信息，如存储状态，提供版本信息等等基本的系统状态信息；</w:t>
            </w:r>
            <w:r/>
          </w:p>
        </w:tc>
      </w:tr>
      <w:tr>
        <w:trPr>
          <w:trHeight w:val="397"/>
        </w:trPr>
        <w:tc>
          <w:tcPr>
            <w:tcW w:w="1496"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14:ligatures w14:val="none"/>
              </w:rPr>
              <w:t xml:space="preserve">售后服务</w:t>
            </w:r>
            <w:r/>
          </w:p>
        </w:tc>
        <w:tc>
          <w:tcPr>
            <w:tcW w:w="8349"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三年原厂软硬件质保。</w:t>
            </w:r>
            <w:r/>
          </w:p>
        </w:tc>
      </w:tr>
    </w:tbl>
    <w:p>
      <w:pPr>
        <w:pStyle w:val="766"/>
        <w:numPr>
          <w:ilvl w:val="0"/>
          <w:numId w:val="0"/>
        </w:numPr>
        <w:jc w:val="both"/>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应用中间件详细技术参数要求</w:t>
      </w:r>
      <w:r/>
    </w:p>
    <w:tbl>
      <w:tblPr>
        <w:tblStyle w:val="802"/>
        <w:tblW w:w="9948"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3"/>
        <w:gridCol w:w="8625"/>
      </w:tblGrid>
      <w:tr>
        <w:trPr>
          <w:trHeight w:val="397"/>
        </w:trPr>
        <w:tc>
          <w:tcPr>
            <w:tcW w:w="1323"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625" w:type="dxa"/>
            <w:vAlign w:val="center"/>
            <w:textDirection w:val="lrTb"/>
            <w:noWrap w:val="false"/>
          </w:tcPr>
          <w:p>
            <w:pPr>
              <w:pStyle w:val="766"/>
              <w:ind w:firstLine="0"/>
              <w:jc w:val="center"/>
              <w:spacing w:line="24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1323"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要求</w:t>
            </w:r>
            <w:r/>
          </w:p>
        </w:tc>
        <w:tc>
          <w:tcPr>
            <w:shd w:val="clear" w:color="auto" w:fill="auto"/>
            <w:tcW w:w="8625"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1、国产自主可控应用服务器中间件（A/B门户）</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2、支持容器化及云原生架构开发的应用和部署模式，支持基于微服务云架构的应用，具有动态弹性扩展和按需服务能力的应用服务器。</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3、支持最新的JavaEE规范标准;产品必须支持</w:t>
            </w:r>
            <w:r>
              <w:rPr>
                <w:rFonts w:hint="eastAsia" w:ascii="宋体" w:hAnsi="宋体" w:eastAsia="宋体" w:cs="宋体"/>
                <w:color w:val="auto"/>
                <w:sz w:val="21"/>
                <w:szCs w:val="21"/>
                <w:highlight w:val="none"/>
                <w:lang w:eastAsia="zh-CN"/>
              </w:rPr>
              <w:t xml:space="preserve">IPv6</w:t>
            </w:r>
            <w:r>
              <w:rPr>
                <w:rFonts w:hint="eastAsia" w:ascii="宋体" w:hAnsi="宋体" w:eastAsia="宋体" w:cs="宋体"/>
                <w:color w:val="auto"/>
                <w:sz w:val="21"/>
                <w:szCs w:val="21"/>
                <w:highlight w:val="none"/>
              </w:rPr>
              <w:t xml:space="preserve">；</w:t>
            </w:r>
            <w:r/>
          </w:p>
          <w:p>
            <w:pPr>
              <w:pStyle w:val="766"/>
              <w:ind w:firstLine="0"/>
              <w:jc w:val="left"/>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4、支持集群的集中管理，包括节点安装、负载集群的自动配置，资源管理等</w:t>
            </w:r>
            <w:r/>
          </w:p>
        </w:tc>
      </w:tr>
      <w:tr>
        <w:trPr>
          <w:trHeight w:val="397"/>
        </w:trPr>
        <w:tc>
          <w:tcPr>
            <w:shd w:val="clear" w:color="auto" w:fill="auto"/>
            <w:tcW w:w="1323" w:type="dxa"/>
            <w:vAlign w:val="center"/>
            <w:textDirection w:val="lrTb"/>
            <w:noWrap w:val="false"/>
          </w:tcPr>
          <w:p>
            <w:pPr>
              <w:pStyle w:val="766"/>
              <w:ind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shd w:val="clear" w:color="auto" w:fill="auto"/>
            <w:tcW w:w="8625" w:type="dxa"/>
            <w:vAlign w:val="center"/>
            <w:textDirection w:val="lrTb"/>
            <w:noWrap w:val="false"/>
          </w:tcPr>
          <w:p>
            <w:pPr>
              <w:pStyle w:val="766"/>
              <w:ind w:firstLine="0"/>
              <w:jc w:val="left"/>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年技术支持服务</w:t>
            </w:r>
            <w:r>
              <w:rPr>
                <w:rFonts w:hint="eastAsia" w:ascii="宋体" w:hAnsi="宋体" w:eastAsia="宋体" w:cs="宋体"/>
                <w:color w:val="auto"/>
                <w:sz w:val="21"/>
                <w:szCs w:val="21"/>
                <w:highlight w:val="none"/>
                <w:lang w:eastAsia="zh-CN"/>
              </w:rPr>
              <w:t xml:space="preserve">。</w:t>
            </w:r>
            <w:r/>
          </w:p>
        </w:tc>
      </w:tr>
    </w:tbl>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集群软件详细技术参数要求</w:t>
      </w:r>
      <w:r/>
    </w:p>
    <w:tbl>
      <w:tblPr>
        <w:tblStyle w:val="802"/>
        <w:tblW w:w="9948"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3"/>
        <w:gridCol w:w="8625"/>
      </w:tblGrid>
      <w:tr>
        <w:trPr>
          <w:trHeight w:val="397"/>
        </w:trPr>
        <w:tc>
          <w:tcPr>
            <w:tcW w:w="1323" w:type="dxa"/>
            <w:vAlign w:val="center"/>
            <w:textDirection w:val="lrTb"/>
            <w:noWrap w:val="false"/>
          </w:tcPr>
          <w:p>
            <w:pPr>
              <w:pStyle w:val="766"/>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指标项</w:t>
            </w:r>
            <w:r/>
          </w:p>
        </w:tc>
        <w:tc>
          <w:tcPr>
            <w:tcW w:w="8625" w:type="dxa"/>
            <w:vAlign w:val="center"/>
            <w:textDirection w:val="lrTb"/>
            <w:noWrap w:val="false"/>
          </w:tcPr>
          <w:p>
            <w:pPr>
              <w:pStyle w:val="766"/>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技术规格及参数要求</w:t>
            </w:r>
            <w:r/>
          </w:p>
        </w:tc>
      </w:tr>
      <w:tr>
        <w:trPr>
          <w:trHeight w:val="397"/>
        </w:trPr>
        <w:tc>
          <w:tcPr>
            <w:shd w:val="clear" w:color="auto" w:fill="auto"/>
            <w:tcW w:w="1323" w:type="dxa"/>
            <w:vAlign w:val="center"/>
            <w:textDirection w:val="lrTb"/>
            <w:noWrap w:val="false"/>
          </w:tcPr>
          <w:p>
            <w:pPr>
              <w:pStyle w:val="766"/>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硬件要求</w:t>
            </w:r>
            <w:r/>
          </w:p>
        </w:tc>
        <w:tc>
          <w:tcPr>
            <w:shd w:val="clear" w:color="auto" w:fill="auto"/>
            <w:tcW w:w="8625" w:type="dxa"/>
            <w:vAlign w:val="center"/>
            <w:textDirection w:val="lrTb"/>
            <w:noWrap w:val="false"/>
          </w:tcPr>
          <w:p>
            <w:pPr>
              <w:pStyle w:val="766"/>
              <w:ind w:firstLine="0"/>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1、国产自主可控数据库主备集群软件（HIS/EMR）；</w:t>
            </w:r>
            <w:r/>
          </w:p>
          <w:p>
            <w:pPr>
              <w:pStyle w:val="766"/>
              <w:ind w:firstLine="0"/>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2、数据复制与一致性：同步/异步复制、多级同步级别、同步备机范围、备库只读。</w:t>
            </w:r>
            <w:r/>
          </w:p>
          <w:p>
            <w:pPr>
              <w:pStyle w:val="766"/>
              <w:ind w:firstLine="0"/>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3、网络与高可用切换：独立复制/心跳通道、VIP 自动漂移、自动/手动切换。</w:t>
            </w:r>
            <w:r/>
          </w:p>
          <w:p>
            <w:pPr>
              <w:pStyle w:val="766"/>
              <w:ind w:firstLine="0"/>
              <w:jc w:val="lef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4、日志归档与备份恢复：日志级别、归档开关/目录/保留、物理备份与增量备份。</w:t>
            </w:r>
            <w:r/>
          </w:p>
        </w:tc>
      </w:tr>
      <w:tr>
        <w:trPr>
          <w:trHeight w:val="397"/>
        </w:trPr>
        <w:tc>
          <w:tcPr>
            <w:shd w:val="clear" w:color="auto" w:fill="auto"/>
            <w:tcW w:w="1323" w:type="dxa"/>
            <w:vAlign w:val="center"/>
            <w:textDirection w:val="lrTb"/>
            <w:noWrap w:val="false"/>
          </w:tcPr>
          <w:p>
            <w:pPr>
              <w:pStyle w:val="766"/>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shd w:val="clear" w:color="auto" w:fill="auto"/>
            <w:tcW w:w="8625" w:type="dxa"/>
            <w:vAlign w:val="center"/>
            <w:textDirection w:val="lrTb"/>
            <w:noWrap w:val="false"/>
          </w:tcPr>
          <w:p>
            <w:pPr>
              <w:pStyle w:val="766"/>
              <w:ind w:firstLine="0"/>
              <w:jc w:val="lef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年技术支持服务</w:t>
            </w:r>
            <w:r>
              <w:rPr>
                <w:rFonts w:hint="eastAsia" w:ascii="宋体" w:hAnsi="宋体" w:eastAsia="宋体" w:cs="宋体"/>
                <w:color w:val="auto"/>
                <w:sz w:val="21"/>
                <w:szCs w:val="21"/>
                <w:highlight w:val="none"/>
                <w:lang w:eastAsia="zh-CN"/>
              </w:rPr>
              <w:t xml:space="preserve">。</w:t>
            </w:r>
            <w:r/>
          </w:p>
        </w:tc>
      </w:tr>
    </w:tbl>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（四）实施服务要求</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1.完工期限：接到采购人通知后</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rPr>
        <w:t xml:space="preserve">日历天内完成全部货物到货、安装、调试、集成并交付使用。具体开始时间以采购人书面通知时间为准。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2.项目实施地点：苏州市吴江区第四人民医院，采购人指定地点。</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3.本项目采用国产化及信创产品，为保证项目交付及后期运营质量，投标人应针对本项目组建专职项目团队，团队人员配置应满足项目实施、数据迁移、网络安全、售后运维等需要，至少包括项目</w:t>
      </w:r>
      <w:r>
        <w:rPr>
          <w:rFonts w:hint="eastAsia" w:ascii="宋体" w:hAnsi="宋体" w:eastAsia="宋体" w:cs="宋体"/>
          <w:color w:val="auto"/>
          <w:sz w:val="21"/>
          <w:szCs w:val="21"/>
          <w:highlight w:val="none"/>
          <w:lang w:val="en-US" w:eastAsia="zh-CN"/>
        </w:rPr>
        <w:t xml:space="preserve">负责人</w:t>
      </w:r>
      <w:r>
        <w:rPr>
          <w:rFonts w:hint="eastAsia" w:ascii="宋体" w:hAnsi="宋体" w:eastAsia="宋体" w:cs="宋体"/>
          <w:color w:val="auto"/>
          <w:sz w:val="21"/>
          <w:szCs w:val="21"/>
          <w:highlight w:val="none"/>
        </w:rPr>
        <w:t xml:space="preserve">、技术负责人、网络安全负责人、实施工程师、售后服务人员等。项目人员应具有国产化及信创项目的规划、架构设计、系统集成、数据迁移和安全运维能力。</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（五）安装及调试要求</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1.中标人应遵守现场一切规章制度，文明施工，服从采购人及现场管理单位统一管理。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2.中标人负责设备及附配件进场后的保管、看护，直至安装调试完成并交付采购人。</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3.中标人负责对设备、安装工具等提供适当保护、包装或覆盖，直至验收合格，避免受损。</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4.中标人施工人员、施工机械或在运输装卸途中对其他工程、邻近设备、管线等造成损坏的，由中标人负责修复并承担全部费用。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5.无论调试期间或保修过程中，中标人均应及时清理垃圾。</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6.中标人应做好与安装、土建、装饰等施工队伍的配合工作。</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7.涉及医院信息系统停机、网络割接、设备上架、布线、用电等作业，中标人须提前提交实施方案和计划，经采购人审批后实施，不得影响医院正常诊疗秩序。</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8.中标人应遵守医院感染控制、信息安全、消防、用电等管理规定。</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（六）产品质量要求</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1.为保证系统设备稳定运行，投标产品应成熟稳定，符合国家、行业及本次招标技术要求。</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保留在中标后委托第三方对中标设备进行测试、检验及对项目实施后验收的权利。验收或使用过程中发现不能满足招标文件或投标文件响应性能指标的，经第三方验证属实，采购人有权要求中标人无条件退货，并依据合同追究相关责任。</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3.所有设备、附（配）件应具备该类产品功能要求，无瑕疵和缺陷，质量为合格产品。</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4.所投产品应为原厂全新正品，非翻新、非样机、非拆机件。</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5.涉及国产化要求的产品，投标人</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在投标文件中提供与国产化CPU、操作系统、数据库/中间件的兼容性证明或适配承诺。</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为深入贯彻落实国家关于全面推进医疗卫生强基工程的决策部署，加快构建优质的县域医疗卫生服务体系，推动紧密型县域医共体高质量发展，按照《关于推进紧密型县域医疗共同体建设三年行动计划》苏委办〔2024〕28号、《吴江区进一步深化紧密型县域医疗卫生共同体建设实施方案》等文件要求，项目设备应在信创技术路线、技术架构上与吴江区医共体建设保持高度一致。</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（七）验收要求</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1.投标设备由采购人会同有关部门进行验收。验收内容包括：</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货物供应：实际所供应货物品牌型号、技术规格、品质材质、数量等是否与合同记载一致，有无替换或变更情况。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技术性能：各项功能、性能指标是否达到国家标准或行业标准，符合合同约定的技术参数，需提供相关检测报告。</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档案资料：项目实施过程中文档材料是否齐全、完整，有无缺失、遗漏问题。主要包括设备到货清单、安装配置文档、测试报告、操作手册、维护手册等完整技术资料纸质和电子版各两套。</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2.设备到达采购人现场，应提前通知采购人，由采购人会同监理人员根据有关清单进行验收。</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.验收程序包括到货验收、终验。验收合格不免除中标人在质保期内的质量责任。</w:t>
      </w:r>
      <w:r/>
    </w:p>
    <w:p>
      <w:pPr>
        <w:pStyle w:val="765"/>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须制定专项数据迁移方案并经甲方确认，在约定迁移窗口期内完成存量数据平稳迁移</w:t>
      </w:r>
      <w:r>
        <w:rPr>
          <w:rFonts w:hint="eastAsia" w:ascii="宋体" w:hAnsi="宋体" w:cs="宋体"/>
          <w:color w:val="auto"/>
          <w:sz w:val="21"/>
          <w:szCs w:val="21"/>
          <w:highlight w:val="none"/>
          <w:lang w:val="en-US" w:eastAsia="zh-CN" w:bidi="ar-SA"/>
        </w:rPr>
        <w:t xml:space="preserve">。</w:t>
      </w:r>
      <w:r/>
    </w:p>
    <w:p>
      <w:pPr>
        <w:ind w:firstLine="422"/>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（八）售后服务和技术支持</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.质保期内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详见技术参数要求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，项目所有产品及其形成的系统出现质量问题（人为除外），中标人负责无条件更换或修复。</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.超出中标人责任范围的疏忽、误操作等情况导致的更换修正，应由中标人进行修理，其额外费用由双方协商承担。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质保期内提供免费维修、保养、非人为原因损坏更换服务。中标人接到采购人报障通知后，2小时以内响应，4小时以内到达现场，24小时内解决问题；一般故障24小时内修复；重大复杂故障48小时内修复或提供备机/备件，经采购人同意可适当延长，但须提供临时解决方案。无法维修或维修后仍无法正常使用的，必须更换全新产品。</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需提供现场技术培训，并给出详尽培训计划，确保采购人工程技术人员在经过培训后能掌握系统的安装、调试和维护。提供全套培训资料，培训应包括系统设计原理、系统设备维护、设计理论、相关软硬件使用和操作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.每次预防性维护后，中标人应针对设备隐患准备备件，并及时更换，提交维护报告。</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.中标人应严格遵守服务合约目标，在最短时间内恢复系统正常运行。</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.中标人应提供7×24小时服务热线，以良好服务态度和便利快捷方式解决采购人提出的维修要求。</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8.运营起第一个月内需提供人员驻场服务，保障新老系统平稳过渡。</w:t>
      </w:r>
      <w:r/>
    </w:p>
    <w:p>
      <w:pPr>
        <w:ind w:firstLine="422"/>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本项目执行的相关标准规范</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1.《数据中心设计规范》（GB 50174-2017）</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2.《计算机场地通用规范》（GB/T 2887-2011）</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3.《计算机场地安全要求》（GB/T 9361-2011）</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4.《信息安全技术 网络安全等级保护基本要求》（GB/T 22239-2019）</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5.《信息安全技术 网络安全等级保护安全设计技术要求》（GB/T 25070-2019）</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6.《信息技术服务 运行维护 第1部分：通用要求》（GB/T 28827.1-20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7.《信息技术服务 运行维护 第4部分：数据中心服务要求》（GB/T 28827.4-2019）</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8.《医疗卫生机构网络安全管理办法》（国卫规划发〔2022〕29号）</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9.《国家卫生信息化标准基础框架》</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10.《中国卫生信息标准基础数据集》</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11.《中国医院信息基本数据集标准》</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12.《卫生信息数据规范指南》</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13.《吴江区第四人民医院扩建工程批后公布》（建字第320509202300204号）</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14.《算力基础设施高质量发展行动计划》（工信部联通信〔2023〕180号） </w:t>
      </w:r>
      <w:r/>
    </w:p>
    <w:p>
      <w:pPr>
        <w:ind w:firstLine="420"/>
        <w:jc w:val="both"/>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15.以及遵循国家、行业及地方现行的规范和标准。</w:t>
      </w:r>
      <w:r/>
    </w:p>
    <w:p>
      <w:pPr>
        <w:ind w:firstLine="420"/>
        <w:jc w:val="both"/>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本项目执行的标准规范以招标文件载明者为准；若国家、行业、地方或有权主管部门发布新的标准、规范或其修订、替代版本，则以届时现行有效的最新版本为准。</w:t>
      </w:r>
      <w:r/>
    </w:p>
    <w:p>
      <w:pPr>
        <w:pStyle w:val="779"/>
        <w:ind w:left="0" w:firstLine="420"/>
        <w:pageBreakBefore w:val="0"/>
        <w:spacing w:line="360" w:lineRule="auto"/>
        <w:shd w:val="clear" w:color="auto"/>
        <w:widowControl w:val="off"/>
        <w:tabs>
          <w:tab w:val="left" w:pos="630" w:leader="none"/>
        </w:tabs>
        <w:rPr>
          <w:rFonts w:eastAsia="宋体" w:cs="宋体"/>
          <w:b/>
          <w:bCs w:val="0"/>
          <w:color w:val="auto"/>
          <w:sz w:val="21"/>
          <w:szCs w:val="21"/>
          <w:highlight w:val="none"/>
          <w:lang w:val="zh-CN"/>
        </w:rPr>
      </w:pPr>
      <w:r>
        <w:rPr>
          <w:rFonts w:hint="eastAsia" w:eastAsia="宋体" w:cs="宋体"/>
          <w:b/>
          <w:bCs w:val="0"/>
          <w:color w:val="auto"/>
          <w:sz w:val="21"/>
          <w:szCs w:val="21"/>
          <w:highlight w:val="none"/>
        </w:rPr>
        <w:t xml:space="preserve">六</w:t>
      </w:r>
      <w:r>
        <w:rPr>
          <w:rFonts w:hint="eastAsia" w:eastAsia="宋体" w:cs="宋体"/>
          <w:b/>
          <w:bCs w:val="0"/>
          <w:color w:val="auto"/>
          <w:sz w:val="21"/>
          <w:szCs w:val="21"/>
          <w:highlight w:val="none"/>
          <w:lang w:val="zh-CN"/>
        </w:rPr>
        <w:t xml:space="preserve">、</w:t>
      </w:r>
      <w:r>
        <w:rPr>
          <w:rFonts w:hint="eastAsia" w:eastAsia="宋体" w:cs="宋体"/>
          <w:b/>
          <w:bCs w:val="0"/>
          <w:color w:val="auto"/>
          <w:sz w:val="21"/>
          <w:szCs w:val="21"/>
          <w:highlight w:val="none"/>
        </w:rPr>
        <w:t xml:space="preserve">相关</w:t>
      </w:r>
      <w:r>
        <w:rPr>
          <w:rFonts w:hint="eastAsia" w:eastAsia="宋体" w:cs="宋体"/>
          <w:b/>
          <w:bCs w:val="0"/>
          <w:color w:val="auto"/>
          <w:sz w:val="21"/>
          <w:szCs w:val="21"/>
          <w:highlight w:val="none"/>
          <w:lang w:val="zh-CN"/>
        </w:rPr>
        <w:t xml:space="preserve">要求：</w:t>
      </w:r>
      <w:r/>
    </w:p>
    <w:p>
      <w:pPr>
        <w:ind w:left="0" w:firstLine="420"/>
        <w:jc w:val="left"/>
        <w:pageBreakBefore w:val="0"/>
        <w:spacing w:line="36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1.开标、评标、定标后采购单位将按照各中标单位的</w:t>
      </w:r>
      <w:r>
        <w:rPr>
          <w:rFonts w:hint="eastAsia" w:ascii="宋体" w:hAnsi="宋体"/>
          <w:color w:val="auto"/>
          <w:sz w:val="21"/>
          <w:szCs w:val="21"/>
          <w:highlight w:val="none"/>
          <w:lang w:eastAsia="zh-CN"/>
        </w:rPr>
        <w:t xml:space="preserve">投标</w:t>
      </w:r>
      <w:r>
        <w:rPr>
          <w:rFonts w:hint="eastAsia" w:ascii="宋体" w:hAnsi="宋体"/>
          <w:color w:val="auto"/>
          <w:sz w:val="21"/>
          <w:szCs w:val="21"/>
          <w:highlight w:val="none"/>
        </w:rPr>
        <w:t xml:space="preserve">文件内容进行实地核查，若核查内容与投标单位投标文件提供材料不符且不符合招标要求的，采购方有权拒绝与该中标单位签订合同。</w:t>
      </w:r>
      <w:r/>
    </w:p>
    <w:p>
      <w:pPr>
        <w:ind w:left="0" w:firstLine="420"/>
        <w:jc w:val="left"/>
        <w:pageBreakBefore w:val="0"/>
        <w:spacing w:line="36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2.投标供应商中标后提供的服务均应符合国家有关条例及规范要求，如出现问题供应商负责解决，发生的费用由供应商负责。</w:t>
      </w:r>
      <w:r/>
    </w:p>
    <w:p>
      <w:pPr>
        <w:ind w:left="0" w:firstLine="420"/>
        <w:jc w:val="left"/>
        <w:pageBreakBefore w:val="0"/>
        <w:spacing w:line="36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s="宋体"/>
          <w:color w:val="auto"/>
          <w:sz w:val="21"/>
          <w:szCs w:val="21"/>
          <w:highlight w:val="none"/>
        </w:rPr>
        <w:t xml:space="preserve">投标单位应保证采购单位免除且投标单位承担由于采购单位享受投标单位</w:t>
      </w:r>
      <w:r>
        <w:rPr>
          <w:rFonts w:hint="eastAsia" w:ascii="宋体" w:hAnsi="宋体"/>
          <w:color w:val="auto"/>
          <w:sz w:val="21"/>
          <w:szCs w:val="21"/>
          <w:highlight w:val="none"/>
        </w:rPr>
        <w:t xml:space="preserve">提供的服务</w:t>
      </w:r>
      <w:r>
        <w:rPr>
          <w:rFonts w:hint="eastAsia" w:ascii="宋体" w:hAnsi="宋体" w:cs="宋体"/>
          <w:color w:val="auto"/>
          <w:sz w:val="21"/>
          <w:szCs w:val="21"/>
          <w:highlight w:val="none"/>
        </w:rPr>
        <w:t xml:space="preserve">而引起第三方提出的侵犯专利权、商标权或设计权等的起诉、行动、行政程序索赔、请求等以及采购单位为此而产生的损失和损害、费用和支出（包括律师费）</w:t>
      </w:r>
      <w:r>
        <w:rPr>
          <w:rFonts w:hint="eastAsia" w:ascii="宋体" w:hAnsi="宋体"/>
          <w:color w:val="auto"/>
          <w:sz w:val="21"/>
          <w:szCs w:val="21"/>
          <w:highlight w:val="none"/>
        </w:rPr>
        <w:t xml:space="preserve">。</w:t>
      </w:r>
      <w:r/>
    </w:p>
    <w:p>
      <w:pPr>
        <w:ind w:left="0" w:firstLine="420"/>
        <w:jc w:val="left"/>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4.付款方式：</w:t>
      </w:r>
      <w:r>
        <w:rPr>
          <w:rFonts w:hint="eastAsia" w:ascii="宋体" w:hAnsi="宋体" w:cs="宋体"/>
          <w:color w:val="auto"/>
          <w:sz w:val="21"/>
          <w:szCs w:val="21"/>
          <w:highlight w:val="none"/>
          <w:lang w:val="en-US" w:eastAsia="zh-CN"/>
        </w:rPr>
        <w:t xml:space="preserve">按合同约定。</w:t>
      </w:r>
      <w:r/>
    </w:p>
    <w:p>
      <w:pPr>
        <w:ind w:left="0" w:firstLine="420"/>
        <w:jc w:val="left"/>
        <w:pageBreakBefore w:val="0"/>
        <w:spacing w:line="360" w:lineRule="auto"/>
        <w:shd w:val="clear" w:color="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七、综合说明：</w:t>
      </w:r>
      <w:r/>
    </w:p>
    <w:p>
      <w:pPr>
        <w:ind w:left="0" w:firstLine="420"/>
        <w:pageBreakBefore w:val="0"/>
        <w:spacing w:line="360" w:lineRule="auto"/>
        <w:shd w:val="clear" w:color="auto"/>
        <w:widowControl w:val="off"/>
        <w:tabs>
          <w:tab w:val="left" w:pos="108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1.投标人提供的服务能够至少达到以上招标要求，同时对每项要求做出明确应答并提供详细的服务方案，否则视为非实质响应招标文件。</w:t>
      </w:r>
      <w:r/>
    </w:p>
    <w:p>
      <w:pPr>
        <w:ind w:left="0" w:firstLine="420"/>
        <w:pageBreakBefore w:val="0"/>
        <w:spacing w:line="360" w:lineRule="auto"/>
        <w:shd w:val="clear" w:color="auto"/>
        <w:widowControl w:val="off"/>
        <w:tabs>
          <w:tab w:val="left" w:pos="108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2.投标人必须承诺招标文件中提出的全部服务要求，如果以其中某些条款不响应时，应在文件中逐条列出，未列出的视同响应。</w:t>
      </w:r>
      <w:r/>
    </w:p>
    <w:p>
      <w:pPr>
        <w:ind w:left="0" w:firstLine="420"/>
        <w:pageBreakBefore w:val="0"/>
        <w:spacing w:line="360" w:lineRule="auto"/>
        <w:shd w:val="clear" w:color="auto"/>
        <w:widowControl w:val="off"/>
        <w:tabs>
          <w:tab w:val="left" w:pos="108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3.供应商应对所投项目的全部内容进行报价，只投其中部分内容者或出现选择性报价的，其标书将被拒绝。投标总报价一次报定，</w:t>
      </w:r>
      <w:r>
        <w:rPr>
          <w:rFonts w:hint="eastAsia" w:ascii="宋体" w:hAnsi="宋体" w:eastAsia="宋体" w:cs="宋体"/>
          <w:color w:val="auto"/>
          <w:sz w:val="21"/>
          <w:szCs w:val="21"/>
          <w:highlight w:val="none"/>
          <w:lang w:val="zh-CN"/>
        </w:rPr>
        <w:t xml:space="preserve">包括全部货物、辅助材料、系统、人工、运输、</w:t>
      </w:r>
      <w:r>
        <w:rPr>
          <w:rFonts w:hint="eastAsia" w:ascii="宋体" w:hAnsi="宋体" w:cs="宋体"/>
          <w:color w:val="auto"/>
          <w:sz w:val="21"/>
          <w:szCs w:val="21"/>
          <w:highlight w:val="none"/>
          <w:lang w:val="en-US" w:eastAsia="zh-CN"/>
        </w:rPr>
        <w:t xml:space="preserve">安装、调试、集成、培训、</w:t>
      </w:r>
      <w:r>
        <w:rPr>
          <w:rFonts w:hint="eastAsia" w:ascii="宋体" w:hAnsi="宋体" w:eastAsia="宋体" w:cs="宋体"/>
          <w:color w:val="auto"/>
          <w:sz w:val="21"/>
          <w:szCs w:val="21"/>
          <w:highlight w:val="none"/>
          <w:lang w:val="zh-CN"/>
        </w:rPr>
        <w:t xml:space="preserve">仓储、保险、各种税费、劳保、专利技术、检测、验收费用</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采购代理服务费、</w:t>
      </w:r>
      <w:r>
        <w:rPr>
          <w:rFonts w:hint="eastAsia" w:ascii="宋体" w:hAnsi="宋体" w:cs="宋体"/>
          <w:color w:val="auto"/>
          <w:sz w:val="21"/>
          <w:szCs w:val="21"/>
          <w:highlight w:val="none"/>
          <w:lang w:eastAsia="zh-CN"/>
        </w:rPr>
        <w:t xml:space="preserve">政策性文件规定及合同包含的所有风险、责任等各项应有费用</w:t>
      </w:r>
      <w:r>
        <w:rPr>
          <w:rFonts w:hint="eastAsia" w:ascii="宋体" w:hAnsi="宋体" w:cs="宋体"/>
          <w:color w:val="auto"/>
          <w:szCs w:val="21"/>
          <w:highlight w:val="none"/>
        </w:rPr>
        <w:t xml:space="preserve">。</w:t>
      </w:r>
      <w:r>
        <w:rPr>
          <w:rFonts w:hint="eastAsia" w:ascii="宋体" w:hAnsi="宋体" w:cs="宋体"/>
          <w:bCs/>
          <w:color w:val="auto"/>
          <w:sz w:val="21"/>
          <w:szCs w:val="21"/>
          <w:highlight w:val="none"/>
        </w:rPr>
        <w:t xml:space="preserve">具体按照</w:t>
      </w:r>
      <w:r>
        <w:rPr>
          <w:rFonts w:hint="eastAsia" w:ascii="宋体" w:hAnsi="宋体" w:cs="宋体"/>
          <w:bCs/>
          <w:color w:val="auto"/>
          <w:sz w:val="21"/>
          <w:szCs w:val="21"/>
          <w:highlight w:val="none"/>
          <w:lang w:eastAsia="zh-CN"/>
        </w:rPr>
        <w:t xml:space="preserve">公开分项报价</w:t>
      </w:r>
      <w:r>
        <w:rPr>
          <w:rFonts w:hint="eastAsia" w:ascii="宋体" w:hAnsi="宋体" w:cs="宋体"/>
          <w:bCs/>
          <w:color w:val="auto"/>
          <w:sz w:val="21"/>
          <w:szCs w:val="21"/>
          <w:highlight w:val="none"/>
        </w:rPr>
        <w:t xml:space="preserve">的说明。</w:t>
      </w:r>
      <w:r/>
    </w:p>
    <w:p>
      <w:pPr>
        <w:ind w:left="0" w:firstLine="420"/>
        <w:jc w:val="left"/>
        <w:pageBreakBefore w:val="0"/>
        <w:spacing w:line="360" w:lineRule="auto"/>
        <w:shd w:val="clear" w:color="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rPr>
        <w:t xml:space="preserve">、政策执行（如涉及）</w:t>
      </w:r>
      <w:r/>
    </w:p>
    <w:p>
      <w:pPr>
        <w:ind w:left="0" w:firstLine="420"/>
        <w:jc w:val="left"/>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1、本次招标不接受进口产</w:t>
      </w:r>
      <w:r>
        <w:rPr>
          <w:rFonts w:hint="eastAsia" w:ascii="宋体" w:hAnsi="宋体" w:eastAsia="宋体" w:cs="宋体"/>
          <w:color w:val="auto"/>
          <w:sz w:val="21"/>
          <w:szCs w:val="21"/>
          <w:highlight w:val="none"/>
        </w:rPr>
        <w:t xml:space="preserve">品，进口产品的定义为：指通过中国海关报关验收进入中国境内且产自境外的产品，具体按照苏财购〔2008〕14号江苏省财政厅转发财政部办公厅关于政府采购进口产品管理有关问题的通知的规定。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2、中、小、微企业</w:t>
      </w:r>
      <w:r>
        <w:rPr>
          <w:rFonts w:hint="eastAsia" w:ascii="宋体" w:hAnsi="宋体" w:eastAsia="宋体" w:cs="宋体"/>
          <w:b/>
          <w:color w:val="auto"/>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1"/>
          <w:szCs w:val="21"/>
          <w:highlight w:val="none"/>
        </w:rPr>
        <w:t xml:space="preserve">服务类项目中供应商若使用退休人员，将不享受相关扶持政策。</w:t>
      </w:r>
      <w:r/>
    </w:p>
    <w:p>
      <w:pPr>
        <w:ind w:left="0" w:right="0" w:firstLine="422"/>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3、残疾人福利性单位</w:t>
      </w:r>
      <w:r>
        <w:rPr>
          <w:rFonts w:hint="eastAsia" w:ascii="宋体" w:hAnsi="宋体" w:eastAsia="宋体" w:cs="宋体"/>
          <w:b/>
          <w:color w:val="auto"/>
          <w:sz w:val="21"/>
          <w:szCs w:val="21"/>
          <w:highlight w:val="none"/>
        </w:rPr>
        <w:t xml:space="preserve">（若为专门面向中小企业采购的项目或者采购包，不再执行价格评审优惠的扶持政策）</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4、监狱企业</w:t>
      </w:r>
      <w:r>
        <w:rPr>
          <w:rFonts w:hint="eastAsia" w:ascii="宋体" w:hAnsi="宋体" w:eastAsia="宋体" w:cs="宋体"/>
          <w:b/>
          <w:color w:val="auto"/>
          <w:sz w:val="21"/>
          <w:szCs w:val="21"/>
          <w:highlight w:val="none"/>
        </w:rPr>
        <w:t xml:space="preserve">（若为专门面向中小企业采购的项目或者采购包，不再执行价格评审优惠的扶持政策）</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5、绿色采购</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6、对本国产品的支持政策</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1）根据《国务院办公厅关于在</w:t>
      </w:r>
      <w:r>
        <w:rPr>
          <w:rFonts w:hint="eastAsia" w:ascii="宋体" w:hAnsi="宋体" w:eastAsia="宋体" w:cs="宋体"/>
          <w:color w:val="auto"/>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360" w:lineRule="auto"/>
        <w:shd w:val="clear" w:color="auto"/>
        <w:tabs>
          <w:tab w:val="left" w:pos="56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4）供应商对其提供的产品出具《关于符合本国产品标准的声明函》（样式见第</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jc w:val="left"/>
        <w:pageBreakBefore w:val="0"/>
        <w:spacing w:line="360" w:lineRule="auto"/>
        <w:shd w:val="clear" w:color="auto"/>
        <w:widowControl w:val="off"/>
        <w:rPr>
          <w:rFonts w:ascii="宋体" w:hAnsi="宋体" w:cs="宋体"/>
          <w:color w:val="auto"/>
          <w:szCs w:val="21"/>
          <w:highlight w:val="none"/>
        </w:rPr>
      </w:pPr>
      <w:r>
        <w:rPr>
          <w:rFonts w:hint="eastAsia" w:ascii="宋体" w:hAnsi="宋体" w:cs="宋体"/>
          <w:b/>
          <w:bCs/>
          <w:color w:val="auto"/>
          <w:sz w:val="21"/>
          <w:szCs w:val="21"/>
          <w:highlight w:val="none"/>
          <w:lang w:val="en-US" w:eastAsia="zh-CN"/>
        </w:rPr>
        <w:t xml:space="preserve">九、凡涉及招标文件的补充说明和修改，均以采购代理机构在网上发布的内容为准。</w:t>
      </w:r>
      <w:r/>
    </w:p>
    <w:p>
      <w:pPr>
        <w:pStyle w:val="1029"/>
        <w:ind w:firstLine="420"/>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754"/>
        <w:jc w:val="center"/>
        <w:pageBreakBefore/>
        <w:spacing w:line="360" w:lineRule="auto"/>
        <w:shd w:val="clear" w:color="auto"/>
        <w:rPr>
          <w:rFonts w:ascii="宋体" w:hAnsi="宋体" w:eastAsia="宋体" w:cs="宋体"/>
          <w:color w:val="auto"/>
          <w:sz w:val="32"/>
          <w:szCs w:val="32"/>
          <w:highlight w:val="none"/>
          <w:lang w:val="zh-CN"/>
        </w:rPr>
      </w:pPr>
      <w:r/>
      <w:bookmarkStart w:id="9" w:name="_Toc230158464"/>
      <w:r/>
      <w:bookmarkEnd w:id="9"/>
      <w:r/>
      <w:bookmarkStart w:id="10" w:name="_Toc419388188"/>
      <w:r/>
      <w:bookmarkEnd w:id="10"/>
      <w:r/>
      <w:bookmarkStart w:id="11" w:name="_Toc288547515"/>
      <w:r/>
      <w:bookmarkEnd w:id="11"/>
      <w:r/>
      <w:bookmarkStart w:id="12" w:name="_Toc288547516"/>
      <w:r/>
      <w:bookmarkStart w:id="13" w:name="_Toc419388189"/>
      <w:r/>
      <w:bookmarkStart w:id="14" w:name="_Toc230158465"/>
      <w:r/>
      <w:bookmarkStart w:id="15" w:name="_Toc7115790"/>
      <w:r>
        <w:rPr>
          <w:rFonts w:hint="eastAsia" w:ascii="宋体" w:hAnsi="宋体" w:eastAsia="宋体" w:cs="宋体"/>
          <w:color w:val="auto"/>
          <w:sz w:val="32"/>
          <w:szCs w:val="32"/>
          <w:highlight w:val="none"/>
          <w:lang w:val="zh-CN"/>
        </w:rPr>
        <w:t xml:space="preserve">第三章 投标单位须知</w:t>
      </w:r>
      <w:r/>
    </w:p>
    <w:p>
      <w:pPr>
        <w:ind w:firstLine="422"/>
        <w:spacing w:line="400" w:lineRule="exact"/>
        <w:shd w:val="clear" w:color="auto"/>
        <w:rPr>
          <w:rFonts w:ascii="宋体" w:hAnsi="宋体" w:cs="宋体"/>
          <w:color w:val="auto"/>
          <w:szCs w:val="21"/>
          <w:highlight w:val="none"/>
        </w:rPr>
      </w:pPr>
      <w:r>
        <w:rPr>
          <w:rFonts w:hint="eastAsia" w:ascii="宋体" w:hAnsi="宋体" w:cs="宋体"/>
          <w:b/>
          <w:color w:val="auto"/>
          <w:szCs w:val="21"/>
          <w:highlight w:val="none"/>
        </w:rPr>
        <w:t xml:space="preserve">一、说明和释义</w:t>
      </w:r>
      <w:r/>
    </w:p>
    <w:p>
      <w:pPr>
        <w:ind w:firstLine="422"/>
        <w:spacing w:line="400" w:lineRule="exact"/>
        <w:shd w:val="clear" w:color="auto"/>
        <w:rPr>
          <w:rFonts w:ascii="宋体" w:hAnsi="宋体" w:cs="宋体"/>
          <w:color w:val="auto"/>
          <w:szCs w:val="21"/>
          <w:highlight w:val="none"/>
        </w:rPr>
      </w:pPr>
      <w:r>
        <w:rPr>
          <w:rFonts w:hint="eastAsia" w:ascii="宋体" w:hAnsi="宋体" w:cs="宋体"/>
          <w:b/>
          <w:color w:val="auto"/>
          <w:szCs w:val="21"/>
          <w:highlight w:val="none"/>
        </w:rPr>
        <w:t xml:space="preserve">1.说明</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1.1.本招标文件仅适用于</w:t>
      </w:r>
      <w:r>
        <w:rPr>
          <w:rFonts w:hint="eastAsia" w:ascii="宋体" w:hAnsi="宋体" w:cs="宋体"/>
          <w:color w:val="auto"/>
          <w:szCs w:val="21"/>
          <w:highlight w:val="none"/>
          <w:lang w:eastAsia="zh-CN"/>
        </w:rPr>
        <w:t xml:space="preserve">苏州永正造价师事务所有限公司</w:t>
      </w:r>
      <w:r>
        <w:rPr>
          <w:rFonts w:hint="eastAsia" w:ascii="宋体" w:hAnsi="宋体" w:cs="宋体"/>
          <w:color w:val="auto"/>
          <w:szCs w:val="21"/>
          <w:highlight w:val="none"/>
        </w:rPr>
        <w:t xml:space="preserve">组织的招标活动。</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1.2.本次招标活动及因本次招标产生的合同受中国法律制约和保护。</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1.3.本招标文件的解释权属于采购人或者采购代理机构。</w:t>
      </w:r>
      <w:r/>
    </w:p>
    <w:p>
      <w:pPr>
        <w:ind w:firstLine="422"/>
        <w:jc w:val="left"/>
        <w:spacing w:line="440" w:lineRule="exact"/>
        <w:shd w:val="clear" w:color="auto"/>
        <w:rPr>
          <w:rFonts w:ascii="宋体" w:hAnsi="宋体" w:cs="宋体"/>
          <w:b/>
          <w:color w:val="auto"/>
          <w:szCs w:val="21"/>
          <w:highlight w:val="none"/>
          <w:lang w:val="zh-CN"/>
        </w:rPr>
      </w:pPr>
      <w:r/>
      <w:bookmarkStart w:id="16" w:name="_Toc27555"/>
      <w:r>
        <w:rPr>
          <w:rFonts w:hint="eastAsia" w:ascii="宋体" w:hAnsi="宋体" w:cs="宋体"/>
          <w:b/>
          <w:color w:val="auto"/>
          <w:szCs w:val="21"/>
          <w:highlight w:val="none"/>
          <w:lang w:val="zh-CN"/>
        </w:rPr>
        <w:t xml:space="preserve">2.词语释义</w:t>
      </w:r>
      <w:bookmarkEnd w:id="16"/>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2.1采购人：指依法进行政府采购的国家机关、事业单位、团体组织。</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2.2采购代理机构：指依法接受采购人委托，从事货物、工程和服务等政府采购业务的采购代理机构。本项目的采购代理机构是</w:t>
      </w:r>
      <w:r>
        <w:rPr>
          <w:rFonts w:hint="eastAsia" w:ascii="宋体" w:hAnsi="宋体" w:cs="宋体"/>
          <w:color w:val="auto"/>
          <w:highlight w:val="none"/>
          <w:lang w:eastAsia="zh-CN"/>
        </w:rPr>
        <w:t xml:space="preserve">苏州永正造价师事务所有限公司</w:t>
      </w:r>
      <w:r>
        <w:rPr>
          <w:rFonts w:hint="eastAsia" w:ascii="宋体" w:hAnsi="宋体" w:cs="宋体"/>
          <w:color w:val="auto"/>
          <w:szCs w:val="21"/>
          <w:highlight w:val="none"/>
          <w:lang w:val="zh-CN"/>
        </w:rPr>
        <w:t xml:space="preserve">。</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2.3投标人（投标单位）：经认定有资格响应招标，参加投标竞争的法人、其他组织或自然人。</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2.4投标：投标人根据采购人或采购代理机构发布的招标文件，编制投标文件并按规定投标的行为。</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2.6甲方（采购人）：指招标文件中载明的，依法进行政府采购的国家机关、事业单位、团体组织。</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2.7乙方（供应商）：合同中规定的向采购人提供货物和服务的法人或其他组织和自然人。</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2.8天：日历日。</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2.9时间：除特别说明，均指北京时间。</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2.10知识产权:指专利权、商标权、著作权等无形财产专有权的统称。</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2.11交货地点:合同中明确约定的乙方提交的货物和服务最终到达地点。</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2.12合同价款:根据合同规定,乙方在正确地履行合同义务后甲方应支付乙方的价款。</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.13</w:t>
      </w:r>
      <w:r>
        <w:rPr>
          <w:rFonts w:hint="eastAsia" w:ascii="宋体" w:hAnsi="宋体" w:cs="宋体"/>
          <w:color w:val="auto"/>
          <w:szCs w:val="21"/>
          <w:highlight w:val="none"/>
        </w:rPr>
        <w:t xml:space="preserve">货物：系指乙方按招标采购文件规定，应向甲方提供的一切设备、备品、备件、工具、手册及其它有关技术资料和材料。</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14</w:t>
      </w:r>
      <w:r>
        <w:rPr>
          <w:rFonts w:hint="eastAsia" w:ascii="宋体" w:hAnsi="宋体" w:cs="宋体"/>
          <w:color w:val="auto"/>
          <w:szCs w:val="21"/>
          <w:highlight w:val="none"/>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15</w:t>
      </w:r>
      <w:r>
        <w:rPr>
          <w:rFonts w:hint="eastAsia" w:ascii="宋体" w:hAnsi="宋体" w:cs="宋体"/>
          <w:color w:val="auto"/>
          <w:szCs w:val="21"/>
          <w:highlight w:val="none"/>
          <w:lang w:val="zh-CN"/>
        </w:rPr>
        <w:t xml:space="preserve">不可抗力：不能预见、不能避免并且不能克服的客观情况。</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2.1</w:t>
      </w:r>
      <w:r>
        <w:rPr>
          <w:rFonts w:ascii="宋体" w:hAnsi="宋体" w:cs="宋体"/>
          <w:color w:val="auto"/>
          <w:szCs w:val="21"/>
          <w:highlight w:val="none"/>
        </w:rPr>
        <w:t xml:space="preserve">6</w:t>
      </w:r>
      <w:r>
        <w:rPr>
          <w:rFonts w:hint="eastAsia" w:ascii="宋体" w:hAnsi="宋体" w:cs="宋体"/>
          <w:color w:val="auto"/>
          <w:szCs w:val="21"/>
          <w:highlight w:val="none"/>
        </w:rPr>
        <w:t xml:space="preserve">实质性投标：满足有关本次采购标的、数量、质量、价款或者报酬、履行期限、履行地点和方式、违约责任和解决争议方法等要求。</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.17</w:t>
      </w:r>
      <w:r>
        <w:rPr>
          <w:rFonts w:hint="eastAsia" w:ascii="宋体" w:hAnsi="宋体" w:cs="宋体"/>
          <w:color w:val="auto"/>
          <w:highlight w:val="none"/>
        </w:rPr>
        <w:t xml:space="preserve">产地：货物开采、生长、生产、最终制造、加工或提供服务的来源地。</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2.1</w:t>
      </w:r>
      <w:r>
        <w:rPr>
          <w:rFonts w:ascii="宋体" w:hAnsi="宋体" w:cs="宋体"/>
          <w:color w:val="auto"/>
          <w:szCs w:val="21"/>
          <w:highlight w:val="none"/>
        </w:rPr>
        <w:t xml:space="preserve">8</w:t>
      </w:r>
      <w:r>
        <w:rPr>
          <w:rFonts w:hint="eastAsia" w:ascii="宋体" w:hAnsi="宋体" w:cs="宋体"/>
          <w:color w:val="auto"/>
          <w:szCs w:val="21"/>
          <w:highlight w:val="none"/>
        </w:rPr>
        <w:t xml:space="preserve">进口产品：指通过中国海关报关验放进入中国境内且产自境外的产品。</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书面形式：指书面文字、合同书、信件和传真等可以有形地表现所载内容的形式。</w:t>
      </w:r>
      <w:bookmarkStart w:id="17" w:name="_Toc14976"/>
      <w:r/>
      <w:bookmarkStart w:id="18" w:name="_Toc13350"/>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.20</w:t>
      </w:r>
      <w:r>
        <w:rPr>
          <w:rFonts w:hint="eastAsia" w:ascii="宋体" w:hAnsi="宋体" w:cs="宋体"/>
          <w:color w:val="auto"/>
          <w:szCs w:val="21"/>
          <w:highlight w:val="none"/>
          <w:lang w:val="zh-CN"/>
        </w:rPr>
        <w:t xml:space="preserve">中小微企业：小微企业提供中型企业制造或使用中型企业注册商标的货物的，视同为中型企业。小微企业提供大型企业制造或使用大型企业注册商标的货物的，视同为大型企业。</w:t>
      </w:r>
      <w:r/>
    </w:p>
    <w:p>
      <w:pPr>
        <w:ind w:firstLine="422"/>
        <w:jc w:val="left"/>
        <w:spacing w:line="400" w:lineRule="exact"/>
        <w:shd w:val="clear" w:color="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二、投标人</w:t>
      </w:r>
      <w:bookmarkEnd w:id="17"/>
      <w:r/>
      <w:bookmarkEnd w:id="18"/>
      <w:r/>
      <w:r/>
    </w:p>
    <w:p>
      <w:pPr>
        <w:ind w:firstLine="422"/>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3.合格投标人的资格条件：</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3.1满足《中华人民共和国政府采购法》第二十二条规定，投标人应当具备下列条件：</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（1）具有独立承担民事责任的能力；</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（2）具有良好的商业信誉和健全的财务会计制度；</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（3）具有履行合同所必需的设备和专业技术能力；</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（4）有依法缴纳税收和社会保障资金的良好记录；</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（5）参加政府采购活动前三年内，在经营活动中没有重大违法记录；</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（6）法律、行政法规规定的其他条件。</w:t>
      </w:r>
      <w:r/>
    </w:p>
    <w:p>
      <w:pPr>
        <w:ind w:firstLine="420"/>
        <w:spacing w:line="360" w:lineRule="auto"/>
        <w:shd w:val="clear" w:color="auto"/>
        <w:rPr>
          <w:rFonts w:ascii="宋体" w:hAnsi="宋体" w:cs="宋体"/>
          <w:color w:val="auto"/>
          <w:szCs w:val="21"/>
          <w:highlight w:val="none"/>
        </w:rPr>
      </w:pPr>
      <w:r>
        <w:rPr>
          <w:rFonts w:ascii="宋体" w:hAnsi="宋体" w:cs="宋体"/>
          <w:color w:val="auto"/>
          <w:szCs w:val="21"/>
          <w:highlight w:val="none"/>
        </w:rPr>
        <w:t xml:space="preserve">3.2</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本项目非专门面向中小企业，根据《政府采购促进中小企业发展管理办法》（财库〔2020〕46号）及《中小企业划型标准规定》（工信部联企业〔2011〕300号），本采购标的对应的中小企业划分标准所属行业为：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en-US" w:eastAsia="zh-CN"/>
        </w:rPr>
        <w:t xml:space="preserve">工业</w:t>
      </w:r>
      <w:r>
        <w:rPr>
          <w:rFonts w:hint="eastAsia" w:ascii="宋体" w:hAnsi="宋体" w:cs="宋体"/>
          <w:color w:val="auto"/>
          <w:szCs w:val="21"/>
          <w:highlight w:val="none"/>
          <w:lang w:val="zh-CN"/>
        </w:rPr>
        <w:t xml:space="preserve">。</w:t>
      </w:r>
      <w:r/>
    </w:p>
    <w:p>
      <w:pPr>
        <w:ind w:firstLine="420"/>
        <w:spacing w:line="400" w:lineRule="exact"/>
        <w:shd w:val="clear" w:color="auto"/>
        <w:rPr>
          <w:rFonts w:hint="eastAsia" w:ascii="宋体" w:hAnsi="宋体" w:eastAsia="宋体" w:cs="宋体"/>
          <w:color w:val="auto"/>
          <w:szCs w:val="21"/>
          <w:highlight w:val="none"/>
          <w:lang w:val="en-US" w:eastAsia="zh-CN"/>
        </w:rPr>
      </w:pPr>
      <w:r>
        <w:rPr>
          <w:rFonts w:ascii="宋体" w:hAnsi="宋体" w:cs="宋体"/>
          <w:color w:val="auto"/>
          <w:highlight w:val="none"/>
        </w:rPr>
        <w:t xml:space="preserve">3.</w:t>
      </w:r>
      <w:r>
        <w:rPr>
          <w:rFonts w:hint="eastAsia" w:ascii="宋体" w:hAnsi="宋体" w:cs="宋体"/>
          <w:color w:val="auto"/>
          <w:highlight w:val="none"/>
        </w:rPr>
        <w:t xml:space="preserve">本项目的特定资格要求：</w:t>
      </w:r>
      <w:r>
        <w:rPr>
          <w:rFonts w:hint="eastAsia" w:ascii="宋体" w:hAnsi="宋体" w:cs="宋体"/>
          <w:color w:val="auto"/>
          <w:highlight w:val="none"/>
          <w:lang w:val="en-US" w:eastAsia="zh-CN"/>
        </w:rPr>
        <w:t xml:space="preserve">无</w:t>
      </w:r>
      <w:r/>
    </w:p>
    <w:p>
      <w:pPr>
        <w:pStyle w:val="1053"/>
        <w:ind w:firstLine="420"/>
        <w:spacing w:line="400" w:lineRule="exact"/>
        <w:shd w:val="clear" w:color="auto"/>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4</w:t>
      </w:r>
      <w:r>
        <w:rPr>
          <w:rFonts w:hint="default" w:ascii="宋体" w:hAnsi="宋体" w:eastAsia="宋体" w:cs="宋体"/>
          <w:color w:val="auto"/>
          <w:sz w:val="21"/>
          <w:szCs w:val="24"/>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其他要求：</w:t>
      </w:r>
      <w:r/>
    </w:p>
    <w:p>
      <w:pPr>
        <w:ind w:firstLine="420"/>
        <w:spacing w:line="400" w:lineRule="exact"/>
        <w:shd w:val="clear" w:color="auto"/>
        <w:rPr>
          <w:rFonts w:ascii="宋体" w:hAnsi="宋体" w:cs="宋体"/>
          <w:color w:val="auto"/>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）未被“信用中国”网站（www.creditchina.gov.cn）列入失信被执行人、重大税收违法案件当事人名单、政府采购严重失信行为记录名单。</w:t>
      </w:r>
      <w:r/>
    </w:p>
    <w:p>
      <w:pPr>
        <w:ind w:firstLine="420"/>
        <w:jc w:val="left"/>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2"/>
        <w:jc w:val="left"/>
        <w:spacing w:line="400" w:lineRule="exact"/>
        <w:shd w:val="clear" w:color="auto"/>
        <w:widowControl/>
        <w:rPr>
          <w:rFonts w:ascii="宋体" w:hAnsi="宋体" w:cs="宋体"/>
          <w:b/>
          <w:color w:val="auto"/>
          <w:szCs w:val="21"/>
          <w:highlight w:val="none"/>
        </w:rPr>
      </w:pPr>
      <w:r>
        <w:rPr>
          <w:rFonts w:ascii="宋体" w:hAnsi="宋体" w:cs="宋体"/>
          <w:b/>
          <w:color w:val="auto"/>
          <w:szCs w:val="21"/>
          <w:highlight w:val="none"/>
        </w:rPr>
        <w:t xml:space="preserve">4.投标人代表</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4.1指授权全权代表投标人参加投标活动并签署投标文件的人，如果投标人代表不是法人代表，须持有《法定代表人授权委托书》（详见统一格式）。</w:t>
      </w:r>
      <w:r/>
    </w:p>
    <w:p>
      <w:pPr>
        <w:ind w:firstLine="422"/>
        <w:jc w:val="left"/>
        <w:spacing w:line="400" w:lineRule="exact"/>
        <w:shd w:val="clear" w:color="auto"/>
        <w:widowControl/>
        <w:rPr>
          <w:rFonts w:ascii="宋体" w:hAnsi="宋体" w:cs="宋体"/>
          <w:b/>
          <w:color w:val="auto"/>
          <w:szCs w:val="21"/>
          <w:highlight w:val="none"/>
        </w:rPr>
      </w:pPr>
      <w:r>
        <w:rPr>
          <w:rFonts w:ascii="宋体" w:hAnsi="宋体" w:cs="宋体"/>
          <w:b/>
          <w:color w:val="auto"/>
          <w:szCs w:val="21"/>
          <w:highlight w:val="none"/>
        </w:rPr>
        <w:t xml:space="preserve">5.投标费用</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5.1无论投标过程中的做法和结果如何，投标人自行承担所有与参加投标有关的全部费用。</w:t>
      </w:r>
      <w:r/>
    </w:p>
    <w:p>
      <w:pPr>
        <w:ind w:firstLine="422"/>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6.联合投标及转包、分包</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6.1本项目不接受联合体投标。</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6.2本项目不接受转包、分包。</w:t>
      </w:r>
      <w:bookmarkStart w:id="19" w:name="_Toc31958"/>
      <w:r/>
      <w:bookmarkStart w:id="20" w:name="_Toc5764"/>
      <w:r/>
      <w:r/>
    </w:p>
    <w:p>
      <w:pPr>
        <w:ind w:firstLine="422"/>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三、招标文件的说明</w:t>
      </w:r>
      <w:bookmarkEnd w:id="19"/>
      <w:r/>
      <w:bookmarkEnd w:id="20"/>
      <w:r/>
      <w:r/>
    </w:p>
    <w:p>
      <w:pPr>
        <w:ind w:firstLine="422"/>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7.招标文件</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8.招标文件的澄清和修改</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8.4招标文件的澄清、修改、补充等内容均以苏州市政府采购网上发布的内容为准。</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9.投标答疑</w:t>
      </w:r>
      <w:r/>
    </w:p>
    <w:p>
      <w:pPr>
        <w:ind w:firstLine="422"/>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9</w:t>
      </w:r>
      <w:r>
        <w:rPr>
          <w:rFonts w:ascii="宋体" w:hAnsi="宋体" w:cs="宋体"/>
          <w:color w:val="auto"/>
          <w:highlight w:val="none"/>
        </w:rPr>
        <w:t xml:space="preserve">.1</w:t>
      </w:r>
      <w:r>
        <w:rPr>
          <w:rFonts w:hint="eastAsia" w:ascii="宋体" w:hAnsi="宋体" w:cs="宋体"/>
          <w:color w:val="auto"/>
          <w:highlight w:val="none"/>
        </w:rPr>
        <w:t xml:space="preserve">投标人在获取招标文件后，若对招标文件有疑问，可与代理机构或采购单位联系。</w:t>
      </w:r>
      <w:r/>
    </w:p>
    <w:p>
      <w:pPr>
        <w:ind w:firstLine="422"/>
        <w:spacing w:line="400" w:lineRule="exact"/>
        <w:shd w:val="clear" w:color="auto"/>
        <w:rPr>
          <w:rFonts w:ascii="宋体" w:hAnsi="宋体" w:cs="宋体"/>
          <w:b/>
          <w:color w:val="auto"/>
          <w:szCs w:val="21"/>
          <w:highlight w:val="none"/>
        </w:rPr>
      </w:pPr>
      <w:r>
        <w:rPr>
          <w:rFonts w:hint="eastAsia" w:ascii="宋体" w:hAnsi="宋体" w:cs="宋体"/>
          <w:color w:val="auto"/>
          <w:highlight w:val="none"/>
        </w:rPr>
        <w:t xml:space="preserve">9</w:t>
      </w:r>
      <w:r>
        <w:rPr>
          <w:rFonts w:ascii="宋体" w:hAnsi="宋体" w:cs="宋体"/>
          <w:color w:val="auto"/>
          <w:highlight w:val="none"/>
        </w:rPr>
        <w:t xml:space="preserve">.2</w:t>
      </w:r>
      <w:r>
        <w:rPr>
          <w:rFonts w:hint="eastAsia" w:ascii="宋体" w:hAnsi="宋体" w:cs="宋体"/>
          <w:color w:val="auto"/>
          <w:highlight w:val="none"/>
        </w:rPr>
        <w:t xml:space="preserve">勘察现场：</w:t>
      </w:r>
      <w:r/>
    </w:p>
    <w:p>
      <w:pPr>
        <w:ind w:firstLine="420"/>
        <w:spacing w:line="400" w:lineRule="exact"/>
        <w:shd w:val="clear" w:color="auto"/>
        <w:rPr>
          <w:rFonts w:ascii="宋体" w:hAnsi="宋体" w:cs="宋体"/>
          <w:color w:val="auto"/>
          <w:szCs w:val="21"/>
          <w:highlight w:val="none"/>
        </w:rPr>
      </w:pPr>
      <w:r>
        <w:rPr>
          <w:rFonts w:ascii="宋体" w:hAnsi="宋体" w:cs="宋体"/>
          <w:color w:val="auto"/>
          <w:szCs w:val="21"/>
          <w:highlight w:val="none"/>
        </w:rPr>
        <w:t xml:space="preserve">9.2.1</w:t>
      </w:r>
      <w:r>
        <w:rPr>
          <w:rFonts w:hint="eastAsia" w:ascii="宋体" w:hAnsi="宋体" w:cs="宋体"/>
          <w:color w:val="auto"/>
          <w:szCs w:val="21"/>
          <w:highlight w:val="none"/>
        </w:rPr>
        <w:t xml:space="preserve">根据自身投标需要，投标人可对有关现场和周围环境进行勘察，以获取编制投标文件和签署合同所需的信息。勘察现场所发生的费用由投标人自己承担。</w:t>
      </w:r>
      <w:r/>
    </w:p>
    <w:p>
      <w:pPr>
        <w:ind w:firstLine="420"/>
        <w:spacing w:line="400" w:lineRule="exact"/>
        <w:shd w:val="clear" w:color="auto"/>
        <w:rPr>
          <w:rFonts w:ascii="宋体" w:hAnsi="宋体" w:cs="宋体"/>
          <w:color w:val="auto"/>
          <w:highlight w:val="none"/>
        </w:rPr>
      </w:pPr>
      <w:r>
        <w:rPr>
          <w:rFonts w:ascii="宋体" w:hAnsi="宋体" w:cs="宋体"/>
          <w:color w:val="auto"/>
          <w:szCs w:val="21"/>
          <w:highlight w:val="none"/>
        </w:rPr>
        <w:t xml:space="preserve">9.2.1</w:t>
      </w:r>
      <w:r>
        <w:rPr>
          <w:rFonts w:hint="eastAsia" w:ascii="宋体" w:hAnsi="宋体" w:cs="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shd w:val="clear" w:color="auto"/>
        <w:rPr>
          <w:rFonts w:ascii="宋体" w:hAnsi="宋体" w:cs="宋体"/>
          <w:color w:val="auto"/>
          <w:szCs w:val="21"/>
          <w:highlight w:val="none"/>
        </w:rPr>
      </w:pPr>
      <w:r>
        <w:rPr>
          <w:rFonts w:ascii="宋体" w:hAnsi="宋体" w:cs="宋体"/>
          <w:color w:val="auto"/>
          <w:szCs w:val="21"/>
          <w:highlight w:val="none"/>
        </w:rPr>
        <w:t xml:space="preserve">9.2.3</w:t>
      </w:r>
      <w:r>
        <w:rPr>
          <w:rFonts w:hint="eastAsia" w:ascii="宋体" w:hAnsi="宋体" w:cs="宋体"/>
          <w:color w:val="auto"/>
          <w:highlight w:val="none"/>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shd w:val="clear" w:color="auto"/>
        <w:rPr>
          <w:rFonts w:ascii="宋体" w:hAnsi="宋体" w:cs="宋体"/>
          <w:color w:val="auto"/>
          <w:szCs w:val="21"/>
          <w:highlight w:val="none"/>
        </w:rPr>
      </w:pPr>
      <w:r>
        <w:rPr>
          <w:rFonts w:ascii="宋体" w:hAnsi="宋体" w:cs="宋体"/>
          <w:color w:val="auto"/>
          <w:szCs w:val="21"/>
          <w:highlight w:val="none"/>
        </w:rPr>
        <w:t xml:space="preserve">9.2.4</w:t>
      </w:r>
      <w:r>
        <w:rPr>
          <w:rFonts w:hint="eastAsia" w:ascii="宋体" w:hAnsi="宋体" w:cs="宋体"/>
          <w:color w:val="auto"/>
          <w:szCs w:val="21"/>
          <w:highlight w:val="none"/>
        </w:rPr>
        <w:t xml:space="preserve">投标人应在现场勘察时，熟悉现场及周围交通道路等情况，以获得一切可能影响其投标的直接资料。投标人中标后，不得以不完全了解现场情况为理由而向</w:t>
      </w:r>
      <w:r>
        <w:rPr>
          <w:rFonts w:hint="eastAsia" w:ascii="宋体" w:hAnsi="宋体" w:cs="宋体"/>
          <w:color w:val="auto"/>
          <w:highlight w:val="none"/>
        </w:rPr>
        <w:t xml:space="preserve">招标采购单位</w:t>
      </w:r>
      <w:r>
        <w:rPr>
          <w:rFonts w:hint="eastAsia" w:ascii="宋体" w:hAnsi="宋体" w:cs="宋体"/>
          <w:color w:val="auto"/>
          <w:szCs w:val="21"/>
          <w:highlight w:val="none"/>
        </w:rPr>
        <w:t xml:space="preserve">提出任何索赔的要求，对此</w:t>
      </w:r>
      <w:r>
        <w:rPr>
          <w:rFonts w:hint="eastAsia" w:ascii="宋体" w:hAnsi="宋体" w:cs="宋体"/>
          <w:color w:val="auto"/>
          <w:highlight w:val="none"/>
        </w:rPr>
        <w:t xml:space="preserve">招标采购单位</w:t>
      </w:r>
      <w:r>
        <w:rPr>
          <w:rFonts w:hint="eastAsia" w:ascii="宋体" w:hAnsi="宋体" w:cs="宋体"/>
          <w:color w:val="auto"/>
          <w:szCs w:val="21"/>
          <w:highlight w:val="none"/>
        </w:rPr>
        <w:t xml:space="preserve">不承担任何责任并将不作任何答复与考虑。</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9</w:t>
      </w:r>
      <w:r>
        <w:rPr>
          <w:rFonts w:ascii="宋体" w:hAnsi="宋体" w:cs="宋体"/>
          <w:color w:val="auto"/>
          <w:szCs w:val="21"/>
          <w:highlight w:val="none"/>
        </w:rPr>
        <w:t xml:space="preserve">.3</w:t>
      </w:r>
      <w:r>
        <w:rPr>
          <w:rFonts w:hint="eastAsia" w:ascii="宋体" w:hAnsi="宋体" w:cs="宋体"/>
          <w:color w:val="auto"/>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10.投标质疑</w:t>
      </w:r>
      <w:r/>
    </w:p>
    <w:p>
      <w:pPr>
        <w:ind w:firstLine="420"/>
        <w:jc w:val="left"/>
        <w:spacing w:line="400" w:lineRule="exact"/>
        <w:shd w:val="clear" w:color="auto"/>
        <w:rPr>
          <w:rFonts w:ascii="宋体" w:hAnsi="宋体" w:cs="宋体"/>
          <w:color w:val="auto"/>
          <w:szCs w:val="21"/>
          <w:highlight w:val="none"/>
          <w:lang w:val="zh-CN"/>
        </w:rPr>
      </w:pPr>
      <w:r/>
      <w:bookmarkStart w:id="21" w:name="_Toc19463"/>
      <w:r/>
      <w:bookmarkStart w:id="22" w:name="_Toc16745"/>
      <w:r>
        <w:rPr>
          <w:rFonts w:hint="eastAsia" w:ascii="宋体" w:hAnsi="宋体" w:cs="宋体"/>
          <w:color w:val="auto"/>
          <w:szCs w:val="21"/>
          <w:highlight w:val="none"/>
          <w:lang w:val="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10.2本次招标文件要求供应商在法定质疑期内一次性提出针对同一采购程序环节的质疑，否则不予受理。</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10.3供应商提出质疑应当提交质疑函和必要的证明材料，质疑函应当包括下列内容：</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（1）供应商的姓名或者名称（以提供的营业执照副本复印件为准）、地址、邮编、联系人及联系电话；</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（2）质疑项目的名称、编号；</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（3）具体、明确的质疑事项和与质疑事项相关的请求；</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（4）事实依据；</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（5）必要的法律依据；</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（6）提出质疑的日期。</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Cs w:val="21"/>
          <w:highlight w:val="none"/>
          <w:lang w:val="zh-CN"/>
        </w:rPr>
        <w:t xml:space="preserve">授权委托书</w:t>
      </w:r>
      <w:r>
        <w:rPr>
          <w:rFonts w:hint="eastAsia" w:ascii="宋体" w:hAnsi="宋体" w:cs="宋体"/>
          <w:color w:val="auto"/>
          <w:szCs w:val="21"/>
          <w:highlight w:val="none"/>
          <w:lang w:val="zh-CN"/>
        </w:rPr>
        <w:t xml:space="preserve">上应当载明代理人的姓名或者名称、代理事项、具体权限、期限和相关事项。</w:t>
      </w:r>
      <w:r/>
    </w:p>
    <w:p>
      <w:pPr>
        <w:ind w:firstLine="420"/>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Cs w:val="21"/>
          <w:highlight w:val="none"/>
          <w:lang w:val="zh-CN"/>
        </w:rPr>
        <w:t xml:space="preserve">。</w:t>
      </w:r>
      <w:r/>
    </w:p>
    <w:p>
      <w:pPr>
        <w:ind w:firstLine="420"/>
        <w:jc w:val="left"/>
        <w:spacing w:line="400" w:lineRule="exact"/>
        <w:shd w:val="clear" w:color="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color w:val="auto"/>
          <w:szCs w:val="21"/>
          <w:highlight w:val="none"/>
          <w:lang w:val="zh-CN"/>
        </w:rPr>
        <w:t xml:space="preserve">《投标供应商确认函》</w:t>
      </w:r>
      <w:r>
        <w:rPr>
          <w:rFonts w:hint="eastAsia" w:ascii="宋体" w:hAnsi="宋体" w:cs="宋体"/>
          <w:color w:val="auto"/>
          <w:szCs w:val="21"/>
          <w:highlight w:val="none"/>
          <w:lang w:val="zh-CN"/>
        </w:rPr>
        <w:t xml:space="preserve">）与质疑函一起递交，否则不予受理。</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10.5接收质疑函的方式：书面形式（当场送达或邮寄方式）。</w:t>
      </w:r>
      <w:r/>
    </w:p>
    <w:p>
      <w:pPr>
        <w:ind w:firstLine="420"/>
        <w:jc w:val="left"/>
        <w:spacing w:line="400" w:lineRule="exact"/>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质疑联系人：</w:t>
      </w:r>
      <w:r>
        <w:rPr>
          <w:rFonts w:hint="eastAsia" w:ascii="宋体" w:hAnsi="宋体" w:cs="宋体"/>
          <w:color w:val="auto"/>
          <w:highlight w:val="none"/>
          <w:lang w:val="en-US" w:eastAsia="zh-CN"/>
        </w:rPr>
        <w:t xml:space="preserve">顾海州、雷美玉</w:t>
      </w:r>
      <w:r/>
    </w:p>
    <w:p>
      <w:pPr>
        <w:ind w:firstLine="420"/>
        <w:jc w:val="left"/>
        <w:spacing w:line="400" w:lineRule="exact"/>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联系电话：</w:t>
      </w:r>
      <w:r>
        <w:rPr>
          <w:rFonts w:ascii="宋体" w:hAnsi="宋体" w:cs="宋体"/>
          <w:color w:val="auto"/>
          <w:szCs w:val="21"/>
          <w:highlight w:val="none"/>
          <w:lang w:val="zh-CN"/>
        </w:rPr>
        <w:t xml:space="preserve">0512-</w:t>
      </w:r>
      <w:r>
        <w:rPr>
          <w:rFonts w:hint="eastAsia" w:ascii="宋体" w:hAnsi="宋体" w:cs="宋体"/>
          <w:color w:val="auto"/>
          <w:szCs w:val="21"/>
          <w:highlight w:val="none"/>
          <w:lang w:val="en-US" w:eastAsia="zh-CN"/>
        </w:rPr>
        <w:t xml:space="preserve">63346881</w:t>
      </w:r>
      <w:r/>
    </w:p>
    <w:p>
      <w:pPr>
        <w:ind w:firstLine="420"/>
        <w:jc w:val="left"/>
        <w:spacing w:line="400" w:lineRule="exact"/>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现场递交地址：</w:t>
      </w:r>
      <w:r>
        <w:rPr>
          <w:rFonts w:hint="eastAsia" w:ascii="宋体" w:hAnsi="宋体" w:cs="宋体"/>
          <w:color w:val="auto"/>
          <w:highlight w:val="none"/>
          <w:lang w:val="en-US" w:eastAsia="zh-CN"/>
        </w:rPr>
        <w:t xml:space="preserve">苏州市吴江区梅石路1133号5楼</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邮寄收取地址：</w:t>
      </w:r>
      <w:r>
        <w:rPr>
          <w:rFonts w:hint="eastAsia" w:ascii="宋体" w:hAnsi="宋体" w:cs="宋体"/>
          <w:color w:val="auto"/>
          <w:highlight w:val="none"/>
          <w:lang w:val="en-US" w:eastAsia="zh-CN"/>
        </w:rPr>
        <w:t xml:space="preserve">苏州市吴江区梅石路1133号5楼</w:t>
      </w:r>
      <w:r/>
    </w:p>
    <w:p>
      <w:pPr>
        <w:ind w:firstLine="422"/>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四、投标文件说明</w:t>
      </w:r>
      <w:bookmarkEnd w:id="21"/>
      <w:r/>
      <w:bookmarkEnd w:id="22"/>
      <w:r/>
      <w:r/>
    </w:p>
    <w:p>
      <w:pPr>
        <w:ind w:firstLine="422"/>
        <w:jc w:val="left"/>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11.提示与要求</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11.2无论是否递交投标文件，投标人都应将招标文件及以后的所有通知、文件等视为保密文件。</w:t>
      </w:r>
      <w:r/>
    </w:p>
    <w:p>
      <w:pPr>
        <w:ind w:firstLine="422"/>
        <w:jc w:val="left"/>
        <w:spacing w:line="400" w:lineRule="exact"/>
        <w:shd w:val="clear" w:color="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12.投标文件计量单位和使用文字</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12.1投标文件中所使用的计量单位，除招标文件中有特殊要求外，均应使用中华人民共和国法定计量单位。</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13.知识产权</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exact"/>
        <w:shd w:val="clear" w:color="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14.投标文件的组成</w:t>
      </w:r>
      <w:r/>
    </w:p>
    <w:p>
      <w:pPr>
        <w:ind w:firstLine="422"/>
        <w:spacing w:line="400" w:lineRule="exact"/>
        <w:shd w:val="clear" w:color="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14.1封面</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14.</w:t>
      </w:r>
      <w:r>
        <w:rPr>
          <w:rFonts w:ascii="宋体" w:hAnsi="宋体" w:cs="宋体"/>
          <w:b/>
          <w:color w:val="auto"/>
          <w:szCs w:val="21"/>
          <w:highlight w:val="none"/>
        </w:rPr>
        <w:t xml:space="preserve">2</w:t>
      </w:r>
      <w:r>
        <w:rPr>
          <w:rFonts w:hint="eastAsia" w:ascii="宋体" w:hAnsi="宋体" w:cs="宋体"/>
          <w:b/>
          <w:color w:val="auto"/>
          <w:szCs w:val="21"/>
          <w:highlight w:val="none"/>
        </w:rPr>
        <w:t xml:space="preserve">开标一览表</w:t>
      </w:r>
      <w:r>
        <w:rPr>
          <w:rFonts w:hint="eastAsia" w:ascii="宋体" w:hAnsi="宋体" w:cs="宋体"/>
          <w:bCs/>
          <w:color w:val="auto"/>
          <w:szCs w:val="21"/>
          <w:highlight w:val="none"/>
        </w:rPr>
        <w:t xml:space="preserve">（按“苏采云”系统内统一格式）</w:t>
      </w:r>
      <w:r/>
    </w:p>
    <w:p>
      <w:pPr>
        <w:ind w:firstLine="422"/>
        <w:spacing w:line="400" w:lineRule="exact"/>
        <w:shd w:val="clear" w:color="auto"/>
        <w:rPr>
          <w:rFonts w:ascii="宋体" w:hAnsi="宋体" w:cs="宋体"/>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4.3</w:t>
      </w:r>
      <w:r>
        <w:rPr>
          <w:rFonts w:hint="eastAsia" w:ascii="宋体" w:hAnsi="宋体" w:cs="宋体"/>
          <w:b/>
          <w:color w:val="auto"/>
          <w:szCs w:val="21"/>
          <w:highlight w:val="none"/>
        </w:rPr>
        <w:t xml:space="preserve">投标报价分析表</w:t>
      </w:r>
      <w:r>
        <w:rPr>
          <w:rFonts w:hint="eastAsia" w:ascii="宋体" w:hAnsi="宋体" w:cs="宋体"/>
          <w:bCs/>
          <w:color w:val="auto"/>
          <w:szCs w:val="21"/>
          <w:highlight w:val="none"/>
        </w:rPr>
        <w:t xml:space="preserve">（格式见第</w:t>
      </w:r>
      <w:r>
        <w:rPr>
          <w:rFonts w:hint="eastAsia" w:ascii="宋体" w:hAnsi="宋体" w:cs="宋体"/>
          <w:bCs/>
          <w:color w:val="auto"/>
          <w:szCs w:val="21"/>
          <w:highlight w:val="none"/>
          <w:lang w:val="en-US" w:eastAsia="zh-CN"/>
        </w:rPr>
        <w:t xml:space="preserve">四</w:t>
      </w:r>
      <w:r>
        <w:rPr>
          <w:rFonts w:hint="eastAsia" w:ascii="宋体" w:hAnsi="宋体" w:cs="宋体"/>
          <w:bCs/>
          <w:color w:val="auto"/>
          <w:szCs w:val="21"/>
          <w:highlight w:val="none"/>
        </w:rPr>
        <w:t xml:space="preserve">章）</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14.</w:t>
      </w:r>
      <w:r>
        <w:rPr>
          <w:rFonts w:ascii="宋体" w:hAnsi="宋体" w:cs="宋体"/>
          <w:b/>
          <w:color w:val="auto"/>
          <w:szCs w:val="21"/>
          <w:highlight w:val="none"/>
        </w:rPr>
        <w:t xml:space="preserve">4</w:t>
      </w:r>
      <w:r>
        <w:rPr>
          <w:rFonts w:hint="eastAsia" w:ascii="宋体" w:hAnsi="宋体" w:cs="宋体"/>
          <w:b/>
          <w:color w:val="auto"/>
          <w:szCs w:val="21"/>
          <w:highlight w:val="none"/>
        </w:rPr>
        <w:t xml:space="preserve">资格审查文件</w:t>
      </w:r>
      <w:r/>
    </w:p>
    <w:p>
      <w:pPr>
        <w:ind w:firstLine="420"/>
        <w:jc w:val="left"/>
        <w:spacing w:line="400" w:lineRule="exact"/>
        <w:shd w:val="clear" w:color="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4.1</w:t>
      </w:r>
      <w:r>
        <w:rPr>
          <w:rFonts w:hint="eastAsia" w:ascii="宋体" w:hAnsi="宋体" w:cs="宋体"/>
          <w:color w:val="auto"/>
          <w:szCs w:val="21"/>
          <w:highlight w:val="none"/>
          <w:lang w:val="zh-CN"/>
        </w:rPr>
        <w:t xml:space="preserve">合格投标人资格证明材料：</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（1）具有独立承担民事责任的能力证明</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（提供</w:t>
      </w:r>
      <w:r>
        <w:rPr>
          <w:rFonts w:ascii="宋体" w:hAnsi="宋体" w:cs="宋体"/>
          <w:b/>
          <w:bCs/>
          <w:color w:val="auto"/>
          <w:szCs w:val="21"/>
          <w:highlight w:val="none"/>
        </w:rPr>
        <w:t xml:space="preserve">包括法人或者其他组织的营业执照等证明文件，自然人的身份证明</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w:t>
      </w:r>
      <w:r/>
    </w:p>
    <w:p>
      <w:pPr>
        <w:ind w:firstLine="420"/>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（2）具有良好的商业信誉和健全的财务会计制度证明</w:t>
      </w:r>
      <w:r>
        <w:rPr>
          <w:rFonts w:hint="eastAsia" w:ascii="宋体" w:hAnsi="宋体" w:cs="宋体"/>
          <w:color w:val="auto"/>
          <w:szCs w:val="21"/>
          <w:highlight w:val="none"/>
        </w:rPr>
        <w:t xml:space="preserve">。</w:t>
      </w:r>
      <w:r>
        <w:rPr>
          <w:rFonts w:ascii="宋体" w:hAnsi="宋体" w:cs="宋体"/>
          <w:b/>
          <w:color w:val="auto"/>
          <w:szCs w:val="21"/>
          <w:highlight w:val="none"/>
        </w:rPr>
        <w:t xml:space="preserve">（提供</w:t>
      </w:r>
      <w:r>
        <w:rPr>
          <w:rFonts w:hint="eastAsia" w:ascii="宋体" w:hAnsi="宋体" w:cs="宋体"/>
          <w:b/>
          <w:color w:val="auto"/>
          <w:szCs w:val="21"/>
          <w:highlight w:val="none"/>
        </w:rPr>
        <w:t xml:space="preserve">2</w:t>
      </w:r>
      <w:r>
        <w:rPr>
          <w:rFonts w:ascii="宋体" w:hAnsi="宋体" w:cs="宋体"/>
          <w:b/>
          <w:color w:val="auto"/>
          <w:szCs w:val="21"/>
          <w:highlight w:val="none"/>
        </w:rPr>
        <w:t xml:space="preserve">025</w:t>
      </w:r>
      <w:r>
        <w:rPr>
          <w:rFonts w:hint="eastAsia" w:ascii="宋体" w:hAnsi="宋体" w:cs="宋体"/>
          <w:b/>
          <w:color w:val="auto"/>
          <w:szCs w:val="21"/>
          <w:highlight w:val="none"/>
        </w:rPr>
        <w:t xml:space="preserve">年度</w:t>
      </w:r>
      <w:r>
        <w:rPr>
          <w:rFonts w:ascii="宋体" w:hAnsi="宋体" w:cs="宋体"/>
          <w:b/>
          <w:color w:val="auto"/>
          <w:szCs w:val="21"/>
          <w:highlight w:val="none"/>
        </w:rPr>
        <w:t xml:space="preserve">经会计师事务所审计的财务报告</w:t>
      </w:r>
      <w:r>
        <w:rPr>
          <w:rFonts w:hint="eastAsia" w:ascii="宋体" w:hAnsi="宋体" w:cs="宋体"/>
          <w:b/>
          <w:color w:val="auto"/>
          <w:szCs w:val="21"/>
          <w:highlight w:val="none"/>
        </w:rPr>
        <w:t xml:space="preserve">或</w:t>
      </w:r>
      <w:r>
        <w:rPr>
          <w:rFonts w:hint="eastAsia" w:ascii="宋体" w:hAnsi="宋体" w:cs="宋体"/>
          <w:b/>
          <w:color w:val="auto"/>
          <w:szCs w:val="21"/>
          <w:highlight w:val="none"/>
          <w:lang w:val="zh-CN"/>
        </w:rPr>
        <w:t xml:space="preserve">投标文件截止时间前半年内至少一个月</w:t>
      </w:r>
      <w:r>
        <w:rPr>
          <w:rFonts w:hint="eastAsia" w:ascii="宋体" w:hAnsi="宋体" w:cs="宋体"/>
          <w:b/>
          <w:color w:val="auto"/>
          <w:szCs w:val="21"/>
          <w:highlight w:val="none"/>
        </w:rPr>
        <w:t xml:space="preserve">财务报表（资产负债表、利润表、现金流量表）</w:t>
      </w:r>
      <w:r>
        <w:rPr>
          <w:rFonts w:ascii="宋体" w:hAnsi="宋体" w:cs="宋体"/>
          <w:b/>
          <w:color w:val="auto"/>
          <w:szCs w:val="21"/>
          <w:highlight w:val="none"/>
        </w:rPr>
        <w:t xml:space="preserve">，其他组织、自然人及成立未满一年的法人应提供银行出具的资信证明）；</w:t>
      </w:r>
      <w:r/>
    </w:p>
    <w:p>
      <w:pPr>
        <w:ind w:firstLine="420"/>
        <w:jc w:val="left"/>
        <w:spacing w:line="400" w:lineRule="exact"/>
        <w:shd w:val="clear" w:color="auto"/>
        <w:widowControl/>
        <w:rPr>
          <w:rFonts w:ascii="宋体" w:hAnsi="宋体" w:cs="宋体"/>
          <w:color w:val="auto"/>
          <w:szCs w:val="21"/>
          <w:highlight w:val="none"/>
        </w:rPr>
      </w:pPr>
      <w:r>
        <w:rPr>
          <w:rFonts w:ascii="宋体" w:hAnsi="宋体" w:cs="宋体"/>
          <w:color w:val="auto"/>
          <w:szCs w:val="21"/>
          <w:highlight w:val="none"/>
        </w:rPr>
        <w:t xml:space="preserve">（3）具备履行合同所必需的设备和专业技术能力</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提供</w:t>
      </w:r>
      <w:r>
        <w:rPr>
          <w:rFonts w:hint="eastAsia" w:ascii="宋体" w:hAnsi="宋体" w:cs="宋体"/>
          <w:b/>
          <w:bCs/>
          <w:color w:val="auto"/>
          <w:szCs w:val="21"/>
          <w:highlight w:val="none"/>
        </w:rPr>
        <w:t xml:space="preserve">证明</w:t>
      </w:r>
      <w:r>
        <w:rPr>
          <w:rFonts w:ascii="宋体" w:hAnsi="宋体" w:cs="宋体"/>
          <w:b/>
          <w:bCs/>
          <w:color w:val="auto"/>
          <w:szCs w:val="21"/>
          <w:highlight w:val="none"/>
        </w:rPr>
        <w:t xml:space="preserve">材料或承诺</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格式见第</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章</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w:t>
      </w:r>
      <w:r/>
    </w:p>
    <w:p>
      <w:pPr>
        <w:ind w:firstLine="420"/>
        <w:spacing w:line="400" w:lineRule="exact"/>
        <w:shd w:val="clear" w:color="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rPr>
          <w:rFonts w:hint="eastAsia" w:ascii="宋体" w:hAnsi="宋体" w:cs="宋体"/>
          <w:b/>
          <w:color w:val="auto"/>
          <w:szCs w:val="21"/>
          <w:highlight w:val="none"/>
          <w:lang w:val="zh-CN"/>
        </w:rPr>
        <w:t xml:space="preserve">（</w:t>
      </w:r>
      <w:bookmarkStart w:id="23" w:name="OLE_LINK3"/>
      <w:r/>
      <w:bookmarkStart w:id="24" w:name="OLE_LINK4"/>
      <w:r>
        <w:rPr>
          <w:rFonts w:hint="eastAsia" w:ascii="宋体" w:hAnsi="宋体" w:cs="宋体"/>
          <w:b/>
          <w:color w:val="auto"/>
          <w:szCs w:val="21"/>
          <w:highlight w:val="none"/>
          <w:lang w:val="zh-CN"/>
        </w:rPr>
        <w:t xml:space="preserve">提供提交投标文件截止时间前半年内至少一个月依法缴纳税收及缴纳社会保障资金的证明材料，如相关主管部门证明或银行代扣证明。投标人如依法享受缓缴、免缴税收、社会保障资金的应提供相关主管部门出具的证明材料</w:t>
      </w:r>
      <w:bookmarkEnd w:id="23"/>
      <w:r/>
      <w:bookmarkEnd w:id="24"/>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w:t>
      </w:r>
      <w:r/>
    </w:p>
    <w:p>
      <w:pPr>
        <w:ind w:firstLine="420"/>
        <w:jc w:val="left"/>
        <w:spacing w:line="400" w:lineRule="exact"/>
        <w:shd w:val="clear" w:color="auto"/>
        <w:tabs>
          <w:tab w:val="left" w:pos="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b/>
          <w:bCs/>
          <w:color w:val="auto"/>
          <w:szCs w:val="21"/>
          <w:highlight w:val="none"/>
          <w:lang w:val="zh-CN"/>
        </w:rPr>
        <w:t xml:space="preserve">（提供书面声明函，</w:t>
      </w:r>
      <w:r>
        <w:rPr>
          <w:rFonts w:hint="eastAsia" w:ascii="宋体" w:hAnsi="宋体" w:cs="宋体"/>
          <w:b/>
          <w:color w:val="auto"/>
          <w:szCs w:val="21"/>
          <w:highlight w:val="none"/>
        </w:rPr>
        <w:t xml:space="preserve">格式见第</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章</w:t>
      </w:r>
      <w:r>
        <w:rPr>
          <w:rFonts w:hint="eastAsia" w:ascii="宋体" w:hAnsi="宋体" w:cs="宋体"/>
          <w:b/>
          <w:bCs/>
          <w:color w:val="auto"/>
          <w:szCs w:val="21"/>
          <w:highlight w:val="none"/>
          <w:lang w:val="zh-CN"/>
        </w:rPr>
        <w:t xml:space="preserve">）</w:t>
      </w:r>
      <w:r>
        <w:rPr>
          <w:rFonts w:hint="eastAsia" w:ascii="宋体" w:hAnsi="宋体" w:cs="宋体"/>
          <w:color w:val="auto"/>
          <w:szCs w:val="21"/>
          <w:highlight w:val="none"/>
          <w:lang w:val="zh-CN"/>
        </w:rPr>
        <w:t xml:space="preserve">；</w:t>
      </w:r>
      <w:r/>
    </w:p>
    <w:p>
      <w:pPr>
        <w:ind w:firstLine="420"/>
        <w:jc w:val="left"/>
        <w:spacing w:line="400" w:lineRule="exact"/>
        <w:shd w:val="clear" w:color="auto"/>
        <w:tabs>
          <w:tab w:val="left" w:pos="0" w:leader="none"/>
        </w:tabs>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（6）法律、行政法规规定的其他条件。</w:t>
      </w:r>
      <w:r>
        <w:rPr>
          <w:rFonts w:hint="eastAsia" w:ascii="宋体" w:hAnsi="宋体" w:cs="宋体"/>
          <w:b/>
          <w:bCs/>
          <w:color w:val="auto"/>
          <w:szCs w:val="21"/>
          <w:highlight w:val="none"/>
          <w:lang w:val="zh-CN"/>
        </w:rPr>
        <w:t xml:space="preserve">（提供书面声明函，格式自拟）；</w:t>
      </w:r>
      <w:r/>
    </w:p>
    <w:p>
      <w:pPr>
        <w:ind w:firstLine="420"/>
        <w:spacing w:line="400" w:lineRule="exact"/>
        <w:shd w:val="clear" w:color="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14.4.2</w:t>
      </w:r>
      <w:r>
        <w:rPr>
          <w:rFonts w:ascii="宋体" w:hAnsi="宋体" w:cs="宋体"/>
          <w:color w:val="auto"/>
          <w:szCs w:val="21"/>
          <w:highlight w:val="none"/>
        </w:rPr>
        <w:t xml:space="preserve">本项目的特定资格要求：</w:t>
      </w:r>
      <w:r>
        <w:rPr>
          <w:rFonts w:hint="eastAsia" w:ascii="宋体" w:hAnsi="宋体" w:cs="宋体"/>
          <w:color w:val="auto"/>
          <w:szCs w:val="21"/>
          <w:highlight w:val="none"/>
          <w:lang w:val="en-US" w:eastAsia="zh-CN"/>
        </w:rPr>
        <w:t xml:space="preserve">无</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14.</w:t>
      </w:r>
      <w:r>
        <w:rPr>
          <w:rFonts w:ascii="宋体" w:hAnsi="宋体" w:cs="宋体"/>
          <w:color w:val="auto"/>
          <w:szCs w:val="21"/>
          <w:highlight w:val="none"/>
        </w:rPr>
        <w:t xml:space="preserve">4.</w:t>
      </w:r>
      <w:r>
        <w:rPr>
          <w:rFonts w:hint="eastAsia" w:ascii="宋体" w:hAnsi="宋体" w:cs="宋体"/>
          <w:color w:val="auto"/>
          <w:szCs w:val="21"/>
          <w:highlight w:val="none"/>
        </w:rPr>
        <w:t xml:space="preserve">3其他有关资格证明的文件（如有）。</w:t>
      </w:r>
      <w:r>
        <w:rPr>
          <w:rFonts w:hint="eastAsia" w:ascii="宋体" w:hAnsi="宋体" w:cs="宋体"/>
          <w:b/>
          <w:bCs/>
          <w:color w:val="auto"/>
          <w:szCs w:val="21"/>
          <w:highlight w:val="none"/>
        </w:rPr>
        <w:t xml:space="preserve">（包括但不限于招标公告中其他资格要求的证明文件，如有要求须提供）</w:t>
      </w:r>
      <w:r>
        <w:rPr>
          <w:rFonts w:hint="eastAsia" w:ascii="宋体" w:hAnsi="宋体" w:cs="宋体"/>
          <w:color w:val="auto"/>
          <w:szCs w:val="21"/>
          <w:highlight w:val="none"/>
        </w:rPr>
        <w:t xml:space="preserve">。</w:t>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14.</w:t>
      </w:r>
      <w:r>
        <w:rPr>
          <w:rFonts w:ascii="宋体" w:hAnsi="宋体" w:cs="宋体"/>
          <w:b/>
          <w:color w:val="auto"/>
          <w:szCs w:val="21"/>
          <w:highlight w:val="none"/>
        </w:rPr>
        <w:t xml:space="preserve">5</w:t>
      </w:r>
      <w:r>
        <w:rPr>
          <w:rFonts w:hint="eastAsia" w:ascii="宋体" w:hAnsi="宋体" w:cs="宋体"/>
          <w:b/>
          <w:color w:val="auto"/>
          <w:szCs w:val="21"/>
          <w:highlight w:val="none"/>
        </w:rPr>
        <w:t xml:space="preserve">符合性审查文件</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5.1</w:t>
      </w:r>
      <w:r>
        <w:rPr>
          <w:rFonts w:hint="eastAsia" w:ascii="宋体" w:hAnsi="宋体" w:cs="宋体"/>
          <w:color w:val="auto"/>
          <w:szCs w:val="21"/>
          <w:highlight w:val="none"/>
          <w:lang w:val="zh-CN"/>
        </w:rPr>
        <w:t xml:space="preserve">关于资格文件的声明函（格式见第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val="zh-CN"/>
        </w:rPr>
        <w:t xml:space="preserve">章）；</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5.2</w:t>
      </w:r>
      <w:r>
        <w:rPr>
          <w:rFonts w:hint="eastAsia" w:ascii="宋体" w:hAnsi="宋体" w:cs="宋体"/>
          <w:color w:val="auto"/>
          <w:szCs w:val="21"/>
          <w:highlight w:val="none"/>
          <w:lang w:val="zh-CN"/>
        </w:rPr>
        <w:t xml:space="preserve">投标单位情况表（格式见第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val="zh-CN"/>
        </w:rPr>
        <w:t xml:space="preserve">章）；</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5.3</w:t>
      </w:r>
      <w:r>
        <w:rPr>
          <w:rFonts w:hint="eastAsia" w:ascii="宋体" w:hAnsi="宋体" w:cs="宋体"/>
          <w:color w:val="auto"/>
          <w:szCs w:val="21"/>
          <w:highlight w:val="none"/>
          <w:lang w:val="zh-CN"/>
        </w:rPr>
        <w:t xml:space="preserve">投标人法定代表人身份证复印件；</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5.4</w:t>
      </w:r>
      <w:r>
        <w:rPr>
          <w:rFonts w:hint="eastAsia" w:ascii="宋体" w:hAnsi="宋体" w:cs="宋体"/>
          <w:color w:val="auto"/>
          <w:szCs w:val="21"/>
          <w:highlight w:val="none"/>
          <w:lang w:val="zh-CN"/>
        </w:rPr>
        <w:t xml:space="preserve">法定代表人授权委托书（如有授权，格式见第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val="zh-CN"/>
        </w:rPr>
        <w:t xml:space="preserve">章）；</w:t>
      </w:r>
      <w:r/>
    </w:p>
    <w:p>
      <w:pPr>
        <w:ind w:firstLine="420"/>
        <w:jc w:val="left"/>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5.5</w:t>
      </w:r>
      <w:r>
        <w:rPr>
          <w:rFonts w:hint="eastAsia" w:ascii="宋体" w:hAnsi="宋体" w:cs="宋体"/>
          <w:color w:val="auto"/>
          <w:szCs w:val="21"/>
          <w:highlight w:val="none"/>
          <w:lang w:val="zh-CN"/>
        </w:rPr>
        <w:t xml:space="preserve">投标人授权代理人身份证复印件（如有授权）；</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14.</w:t>
      </w:r>
      <w:r>
        <w:rPr>
          <w:rFonts w:ascii="宋体" w:hAnsi="宋体" w:cs="宋体"/>
          <w:color w:val="auto"/>
          <w:szCs w:val="21"/>
          <w:highlight w:val="none"/>
        </w:rPr>
        <w:t xml:space="preserve">5.6</w:t>
      </w:r>
      <w:r>
        <w:rPr>
          <w:rFonts w:hint="eastAsia" w:ascii="宋体" w:hAnsi="宋体" w:cs="宋体"/>
          <w:color w:val="auto"/>
          <w:szCs w:val="21"/>
          <w:highlight w:val="none"/>
        </w:rPr>
        <w:t xml:space="preserve">投标函（格式见第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4.5.7</w:t>
      </w:r>
      <w:r>
        <w:rPr>
          <w:rFonts w:hint="eastAsia" w:ascii="宋体" w:hAnsi="宋体" w:cs="宋体"/>
          <w:color w:val="auto"/>
          <w:szCs w:val="21"/>
          <w:highlight w:val="none"/>
        </w:rPr>
        <w:t xml:space="preserve">技术响应对照表（格式见第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14.</w:t>
      </w:r>
      <w:r>
        <w:rPr>
          <w:rFonts w:ascii="宋体" w:hAnsi="宋体" w:cs="宋体"/>
          <w:color w:val="auto"/>
          <w:szCs w:val="21"/>
          <w:highlight w:val="none"/>
        </w:rPr>
        <w:t xml:space="preserve">5.8</w:t>
      </w:r>
      <w:r>
        <w:rPr>
          <w:rFonts w:hint="eastAsia" w:ascii="宋体" w:hAnsi="宋体" w:cs="宋体"/>
          <w:color w:val="auto"/>
          <w:szCs w:val="21"/>
          <w:highlight w:val="none"/>
        </w:rPr>
        <w:t xml:space="preserve">商务条款偏离表（格式见第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14.5.</w:t>
      </w:r>
      <w:r>
        <w:rPr>
          <w:rFonts w:ascii="宋体" w:hAnsi="宋体" w:cs="宋体"/>
          <w:color w:val="auto"/>
          <w:szCs w:val="21"/>
          <w:highlight w:val="none"/>
        </w:rPr>
        <w:t xml:space="preserve">9</w:t>
      </w:r>
      <w:r>
        <w:rPr>
          <w:rFonts w:hint="eastAsia" w:ascii="宋体" w:hAnsi="宋体" w:cs="宋体"/>
          <w:color w:val="auto"/>
          <w:szCs w:val="21"/>
          <w:highlight w:val="none"/>
        </w:rPr>
        <w:t xml:space="preserve">对属于《节能产品政府采购品目清单》政府强制采购产品的，需提供该产品有效期内的认证等相关证明材料（如有）；</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4.5.</w:t>
      </w:r>
      <w:r>
        <w:rPr>
          <w:rFonts w:hint="eastAsia" w:ascii="宋体" w:hAnsi="宋体" w:cs="宋体"/>
          <w:color w:val="auto"/>
          <w:szCs w:val="21"/>
          <w:highlight w:val="none"/>
        </w:rPr>
        <w:t xml:space="preserve">10投标（响应）保证承诺书（格式见第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r/>
    </w:p>
    <w:p>
      <w:pPr>
        <w:ind w:firstLine="408"/>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14.</w:t>
      </w:r>
      <w:r>
        <w:rPr>
          <w:rFonts w:ascii="宋体" w:hAnsi="宋体" w:cs="宋体"/>
          <w:color w:val="auto"/>
          <w:szCs w:val="21"/>
          <w:highlight w:val="none"/>
        </w:rPr>
        <w:t xml:space="preserve">5.1</w:t>
      </w:r>
      <w:r>
        <w:rPr>
          <w:rFonts w:hint="eastAsia" w:ascii="宋体" w:hAnsi="宋体" w:cs="宋体"/>
          <w:color w:val="auto"/>
          <w:szCs w:val="21"/>
          <w:highlight w:val="none"/>
        </w:rPr>
        <w:t xml:space="preserve">1其他有关符合性证明的文件（实质性条款响应证明等）。</w:t>
      </w:r>
      <w:r/>
    </w:p>
    <w:p>
      <w:pPr>
        <w:ind w:firstLine="408"/>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14</w:t>
      </w:r>
      <w:r>
        <w:rPr>
          <w:rFonts w:ascii="宋体" w:hAnsi="宋体" w:cs="宋体"/>
          <w:b/>
          <w:color w:val="auto"/>
          <w:szCs w:val="21"/>
          <w:highlight w:val="none"/>
        </w:rPr>
        <w:t xml:space="preserve">.6</w:t>
      </w:r>
      <w:r>
        <w:rPr>
          <w:rFonts w:hint="eastAsia" w:ascii="宋体" w:hAnsi="宋体" w:cs="宋体"/>
          <w:b/>
          <w:color w:val="auto"/>
          <w:szCs w:val="21"/>
          <w:highlight w:val="none"/>
        </w:rPr>
        <w:t xml:space="preserve">综合评审文件（所需材料详见第六章评分标准）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4.6.</w:t>
      </w:r>
      <w:r>
        <w:rPr>
          <w:rFonts w:hint="eastAsia" w:ascii="宋体" w:hAnsi="宋体" w:cs="宋体"/>
          <w:color w:val="auto"/>
          <w:szCs w:val="21"/>
          <w:highlight w:val="none"/>
          <w:lang w:val="en-US" w:eastAsia="zh-CN"/>
        </w:rPr>
        <w:t xml:space="preserve">1</w:t>
      </w:r>
      <w:r>
        <w:rPr>
          <w:rFonts w:hint="eastAsia" w:ascii="宋体" w:hAnsi="宋体"/>
          <w:color w:val="auto"/>
          <w:szCs w:val="21"/>
          <w:highlight w:val="none"/>
        </w:rPr>
        <w:t xml:space="preserve">技术服务方案</w:t>
      </w:r>
      <w:r>
        <w:rPr>
          <w:rFonts w:hint="eastAsia" w:ascii="宋体" w:hAnsi="宋体" w:cs="宋体"/>
          <w:color w:val="auto"/>
          <w:highlight w:val="none"/>
        </w:rPr>
        <w:t xml:space="preserve">；</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w:t>
      </w:r>
      <w:r>
        <w:rPr>
          <w:rFonts w:ascii="宋体" w:hAnsi="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投标单位类似项目业绩情况</w:t>
      </w:r>
      <w:r>
        <w:rPr>
          <w:rFonts w:hint="eastAsia" w:ascii="宋体" w:hAnsi="宋体" w:cs="宋体"/>
          <w:color w:val="auto"/>
          <w:szCs w:val="21"/>
          <w:highlight w:val="none"/>
          <w:lang w:val="zh-CN"/>
        </w:rPr>
        <w:t xml:space="preserve">表</w:t>
      </w:r>
      <w:r>
        <w:rPr>
          <w:rFonts w:hint="eastAsia" w:ascii="宋体" w:hAnsi="宋体" w:cs="宋体"/>
          <w:color w:val="auto"/>
          <w:szCs w:val="21"/>
          <w:highlight w:val="none"/>
        </w:rPr>
        <w:t xml:space="preserve">（格式见</w:t>
      </w:r>
      <w:bookmarkStart w:id="25" w:name="_Hlk225758863"/>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bookmarkEnd w:id="25"/>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4.6.</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项目组人员表（格式见第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r/>
    </w:p>
    <w:p>
      <w:pPr>
        <w:ind w:firstLine="420"/>
        <w:spacing w:line="400" w:lineRule="exact"/>
        <w:shd w:val="clear" w:color="auto"/>
        <w:rPr>
          <w:rFonts w:ascii="宋体" w:hAnsi="宋体" w:cs="宋体"/>
          <w:color w:val="auto"/>
          <w:highlight w:val="none"/>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4.6.</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采购需求及</w:t>
      </w:r>
      <w:r>
        <w:rPr>
          <w:rFonts w:hint="eastAsia" w:ascii="宋体" w:hAnsi="宋体" w:cs="宋体"/>
          <w:color w:val="auto"/>
          <w:highlight w:val="none"/>
        </w:rPr>
        <w:t xml:space="preserve">评分标准中要求的其他相关资料。</w:t>
      </w:r>
      <w:r/>
    </w:p>
    <w:p>
      <w:pPr>
        <w:ind w:firstLine="420"/>
        <w:spacing w:line="400" w:lineRule="exact"/>
        <w:shd w:val="clear" w:color="auto"/>
        <w:rPr>
          <w:rFonts w:ascii="宋体" w:hAnsi="宋体" w:cs="宋体"/>
          <w:b/>
          <w:bCs/>
          <w:color w:val="auto"/>
          <w:highlight w:val="none"/>
        </w:rPr>
      </w:pPr>
      <w:r>
        <w:rPr>
          <w:rFonts w:ascii="宋体" w:hAnsi="宋体" w:cs="宋体"/>
          <w:b/>
          <w:bCs/>
          <w:color w:val="auto"/>
          <w:highlight w:val="none"/>
        </w:rPr>
        <w:t xml:space="preserve">14.7</w:t>
      </w:r>
      <w:r>
        <w:rPr>
          <w:rFonts w:hint="eastAsia" w:ascii="宋体" w:hAnsi="宋体" w:cs="宋体"/>
          <w:b/>
          <w:bCs/>
          <w:color w:val="auto"/>
          <w:highlight w:val="none"/>
        </w:rPr>
        <w:t xml:space="preserve">价格折扣文件格式</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4</w:t>
      </w:r>
      <w:r>
        <w:rPr>
          <w:rFonts w:hint="eastAsia" w:ascii="宋体" w:hAnsi="宋体" w:cs="宋体"/>
          <w:color w:val="auto"/>
          <w:highlight w:val="none"/>
        </w:rPr>
        <w:t xml:space="preserve">.7.1</w:t>
      </w:r>
      <w:bookmarkStart w:id="26" w:name="OLE_LINK9"/>
      <w:r/>
      <w:bookmarkStart w:id="27" w:name="OLE_LINK7"/>
      <w:r/>
      <w:bookmarkStart w:id="28" w:name="OLE_LINK8"/>
      <w:r/>
      <w:bookmarkStart w:id="29" w:name="OLE_LINK13"/>
      <w:r/>
      <w:bookmarkStart w:id="30" w:name="OLE_LINK11"/>
      <w:r>
        <w:rPr>
          <w:rFonts w:hint="eastAsia" w:ascii="宋体" w:hAnsi="宋体" w:cs="宋体"/>
          <w:color w:val="auto"/>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Cs w:val="21"/>
          <w:highlight w:val="none"/>
        </w:rPr>
        <w:t xml:space="preserve">（格式见第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w:t>
      </w:r>
      <w:bookmarkEnd w:id="26"/>
      <w:r/>
      <w:bookmarkEnd w:id="27"/>
      <w:r/>
      <w:bookmarkEnd w:id="28"/>
      <w:r>
        <w:rPr>
          <w:rFonts w:hint="eastAsia" w:ascii="宋体" w:hAnsi="宋体" w:cs="宋体"/>
          <w:color w:val="auto"/>
          <w:highlight w:val="none"/>
        </w:rPr>
        <w:t xml:space="preserve">。</w:t>
      </w:r>
      <w:bookmarkEnd w:id="29"/>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highlight w:val="none"/>
        </w:rPr>
        <w:t xml:space="preserve">1</w:t>
      </w:r>
      <w:r>
        <w:rPr>
          <w:rFonts w:ascii="宋体" w:hAnsi="宋体" w:cs="宋体"/>
          <w:color w:val="auto"/>
          <w:highlight w:val="none"/>
        </w:rPr>
        <w:t xml:space="preserve">4.7.2</w:t>
      </w:r>
      <w:r>
        <w:rPr>
          <w:rFonts w:hint="eastAsia" w:ascii="宋体" w:hAnsi="宋体" w:cs="宋体"/>
          <w:color w:val="auto"/>
          <w:szCs w:val="21"/>
          <w:highlight w:val="none"/>
        </w:rPr>
        <w:t xml:space="preserve">关于符合本国产品标准的声明函。</w:t>
      </w:r>
      <w:bookmarkEnd w:id="30"/>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注：（1）以上14.</w:t>
      </w:r>
      <w:r>
        <w:rPr>
          <w:rFonts w:ascii="宋体" w:hAnsi="宋体" w:cs="宋体"/>
          <w:b/>
          <w:bCs/>
          <w:color w:val="auto"/>
          <w:szCs w:val="21"/>
          <w:highlight w:val="none"/>
          <w:lang w:val="zh-CN"/>
        </w:rPr>
        <w:t xml:space="preserve">4</w:t>
      </w:r>
      <w:r>
        <w:rPr>
          <w:rFonts w:hint="eastAsia" w:ascii="宋体" w:hAnsi="宋体" w:cs="宋体"/>
          <w:b/>
          <w:bCs/>
          <w:color w:val="auto"/>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（2）以上14.</w:t>
      </w:r>
      <w:r>
        <w:rPr>
          <w:rFonts w:ascii="宋体" w:hAnsi="宋体" w:cs="宋体"/>
          <w:b/>
          <w:bCs/>
          <w:color w:val="auto"/>
          <w:szCs w:val="21"/>
          <w:highlight w:val="none"/>
          <w:lang w:val="zh-CN"/>
        </w:rPr>
        <w:t xml:space="preserve">5</w:t>
      </w:r>
      <w:r>
        <w:rPr>
          <w:rFonts w:hint="eastAsia" w:ascii="宋体" w:hAnsi="宋体" w:cs="宋体"/>
          <w:b/>
          <w:bCs/>
          <w:color w:val="auto"/>
          <w:szCs w:val="21"/>
          <w:highlight w:val="none"/>
          <w:lang w:val="zh-CN"/>
        </w:rPr>
        <w:t xml:space="preserve">为符合性审查须提供的资料，投标人必须提供并加盖电子公章。否则，投标文件将被认定为未实质性响应。</w:t>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（3）“14.</w:t>
      </w:r>
      <w:r>
        <w:rPr>
          <w:rFonts w:ascii="宋体" w:hAnsi="宋体" w:cs="宋体"/>
          <w:b/>
          <w:bCs/>
          <w:color w:val="auto"/>
          <w:szCs w:val="21"/>
          <w:highlight w:val="none"/>
          <w:lang w:val="zh-CN"/>
        </w:rPr>
        <w:t xml:space="preserve">4</w:t>
      </w:r>
      <w:r>
        <w:rPr>
          <w:rFonts w:hint="eastAsia" w:ascii="宋体" w:hAnsi="宋体" w:cs="宋体"/>
          <w:b/>
          <w:bCs/>
          <w:color w:val="auto"/>
          <w:szCs w:val="21"/>
          <w:highlight w:val="none"/>
          <w:lang w:val="zh-CN"/>
        </w:rPr>
        <w:t xml:space="preserve">-14.</w:t>
      </w:r>
      <w:r>
        <w:rPr>
          <w:rFonts w:ascii="宋体" w:hAnsi="宋体" w:cs="宋体"/>
          <w:b/>
          <w:bCs/>
          <w:color w:val="auto"/>
          <w:szCs w:val="21"/>
          <w:highlight w:val="none"/>
          <w:lang w:val="zh-CN"/>
        </w:rPr>
        <w:t xml:space="preserve">7</w:t>
      </w:r>
      <w:r>
        <w:rPr>
          <w:rFonts w:hint="eastAsia" w:ascii="宋体" w:hAnsi="宋体" w:cs="宋体"/>
          <w:b/>
          <w:bCs/>
          <w:color w:val="auto"/>
          <w:szCs w:val="21"/>
          <w:highlight w:val="none"/>
          <w:lang w:val="zh-CN"/>
        </w:rPr>
        <w:t xml:space="preserve">”中不得出现投标总报价。投标人所提交的资料的完整与否，将直接影响投标人的评分。</w:t>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（4）制作电子投标文件时必须与投标文件制作软件目录一一对应，将相关资料上传至相应模块。</w:t>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6</w:t>
      </w:r>
      <w:r>
        <w:rPr>
          <w:rFonts w:hint="eastAsia" w:ascii="宋体" w:hAnsi="宋体" w:cs="宋体"/>
          <w:b/>
          <w:bCs/>
          <w:color w:val="auto"/>
          <w:szCs w:val="21"/>
          <w:highlight w:val="none"/>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bCs/>
          <w:color w:val="auto"/>
          <w:szCs w:val="21"/>
          <w:highlight w:val="none"/>
          <w:u w:val="single"/>
          <w:lang w:val="zh-CN"/>
        </w:rPr>
        <w:t xml:space="preserve">上述文件内容分类如与电子文件内的编排顺序不一致，以软件格式中的顺序为准。</w:t>
      </w:r>
      <w:r/>
    </w:p>
    <w:p>
      <w:pPr>
        <w:ind w:firstLine="422"/>
        <w:spacing w:line="400" w:lineRule="exact"/>
        <w:shd w:val="clear" w:color="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15.投标文件编制要求</w:t>
      </w:r>
      <w:r/>
    </w:p>
    <w:p>
      <w:pPr>
        <w:ind w:firstLine="422"/>
        <w:spacing w:line="400" w:lineRule="exact"/>
        <w:shd w:val="clear" w:color="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15.1投标文件按统一格式、顺序编写。</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15.2《开标一览表》为在开标仪式上唱标的内容，要求按格式填写，统一规范，不得自行增减内容。</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16.投标报价（编制）要求的说明</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16.3投标人应对招标文件内所要采购的全部内容进行报价，只投其中部分内容者，其标书将被拒绝（如为多标段项目，则上述提到的全部内容是指所投标段对应采购的全部内容）。</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16.4一项投标内容只允许一个报价，采购人不接受任何有选择性的投标报价。</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16.5投标文件报价采用人民币表示，除非合同的特殊条款另有规定。</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16.6最低的报价或最高的优惠率不能作为中标的保证。</w:t>
      </w:r>
      <w:r/>
    </w:p>
    <w:p>
      <w:pPr>
        <w:ind w:firstLine="422"/>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w:t>
      </w:r>
      <w:r>
        <w:rPr>
          <w:rFonts w:ascii="宋体" w:hAnsi="宋体" w:cs="宋体"/>
          <w:b/>
          <w:bCs/>
          <w:color w:val="auto"/>
          <w:szCs w:val="21"/>
          <w:highlight w:val="none"/>
          <w:lang w:val="zh-CN"/>
        </w:rPr>
        <w:t xml:space="preserve">7.</w:t>
      </w:r>
      <w:r>
        <w:rPr>
          <w:rFonts w:hint="eastAsia" w:ascii="宋体" w:hAnsi="宋体" w:cs="宋体"/>
          <w:b/>
          <w:bCs/>
          <w:color w:val="auto"/>
          <w:szCs w:val="21"/>
          <w:highlight w:val="none"/>
          <w:lang w:val="zh-CN"/>
        </w:rPr>
        <w:t xml:space="preserve">投标保证金：本项目不收取投标保证金，但须提供《投标（响应）保证承诺书》（格式见招标文件第</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lang w:val="zh-CN"/>
        </w:rPr>
        <w:t xml:space="preserve">章）</w:t>
      </w:r>
      <w:r/>
    </w:p>
    <w:p>
      <w:pPr>
        <w:ind w:firstLine="422"/>
        <w:spacing w:line="400" w:lineRule="exact"/>
        <w:shd w:val="clear" w:color="auto"/>
        <w:rPr>
          <w:rFonts w:ascii="宋体" w:hAnsi="宋体" w:cs="宋体"/>
          <w:b/>
          <w:bCs/>
          <w:color w:val="auto"/>
          <w:szCs w:val="21"/>
          <w:highlight w:val="none"/>
          <w:lang w:val="zh-CN"/>
        </w:rPr>
      </w:pPr>
      <w:r>
        <w:rPr>
          <w:rFonts w:ascii="宋体" w:hAnsi="宋体" w:cs="宋体"/>
          <w:b/>
          <w:bCs/>
          <w:color w:val="auto"/>
          <w:szCs w:val="21"/>
          <w:highlight w:val="none"/>
          <w:lang w:val="zh-CN"/>
        </w:rPr>
        <w:t xml:space="preserve">18.</w:t>
      </w:r>
      <w:r>
        <w:rPr>
          <w:rFonts w:hint="eastAsia" w:ascii="宋体" w:hAnsi="宋体" w:cs="宋体"/>
          <w:b/>
          <w:bCs/>
          <w:color w:val="auto"/>
          <w:szCs w:val="21"/>
          <w:highlight w:val="none"/>
          <w:lang w:val="zh-CN"/>
        </w:rPr>
        <w:t xml:space="preserve">履约保证金：</w:t>
      </w:r>
      <w:r>
        <w:rPr>
          <w:rFonts w:hint="eastAsia" w:ascii="宋体" w:hAnsi="宋体"/>
          <w:color w:val="auto"/>
          <w:szCs w:val="21"/>
          <w:highlight w:val="none"/>
        </w:rPr>
        <w:t xml:space="preserve">按合同约定，未做说明的则为无。</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9</w:t>
      </w:r>
      <w:r>
        <w:rPr>
          <w:rFonts w:hint="eastAsia" w:ascii="宋体" w:hAnsi="宋体" w:cs="宋体"/>
          <w:b/>
          <w:color w:val="auto"/>
          <w:szCs w:val="21"/>
          <w:highlight w:val="none"/>
          <w:lang w:val="zh-CN"/>
        </w:rPr>
        <w:t xml:space="preserve">.投标文件的有效期</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.1自提交投标文件截止之日起90天内，投标文件中承诺的投标有效期应当不少于招标文件中载明的投标有效期。</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.2在特殊情况下，采购人、采购代理机构可与投标人协商延长投标书的有效期。这种要求和答复都应以书面形式进行。同意延长有效期的投标人不能修改投标文件。</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rPr>
        <w:t xml:space="preserve">20</w:t>
      </w:r>
      <w:r>
        <w:rPr>
          <w:rFonts w:hint="eastAsia" w:ascii="宋体" w:hAnsi="宋体" w:cs="宋体"/>
          <w:b/>
          <w:color w:val="auto"/>
          <w:szCs w:val="21"/>
          <w:highlight w:val="none"/>
          <w:lang w:val="zh-CN"/>
        </w:rPr>
        <w:t xml:space="preserve">.投标文件的制作、签署、上传</w:t>
      </w:r>
      <w:r/>
    </w:p>
    <w:p>
      <w:pPr>
        <w:ind w:firstLine="420"/>
        <w:spacing w:line="400" w:lineRule="exact"/>
        <w:shd w:val="clear" w:color="auto"/>
        <w:rPr>
          <w:rFonts w:ascii="宋体" w:hAnsi="宋体" w:cs="宋体"/>
          <w:b/>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.1本项目采用电子招投标形式，请供应商按照</w:t>
      </w:r>
      <w:r>
        <w:rPr>
          <w:rFonts w:hint="eastAsia" w:ascii="宋体" w:hAnsi="宋体" w:cs="宋体"/>
          <w:b/>
          <w:color w:val="auto"/>
          <w:szCs w:val="21"/>
          <w:highlight w:val="none"/>
          <w:lang w:val="zh-CN"/>
        </w:rPr>
        <w:t xml:space="preserve">《苏采云系统供应商操作手册》</w:t>
      </w:r>
      <w:r>
        <w:rPr>
          <w:rFonts w:hint="eastAsia" w:ascii="宋体" w:hAnsi="宋体" w:cs="宋体"/>
          <w:color w:val="auto"/>
          <w:szCs w:val="21"/>
          <w:highlight w:val="none"/>
          <w:lang w:val="zh-CN"/>
        </w:rPr>
        <w:t xml:space="preserve">进行制作、上传电子投标文件。</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.2制作电子投标文件时，应按照招标文件要求加盖投标人电子公章。</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20.3</w:t>
      </w:r>
      <w:r>
        <w:rPr>
          <w:rFonts w:hint="eastAsia" w:ascii="宋体" w:hAnsi="宋体" w:cs="宋体"/>
          <w:color w:val="auto"/>
          <w:szCs w:val="21"/>
          <w:highlight w:val="none"/>
        </w:rPr>
        <w:t xml:space="preserve">电子投标文件附件如无法加盖电子签章，请上传清晰的盖有公章的扫描件。</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w:t>
      </w:r>
      <w:r>
        <w:rPr>
          <w:rFonts w:hint="eastAsia" w:ascii="宋体" w:hAnsi="宋体" w:cs="宋体"/>
          <w:b/>
          <w:color w:val="auto"/>
          <w:szCs w:val="21"/>
          <w:highlight w:val="none"/>
          <w:lang w:val="zh-CN"/>
        </w:rPr>
        <w:t xml:space="preserve">电子投标文件制作完成后请于投标文件网上提交截止时间前成功上传至“苏采云”系统，否则视为放弃参加该采购项目。</w:t>
      </w:r>
      <w:bookmarkStart w:id="31" w:name="_Toc31150"/>
      <w:r/>
      <w:bookmarkStart w:id="32" w:name="_Toc25608"/>
      <w:r>
        <w:rPr>
          <w:rFonts w:hint="eastAsia" w:ascii="宋体" w:hAnsi="宋体" w:cs="宋体"/>
          <w:color w:val="auto"/>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五、投标文件的递交、补充、修改和撤回</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rPr>
        <w:t xml:space="preserve">21</w:t>
      </w:r>
      <w:r>
        <w:rPr>
          <w:rFonts w:hint="eastAsia" w:ascii="宋体" w:hAnsi="宋体" w:cs="宋体"/>
          <w:b/>
          <w:color w:val="auto"/>
          <w:szCs w:val="21"/>
          <w:highlight w:val="none"/>
          <w:lang w:val="zh-CN"/>
        </w:rPr>
        <w:t xml:space="preserve">.投标文件的递交</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.1投标人应当在在投标截止时间前制作并上传电子投标文件。</w:t>
      </w:r>
      <w:r/>
    </w:p>
    <w:p>
      <w:pPr>
        <w:ind w:firstLine="420"/>
        <w:jc w:val="left"/>
        <w:spacing w:line="400" w:lineRule="exact"/>
        <w:shd w:val="clear" w:color="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.2投标人通过</w:t>
      </w:r>
      <w:r>
        <w:rPr>
          <w:rFonts w:hint="eastAsia" w:ascii="宋体" w:hAnsi="宋体" w:cs="宋体"/>
          <w:b/>
          <w:color w:val="auto"/>
          <w:szCs w:val="21"/>
          <w:highlight w:val="none"/>
          <w:lang w:val="zh-CN"/>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color w:val="auto"/>
          <w:szCs w:val="21"/>
          <w:highlight w:val="none"/>
          <w:lang w:val="zh-CN"/>
        </w:rPr>
        <w:t xml:space="preserve">。</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.投标截止时间</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.3在投标截止时间止成功解密的投标文件少于三份，采购代理机构有权宣布本次招标失败。</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.投标文件的补充、修改和撤回</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.2投标人在投标文件网上提交截止时间前，可以撤回其电子投标文件，具体操作方法见《苏采云系统供应商操作手册》。</w:t>
      </w:r>
      <w:bookmarkStart w:id="33" w:name="_Toc22837"/>
      <w:r/>
      <w:bookmarkStart w:id="34" w:name="_Toc29371"/>
      <w:r>
        <w:rPr>
          <w:rFonts w:hint="eastAsia" w:ascii="宋体" w:hAnsi="宋体" w:cs="宋体"/>
          <w:color w:val="auto"/>
          <w:szCs w:val="21"/>
          <w:highlight w:val="none"/>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bookmarkEnd w:id="33"/>
      <w:r/>
      <w:bookmarkEnd w:id="34"/>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.开标</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.3资格审查</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.3.1公开招标采购项目开标结束后，采购人应当依法对投标人的资格进行审查，未通过资格审查的视为无效投标。</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25.评标委员会或评标小组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.1评标委员会或评标小组（以下简称评标委员会）成员</w:t>
      </w:r>
      <w:r>
        <w:rPr>
          <w:rFonts w:hint="eastAsia" w:ascii="宋体" w:hAnsi="宋体" w:cs="宋体"/>
          <w:color w:val="auto"/>
          <w:szCs w:val="21"/>
          <w:highlight w:val="none"/>
        </w:rPr>
        <w:t xml:space="preserve">由招标采购单位负责依法组织组建</w:t>
      </w:r>
      <w:r>
        <w:rPr>
          <w:rFonts w:hint="eastAsia" w:ascii="宋体" w:hAnsi="宋体" w:cs="宋体"/>
          <w:color w:val="auto"/>
          <w:szCs w:val="21"/>
          <w:highlight w:val="none"/>
          <w:lang w:val="zh-CN"/>
        </w:rPr>
        <w:t xml:space="preserve">。</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.2评标委员会或评标小组负责具体的评标事务，并独立履行以下职责：</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.2.1审查、评价投标文件是否符合招标文件的商务、技术等实质性要求；</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.2.2要求投标人对投标文件有关事项作出澄清或者说明；</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.2.3对投标文件进行比较和评价；</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.2.4确定中标候选人名单，以及根据采购单位委托直接确定中标单位；</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.2.5向采购单位、采购代理机构或者有关部门报告评标中发现的违法行为。</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.3评标委员会成员应当履行下列义务：</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.3.1遵纪守法，客观、公正、廉洁地履行职责；</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.3.2按照招标文件规定的评标方法和评标标准进行评标，对评审意见承担个人责任；</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.3.3对评标过程和结果，以及投标人的商业秘密保密；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.3.4参与评标报告的起草；</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.3.5配合财政部门的投诉处理工作；</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.3.6配合招标采购单位答复投标供应商提出的质疑。</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26.评标内容的保密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26.1公开开标后，直到宣布授予中标合同为止，凡属于审查、澄清、评价和比较投标的所有资料，有关授予合同的信息都不应向投标人或与评标无关的其他人泄露。</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26.2在投标文件的审查、澄清、评价和比较以及授予合同的过程中，投标人对采购人、采购代理机构和评标委员会成员施加影响的任何行为，都将取消其中标资格。</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6.3</w:t>
      </w:r>
      <w:r>
        <w:rPr>
          <w:rFonts w:hint="eastAsia" w:ascii="宋体" w:hAnsi="宋体" w:cs="宋体"/>
          <w:color w:val="auto"/>
          <w:szCs w:val="21"/>
          <w:highlight w:val="none"/>
          <w:lang w:val="zh-CN"/>
        </w:rPr>
        <w:t xml:space="preserve">在评标期间，采购代理机构将通过指定联络人与投标人进行联系。</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.对投标文件初审</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投标文件有下列情况之一者评标委员会有权将其拒绝，作无效投标处理：</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27.1.1投标人的投标文件未按照本须知规定制作的；</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27.1.2未按本须知规定提交资格文件或资质</w:t>
      </w:r>
      <w:r>
        <w:rPr>
          <w:rFonts w:hint="eastAsia" w:ascii="宋体" w:hAnsi="宋体" w:cs="宋体"/>
          <w:b/>
          <w:bCs/>
          <w:color w:val="auto"/>
          <w:szCs w:val="21"/>
          <w:highlight w:val="none"/>
        </w:rPr>
        <w:t xml:space="preserve">不符合招标要求的</w:t>
      </w:r>
      <w:r>
        <w:rPr>
          <w:rFonts w:hint="eastAsia" w:ascii="宋体" w:hAnsi="宋体" w:cs="宋体"/>
          <w:b/>
          <w:bCs/>
          <w:color w:val="auto"/>
          <w:szCs w:val="21"/>
          <w:highlight w:val="none"/>
          <w:lang w:val="zh-CN"/>
        </w:rPr>
        <w:t xml:space="preserve">；</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27.1.3与招标文件有重大偏离；</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27.1.4投标人拒绝修正错误；</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27.1.5投标人的报价是选择性的；</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27.1.6投标人的报价只投了部分内容；</w:t>
      </w:r>
      <w:r/>
    </w:p>
    <w:p>
      <w:pPr>
        <w:ind w:firstLine="420"/>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27.1.7投标人的报价不符合采购规定或经评标小组评定为无效报价；</w:t>
      </w:r>
      <w:r>
        <w:rPr>
          <w:rFonts w:hint="eastAsia" w:ascii="宋体" w:hAnsi="宋体" w:cs="宋体"/>
          <w:b/>
          <w:bCs/>
          <w:color w:val="auto"/>
          <w:szCs w:val="21"/>
          <w:highlight w:val="none"/>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ind w:firstLine="420"/>
        <w:spacing w:line="400" w:lineRule="exact"/>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w:t>
      </w: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val="zh-CN"/>
        </w:rPr>
        <w:t xml:space="preserve">.1.8其他被评委会认定无效的情况。</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27</w:t>
      </w:r>
      <w:r>
        <w:rPr>
          <w:rFonts w:hint="eastAsia" w:ascii="宋体" w:hAnsi="宋体" w:cs="宋体"/>
          <w:color w:val="auto"/>
          <w:szCs w:val="21"/>
          <w:highlight w:val="none"/>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.2.1查询时间：投标文件递交截止时间后。</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.2.2查询渠道：采购代理机构会在接收投标文件截止时间后，登录信用中国网站（www.creditchina.gov.cn）查询供应商的信用记录，并将查询结果递交评标委员会。</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2.3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7.3</w:t>
      </w:r>
      <w:r>
        <w:rPr>
          <w:rFonts w:hint="eastAsia" w:ascii="宋体" w:hAnsi="宋体" w:cs="宋体"/>
          <w:color w:val="auto"/>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评委会将对确定为实质上响应的投标进行审核，看其是否有计算上或累加上的算术错误，修正错误的原则如下：</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7.5.1</w:t>
      </w:r>
      <w:r>
        <w:rPr>
          <w:rFonts w:hint="eastAsia" w:ascii="宋体" w:hAnsi="宋体" w:cs="宋体"/>
          <w:color w:val="auto"/>
          <w:szCs w:val="21"/>
          <w:highlight w:val="none"/>
          <w:lang w:val="zh-CN"/>
        </w:rPr>
        <w:t xml:space="preserve">投标文件中开标一览表（报价表）内容与投标文件中相应内容不一致的，以开标一览表（报价表）为准；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7.5.2</w:t>
      </w:r>
      <w:r>
        <w:rPr>
          <w:rFonts w:hint="eastAsia" w:ascii="宋体" w:hAnsi="宋体" w:cs="宋体"/>
          <w:color w:val="auto"/>
          <w:szCs w:val="21"/>
          <w:highlight w:val="none"/>
          <w:lang w:val="zh-CN"/>
        </w:rPr>
        <w:t xml:space="preserve">大写金额和小写金额不一致的，以大写金额为准；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7.5.3</w:t>
      </w:r>
      <w:r>
        <w:rPr>
          <w:rFonts w:hint="eastAsia" w:ascii="宋体" w:hAnsi="宋体" w:cs="宋体"/>
          <w:color w:val="auto"/>
          <w:szCs w:val="21"/>
          <w:highlight w:val="none"/>
          <w:lang w:val="zh-CN"/>
        </w:rPr>
        <w:t xml:space="preserve">单价金额小数点或者百分比有明显错位的，以开标一览表的总价为准，并修改单价；</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7.5.4</w:t>
      </w:r>
      <w:r>
        <w:rPr>
          <w:rFonts w:hint="eastAsia" w:ascii="宋体" w:hAnsi="宋体" w:cs="宋体"/>
          <w:color w:val="auto"/>
          <w:szCs w:val="21"/>
          <w:highlight w:val="none"/>
          <w:lang w:val="zh-CN"/>
        </w:rPr>
        <w:t xml:space="preserve">总价金额与按单价汇总金额不一致的，以单价金额计算结果为准。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7.5.5</w:t>
      </w:r>
      <w:r>
        <w:rPr>
          <w:rFonts w:hint="eastAsia" w:ascii="宋体" w:hAnsi="宋体" w:cs="宋体"/>
          <w:color w:val="auto"/>
          <w:szCs w:val="21"/>
          <w:highlight w:val="none"/>
          <w:lang w:val="zh-CN"/>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27</w:t>
      </w:r>
      <w:r>
        <w:rPr>
          <w:rFonts w:hint="eastAsia" w:ascii="宋体" w:hAnsi="宋体" w:cs="宋体"/>
          <w:color w:val="auto"/>
          <w:szCs w:val="21"/>
          <w:highlight w:val="none"/>
          <w:lang w:val="zh-CN"/>
        </w:rPr>
        <w:t xml:space="preserve">.6评标委员会有权拒绝被确定为非实质性响应的投标，投标单位不能通过修正或撤销不符之处而使其投标成为实质性响应的投标。</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27</w:t>
      </w:r>
      <w:r>
        <w:rPr>
          <w:rFonts w:hint="eastAsia" w:ascii="宋体" w:hAnsi="宋体" w:cs="宋体"/>
          <w:color w:val="auto"/>
          <w:szCs w:val="21"/>
          <w:highlight w:val="none"/>
          <w:lang w:val="zh-CN"/>
        </w:rPr>
        <w:t xml:space="preserve">.7评审过程中出现下列情况之一的，评审委员会应当启动异常低价投标（响应）审查程序：</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③投标（响应）报价低于采购项目最高限价45%的，即投标（响应）报价&lt;采购项目最高限价×45%；</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④评审委员会基于专业判断，认为供应商报价过低，有可能影响产品质量或者不能诚信履约的其他情形。</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采购人可以结合具体项目实际情况，提高上述第1项至第3项中启动异常低价投标（响应）审查的数值标准，但是最高不得超过65%。</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相关法律法规对供应商报价有规定的，从其规定。</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8</w:t>
      </w:r>
      <w:r>
        <w:rPr>
          <w:rFonts w:hint="eastAsia" w:ascii="宋体" w:hAnsi="宋体" w:cs="宋体"/>
          <w:b/>
          <w:color w:val="auto"/>
          <w:szCs w:val="21"/>
          <w:highlight w:val="none"/>
          <w:lang w:val="zh-CN"/>
        </w:rPr>
        <w:t xml:space="preserve">.投标的澄清</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.1对于投标文件中含义不明确、同类问题表述不一致或者有明显文字和计算错误的内容，评标委员会应当以书面形式要求投标人作出必要的澄清、说明或者补正。</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.2投标人的澄清、说明或者补正应当采用书面形式，并加盖</w:t>
      </w:r>
      <w:r>
        <w:rPr>
          <w:rFonts w:hint="eastAsia" w:ascii="宋体" w:hAnsi="宋体" w:cs="宋体"/>
          <w:color w:val="auto"/>
          <w:szCs w:val="21"/>
          <w:highlight w:val="none"/>
        </w:rPr>
        <w:t xml:space="preserve">其单位电子</w:t>
      </w:r>
      <w:r>
        <w:rPr>
          <w:rFonts w:hint="eastAsia" w:ascii="宋体" w:hAnsi="宋体" w:cs="宋体"/>
          <w:color w:val="auto"/>
          <w:szCs w:val="21"/>
          <w:highlight w:val="none"/>
          <w:lang w:val="zh-CN"/>
        </w:rPr>
        <w:t xml:space="preserve">公章。投标人的澄清、说明或者补正不得超出投标文件的范围或者改变投标文件的实质性内容。</w:t>
      </w:r>
      <w:r/>
    </w:p>
    <w:p>
      <w:pPr>
        <w:ind w:firstLine="422"/>
        <w:spacing w:line="400" w:lineRule="exact"/>
        <w:shd w:val="clear" w:color="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Cs w:val="21"/>
          <w:highlight w:val="none"/>
          <w:lang w:val="zh-CN"/>
        </w:rPr>
        <w:t xml:space="preserve">供应商应随时保持系统在线，如因供应商自身原因未在规定时间内提交澄清确认资料的，导致的不利后果由供应商自行承担。</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ascii="宋体" w:hAnsi="宋体" w:cs="宋体"/>
          <w:b/>
          <w:color w:val="auto"/>
          <w:szCs w:val="21"/>
          <w:highlight w:val="none"/>
          <w:lang w:val="zh-CN"/>
        </w:rPr>
        <w:t xml:space="preserve">9.</w:t>
      </w:r>
      <w:r>
        <w:rPr>
          <w:rFonts w:hint="eastAsia" w:ascii="宋体" w:hAnsi="宋体" w:cs="宋体"/>
          <w:b/>
          <w:color w:val="auto"/>
          <w:szCs w:val="21"/>
          <w:highlight w:val="none"/>
        </w:rPr>
        <w:t xml:space="preserve">无效投标和废标</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9</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1</w:t>
      </w:r>
      <w:r>
        <w:rPr>
          <w:rFonts w:hint="eastAsia" w:ascii="宋体" w:hAnsi="宋体" w:cs="宋体"/>
          <w:b/>
          <w:color w:val="auto"/>
          <w:highlight w:val="none"/>
        </w:rPr>
        <w:t xml:space="preserve">无效投标的具体情形有：</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9.1.1</w:t>
      </w:r>
      <w:r>
        <w:rPr>
          <w:rFonts w:hint="eastAsia" w:ascii="宋体" w:hAnsi="宋体" w:cs="宋体"/>
          <w:color w:val="auto"/>
          <w:szCs w:val="21"/>
          <w:highlight w:val="none"/>
          <w:lang w:val="zh-CN"/>
        </w:rPr>
        <w:t xml:space="preserve">未按照招标文件的规定提交《投标（响应）保证承诺书》；</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9.1.2</w:t>
      </w:r>
      <w:r>
        <w:rPr>
          <w:rFonts w:hint="eastAsia" w:ascii="宋体" w:hAnsi="宋体" w:cs="宋体"/>
          <w:color w:val="auto"/>
          <w:szCs w:val="21"/>
          <w:highlight w:val="none"/>
          <w:lang w:val="zh-CN"/>
        </w:rPr>
        <w:t xml:space="preserve">投标文件未按招标文件要求签署、盖章的；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9.1.3</w:t>
      </w:r>
      <w:r>
        <w:rPr>
          <w:rFonts w:hint="eastAsia" w:ascii="宋体" w:hAnsi="宋体" w:cs="宋体"/>
          <w:color w:val="auto"/>
          <w:szCs w:val="21"/>
          <w:highlight w:val="none"/>
          <w:lang w:val="zh-CN"/>
        </w:rPr>
        <w:t xml:space="preserve">不具备招标文件中规定的资格要求的；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9.1.4</w:t>
      </w:r>
      <w:r>
        <w:rPr>
          <w:rFonts w:hint="eastAsia" w:ascii="宋体" w:hAnsi="宋体" w:cs="宋体"/>
          <w:color w:val="auto"/>
          <w:szCs w:val="21"/>
          <w:highlight w:val="none"/>
          <w:lang w:val="zh-CN"/>
        </w:rPr>
        <w:t xml:space="preserve">报价超过招标文件中规定的预算金额或者最高限价的；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9.1.5</w:t>
      </w:r>
      <w:r>
        <w:rPr>
          <w:rFonts w:hint="eastAsia" w:ascii="宋体" w:hAnsi="宋体" w:cs="宋体"/>
          <w:color w:val="auto"/>
          <w:szCs w:val="21"/>
          <w:highlight w:val="none"/>
          <w:lang w:val="zh-CN"/>
        </w:rPr>
        <w:t xml:space="preserve">投标文件含有采购人不能接受的附加条件的；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9.1.6</w:t>
      </w:r>
      <w:r>
        <w:rPr>
          <w:rFonts w:hint="eastAsia" w:ascii="宋体" w:hAnsi="宋体" w:cs="宋体"/>
          <w:color w:val="auto"/>
          <w:szCs w:val="21"/>
          <w:highlight w:val="none"/>
          <w:lang w:val="zh-CN"/>
        </w:rPr>
        <w:t xml:space="preserve">投标文件与招标文件有重大偏离；</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9.1.7</w:t>
      </w:r>
      <w:r>
        <w:rPr>
          <w:rFonts w:hint="eastAsia" w:ascii="宋体" w:hAnsi="宋体" w:cs="宋体"/>
          <w:color w:val="auto"/>
          <w:szCs w:val="21"/>
          <w:highlight w:val="none"/>
          <w:lang w:val="zh-CN"/>
        </w:rPr>
        <w:t xml:space="preserve">平台报名系统内投标单位（投标单位）的报名名称（CA用户名）与投标文件中投标单位（投标单位）名称不一致的；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9.1.8</w:t>
      </w:r>
      <w:r>
        <w:rPr>
          <w:rFonts w:hint="eastAsia" w:ascii="宋体" w:hAnsi="宋体" w:cs="宋体"/>
          <w:color w:val="auto"/>
          <w:szCs w:val="21"/>
          <w:highlight w:val="none"/>
          <w:lang w:val="zh-CN"/>
        </w:rPr>
        <w:t xml:space="preserve">不同投标（响应）文件制作机器码一致的；</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9.1.9</w:t>
      </w:r>
      <w:r>
        <w:rPr>
          <w:rFonts w:hint="eastAsia" w:ascii="宋体" w:hAnsi="宋体" w:cs="宋体"/>
          <w:color w:val="auto"/>
          <w:szCs w:val="21"/>
          <w:highlight w:val="none"/>
          <w:lang w:val="zh-CN"/>
        </w:rPr>
        <w:t xml:space="preserve">因投标单位自身原因导致网上投标文件无法递交的其他情况；</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9.1.10</w:t>
      </w:r>
      <w:r>
        <w:rPr>
          <w:rFonts w:hint="eastAsia" w:ascii="宋体" w:hAnsi="宋体" w:cs="宋体"/>
          <w:color w:val="auto"/>
          <w:szCs w:val="21"/>
          <w:highlight w:val="none"/>
          <w:lang w:val="zh-CN"/>
        </w:rPr>
        <w:t xml:space="preserve">法律、法规和招标文件规定的其他无效情形。</w:t>
      </w:r>
      <w:r/>
    </w:p>
    <w:p>
      <w:pPr>
        <w:ind w:firstLine="422"/>
        <w:spacing w:line="400" w:lineRule="exact"/>
        <w:shd w:val="clear" w:color="auto"/>
        <w:rPr>
          <w:rFonts w:ascii="宋体" w:hAnsi="宋体" w:cs="宋体"/>
          <w:b/>
          <w:color w:val="auto"/>
          <w:szCs w:val="21"/>
          <w:highlight w:val="none"/>
          <w:lang w:val="zh-CN"/>
        </w:rPr>
      </w:pPr>
      <w:r>
        <w:rPr>
          <w:rFonts w:ascii="宋体" w:hAnsi="宋体" w:cs="宋体"/>
          <w:b/>
          <w:color w:val="auto"/>
          <w:szCs w:val="21"/>
          <w:highlight w:val="none"/>
        </w:rPr>
        <w:t xml:space="preserve">29.2</w:t>
      </w:r>
      <w:r>
        <w:rPr>
          <w:rFonts w:hint="eastAsia" w:ascii="宋体" w:hAnsi="宋体" w:cs="宋体"/>
          <w:b/>
          <w:color w:val="auto"/>
          <w:highlight w:val="none"/>
        </w:rPr>
        <w:t xml:space="preserve">废标的具体情形有：</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rPr>
        <w:t xml:space="preserve">29.2.1</w:t>
      </w:r>
      <w:r>
        <w:rPr>
          <w:rFonts w:hint="eastAsia" w:ascii="宋体" w:hAnsi="宋体" w:cs="宋体"/>
          <w:color w:val="auto"/>
          <w:szCs w:val="21"/>
          <w:highlight w:val="none"/>
          <w:lang w:val="zh-CN"/>
        </w:rPr>
        <w:t xml:space="preserve">符合专业条件的供应商或者对招标文件作实质投标的供应商不足</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家的；</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rPr>
        <w:t xml:space="preserve">29.2.2</w:t>
      </w:r>
      <w:r>
        <w:rPr>
          <w:rFonts w:hint="eastAsia" w:ascii="宋体" w:hAnsi="宋体" w:cs="宋体"/>
          <w:color w:val="auto"/>
          <w:szCs w:val="21"/>
          <w:highlight w:val="none"/>
          <w:lang w:val="zh-CN"/>
        </w:rPr>
        <w:t xml:space="preserve">出现影响采购公正的违法、违规行为的；</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rPr>
        <w:t xml:space="preserve">29.2.3</w:t>
      </w:r>
      <w:r>
        <w:rPr>
          <w:rFonts w:hint="eastAsia" w:ascii="宋体" w:hAnsi="宋体" w:cs="宋体"/>
          <w:color w:val="auto"/>
          <w:szCs w:val="21"/>
          <w:highlight w:val="none"/>
          <w:lang w:val="zh-CN"/>
        </w:rPr>
        <w:t xml:space="preserve">投标人的报价均超过了采购预算或最高限价，采购人不能支付的；</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rPr>
        <w:t xml:space="preserve">29.2.4</w:t>
      </w:r>
      <w:r>
        <w:rPr>
          <w:rFonts w:hint="eastAsia" w:ascii="宋体" w:hAnsi="宋体" w:cs="宋体"/>
          <w:color w:val="auto"/>
          <w:szCs w:val="21"/>
          <w:highlight w:val="none"/>
          <w:lang w:val="zh-CN"/>
        </w:rPr>
        <w:t xml:space="preserve">因重大变故，采购任务取消的；</w:t>
      </w:r>
      <w:r/>
    </w:p>
    <w:p>
      <w:pPr>
        <w:ind w:firstLine="420"/>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t xml:space="preserve">29</w:t>
      </w:r>
      <w:r>
        <w:rPr>
          <w:rFonts w:hint="eastAsia" w:ascii="宋体" w:hAnsi="宋体" w:cs="宋体"/>
          <w:b/>
          <w:bCs/>
          <w:color w:val="auto"/>
          <w:szCs w:val="21"/>
          <w:highlight w:val="none"/>
        </w:rPr>
        <w:t xml:space="preserve">.3投标单位应当遵循公平竞争的原则，不得恶意串通，不得妨碍其他投标单位的竞争行为，不得损害采购人或者其他投标单位的合法权益。</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评标过程中发现投标单位有下述情形的，评标小组应当认定其响应无效，并书面报告本级财政部门。</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有下列情形之一的，视为投标单位恶意串通，其投标无效：</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（1）不同投标单位的投标文件由同一单位或者个人编制；</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（2）不同投标单位委托同一单位或者个人办理投标事宜；</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（3）不同投标单位的投标文件载明的项目管理成员或者联系人员为同一人；</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（4）不同投标单位的投标文件异常一致或者报价呈规律性差异；</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（5）不同投标单位的投标文件相互混装。</w:t>
      </w:r>
      <w:r/>
    </w:p>
    <w:p>
      <w:pPr>
        <w:ind w:firstLine="420"/>
        <w:spacing w:line="400" w:lineRule="exact"/>
        <w:shd w:val="clear" w:color="auto"/>
        <w:rPr>
          <w:rFonts w:ascii="宋体" w:hAnsi="宋体" w:cs="宋体"/>
          <w:b/>
          <w:bCs/>
          <w:color w:val="auto"/>
          <w:szCs w:val="21"/>
          <w:highlight w:val="none"/>
          <w:lang w:val="zh-CN"/>
        </w:rPr>
      </w:pPr>
      <w:r>
        <w:rPr>
          <w:rFonts w:ascii="宋体" w:hAnsi="宋体" w:cs="宋体"/>
          <w:b/>
          <w:bCs/>
          <w:color w:val="auto"/>
          <w:szCs w:val="21"/>
          <w:highlight w:val="none"/>
          <w:lang w:val="zh-CN"/>
        </w:rPr>
        <w:t xml:space="preserve">30</w:t>
      </w:r>
      <w:r>
        <w:rPr>
          <w:rFonts w:hint="eastAsia" w:ascii="宋体" w:hAnsi="宋体" w:cs="宋体"/>
          <w:b/>
          <w:bCs/>
          <w:color w:val="auto"/>
          <w:szCs w:val="21"/>
          <w:highlight w:val="none"/>
          <w:lang w:val="zh-CN"/>
        </w:rPr>
        <w:t xml:space="preserve">.投标文件的评价和比较</w:t>
      </w:r>
      <w:r/>
    </w:p>
    <w:p>
      <w:pPr>
        <w:ind w:firstLine="420"/>
        <w:spacing w:line="400" w:lineRule="exact"/>
        <w:shd w:val="clear" w:color="auto"/>
        <w:rPr>
          <w:rFonts w:ascii="宋体" w:hAnsi="宋体" w:cs="宋体"/>
          <w:color w:val="auto"/>
          <w:szCs w:val="21"/>
          <w:highlight w:val="none"/>
          <w:lang w:val="zh-CN"/>
        </w:rPr>
      </w:pPr>
      <w:r/>
      <w:bookmarkStart w:id="35" w:name="_Toc19501"/>
      <w:r/>
      <w:bookmarkStart w:id="36" w:name="_Toc18442"/>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.1评标委员会将仅对按照本须知有关规定确定为实质上响应招标文件要求的投标文件进行评价和比较。</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评价和比较采用综合评分法，即指在最大限度地满足招标文件实质性要求的前提下，按照本招标文件中规定的评标方法和评分标准及其他各项因素进行综合评审后，以评标总得分最高的投标单位作为中标候选供应商或中标供应商的评标方法。评标委员会严格按照招标文件的要求、条件、评分标准，</w:t>
      </w:r>
      <w:r>
        <w:rPr>
          <w:rFonts w:hint="eastAsia" w:ascii="宋体" w:hAnsi="宋体" w:cs="宋体"/>
          <w:color w:val="auto"/>
          <w:szCs w:val="21"/>
          <w:highlight w:val="none"/>
        </w:rPr>
        <w:t xml:space="preserve">对</w:t>
      </w:r>
      <w:r>
        <w:rPr>
          <w:rFonts w:hint="eastAsia" w:ascii="宋体" w:hAnsi="宋体" w:cs="宋体"/>
          <w:color w:val="auto"/>
          <w:szCs w:val="21"/>
          <w:highlight w:val="none"/>
          <w:lang w:val="zh-CN"/>
        </w:rPr>
        <w:t xml:space="preserve">投标文件内容进行比较评价，同时考虑以下因素：</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.2.1交货状态和交货期；</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.2.2零配件价格及维修服务措施；</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.2.3货物设备出厂验收情况；</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.2.4投标者的履约能力；</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.2.5投标者提供的其他优惠条件；</w:t>
      </w:r>
      <w:r>
        <w:rPr>
          <w:rFonts w:hint="eastAsia" w:ascii="宋体" w:hAnsi="宋体" w:cs="宋体"/>
          <w:color w:val="auto"/>
          <w:szCs w:val="21"/>
          <w:highlight w:val="none"/>
          <w:lang w:val="zh-CN"/>
        </w:rPr>
        <w:tab/>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.2.6参与苏州市吴江区政府采购工作的态度及信誉；</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.2.7最低的投标报价是中标的重要条件但不是唯一条件。</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.3评标原则及方法</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.3.1公正、公平、公开、科学、择优。</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.3.2对所有投标文件的评审，均采用相同的程序和标准。</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.3.2.1评审方案的可行性、先进性、实用性以及风险等（含同类项目业绩，人员资质，实施本项目的资金能力、技术能力、履约能力和用户信誉等方面的从业表现等）。</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.3.2.2评审技术服务的承诺文件是否满足采购单位的要求。</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30</w:t>
      </w:r>
      <w:r>
        <w:rPr>
          <w:rFonts w:hint="eastAsia" w:ascii="宋体" w:hAnsi="宋体" w:cs="宋体"/>
          <w:color w:val="auto"/>
          <w:szCs w:val="21"/>
          <w:highlight w:val="none"/>
          <w:lang w:val="zh-CN"/>
        </w:rPr>
        <w:t xml:space="preserve">.3.2.3评委会根据评分标准（除报价）进行独立打分，公证员进行汇总并按算术平均方法计算出各投标单位的得分，报价得分根据评分标准直接计算取得，评委得分与报价得分之和最高者为中标单位。</w:t>
      </w:r>
      <w:r/>
    </w:p>
    <w:p>
      <w:pPr>
        <w:ind w:firstLine="422"/>
        <w:spacing w:line="400" w:lineRule="exact"/>
        <w:shd w:val="clear" w:color="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七、授予合同</w:t>
      </w:r>
      <w:bookmarkEnd w:id="35"/>
      <w:r/>
      <w:bookmarkEnd w:id="36"/>
      <w:r/>
      <w:r/>
    </w:p>
    <w:p>
      <w:pPr>
        <w:ind w:firstLine="422"/>
        <w:spacing w:line="400" w:lineRule="exact"/>
        <w:shd w:val="clear" w:color="auto"/>
        <w:rPr>
          <w:rFonts w:ascii="宋体" w:hAnsi="宋体" w:cs="宋体"/>
          <w:color w:val="auto"/>
          <w:szCs w:val="21"/>
          <w:highlight w:val="none"/>
          <w:lang w:val="zh-CN"/>
        </w:rPr>
      </w:pPr>
      <w:r>
        <w:rPr>
          <w:rFonts w:ascii="宋体" w:hAnsi="宋体" w:cs="宋体"/>
          <w:b/>
          <w:color w:val="auto"/>
          <w:szCs w:val="21"/>
          <w:highlight w:val="none"/>
          <w:lang w:val="zh-CN"/>
        </w:rPr>
        <w:t xml:space="preserve">31</w:t>
      </w:r>
      <w:r>
        <w:rPr>
          <w:rFonts w:hint="eastAsia" w:ascii="宋体" w:hAnsi="宋体" w:cs="宋体"/>
          <w:b/>
          <w:color w:val="auto"/>
          <w:szCs w:val="21"/>
          <w:highlight w:val="none"/>
          <w:lang w:val="zh-CN"/>
        </w:rPr>
        <w:t xml:space="preserve">.中标单位的确认</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31</w:t>
      </w:r>
      <w:r>
        <w:rPr>
          <w:rFonts w:hint="eastAsia" w:ascii="宋体" w:hAnsi="宋体" w:cs="宋体"/>
          <w:color w:val="auto"/>
          <w:szCs w:val="21"/>
          <w:highlight w:val="none"/>
          <w:lang w:val="zh-CN"/>
        </w:rPr>
        <w:t xml:space="preserve">.1评标委员会根据投标人资格审查情况，对投标文件进行评价和比较，按照评标办法和标准进行评标，并按采购人的委托向采购人推荐中标人。</w:t>
      </w:r>
      <w:r/>
    </w:p>
    <w:p>
      <w:pPr>
        <w:ind w:firstLine="420"/>
        <w:spacing w:line="400" w:lineRule="exact"/>
        <w:shd w:val="clear" w:color="auto"/>
        <w:rPr>
          <w:rFonts w:ascii="宋体" w:hAnsi="宋体" w:cs="宋体"/>
          <w:color w:val="auto"/>
          <w:szCs w:val="21"/>
          <w:highlight w:val="none"/>
          <w:lang w:val="zh-CN"/>
        </w:rPr>
      </w:pPr>
      <w:r>
        <w:rPr>
          <w:rFonts w:ascii="宋体" w:hAnsi="宋体" w:cs="宋体"/>
          <w:color w:val="auto"/>
          <w:szCs w:val="21"/>
          <w:highlight w:val="none"/>
          <w:lang w:val="zh-CN"/>
        </w:rPr>
        <w:t xml:space="preserve">31</w:t>
      </w:r>
      <w:r>
        <w:rPr>
          <w:rFonts w:hint="eastAsia" w:ascii="宋体" w:hAnsi="宋体" w:cs="宋体"/>
          <w:color w:val="auto"/>
          <w:szCs w:val="21"/>
          <w:highlight w:val="none"/>
          <w:lang w:val="zh-CN"/>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3</w:t>
      </w:r>
      <w:r>
        <w:rPr>
          <w:rFonts w:ascii="宋体" w:hAnsi="宋体" w:cs="宋体"/>
          <w:b/>
          <w:color w:val="auto"/>
          <w:szCs w:val="21"/>
          <w:highlight w:val="none"/>
        </w:rPr>
        <w:t xml:space="preserve">2</w:t>
      </w:r>
      <w:r>
        <w:rPr>
          <w:rFonts w:hint="eastAsia" w:ascii="宋体" w:hAnsi="宋体" w:cs="宋体"/>
          <w:b/>
          <w:color w:val="auto"/>
          <w:szCs w:val="21"/>
          <w:highlight w:val="none"/>
          <w:lang w:val="zh-CN"/>
        </w:rPr>
        <w:t xml:space="preserve">.合同授予标准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3</w:t>
      </w:r>
      <w:r>
        <w:rPr>
          <w:rFonts w:ascii="宋体" w:hAnsi="宋体" w:cs="宋体"/>
          <w:b/>
          <w:color w:val="auto"/>
          <w:szCs w:val="21"/>
          <w:highlight w:val="none"/>
        </w:rPr>
        <w:t xml:space="preserve">3</w:t>
      </w:r>
      <w:r>
        <w:rPr>
          <w:rFonts w:hint="eastAsia" w:ascii="宋体" w:hAnsi="宋体" w:cs="宋体"/>
          <w:b/>
          <w:color w:val="auto"/>
          <w:szCs w:val="21"/>
          <w:highlight w:val="none"/>
          <w:lang w:val="zh-CN"/>
        </w:rPr>
        <w:t xml:space="preserve">.中标通知书</w:t>
      </w:r>
      <w:r/>
    </w:p>
    <w:p>
      <w:pPr>
        <w:ind w:firstLine="420"/>
        <w:spacing w:line="400" w:lineRule="exact"/>
        <w:shd w:val="clear" w:color="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rPr>
        <w:t xml:space="preserve">3</w:t>
      </w:r>
      <w:r>
        <w:rPr>
          <w:rFonts w:hint="eastAsia" w:ascii="宋体" w:hAnsi="宋体" w:cs="宋体"/>
          <w:color w:val="auto"/>
          <w:szCs w:val="21"/>
          <w:highlight w:val="none"/>
          <w:lang w:val="zh-CN"/>
        </w:rPr>
        <w:t xml:space="preserve">.1确定出中标人后，采购代理机构在法定时间内向中标人发出中标通知书。</w:t>
      </w:r>
      <w:r>
        <w:rPr>
          <w:rFonts w:hint="eastAsia" w:ascii="宋体" w:hAnsi="宋体" w:cs="宋体"/>
          <w:b/>
          <w:color w:val="auto"/>
          <w:szCs w:val="21"/>
          <w:highlight w:val="none"/>
          <w:lang w:val="zh-CN"/>
        </w:rPr>
        <w:t xml:space="preserve">请中标人在中标结果公告届满之日起30日内,使用CA证书登录“苏采云”系统及时下载中标通知书。</w:t>
      </w:r>
      <w:r>
        <w:rPr>
          <w:rFonts w:hint="eastAsia" w:ascii="宋体" w:hAnsi="宋体" w:cs="宋体"/>
          <w:color w:val="auto"/>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.2中标通知书将成为合同的组成部分，对采购人和中标人具有同等法律效力。</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3.3</w:t>
      </w:r>
      <w:r>
        <w:rPr>
          <w:rFonts w:hint="eastAsia" w:ascii="宋体" w:hAnsi="宋体" w:cs="宋体"/>
          <w:color w:val="auto"/>
          <w:szCs w:val="21"/>
          <w:highlight w:val="none"/>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中标通知书发出后，采购人不得违法改变中标结果，中标人无正当理由不得放弃中标。</w:t>
      </w:r>
      <w:r/>
    </w:p>
    <w:p>
      <w:pPr>
        <w:ind w:firstLine="422"/>
        <w:spacing w:line="400" w:lineRule="exact"/>
        <w:shd w:val="clear" w:color="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3</w:t>
      </w:r>
      <w:r>
        <w:rPr>
          <w:rFonts w:ascii="宋体" w:hAnsi="宋体" w:cs="宋体"/>
          <w:b/>
          <w:color w:val="auto"/>
          <w:szCs w:val="21"/>
          <w:highlight w:val="none"/>
        </w:rPr>
        <w:t xml:space="preserve">4</w:t>
      </w:r>
      <w:r>
        <w:rPr>
          <w:rFonts w:hint="eastAsia" w:ascii="宋体" w:hAnsi="宋体" w:cs="宋体"/>
          <w:b/>
          <w:color w:val="auto"/>
          <w:szCs w:val="21"/>
          <w:highlight w:val="none"/>
          <w:lang w:val="zh-CN"/>
        </w:rPr>
        <w:t xml:space="preserve">.合同的签订</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.1中标单位应按中标通知书中规定的时间和地点，由法定代表人或委托代理人与甲方代表签订合同，否则按放弃中标权处理。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.2采购人与中标人所签订的合同不得对招标文件确定的事项和中标人投标文件作实质性修改，采购人不得向中标人提出任何不合理的要求作为签订合同的条件。</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.3招标文件、中标人的投标文件及招标过程中有关澄清、承诺文件均应作为合同附件。</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4.4</w:t>
      </w:r>
      <w:r>
        <w:rPr>
          <w:rFonts w:hint="eastAsia" w:ascii="宋体" w:hAnsi="宋体" w:cs="宋体"/>
          <w:color w:val="auto"/>
          <w:szCs w:val="21"/>
          <w:highlight w:val="none"/>
          <w:lang w:val="zh-CN"/>
        </w:rPr>
        <w:t xml:space="preserve">中标单位无正当理由拒签合同的，或在签订合同时向采购单位提出附加条件或者更改合同实质性内容的，报请政府采购监管部门对该投标单位进行相应的行政处罚。</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exact"/>
        <w:shd w:val="clear" w:color="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八、其他事项</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t xml:space="preserve">本项目代理服务费按</w:t>
      </w:r>
      <w:r>
        <w:rPr>
          <w:rFonts w:hint="eastAsia" w:ascii="宋体" w:hAnsi="宋体" w:eastAsia="宋体" w:cs="宋体"/>
          <w:color w:val="auto"/>
          <w:szCs w:val="21"/>
          <w:highlight w:val="none"/>
          <w:lang w:val="en-US" w:eastAsia="zh-CN"/>
        </w:rPr>
        <w:t xml:space="preserve">中介超市</w:t>
      </w:r>
      <w:r>
        <w:rPr>
          <w:rFonts w:hint="eastAsia" w:ascii="宋体" w:hAnsi="宋体" w:eastAsia="宋体" w:cs="宋体"/>
          <w:color w:val="auto"/>
          <w:szCs w:val="21"/>
          <w:highlight w:val="none"/>
          <w:lang w:val="zh-CN"/>
        </w:rPr>
        <w:t xml:space="preserve">中标系数(</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lang w:val="zh-CN"/>
        </w:rPr>
        <w:t xml:space="preserve">)执行，即最终费用按差额定率累进法计算的基准金额乘以该系数:(2)费率标准(差额定率累进法):预算金额100万以下费率为预算金额的1.5%;预算金额100万(含)-500万费率为预算金额的1.1%;预算金额500万(含)-1000万费率为预算金额的0.8%，预算金额1000万(含)-5000万费率为预算金额的0.5%。</w:t>
      </w:r>
      <w:r>
        <w:rPr>
          <w:rFonts w:hint="eastAsia" w:ascii="宋体" w:hAnsi="宋体" w:eastAsia="宋体" w:cs="宋体"/>
          <w:color w:val="auto"/>
          <w:szCs w:val="21"/>
          <w:highlight w:val="none"/>
          <w:lang w:val="en-US" w:eastAsia="zh-CN"/>
        </w:rPr>
        <w:t xml:space="preserve">本项目采购代理费由</w:t>
      </w:r>
      <w:r>
        <w:rPr>
          <w:rFonts w:hint="eastAsia" w:ascii="宋体" w:hAnsi="宋体" w:cs="宋体"/>
          <w:color w:val="auto"/>
          <w:szCs w:val="21"/>
          <w:highlight w:val="none"/>
          <w:lang w:val="en-US" w:eastAsia="zh-CN"/>
        </w:rPr>
        <w:t xml:space="preserve">中标单位</w:t>
      </w:r>
      <w:r>
        <w:rPr>
          <w:rFonts w:hint="eastAsia" w:ascii="宋体" w:hAnsi="宋体" w:eastAsia="宋体" w:cs="宋体"/>
          <w:color w:val="auto"/>
          <w:szCs w:val="21"/>
          <w:highlight w:val="none"/>
          <w:lang w:val="zh-CN"/>
        </w:rPr>
        <w:t xml:space="preserve">向采购代理机构一次性付清；</w:t>
      </w:r>
      <w:r>
        <w:rPr>
          <w:rFonts w:hint="eastAsia" w:ascii="宋体" w:hAnsi="宋体" w:eastAsia="宋体" w:cs="宋体"/>
          <w:color w:val="auto"/>
          <w:szCs w:val="21"/>
          <w:highlight w:val="none"/>
          <w:lang w:val="en-US" w:eastAsia="zh-CN"/>
        </w:rPr>
        <w:t xml:space="preserve">采购代理费金额为</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35180</w:t>
      </w:r>
      <w:r>
        <w:rPr>
          <w:rFonts w:hint="eastAsia" w:ascii="宋体" w:hAnsi="宋体" w:eastAsia="宋体" w:cs="宋体"/>
          <w:color w:val="auto"/>
          <w:szCs w:val="21"/>
          <w:highlight w:val="none"/>
          <w:u w:val="none"/>
          <w:lang w:val="en-US" w:eastAsia="zh-CN"/>
        </w:rPr>
        <w:t xml:space="preserve">元</w:t>
      </w:r>
      <w:r>
        <w:rPr>
          <w:rFonts w:hint="eastAsia" w:ascii="宋体" w:hAnsi="宋体" w:eastAsia="宋体" w:cs="宋体"/>
          <w:color w:val="auto"/>
          <w:szCs w:val="21"/>
          <w:highlight w:val="none"/>
          <w:lang w:val="zh-CN"/>
        </w:rPr>
        <w:t xml:space="preserve">。</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lang w:val="zh-TW" w:eastAsia="zh-CN"/>
        </w:rPr>
        <w:outlineLvl w:val="9"/>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采购代理服务费由</w:t>
      </w:r>
      <w:r>
        <w:rPr>
          <w:rFonts w:hint="eastAsia" w:ascii="宋体" w:hAnsi="宋体" w:cs="宋体"/>
          <w:color w:val="auto"/>
          <w:szCs w:val="21"/>
          <w:highlight w:val="none"/>
          <w:lang w:val="en-US" w:eastAsia="zh-CN"/>
        </w:rPr>
        <w:t xml:space="preserve">中标单位</w:t>
      </w:r>
      <w:r>
        <w:rPr>
          <w:rFonts w:hint="eastAsia" w:ascii="宋体" w:hAnsi="宋体" w:cs="宋体"/>
          <w:color w:val="auto"/>
          <w:szCs w:val="21"/>
          <w:highlight w:val="none"/>
        </w:rPr>
        <w:t xml:space="preserve">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投标报价应包含采购代理服务费，</w:t>
      </w:r>
      <w:r>
        <w:rPr>
          <w:rFonts w:hint="eastAsia" w:ascii="宋体" w:hAnsi="宋体" w:cs="宋体"/>
          <w:color w:val="auto"/>
          <w:szCs w:val="21"/>
          <w:highlight w:val="none"/>
        </w:rPr>
        <w:t xml:space="preserve">请各供应商在</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报价时予以综合考虑。</w:t>
      </w:r>
      <w:r/>
    </w:p>
    <w:p>
      <w:pPr>
        <w:ind w:firstLine="420"/>
        <w:keepLines w:val="0"/>
        <w:keepNext w:val="0"/>
        <w:pageBreakBefore w:val="0"/>
        <w:spacing w:line="360" w:lineRule="auto"/>
        <w:shd w:val="clear" w:color="auto"/>
        <w:rPr>
          <w:rFonts w:ascii="宋体" w:hAnsi="宋体" w:eastAsia="宋体" w:cs="宋体"/>
          <w:color w:val="auto"/>
          <w:highlight w:val="none"/>
        </w:rPr>
        <w:outlineLvl w:val="9"/>
      </w:pPr>
      <w:r>
        <w:rPr>
          <w:rFonts w:hint="eastAsia" w:ascii="宋体" w:hAnsi="宋体" w:eastAsia="宋体" w:cs="宋体"/>
          <w:color w:val="auto"/>
          <w:highlight w:val="none"/>
        </w:rPr>
        <w:t xml:space="preserve">账户名：</w:t>
      </w:r>
      <w:r>
        <w:rPr>
          <w:rFonts w:hint="eastAsia" w:ascii="宋体" w:hAnsi="宋体" w:eastAsia="宋体" w:cs="宋体"/>
          <w:color w:val="auto"/>
          <w:highlight w:val="none"/>
          <w:lang w:eastAsia="zh-CN"/>
        </w:rPr>
        <w:t xml:space="preserve">苏州永正造价师事务所有限公司</w:t>
      </w:r>
      <w:r>
        <w:rPr>
          <w:rFonts w:hint="eastAsia" w:ascii="宋体" w:hAnsi="宋体" w:eastAsia="宋体" w:cs="宋体"/>
          <w:color w:val="auto"/>
          <w:highlight w:val="none"/>
        </w:rPr>
        <w:t xml:space="preserve">吴江分公司</w:t>
      </w:r>
      <w:r/>
    </w:p>
    <w:p>
      <w:pPr>
        <w:ind w:firstLine="420"/>
        <w:keepLines w:val="0"/>
        <w:keepNext w:val="0"/>
        <w:pageBreakBefore w:val="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账  号：</w:t>
      </w:r>
      <w:r>
        <w:rPr>
          <w:rFonts w:hint="eastAsia" w:ascii="宋体" w:hAnsi="宋体" w:eastAsia="宋体" w:cs="宋体"/>
          <w:color w:val="auto"/>
          <w:sz w:val="21"/>
          <w:szCs w:val="21"/>
          <w:highlight w:val="none"/>
        </w:rPr>
        <w:t xml:space="preserve">1102022009200734225</w:t>
      </w:r>
      <w:r/>
    </w:p>
    <w:p>
      <w:pPr>
        <w:ind w:firstLine="420"/>
        <w:keepLines w:val="0"/>
        <w:keepNext w:val="0"/>
        <w:pageBreakBefore w:val="0"/>
        <w:spacing w:line="360" w:lineRule="auto"/>
        <w:shd w:val="clear" w:color="auto"/>
        <w:rPr>
          <w:rFonts w:hint="eastAsia" w:ascii="宋体" w:hAnsi="宋体" w:cs="宋体"/>
          <w:color w:val="auto"/>
          <w:szCs w:val="21"/>
          <w:highlight w:val="none"/>
        </w:rPr>
        <w:outlineLvl w:val="9"/>
      </w:pPr>
      <w:r>
        <w:rPr>
          <w:rFonts w:hint="eastAsia" w:ascii="宋体" w:hAnsi="宋体" w:eastAsia="宋体" w:cs="宋体"/>
          <w:color w:val="auto"/>
          <w:highlight w:val="none"/>
        </w:rPr>
        <w:t xml:space="preserve">开 户 银 行：</w:t>
      </w:r>
      <w:r>
        <w:rPr>
          <w:rFonts w:hint="eastAsia" w:ascii="宋体" w:hAnsi="宋体" w:eastAsia="宋体" w:cs="宋体"/>
          <w:color w:val="auto"/>
          <w:sz w:val="21"/>
          <w:szCs w:val="21"/>
          <w:highlight w:val="none"/>
        </w:rPr>
        <w:t xml:space="preserve">中国工商银行股份有限公司苏州长三角一体化示范区分行</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.1政府有关监督部门将对招投标全过程进行监督。</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.未尽事宜</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spacing w:line="360" w:lineRule="auto"/>
        <w:shd w:val="clear" w:color="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963"/>
        <w:spacing w:line="360" w:lineRule="auto"/>
        <w:shd w:val="clear" w:color="auto"/>
        <w:rPr>
          <w:rFonts w:hAnsi="宋体" w:cs="宋体"/>
          <w:color w:val="auto"/>
          <w:highlight w:val="none"/>
        </w:rPr>
      </w:pPr>
      <w:r>
        <w:rPr>
          <w:rFonts w:hAnsi="宋体" w:cs="宋体"/>
          <w:color w:val="auto"/>
          <w:highlight w:val="none"/>
        </w:rPr>
      </w:r>
      <w:r/>
    </w:p>
    <w:p>
      <w:pPr>
        <w:pStyle w:val="754"/>
        <w:jc w:val="center"/>
        <w:pageBreakBefore/>
        <w:spacing w:line="360" w:lineRule="auto"/>
        <w:shd w:val="clear" w:color="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12"/>
      <w:r/>
      <w:bookmarkEnd w:id="13"/>
      <w:r/>
      <w:bookmarkEnd w:id="14"/>
      <w:r/>
      <w:bookmarkEnd w:id="15"/>
      <w:r/>
      <w:r/>
    </w:p>
    <w:p>
      <w:pPr>
        <w:ind w:left="-73" w:firstLine="517"/>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755"/>
        <w:jc w:val="left"/>
        <w:spacing w:before="480" w:after="240"/>
        <w:shd w:val="clear" w:color="auto"/>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766"/>
        <w:ind w:firstLine="0"/>
        <w:jc w:val="center"/>
        <w:keepLines w:val="0"/>
        <w:keepNext w:val="0"/>
        <w:pageBreakBefore w:val="0"/>
        <w:spacing w:line="360" w:lineRule="auto"/>
        <w:shd w:val="clear" w:color="auto"/>
        <w:widowControl w:val="off"/>
        <w:rPr>
          <w:rFonts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66"/>
        <w:jc w:val="both"/>
        <w:spacing w:line="360" w:lineRule="auto"/>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w:t>
      </w:r>
      <w:r>
        <w:rPr>
          <w:rFonts w:hint="eastAsia" w:ascii="宋体" w:hAnsi="宋体" w:eastAsia="宋体" w:cs="宋体"/>
          <w:color w:val="auto"/>
          <w:sz w:val="21"/>
          <w:highlight w:val="none"/>
          <w:lang w:eastAsia="zh-CN"/>
        </w:rPr>
        <w:t xml:space="preserve">苏州永正造价师事务所有限公司</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号的招标活动。代理人在报名、制作投标文件、开标、评标、合同谈判过程中所签署的一切文件和处理与这有关的一切事务，我均予以承认。</w:t>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66"/>
        <w:jc w:val="both"/>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66"/>
        <w:spacing w:line="360" w:lineRule="auto"/>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66"/>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shd w:val="clear" w:color="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66"/>
        <w:ind w:firstLine="0"/>
        <w:spacing w:line="360" w:lineRule="auto"/>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66"/>
        <w:spacing w:line="360" w:lineRule="auto"/>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shd w:val="clear" w:color="auto"/>
        <w:rPr>
          <w:rFonts w:ascii="宋体" w:hAnsi="宋体"/>
          <w:b/>
          <w:bCs/>
          <w:color w:val="auto"/>
          <w:szCs w:val="21"/>
          <w:highlight w:val="none"/>
        </w:rPr>
      </w:pPr>
      <w:r>
        <w:rPr>
          <w:rFonts w:hint="eastAsia" w:ascii="宋体" w:hAnsi="宋体"/>
          <w:b/>
          <w:bCs/>
          <w:color w:val="auto"/>
          <w:szCs w:val="21"/>
          <w:highlight w:val="none"/>
        </w:rPr>
        <w:br w:type="page" w:clear="all"/>
      </w:r>
      <w:r/>
    </w:p>
    <w:p>
      <w:pPr>
        <w:pStyle w:val="755"/>
        <w:jc w:val="left"/>
        <w:spacing w:before="480" w:after="240"/>
        <w:shd w:val="clear" w:color="auto"/>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苏州永正造价师事务所有限公司</w:t>
      </w:r>
      <w:r>
        <w:rPr>
          <w:rFonts w:hint="eastAsia" w:ascii="宋体" w:hAnsi="宋体" w:cs="宋体"/>
          <w:color w:val="auto"/>
          <w:szCs w:val="21"/>
          <w:highlight w:val="none"/>
        </w:rPr>
        <w:t xml:space="preserve">：</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号招标文件，经仔细阅读和研究，我们决定参加投标，并承诺如下：</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1、投标报价应包括完成该项目招标文件全部内容的一切费用，投标报价为最终报价，报价在合同实施期间不因市场变化因素而变动。</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2、如果我方的投标书被接受，我方将严格履行</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中规定的每一项要求，严格履行合同的责任和义务，保证按期、按质履行合同，完成合同内容所规定的全部工作。</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3、我方同意按</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中的规定，本投标书的有效期限为开标后90天。</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4、我方愿意提供采购方在</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5、我方认为贵方有权决定中标者，还认为贵方有权接受或拒绝所有的投标者。</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6、我方同意因服务过程中的不当，造成服务现场的设施、设备等损坏的，采购方有权要求我方全额赔偿。</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7、我方愿意遵守采购公告及</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中所列的收费标准。</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8、我方承诺该项投标在开标后的全过程中保持有效，不作任何更改和变动。我方同意中标后若不履行投标文件的内容要求和各项承诺及义务的即被视为违约，我方的中标资格将被取消。</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9、我方同意若中标后无法按约定条款履行义务等行为，采购方有权取消我方的中标资格。</w:t>
      </w:r>
      <w:r/>
    </w:p>
    <w:p>
      <w:pPr>
        <w:pStyle w:val="1061"/>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10、与本投标有关的通讯地址：</w:t>
      </w:r>
      <w:r/>
    </w:p>
    <w:p>
      <w:pPr>
        <w:pStyle w:val="967"/>
        <w:ind w:firstLine="492"/>
        <w:spacing w:line="340" w:lineRule="exact"/>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                     联系人：</w:t>
      </w:r>
      <w:r/>
    </w:p>
    <w:p>
      <w:pPr>
        <w:pStyle w:val="967"/>
        <w:ind w:firstLine="492"/>
        <w:spacing w:line="340" w:lineRule="exact"/>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邮政编码：</w:t>
      </w:r>
      <w:r/>
    </w:p>
    <w:p>
      <w:pPr>
        <w:pStyle w:val="967"/>
        <w:ind w:firstLine="492"/>
        <w:spacing w:line="340" w:lineRule="exact"/>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                 传真：</w:t>
      </w:r>
      <w:r/>
    </w:p>
    <w:p>
      <w:pPr>
        <w:pStyle w:val="967"/>
        <w:ind w:firstLine="525"/>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邮箱：</w:t>
      </w:r>
      <w:r/>
    </w:p>
    <w:p>
      <w:pPr>
        <w:pStyle w:val="967"/>
        <w:ind w:firstLine="525"/>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7"/>
        <w:ind w:firstLine="525"/>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967"/>
        <w:ind w:firstLine="525"/>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法定代表人或代理人：（签字或签章）</w:t>
      </w:r>
      <w:r/>
    </w:p>
    <w:p>
      <w:pPr>
        <w:pStyle w:val="967"/>
        <w:ind w:firstLine="1050"/>
        <w:jc w:val="left"/>
        <w:spacing w:line="3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p>
      <w:pPr>
        <w:pStyle w:val="755"/>
        <w:jc w:val="left"/>
        <w:spacing w:before="480" w:after="240"/>
        <w:shd w:val="clear" w:color="auto"/>
        <w:rPr>
          <w:rFonts w:ascii="宋体" w:hAnsi="宋体" w:eastAsia="宋体" w:cs="宋体"/>
          <w:b w:val="0"/>
          <w:bCs w:val="0"/>
          <w:color w:val="auto"/>
          <w:szCs w:val="21"/>
          <w:highlight w:val="none"/>
          <w:lang w:val="zh-CN"/>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附件3：开标一览表（总报价）</w:t>
      </w:r>
      <w:r/>
    </w:p>
    <w:p>
      <w:pPr>
        <w:pStyle w:val="772"/>
        <w:jc w:val="cente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96"/>
        <w:keepLines w:val="0"/>
        <w:keepNext w:val="0"/>
        <w:shd w:val="clear" w:color="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投标人全称（加盖公章）：供应商名称 </w:t>
      </w:r>
      <w:r/>
    </w:p>
    <w:p>
      <w:pPr>
        <w:pStyle w:val="796"/>
        <w:keepLines w:val="0"/>
        <w:keepNext w:val="0"/>
        <w:shd w:val="clear" w:color="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项目编号：项目编号 </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jc w:val="both"/>
              <w:spacing w:line="360" w:lineRule="exact"/>
              <w:shd w:val="clear" w:color="auto"/>
              <w:rPr>
                <w:rFonts w:ascii="宋体" w:hAnsi="宋体"/>
                <w:color w:val="auto"/>
                <w:szCs w:val="21"/>
                <w:highlight w:val="none"/>
                <w:lang w:val="zh-CN"/>
              </w:rPr>
            </w:pPr>
            <w:r>
              <w:rPr>
                <w:rFonts w:ascii="宋体" w:hAnsi="宋体" w:eastAsia="宋体" w:cs="宋体"/>
                <w:color w:val="auto"/>
                <w:sz w:val="24"/>
                <w:szCs w:val="24"/>
                <w:highlight w:val="none"/>
              </w:rPr>
              <w:t xml:space="preserve">项目名称</w:t>
            </w:r>
            <w:r/>
          </w:p>
        </w:tc>
        <w:tc>
          <w:tcPr>
            <w:tcW w:w="6539" w:type="dxa"/>
            <w:vAlign w:val="center"/>
            <w:textDirection w:val="lrTb"/>
            <w:noWrap w:val="false"/>
          </w:tcPr>
          <w:p>
            <w:pPr>
              <w:jc w:val="left"/>
              <w:spacing w:line="360" w:lineRule="exact"/>
              <w:shd w:val="clear" w:color="auto"/>
              <w:rPr>
                <w:rFonts w:ascii="宋体" w:hAnsi="宋体"/>
                <w:color w:val="auto"/>
                <w:szCs w:val="21"/>
                <w:highlight w:val="none"/>
                <w:lang w:val="zh-CN"/>
              </w:rPr>
            </w:pPr>
            <w:r>
              <w:rPr>
                <w:rFonts w:ascii="宋体" w:hAnsi="宋体" w:eastAsia="宋体" w:cs="宋体"/>
                <w:color w:val="auto"/>
                <w:sz w:val="24"/>
                <w:szCs w:val="24"/>
                <w:highlight w:val="none"/>
              </w:rPr>
              <w:t xml:space="preserve">投标总报价</w:t>
            </w:r>
            <w:r/>
          </w:p>
        </w:tc>
      </w:tr>
      <w:tr>
        <w:trPr>
          <w:jc w:val="center"/>
          <w:trHeight w:val="680"/>
        </w:trPr>
        <w:tc>
          <w:tcPr>
            <w:tcW w:w="2930" w:type="dxa"/>
            <w:vAlign w:val="center"/>
            <w:textDirection w:val="lrTb"/>
            <w:noWrap w:val="false"/>
          </w:tcPr>
          <w:p>
            <w:pPr>
              <w:jc w:val="both"/>
              <w:spacing w:line="360" w:lineRule="exact"/>
              <w:shd w:val="clear" w:color="auto"/>
              <w:rPr>
                <w:rFonts w:ascii="宋体" w:hAnsi="宋体"/>
                <w:color w:val="auto"/>
                <w:szCs w:val="21"/>
                <w:highlight w:val="none"/>
                <w:lang w:val="zh-CN"/>
              </w:rPr>
            </w:pPr>
            <w:r>
              <w:rPr>
                <w:rFonts w:ascii="宋体" w:hAnsi="宋体" w:eastAsia="宋体" w:cs="宋体"/>
                <w:color w:val="auto"/>
                <w:sz w:val="24"/>
                <w:szCs w:val="24"/>
                <w:highlight w:val="none"/>
              </w:rPr>
              <w:t xml:space="preserve">项目名称</w:t>
            </w:r>
            <w:r/>
          </w:p>
        </w:tc>
        <w:tc>
          <w:tcPr>
            <w:tcW w:w="6539" w:type="dxa"/>
            <w:vAlign w:val="center"/>
            <w:textDirection w:val="lrTb"/>
            <w:noWrap w:val="false"/>
          </w:tcPr>
          <w:p>
            <w:pPr>
              <w:jc w:val="left"/>
              <w:spacing w:line="360" w:lineRule="exact"/>
              <w:shd w:val="clear" w:color="auto"/>
              <w:rPr>
                <w:rFonts w:ascii="宋体" w:hAnsi="宋体"/>
                <w:color w:val="auto"/>
                <w:szCs w:val="21"/>
                <w:highlight w:val="none"/>
                <w:lang w:val="zh-CN"/>
              </w:rPr>
            </w:pPr>
            <w:r>
              <w:rPr>
                <w:rFonts w:ascii="宋体" w:hAnsi="宋体" w:eastAsia="宋体" w:cs="宋体"/>
                <w:color w:val="auto"/>
                <w:sz w:val="24"/>
                <w:szCs w:val="24"/>
                <w:highlight w:val="none"/>
              </w:rPr>
              <w:t xml:space="preserve">小写：</w:t>
            </w:r>
            <w:r>
              <w:rPr>
                <w:rFonts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35" cy="0"/>
                      <wp:effectExtent l="0" t="0" r="0" b="0"/>
                      <wp:docPr id="3" name="矩形 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（元人民币）</w:t>
            </w:r>
            <w:r/>
          </w:p>
        </w:tc>
      </w:tr>
      <w:tr>
        <w:trPr>
          <w:jc w:val="center"/>
          <w:trHeight w:val="680"/>
        </w:trPr>
        <w:tc>
          <w:tcPr>
            <w:tcW w:w="2930" w:type="dxa"/>
            <w:vAlign w:val="center"/>
            <w:textDirection w:val="lrTb"/>
            <w:noWrap w:val="false"/>
          </w:tcPr>
          <w:p>
            <w:pPr>
              <w:jc w:val="both"/>
              <w:spacing w:line="360" w:lineRule="exact"/>
              <w:shd w:val="clear" w:color="auto"/>
              <w:rPr>
                <w:rFonts w:ascii="宋体" w:hAnsi="宋体"/>
                <w:color w:val="auto"/>
                <w:szCs w:val="21"/>
                <w:highlight w:val="none"/>
                <w:lang w:val="zh-CN"/>
              </w:rPr>
            </w:pPr>
            <w:r>
              <w:rPr>
                <w:rFonts w:ascii="宋体" w:hAnsi="宋体" w:eastAsia="宋体" w:cs="宋体"/>
                <w:color w:val="auto"/>
                <w:sz w:val="24"/>
                <w:szCs w:val="24"/>
                <w:highlight w:val="none"/>
              </w:rPr>
              <w:t xml:space="preserve">投标报价大写金额</w:t>
            </w:r>
            <w:r/>
          </w:p>
        </w:tc>
        <w:tc>
          <w:tcPr>
            <w:tcW w:w="6539" w:type="dxa"/>
            <w:vAlign w:val="center"/>
            <w:textDirection w:val="lrTb"/>
            <w:noWrap w:val="false"/>
          </w:tcPr>
          <w:p>
            <w:pPr>
              <w:jc w:val="left"/>
              <w:spacing w:line="360" w:lineRule="exact"/>
              <w:shd w:val="clear" w:color="auto"/>
              <w:rPr>
                <w:rFonts w:ascii="宋体" w:hAnsi="宋体"/>
                <w:color w:val="auto"/>
                <w:szCs w:val="21"/>
                <w:highlight w:val="none"/>
                <w:lang w:val="zh-CN"/>
              </w:rPr>
            </w:pPr>
            <w:r>
              <w:rPr>
                <w:rFonts w:ascii="宋体" w:hAnsi="宋体" w:eastAsia="宋体" w:cs="宋体"/>
                <w:color w:val="auto"/>
                <w:sz w:val="24"/>
                <w:szCs w:val="24"/>
                <w:highlight w:val="none"/>
              </w:rPr>
              <w:t xml:space="preserve">金额大写</w:t>
            </w:r>
            <w:r/>
          </w:p>
        </w:tc>
      </w:tr>
    </w:tbl>
    <w:p>
      <w:pPr>
        <w:ind w:firstLine="210"/>
        <w:spacing w:line="360" w:lineRule="auto"/>
        <w:shd w:val="clear" w:color="auto"/>
        <w:rPr>
          <w:rFonts w:ascii="宋体" w:hAnsi="宋体" w:cs="宋体"/>
          <w:color w:val="auto"/>
          <w:highlight w:val="none"/>
        </w:rPr>
      </w:pPr>
      <w:r>
        <w:rPr>
          <w:rFonts w:ascii="宋体" w:hAnsi="宋体" w:cs="宋体"/>
          <w:color w:val="auto"/>
          <w:highlight w:val="none"/>
        </w:rPr>
      </w:r>
      <w:r/>
    </w:p>
    <w:p>
      <w:pPr>
        <w:ind w:firstLine="210"/>
        <w:jc w:val="right"/>
        <w:spacing w:line="360" w:lineRule="auto"/>
        <w:shd w:val="clear" w:color="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pStyle w:val="796"/>
        <w:keepLines w:val="0"/>
        <w:keepNext w:val="0"/>
        <w:shd w:val="clear" w:color="auto"/>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t xml:space="preserve">填写说明：</w:t>
      </w:r>
      <w:r/>
    </w:p>
    <w:p>
      <w:pPr>
        <w:pStyle w:val="796"/>
        <w:keepLines w:val="0"/>
        <w:keepNext w:val="0"/>
        <w:shd w:val="clear" w:color="auto"/>
        <w:widowControl/>
        <w:rPr>
          <w:rFonts w:hint="eastAsia" w:ascii="宋体" w:hAnsi="宋体" w:eastAsia="宋体" w:cs="宋体"/>
          <w:i w:val="0"/>
          <w:iCs w:val="0"/>
          <w:color w:val="auto"/>
          <w:sz w:val="21"/>
          <w:szCs w:val="21"/>
          <w:highlight w:val="none"/>
        </w:rPr>
        <w:suppressLineNumbers w:val="0"/>
      </w:pPr>
      <w:r>
        <w:rPr>
          <w:rStyle w:val="806"/>
          <w:rFonts w:hint="eastAsia" w:ascii="宋体" w:hAnsi="宋体" w:eastAsia="宋体" w:cs="宋体"/>
          <w:i w:val="0"/>
          <w:iCs w:val="0"/>
          <w:color w:val="auto"/>
          <w:sz w:val="21"/>
          <w:szCs w:val="21"/>
          <w:highlight w:val="none"/>
          <w:u w:val="single"/>
        </w:rPr>
        <w:t xml:space="preserve">1、开标一览表必须加盖投标人公章（复印件无效）。</w:t>
      </w:r>
      <w:r/>
    </w:p>
    <w:p>
      <w:pPr>
        <w:shd w:val="clear" w:color="auto"/>
        <w:rPr>
          <w:rFonts w:ascii="宋体" w:hAnsi="宋体" w:cs="宋体"/>
          <w:color w:val="auto"/>
          <w:szCs w:val="20"/>
          <w:highlight w:val="none"/>
        </w:rPr>
      </w:pPr>
      <w:r>
        <w:rPr>
          <w:rFonts w:hint="eastAsia" w:ascii="宋体" w:hAnsi="宋体" w:cs="宋体"/>
          <w:color w:val="auto"/>
          <w:szCs w:val="20"/>
          <w:highlight w:val="none"/>
        </w:rPr>
        <w:br w:type="page" w:clear="all"/>
      </w:r>
      <w:r/>
    </w:p>
    <w:p>
      <w:pPr>
        <w:pStyle w:val="755"/>
        <w:jc w:val="left"/>
        <w:spacing w:before="480" w:after="240"/>
        <w:shd w:val="clear" w:color="auto"/>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附件4：公开分项报价</w:t>
      </w:r>
      <w:r/>
    </w:p>
    <w:p>
      <w:pPr>
        <w:pStyle w:val="765"/>
        <w:jc w:val="center"/>
        <w:shd w:val="clear" w:color="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分项报价</w:t>
      </w:r>
      <w:r/>
    </w:p>
    <w:tbl>
      <w:tblPr>
        <w:tblStyle w:val="764"/>
        <w:tblW w:w="4897" w:type="pct"/>
        <w:tblInd w:w="188" w:type="dxa"/>
        <w:tblLayout w:type="autofit"/>
        <w:tblCellMar>
          <w:left w:w="10" w:type="dxa"/>
          <w:top w:w="0" w:type="dxa"/>
          <w:right w:w="10" w:type="dxa"/>
          <w:bottom w:w="0" w:type="dxa"/>
        </w:tblCellMar>
        <w:tblLook w:val="04A0" w:firstRow="1" w:lastRow="0" w:firstColumn="1" w:lastColumn="0" w:noHBand="0" w:noVBand="1"/>
      </w:tblPr>
      <w:tblGrid>
        <w:gridCol w:w="664"/>
        <w:gridCol w:w="3086"/>
        <w:gridCol w:w="813"/>
        <w:gridCol w:w="813"/>
        <w:gridCol w:w="813"/>
        <w:gridCol w:w="813"/>
        <w:gridCol w:w="813"/>
        <w:gridCol w:w="814"/>
        <w:gridCol w:w="830"/>
      </w:tblGrid>
      <w:tr>
        <w:trPr>
          <w:trHeight w:val="510"/>
        </w:trPr>
        <w:tc>
          <w:tcPr>
            <w:tcBorders>
              <w:top w:val="single" w:color="auto" w:sz="6"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6"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auto" w:sz="6"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品牌</w:t>
            </w:r>
            <w:r/>
          </w:p>
        </w:tc>
        <w:tc>
          <w:tcPr>
            <w:tcBorders>
              <w:top w:val="single" w:color="auto" w:sz="6"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制造商</w:t>
            </w:r>
            <w:r/>
          </w:p>
        </w:tc>
        <w:tc>
          <w:tcPr>
            <w:tcBorders>
              <w:top w:val="single" w:color="auto" w:sz="6"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auto" w:sz="6"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6"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单价</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（元）</w:t>
            </w:r>
            <w:r/>
          </w:p>
        </w:tc>
        <w:tc>
          <w:tcPr>
            <w:tcBorders>
              <w:top w:val="single" w:color="auto" w:sz="6" w:space="0"/>
              <w:left w:val="none" w:color="000000"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总价</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（元）</w:t>
            </w:r>
            <w:r/>
          </w:p>
        </w:tc>
        <w:tc>
          <w:tcPr>
            <w:tcBorders>
              <w:top w:val="single" w:color="auto" w:sz="6" w:space="0"/>
              <w:left w:val="none" w:color="000000" w:sz="4" w:space="0"/>
              <w:bottom w:val="single" w:color="auto" w:sz="6" w:space="0"/>
              <w:right w:val="single" w:color="auto" w:sz="6"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510"/>
        </w:trPr>
        <w:tc>
          <w:tcPr>
            <w:tcBorders>
              <w:top w:val="none" w:color="000000" w:sz="4" w:space="0"/>
              <w:left w:val="single" w:color="auto" w:sz="6" w:space="0"/>
              <w:bottom w:val="single" w:color="000000"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none" w:color="000000" w:sz="4" w:space="0"/>
              <w:bottom w:val="single" w:color="auto" w:sz="4" w:space="0"/>
              <w:right w:val="single" w:color="auto" w:sz="6"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Borders>
              <w:top w:val="none" w:color="000000" w:sz="4" w:space="0"/>
              <w:left w:val="single" w:color="auto" w:sz="6" w:space="0"/>
              <w:bottom w:val="single" w:color="auto" w:sz="6" w:space="0"/>
              <w:right w:val="single" w:color="auto" w:sz="6" w:space="0"/>
            </w:tcBorders>
            <w:tcW w:w="351"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p>
        </w:tc>
        <w:tc>
          <w:tcPr>
            <w:tcBorders>
              <w:top w:val="none" w:color="000000" w:sz="4" w:space="0"/>
              <w:left w:val="none" w:color="000000" w:sz="4" w:space="0"/>
              <w:bottom w:val="single" w:color="auto" w:sz="6" w:space="0"/>
              <w:right w:val="single" w:color="auto" w:sz="4" w:space="0"/>
            </w:tcBorders>
            <w:tcW w:w="1631"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6"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6" w:space="0"/>
              <w:right w:val="single" w:color="auto" w:sz="4"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6" w:space="0"/>
            </w:tcBorders>
            <w:tcW w:w="43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3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9"/>
            <w:tcBorders>
              <w:top w:val="single" w:color="auto" w:sz="6" w:space="0"/>
              <w:left w:val="single" w:color="auto" w:sz="6" w:space="0"/>
              <w:bottom w:val="single" w:color="auto" w:sz="6" w:space="0"/>
              <w:right w:val="single" w:color="auto" w:sz="6" w:space="0"/>
            </w:tcBorders>
            <w:tcW w:w="5000" w:type="pct"/>
            <w:vAlign w:val="bottom"/>
            <w:textDirection w:val="lrTb"/>
            <w:noWrap w:val="false"/>
          </w:tcPr>
          <w:p>
            <w:pPr>
              <w:shd w:val="clear" w:color="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投标总报价</w:t>
            </w:r>
            <w:r>
              <w:rPr>
                <w:rFonts w:hint="eastAsia" w:ascii="宋体" w:hAnsi="宋体" w:cs="宋体"/>
                <w:color w:val="auto"/>
                <w:szCs w:val="21"/>
                <w:highlight w:val="none"/>
                <w:lang w:val="zh-CN"/>
              </w:rPr>
              <w:t xml:space="preserve">（人民币大写）：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 </w:t>
            </w:r>
            <w:r/>
          </w:p>
        </w:tc>
      </w:tr>
    </w:tbl>
    <w:p>
      <w:pPr>
        <w:pStyle w:val="784"/>
        <w:shd w:val="clear" w:color="auto"/>
        <w:rPr>
          <w:color w:val="auto"/>
          <w:highlight w:val="none"/>
        </w:rPr>
      </w:pPr>
      <w:r>
        <w:rPr>
          <w:color w:val="auto"/>
          <w:highlight w:val="none"/>
        </w:rPr>
      </w:r>
      <w:r/>
    </w:p>
    <w:p>
      <w:pPr>
        <w:pStyle w:val="1058"/>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58"/>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58"/>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ind w:firstLine="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注：1．投标总价应</w:t>
      </w:r>
      <w:r>
        <w:rPr>
          <w:rFonts w:hint="eastAsia" w:ascii="宋体" w:hAnsi="宋体" w:eastAsia="宋体" w:cs="宋体"/>
          <w:color w:val="auto"/>
          <w:sz w:val="21"/>
          <w:szCs w:val="21"/>
          <w:highlight w:val="none"/>
          <w:lang w:val="zh-CN"/>
        </w:rPr>
        <w:t xml:space="preserve">包括全部货物、辅助材料、系统、人工、运输、</w:t>
      </w:r>
      <w:r>
        <w:rPr>
          <w:rFonts w:hint="eastAsia" w:ascii="宋体" w:hAnsi="宋体" w:cs="宋体"/>
          <w:color w:val="auto"/>
          <w:sz w:val="21"/>
          <w:szCs w:val="21"/>
          <w:highlight w:val="none"/>
          <w:lang w:val="en-US" w:eastAsia="zh-CN"/>
        </w:rPr>
        <w:t xml:space="preserve">安装、调试、集成、培训、</w:t>
      </w:r>
      <w:r>
        <w:rPr>
          <w:rFonts w:hint="eastAsia" w:ascii="宋体" w:hAnsi="宋体" w:eastAsia="宋体" w:cs="宋体"/>
          <w:color w:val="auto"/>
          <w:sz w:val="21"/>
          <w:szCs w:val="21"/>
          <w:highlight w:val="none"/>
          <w:lang w:val="zh-CN"/>
        </w:rPr>
        <w:t xml:space="preserve">仓储、保险、各种税费、劳保、专利技术、检测、验收费用</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采购代理服务费、</w:t>
      </w:r>
      <w:r>
        <w:rPr>
          <w:rFonts w:hint="eastAsia" w:ascii="宋体" w:hAnsi="宋体" w:cs="宋体"/>
          <w:color w:val="auto"/>
          <w:sz w:val="21"/>
          <w:szCs w:val="21"/>
          <w:highlight w:val="none"/>
          <w:lang w:eastAsia="zh-CN"/>
        </w:rPr>
        <w:t xml:space="preserve">政策性文件规定及合同包含的所有风险、责任等各项应有费用</w:t>
      </w:r>
      <w:r>
        <w:rPr>
          <w:rFonts w:hint="eastAsia" w:ascii="宋体" w:hAnsi="宋体" w:cs="宋体"/>
          <w:color w:val="auto"/>
          <w:szCs w:val="21"/>
          <w:highlight w:val="none"/>
        </w:rPr>
        <w:t xml:space="preserve">。投标报价为最终报价，除非因特殊原因并经买卖双方协商同意，投标单位不得再要求追加任何费用。同时，除非合同条款中另有规定，否则，投标单位所报价格在合同实施期间不因市场变化因素而变动。</w:t>
      </w:r>
      <w:r/>
    </w:p>
    <w:p>
      <w:pPr>
        <w:pStyle w:val="755"/>
        <w:jc w:val="left"/>
        <w:spacing w:before="480" w:after="240"/>
        <w:shd w:val="clear" w:color="auto"/>
        <w:rPr>
          <w:rFonts w:ascii="宋体" w:hAnsi="宋体" w:eastAsia="宋体" w:cs="宋体"/>
          <w:b w:val="0"/>
          <w:bCs w:val="0"/>
          <w:color w:val="auto"/>
          <w:szCs w:val="21"/>
          <w:highlight w:val="none"/>
        </w:rPr>
      </w:pPr>
      <w:r>
        <w:rPr>
          <w:rFonts w:hint="eastAsia" w:ascii="宋体" w:hAnsi="宋体" w:eastAsia="宋体" w:cs="宋体"/>
          <w:color w:val="auto"/>
          <w:sz w:val="21"/>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附件5：偏离表（商务条款偏离表、服务条款偏离表、技术响应对照表）</w:t>
      </w:r>
      <w:r/>
    </w:p>
    <w:p>
      <w:pPr>
        <w:ind w:left="170"/>
        <w:jc w:val="left"/>
        <w:spacing w:line="276"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                                  （1） 服务条款偏离表</w:t>
      </w:r>
      <w:r/>
    </w:p>
    <w:p>
      <w:pPr>
        <w:spacing w:line="276"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项目名称：吴江四院扩建工程-数据存储及安全和智慧门诊项目采购编号：</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337"/>
        <w:gridCol w:w="1271"/>
        <w:gridCol w:w="953"/>
      </w:tblGrid>
      <w:tr>
        <w:trPr>
          <w:jc w:val="center"/>
          <w:trHeight w:val="20"/>
        </w:trPr>
        <w:tc>
          <w:tcPr>
            <w:tcW w:w="1101"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shd w:val="clear" w:color="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337" w:type="dxa"/>
            <w:vAlign w:val="center"/>
            <w:textDirection w:val="lrTb"/>
            <w:noWrap w:val="false"/>
          </w:tcPr>
          <w:p>
            <w:pPr>
              <w:shd w:val="clear" w:color="auto"/>
              <w:rPr>
                <w:rFonts w:ascii="宋体" w:hAnsi="宋体" w:cs="宋体"/>
                <w:color w:val="auto"/>
                <w:szCs w:val="21"/>
                <w:highlight w:val="none"/>
              </w:rPr>
            </w:pPr>
            <w:r>
              <w:rPr>
                <w:rFonts w:hint="eastAsia" w:ascii="宋体" w:hAnsi="宋体" w:cs="宋体"/>
                <w:color w:val="auto"/>
                <w:szCs w:val="21"/>
                <w:highlight w:val="none"/>
              </w:rPr>
              <w:t xml:space="preserve">响应要求</w:t>
            </w:r>
            <w:r/>
          </w:p>
        </w:tc>
        <w:tc>
          <w:tcPr>
            <w:tcW w:w="1271" w:type="dxa"/>
            <w:vAlign w:val="center"/>
            <w:textDirection w:val="lrTb"/>
            <w:noWrap w:val="false"/>
          </w:tcPr>
          <w:p>
            <w:pPr>
              <w:shd w:val="clear" w:color="auto"/>
              <w:rPr>
                <w:rFonts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953" w:type="dxa"/>
            <w:vAlign w:val="center"/>
            <w:textDirection w:val="lrTb"/>
            <w:noWrap w:val="false"/>
          </w:tcPr>
          <w:p>
            <w:pPr>
              <w:shd w:val="clear" w:color="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20"/>
        </w:trPr>
        <w:tc>
          <w:tcPr>
            <w:tcW w:w="1101"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33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271"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95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jc w:val="center"/>
          <w:trHeight w:val="20"/>
        </w:trPr>
        <w:tc>
          <w:tcPr>
            <w:tcW w:w="1101"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33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271"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95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jc w:val="center"/>
          <w:trHeight w:val="20"/>
        </w:trPr>
        <w:tc>
          <w:tcPr>
            <w:tcW w:w="1101"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337"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271"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953"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jc w:val="center"/>
          <w:trHeight w:val="20"/>
        </w:trPr>
        <w:tc>
          <w:tcPr>
            <w:tcW w:w="1101"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337"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271"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953"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注：1.投标单位提交的投标文件中与</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要求与实际响应内容逐项对应列出，并在“偏离说明”项下填写以下内容：优于的，填写“正偏离”；符合的，填写“无偏离”；低于的，填写“负偏离”；未在上表中说明的，将被认为完全响应</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的规定。</w:t>
      </w:r>
      <w:r/>
    </w:p>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67"/>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jc w:val="center"/>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商务条款偏离表</w:t>
      </w:r>
      <w:r/>
    </w:p>
    <w:p>
      <w:pPr>
        <w:spacing w:line="276"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吴江四院扩建工程-数据存储及安全和智慧门诊项目</w:t>
      </w:r>
      <w:r>
        <w:rPr>
          <w:rFonts w:hint="eastAsia" w:ascii="宋体" w:hAnsi="宋体" w:cs="宋体"/>
          <w:color w:val="auto"/>
          <w:szCs w:val="21"/>
          <w:highlight w:val="none"/>
        </w:rPr>
        <w:t xml:space="preserve">采购编号：</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1958"/>
        <w:gridCol w:w="889"/>
      </w:tblGrid>
      <w:tr>
        <w:trPr>
          <w:jc w:val="center"/>
          <w:trHeight w:val="413" w:hRule="exact"/>
        </w:trPr>
        <w:tc>
          <w:tcPr>
            <w:tcW w:w="832"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43"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要求</w:t>
            </w:r>
            <w:r/>
          </w:p>
        </w:tc>
        <w:tc>
          <w:tcPr>
            <w:tcW w:w="2805"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投标单位响应</w:t>
            </w:r>
            <w:r/>
          </w:p>
        </w:tc>
        <w:tc>
          <w:tcPr>
            <w:tcW w:w="19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889"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43" w:type="dxa"/>
            <w:textDirection w:val="lrTb"/>
            <w:noWrap w:val="false"/>
          </w:tcPr>
          <w:p>
            <w:pP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交货时间</w:t>
            </w:r>
            <w:r/>
          </w:p>
        </w:tc>
        <w:tc>
          <w:tcPr>
            <w:tcW w:w="2805"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958"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889"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43" w:type="dxa"/>
            <w:textDirection w:val="lrTb"/>
            <w:noWrap w:val="false"/>
          </w:tcPr>
          <w:p>
            <w:pP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付款方式</w:t>
            </w:r>
            <w:r/>
          </w:p>
        </w:tc>
        <w:tc>
          <w:tcPr>
            <w:tcW w:w="2805"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1958"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tcW w:w="889"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2243" w:type="dxa"/>
            <w:textDirection w:val="lrTb"/>
            <w:noWrap w:val="false"/>
          </w:tcPr>
          <w:p>
            <w:pP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805" w:type="dxa"/>
            <w:vAlign w:val="center"/>
            <w:textDirection w:val="lrTb"/>
            <w:noWrap w:val="false"/>
          </w:tcPr>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958" w:type="dxa"/>
            <w:vAlign w:val="center"/>
            <w:textDirection w:val="lrTb"/>
            <w:noWrap w:val="false"/>
          </w:tcPr>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889" w:type="dxa"/>
            <w:vAlign w:val="center"/>
            <w:textDirection w:val="lrTb"/>
            <w:noWrap w:val="false"/>
          </w:tcPr>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243"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958"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889" w:type="dxa"/>
            <w:vAlign w:val="center"/>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注：1.投标单位提交的投标文件（除技术要求部分）与</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要求有不同时，应在本表中把</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要求与实际响应内容逐项对应列出，并在“偏离说明”项下填写以下内容：优于的，填写“正偏离”；符合的，填写“无偏离”；低于的，填写“负偏离”；未在上表中说明的，将被认为完全响应</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的规定。</w:t>
      </w:r>
      <w:r/>
    </w:p>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67"/>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jc w:val="both"/>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jc w:val="both"/>
        <w:spacing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211"/>
        <w:jc w:val="center"/>
        <w:spacing w:line="400" w:lineRule="exact"/>
        <w:shd w:val="clear" w:color="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）技术响应对照表</w:t>
      </w:r>
      <w:r/>
    </w:p>
    <w:p>
      <w:pPr>
        <w:ind w:firstLine="420"/>
        <w:shd w:val="clear" w:color="auto"/>
        <w:tabs>
          <w:tab w:val="center" w:pos="4201" w:leader="none"/>
          <w:tab w:val="right" w:pos="9298" w:leader="dot"/>
        </w:tabs>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firstLine="420"/>
        <w:shd w:val="clear" w:color="auto"/>
        <w:tabs>
          <w:tab w:val="center" w:pos="4201" w:leader="none"/>
          <w:tab w:val="right" w:pos="9298" w:leader="dot"/>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rPr>
          <w:rFonts w:hint="eastAsia" w:ascii="宋体" w:hAnsi="宋体" w:cs="宋体"/>
          <w:bCs/>
          <w:color w:val="auto"/>
          <w:szCs w:val="21"/>
          <w:highlight w:val="none"/>
          <w:lang w:val="zh-CN" w:eastAsia="zh-CN"/>
        </w:rPr>
        <w:t xml:space="preserve">吴江四院扩建工程-数据存储及安全和智慧门诊项目</w:t>
      </w:r>
      <w:r>
        <w:rPr>
          <w:rFonts w:hint="eastAsia" w:ascii="宋体" w:hAnsi="宋体" w:eastAsia="宋体" w:cs="宋体"/>
          <w:bCs/>
          <w:color w:val="auto"/>
          <w:szCs w:val="21"/>
          <w:highlight w:val="none"/>
        </w:rPr>
        <w:t xml:space="preserve">采购编号：</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shd w:val="clear" w:color="auto"/>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Cs w:val="21"/>
                <w:highlight w:val="none"/>
              </w:rPr>
              <w:t xml:space="preserve">序号</w:t>
            </w:r>
            <w:r/>
          </w:p>
        </w:tc>
        <w:tc>
          <w:tcPr>
            <w:tcW w:w="2076" w:type="dxa"/>
            <w:textDirection w:val="lrTb"/>
            <w:noWrap w:val="false"/>
          </w:tcPr>
          <w:p>
            <w:pPr>
              <w:spacing w:line="400" w:lineRule="exact"/>
              <w:shd w:val="clear" w:color="auto"/>
              <w:rPr>
                <w:rFonts w:ascii="Times New Roman" w:hAnsi="Times New Roman" w:eastAsia="宋体" w:cs="Times New Roman"/>
                <w:color w:val="auto"/>
                <w:sz w:val="20"/>
                <w:szCs w:val="21"/>
                <w:highlight w:val="none"/>
              </w:rPr>
            </w:pPr>
            <w:r>
              <w:rPr>
                <w:rFonts w:hint="eastAsia" w:ascii="宋体" w:hAnsi="宋体" w:eastAsia="宋体" w:cs="Times New Roman"/>
                <w:color w:val="auto"/>
                <w:highlight w:val="none"/>
              </w:rPr>
              <w:t xml:space="preserve">设备名称、品牌、规格</w:t>
            </w:r>
            <w:r/>
          </w:p>
        </w:tc>
        <w:tc>
          <w:tcPr>
            <w:tcW w:w="1656" w:type="dxa"/>
            <w:textDirection w:val="lrTb"/>
            <w:noWrap w:val="false"/>
          </w:tcPr>
          <w:p>
            <w:pPr>
              <w:spacing w:line="400" w:lineRule="exact"/>
              <w:shd w:val="clear" w:color="auto"/>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Cs w:val="21"/>
                <w:highlight w:val="none"/>
              </w:rPr>
              <w:t xml:space="preserve">招标技术要求</w:t>
            </w:r>
            <w:r/>
          </w:p>
        </w:tc>
        <w:tc>
          <w:tcPr>
            <w:tcW w:w="2076" w:type="dxa"/>
            <w:textDirection w:val="lrTb"/>
            <w:noWrap w:val="false"/>
          </w:tcPr>
          <w:p>
            <w:pPr>
              <w:spacing w:line="400" w:lineRule="exact"/>
              <w:shd w:val="clear" w:color="auto"/>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Cs w:val="21"/>
                <w:highlight w:val="none"/>
              </w:rPr>
              <w:t xml:space="preserve">投标技术要求</w:t>
            </w:r>
            <w:r/>
          </w:p>
        </w:tc>
        <w:tc>
          <w:tcPr>
            <w:tcW w:w="2884" w:type="dxa"/>
            <w:textDirection w:val="lrTb"/>
            <w:noWrap w:val="false"/>
          </w:tcPr>
          <w:p>
            <w:pPr>
              <w:spacing w:line="400" w:lineRule="exact"/>
              <w:shd w:val="clear" w:color="auto"/>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165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884"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r>
      <w:tr>
        <w:trPr>
          <w:jc w:val="center"/>
          <w:trHeight w:val="570"/>
        </w:trPr>
        <w:tc>
          <w:tcPr>
            <w:tcW w:w="720"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165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884"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r>
      <w:tr>
        <w:trPr>
          <w:jc w:val="center"/>
          <w:trHeight w:val="570"/>
        </w:trPr>
        <w:tc>
          <w:tcPr>
            <w:tcW w:w="720"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165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884"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r>
      <w:tr>
        <w:trPr>
          <w:jc w:val="center"/>
          <w:trHeight w:val="570"/>
        </w:trPr>
        <w:tc>
          <w:tcPr>
            <w:tcW w:w="720"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165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884"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r>
      <w:tr>
        <w:trPr>
          <w:jc w:val="center"/>
          <w:trHeight w:val="570"/>
        </w:trPr>
        <w:tc>
          <w:tcPr>
            <w:tcW w:w="720"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165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076"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c>
          <w:tcPr>
            <w:tcW w:w="2884" w:type="dxa"/>
            <w:textDirection w:val="lrTb"/>
            <w:noWrap w:val="false"/>
          </w:tcPr>
          <w:p>
            <w:pPr>
              <w:spacing w:line="400" w:lineRule="exact"/>
              <w:shd w:val="clear" w:color="auto"/>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rPr>
            </w:r>
            <w:r/>
          </w:p>
        </w:tc>
      </w:tr>
    </w:tbl>
    <w:p>
      <w:pPr>
        <w:spacing w:line="360" w:lineRule="auto"/>
        <w:shd w:val="clear" w:color="auto"/>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ind w:firstLine="210"/>
        <w:jc w:val="left"/>
        <w:spacing w:line="360" w:lineRule="auto"/>
        <w:shd w:val="clear" w:color="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投标单位：（公章）</w:t>
      </w:r>
      <w:r/>
    </w:p>
    <w:p>
      <w:pPr>
        <w:ind w:firstLine="210"/>
        <w:jc w:val="left"/>
        <w:spacing w:line="360" w:lineRule="auto"/>
        <w:shd w:val="clear" w:color="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法定代表人或代理人：（签字或盖章）</w:t>
      </w:r>
      <w:r/>
    </w:p>
    <w:p>
      <w:pPr>
        <w:ind w:firstLine="210"/>
        <w:jc w:val="left"/>
        <w:spacing w:line="360" w:lineRule="auto"/>
        <w:shd w:val="clear" w:color="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日期：      年    月    日</w:t>
      </w:r>
      <w:r/>
    </w:p>
    <w:p>
      <w:pPr>
        <w:spacing w:line="360" w:lineRule="auto"/>
        <w:shd w:val="clear" w:color="auto"/>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p>
      <w:pPr>
        <w:spacing w:line="360" w:lineRule="auto"/>
        <w:shd w:val="clear" w:color="auto"/>
        <w:rPr>
          <w:rFonts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注：1、各投标单位可参照上述格式自制《</w:t>
      </w:r>
      <w:r>
        <w:rPr>
          <w:rFonts w:hint="eastAsia" w:ascii="宋体" w:hAnsi="宋体" w:eastAsia="宋体" w:cs="宋体"/>
          <w:color w:val="auto"/>
          <w:szCs w:val="21"/>
          <w:highlight w:val="none"/>
        </w:rPr>
        <w:t xml:space="preserve">技术响应对照表</w:t>
      </w:r>
      <w:r>
        <w:rPr>
          <w:rFonts w:hint="eastAsia" w:ascii="宋体" w:hAnsi="宋体" w:eastAsia="宋体" w:cs="宋体"/>
          <w:color w:val="auto"/>
          <w:szCs w:val="21"/>
          <w:highlight w:val="none"/>
          <w:lang w:val="zh-CN"/>
        </w:rPr>
        <w:t xml:space="preserve">》投标；</w:t>
      </w:r>
      <w:r/>
    </w:p>
    <w:p>
      <w:pPr>
        <w:ind w:firstLine="420"/>
        <w:jc w:val="left"/>
        <w:spacing w:line="360" w:lineRule="auto"/>
        <w:shd w:val="clear" w:color="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各投标单位必须真实填写此表格内容，对于技术规格中重要技术条款（参数）（如涉及）的响应，投标单位的投标文件中应提供技术支持资料（包括投标货物的样本、说明书等），若有虚假，将取消其投标资格或中标资格。</w:t>
      </w:r>
      <w:r/>
    </w:p>
    <w:p>
      <w:pPr>
        <w:ind w:firstLine="420"/>
        <w:jc w:val="left"/>
        <w:spacing w:line="360" w:lineRule="auto"/>
        <w:shd w:val="clear" w:color="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各投标单位提交的投标文件中与招标文件的技术部分的要求有不同时，应在本表中把招标文件要求与实际响应内容逐项对应列出，并在“偏离说明”项下填写以下内容：优于的，填写“正偏离”；符合的，填写“无偏离”；低于的，填写“负偏离”。不允许负偏离，否则为无效响应。</w:t>
      </w:r>
      <w:r/>
    </w:p>
    <w:p>
      <w:pPr>
        <w:ind w:firstLine="420"/>
        <w:jc w:val="left"/>
        <w:spacing w:line="360" w:lineRule="auto"/>
        <w:shd w:val="clear" w:color="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4、若事项较多，投标单位可根据响应内容的实际情况另纸说明。</w:t>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55"/>
        <w:jc w:val="left"/>
        <w:spacing w:before="480" w:after="240"/>
        <w:shd w:val="clear" w:color="auto"/>
        <w:rPr>
          <w:rFonts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附件6：针对本项目的人员配置表</w:t>
      </w:r>
      <w:r/>
    </w:p>
    <w:p>
      <w:pPr>
        <w:jc w:val="center"/>
        <w:spacing w:line="360" w:lineRule="auto"/>
        <w:shd w:val="clear" w:color="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项目名称：                                          编号：           号             </w:t>
      </w:r>
      <w:r/>
    </w:p>
    <w:tbl>
      <w:tblPr>
        <w:tblStyle w:val="764"/>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bl>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67"/>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ind w:firstLine="63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755"/>
        <w:jc w:val="left"/>
        <w:spacing w:before="480" w:after="240"/>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pacing w:val="0"/>
          <w:sz w:val="21"/>
          <w:szCs w:val="21"/>
          <w:highlight w:val="none"/>
          <w:lang w:val="zh-CN"/>
        </w:rPr>
        <w:t xml:space="preserve">附件7：投入本项目设备一览表</w:t>
      </w:r>
      <w:r/>
    </w:p>
    <w:p>
      <w:pPr>
        <w:shd w:val="clear" w:color="auto"/>
        <w:rPr>
          <w:rFonts w:ascii="宋体" w:hAnsi="宋体" w:cs="宋体"/>
          <w:b/>
          <w:bCs/>
          <w:color w:val="auto"/>
          <w:highlight w:val="none"/>
        </w:rPr>
      </w:pPr>
      <w:r>
        <w:rPr>
          <w:rFonts w:ascii="宋体" w:hAnsi="宋体" w:cs="宋体"/>
          <w:b/>
          <w:bCs/>
          <w:color w:val="auto"/>
          <w:highlight w:val="none"/>
        </w:rPr>
      </w:r>
      <w:r/>
    </w:p>
    <w:p>
      <w:pPr>
        <w:pStyle w:val="1011"/>
        <w:jc w:val="center"/>
        <w:spacing w:line="360" w:lineRule="auto"/>
        <w:shd w:val="clear" w:color="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投入本项目设备一览表</w:t>
      </w:r>
      <w:r/>
    </w:p>
    <w:tbl>
      <w:tblPr>
        <w:tblStyle w:val="76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1916"/>
      </w:tblGrid>
      <w:tr>
        <w:trPr>
          <w:cantSplit/>
          <w:jc w:val="center"/>
          <w:trHeight w:val="770"/>
        </w:trPr>
        <w:tc>
          <w:tcPr>
            <w:tcW w:w="818" w:type="dxa"/>
            <w:vAlign w:val="center"/>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064" w:type="dxa"/>
            <w:vAlign w:val="center"/>
            <w:textDirection w:val="lrTb"/>
            <w:noWrap w:val="false"/>
          </w:tcPr>
          <w:p>
            <w:pPr>
              <w:pStyle w:val="1011"/>
              <w:jc w:val="center"/>
              <w:spacing w:line="360" w:lineRule="auto"/>
              <w:shd w:val="clear" w:color="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设备名称</w:t>
            </w:r>
            <w:r/>
          </w:p>
        </w:tc>
        <w:tc>
          <w:tcPr>
            <w:tcBorders>
              <w:bottom w:val="single" w:color="auto" w:sz="4" w:space="0"/>
            </w:tcBorders>
            <w:tcW w:w="3086" w:type="dxa"/>
            <w:vAlign w:val="center"/>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型号、规格</w:t>
            </w:r>
            <w:r/>
          </w:p>
        </w:tc>
        <w:tc>
          <w:tcPr>
            <w:tcBorders>
              <w:left w:val="single" w:color="auto" w:sz="4" w:space="0"/>
            </w:tcBorders>
            <w:tcW w:w="868" w:type="dxa"/>
            <w:vAlign w:val="center"/>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W w:w="1916" w:type="dxa"/>
            <w:vAlign w:val="center"/>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tcBorders>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11"/>
              <w:jc w:val="center"/>
              <w:spacing w:line="360" w:lineRule="auto"/>
              <w:shd w:val="clear" w:color="auto"/>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67"/>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67"/>
        <w:ind w:firstLine="210"/>
        <w:spacing w:line="360" w:lineRule="auto"/>
        <w:shd w:val="clear" w:color="auto"/>
        <w:rPr>
          <w:rFonts w:hAnsi="宋体" w:eastAsia="宋体" w:cs="宋体"/>
          <w:color w:val="auto"/>
          <w:sz w:val="21"/>
          <w:highlight w:val="none"/>
        </w:rPr>
      </w:pPr>
      <w:r>
        <w:rPr>
          <w:rFonts w:hAnsi="宋体" w:eastAsia="宋体" w:cs="宋体"/>
          <w:color w:val="auto"/>
          <w:sz w:val="21"/>
          <w:highlight w:val="none"/>
        </w:rPr>
      </w:r>
      <w:r/>
    </w:p>
    <w:p>
      <w:pPr>
        <w:pStyle w:val="967"/>
        <w:ind w:firstLine="210"/>
        <w:spacing w:line="360" w:lineRule="auto"/>
        <w:shd w:val="clear" w:color="auto"/>
        <w:rPr>
          <w:rFonts w:hAnsi="宋体" w:eastAsia="宋体" w:cs="宋体"/>
          <w:color w:val="auto"/>
          <w:sz w:val="21"/>
          <w:highlight w:val="none"/>
        </w:rPr>
      </w:pPr>
      <w:r>
        <w:rPr>
          <w:rFonts w:hAnsi="宋体" w:eastAsia="宋体" w:cs="宋体"/>
          <w:color w:val="auto"/>
          <w:sz w:val="21"/>
          <w:highlight w:val="none"/>
        </w:rPr>
      </w:r>
      <w:r/>
    </w:p>
    <w:p>
      <w:pPr>
        <w:pStyle w:val="967"/>
        <w:ind w:firstLine="210"/>
        <w:spacing w:line="360" w:lineRule="auto"/>
        <w:shd w:val="clear" w:color="auto"/>
        <w:rPr>
          <w:rFonts w:hAnsi="宋体" w:eastAsia="宋体" w:cs="宋体"/>
          <w:color w:val="auto"/>
          <w:sz w:val="21"/>
          <w:highlight w:val="none"/>
        </w:rPr>
      </w:pPr>
      <w:r>
        <w:rPr>
          <w:rFonts w:hAnsi="宋体" w:eastAsia="宋体" w:cs="宋体"/>
          <w:color w:val="auto"/>
          <w:sz w:val="21"/>
          <w:highlight w:val="none"/>
        </w:rPr>
      </w:r>
      <w:r/>
    </w:p>
    <w:p>
      <w:pPr>
        <w:pStyle w:val="967"/>
        <w:ind w:firstLine="210"/>
        <w:spacing w:line="360" w:lineRule="auto"/>
        <w:shd w:val="clear" w:color="auto"/>
        <w:rPr>
          <w:rFonts w:hAnsi="宋体" w:eastAsia="宋体" w:cs="宋体"/>
          <w:color w:val="auto"/>
          <w:sz w:val="21"/>
          <w:highlight w:val="none"/>
        </w:rPr>
      </w:pPr>
      <w:r>
        <w:rPr>
          <w:rFonts w:hAnsi="宋体" w:eastAsia="宋体" w:cs="宋体"/>
          <w:color w:val="auto"/>
          <w:sz w:val="21"/>
          <w:highlight w:val="none"/>
        </w:rPr>
      </w:r>
      <w:r/>
    </w:p>
    <w:p>
      <w:pPr>
        <w:pStyle w:val="967"/>
        <w:ind w:firstLine="210"/>
        <w:spacing w:line="360" w:lineRule="auto"/>
        <w:shd w:val="clear" w:color="auto"/>
        <w:rPr>
          <w:rFonts w:hAnsi="宋体" w:eastAsia="宋体" w:cs="宋体"/>
          <w:color w:val="auto"/>
          <w:sz w:val="21"/>
          <w:highlight w:val="none"/>
        </w:rPr>
      </w:pPr>
      <w:r>
        <w:rPr>
          <w:rFonts w:hAnsi="宋体" w:eastAsia="宋体" w:cs="宋体"/>
          <w:color w:val="auto"/>
          <w:sz w:val="21"/>
          <w:highlight w:val="none"/>
        </w:rPr>
      </w:r>
      <w:r/>
    </w:p>
    <w:p>
      <w:pPr>
        <w:jc w:val="left"/>
        <w:shd w:val="clear" w:color="auto"/>
        <w:widowControl/>
        <w:rPr>
          <w:rFonts w:ascii="宋体" w:hAnsi="宋体" w:cs="宋体"/>
          <w:b/>
          <w:bCs/>
          <w:color w:val="auto"/>
          <w:szCs w:val="21"/>
          <w:highlight w:val="none"/>
          <w:lang w:val="zh-CN"/>
        </w:rPr>
      </w:pPr>
      <w:r>
        <w:rPr>
          <w:rFonts w:hint="eastAsia" w:ascii="宋体" w:hAnsi="宋体" w:cs="宋体"/>
          <w:color w:val="auto"/>
          <w:szCs w:val="21"/>
          <w:highlight w:val="none"/>
          <w:lang w:val="zh-CN"/>
        </w:rPr>
        <w:br w:type="page" w:clear="all"/>
      </w:r>
      <w:r/>
    </w:p>
    <w:p>
      <w:pPr>
        <w:pStyle w:val="755"/>
        <w:jc w:val="left"/>
        <w:spacing w:before="480" w:after="240"/>
        <w:shd w:val="clear" w:color="auto"/>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附件8：类似项目业绩一览表</w:t>
      </w:r>
      <w:r/>
    </w:p>
    <w:p>
      <w:pPr>
        <w:jc w:val="center"/>
        <w:spacing w:line="360" w:lineRule="auto"/>
        <w:shd w:val="clear" w:color="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shd w:val="clear" w:color="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76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w:t>
            </w:r>
            <w:r/>
          </w:p>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及电话</w:t>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注：投标单位应随此表附上相关的业绩证明（如合同）。</w:t>
      </w:r>
      <w:r/>
    </w:p>
    <w:p>
      <w:pPr>
        <w:spacing w:line="360" w:lineRule="auto"/>
        <w:shd w:val="clear" w:color="auto"/>
        <w:rPr>
          <w:rFonts w:ascii="宋体" w:hAnsi="宋体" w:cs="宋体"/>
          <w:color w:val="auto"/>
          <w:highlight w:val="none"/>
        </w:rPr>
      </w:pPr>
      <w:r>
        <w:rPr>
          <w:rFonts w:ascii="宋体" w:hAnsi="宋体" w:cs="宋体"/>
          <w:color w:val="auto"/>
          <w:highlight w:val="none"/>
        </w:rPr>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67"/>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67"/>
        <w:spacing w:line="360" w:lineRule="auto"/>
        <w:shd w:val="clear" w:color="auto"/>
        <w:rPr>
          <w:rFonts w:hAnsi="宋体" w:eastAsia="宋体" w:cs="宋体"/>
          <w:color w:val="auto"/>
          <w:sz w:val="21"/>
          <w:highlight w:val="none"/>
        </w:rPr>
      </w:pPr>
      <w:r>
        <w:rPr>
          <w:rFonts w:hAnsi="宋体" w:eastAsia="宋体" w:cs="宋体"/>
          <w:color w:val="auto"/>
          <w:sz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55"/>
        <w:jc w:val="left"/>
        <w:spacing w:before="480" w:after="240"/>
        <w:shd w:val="clear" w:color="auto"/>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9</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shd w:val="clear" w:color="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spacing w:line="360" w:lineRule="auto"/>
              <w:shd w:val="clear" w:color="auto"/>
              <w:widowControl/>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shd w:val="clear" w:color="auto"/>
              <w:rPr>
                <w:rFonts w:ascii="宋体" w:hAnsi="宋体" w:cs="宋体"/>
                <w:color w:val="auto"/>
                <w:szCs w:val="21"/>
                <w:highlight w:val="none"/>
              </w:rPr>
            </w:pPr>
            <w:r>
              <w:rPr>
                <w:rFonts w:hint="eastAsia" w:ascii="宋体" w:hAnsi="宋体" w:cs="宋体"/>
                <w:bCs/>
                <w:color w:val="auto"/>
                <w:szCs w:val="21"/>
                <w:highlight w:val="none"/>
              </w:rPr>
              <w:t xml:space="preserve">2.投标供应商</w:t>
            </w:r>
            <w:r>
              <w:rPr>
                <w:rFonts w:hint="eastAsia" w:ascii="宋体" w:hAnsi="宋体" w:cs="宋体"/>
                <w:color w:val="auto"/>
                <w:szCs w:val="21"/>
                <w:highlight w:val="none"/>
              </w:rPr>
              <w:t xml:space="preserve">可根据自身情况编写，本页不够可另加页附后。</w:t>
            </w:r>
            <w:r/>
          </w:p>
        </w:tc>
      </w:tr>
      <w:tr>
        <w:trPr>
          <w:jc w:val="center"/>
          <w:trHeight w:val="8594"/>
        </w:trPr>
        <w:tc>
          <w:tcPr>
            <w:tcW w:w="9726" w:type="dxa"/>
            <w:textDirection w:val="lrTb"/>
            <w:noWrap w:val="false"/>
          </w:tcPr>
          <w:p>
            <w:pPr>
              <w:ind w:right="240"/>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67"/>
        <w:ind w:firstLine="210"/>
        <w:jc w:val="left"/>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67"/>
        <w:ind w:firstLine="210"/>
        <w:spacing w:line="360" w:lineRule="auto"/>
        <w:shd w:val="clear" w:color="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shd w:val="clear" w:color="auto"/>
        <w:rPr>
          <w:rFonts w:ascii="宋体" w:hAnsi="宋体" w:cs="宋体"/>
          <w:color w:val="auto"/>
          <w:spacing w:val="20"/>
          <w:szCs w:val="21"/>
          <w:highlight w:val="none"/>
        </w:rPr>
      </w:pPr>
      <w:r>
        <w:rPr>
          <w:rFonts w:ascii="宋体" w:hAnsi="宋体" w:cs="宋体"/>
          <w:color w:val="auto"/>
          <w:spacing w:val="20"/>
          <w:szCs w:val="21"/>
          <w:highlight w:val="none"/>
        </w:rPr>
      </w:r>
      <w:r/>
    </w:p>
    <w:p>
      <w:pPr>
        <w:pStyle w:val="755"/>
        <w:jc w:val="left"/>
        <w:spacing w:before="480" w:after="240"/>
        <w:shd w:val="clear" w:color="auto"/>
        <w:rPr>
          <w:rFonts w:ascii="宋体" w:hAnsi="宋体" w:eastAsia="宋体" w:cs="宋体"/>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0</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45"/>
        <w:ind w:firstLine="0"/>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45"/>
        <w:ind w:firstLine="0"/>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65"/>
        <w:shd w:val="clear" w:color="auto"/>
        <w:rPr>
          <w:rFonts w:ascii="宋体" w:hAnsi="宋体" w:cs="宋体"/>
          <w:color w:val="auto"/>
          <w:highlight w:val="none"/>
        </w:rPr>
      </w:pPr>
      <w:r>
        <w:rPr>
          <w:rFonts w:ascii="宋体" w:hAnsi="宋体" w:cs="宋体"/>
          <w:color w:val="auto"/>
          <w:highlight w:val="none"/>
        </w:rPr>
      </w:r>
      <w:r/>
    </w:p>
    <w:p>
      <w:pPr>
        <w:pStyle w:val="765"/>
        <w:shd w:val="clear" w:color="auto"/>
        <w:rPr>
          <w:rFonts w:ascii="宋体" w:hAnsi="宋体" w:cs="宋体"/>
          <w:color w:val="auto"/>
          <w:highlight w:val="none"/>
        </w:rPr>
      </w:pPr>
      <w:r>
        <w:rPr>
          <w:rFonts w:ascii="宋体" w:hAnsi="宋体" w:cs="宋体"/>
          <w:color w:val="auto"/>
          <w:highlight w:val="none"/>
        </w:rPr>
      </w:r>
      <w:r/>
    </w:p>
    <w:p>
      <w:pPr>
        <w:pStyle w:val="765"/>
        <w:shd w:val="clear" w:color="auto"/>
        <w:rPr>
          <w:rFonts w:ascii="宋体" w:hAnsi="宋体" w:cs="宋体"/>
          <w:color w:val="auto"/>
          <w:highlight w:val="none"/>
        </w:rPr>
      </w:pPr>
      <w:r>
        <w:rPr>
          <w:rFonts w:ascii="宋体" w:hAnsi="宋体" w:cs="宋体"/>
          <w:color w:val="auto"/>
          <w:highlight w:val="none"/>
        </w:rPr>
      </w:r>
      <w:r/>
    </w:p>
    <w:p>
      <w:pPr>
        <w:pStyle w:val="765"/>
        <w:shd w:val="clear" w:color="auto"/>
        <w:rPr>
          <w:rFonts w:ascii="宋体" w:hAnsi="宋体" w:cs="宋体"/>
          <w:color w:val="auto"/>
          <w:highlight w:val="none"/>
        </w:rPr>
      </w:pPr>
      <w:r>
        <w:rPr>
          <w:rFonts w:ascii="宋体" w:hAnsi="宋体" w:cs="宋体"/>
          <w:color w:val="auto"/>
          <w:highlight w:val="none"/>
        </w:rPr>
      </w:r>
      <w:r/>
    </w:p>
    <w:p>
      <w:pPr>
        <w:pStyle w:val="765"/>
        <w:shd w:val="clear" w:color="auto"/>
        <w:rPr>
          <w:rFonts w:ascii="宋体" w:hAnsi="宋体" w:cs="宋体"/>
          <w:color w:val="auto"/>
          <w:highlight w:val="none"/>
        </w:rPr>
      </w:pPr>
      <w:r>
        <w:rPr>
          <w:rFonts w:ascii="宋体" w:hAnsi="宋体" w:cs="宋体"/>
          <w:color w:val="auto"/>
          <w:highlight w:val="none"/>
        </w:rPr>
      </w:r>
      <w:r/>
    </w:p>
    <w:p>
      <w:pPr>
        <w:pStyle w:val="765"/>
        <w:shd w:val="clear" w:color="auto"/>
        <w:rPr>
          <w:rFonts w:ascii="宋体" w:hAnsi="宋体" w:cs="宋体"/>
          <w:color w:val="auto"/>
          <w:highlight w:val="none"/>
        </w:rPr>
      </w:pPr>
      <w:r>
        <w:rPr>
          <w:rFonts w:ascii="宋体" w:hAnsi="宋体" w:cs="宋体"/>
          <w:color w:val="auto"/>
          <w:highlight w:val="none"/>
        </w:rPr>
      </w:r>
      <w:r/>
    </w:p>
    <w:p>
      <w:pPr>
        <w:pStyle w:val="765"/>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55"/>
        <w:jc w:val="left"/>
        <w:spacing w:before="480" w:after="240"/>
        <w:shd w:val="clear" w:color="auto"/>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shd w:val="clear" w:color="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6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平方米</w:t>
            </w:r>
            <w:r/>
          </w:p>
        </w:tc>
      </w:tr>
      <w:tr>
        <w:trPr>
          <w:cantSplit/>
          <w:jc w:val="center"/>
          <w:trHeight w:val="592"/>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zh-CN"/>
        </w:rPr>
        <w:t xml:space="preserve">附件1</w:t>
      </w:r>
      <w:r>
        <w:rPr>
          <w:rFonts w:hint="eastAsia" w:ascii="宋体" w:hAnsi="宋体" w:eastAsia="宋体" w:cs="宋体"/>
          <w:b/>
          <w:color w:val="auto"/>
          <w:szCs w:val="21"/>
          <w:highlight w:val="none"/>
          <w:lang w:val="en-US" w:eastAsia="zh-CN"/>
        </w:rPr>
        <w:t xml:space="preserve">2</w:t>
      </w:r>
      <w:r>
        <w:rPr>
          <w:rFonts w:hint="eastAsia" w:ascii="宋体" w:hAnsi="宋体" w:eastAsia="宋体" w:cs="宋体"/>
          <w:b/>
          <w:color w:val="auto"/>
          <w:szCs w:val="21"/>
          <w:highlight w:val="none"/>
          <w:lang w:val="zh-CN"/>
        </w:rPr>
        <w:t xml:space="preserve">：</w:t>
      </w:r>
      <w:r>
        <w:rPr>
          <w:rFonts w:hint="eastAsia" w:ascii="宋体" w:hAnsi="宋体" w:eastAsia="宋体" w:cs="宋体"/>
          <w:b/>
          <w:color w:val="auto"/>
          <w:szCs w:val="21"/>
          <w:highlight w:val="none"/>
        </w:rPr>
        <w:t xml:space="preserve">关于符合</w:t>
      </w:r>
      <w:bookmarkStart w:id="48" w:name="_GoBack"/>
      <w:r>
        <w:rPr>
          <w:rFonts w:hint="eastAsia" w:ascii="宋体" w:hAnsi="宋体" w:eastAsia="宋体" w:cs="宋体"/>
          <w:b/>
          <w:color w:val="auto"/>
          <w:szCs w:val="21"/>
          <w:highlight w:val="none"/>
        </w:rPr>
        <w:t xml:space="preserve">本国</w:t>
      </w:r>
      <w:bookmarkEnd w:id="48"/>
      <w:r>
        <w:rPr>
          <w:rFonts w:hint="eastAsia" w:ascii="宋体" w:hAnsi="宋体" w:eastAsia="宋体" w:cs="宋体"/>
          <w:b/>
          <w:color w:val="auto"/>
          <w:szCs w:val="21"/>
          <w:highlight w:val="none"/>
        </w:rPr>
        <w:t xml:space="preserve">产品标准的声明函</w:t>
      </w:r>
      <w:r/>
    </w:p>
    <w:p>
      <w:pPr>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关于符合本国产品标准的声明函</w:t>
      </w:r>
      <w:r/>
    </w:p>
    <w:p>
      <w:pPr>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（本表适用投国产产品的情况）</w:t>
      </w:r>
      <w:r/>
    </w:p>
    <w:p>
      <w:pPr>
        <w:ind w:firstLine="420"/>
        <w:jc w:val="left"/>
        <w:spacing w:line="360" w:lineRule="auto"/>
        <w:shd w:val="clear" w:color="auto"/>
        <w:widowControl/>
        <w:rPr>
          <w:rFonts w:ascii="宋体" w:hAnsi="宋体"/>
          <w:color w:val="auto"/>
          <w:sz w:val="24"/>
          <w:szCs w:val="24"/>
          <w:highlight w:val="none"/>
        </w:rPr>
      </w:pPr>
      <w:r>
        <w:rPr>
          <w:rFonts w:ascii="宋体" w:hAnsi="宋体"/>
          <w:color w:val="auto"/>
          <w:sz w:val="24"/>
          <w:szCs w:val="24"/>
          <w:highlight w:val="none"/>
        </w:rPr>
      </w:r>
      <w:r/>
    </w:p>
    <w:p>
      <w:pPr>
        <w:ind w:firstLine="420"/>
        <w:jc w:val="left"/>
        <w:spacing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4771390</wp:posOffset>
                </wp:positionH>
                <wp:positionV relativeFrom="paragraph">
                  <wp:posOffset>127635</wp:posOffset>
                </wp:positionV>
                <wp:extent cx="762000" cy="171450"/>
                <wp:effectExtent l="1270" t="4445" r="17780" b="14604"/>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762000" cy="17145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75.7pt;mso-position-horizontal:absolute;mso-position-vertical-relative:text;margin-top:10.0pt;mso-position-vertical:absolute;width:60.0pt;height:13.5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4320540</wp:posOffset>
                </wp:positionH>
                <wp:positionV relativeFrom="paragraph">
                  <wp:posOffset>482600</wp:posOffset>
                </wp:positionV>
                <wp:extent cx="816610" cy="103505"/>
                <wp:effectExtent l="635" t="4445" r="1905" b="635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40.2pt;mso-position-horizontal:absolute;mso-position-vertical-relative:text;margin-top:38.0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3100070</wp:posOffset>
                </wp:positionH>
                <wp:positionV relativeFrom="paragraph">
                  <wp:posOffset>454025</wp:posOffset>
                </wp:positionV>
                <wp:extent cx="816610" cy="147320"/>
                <wp:effectExtent l="635" t="4445" r="1905" b="19685"/>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44.1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464820</wp:posOffset>
                </wp:positionV>
                <wp:extent cx="876300" cy="120015"/>
                <wp:effectExtent l="635" t="4445" r="18415" b="889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36.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647065</wp:posOffset>
                </wp:positionH>
                <wp:positionV relativeFrom="paragraph">
                  <wp:posOffset>746760</wp:posOffset>
                </wp:positionV>
                <wp:extent cx="762000" cy="140335"/>
                <wp:effectExtent l="635" t="4445" r="18415" b="762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762000" cy="14033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50.9pt;mso-position-horizontal:absolute;mso-position-vertical-relative:text;margin-top:58.8pt;mso-position-vertical:absolute;width:60.0pt;height:11.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1723390</wp:posOffset>
                </wp:positionH>
                <wp:positionV relativeFrom="paragraph">
                  <wp:posOffset>737235</wp:posOffset>
                </wp:positionV>
                <wp:extent cx="771525" cy="173990"/>
                <wp:effectExtent l="1270" t="4445" r="8255" b="1206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771525" cy="1739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35.7pt;mso-position-horizontal:absolute;mso-position-vertical-relative:text;margin-top:58.0pt;mso-position-vertical:absolute;width:60.8pt;height:13.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shd w:val="clear" w:color="auto" w:fill="ffffff"/>
        </w:rPr>
        <w:t xml:space="preserve">1.</w:t>
      </w:r>
      <w:r>
        <w:rPr>
          <w:rFonts w:hint="eastAsia" w:ascii="宋体" w:hAnsi="宋体" w:cs="方正魏碑_GBK"/>
          <w:iCs/>
          <w:color w:val="auto"/>
          <w:szCs w:val="21"/>
          <w:highlight w:val="none"/>
          <w:u w:val="single"/>
          <w:shd w:val="clear" w:color="auto" w:fill="ffffff"/>
        </w:rPr>
        <w:t xml:space="preserve">（产品名称1）</w:t>
      </w:r>
      <w:r>
        <w:rPr>
          <w:rFonts w:hint="eastAsia" w:ascii="宋体" w:hAnsi="宋体" w:cs="方正魏碑_GBK"/>
          <w:iCs/>
          <w:color w:val="auto"/>
          <w:szCs w:val="21"/>
          <w:highlight w:val="none"/>
          <w:shd w:val="clear" w:color="auto" w:fill="ffffff"/>
          <w:vertAlign w:val="superscript"/>
        </w:rPr>
        <w:t xml:space="preserve">1</w:t>
      </w:r>
      <w:r>
        <w:rPr>
          <w:rFonts w:hint="eastAsia" w:ascii="宋体" w:hAnsi="宋体" w:cs="方正魏碑_GBK"/>
          <w:color w:val="auto"/>
          <w:szCs w:val="21"/>
          <w:highlight w:val="none"/>
          <w:shd w:val="clear" w:color="auto" w:fill="ffffff"/>
        </w:rPr>
        <w:t xml:space="preserve">，生产厂为</w:t>
      </w:r>
      <w:r>
        <w:rPr>
          <w:rFonts w:hint="eastAsia" w:ascii="宋体" w:hAnsi="宋体" w:cs="方正魏碑_GBK"/>
          <w:iCs/>
          <w:color w:val="auto"/>
          <w:szCs w:val="21"/>
          <w:highlight w:val="none"/>
          <w:u w:val="single"/>
          <w:shd w:val="clear" w:color="auto" w:fill="ffffff"/>
        </w:rPr>
        <w:t xml:space="preserve">（厂名）</w:t>
      </w:r>
      <w:r>
        <w:rPr>
          <w:rFonts w:hint="eastAsia" w:ascii="宋体" w:hAnsi="宋体" w:cs="方正魏碑_GBK"/>
          <w:iCs/>
          <w:color w:val="auto"/>
          <w:szCs w:val="21"/>
          <w:highlight w:val="none"/>
          <w:shd w:val="clear" w:color="auto" w:fill="ffffff"/>
          <w:vertAlign w:val="superscript"/>
        </w:rPr>
        <w:t xml:space="preserve">2</w:t>
      </w:r>
      <w:r>
        <w:rPr>
          <w:rFonts w:hint="eastAsia" w:ascii="宋体" w:hAnsi="宋体" w:cs="方正魏碑_GBK"/>
          <w:color w:val="auto"/>
          <w:szCs w:val="21"/>
          <w:highlight w:val="none"/>
          <w:shd w:val="clear" w:color="auto" w:fill="ffffff"/>
        </w:rPr>
        <w:t xml:space="preserve">，厂址为</w:t>
      </w:r>
      <w:r>
        <w:rPr>
          <w:rFonts w:hint="eastAsia" w:ascii="宋体" w:hAnsi="宋体" w:cs="方正魏碑_GBK"/>
          <w:iCs/>
          <w:color w:val="auto"/>
          <w:szCs w:val="21"/>
          <w:highlight w:val="none"/>
          <w:u w:val="single"/>
          <w:shd w:val="clear" w:color="auto" w:fill="ffffff"/>
        </w:rPr>
        <w:t xml:space="preserve">（生产厂址）</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shd w:val="clear" w:color="auto" w:fill="ffffff"/>
        </w:rPr>
        <w:t xml:space="preserve"> </w:t>
      </w:r>
      <w:r>
        <w:rPr>
          <w:rFonts w:hint="eastAsia" w:ascii="宋体" w:hAnsi="宋体" w:cs="方正魏碑_GBK"/>
          <w:iCs/>
          <w:color w:val="auto"/>
          <w:szCs w:val="21"/>
          <w:highlight w:val="none"/>
          <w:u w:val="single"/>
          <w:shd w:val="clear" w:color="auto" w:fill="ffffff"/>
        </w:rPr>
        <w:t xml:space="preserve">（产品名称1） </w:t>
      </w:r>
      <w:r>
        <w:rPr>
          <w:rFonts w:hint="eastAsia" w:ascii="宋体" w:hAnsi="宋体" w:cs="方正魏碑_GBK"/>
          <w:color w:val="auto"/>
          <w:szCs w:val="21"/>
          <w:highlight w:val="none"/>
          <w:shd w:val="clear" w:color="auto" w:fill="ffffff"/>
        </w:rPr>
        <w:t xml:space="preserve">的中国境内生产的组件成本占比≥</w:t>
      </w:r>
      <w:r>
        <w:rPr>
          <w:rFonts w:hint="eastAsia" w:ascii="宋体" w:hAnsi="宋体" w:cs="方正魏碑_GBK"/>
          <w:iCs/>
          <w:color w:val="auto"/>
          <w:szCs w:val="21"/>
          <w:highlight w:val="none"/>
          <w:u w:val="single"/>
          <w:shd w:val="clear" w:color="auto" w:fill="ffffff"/>
        </w:rPr>
        <w:t xml:space="preserve">（规定</w:t>
      </w:r>
      <w:r>
        <w:rPr>
          <w:rFonts w:ascii="宋体" w:hAnsi="宋体" w:cs="方正魏碑_GBK"/>
          <w:iCs/>
          <w:color w:val="auto"/>
          <w:szCs w:val="21"/>
          <w:highlight w:val="none"/>
          <w:u w:val="single"/>
          <w:shd w:val="clear" w:color="auto" w:fill="ffffff"/>
        </w:rPr>
        <w:t xml:space="preserve">比例</w:t>
      </w:r>
      <w:r>
        <w:rPr>
          <w:rFonts w:hint="eastAsia" w:ascii="宋体" w:hAnsi="宋体" w:cs="方正魏碑_GBK"/>
          <w:iCs/>
          <w:color w:val="auto"/>
          <w:szCs w:val="21"/>
          <w:highlight w:val="none"/>
          <w:u w:val="single"/>
          <w:shd w:val="clear" w:color="auto" w:fill="ffffff"/>
        </w:rPr>
        <w:t xml:space="preserve">）</w:t>
      </w:r>
      <w:r>
        <w:rPr>
          <w:rFonts w:hint="eastAsia" w:ascii="宋体" w:hAnsi="宋体" w:cs="方正魏碑_GBK"/>
          <w:iCs/>
          <w:color w:val="auto"/>
          <w:szCs w:val="21"/>
          <w:highlight w:val="none"/>
          <w:shd w:val="clear" w:color="auto" w:fill="ffffff"/>
          <w:vertAlign w:val="superscript"/>
        </w:rPr>
        <w:t xml:space="preserve">3</w:t>
      </w:r>
      <w:r>
        <w:rPr>
          <w:rFonts w:hint="eastAsia" w:ascii="宋体" w:hAnsi="宋体" w:cs="方正魏碑_GBK"/>
          <w:color w:val="auto"/>
          <w:szCs w:val="21"/>
          <w:highlight w:val="none"/>
          <w:shd w:val="clear" w:color="auto" w:fill="ffffff"/>
        </w:rPr>
        <w:t xml:space="preserve">。</w:t>
      </w:r>
      <w:r>
        <w:rPr>
          <w:rFonts w:hint="eastAsia" w:ascii="宋体" w:hAnsi="宋体" w:cs="方正魏碑_GBK"/>
          <w:iCs/>
          <w:color w:val="auto"/>
          <w:szCs w:val="21"/>
          <w:highlight w:val="none"/>
          <w:u w:val="single"/>
          <w:shd w:val="clear" w:color="auto" w:fill="ffffff"/>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iCs/>
          <w:color w:val="auto"/>
          <w:szCs w:val="21"/>
          <w:highlight w:val="none"/>
          <w:u w:val="single"/>
          <w:shd w:val="clear" w:color="auto" w:fill="ffffff"/>
        </w:rPr>
        <w:t xml:space="preserve">（关键</w:t>
      </w:r>
      <w:r>
        <w:rPr>
          <w:rFonts w:ascii="宋体" w:hAnsi="宋体" w:cs="方正魏碑_GBK"/>
          <w:iCs/>
          <w:color w:val="auto"/>
          <w:szCs w:val="21"/>
          <w:highlight w:val="none"/>
          <w:u w:val="single"/>
          <w:shd w:val="clear" w:color="auto" w:fill="ffffff"/>
        </w:rPr>
        <w:t xml:space="preserve">组件</w:t>
      </w:r>
      <w:r>
        <w:rPr>
          <w:rFonts w:hint="eastAsia" w:ascii="宋体" w:hAnsi="宋体" w:cs="方正魏碑_GBK"/>
          <w:iCs/>
          <w:color w:val="auto"/>
          <w:szCs w:val="21"/>
          <w:highlight w:val="none"/>
          <w:u w:val="single"/>
          <w:shd w:val="clear" w:color="auto" w:fill="ffffff"/>
        </w:rPr>
        <w:t xml:space="preserve">）</w:t>
      </w:r>
      <w:r>
        <w:rPr>
          <w:rFonts w:hint="eastAsia" w:ascii="宋体" w:hAnsi="宋体" w:cs="方正魏碑_GBK"/>
          <w:iCs/>
          <w:color w:val="auto"/>
          <w:szCs w:val="21"/>
          <w:highlight w:val="none"/>
          <w:shd w:val="clear" w:color="auto" w:fill="ffffff"/>
          <w:vertAlign w:val="superscript"/>
        </w:rPr>
        <w:t xml:space="preserve">4</w:t>
      </w:r>
      <w:r>
        <w:rPr>
          <w:rFonts w:hint="eastAsia" w:ascii="宋体" w:hAnsi="宋体" w:cs="方正魏碑_GBK"/>
          <w:color w:val="auto"/>
          <w:szCs w:val="21"/>
          <w:highlight w:val="none"/>
          <w:shd w:val="clear" w:color="auto" w:fill="ffffff"/>
        </w:rPr>
        <w:t xml:space="preserve">在中国境内生产。</w:t>
      </w:r>
      <w:r>
        <w:rPr>
          <w:rFonts w:hint="eastAsia" w:ascii="宋体" w:hAnsi="宋体" w:cs="方正魏碑_GBK"/>
          <w:iCs/>
          <w:color w:val="auto"/>
          <w:szCs w:val="21"/>
          <w:highlight w:val="none"/>
          <w:u w:val="single"/>
          <w:shd w:val="clear" w:color="auto" w:fill="ffffff"/>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iCs/>
          <w:color w:val="auto"/>
          <w:szCs w:val="21"/>
          <w:highlight w:val="none"/>
          <w:u w:val="single"/>
          <w:shd w:val="clear" w:color="auto" w:fill="ffffff"/>
        </w:rPr>
        <w:t xml:space="preserve">（关键工序）</w:t>
      </w:r>
      <w:r>
        <w:rPr>
          <w:rFonts w:hint="eastAsia" w:ascii="宋体" w:hAnsi="宋体" w:cs="方正魏碑_GBK"/>
          <w:iCs/>
          <w:color w:val="auto"/>
          <w:szCs w:val="21"/>
          <w:highlight w:val="none"/>
          <w:shd w:val="clear" w:color="auto" w:fill="ffffff"/>
          <w:vertAlign w:val="superscript"/>
        </w:rPr>
        <w:t xml:space="preserve">5</w:t>
      </w:r>
      <w:r>
        <w:rPr>
          <w:rFonts w:hint="eastAsia" w:ascii="宋体" w:hAnsi="宋体" w:cs="方正魏碑_GBK"/>
          <w:color w:val="auto"/>
          <w:szCs w:val="21"/>
          <w:highlight w:val="none"/>
          <w:shd w:val="clear" w:color="auto" w:fill="ffffff"/>
        </w:rPr>
        <w:t xml:space="preserve">在中国境内完成。</w:t>
      </w:r>
      <w:r/>
    </w:p>
    <w:p>
      <w:pPr>
        <w:ind w:firstLine="420"/>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4104640</wp:posOffset>
                </wp:positionH>
                <wp:positionV relativeFrom="paragraph">
                  <wp:posOffset>441325</wp:posOffset>
                </wp:positionV>
                <wp:extent cx="876300" cy="104775"/>
                <wp:effectExtent l="635" t="4445" r="18415" b="50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047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23.2pt;mso-position-horizontal:absolute;mso-position-vertical-relative:text;margin-top:34.8pt;mso-position-vertical:absolute;width:69.0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3028315</wp:posOffset>
                </wp:positionH>
                <wp:positionV relativeFrom="paragraph">
                  <wp:posOffset>454660</wp:posOffset>
                </wp:positionV>
                <wp:extent cx="821690" cy="102870"/>
                <wp:effectExtent l="635" t="4445" r="15875" b="69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38.4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1781810</wp:posOffset>
                </wp:positionH>
                <wp:positionV relativeFrom="paragraph">
                  <wp:posOffset>426085</wp:posOffset>
                </wp:positionV>
                <wp:extent cx="908685" cy="140970"/>
                <wp:effectExtent l="635" t="4445" r="5080" b="698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0.3pt;mso-position-horizontal:absolute;mso-position-vertical-relative:text;margin-top:33.5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1558290</wp:posOffset>
                </wp:positionH>
                <wp:positionV relativeFrom="paragraph">
                  <wp:posOffset>725170</wp:posOffset>
                </wp:positionV>
                <wp:extent cx="849630" cy="120015"/>
                <wp:effectExtent l="635" t="4445" r="6985" b="8890"/>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122.7pt;mso-position-horizontal:absolute;mso-position-vertical-relative:text;margin-top:57.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392430</wp:posOffset>
                </wp:positionH>
                <wp:positionV relativeFrom="paragraph">
                  <wp:posOffset>748030</wp:posOffset>
                </wp:positionV>
                <wp:extent cx="843915" cy="125730"/>
                <wp:effectExtent l="635" t="4445" r="12700" b="2222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30.9pt;mso-position-horizontal:absolute;mso-position-vertical-relative:text;margin-top:58.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4657090</wp:posOffset>
                </wp:positionH>
                <wp:positionV relativeFrom="paragraph">
                  <wp:posOffset>157480</wp:posOffset>
                </wp:positionV>
                <wp:extent cx="718185" cy="97790"/>
                <wp:effectExtent l="635" t="4445" r="5080" b="12065"/>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6.7pt;mso-position-horizontal:absolute;mso-position-vertical-relative:text;margin-top:12.4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Cs w:val="21"/>
          <w:highlight w:val="none"/>
          <w:shd w:val="clear" w:color="auto" w:fill="ffffff"/>
        </w:rPr>
        <w:t xml:space="preserve">2.</w:t>
      </w:r>
      <w:r>
        <w:rPr>
          <w:rFonts w:hint="eastAsia" w:ascii="宋体" w:hAnsi="宋体" w:cs="方正魏碑_GBK"/>
          <w:iCs/>
          <w:color w:val="auto"/>
          <w:szCs w:val="21"/>
          <w:highlight w:val="none"/>
          <w:u w:val="single"/>
          <w:shd w:val="clear" w:color="auto" w:fill="ffffff"/>
        </w:rPr>
        <w:t xml:space="preserve">（产品名称2）</w:t>
      </w:r>
      <w:r>
        <w:rPr>
          <w:rFonts w:hint="eastAsia" w:ascii="宋体" w:hAnsi="宋体" w:cs="方正魏碑_GBK"/>
          <w:color w:val="auto"/>
          <w:szCs w:val="21"/>
          <w:highlight w:val="none"/>
          <w:shd w:val="clear" w:color="auto" w:fill="ffffff"/>
        </w:rPr>
        <w:t xml:space="preserve">，生产厂为</w:t>
      </w:r>
      <w:r>
        <w:rPr>
          <w:rFonts w:hint="eastAsia" w:ascii="宋体" w:hAnsi="宋体" w:cs="方正魏碑_GBK"/>
          <w:iCs/>
          <w:color w:val="auto"/>
          <w:szCs w:val="21"/>
          <w:highlight w:val="none"/>
          <w:u w:val="single"/>
          <w:shd w:val="clear" w:color="auto" w:fill="ffffff"/>
        </w:rPr>
        <w:t xml:space="preserve">（厂名）</w:t>
      </w:r>
      <w:r>
        <w:rPr>
          <w:rFonts w:hint="eastAsia" w:ascii="宋体" w:hAnsi="宋体" w:cs="方正魏碑_GBK"/>
          <w:color w:val="auto"/>
          <w:szCs w:val="21"/>
          <w:highlight w:val="none"/>
          <w:shd w:val="clear" w:color="auto" w:fill="ffffff"/>
        </w:rPr>
        <w:t xml:space="preserve">，厂址为</w:t>
      </w:r>
      <w:r>
        <w:rPr>
          <w:rFonts w:hint="eastAsia" w:ascii="宋体" w:hAnsi="宋体" w:cs="方正魏碑_GBK"/>
          <w:iCs/>
          <w:color w:val="auto"/>
          <w:szCs w:val="21"/>
          <w:highlight w:val="none"/>
          <w:u w:val="single"/>
          <w:shd w:val="clear" w:color="auto" w:fill="ffffff"/>
        </w:rPr>
        <w:t xml:space="preserve">（生产厂址）</w:t>
      </w:r>
      <w:r>
        <w:rPr>
          <w:rFonts w:hint="eastAsia" w:ascii="宋体" w:hAnsi="宋体" w:cs="方正魏碑_GBK"/>
          <w:color w:val="auto"/>
          <w:szCs w:val="21"/>
          <w:highlight w:val="none"/>
          <w:shd w:val="clear" w:color="auto" w:fill="ffffff"/>
        </w:rPr>
        <w:t xml:space="preserve">。</w:t>
      </w:r>
      <w:r>
        <w:rPr>
          <w:rFonts w:hint="eastAsia" w:ascii="宋体" w:hAnsi="宋体" w:cs="方正魏碑_GBK"/>
          <w:iCs/>
          <w:color w:val="auto"/>
          <w:szCs w:val="21"/>
          <w:highlight w:val="none"/>
          <w:u w:val="single"/>
          <w:shd w:val="clear" w:color="auto" w:fill="ffffff"/>
        </w:rPr>
        <w:t xml:space="preserve">（产品名称2）</w:t>
      </w:r>
      <w:r>
        <w:rPr>
          <w:rFonts w:hint="eastAsia" w:ascii="宋体" w:hAnsi="宋体" w:cs="方正魏碑_GBK"/>
          <w:color w:val="auto"/>
          <w:szCs w:val="21"/>
          <w:highlight w:val="none"/>
          <w:shd w:val="clear" w:color="auto" w:fill="ffffff"/>
        </w:rPr>
        <w:t xml:space="preserve">的中国境内生产的组件成本占比≥</w:t>
      </w:r>
      <w:r>
        <w:rPr>
          <w:rFonts w:hint="eastAsia" w:ascii="宋体" w:hAnsi="宋体" w:cs="方正魏碑_GBK"/>
          <w:iCs/>
          <w:color w:val="auto"/>
          <w:szCs w:val="21"/>
          <w:highlight w:val="none"/>
          <w:u w:val="single"/>
          <w:shd w:val="clear" w:color="auto" w:fill="ffffff"/>
        </w:rPr>
        <w:t xml:space="preserve">（规定</w:t>
      </w:r>
      <w:r>
        <w:rPr>
          <w:rFonts w:ascii="宋体" w:hAnsi="宋体" w:cs="方正魏碑_GBK"/>
          <w:iCs/>
          <w:color w:val="auto"/>
          <w:szCs w:val="21"/>
          <w:highlight w:val="none"/>
          <w:u w:val="single"/>
          <w:shd w:val="clear" w:color="auto" w:fill="ffffff"/>
        </w:rPr>
        <w:t xml:space="preserve">比例</w:t>
      </w:r>
      <w:r>
        <w:rPr>
          <w:rFonts w:hint="eastAsia" w:ascii="宋体" w:hAnsi="宋体" w:cs="方正魏碑_GBK"/>
          <w:iCs/>
          <w:color w:val="auto"/>
          <w:szCs w:val="21"/>
          <w:highlight w:val="none"/>
          <w:u w:val="single"/>
          <w:shd w:val="clear" w:color="auto" w:fill="ffffff"/>
        </w:rPr>
        <w:t xml:space="preserve">）</w:t>
      </w:r>
      <w:r>
        <w:rPr>
          <w:rFonts w:hint="eastAsia" w:ascii="宋体" w:hAnsi="宋体" w:cs="方正魏碑_GBK"/>
          <w:color w:val="auto"/>
          <w:szCs w:val="21"/>
          <w:highlight w:val="none"/>
          <w:shd w:val="clear" w:color="auto" w:fill="ffffff"/>
        </w:rPr>
        <w:t xml:space="preserve">。</w:t>
      </w:r>
      <w:r>
        <w:rPr>
          <w:rFonts w:hint="eastAsia" w:ascii="宋体" w:hAnsi="宋体" w:cs="方正魏碑_GBK"/>
          <w:iCs/>
          <w:color w:val="auto"/>
          <w:szCs w:val="21"/>
          <w:highlight w:val="none"/>
          <w:u w:val="single"/>
          <w:shd w:val="clear" w:color="auto" w:fill="ffffff"/>
        </w:rPr>
        <w:t xml:space="preserve">（产品名称2）</w:t>
      </w:r>
      <w:r>
        <w:rPr>
          <w:rFonts w:hint="eastAsia" w:ascii="宋体" w:hAnsi="宋体" w:cs="方正魏碑_GBK"/>
          <w:color w:val="auto"/>
          <w:szCs w:val="21"/>
          <w:highlight w:val="none"/>
          <w:shd w:val="clear" w:color="auto" w:fill="ffffff"/>
        </w:rPr>
        <w:t xml:space="preserve">的</w:t>
      </w:r>
      <w:r>
        <w:rPr>
          <w:rFonts w:hint="eastAsia" w:ascii="宋体" w:hAnsi="宋体" w:cs="方正魏碑_GBK"/>
          <w:iCs/>
          <w:color w:val="auto"/>
          <w:szCs w:val="21"/>
          <w:highlight w:val="none"/>
          <w:u w:val="single"/>
          <w:shd w:val="clear" w:color="auto" w:fill="ffffff"/>
        </w:rPr>
        <w:t xml:space="preserve">（关键</w:t>
      </w:r>
      <w:r>
        <w:rPr>
          <w:rFonts w:ascii="宋体" w:hAnsi="宋体" w:cs="方正魏碑_GBK"/>
          <w:iCs/>
          <w:color w:val="auto"/>
          <w:szCs w:val="21"/>
          <w:highlight w:val="none"/>
          <w:u w:val="single"/>
          <w:shd w:val="clear" w:color="auto" w:fill="ffffff"/>
        </w:rPr>
        <w:t xml:space="preserve">组件</w:t>
      </w:r>
      <w:r>
        <w:rPr>
          <w:rFonts w:hint="eastAsia" w:ascii="宋体" w:hAnsi="宋体" w:cs="方正魏碑_GBK"/>
          <w:iCs/>
          <w:color w:val="auto"/>
          <w:szCs w:val="21"/>
          <w:highlight w:val="none"/>
          <w:u w:val="single"/>
          <w:shd w:val="clear" w:color="auto" w:fill="ffffff"/>
        </w:rPr>
        <w:t xml:space="preserve">）</w:t>
      </w:r>
      <w:r>
        <w:rPr>
          <w:rFonts w:hint="eastAsia" w:ascii="宋体" w:hAnsi="宋体" w:cs="方正魏碑_GBK"/>
          <w:color w:val="auto"/>
          <w:szCs w:val="21"/>
          <w:highlight w:val="none"/>
          <w:shd w:val="clear" w:color="auto" w:fill="ffffff"/>
        </w:rPr>
        <w:t xml:space="preserve">在中国境内生产。</w:t>
      </w:r>
      <w:r>
        <w:rPr>
          <w:rFonts w:hint="eastAsia" w:ascii="宋体" w:hAnsi="宋体" w:cs="方正魏碑_GBK"/>
          <w:iCs/>
          <w:color w:val="auto"/>
          <w:szCs w:val="21"/>
          <w:highlight w:val="none"/>
          <w:u w:val="single"/>
          <w:shd w:val="clear" w:color="auto" w:fill="ffffff"/>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iCs/>
          <w:color w:val="auto"/>
          <w:szCs w:val="21"/>
          <w:highlight w:val="none"/>
          <w:u w:val="single"/>
          <w:shd w:val="clear" w:color="auto" w:fill="ffffff"/>
        </w:rPr>
        <w:t xml:space="preserve">（关键工序）</w:t>
      </w:r>
      <w:r>
        <w:rPr>
          <w:rFonts w:hint="eastAsia" w:ascii="宋体" w:hAnsi="宋体" w:cs="方正魏碑_GBK"/>
          <w:color w:val="auto"/>
          <w:szCs w:val="21"/>
          <w:highlight w:val="none"/>
          <w:shd w:val="clear" w:color="auto" w:fill="ffffff"/>
        </w:rPr>
        <w:t xml:space="preserve">在中国境内完成。</w:t>
      </w:r>
      <w:r/>
    </w:p>
    <w:p>
      <w:pPr>
        <w:ind w:firstLine="420"/>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w:t>
      </w:r>
      <w:r/>
    </w:p>
    <w:p>
      <w:pPr>
        <w:ind w:firstLine="420"/>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本公司（单位）对上述声明内容的真实性负责。如有虚假，愿承担相应法律责任。</w:t>
      </w:r>
      <w:r/>
    </w:p>
    <w:p>
      <w:pPr>
        <w:jc w:val="left"/>
        <w:spacing w:before="30" w:after="30" w:line="480" w:lineRule="exact"/>
        <w:shd w:val="clear" w:color="auto"/>
        <w:widowControl/>
        <w:rPr>
          <w:rFonts w:ascii="宋体" w:hAnsi="宋体" w:cs="方正魏碑_GBK"/>
          <w:color w:val="auto"/>
          <w:szCs w:val="21"/>
          <w:highlight w:val="none"/>
        </w:rPr>
      </w:pPr>
      <w:r>
        <w:rPr>
          <w:rFonts w:ascii="宋体" w:hAnsi="宋体" w:cs="方正魏碑_GBK"/>
          <w:color w:val="auto"/>
          <w:szCs w:val="21"/>
          <w:highlight w:val="none"/>
        </w:rPr>
      </w:r>
      <w:r/>
    </w:p>
    <w:p>
      <w:pPr>
        <w:ind w:right="480" w:firstLine="3255"/>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公司（单位）名称（加盖CA电子公章）：　        </w:t>
      </w:r>
      <w:r/>
    </w:p>
    <w:p>
      <w:pPr>
        <w:jc w:val="center"/>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                    </w:t>
      </w:r>
      <w:r>
        <w:rPr>
          <w:rFonts w:ascii="宋体" w:hAnsi="宋体"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日期：　   </w:t>
      </w:r>
      <w:r>
        <w:rPr>
          <w:rFonts w:hint="eastAsia" w:ascii="宋体" w:hAnsi="宋体" w:cs="宋体"/>
          <w:color w:val="auto"/>
          <w:szCs w:val="21"/>
          <w:highlight w:val="none"/>
          <w:shd w:val="clear" w:color="auto" w:fill="ffffff"/>
        </w:rPr>
        <w:t xml:space="preserve">年　</w:t>
      </w:r>
      <w:r>
        <w:rPr>
          <w:rFonts w:hint="eastAsia" w:ascii="宋体" w:hAnsi="宋体" w:cs="方正魏碑_GBK"/>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月　</w:t>
      </w:r>
      <w:r>
        <w:rPr>
          <w:rFonts w:hint="eastAsia" w:ascii="宋体" w:hAnsi="宋体" w:cs="方正魏碑_GBK"/>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日</w:t>
      </w:r>
      <w:r>
        <w:rPr>
          <w:rFonts w:hint="eastAsia" w:ascii="宋体" w:hAnsi="宋体" w:cs="方正魏碑_GBK"/>
          <w:color w:val="auto"/>
          <w:szCs w:val="21"/>
          <w:highlight w:val="none"/>
          <w:shd w:val="clear" w:color="auto" w:fill="ffffff"/>
        </w:rPr>
        <w:t xml:space="preserve">         </w:t>
      </w:r>
      <w:r/>
    </w:p>
    <w:p>
      <w:pPr>
        <w:jc w:val="left"/>
        <w:spacing w:before="30" w:after="30" w:line="480" w:lineRule="exact"/>
        <w:shd w:val="clear" w:color="auto"/>
        <w:widowControl/>
        <w:rPr>
          <w:rFonts w:ascii="宋体" w:hAnsi="宋体" w:cs="方正魏碑_GBK"/>
          <w:color w:val="auto"/>
          <w:szCs w:val="21"/>
          <w:highlight w:val="none"/>
        </w:rPr>
      </w:pPr>
      <w:r>
        <w:rPr>
          <w:rFonts w:ascii="宋体" w:hAnsi="宋体" w:cs="方正魏碑_GBK"/>
          <w:color w:val="auto"/>
          <w:szCs w:val="21"/>
          <w:highlight w:val="none"/>
        </w:rPr>
      </w:r>
      <w:r/>
    </w:p>
    <w:p>
      <w:pPr>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1.产品如有型号，请在“产品名称”栏一并填写。</w:t>
      </w:r>
      <w:r/>
    </w:p>
    <w:p>
      <w:pPr>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2.生产厂名与厂址应与生产厂营业执照载明的相关信息保持一致。</w:t>
      </w:r>
      <w:r/>
    </w:p>
    <w:p>
      <w:pPr>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3.该产品的中国境内生产的组件成本占比相关要求实施前，“规定比例”栏可不填，下同。</w:t>
      </w:r>
      <w:r/>
    </w:p>
    <w:p>
      <w:pPr>
        <w:jc w:val="left"/>
        <w:spacing w:before="30" w:after="30" w:line="480" w:lineRule="exact"/>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4.该产品的关键组件要求实施前，“关键组件”栏可不填，下同。</w:t>
      </w:r>
      <w:r/>
    </w:p>
    <w:p>
      <w:pPr>
        <w:jc w:val="left"/>
        <w:spacing w:before="30" w:after="30" w:line="480" w:lineRule="exact"/>
        <w:shd w:val="clear" w:color="auto"/>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5.该产品的关键工序要求实施前，“关键工序”栏可不填，下同。</w:t>
      </w:r>
      <w:r/>
    </w:p>
    <w:p>
      <w:pPr>
        <w:jc w:val="left"/>
        <w:spacing w:before="30" w:after="30" w:line="480" w:lineRule="exact"/>
        <w:shd w:val="clear" w:color="auto"/>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6.用斜线划除的地方无需填写。</w:t>
      </w:r>
      <w:r/>
    </w:p>
    <w:p>
      <w:pPr>
        <w:ind w:firstLine="200"/>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jc w:val="left"/>
        <w:keepLines w:val="0"/>
        <w:keepNext w:val="0"/>
        <w:pageBreakBefore w:val="0"/>
        <w:spacing w:line="360" w:lineRule="auto"/>
        <w:shd w:val="clear" w:color="auto"/>
        <w:widowControl/>
        <w:rPr>
          <w:rFonts w:ascii="宋体" w:hAnsi="宋体" w:cs="宋体"/>
          <w:b/>
          <w:bCs/>
          <w:color w:val="auto"/>
          <w:szCs w:val="21"/>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Cs w:val="21"/>
          <w:highlight w:val="none"/>
          <w:lang w:val="zh-CN"/>
        </w:rPr>
        <w:t xml:space="preserve">附件1</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lang w:val="zh-CN"/>
        </w:rPr>
        <w:t xml:space="preserve">：投标供应商与其他单位存在控股、管理关系情况表</w:t>
      </w:r>
      <w:r/>
    </w:p>
    <w:p>
      <w:pPr>
        <w:jc w:val="left"/>
        <w:spacing w:line="360" w:lineRule="auto"/>
        <w:shd w:val="clear" w:color="auto"/>
        <w:widowControl/>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投标供应商与其他单位存在控股、管理关系情况表</w:t>
      </w:r>
      <w:r/>
    </w:p>
    <w:p>
      <w:pPr>
        <w:spacing w:line="360" w:lineRule="auto"/>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项目编号：                       </w:t>
      </w:r>
      <w:r/>
    </w:p>
    <w:p>
      <w:pPr>
        <w:spacing w:line="360" w:lineRule="auto"/>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项目名称：</w:t>
      </w:r>
      <w:r/>
    </w:p>
    <w:tbl>
      <w:tblPr>
        <w:tblStyle w:val="7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2"/>
        <w:gridCol w:w="4852"/>
      </w:tblGrid>
      <w:tr>
        <w:trPr>
          <w:jc w:val="center"/>
          <w:trHeight w:val="637"/>
        </w:trPr>
        <w:tc>
          <w:tcPr>
            <w:tcW w:w="2538" w:type="pct"/>
            <w:vAlign w:val="center"/>
            <w:textDirection w:val="lrTb"/>
            <w:noWrap w:val="false"/>
          </w:tcPr>
          <w:p>
            <w:pPr>
              <w:jc w:val="center"/>
              <w:spacing w:line="360" w:lineRule="auto"/>
              <w:shd w:val="clear" w:color="auto"/>
              <w:widowControl/>
              <w:rPr>
                <w:rFonts w:ascii="宋体" w:hAnsi="宋体" w:cs="宋体"/>
                <w:bCs/>
                <w:color w:val="auto"/>
                <w:szCs w:val="21"/>
                <w:highlight w:val="none"/>
              </w:rPr>
            </w:pPr>
            <w:r>
              <w:rPr>
                <w:rFonts w:hint="eastAsia" w:ascii="宋体" w:hAnsi="宋体" w:cs="宋体"/>
                <w:bCs/>
                <w:color w:val="auto"/>
                <w:szCs w:val="21"/>
                <w:highlight w:val="none"/>
              </w:rPr>
              <w:t xml:space="preserve">与投标供应商存在控股、管理关系的单位名称</w:t>
            </w:r>
            <w:r/>
          </w:p>
        </w:tc>
        <w:tc>
          <w:tcPr>
            <w:tcW w:w="2462" w:type="pct"/>
            <w:vAlign w:val="center"/>
            <w:textDirection w:val="lrTb"/>
            <w:noWrap w:val="false"/>
          </w:tcPr>
          <w:p>
            <w:pPr>
              <w:jc w:val="center"/>
              <w:spacing w:line="360" w:lineRule="auto"/>
              <w:shd w:val="clear" w:color="auto"/>
              <w:widowControl/>
              <w:rPr>
                <w:rFonts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jc w:val="center"/>
          <w:trHeight w:val="850"/>
        </w:trPr>
        <w:tc>
          <w:tcPr>
            <w:tcW w:w="2538"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c>
          <w:tcPr>
            <w:tcW w:w="2462"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850"/>
        </w:trPr>
        <w:tc>
          <w:tcPr>
            <w:tcW w:w="2538"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c>
          <w:tcPr>
            <w:tcW w:w="2462"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850"/>
        </w:trPr>
        <w:tc>
          <w:tcPr>
            <w:tcW w:w="2538"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c>
          <w:tcPr>
            <w:tcW w:w="2462"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850"/>
        </w:trPr>
        <w:tc>
          <w:tcPr>
            <w:tcW w:w="2538"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c>
          <w:tcPr>
            <w:tcW w:w="2462"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850"/>
        </w:trPr>
        <w:tc>
          <w:tcPr>
            <w:tcW w:w="2538"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c>
          <w:tcPr>
            <w:tcW w:w="2462"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850"/>
        </w:trPr>
        <w:tc>
          <w:tcPr>
            <w:tcW w:w="2538"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c>
          <w:tcPr>
            <w:tcW w:w="2462" w:type="pct"/>
            <w:vAlign w:val="center"/>
            <w:textDirection w:val="lrTb"/>
            <w:noWrap w:val="false"/>
          </w:tcPr>
          <w:p>
            <w:pPr>
              <w:jc w:val="center"/>
              <w:spacing w:line="360" w:lineRule="auto"/>
              <w:shd w:val="clear" w:color="auto"/>
              <w:widowControl/>
              <w:rPr>
                <w:rFonts w:ascii="宋体" w:hAnsi="宋体" w:cs="宋体"/>
                <w:b/>
                <w:color w:val="auto"/>
                <w:szCs w:val="21"/>
                <w:highlight w:val="none"/>
              </w:rPr>
            </w:pPr>
            <w:r>
              <w:rPr>
                <w:rFonts w:ascii="宋体" w:hAnsi="宋体" w:cs="宋体"/>
                <w:b/>
                <w:color w:val="auto"/>
                <w:szCs w:val="21"/>
                <w:highlight w:val="none"/>
              </w:rPr>
            </w:r>
            <w:r/>
          </w:p>
        </w:tc>
      </w:tr>
    </w:tbl>
    <w:p>
      <w:pPr>
        <w:ind w:firstLine="422"/>
        <w:jc w:val="left"/>
        <w:spacing w:before="120" w:line="360" w:lineRule="auto"/>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注：投标供应商应当按实填写所有与之有控股、管理关系的情况</w:t>
      </w:r>
      <w:r/>
    </w:p>
    <w:p>
      <w:pPr>
        <w:ind w:firstLine="420"/>
        <w:jc w:val="left"/>
        <w:spacing w:line="440" w:lineRule="exact"/>
        <w:shd w:val="clear" w:color="auto"/>
        <w:rPr>
          <w:rFonts w:ascii="宋体" w:hAnsi="宋体" w:cs="宋体"/>
          <w:color w:val="auto"/>
          <w:spacing w:val="20"/>
          <w:szCs w:val="21"/>
          <w:highlight w:val="none"/>
        </w:rPr>
      </w:pPr>
      <w:r>
        <w:rPr>
          <w:rFonts w:ascii="宋体" w:hAnsi="宋体" w:cs="宋体"/>
          <w:color w:val="auto"/>
          <w:spacing w:val="20"/>
          <w:szCs w:val="21"/>
          <w:highlight w:val="none"/>
        </w:rPr>
      </w:r>
      <w:r/>
    </w:p>
    <w:p>
      <w:pPr>
        <w:ind w:firstLine="420"/>
        <w:jc w:val="left"/>
        <w:spacing w:line="440" w:lineRule="exact"/>
        <w:shd w:val="clear" w:color="auto"/>
        <w:rPr>
          <w:rFonts w:ascii="宋体" w:hAnsi="宋体" w:cs="宋体"/>
          <w:b/>
          <w:color w:val="auto"/>
          <w:szCs w:val="21"/>
          <w:highlight w:val="none"/>
          <w:lang w:val="zh-CN"/>
        </w:rPr>
      </w:pPr>
      <w:r>
        <w:rPr>
          <w:rFonts w:hint="eastAsia" w:ascii="宋体" w:hAnsi="宋体" w:cs="宋体"/>
          <w:color w:val="auto"/>
          <w:spacing w:val="20"/>
          <w:szCs w:val="21"/>
          <w:highlight w:val="none"/>
          <w:lang w:val="zh-CN"/>
        </w:rPr>
        <w:t xml:space="preserve">投标</w:t>
      </w:r>
      <w:r>
        <w:rPr>
          <w:rFonts w:hint="eastAsia" w:ascii="宋体" w:hAnsi="宋体" w:cs="宋体"/>
          <w:color w:val="auto"/>
          <w:spacing w:val="20"/>
          <w:szCs w:val="21"/>
          <w:highlight w:val="none"/>
        </w:rPr>
        <w:t xml:space="preserve">人（公章</w:t>
      </w:r>
      <w:r>
        <w:rPr>
          <w:rFonts w:hint="eastAsia" w:ascii="宋体" w:hAnsi="宋体" w:cs="宋体"/>
          <w:color w:val="auto"/>
          <w:spacing w:val="20"/>
          <w:szCs w:val="21"/>
          <w:highlight w:val="none"/>
          <w:lang w:val="zh-CN"/>
        </w:rPr>
        <w:t xml:space="preserve">）：   </w:t>
      </w:r>
      <w:r/>
    </w:p>
    <w:p>
      <w:pPr>
        <w:ind w:firstLine="420"/>
        <w:spacing w:line="440" w:lineRule="exact"/>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法定代表人或代理人：（签字或盖章）</w:t>
      </w:r>
      <w:r/>
    </w:p>
    <w:p>
      <w:pPr>
        <w:ind w:firstLine="420"/>
        <w:spacing w:line="440" w:lineRule="exact"/>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日  期：</w:t>
      </w:r>
      <w:r/>
    </w:p>
    <w:p>
      <w:pPr>
        <w:jc w:val="left"/>
        <w:keepLines w:val="0"/>
        <w:keepNext w:val="0"/>
        <w:pageBreakBefore w:val="0"/>
        <w:spacing w:before="480" w:after="240"/>
        <w:shd w:val="clear" w:color="auto"/>
        <w:widowControl w:val="off"/>
        <w:rPr>
          <w:rFonts w:hint="eastAsia" w:ascii="宋体" w:hAnsi="宋体" w:eastAsia="宋体" w:cs="宋体"/>
          <w:b/>
          <w:bCs w:val="0"/>
          <w:color w:val="auto"/>
          <w:spacing w:val="0"/>
          <w:sz w:val="21"/>
          <w:szCs w:val="21"/>
          <w:highlight w:val="none"/>
          <w:lang w:val="en-US" w:eastAsia="zh-CN" w:bidi="ar-SA"/>
        </w:rPr>
        <w:outlineLvl w:val="9"/>
      </w:pPr>
      <w:r>
        <w:rPr>
          <w:rFonts w:hint="eastAsia" w:ascii="宋体" w:hAnsi="宋体" w:eastAsia="宋体" w:cs="宋体"/>
          <w:b/>
          <w:bCs w:val="0"/>
          <w:color w:val="auto"/>
          <w:spacing w:val="0"/>
          <w:sz w:val="21"/>
          <w:szCs w:val="21"/>
          <w:highlight w:val="none"/>
          <w:lang w:val="en-US" w:eastAsia="zh-CN" w:bidi="ar-SA"/>
        </w:rPr>
      </w:r>
      <w:r/>
    </w:p>
    <w:p>
      <w:pPr>
        <w:jc w:val="left"/>
        <w:keepLines w:val="0"/>
        <w:keepNext w:val="0"/>
        <w:pageBreakBefore w:val="0"/>
        <w:spacing w:before="480" w:after="240"/>
        <w:shd w:val="clear" w:color="auto"/>
        <w:widowControl w:val="off"/>
        <w:rPr>
          <w:rFonts w:hint="eastAsia" w:ascii="宋体" w:hAnsi="宋体" w:eastAsia="宋体" w:cs="宋体"/>
          <w:b/>
          <w:bCs w:val="0"/>
          <w:color w:val="auto"/>
          <w:spacing w:val="0"/>
          <w:sz w:val="21"/>
          <w:szCs w:val="21"/>
          <w:highlight w:val="none"/>
          <w:lang w:val="en-US" w:eastAsia="zh-CN" w:bidi="ar-SA"/>
        </w:rPr>
        <w:outlineLvl w:val="9"/>
      </w:pPr>
      <w:r>
        <w:rPr>
          <w:rFonts w:hint="eastAsia" w:ascii="宋体" w:hAnsi="宋体" w:eastAsia="宋体" w:cs="宋体"/>
          <w:b/>
          <w:bCs w:val="0"/>
          <w:color w:val="auto"/>
          <w:spacing w:val="0"/>
          <w:sz w:val="21"/>
          <w:szCs w:val="21"/>
          <w:highlight w:val="none"/>
          <w:lang w:val="en-US" w:eastAsia="zh-CN" w:bidi="ar-SA"/>
        </w:rPr>
      </w:r>
      <w:r/>
    </w:p>
    <w:p>
      <w:pPr>
        <w:jc w:val="left"/>
        <w:keepLines w:val="0"/>
        <w:keepNext w:val="0"/>
        <w:pageBreakBefore w:val="0"/>
        <w:spacing w:before="480" w:after="240"/>
        <w:shd w:val="clear" w:color="auto"/>
        <w:widowControl w:val="off"/>
        <w:rPr>
          <w:rFonts w:hint="eastAsia" w:ascii="宋体" w:hAnsi="宋体" w:eastAsia="宋体" w:cs="宋体"/>
          <w:b/>
          <w:bCs w:val="0"/>
          <w:color w:val="auto"/>
          <w:spacing w:val="0"/>
          <w:sz w:val="21"/>
          <w:szCs w:val="21"/>
          <w:highlight w:val="none"/>
          <w:lang w:val="en-US" w:eastAsia="zh-CN" w:bidi="ar-SA"/>
        </w:rPr>
        <w:outlineLvl w:val="9"/>
      </w:pPr>
      <w:r>
        <w:rPr>
          <w:rFonts w:hint="eastAsia" w:ascii="宋体" w:hAnsi="宋体" w:eastAsia="宋体" w:cs="宋体"/>
          <w:b/>
          <w:bCs w:val="0"/>
          <w:color w:val="auto"/>
          <w:spacing w:val="0"/>
          <w:sz w:val="21"/>
          <w:szCs w:val="21"/>
          <w:highlight w:val="none"/>
          <w:lang w:val="en-US" w:eastAsia="zh-CN" w:bidi="ar-SA"/>
        </w:rPr>
      </w:r>
      <w:r/>
    </w:p>
    <w:p>
      <w:pPr>
        <w:keepLines w:val="0"/>
        <w:keepNext w:val="0"/>
        <w:pageBreakBefore w:val="0"/>
        <w:shd w:val="clear" w:color="auto"/>
        <w:widowControl w:val="off"/>
        <w:rPr>
          <w:rFonts w:hint="eastAsia"/>
          <w:color w:val="auto"/>
          <w:highlight w:val="none"/>
          <w:lang w:val="en-US" w:eastAsia="zh-CN"/>
        </w:rPr>
        <w:outlineLvl w:val="9"/>
      </w:pPr>
      <w:r>
        <w:rPr>
          <w:rFonts w:hint="eastAsia"/>
          <w:color w:val="auto"/>
          <w:highlight w:val="none"/>
          <w:lang w:val="en-US" w:eastAsia="zh-CN"/>
        </w:rPr>
      </w:r>
      <w:r/>
    </w:p>
    <w:p>
      <w:pPr>
        <w:jc w:val="left"/>
        <w:keepLines w:val="0"/>
        <w:keepNext w:val="0"/>
        <w:pageBreakBefore w:val="0"/>
        <w:spacing w:before="480" w:after="240"/>
        <w:shd w:val="clear" w:color="auto"/>
        <w:widowControl w:val="off"/>
        <w:rPr>
          <w:rFonts w:hint="eastAsia" w:ascii="宋体" w:hAnsi="宋体" w:eastAsia="宋体" w:cs="宋体"/>
          <w:b/>
          <w:bCs w:val="0"/>
          <w:color w:val="auto"/>
          <w:spacing w:val="0"/>
          <w:sz w:val="21"/>
          <w:szCs w:val="21"/>
          <w:highlight w:val="none"/>
          <w:lang w:val="en-US" w:eastAsia="zh-CN" w:bidi="ar-SA"/>
        </w:rPr>
        <w:outlineLvl w:val="9"/>
      </w:pPr>
      <w:r>
        <w:rPr>
          <w:rFonts w:hint="eastAsia" w:ascii="宋体" w:hAnsi="宋体" w:eastAsia="宋体" w:cs="宋体"/>
          <w:b/>
          <w:bCs w:val="0"/>
          <w:color w:val="auto"/>
          <w:spacing w:val="0"/>
          <w:sz w:val="21"/>
          <w:szCs w:val="21"/>
          <w:highlight w:val="none"/>
          <w:lang w:val="en-US" w:eastAsia="zh-CN" w:bidi="ar-SA"/>
        </w:rPr>
      </w:r>
      <w:r/>
    </w:p>
    <w:p>
      <w:pPr>
        <w:pStyle w:val="755"/>
        <w:jc w:val="left"/>
        <w:spacing w:before="480" w:after="240"/>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bCs w:val="0"/>
          <w:color w:val="auto"/>
          <w:spacing w:val="0"/>
          <w:sz w:val="21"/>
          <w:szCs w:val="21"/>
          <w:highlight w:val="none"/>
          <w:lang w:val="en-US" w:eastAsia="zh-CN" w:bidi="ar-SA"/>
        </w:rPr>
        <w:t xml:space="preserve">附件</w:t>
      </w:r>
      <w:r>
        <w:rPr>
          <w:rFonts w:hint="eastAsia" w:ascii="宋体" w:hAnsi="宋体" w:eastAsia="宋体" w:cs="宋体"/>
          <w:b/>
          <w:bCs w:val="0"/>
          <w:color w:val="auto"/>
          <w:spacing w:val="0"/>
          <w:sz w:val="21"/>
          <w:szCs w:val="21"/>
          <w:highlight w:val="none"/>
          <w:lang w:val="zh-CN" w:eastAsia="zh-CN" w:bidi="ar-SA"/>
        </w:rPr>
        <w:t xml:space="preserve">1</w:t>
      </w:r>
      <w:bookmarkStart w:id="37" w:name="_Toc26968_WPSOffice_Level1"/>
      <w:r>
        <w:rPr>
          <w:rFonts w:hint="eastAsia" w:ascii="宋体" w:hAnsi="宋体" w:eastAsia="宋体" w:cs="宋体"/>
          <w:b/>
          <w:bCs w:val="0"/>
          <w:color w:val="auto"/>
          <w:spacing w:val="0"/>
          <w:sz w:val="21"/>
          <w:szCs w:val="21"/>
          <w:highlight w:val="none"/>
          <w:lang w:val="en-US" w:eastAsia="zh-CN" w:bidi="ar-SA"/>
        </w:rPr>
        <w:t xml:space="preserve">4</w:t>
      </w:r>
      <w:r>
        <w:rPr>
          <w:rFonts w:hint="eastAsia" w:ascii="宋体" w:hAnsi="宋体" w:eastAsia="宋体" w:cs="宋体"/>
          <w:b/>
          <w:bCs w:val="0"/>
          <w:color w:val="auto"/>
          <w:spacing w:val="0"/>
          <w:sz w:val="21"/>
          <w:szCs w:val="21"/>
          <w:highlight w:val="none"/>
          <w:lang w:val="zh-CN" w:eastAsia="zh-CN" w:bidi="ar-SA"/>
        </w:rPr>
        <w:t xml:space="preserve">：</w:t>
      </w:r>
      <w:r>
        <w:rPr>
          <w:rFonts w:hint="eastAsia" w:ascii="宋体" w:hAnsi="宋体" w:eastAsia="宋体" w:cs="宋体"/>
          <w:color w:val="auto"/>
          <w:sz w:val="21"/>
          <w:szCs w:val="21"/>
          <w:highlight w:val="none"/>
        </w:rPr>
        <w:t xml:space="preserve">安全承诺责任书、质量保证书</w:t>
      </w:r>
      <w:r/>
    </w:p>
    <w:p>
      <w:pPr>
        <w:jc w:val="center"/>
        <w:shd w:val="clear" w:color="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hd w:val="clear" w:color="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）安全承诺责任书</w:t>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1061"/>
        <w:ind w:firstLine="210"/>
        <w:jc w:val="left"/>
        <w:spacing w:line="360" w:lineRule="auto"/>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061"/>
        <w:ind w:firstLine="210"/>
        <w:jc w:val="left"/>
        <w:spacing w:line="360" w:lineRule="auto"/>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left="0" w:firstLine="420"/>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left="0" w:firstLine="420"/>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0" w:firstLine="420"/>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61"/>
        <w:ind w:firstLine="211"/>
        <w:spacing w:line="360" w:lineRule="auto"/>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61"/>
        <w:ind w:firstLine="211"/>
        <w:spacing w:line="360" w:lineRule="auto"/>
        <w:shd w:val="clear" w:color="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61"/>
        <w:ind w:firstLine="211"/>
        <w:spacing w:line="360" w:lineRule="auto"/>
        <w:shd w:val="clear" w:color="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61"/>
        <w:ind w:firstLine="211"/>
        <w:spacing w:line="360" w:lineRule="auto"/>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795"/>
        <w:jc w:val="center"/>
        <w:shd w:val="clear" w:color="auto"/>
        <w:rPr>
          <w:rFonts w:hint="eastAsia" w:ascii="宋体" w:hAnsi="宋体" w:cs="宋体"/>
          <w:b/>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质量保证书</w:t>
      </w:r>
      <w:r/>
    </w:p>
    <w:p>
      <w:pPr>
        <w:ind w:firstLine="480"/>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val="zh-CN"/>
        </w:rPr>
        <w:t xml:space="preserve">苏州市吴江区第四人民医院</w:t>
      </w:r>
      <w:r>
        <w:rPr>
          <w:rFonts w:hint="eastAsia" w:ascii="宋体" w:hAnsi="宋体" w:cs="宋体"/>
          <w:color w:val="auto"/>
          <w:szCs w:val="21"/>
          <w:highlight w:val="none"/>
        </w:rPr>
        <w:t xml:space="preserve">本保证书作为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（投标单位名称）参加</w:t>
      </w:r>
      <w:r>
        <w:rPr>
          <w:rFonts w:hint="eastAsia" w:ascii="宋体" w:hAnsi="宋体" w:cs="宋体"/>
          <w:color w:val="auto"/>
          <w:szCs w:val="21"/>
          <w:highlight w:val="none"/>
          <w:lang w:eastAsia="zh-CN"/>
        </w:rPr>
        <w:t xml:space="preserve">苏州永正造价师事务所有限公司</w:t>
      </w:r>
      <w:r>
        <w:rPr>
          <w:rFonts w:hint="eastAsia" w:ascii="宋体" w:hAnsi="宋体" w:cs="宋体"/>
          <w:color w:val="auto"/>
          <w:szCs w:val="21"/>
          <w:highlight w:val="none"/>
        </w:rPr>
        <w:t xml:space="preserve">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号投标书的不可分割的一部分。如我单位有幸成为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号招投标活动的中标单位，特向贵方保证，所有设备、材料均为原厂合格产品、符合招标文件技术、性能、质量要求的规定，并提供出厂合格证明和国家权威部门的检验测试报告，保证项目质量符合招标要求，如有不符，由我单位承担全部责任（其他内容自述）。</w:t>
      </w:r>
      <w:r/>
    </w:p>
    <w:p>
      <w:pPr>
        <w:ind w:firstLine="48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left="0" w:firstLine="420"/>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left="0" w:firstLine="420"/>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0" w:firstLine="420"/>
        <w:jc w:val="both"/>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61"/>
        <w:ind w:firstLine="211"/>
        <w:spacing w:line="360" w:lineRule="auto"/>
        <w:shd w:val="clear" w:color="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61"/>
        <w:ind w:firstLine="211"/>
        <w:spacing w:line="360" w:lineRule="auto"/>
        <w:shd w:val="clear" w:color="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61"/>
        <w:ind w:firstLine="211"/>
        <w:spacing w:line="360" w:lineRule="auto"/>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61"/>
        <w:ind w:left="211"/>
        <w:spacing w:line="360" w:lineRule="auto"/>
        <w:shd w:val="clear" w:color="auto"/>
        <w:rPr>
          <w:rFonts w:hint="eastAsia" w:ascii="宋体" w:hAnsi="宋体" w:eastAsia="宋体" w:cs="宋体"/>
          <w:color w:val="auto"/>
          <w:spacing w:val="0"/>
          <w:sz w:val="21"/>
          <w:szCs w:val="21"/>
          <w:highlight w:val="none"/>
          <w:lang w:val="zh-CN"/>
        </w:rPr>
      </w:pPr>
      <w:r>
        <w:rPr>
          <w:rFonts w:hAnsi="宋体" w:eastAsia="宋体" w:cs="宋体"/>
          <w:b/>
          <w:bCs/>
          <w:color w:val="auto"/>
          <w:sz w:val="21"/>
          <w:szCs w:val="21"/>
          <w:highlight w:val="none"/>
        </w:rPr>
        <w:br w:type="page" w:clear="all"/>
      </w:r>
      <w:r/>
    </w:p>
    <w:p>
      <w:pPr>
        <w:jc w:val="left"/>
        <w:keepLines w:val="0"/>
        <w:keepNext w:val="0"/>
        <w:pageBreakBefore w:val="0"/>
        <w:spacing w:line="360" w:lineRule="auto"/>
        <w:shd w:val="clear" w:color="auto"/>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en-US" w:eastAsia="zh-CN"/>
        </w:rPr>
        <w:t xml:space="preserve">附件15：</w:t>
      </w:r>
      <w:r>
        <w:rPr>
          <w:rFonts w:hint="eastAsia" w:ascii="宋体" w:hAnsi="宋体" w:eastAsia="宋体" w:cs="宋体"/>
          <w:b/>
          <w:color w:val="auto"/>
          <w:szCs w:val="21"/>
          <w:highlight w:val="none"/>
          <w:lang w:val="zh-CN"/>
        </w:rPr>
        <w:t xml:space="preserve">《中小微企业声明函》、《残疾人福利性单位声明函》、《监狱企业证明文件》。（如有）【不属于中小微企业单位的无需填写、递交】</w:t>
      </w:r>
      <w:bookmarkEnd w:id="37"/>
      <w:r/>
      <w:r/>
    </w:p>
    <w:p>
      <w:pPr>
        <w:jc w:val="center"/>
        <w:spacing w:line="360" w:lineRule="auto"/>
        <w:shd w:val="clear" w:color="auto"/>
        <w:rPr>
          <w:rFonts w:ascii="宋体" w:hAnsi="宋体" w:cs="宋体"/>
          <w:color w:val="auto"/>
          <w:spacing w:val="-2"/>
          <w:highlight w:val="none"/>
        </w:rPr>
      </w:pPr>
      <w:r>
        <w:rPr>
          <w:rFonts w:ascii="宋体" w:hAnsi="宋体" w:cs="宋体"/>
          <w:color w:val="auto"/>
          <w:spacing w:val="-2"/>
          <w:highlight w:val="none"/>
        </w:rPr>
      </w:r>
      <w:r/>
    </w:p>
    <w:p>
      <w:pPr>
        <w:jc w:val="center"/>
        <w:spacing w:after="240" w:line="400" w:lineRule="exact"/>
        <w:shd w:val="clear" w:color="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中小企业声明函（货物）</w:t>
      </w:r>
      <w:r/>
    </w:p>
    <w:p>
      <w:pPr>
        <w:ind w:firstLine="420"/>
        <w:spacing w:line="400" w:lineRule="exact"/>
        <w:shd w:val="clear" w:color="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采购活动，提供的货物全部由符合政策要求的中小企业制造。相关企业（含联合体中的中小企业、签订分包意向协议的中小企业）的具体情况如下：</w:t>
      </w:r>
      <w:r/>
    </w:p>
    <w:p>
      <w:pPr>
        <w:ind w:firstLine="420"/>
        <w:spacing w:line="400" w:lineRule="exact"/>
        <w:shd w:val="clear" w:color="auto"/>
        <w:tabs>
          <w:tab w:val="left" w:pos="1243"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rPr>
        <w:t xml:space="preserve">制造商为</w:t>
      </w:r>
      <w:r>
        <w:rPr>
          <w:rFonts w:hint="eastAsia" w:ascii="宋体" w:hAnsi="宋体" w:cs="宋体"/>
          <w:color w:val="auto"/>
          <w:spacing w:val="-2"/>
          <w:szCs w:val="21"/>
          <w:highlight w:val="none"/>
          <w:u w:val="single"/>
        </w:rPr>
        <w:t xml:space="preserve">（企业名称）</w:t>
      </w:r>
      <w:r>
        <w:rPr>
          <w:rFonts w:hint="eastAsia" w:ascii="宋体" w:hAnsi="宋体" w:cs="宋体"/>
          <w:color w:val="auto"/>
          <w:spacing w:val="-2"/>
          <w:szCs w:val="21"/>
          <w:highlight w:val="none"/>
        </w:rPr>
        <w:t xml:space="preserve">，从业人员</w:t>
      </w:r>
      <w:r>
        <w:rPr>
          <w:rFonts w:hint="eastAsia" w:ascii="宋体" w:hAnsi="宋体" w:cs="宋体"/>
          <w:color w:val="auto"/>
          <w:spacing w:val="-2"/>
          <w:szCs w:val="21"/>
          <w:highlight w:val="none"/>
          <w:u w:val="single"/>
        </w:rPr>
        <w:t xml:space="preserve"> </w:t>
      </w:r>
      <w:r>
        <w:rPr>
          <w:rFonts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rPr>
        <w:t xml:space="preserve"> </w:t>
      </w:r>
      <w:r>
        <w:rPr>
          <w:rFonts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rPr>
        <w:t xml:space="preserve"> </w:t>
      </w:r>
      <w:r>
        <w:rPr>
          <w:rFonts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zCs w:val="21"/>
          <w:highlight w:val="none"/>
          <w:lang w:val="zh-CN" w:bidi="zh-CN"/>
        </w:rPr>
        <w:t xml:space="preserve">；</w:t>
      </w:r>
      <w:r/>
    </w:p>
    <w:p>
      <w:pPr>
        <w:ind w:firstLine="420"/>
        <w:spacing w:line="400" w:lineRule="exact"/>
        <w:shd w:val="clear" w:color="auto"/>
        <w:tabs>
          <w:tab w:val="left" w:pos="1243"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rPr>
        <w:t xml:space="preserve">制造商为</w:t>
      </w:r>
      <w:r>
        <w:rPr>
          <w:rFonts w:hint="eastAsia" w:ascii="宋体" w:hAnsi="宋体" w:cs="宋体"/>
          <w:color w:val="auto"/>
          <w:spacing w:val="-2"/>
          <w:szCs w:val="21"/>
          <w:highlight w:val="none"/>
          <w:u w:val="single"/>
        </w:rPr>
        <w:t xml:space="preserve">（企业名称）</w:t>
      </w:r>
      <w:r>
        <w:rPr>
          <w:rFonts w:hint="eastAsia" w:ascii="宋体" w:hAnsi="宋体" w:cs="宋体"/>
          <w:color w:val="auto"/>
          <w:spacing w:val="-2"/>
          <w:szCs w:val="21"/>
          <w:highlight w:val="none"/>
        </w:rPr>
        <w:t xml:space="preserve">，从业人员</w:t>
      </w:r>
      <w:r>
        <w:rPr>
          <w:rFonts w:hint="eastAsia" w:ascii="宋体" w:hAnsi="宋体" w:cs="宋体"/>
          <w:color w:val="auto"/>
          <w:spacing w:val="-2"/>
          <w:szCs w:val="21"/>
          <w:highlight w:val="none"/>
          <w:u w:val="single"/>
        </w:rPr>
        <w:t xml:space="preserve"> </w:t>
      </w:r>
      <w:r>
        <w:rPr>
          <w:rFonts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rPr>
        <w:t xml:space="preserve"> </w:t>
      </w:r>
      <w:r>
        <w:rPr>
          <w:rFonts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rPr>
        <w:t xml:space="preserve"> </w:t>
      </w:r>
      <w:r>
        <w:rPr>
          <w:rFonts w:ascii="宋体" w:hAnsi="宋体" w:cs="宋体"/>
          <w:color w:val="auto"/>
          <w:spacing w:val="-2"/>
          <w:szCs w:val="21"/>
          <w:highlight w:val="none"/>
          <w:u w:val="single"/>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zCs w:val="21"/>
          <w:highlight w:val="none"/>
          <w:lang w:val="zh-CN" w:bidi="zh-CN"/>
        </w:rPr>
        <w:t xml:space="preserve">；</w:t>
      </w:r>
      <w:r/>
    </w:p>
    <w:p>
      <w:pPr>
        <w:ind w:firstLine="420"/>
        <w:spacing w:line="400" w:lineRule="exact"/>
        <w:shd w:val="clear" w:color="auto"/>
        <w:tabs>
          <w:tab w:val="left" w:pos="1243" w:leader="none"/>
        </w:tabs>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rPr>
          <w:rFonts w:ascii="宋体" w:hAnsi="宋体" w:cs="宋体"/>
          <w:color w:val="auto"/>
          <w:szCs w:val="21"/>
          <w:highlight w:val="none"/>
          <w:lang w:val="zh-CN" w:bidi="zh-CN"/>
        </w:rPr>
        <w:t xml:space="preserve">.....</w:t>
      </w:r>
      <w:r/>
    </w:p>
    <w:p>
      <w:pPr>
        <w:ind w:firstLine="420"/>
        <w:spacing w:line="400" w:lineRule="exact"/>
        <w:shd w:val="clear" w:color="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shd w:val="clear" w:color="auto"/>
        <w:rPr>
          <w:rFonts w:ascii="宋体" w:hAnsi="宋体" w:cs="宋体"/>
          <w:color w:val="auto"/>
          <w:szCs w:val="21"/>
          <w:highlight w:val="none"/>
          <w:lang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400" w:lineRule="exact"/>
        <w:shd w:val="clear" w:color="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400" w:lineRule="exact"/>
        <w:shd w:val="clear" w:color="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400" w:lineRule="exact"/>
        <w:shd w:val="clear" w:color="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400" w:lineRule="exact"/>
        <w:shd w:val="clear" w:color="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备注：</w:t>
      </w:r>
      <w:r/>
    </w:p>
    <w:p>
      <w:pPr>
        <w:ind w:firstLine="420"/>
        <w:spacing w:line="360" w:lineRule="exact"/>
        <w:shd w:val="clear" w:color="auto"/>
        <w:tabs>
          <w:tab w:val="left" w:pos="480" w:leader="none"/>
        </w:tabs>
        <w:rPr>
          <w:rFonts w:ascii="宋体" w:hAnsi="宋体" w:cs="宋体"/>
          <w:color w:val="auto"/>
          <w:szCs w:val="21"/>
          <w:highlight w:val="none"/>
        </w:rPr>
      </w:pPr>
      <w:r>
        <w:rPr>
          <w:rFonts w:ascii="宋体" w:hAnsi="宋体" w:cs="宋体"/>
          <w:color w:val="auto"/>
          <w:szCs w:val="21"/>
          <w:highlight w:val="none"/>
          <w:lang w:bidi="zh-CN"/>
        </w:rPr>
        <w:t xml:space="preserve">1.</w:t>
      </w:r>
      <w:r>
        <w:rPr>
          <w:rFonts w:hint="eastAsia" w:ascii="宋体" w:hAnsi="宋体" w:cs="宋体"/>
          <w:color w:val="auto"/>
          <w:szCs w:val="21"/>
          <w:highlight w:val="none"/>
          <w:lang w:bidi="zh-CN"/>
        </w:rPr>
        <w:t xml:space="preserve">从业人员、营业收入、资产总额填报上一年度数据，无上一年度数据的新成立企业可不填报，</w:t>
      </w:r>
      <w:r>
        <w:rPr>
          <w:rFonts w:hint="eastAsia" w:ascii="宋体" w:hAnsi="宋体" w:cs="宋体"/>
          <w:b/>
          <w:bCs/>
          <w:color w:val="auto"/>
          <w:szCs w:val="21"/>
          <w:highlight w:val="none"/>
        </w:rPr>
        <w:t xml:space="preserve">如未</w:t>
      </w:r>
      <w:r>
        <w:rPr>
          <w:rFonts w:hint="eastAsia" w:ascii="宋体" w:hAnsi="宋体" w:cs="宋体"/>
          <w:b/>
          <w:bCs/>
          <w:color w:val="auto"/>
          <w:szCs w:val="21"/>
          <w:highlight w:val="none"/>
          <w:lang w:val="en-US" w:eastAsia="zh-CN"/>
        </w:rPr>
        <w:t xml:space="preserve">选填</w:t>
      </w:r>
      <w:r>
        <w:rPr>
          <w:rFonts w:hint="eastAsia" w:ascii="宋体" w:hAnsi="宋体" w:cs="宋体"/>
          <w:b/>
          <w:bCs/>
          <w:color w:val="auto"/>
          <w:szCs w:val="21"/>
          <w:highlight w:val="none"/>
        </w:rPr>
        <w:t xml:space="preserve">（中型企业、小型企业、微型企业）</w:t>
      </w:r>
      <w:r>
        <w:rPr>
          <w:rFonts w:hint="eastAsia" w:ascii="宋体" w:hAnsi="宋体" w:cs="宋体"/>
          <w:b/>
          <w:bCs/>
          <w:color w:val="auto"/>
          <w:szCs w:val="21"/>
          <w:highlight w:val="none"/>
          <w:lang w:val="en-US" w:eastAsia="zh-CN"/>
        </w:rPr>
        <w:t xml:space="preserve">的</w:t>
      </w:r>
      <w:r>
        <w:rPr>
          <w:rFonts w:hint="eastAsia" w:ascii="宋体" w:hAnsi="宋体" w:cs="宋体"/>
          <w:b/>
          <w:bCs/>
          <w:color w:val="auto"/>
          <w:szCs w:val="21"/>
          <w:highlight w:val="none"/>
        </w:rPr>
        <w:t xml:space="preserve">，视同非小微企业，不可享受相应优惠。</w:t>
      </w:r>
      <w:r/>
    </w:p>
    <w:p>
      <w:pPr>
        <w:ind w:firstLine="420"/>
        <w:jc w:val="left"/>
        <w:spacing w:line="360" w:lineRule="exact"/>
        <w:shd w:val="clear" w:color="auto"/>
        <w:rPr>
          <w:rFonts w:ascii="宋体" w:hAnsi="宋体" w:cs="宋体"/>
          <w:color w:val="auto"/>
          <w:szCs w:val="21"/>
          <w:highlight w:val="none"/>
        </w:rPr>
      </w:pPr>
      <w:r>
        <w:rPr>
          <w:rFonts w:ascii="宋体" w:hAnsi="宋体" w:cs="宋体"/>
          <w:color w:val="auto"/>
          <w:szCs w:val="21"/>
          <w:highlight w:val="none"/>
          <w:lang w:bidi="zh-CN"/>
        </w:rPr>
        <w:t xml:space="preserve">2.</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20"/>
        <w:spacing w:line="360" w:lineRule="exact"/>
        <w:shd w:val="clear" w:color="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《中小企业声明函》中所填的行业应与本采购标的对应的中小企业划分标准所属行业一致，不一致的不可享受相应政策优惠。</w:t>
      </w:r>
      <w:r>
        <w:rPr>
          <w:rFonts w:hint="eastAsia" w:ascii="宋体" w:hAnsi="宋体" w:cs="宋体"/>
          <w:b/>
          <w:bCs/>
          <w:color w:val="auto"/>
          <w:szCs w:val="21"/>
          <w:highlight w:val="none"/>
        </w:rPr>
        <w:t xml:space="preserve">本采购标的对应的中小企业划分标准所属行业，以采购文件中具体规定为准。</w:t>
      </w:r>
      <w:r/>
    </w:p>
    <w:p>
      <w:pPr>
        <w:ind w:firstLine="420"/>
        <w:jc w:val="left"/>
        <w:spacing w:line="360" w:lineRule="exact"/>
        <w:shd w:val="clear" w:color="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在货物采购项目中，货物由中小企业制造，即货物由中小企业生产且使用该中小企业商号或者注册商标。</w:t>
      </w:r>
      <w:r>
        <w:rPr>
          <w:rFonts w:hint="eastAsia" w:ascii="宋体" w:hAnsi="宋体" w:cs="宋体"/>
          <w:b/>
          <w:bCs/>
          <w:color w:val="auto"/>
          <w:szCs w:val="21"/>
          <w:highlight w:val="none"/>
        </w:rPr>
        <w:t xml:space="preserve">供应商提供的货物既有中小企业制造货物，也有大型企业制造货物的，不享受相应扶持政策。</w:t>
      </w:r>
      <w:r/>
    </w:p>
    <w:p>
      <w:pPr>
        <w:ind w:firstLine="452"/>
        <w:jc w:val="left"/>
        <w:spacing w:line="360" w:lineRule="exact"/>
        <w:shd w:val="clear" w:color="auto"/>
        <w:rPr>
          <w:rFonts w:ascii="宋体" w:hAnsi="宋体" w:cs="宋体"/>
          <w:color w:val="auto"/>
          <w:spacing w:val="8"/>
          <w:szCs w:val="21"/>
          <w:highlight w:val="none"/>
        </w:rPr>
      </w:pPr>
      <w:r>
        <w:rPr>
          <w:rFonts w:ascii="宋体" w:hAnsi="宋体" w:cs="宋体"/>
          <w:color w:val="auto"/>
          <w:spacing w:val="8"/>
          <w:szCs w:val="21"/>
          <w:highlight w:val="none"/>
        </w:rPr>
        <w:t xml:space="preserve">5.</w:t>
      </w:r>
      <w:r>
        <w:rPr>
          <w:rFonts w:hint="eastAsia" w:ascii="宋体" w:hAnsi="宋体" w:cs="宋体"/>
          <w:color w:val="auto"/>
          <w:spacing w:val="8"/>
          <w:szCs w:val="21"/>
          <w:highlight w:val="none"/>
        </w:rPr>
        <w:t xml:space="preserve">投标单位按照《政府采购促进中小企业发展管理办法》办法规定提供声明函内容不实的，属于提供虚假材料谋取中标、成交，依照《中华人民共和国政府采购法》等国家有关规定追究相应责任。</w:t>
      </w:r>
      <w:r/>
    </w:p>
    <w:p>
      <w:pPr>
        <w:ind w:firstLine="452"/>
        <w:jc w:val="left"/>
        <w:spacing w:line="360" w:lineRule="exact"/>
        <w:shd w:val="clear" w:color="auto"/>
        <w:rPr>
          <w:rFonts w:ascii="宋体" w:hAnsi="宋体" w:cs="宋体"/>
          <w:color w:val="auto"/>
          <w:spacing w:val="8"/>
          <w:szCs w:val="21"/>
          <w:highlight w:val="none"/>
        </w:rPr>
      </w:pPr>
      <w:r>
        <w:rPr>
          <w:rFonts w:ascii="宋体" w:hAnsi="宋体" w:cs="宋体"/>
          <w:color w:val="auto"/>
          <w:spacing w:val="8"/>
          <w:szCs w:val="21"/>
          <w:highlight w:val="none"/>
        </w:rPr>
        <w:t xml:space="preserve">6.</w:t>
      </w:r>
      <w:r>
        <w:rPr>
          <w:rFonts w:hint="eastAsia" w:ascii="宋体" w:hAnsi="宋体" w:cs="宋体"/>
          <w:color w:val="auto"/>
          <w:szCs w:val="24"/>
          <w:highlight w:val="none"/>
        </w:rPr>
        <w:t xml:space="preserve">《中小企业声明函》将随成交结果同时公告</w:t>
      </w:r>
      <w:r>
        <w:rPr>
          <w:rFonts w:hint="eastAsia" w:ascii="宋体" w:hAnsi="宋体" w:cs="宋体"/>
          <w:color w:val="auto"/>
          <w:szCs w:val="24"/>
          <w:highlight w:val="none"/>
          <w:lang w:val="zh-CN"/>
        </w:rPr>
        <w:t xml:space="preserve">。</w:t>
      </w:r>
      <w:r/>
    </w:p>
    <w:p>
      <w:pPr>
        <w:shd w:val="clear" w:color="auto"/>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before="100" w:beforeAutospacing="1" w:after="100" w:afterAutospacing="1" w:line="400" w:lineRule="exact"/>
        <w:shd w:val="clear" w:color="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残疾人福利性单位声明函</w:t>
      </w:r>
      <w:r/>
    </w:p>
    <w:p>
      <w:pPr>
        <w:spacing w:line="400" w:lineRule="exact"/>
        <w:shd w:val="clear" w:color="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ind w:firstLine="504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00" w:lineRule="exact"/>
        <w:shd w:val="clear" w:color="auto"/>
        <w:rPr>
          <w:rFonts w:ascii="宋体" w:hAnsi="宋体" w:cs="宋体"/>
          <w:b/>
          <w:color w:val="auto"/>
          <w:szCs w:val="21"/>
          <w:highlight w:val="none"/>
        </w:rPr>
      </w:pPr>
      <w:r>
        <w:rPr>
          <w:rFonts w:ascii="宋体" w:hAnsi="宋体" w:cs="宋体"/>
          <w:b/>
          <w:color w:val="auto"/>
          <w:szCs w:val="21"/>
          <w:highlight w:val="none"/>
        </w:rPr>
      </w:r>
      <w:r/>
    </w:p>
    <w:p>
      <w:pPr>
        <w:spacing w:line="400" w:lineRule="exact"/>
        <w:shd w:val="clear" w:color="auto"/>
        <w:rPr>
          <w:rFonts w:ascii="宋体" w:hAnsi="宋体" w:cs="宋体"/>
          <w:b/>
          <w:color w:val="auto"/>
          <w:szCs w:val="21"/>
          <w:highlight w:val="none"/>
        </w:rPr>
      </w:pPr>
      <w:r>
        <w:rPr>
          <w:rFonts w:ascii="宋体" w:hAnsi="宋体" w:cs="宋体"/>
          <w:b/>
          <w:color w:val="auto"/>
          <w:szCs w:val="21"/>
          <w:highlight w:val="none"/>
        </w:rPr>
      </w:r>
      <w:r/>
    </w:p>
    <w:p>
      <w:pPr>
        <w:jc w:val="left"/>
        <w:spacing w:line="400" w:lineRule="exact"/>
        <w:shd w:val="clear" w:color="auto"/>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w:t>
      </w:r>
      <w:r>
        <w:rPr>
          <w:rFonts w:hint="eastAsia" w:ascii="宋体" w:hAnsi="宋体" w:cs="宋体"/>
          <w:bCs/>
          <w:color w:val="auto"/>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shd w:val="clear" w:color="auto"/>
        <w:rPr>
          <w:rFonts w:ascii="宋体" w:hAnsi="宋体" w:cs="宋体"/>
          <w:b/>
          <w:bCs/>
          <w:color w:val="auto"/>
          <w:szCs w:val="21"/>
          <w:highlight w:val="none"/>
          <w:lang w:val="zh-CN"/>
        </w:rPr>
      </w:pPr>
      <w:r>
        <w:rPr>
          <w:rFonts w:hint="eastAsia" w:ascii="宋体" w:hAnsi="宋体" w:cs="宋体"/>
          <w:b/>
          <w:color w:val="auto"/>
          <w:szCs w:val="21"/>
          <w:highlight w:val="none"/>
        </w:rPr>
        <w:br w:type="page" w:clear="all"/>
      </w:r>
      <w:r/>
    </w:p>
    <w:p>
      <w:pPr>
        <w:jc w:val="center"/>
        <w:shd w:val="clear" w:color="auto"/>
        <w:rPr>
          <w:rFonts w:ascii="宋体" w:hAnsi="宋体"/>
          <w:b/>
          <w:bCs/>
          <w:color w:val="auto"/>
          <w:szCs w:val="21"/>
          <w:highlight w:val="none"/>
        </w:rPr>
      </w:pPr>
      <w:r>
        <w:rPr>
          <w:rFonts w:hint="eastAsia" w:ascii="宋体" w:hAnsi="宋体" w:cs="宋体"/>
          <w:b/>
          <w:bCs/>
          <w:color w:val="auto"/>
          <w:szCs w:val="21"/>
          <w:highlight w:val="none"/>
        </w:rPr>
        <w:t xml:space="preserve">监狱企业证明文件</w:t>
      </w:r>
      <w:r/>
    </w:p>
    <w:p>
      <w:pPr>
        <w:jc w:val="center"/>
        <w:shd w:val="clear" w:color="auto"/>
        <w:rPr>
          <w:rFonts w:ascii="宋体" w:hAnsi="宋体"/>
          <w:b/>
          <w:bCs/>
          <w:color w:val="auto"/>
          <w:szCs w:val="21"/>
          <w:highlight w:val="none"/>
        </w:rPr>
      </w:pPr>
      <w:r>
        <w:rPr>
          <w:rFonts w:ascii="宋体" w:hAnsi="宋体"/>
          <w:b/>
          <w:bCs/>
          <w:color w:val="auto"/>
          <w:szCs w:val="21"/>
          <w:highlight w:val="none"/>
        </w:rPr>
      </w:r>
      <w:r/>
    </w:p>
    <w:p>
      <w:pPr>
        <w:ind w:firstLine="480"/>
        <w:jc w:val="left"/>
        <w:spacing w:before="75" w:beforeAutospacing="1" w:after="75" w:afterAutospacing="1" w:line="435" w:lineRule="atLeast"/>
        <w:shd w:val="clear" w:color="auto"/>
        <w:widowControl/>
        <w:rPr>
          <w:rFonts w:ascii="宋体" w:hAnsi="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shd w:val="clear" w:color="auto"/>
        <w:widowControl/>
        <w:rPr>
          <w:rFonts w:ascii="宋体" w:hAnsi="宋体"/>
          <w:color w:val="auto"/>
          <w:szCs w:val="21"/>
          <w:highlight w:val="none"/>
        </w:rPr>
      </w:pPr>
      <w:r>
        <w:rPr>
          <w:rFonts w:hint="eastAsia" w:ascii="宋体" w:hAnsi="宋体" w:cs="宋体"/>
          <w:color w:val="auto"/>
          <w:szCs w:val="21"/>
          <w:highlight w:val="none"/>
        </w:rPr>
        <w:t xml:space="preserve">本企业（单位）为直接投标单位提供本企业（单位）的服务。</w:t>
      </w:r>
      <w:r/>
    </w:p>
    <w:p>
      <w:pPr>
        <w:ind w:firstLine="480"/>
        <w:jc w:val="left"/>
        <w:spacing w:before="75" w:beforeAutospacing="1" w:after="75" w:afterAutospacing="1" w:line="435" w:lineRule="atLeast"/>
        <w:shd w:val="clear" w:color="auto"/>
        <w:widowControl/>
        <w:rPr>
          <w:rFonts w:ascii="宋体" w:hAnsi="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）本企业（单位）</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shd w:val="clear" w:color="auto"/>
        <w:widowControl/>
        <w:rPr>
          <w:rFonts w:ascii="宋体" w:hAnsi="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）本企业（单位）</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shd w:val="clear" w:color="auto"/>
        <w:widowControl/>
        <w:rPr>
          <w:rFonts w:ascii="宋体" w:hAnsi="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shd w:val="clear" w:color="auto"/>
        <w:widowControl/>
        <w:rPr>
          <w:rFonts w:ascii="宋体" w:hAnsi="宋体"/>
          <w:color w:val="auto"/>
          <w:szCs w:val="21"/>
          <w:highlight w:val="none"/>
        </w:rPr>
      </w:pPr>
      <w:r>
        <w:rPr>
          <w:rFonts w:ascii="宋体" w:hAnsi="宋体"/>
          <w:color w:val="auto"/>
          <w:szCs w:val="21"/>
          <w:highlight w:val="none"/>
        </w:rPr>
      </w:r>
      <w:r/>
    </w:p>
    <w:p>
      <w:pPr>
        <w:ind w:right="1560" w:firstLine="444"/>
        <w:jc w:val="center"/>
        <w:spacing w:line="360" w:lineRule="auto"/>
        <w:shd w:val="clear" w:color="auto"/>
        <w:tabs>
          <w:tab w:val="left" w:pos="4860" w:leader="none"/>
        </w:tabs>
        <w:rPr>
          <w:rFonts w:ascii="宋体" w:hAnsi="宋体"/>
          <w:color w:val="auto"/>
          <w:spacing w:val="6"/>
          <w:szCs w:val="21"/>
          <w:highlight w:val="none"/>
        </w:rPr>
      </w:pPr>
      <w:r>
        <w:rPr>
          <w:rFonts w:ascii="宋体" w:hAnsi="宋体" w:cs="宋体"/>
          <w:color w:val="auto"/>
          <w:spacing w:val="6"/>
          <w:szCs w:val="21"/>
          <w:highlight w:val="none"/>
        </w:rPr>
        <w:t xml:space="preserve">                                  </w:t>
      </w:r>
      <w:r>
        <w:rPr>
          <w:rFonts w:hint="eastAsia" w:ascii="宋体" w:hAnsi="宋体" w:cs="宋体"/>
          <w:color w:val="auto"/>
          <w:spacing w:val="6"/>
          <w:szCs w:val="21"/>
          <w:highlight w:val="none"/>
        </w:rPr>
        <w:t xml:space="preserve">企业名称（盖章）：</w:t>
      </w:r>
      <w:r/>
    </w:p>
    <w:p>
      <w:pPr>
        <w:ind w:right="1560" w:firstLine="444"/>
        <w:jc w:val="center"/>
        <w:spacing w:line="360" w:lineRule="auto"/>
        <w:shd w:val="clear" w:color="auto"/>
        <w:tabs>
          <w:tab w:val="left" w:pos="4860" w:leader="none"/>
        </w:tabs>
        <w:rPr>
          <w:rFonts w:ascii="宋体" w:hAnsi="宋体" w:cs="宋体"/>
          <w:color w:val="auto"/>
          <w:spacing w:val="6"/>
          <w:szCs w:val="21"/>
          <w:highlight w:val="none"/>
        </w:rPr>
      </w:pPr>
      <w:r>
        <w:rPr>
          <w:rFonts w:ascii="宋体" w:hAnsi="宋体" w:cs="宋体"/>
          <w:color w:val="auto"/>
          <w:spacing w:val="6"/>
          <w:szCs w:val="21"/>
          <w:highlight w:val="none"/>
        </w:rPr>
        <w:t xml:space="preserve">                          </w:t>
      </w:r>
      <w:r>
        <w:rPr>
          <w:rFonts w:hint="eastAsia" w:ascii="宋体" w:hAnsi="宋体" w:cs="宋体"/>
          <w:color w:val="auto"/>
          <w:spacing w:val="6"/>
          <w:szCs w:val="21"/>
          <w:highlight w:val="none"/>
        </w:rPr>
        <w:t xml:space="preserve">日</w:t>
      </w:r>
      <w:r>
        <w:rPr>
          <w:rFonts w:ascii="宋体" w:hAnsi="宋体" w:cs="宋体"/>
          <w:color w:val="auto"/>
          <w:spacing w:val="6"/>
          <w:szCs w:val="21"/>
          <w:highlight w:val="none"/>
        </w:rPr>
        <w:t xml:space="preserve">  </w:t>
      </w:r>
      <w:r>
        <w:rPr>
          <w:rFonts w:hint="eastAsia" w:ascii="宋体" w:hAnsi="宋体" w:cs="宋体"/>
          <w:color w:val="auto"/>
          <w:spacing w:val="6"/>
          <w:szCs w:val="21"/>
          <w:highlight w:val="none"/>
        </w:rPr>
        <w:t xml:space="preserve">期：</w:t>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pStyle w:val="755"/>
        <w:jc w:val="left"/>
        <w:spacing w:before="480" w:after="240"/>
        <w:shd w:val="clear" w:color="auto"/>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shd w:val="clear" w:color="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shd w:val="clear" w:color="auto"/>
        <w:tabs>
          <w:tab w:val="center" w:pos="4201" w:leader="none"/>
          <w:tab w:val="right" w:pos="9298" w:leader="dot"/>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pStyle w:val="796"/>
        <w:ind w:firstLine="420"/>
        <w:spacing w:line="400" w:lineRule="exact"/>
        <w:shd w:val="clear" w:color="auto"/>
        <w:rPr>
          <w:rFonts w:hint="default" w:cs="宋体"/>
          <w:color w:val="auto"/>
          <w:sz w:val="21"/>
          <w:szCs w:val="21"/>
          <w:highlight w:val="none"/>
          <w:u w:val="single"/>
        </w:rPr>
      </w:pPr>
      <w:r>
        <w:rPr>
          <w:rFonts w:cs="宋体"/>
          <w:color w:val="auto"/>
          <w:sz w:val="21"/>
          <w:szCs w:val="21"/>
          <w:highlight w:val="none"/>
        </w:rPr>
        <w:t xml:space="preserve">致：</w:t>
      </w:r>
      <w:r>
        <w:rPr>
          <w:rFonts w:cs="宋体"/>
          <w:color w:val="auto"/>
          <w:sz w:val="21"/>
          <w:szCs w:val="21"/>
          <w:highlight w:val="none"/>
          <w:u w:val="single"/>
        </w:rPr>
        <w:t xml:space="preserve">（采购代理机构名称）</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我（单位/本人，以下统称我单位）自愿参加</w:t>
      </w:r>
      <w:r>
        <w:rPr>
          <w:rFonts w:hint="default" w:cs="宋体"/>
          <w:color w:val="auto"/>
          <w:sz w:val="21"/>
          <w:szCs w:val="21"/>
          <w:highlight w:val="none"/>
          <w:u w:val="single"/>
        </w:rPr>
        <w:t xml:space="preserve">           </w:t>
      </w:r>
      <w:r>
        <w:rPr>
          <w:rFonts w:cs="宋体"/>
          <w:color w:val="auto"/>
          <w:sz w:val="21"/>
          <w:szCs w:val="21"/>
          <w:highlight w:val="none"/>
          <w:u w:val="single"/>
        </w:rPr>
        <w:t xml:space="preserve">（项目名称和采购编号）</w:t>
      </w:r>
      <w:r>
        <w:rPr>
          <w:rFonts w:cs="宋体"/>
          <w:color w:val="auto"/>
          <w:sz w:val="21"/>
          <w:szCs w:val="21"/>
          <w:highlight w:val="none"/>
        </w:rPr>
        <w:t xml:space="preserve">的投标（响应）,并做出如下承诺：</w:t>
      </w:r>
      <w:r/>
    </w:p>
    <w:p>
      <w:pPr>
        <w:pStyle w:val="796"/>
        <w:ind w:firstLine="420"/>
        <w:jc w:val="both"/>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1.自投标（响应）截止时间至本项目发布中标（成交）公告为止，撤销投标（响应）；</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2.中标（成交）后不依法与采购单位签订合同；</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3.中标（成交）后不按本采购文件规定向采购单位提交履约保证金（如有）；</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4.中标（成交）后不按本采购文件规定向贵方缴纳采购代理费</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如有</w:t>
      </w:r>
      <w:r>
        <w:rPr>
          <w:rFonts w:hint="eastAsia" w:cs="宋体"/>
          <w:color w:val="auto"/>
          <w:sz w:val="21"/>
          <w:szCs w:val="21"/>
          <w:highlight w:val="none"/>
          <w:lang w:eastAsia="zh-CN"/>
        </w:rPr>
        <w:t xml:space="preserve">）</w:t>
      </w:r>
      <w:r>
        <w:rPr>
          <w:rFonts w:cs="宋体"/>
          <w:color w:val="auto"/>
          <w:sz w:val="21"/>
          <w:szCs w:val="21"/>
          <w:highlight w:val="none"/>
        </w:rPr>
        <w:t xml:space="preserve">。</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二、我单位知晓上述行为的法律后果，承认本承诺书作为贵方（或采购单位）要求我单位履行违约赔偿义务的依据作用。</w:t>
      </w:r>
      <w:r/>
    </w:p>
    <w:p>
      <w:pPr>
        <w:pStyle w:val="796"/>
        <w:ind w:firstLine="420"/>
        <w:spacing w:before="0" w:beforeAutospacing="0" w:after="0" w:afterAutospacing="0" w:line="440" w:lineRule="exact"/>
        <w:shd w:val="clear" w:color="auto"/>
        <w:rPr>
          <w:rFonts w:hint="default" w:cs="宋体"/>
          <w:color w:val="auto"/>
          <w:sz w:val="21"/>
          <w:szCs w:val="21"/>
          <w:highlight w:val="none"/>
        </w:rPr>
      </w:pPr>
      <w:r>
        <w:rPr>
          <w:rFonts w:hint="default" w:cs="宋体"/>
          <w:color w:val="auto"/>
          <w:sz w:val="21"/>
          <w:szCs w:val="21"/>
          <w:highlight w:val="none"/>
        </w:rPr>
      </w:r>
      <w:r/>
    </w:p>
    <w:p>
      <w:pPr>
        <w:pStyle w:val="796"/>
        <w:ind w:firstLine="482"/>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投标（响应）人：（盖公章）</w:t>
      </w:r>
      <w:r/>
    </w:p>
    <w:p>
      <w:pPr>
        <w:pStyle w:val="796"/>
        <w:ind w:firstLine="482"/>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地址：</w:t>
      </w:r>
      <w:r/>
    </w:p>
    <w:p>
      <w:pPr>
        <w:pStyle w:val="796"/>
        <w:ind w:firstLine="482"/>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电话：                    传真：</w:t>
      </w:r>
      <w:r/>
    </w:p>
    <w:p>
      <w:pPr>
        <w:pStyle w:val="796"/>
        <w:ind w:firstLine="482"/>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电子邮件：                 邮编：</w:t>
      </w:r>
      <w:r/>
    </w:p>
    <w:p>
      <w:pPr>
        <w:pStyle w:val="796"/>
        <w:ind w:firstLine="482"/>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法定代表人或委托代理人(签字或签章)：</w:t>
      </w:r>
      <w:r/>
    </w:p>
    <w:p>
      <w:pPr>
        <w:pStyle w:val="796"/>
        <w:ind w:firstLine="482"/>
        <w:spacing w:before="0" w:beforeAutospacing="0" w:after="0" w:afterAutospacing="0" w:line="440" w:lineRule="exact"/>
        <w:shd w:val="clear" w:color="auto"/>
        <w:rPr>
          <w:rFonts w:hint="default" w:cs="宋体"/>
          <w:color w:val="auto"/>
          <w:sz w:val="21"/>
          <w:szCs w:val="21"/>
          <w:highlight w:val="none"/>
        </w:rPr>
      </w:pPr>
      <w:r>
        <w:rPr>
          <w:rFonts w:cs="宋体"/>
          <w:color w:val="auto"/>
          <w:sz w:val="21"/>
          <w:szCs w:val="21"/>
          <w:highlight w:val="none"/>
        </w:rPr>
        <w:t xml:space="preserve">日期：</w:t>
      </w:r>
      <w:r/>
    </w:p>
    <w:p>
      <w:pPr>
        <w:ind w:firstLine="480"/>
        <w:spacing w:before="120" w:after="120" w:line="360" w:lineRule="auto"/>
        <w:shd w:val="clear" w:color="auto"/>
        <w:rPr>
          <w:rFonts w:ascii="宋体" w:hAnsi="宋体" w:cs="宋体"/>
          <w:color w:val="auto"/>
          <w:sz w:val="24"/>
          <w:szCs w:val="21"/>
          <w:highlight w:val="none"/>
        </w:rPr>
      </w:pPr>
      <w:r>
        <w:rPr>
          <w:rFonts w:ascii="宋体" w:hAnsi="宋体" w:cs="宋体"/>
          <w:color w:val="auto"/>
          <w:sz w:val="24"/>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hd w:val="clear" w:color="auto"/>
        <w:rPr>
          <w:rFonts w:ascii="宋体" w:hAnsi="宋体" w:cs="宋体"/>
          <w:b/>
          <w:color w:val="auto"/>
          <w:szCs w:val="21"/>
          <w:highlight w:val="none"/>
        </w:rPr>
      </w:pPr>
      <w:r>
        <w:rPr>
          <w:rFonts w:ascii="宋体" w:hAnsi="宋体" w:cs="宋体"/>
          <w:b/>
          <w:color w:val="auto"/>
          <w:szCs w:val="21"/>
          <w:highlight w:val="none"/>
        </w:rPr>
      </w:r>
      <w:r/>
    </w:p>
    <w:p>
      <w:pPr>
        <w:spacing w:line="420" w:lineRule="exact"/>
        <w:shd w:val="clear" w:color="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spacing w:line="420" w:lineRule="exact"/>
        <w:shd w:val="clear" w:color="auto"/>
        <w:rPr>
          <w:rFonts w:ascii="宋体" w:hAnsi="宋体" w:cs="宋体"/>
          <w:b/>
          <w:color w:val="auto"/>
          <w:szCs w:val="21"/>
          <w:highlight w:val="none"/>
        </w:rPr>
      </w:pPr>
      <w:r>
        <w:rPr>
          <w:rFonts w:hint="eastAsia" w:ascii="宋体" w:hAnsi="宋体" w:eastAsia="宋体" w:cs="宋体"/>
          <w:b/>
          <w:color w:val="auto"/>
          <w:szCs w:val="21"/>
          <w:highlight w:val="none"/>
          <w:lang w:val="zh-CN"/>
        </w:rPr>
        <w:t xml:space="preserve">附件1</w:t>
      </w:r>
      <w:r>
        <w:rPr>
          <w:rFonts w:hint="eastAsia" w:ascii="宋体" w:hAnsi="宋体" w:eastAsia="宋体" w:cs="宋体"/>
          <w:b/>
          <w:color w:val="auto"/>
          <w:szCs w:val="21"/>
          <w:highlight w:val="none"/>
          <w:lang w:val="en-US" w:eastAsia="zh-CN"/>
        </w:rPr>
        <w:t xml:space="preserve">7</w:t>
      </w:r>
      <w:r>
        <w:rPr>
          <w:rFonts w:hint="eastAsia" w:ascii="宋体" w:hAnsi="宋体" w:eastAsia="宋体" w:cs="宋体"/>
          <w:b/>
          <w:color w:val="auto"/>
          <w:szCs w:val="21"/>
          <w:highlight w:val="none"/>
          <w:lang w:val="zh-CN"/>
        </w:rPr>
        <w:t xml:space="preserve">：</w:t>
      </w:r>
      <w:r>
        <w:rPr>
          <w:rFonts w:hint="eastAsia" w:ascii="宋体" w:hAnsi="宋体" w:cs="宋体"/>
          <w:b/>
          <w:color w:val="auto"/>
          <w:szCs w:val="21"/>
          <w:highlight w:val="none"/>
        </w:rPr>
        <w:t xml:space="preserve">售后服务承诺书</w:t>
      </w:r>
      <w:r/>
    </w:p>
    <w:p>
      <w:pPr>
        <w:jc w:val="center"/>
        <w:spacing w:after="120" w:line="420" w:lineRule="exact"/>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售后服务承诺书</w:t>
      </w:r>
      <w:r/>
    </w:p>
    <w:p>
      <w:pPr>
        <w:spacing w:line="360" w:lineRule="auto"/>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项目编号：                       </w:t>
      </w:r>
      <w:r/>
    </w:p>
    <w:p>
      <w:pPr>
        <w:spacing w:line="360" w:lineRule="auto"/>
        <w:shd w:val="clear" w:color="auto"/>
        <w:rPr>
          <w:rFonts w:ascii="宋体" w:hAnsi="宋体"/>
          <w:color w:val="auto"/>
          <w:szCs w:val="21"/>
          <w:highlight w:val="none"/>
          <w:lang w:val="zh-CN"/>
        </w:rPr>
      </w:pPr>
      <w:r>
        <w:rPr>
          <w:rFonts w:hint="eastAsia" w:ascii="宋体" w:hAnsi="宋体"/>
          <w:color w:val="auto"/>
          <w:szCs w:val="21"/>
          <w:highlight w:val="none"/>
          <w:lang w:val="zh-CN"/>
        </w:rPr>
        <w:t xml:space="preserve">项目名称：</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3128"/>
        <w:gridCol w:w="2889"/>
        <w:gridCol w:w="2377"/>
      </w:tblGrid>
      <w:tr>
        <w:trPr>
          <w:trHeight w:val="853"/>
        </w:trPr>
        <w:tc>
          <w:tcPr>
            <w:tcW w:w="741" w:type="pct"/>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587" w:type="pct"/>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466" w:type="pct"/>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1207" w:type="pct"/>
            <w:vAlign w:val="center"/>
            <w:textDirection w:val="lrTb"/>
            <w:noWrap/>
          </w:tcPr>
          <w:p>
            <w:pPr>
              <w:jc w:val="center"/>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741"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87" w:type="pct"/>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466"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207"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741"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87" w:type="pct"/>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466"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207"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741"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87" w:type="pct"/>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466"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207"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741"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87" w:type="pct"/>
            <w:vAlign w:val="center"/>
            <w:textDirection w:val="lrTb"/>
            <w:noWrap/>
          </w:tcPr>
          <w:p>
            <w:pPr>
              <w:jc w:val="center"/>
              <w:spacing w:before="25" w:after="25"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466"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207"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741"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587"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466"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c>
          <w:tcPr>
            <w:tcW w:w="1207" w:type="pct"/>
            <w:vAlign w:val="center"/>
            <w:textDirection w:val="lrTb"/>
            <w:noWrap/>
          </w:tcPr>
          <w:p>
            <w:pPr>
              <w:jc w:val="center"/>
              <w:spacing w:before="25" w:after="25" w:line="400" w:lineRule="exact"/>
              <w:shd w:val="clear" w:color="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rPr>
          <w:rFonts w:ascii="宋体" w:hAnsi="宋体"/>
          <w:b/>
          <w:bCs/>
          <w:color w:val="auto"/>
          <w:szCs w:val="21"/>
          <w:highlight w:val="none"/>
          <w:lang w:val="zh-CN"/>
        </w:rPr>
      </w:pPr>
      <w:r>
        <w:rPr>
          <w:rFonts w:ascii="宋体" w:hAnsi="宋体"/>
          <w:b/>
          <w:bCs/>
          <w:color w:val="auto"/>
          <w:szCs w:val="21"/>
          <w:highlight w:val="none"/>
          <w:lang w:val="zh-CN"/>
        </w:rPr>
      </w:r>
      <w:r/>
    </w:p>
    <w:p>
      <w:pPr>
        <w:spacing w:line="360" w:lineRule="auto"/>
        <w:shd w:val="clear" w:color="auto"/>
        <w:rPr>
          <w:rFonts w:ascii="宋体" w:hAnsi="宋体"/>
          <w:b/>
          <w:bCs/>
          <w:color w:val="auto"/>
          <w:szCs w:val="21"/>
          <w:highlight w:val="none"/>
          <w:lang w:val="zh-CN"/>
        </w:rPr>
      </w:pPr>
      <w:r>
        <w:rPr>
          <w:rFonts w:ascii="宋体" w:hAnsi="宋体"/>
          <w:b/>
          <w:bCs/>
          <w:color w:val="auto"/>
          <w:szCs w:val="21"/>
          <w:highlight w:val="none"/>
          <w:lang w:val="zh-CN"/>
        </w:rPr>
      </w:r>
      <w:r/>
    </w:p>
    <w:p>
      <w:pPr>
        <w:jc w:val="left"/>
        <w:spacing w:line="360" w:lineRule="auto"/>
        <w:shd w:val="clear" w:color="auto"/>
        <w:rPr>
          <w:rFonts w:ascii="宋体" w:hAnsi="宋体" w:cs="宋体"/>
          <w:color w:val="auto"/>
          <w:sz w:val="26"/>
          <w:highlight w:val="none"/>
        </w:rPr>
      </w:pPr>
      <w:r>
        <w:rPr>
          <w:rFonts w:hint="eastAsia" w:ascii="宋体" w:hAnsi="宋体" w:cs="宋体"/>
          <w:color w:val="auto"/>
          <w:highlight w:val="none"/>
        </w:rPr>
        <w:t xml:space="preserve">投标人：（公章）</w:t>
      </w:r>
      <w:r/>
    </w:p>
    <w:p>
      <w:pPr>
        <w:jc w:val="left"/>
        <w:spacing w:line="360" w:lineRule="auto"/>
        <w:shd w:val="clear" w:color="auto"/>
        <w:rPr>
          <w:rFonts w:ascii="宋体" w:hAnsi="宋体" w:cs="宋体"/>
          <w:color w:val="auto"/>
          <w:sz w:val="26"/>
          <w:highlight w:val="none"/>
        </w:rPr>
      </w:pPr>
      <w:r>
        <w:rPr>
          <w:rFonts w:hint="eastAsia" w:ascii="宋体" w:hAnsi="宋体" w:cs="宋体"/>
          <w:color w:val="auto"/>
          <w:highlight w:val="none"/>
        </w:rPr>
        <w:t xml:space="preserve">法定代表人或代理人：（签字或盖章）</w:t>
      </w:r>
      <w:r/>
    </w:p>
    <w:p>
      <w:pPr>
        <w:jc w:val="left"/>
        <w:spacing w:line="360" w:lineRule="auto"/>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日期：    年   月    日</w:t>
      </w:r>
      <w:r/>
    </w:p>
    <w:p>
      <w:pPr>
        <w:jc w:val="left"/>
        <w:spacing w:line="440" w:lineRule="exact"/>
        <w:shd w:val="clear" w:color="auto"/>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pStyle w:val="754"/>
        <w:jc w:val="center"/>
        <w:pageBreakBefore/>
        <w:spacing w:line="240" w:lineRule="auto"/>
        <w:shd w:val="clear" w:color="auto"/>
        <w:rPr>
          <w:rFonts w:ascii="宋体" w:hAnsi="宋体" w:eastAsia="宋体" w:cs="宋体"/>
          <w:color w:val="auto"/>
          <w:sz w:val="32"/>
          <w:szCs w:val="32"/>
          <w:highlight w:val="none"/>
          <w:lang w:val="zh-CN"/>
        </w:rPr>
      </w:pPr>
      <w:r/>
      <w:bookmarkStart w:id="38" w:name="_Toc288547517"/>
      <w:r/>
      <w:bookmarkStart w:id="39" w:name="_Toc230158466"/>
      <w:r/>
      <w:bookmarkStart w:id="40" w:name="_Toc419388191"/>
      <w:r/>
      <w:bookmarkStart w:id="41" w:name="_Toc7115792"/>
      <w:r>
        <w:rPr>
          <w:rFonts w:hint="eastAsia" w:ascii="宋体" w:hAnsi="宋体" w:eastAsia="宋体" w:cs="宋体"/>
          <w:color w:val="auto"/>
          <w:sz w:val="32"/>
          <w:szCs w:val="32"/>
          <w:highlight w:val="none"/>
          <w:lang w:val="zh-CN"/>
        </w:rPr>
        <w:t xml:space="preserve">第五章 </w:t>
      </w:r>
      <w:bookmarkEnd w:id="38"/>
      <w:r/>
      <w:bookmarkEnd w:id="39"/>
      <w:r/>
      <w:bookmarkEnd w:id="40"/>
      <w:r/>
      <w:bookmarkEnd w:id="41"/>
      <w:r>
        <w:rPr>
          <w:rFonts w:hint="eastAsia" w:ascii="宋体" w:hAnsi="宋体" w:eastAsia="宋体" w:cs="宋体"/>
          <w:color w:val="auto"/>
          <w:sz w:val="32"/>
          <w:szCs w:val="32"/>
          <w:highlight w:val="none"/>
          <w:lang w:val="zh-CN"/>
        </w:rPr>
        <w:t xml:space="preserve">拟签订的合同文本</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bookmarkStart w:id="42" w:name="_Toc230158467"/>
      <w:r/>
      <w:bookmarkStart w:id="43" w:name="_Toc419388192"/>
      <w:r/>
      <w:bookmarkStart w:id="44" w:name="_Toc288547518"/>
      <w:r/>
      <w:bookmarkStart w:id="45" w:name="_Toc7115793"/>
      <w:r>
        <w:rPr>
          <w:rFonts w:hint="eastAsia" w:ascii="宋体" w:hAnsi="宋体" w:eastAsia="宋体" w:cs="宋体"/>
          <w:color w:val="auto"/>
          <w:sz w:val="21"/>
          <w:szCs w:val="21"/>
          <w:highlight w:val="none"/>
        </w:rPr>
        <w:t xml:space="preserve">甲方： </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根据《中华人民共和国政府采购法》、《中华人民共和国民法典》等相关法律法规的规定、采购</w:t>
      </w:r>
      <w:r>
        <w:rPr>
          <w:rFonts w:hint="eastAsia" w:ascii="宋体" w:hAnsi="宋体" w:cs="宋体"/>
          <w:color w:val="auto"/>
          <w:szCs w:val="21"/>
          <w:highlight w:val="none"/>
          <w:lang w:val="en-US" w:eastAsia="zh-CN"/>
        </w:rPr>
        <w:t xml:space="preserve">编号</w:t>
      </w:r>
      <w:r>
        <w:rPr>
          <w:rFonts w:hint="eastAsia" w:ascii="宋体" w:hAnsi="宋体" w:cs="宋体"/>
          <w:color w:val="auto"/>
          <w:sz w:val="21"/>
          <w:szCs w:val="21"/>
          <w:highlight w:val="none"/>
          <w:u w:val="single"/>
          <w:lang w:val="en-US" w:eastAsia="zh-CN"/>
        </w:rPr>
        <w:t xml:space="preserve">JSZC-320509-YZZJ-G2026-0006</w:t>
      </w:r>
      <w:r>
        <w:rPr>
          <w:rFonts w:hint="eastAsia" w:ascii="宋体" w:hAnsi="宋体" w:eastAsia="宋体" w:cs="宋体"/>
          <w:color w:val="auto"/>
          <w:sz w:val="21"/>
          <w:szCs w:val="21"/>
          <w:highlight w:val="none"/>
        </w:rPr>
        <w:t xml:space="preserve">号公开招标文件及乙方的投标文件和中标通知书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甲乙双方就此次中标的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项目的购销事宜，签订本合同书。</w:t>
      </w:r>
      <w:r/>
    </w:p>
    <w:p>
      <w:pP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一、项目内容：</w:t>
      </w:r>
      <w:r/>
    </w:p>
    <w:tbl>
      <w:tblPr>
        <w:tblStyle w:val="76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330"/>
        <w:gridCol w:w="1594"/>
        <w:gridCol w:w="800"/>
        <w:gridCol w:w="800"/>
        <w:gridCol w:w="1330"/>
        <w:gridCol w:w="1594"/>
        <w:gridCol w:w="1604"/>
      </w:tblGrid>
      <w:tr>
        <w:trPr>
          <w:trHeight w:val="773"/>
        </w:trPr>
        <w:tc>
          <w:tcPr>
            <w:tcW w:w="406"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序号</w:t>
            </w:r>
            <w:r/>
          </w:p>
        </w:tc>
        <w:tc>
          <w:tcPr>
            <w:tcW w:w="675"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项目名称</w:t>
            </w:r>
            <w:r/>
          </w:p>
        </w:tc>
        <w:tc>
          <w:tcPr>
            <w:tcW w:w="809"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规格、型号</w:t>
            </w:r>
            <w:r/>
          </w:p>
        </w:tc>
        <w:tc>
          <w:tcPr>
            <w:tcW w:w="406"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单位</w:t>
            </w:r>
            <w:r/>
          </w:p>
        </w:tc>
        <w:tc>
          <w:tcPr>
            <w:tcW w:w="406"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数量</w:t>
            </w:r>
            <w:r/>
          </w:p>
        </w:tc>
        <w:tc>
          <w:tcPr>
            <w:tcW w:w="675"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生产厂家</w:t>
            </w:r>
            <w:r/>
          </w:p>
        </w:tc>
        <w:tc>
          <w:tcPr>
            <w:tcW w:w="809"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单价（元）</w:t>
            </w:r>
            <w:r/>
          </w:p>
        </w:tc>
        <w:tc>
          <w:tcPr>
            <w:tcW w:w="809" w:type="pct"/>
            <w:vAlign w:val="center"/>
            <w:textDirection w:val="lrTb"/>
            <w:noWrap w:val="false"/>
          </w:tcPr>
          <w:p>
            <w:pPr>
              <w:jc w:val="center"/>
              <w:shd w:val="clear" w:color="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总价（元）</w:t>
            </w:r>
            <w:r/>
          </w:p>
        </w:tc>
      </w:tr>
      <w:tr>
        <w:trPr>
          <w:trHeight w:val="466"/>
        </w:trPr>
        <w:tc>
          <w:tcPr>
            <w:tcW w:w="40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66"/>
        </w:trPr>
        <w:tc>
          <w:tcPr>
            <w:tcW w:w="40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66"/>
        </w:trPr>
        <w:tc>
          <w:tcPr>
            <w:tcW w:w="40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66"/>
        </w:trPr>
        <w:tc>
          <w:tcPr>
            <w:tcW w:w="40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406"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75"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809" w:type="pct"/>
            <w:vAlign w:val="center"/>
            <w:textDirection w:val="lrTb"/>
            <w:noWrap w:val="false"/>
          </w:tcPr>
          <w:p>
            <w:pPr>
              <w:jc w:val="both"/>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497"/>
        </w:trPr>
        <w:tc>
          <w:tcPr>
            <w:gridSpan w:val="8"/>
            <w:tcW w:w="5000" w:type="pct"/>
            <w:vAlign w:val="center"/>
            <w:textDirection w:val="lrTb"/>
            <w:noWrap w:val="false"/>
          </w:tcPr>
          <w:p>
            <w:pPr>
              <w:jc w:val="left"/>
              <w:shd w:val="clear" w:color="auto"/>
              <w:widowControl/>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highlight w:val="none"/>
                <w:lang w:bidi="ar"/>
              </w:rPr>
              <w:t xml:space="preserve">合计金额大写：</w:t>
            </w:r>
            <w:r/>
          </w:p>
        </w:tc>
      </w:tr>
    </w:tbl>
    <w:p>
      <w:pP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二、下列文件为本合同不可分割部分：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（一）中标通知书；</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（二）招标文件、技术要求及补充通知（如有）；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（三）中标文件和其它承诺、书面澄清等；</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（四）技术文件；</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（五）其他约定文件等。</w:t>
      </w:r>
      <w:r/>
    </w:p>
    <w:p>
      <w:pP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三、合同价格与支付</w:t>
      </w:r>
      <w:r>
        <w:rPr>
          <w:rFonts w:hint="eastAsia" w:ascii="宋体" w:hAnsi="宋体" w:eastAsia="宋体" w:cs="宋体"/>
          <w:b/>
          <w:bCs/>
          <w:color w:val="auto"/>
          <w:sz w:val="21"/>
          <w:szCs w:val="21"/>
          <w:highlight w:val="none"/>
        </w:rPr>
        <w:t xml:space="preserve">：  </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（一）本合同价格为项目所在地含税价，本合同价格按人民币结算。</w:t>
      </w:r>
      <w:r/>
    </w:p>
    <w:p>
      <w:pPr>
        <w:ind w:firstLine="420"/>
        <w:spacing w:line="360" w:lineRule="auto"/>
        <w:shd w:val="clear" w:color="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（二）本合同总价为：</w:t>
      </w:r>
      <w:r>
        <w:rPr>
          <w:rFonts w:hint="eastAsia" w:ascii="宋体" w:hAnsi="宋体" w:eastAsia="宋体" w:cs="宋体"/>
          <w:color w:val="auto"/>
          <w:sz w:val="21"/>
          <w:szCs w:val="21"/>
          <w:highlight w:val="none"/>
          <w:u w:val="single"/>
          <w:lang w:val="zh-CN"/>
        </w:rPr>
        <w:t xml:space="preserve">         （￥    ）</w:t>
      </w:r>
      <w:r>
        <w:rPr>
          <w:rFonts w:hint="eastAsia" w:ascii="宋体" w:hAnsi="宋体" w:eastAsia="宋体" w:cs="宋体"/>
          <w:color w:val="auto"/>
          <w:sz w:val="21"/>
          <w:szCs w:val="21"/>
          <w:highlight w:val="none"/>
          <w:lang w:val="zh-CN"/>
        </w:rPr>
        <w:t xml:space="preserve">，合同包括全部货物、辅助材料、系统、人工、运输、</w:t>
      </w:r>
      <w:r>
        <w:rPr>
          <w:rFonts w:hint="eastAsia" w:ascii="宋体" w:hAnsi="宋体" w:cs="宋体"/>
          <w:color w:val="auto"/>
          <w:sz w:val="21"/>
          <w:szCs w:val="21"/>
          <w:highlight w:val="none"/>
          <w:lang w:val="en-US" w:eastAsia="zh-CN"/>
        </w:rPr>
        <w:t xml:space="preserve">安装、调试、集成、培训、</w:t>
      </w:r>
      <w:r>
        <w:rPr>
          <w:rFonts w:hint="eastAsia" w:ascii="宋体" w:hAnsi="宋体" w:eastAsia="宋体" w:cs="宋体"/>
          <w:color w:val="auto"/>
          <w:sz w:val="21"/>
          <w:szCs w:val="21"/>
          <w:highlight w:val="none"/>
          <w:lang w:val="zh-CN"/>
        </w:rPr>
        <w:t xml:space="preserve">仓储、保险、各种税费、劳保、专利技术、检测、验收费用</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采购代理服务费、</w:t>
      </w:r>
      <w:r>
        <w:rPr>
          <w:rFonts w:hint="eastAsia" w:ascii="宋体" w:hAnsi="宋体" w:cs="宋体"/>
          <w:color w:val="auto"/>
          <w:sz w:val="21"/>
          <w:szCs w:val="21"/>
          <w:highlight w:val="none"/>
          <w:lang w:eastAsia="zh-CN"/>
        </w:rPr>
        <w:t xml:space="preserve">政策性文件规定及合同包含的所有风险、责任等各项应有费用</w:t>
      </w:r>
      <w:r>
        <w:rPr>
          <w:rFonts w:hint="eastAsia" w:ascii="宋体" w:hAnsi="宋体" w:cs="宋体"/>
          <w:color w:val="auto"/>
          <w:szCs w:val="21"/>
          <w:highlight w:val="none"/>
        </w:rPr>
        <w:t xml:space="preserve">。</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（三）结算方式：按实结算，最终合同结算金额以第三方审计单位的审计金额为准。</w:t>
      </w:r>
      <w:r/>
    </w:p>
    <w:p>
      <w:pPr>
        <w:ind w:firstLine="420"/>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（四）付款步骤：</w:t>
      </w:r>
      <w:r/>
    </w:p>
    <w:p>
      <w:pPr>
        <w:ind w:firstLine="63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合同生效后按如下步骤支付货款：</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lang w:val="en-US" w:eastAsia="zh-CN"/>
        </w:rPr>
        <w:t xml:space="preserve">政府采购合同签订生效</w:t>
      </w:r>
      <w:r>
        <w:rPr>
          <w:rFonts w:hint="eastAsia" w:ascii="宋体" w:hAnsi="宋体" w:cs="宋体"/>
          <w:color w:val="auto"/>
          <w:sz w:val="21"/>
          <w:szCs w:val="21"/>
          <w:highlight w:val="none"/>
          <w:lang w:val="en-US" w:eastAsia="zh-CN"/>
        </w:rPr>
        <w:t xml:space="preserve">并备案</w:t>
      </w:r>
      <w:r>
        <w:rPr>
          <w:rFonts w:hint="eastAsia" w:ascii="宋体" w:hAnsi="宋体" w:eastAsia="宋体" w:cs="宋体"/>
          <w:color w:val="auto"/>
          <w:sz w:val="21"/>
          <w:szCs w:val="21"/>
          <w:highlight w:val="none"/>
          <w:lang w:val="en-US" w:eastAsia="zh-CN"/>
        </w:rPr>
        <w:t xml:space="preserve">后甲方支付合同价款的30%的货款（乙方需提供相同金额的银行保函）；货物到达现场，经监理、招标代理和采购人验收合格后甲方付至合同价款的50%；专业验收合格后付至合同价款的80%（同时在乙方提交书面退还申请后，经甲方同意，无息退还30%预付款对应的银行保函）；经审计后付至结算审定价的90%；审计满一年付至97%；余款待质保期满后付清，审计晚于质保期满后完成的，余款10%支付时间延迟至审计后。</w:t>
      </w:r>
      <w:r/>
    </w:p>
    <w:p>
      <w:pPr>
        <w:ind w:firstLine="63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2.付款前，乙方应开具正规合格的增值税专用发票原件提交甲方，甲方将支付相应款项。</w:t>
      </w:r>
      <w:r/>
    </w:p>
    <w:p>
      <w:pPr>
        <w:ind w:firstLine="63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3.在签订合同时，乙方明确表示无需预付款或者主动要求降低预付款比例的，甲方可不适用上述关于预付款的规定。</w:t>
      </w:r>
      <w:r/>
    </w:p>
    <w:p>
      <w:pPr>
        <w:ind w:firstLine="63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4.甲方每次付款时，乙方需提供以下资料：</w:t>
      </w:r>
      <w:r/>
    </w:p>
    <w:p>
      <w:pPr>
        <w:ind w:firstLine="63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A、合格销售发票</w:t>
      </w:r>
      <w:r/>
    </w:p>
    <w:p>
      <w:pPr>
        <w:ind w:firstLine="63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B、甲方签收后的送货回单</w:t>
      </w:r>
      <w:r/>
    </w:p>
    <w:p>
      <w:pPr>
        <w:ind w:firstLine="630"/>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C、验收合格证明</w:t>
      </w:r>
      <w:r/>
    </w:p>
    <w:p>
      <w:pPr>
        <w:ind w:firstLine="632"/>
        <w:spacing w:line="360" w:lineRule="auto"/>
        <w:shd w:val="clear" w:color="auto"/>
        <w:rPr>
          <w:rFonts w:ascii="宋体" w:hAnsi="宋体" w:cs="宋体"/>
          <w:color w:val="auto"/>
          <w:sz w:val="24"/>
          <w:szCs w:val="24"/>
          <w:highlight w:val="none"/>
        </w:rPr>
      </w:pPr>
      <w:r>
        <w:rPr>
          <w:rFonts w:hint="eastAsia" w:ascii="宋体" w:hAnsi="宋体"/>
          <w:b/>
          <w:color w:val="auto"/>
          <w:szCs w:val="21"/>
          <w:highlight w:val="none"/>
        </w:rPr>
        <w:t xml:space="preserve">5.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szCs w:val="21"/>
          <w:highlight w:val="none"/>
        </w:rPr>
        <w:t xml:space="preserve">。</w:t>
      </w:r>
      <w:r/>
    </w:p>
    <w:p>
      <w:pPr>
        <w:ind w:right="-161" w:firstLine="630"/>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6.付款方式：银行转账、银行汇票或转帐支票。</w:t>
      </w:r>
      <w:r/>
    </w:p>
    <w:p>
      <w:pPr>
        <w:ind w:right="-161" w:firstLine="630"/>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7.乙方账户信息如下：</w:t>
      </w:r>
      <w:r/>
    </w:p>
    <w:p>
      <w:pPr>
        <w:ind w:right="-161" w:firstLine="630"/>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开户名称：</w:t>
      </w:r>
      <w:r/>
    </w:p>
    <w:p>
      <w:pPr>
        <w:ind w:right="-161" w:firstLine="630"/>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开户银行：</w:t>
      </w:r>
      <w:r/>
    </w:p>
    <w:p>
      <w:pPr>
        <w:ind w:right="-161" w:firstLine="630"/>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银行账号：</w:t>
      </w:r>
      <w:r/>
    </w:p>
    <w:p>
      <w:pPr>
        <w:spacing w:line="360" w:lineRule="auto"/>
        <w:shd w:val="clear" w:color="auto"/>
        <w:rPr>
          <w:rFonts w:ascii="宋体" w:hAnsi="宋体" w:cs="宋体"/>
          <w:b/>
          <w:color w:val="auto"/>
          <w:szCs w:val="24"/>
          <w:highlight w:val="none"/>
        </w:rPr>
      </w:pPr>
      <w:r>
        <w:rPr>
          <w:rFonts w:hint="eastAsia" w:ascii="宋体" w:hAnsi="宋体" w:cs="宋体"/>
          <w:b/>
          <w:color w:val="auto"/>
          <w:szCs w:val="24"/>
          <w:highlight w:val="none"/>
          <w:lang w:val="en-US" w:eastAsia="zh-CN"/>
        </w:rPr>
        <w:t xml:space="preserve">四</w:t>
      </w:r>
      <w:r>
        <w:rPr>
          <w:rFonts w:hint="eastAsia" w:ascii="宋体" w:hAnsi="宋体" w:cs="宋体"/>
          <w:b/>
          <w:color w:val="auto"/>
          <w:szCs w:val="24"/>
          <w:highlight w:val="none"/>
        </w:rPr>
        <w:t xml:space="preserve">、履约保证金：</w:t>
      </w:r>
      <w:r/>
    </w:p>
    <w:p>
      <w:pPr>
        <w:ind w:firstLine="420"/>
        <w:jc w:val="left"/>
        <w:spacing w:line="360" w:lineRule="auto"/>
        <w:shd w:val="clear" w:color="auto"/>
        <w:widowControl/>
        <w:tabs>
          <w:tab w:val="left" w:pos="900" w:leader="none"/>
        </w:tabs>
        <w:rPr>
          <w:rFonts w:ascii="宋体" w:hAnsi="宋体" w:cs="宋体"/>
          <w:color w:val="auto"/>
          <w:szCs w:val="24"/>
          <w:highlight w:val="none"/>
        </w:rPr>
      </w:pPr>
      <w:r>
        <w:rPr>
          <w:rFonts w:hint="eastAsia" w:ascii="宋体" w:hAnsi="宋体" w:cs="宋体"/>
          <w:color w:val="auto"/>
          <w:szCs w:val="24"/>
          <w:highlight w:val="none"/>
        </w:rPr>
        <w:t xml:space="preserve">本合同是否需要提供履约担保：</w:t>
      </w:r>
      <w:bookmarkStart w:id="46" w:name="EBa0424f6267d64f13b2750778b414c022"/>
      <w:r>
        <w:rPr>
          <w:rFonts w:hint="eastAsia" w:ascii="MS Mincho" w:hAnsi="MS Mincho" w:eastAsia="MS Mincho" w:cs="MS Mincho"/>
          <w:color w:val="auto"/>
          <w:szCs w:val="24"/>
          <w:highlight w:val="none"/>
        </w:rPr>
        <w:t xml:space="preserve">☑</w:t>
      </w:r>
      <w:r>
        <w:rPr>
          <w:rFonts w:hint="eastAsia" w:ascii="宋体" w:hAnsi="宋体" w:cs="宋体"/>
          <w:color w:val="auto"/>
          <w:szCs w:val="24"/>
          <w:highlight w:val="none"/>
        </w:rPr>
        <w:t xml:space="preserve">是</w:t>
      </w:r>
      <w:bookmarkEnd w:id="46"/>
      <w:r>
        <w:rPr>
          <w:rFonts w:hint="eastAsia" w:ascii="宋体" w:hAnsi="宋体" w:cs="宋体"/>
          <w:color w:val="auto"/>
          <w:szCs w:val="24"/>
          <w:highlight w:val="none"/>
        </w:rPr>
        <w:t xml:space="preserve">□否</w:t>
      </w:r>
      <w:r/>
    </w:p>
    <w:p>
      <w:pPr>
        <w:ind w:firstLine="420"/>
        <w:jc w:val="left"/>
        <w:spacing w:line="360" w:lineRule="auto"/>
        <w:shd w:val="clear" w:color="auto"/>
        <w:widowControl/>
        <w:tabs>
          <w:tab w:val="left" w:pos="900" w:leader="none"/>
        </w:tabs>
        <w:rPr>
          <w:rFonts w:ascii="宋体" w:hAnsi="宋体" w:cs="宋体"/>
          <w:color w:val="auto"/>
          <w:szCs w:val="24"/>
          <w:highlight w:val="none"/>
        </w:rPr>
      </w:pPr>
      <w:r>
        <w:rPr>
          <w:rFonts w:hint="eastAsia" w:ascii="宋体" w:hAnsi="宋体" w:cs="宋体"/>
          <w:color w:val="auto"/>
          <w:szCs w:val="24"/>
          <w:highlight w:val="none"/>
        </w:rPr>
        <w:t xml:space="preserve">履约担</w:t>
      </w:r>
      <w:r>
        <w:rPr>
          <w:rFonts w:hint="eastAsia" w:ascii="宋体" w:hAnsi="宋体" w:cs="宋体"/>
          <w:color w:val="auto"/>
          <w:szCs w:val="24"/>
          <w:highlight w:val="none"/>
        </w:rPr>
        <w:t xml:space="preserve">保的金额为中标金额的5%，形式为银行履约保函或保证金（无息）或履约保证保险凭证或融资担保公司提供的担保保函。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p>
    <w:p>
      <w:pPr>
        <w:ind w:firstLine="420"/>
        <w:spacing w:line="360" w:lineRule="auto"/>
        <w:shd w:val="clear" w:color="auto"/>
        <w:tabs>
          <w:tab w:val="left" w:pos="900" w:leader="none"/>
        </w:tabs>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履约担保返还：竣工验收合格并经甲方确认后无息返还。</w:t>
      </w:r>
      <w:r/>
    </w:p>
    <w:p>
      <w:pPr>
        <w:ind w:firstLine="422"/>
        <w:spacing w:line="360" w:lineRule="auto"/>
        <w:shd w:val="clear" w:color="auto"/>
        <w:rPr>
          <w:rFonts w:ascii="宋体" w:hAnsi="宋体" w:cs="宋体"/>
          <w:color w:val="auto"/>
          <w:sz w:val="24"/>
          <w:szCs w:val="24"/>
          <w:highlight w:val="none"/>
        </w:rPr>
      </w:pPr>
      <w:r>
        <w:rPr>
          <w:rFonts w:hint="eastAsia" w:ascii="宋体" w:hAnsi="宋体"/>
          <w:b/>
          <w:color w:val="auto"/>
          <w:szCs w:val="21"/>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szCs w:val="21"/>
          <w:highlight w:val="none"/>
        </w:rPr>
        <w:t xml:space="preserve">。</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zh-CN"/>
        </w:rPr>
        <w:t xml:space="preserve">、交付时间、地点、方式： </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（一）交付方式：所有合同货物均由乙方装运至甲方指定地点，所有货物的包装费用、运输费用及运输安全均由乙方负责。货物装运后由乙方办理保险，费用已含在合同总价中。</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（二）交货期限：合同签订之日起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日历天内完成设备供货安装调试并交付甲方使用（具体根据甲方要求）。</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（三）交货地点：采购人指定地点。</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（四）标的物的所有权自标的物交付时转移。</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zh-CN"/>
        </w:rPr>
        <w:t xml:space="preserve">、验收标准：</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（一）乙方提供的产品必须符合我国最新颁布的与之相关的技术规范与标准，同时须满足招标总文件中所列全部规格、技术条件及功能要求和其承诺的其它指标。</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验收包括：数量、外观、质量、性能、随机备品备件、产品合格证、装箱单、随机资料及包装。所有产品和附配件应符合其规定的性能，无瑕疵和缺陷，质量为合格品，同时有明确的制造厂商。如产品出现质量问题或产品配置参数不符合采购清单、投标承诺等原因，乙方负责包退、包换，因此发生的费用由乙方负责。</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乙方提供货物必须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pStyle w:val="765"/>
        <w:rPr>
          <w:rFonts w:hint="eastAsia"/>
          <w:color w:val="auto"/>
          <w:highlight w:val="none"/>
          <w:lang w:val="en-US" w:eastAsia="zh-CN"/>
        </w:rPr>
      </w:pPr>
      <w:r>
        <w:rPr>
          <w:rFonts w:hint="eastAsia"/>
          <w:color w:val="auto"/>
          <w:highlight w:val="none"/>
          <w:lang w:val="en-US" w:eastAsia="zh-CN"/>
        </w:rPr>
        <w:t xml:space="preserve">（五）</w:t>
      </w:r>
      <w:r>
        <w:rPr>
          <w:rFonts w:hint="eastAsia" w:ascii="宋体" w:hAnsi="宋体" w:eastAsia="宋体" w:cs="宋体"/>
          <w:color w:val="auto"/>
          <w:sz w:val="21"/>
          <w:szCs w:val="21"/>
          <w:highlight w:val="none"/>
          <w:lang w:val="en-US" w:eastAsia="zh-CN" w:bidi="ar-SA"/>
        </w:rPr>
        <w:t xml:space="preserve">乙方须制定专项数据迁移方案并经甲方确认，在约定迁移窗口期内完成存量数据平稳迁移;超出约定窗口期，或因乙方技术原因，造成医院核心诊疗业务非正常中断的，每持续1小时，乙方支付违约金</w:t>
      </w:r>
      <w:r>
        <w:rPr>
          <w:rFonts w:hint="eastAsia" w:ascii="宋体" w:hAnsi="宋体" w:cs="宋体"/>
          <w:color w:val="auto"/>
          <w:sz w:val="21"/>
          <w:szCs w:val="21"/>
          <w:highlight w:val="none"/>
          <w:u w:val="single"/>
          <w:lang w:val="en-US" w:eastAsia="zh-CN" w:bidi="ar-SA"/>
        </w:rPr>
        <w:t xml:space="preserve"> 10000</w:t>
      </w:r>
      <w:r>
        <w:rPr>
          <w:rFonts w:hint="eastAsia" w:ascii="宋体" w:hAnsi="宋体" w:eastAsia="宋体" w:cs="宋体"/>
          <w:color w:val="auto"/>
          <w:sz w:val="21"/>
          <w:szCs w:val="21"/>
          <w:highlight w:val="none"/>
          <w:lang w:val="en-US" w:eastAsia="zh-CN" w:bidi="ar-SA"/>
        </w:rPr>
        <w:t xml:space="preserve">元，甲方可直接在应付工程款中抵扣，违约金累计上限为合同总价</w:t>
      </w:r>
      <w:r>
        <w:rPr>
          <w:rFonts w:hint="eastAsia" w:ascii="宋体" w:hAnsi="宋体" w:cs="宋体"/>
          <w:color w:val="auto"/>
          <w:sz w:val="21"/>
          <w:szCs w:val="21"/>
          <w:highlight w:val="none"/>
          <w:u w:val="single"/>
          <w:lang w:val="en-US" w:eastAsia="zh-CN" w:bidi="ar-SA"/>
        </w:rPr>
        <w:t xml:space="preserve"> 5 </w:t>
      </w: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%。乙方须具备完整回滚方案，业务中断后立即回滚恢复原有系统运行。</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zh-CN"/>
        </w:rPr>
        <w:t xml:space="preserve">、售后服务及其他要求：</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（一）除特别约定外，合同条款成交的物的质量保证期均自标的物通过最终验收之日起计算，且质量保证期为乙方承诺期限。乙方承诺免费质保期为</w:t>
      </w:r>
      <w:r>
        <w:rPr>
          <w:rFonts w:hint="eastAsia" w:ascii="宋体" w:hAnsi="宋体" w:eastAsia="宋体" w:cs="宋体"/>
          <w:color w:val="auto"/>
          <w:sz w:val="21"/>
          <w:szCs w:val="21"/>
          <w:highlight w:val="none"/>
          <w:u w:val="single"/>
          <w:lang w:val="en-US" w:eastAsia="zh-CN"/>
        </w:rPr>
        <w:t xml:space="preserve">三</w:t>
      </w:r>
      <w:r>
        <w:rPr>
          <w:rFonts w:hint="eastAsia" w:ascii="宋体" w:hAnsi="宋体" w:eastAsia="宋体" w:cs="宋体"/>
          <w:color w:val="auto"/>
          <w:sz w:val="21"/>
          <w:szCs w:val="21"/>
          <w:highlight w:val="none"/>
          <w:lang w:val="en-US" w:eastAsia="zh-CN"/>
        </w:rPr>
        <w:t xml:space="preserve">年，有特殊要求的，从其规定，且不低于上述期限。</w:t>
      </w:r>
      <w:r/>
    </w:p>
    <w:p>
      <w:pPr>
        <w:ind w:firstLine="480"/>
        <w:jc w:val="both"/>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（二）乙方应以优良的服务态度，提供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小时以内响应。响应到达时间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小时。如需更换必须在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工作日内负责解决。</w:t>
      </w:r>
      <w:r/>
    </w:p>
    <w:p>
      <w:pPr>
        <w:ind w:firstLine="480"/>
        <w:jc w:val="both"/>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（三）其它按乙方响应文件及相关承诺中等同或优于招标文件的要求执行。</w:t>
      </w:r>
      <w:r/>
    </w:p>
    <w:p>
      <w:pPr>
        <w:ind w:firstLine="480"/>
        <w:jc w:val="both"/>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（四）如因产品质量受到有关部门处罚或给采购单位造成各项损失，由成交单位承担全部经济和法律责任，采购单位不予支付送货产品货款。</w:t>
      </w:r>
      <w:r/>
    </w:p>
    <w:p>
      <w:pPr>
        <w:ind w:firstLine="480"/>
        <w:jc w:val="both"/>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（五）在产品使用过程中，甲方有权对产品质量进行抽检，如乙方对甲方抽检结果有异议，双方可共同指定一家权威机构再进行检测，检测费用由乙方承担。</w:t>
      </w:r>
      <w:r/>
    </w:p>
    <w:p>
      <w:pPr>
        <w:ind w:firstLine="480"/>
        <w:jc w:val="both"/>
        <w:spacing w:line="360" w:lineRule="auto"/>
        <w:shd w:val="clear" w:color="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）其他要求按乙方投标文件承诺的条款执行。</w:t>
      </w:r>
      <w:r/>
    </w:p>
    <w:p>
      <w:pPr>
        <w:ind w:firstLine="480"/>
        <w:jc w:val="both"/>
        <w:spacing w:line="360" w:lineRule="auto"/>
        <w:shd w:val="clear" w:color="auto"/>
        <w:widowControl w:val="off"/>
        <w:tabs>
          <w:tab w:val="left" w:pos="6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）所提供货物的生产、制造、安装等各项技术标准，应当符合国家（强制性）标准、各项规范要求；国家没有相应标准、规范的，可使用行业标准、规定；非标设备按采购约定的技术要求和规范。</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zh-CN"/>
        </w:rPr>
        <w:t xml:space="preserve">、税费：</w:t>
      </w:r>
      <w:r/>
    </w:p>
    <w:p>
      <w:pPr>
        <w:ind w:firstLine="480"/>
        <w:jc w:val="both"/>
        <w:spacing w:line="360" w:lineRule="auto"/>
        <w:shd w:val="clear" w:color="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（一）根据现行税法对甲方征收的与本合同有关的一切税费均由甲方承担；根据现行税法对乙方征收的与本合同有关的一切税费均由乙方承担。</w:t>
      </w:r>
      <w:r/>
    </w:p>
    <w:p>
      <w:pPr>
        <w:ind w:firstLine="480"/>
        <w:jc w:val="both"/>
        <w:spacing w:line="360" w:lineRule="auto"/>
        <w:shd w:val="clear" w:color="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（二）本合同价格为含税价。乙方提供的所有货物、技术资料、技术服务、进口设备/部件等所有税费，已全部包含在合同价格内，由乙方承担。</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zh-CN"/>
        </w:rPr>
        <w:t xml:space="preserve">、对标的物货物提出异议的时间和办法</w:t>
      </w:r>
      <w:r/>
    </w:p>
    <w:p>
      <w:pPr>
        <w:ind w:firstLine="480"/>
        <w:jc w:val="both"/>
        <w:spacing w:line="360" w:lineRule="auto"/>
        <w:shd w:val="clear" w:color="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（一）甲方在验收过程中，应当于双方约定的检验期间内将标的物的数量或质量不符合约定的情况及处理方式以书面方式通知乙方。</w:t>
      </w:r>
      <w:r/>
    </w:p>
    <w:p>
      <w:pPr>
        <w:ind w:firstLine="480"/>
        <w:jc w:val="both"/>
        <w:spacing w:line="360" w:lineRule="auto"/>
        <w:shd w:val="clear" w:color="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）乙方应在收到甲方书面异议后七天内负责解决问题，否则将视为默认甲方提出的异议和处理意见。</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val="zh-CN"/>
        </w:rPr>
        <w:t xml:space="preserve">、违约责任</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（一）甲方违约责任</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 在合同生效后，甲方</w:t>
      </w:r>
      <w:r>
        <w:rPr>
          <w:rFonts w:hint="eastAsia" w:ascii="宋体" w:hAnsi="宋体" w:cs="宋体"/>
          <w:color w:val="auto"/>
          <w:sz w:val="21"/>
          <w:szCs w:val="21"/>
          <w:highlight w:val="none"/>
          <w:lang w:val="en-US" w:eastAsia="zh-CN"/>
        </w:rPr>
        <w:t xml:space="preserve">无故</w:t>
      </w:r>
      <w:r>
        <w:rPr>
          <w:rFonts w:hint="eastAsia" w:ascii="宋体" w:hAnsi="宋体" w:eastAsia="宋体" w:cs="宋体"/>
          <w:color w:val="auto"/>
          <w:sz w:val="21"/>
          <w:szCs w:val="21"/>
          <w:highlight w:val="none"/>
          <w:lang w:val="zh-CN"/>
        </w:rPr>
        <w:t xml:space="preserve">要求退货的，应向乙方偿付合同总价款的5%，作为违约金，违约金不足以补偿损失的，乙方有权要求甲方补足。</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2、甲方逾期付款的应按照逾期付款金额的每天万分之</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zh-CN"/>
        </w:rPr>
        <w:t xml:space="preserve">支付逾期付款违约金。</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3、甲方违反合同规定，拒绝接收乙方交付的合格标的物，应当承担乙方由此造成的损失。</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（二）乙方违约责任</w:t>
      </w:r>
      <w:r/>
    </w:p>
    <w:p>
      <w:pPr>
        <w:ind w:firstLine="480"/>
        <w:jc w:val="both"/>
        <w:spacing w:line="360" w:lineRule="auto"/>
        <w:shd w:val="clear" w:color="auto"/>
        <w:widowControl w:val="off"/>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不能交货(逾期超过十五天视为不能交货)的、交货不合格从而影响甲方按期正常使用的、履行合同给甲方造成损失的、违反其他合同约定的，甲方有权随时单方解除合同，不予支付合同款，乙方应向甲方返还已收取的全部合同款并支付合同总价款20%的违约金，违约金不足以补偿损失的甲方有权要求乙方补足，乙方应自行取回货物并承担相应费用</w:t>
      </w:r>
      <w:r>
        <w:rPr>
          <w:rFonts w:hint="eastAsia" w:ascii="宋体" w:hAnsi="宋体" w:cs="宋体"/>
          <w:color w:val="auto"/>
          <w:sz w:val="21"/>
          <w:szCs w:val="21"/>
          <w:highlight w:val="none"/>
          <w:lang w:val="zh-CN"/>
        </w:rPr>
        <w:t xml:space="preserve">。</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jc w:val="both"/>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（三）不可抗力</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1、因不可抗力不能履行合同的，根据不可抗力的影响，部分或者全部免除责任。但合同一方迟延履行后发生不可抗力的，不能免除责任。</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（四）合同的转让</w:t>
      </w:r>
      <w:r>
        <w:rPr>
          <w:rFonts w:hint="eastAsia" w:ascii="宋体" w:hAnsi="宋体" w:eastAsia="宋体" w:cs="宋体"/>
          <w:color w:val="auto"/>
          <w:sz w:val="21"/>
          <w:szCs w:val="21"/>
          <w:highlight w:val="none"/>
        </w:rPr>
        <w:t xml:space="preserve">和分包</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1、政府采购合同的部分和全部都不得转让。</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经甲方和同级政府采购监督管理部门事先书面同意，乙方可将合同项下非主体、非关键性工作分包给他人完成。接受分包的人应当具备相应的资格条件，并不得再次分包。分包后不能解除乙方履行</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lang w:val="zh-CN"/>
        </w:rPr>
        <w:t xml:space="preserve">、索赔：</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（一）甲方有权根据当地产品质量检验机构或其他有权部门出具的检验证书向乙方提出索赔。</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（二）在本合同规定的检验期限和质量保证期内，如果乙方对甲方提出的索赔或差异有责任，则乙方应按甲方同意的下列一种或多种方式解决索赔事宜：</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2、根据标的物的低劣程度、损坏程度以及甲方遭受损失的数额，经双方协商确定降低的物的价格。</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用符合规格、质量和性能要求的标的物来更换有缺陷的部分或修补缺陷部分，乙方应承担一切费用和风险并且负担甲方所发生的一切直接费用。同时，乙方应按合同规定，相应延长修补或被更换标的物的质量保证期。</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（四）甲方提出索赔的书面材料应报政府采购管理部门备案；乙方同意的索赔方案应报政府采购管理部门审核。</w:t>
      </w:r>
      <w:r/>
    </w:p>
    <w:p>
      <w:pPr>
        <w:spacing w:line="360" w:lineRule="auto"/>
        <w:shd w:val="clear" w:color="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zh-CN"/>
        </w:rPr>
        <w:t xml:space="preserve">、合同生效及其它</w:t>
      </w:r>
      <w:r/>
    </w:p>
    <w:p>
      <w:pPr>
        <w:ind w:firstLine="480"/>
        <w:jc w:val="both"/>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因履行本合同引起的纠纷，甲乙双方均可向苏州市吴江区人民法院起诉</w:t>
      </w:r>
      <w:r>
        <w:rPr>
          <w:rFonts w:hint="eastAsia" w:ascii="宋体" w:hAnsi="宋体" w:cs="宋体"/>
          <w:color w:val="auto"/>
          <w:sz w:val="21"/>
          <w:szCs w:val="21"/>
          <w:highlight w:val="none"/>
          <w:lang w:eastAsia="zh-CN"/>
        </w:rPr>
        <w:t xml:space="preserve">。</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本合同经甲乙双方法定代表人或其委托代理人签字并加盖公章（或合同章）后生效，</w:t>
      </w:r>
      <w:r>
        <w:rPr>
          <w:rFonts w:hint="eastAsia" w:ascii="宋体" w:hAnsi="宋体" w:eastAsia="宋体" w:cs="宋体"/>
          <w:color w:val="auto"/>
          <w:sz w:val="21"/>
          <w:szCs w:val="21"/>
          <w:highlight w:val="none"/>
        </w:rPr>
        <w:t xml:space="preserve">合同由采购单位负责备案</w:t>
      </w:r>
      <w:r>
        <w:rPr>
          <w:rFonts w:hint="eastAsia" w:ascii="宋体" w:hAnsi="宋体" w:eastAsia="宋体" w:cs="宋体"/>
          <w:color w:val="auto"/>
          <w:sz w:val="21"/>
          <w:szCs w:val="21"/>
          <w:highlight w:val="none"/>
          <w:lang w:val="zh-CN"/>
        </w:rPr>
        <w:t xml:space="preserve">。</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、未尽事宜：本合同未尽事宜应按《中华人民共和国民法典》、《中华人民共和国政府采购法》以及其同相关法律、法规之规定解释。</w:t>
      </w:r>
      <w:r/>
    </w:p>
    <w:p>
      <w:pPr>
        <w:ind w:firstLine="480"/>
        <w:jc w:val="both"/>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、本合同一式陆份，甲乙双方各贰份、政府采购监督部门和招标代理机构各执壹份，具备同等法律效力</w:t>
      </w:r>
      <w:r>
        <w:rPr>
          <w:rFonts w:hint="eastAsia" w:ascii="宋体" w:hAnsi="宋体" w:eastAsia="宋体" w:cs="宋体"/>
          <w:color w:val="auto"/>
          <w:sz w:val="21"/>
          <w:szCs w:val="21"/>
          <w:highlight w:val="none"/>
          <w:lang w:val="zh-CN"/>
        </w:rPr>
        <w:t xml:space="preserve">。</w:t>
      </w:r>
      <w:r/>
    </w:p>
    <w:p>
      <w:pPr>
        <w:ind w:firstLine="480"/>
        <w:jc w:val="left"/>
        <w:spacing w:line="360" w:lineRule="auto"/>
        <w:shd w:val="clear" w:color="auto"/>
        <w:widowControl/>
        <w:tabs>
          <w:tab w:val="left" w:pos="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乙方（盖章）：</w:t>
      </w:r>
      <w:r/>
    </w:p>
    <w:p>
      <w:pPr>
        <w:jc w:val="left"/>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法定（授权）代表人（签字）：</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法定（授权）代表人（签字）：</w:t>
      </w:r>
      <w:r/>
    </w:p>
    <w:p>
      <w:pPr>
        <w:jc w:val="left"/>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w:t>
      </w:r>
      <w:r/>
    </w:p>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ind w:left="357" w:firstLine="91"/>
        <w:jc w:val="center"/>
        <w:keepLines w:val="0"/>
        <w:keepNext w:val="0"/>
        <w:pageBreakBefore w:val="0"/>
        <w:spacing w:line="360" w:lineRule="auto"/>
        <w:shd w:val="clear" w:color="auto"/>
        <w:widowControl w:val="off"/>
        <w:tabs>
          <w:tab w:val="left" w:pos="0" w:leader="none"/>
        </w:tabs>
        <w:rPr>
          <w:rFonts w:ascii="宋体" w:hAnsi="宋体" w:cs="宋体"/>
          <w:b/>
          <w:bCs/>
          <w:color w:val="auto"/>
          <w:sz w:val="32"/>
          <w:szCs w:val="32"/>
          <w:highlight w:val="none"/>
          <w:lang w:val="zh-CN"/>
        </w:rPr>
        <w:outlineLvl w:val="0"/>
      </w:pPr>
      <w:r>
        <w:rPr>
          <w:rFonts w:hint="eastAsia" w:ascii="宋体" w:hAnsi="宋体" w:cs="宋体"/>
          <w:b/>
          <w:bCs/>
          <w:color w:val="auto"/>
          <w:sz w:val="32"/>
          <w:szCs w:val="32"/>
          <w:highlight w:val="none"/>
          <w:lang w:val="zh-CN"/>
        </w:rPr>
        <w:t xml:space="preserve">第六章 评标办法与</w:t>
      </w:r>
      <w:bookmarkEnd w:id="42"/>
      <w:r/>
      <w:bookmarkEnd w:id="43"/>
      <w:r/>
      <w:bookmarkEnd w:id="44"/>
      <w:r>
        <w:rPr>
          <w:rFonts w:hint="eastAsia" w:ascii="宋体" w:hAnsi="宋体" w:cs="宋体"/>
          <w:b/>
          <w:bCs/>
          <w:color w:val="auto"/>
          <w:sz w:val="32"/>
          <w:szCs w:val="32"/>
          <w:highlight w:val="none"/>
          <w:lang w:val="zh-CN"/>
        </w:rPr>
        <w:t xml:space="preserve">评审内容</w:t>
      </w:r>
      <w:bookmarkEnd w:id="45"/>
      <w:r/>
      <w:r/>
    </w:p>
    <w:p>
      <w:pPr>
        <w:ind w:left="0" w:firstLine="0"/>
        <w:keepLines w:val="0"/>
        <w:keepNext w:val="0"/>
        <w:pageBreakBefore w:val="0"/>
        <w:spacing w:line="360" w:lineRule="auto"/>
        <w:shd w:val="clear" w:color="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一、评标办法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2、评标委员会各成员独立对每个进入打分程序的有效投标人的投标报价、技术文件内容按百分制打分（计算结果均四舍五入保留两位小数）。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3、如出现评标总得分最高的投标人有两个或两个以上的，以实际投标报价较低者优先作为中标候选人，如果实际投标报价也相同的，则由招标采购单位以抽签方式确定中标候选人。</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val="0"/>
          <w:bCs w:val="0"/>
          <w:color w:val="auto"/>
          <w:sz w:val="21"/>
          <w:szCs w:val="21"/>
          <w:highlight w:val="none"/>
          <w:lang w:val="en-US" w:eastAsia="zh-CN"/>
        </w:rPr>
        <w:t xml:space="preserve">非单一产品采购项目，多家投标人提供的核心产品品牌相同的，按照此规定处理。</w:t>
      </w:r>
      <w:r/>
    </w:p>
    <w:p>
      <w:pPr>
        <w:ind w:firstLine="422"/>
        <w:spacing w:line="400" w:lineRule="exact"/>
        <w:shd w:val="clear" w:color="auto"/>
        <w:rPr>
          <w:rFonts w:ascii="宋体" w:hAnsi="宋体" w:cs="宋体"/>
          <w:b/>
          <w:color w:val="auto"/>
          <w:szCs w:val="21"/>
          <w:highlight w:val="none"/>
        </w:rPr>
      </w:pPr>
      <w:r/>
      <w:bookmarkStart w:id="47" w:name="_Hlk60839198"/>
      <w:r>
        <w:rPr>
          <w:rFonts w:hint="eastAsia" w:ascii="宋体" w:hAnsi="宋体" w:cs="宋体"/>
          <w:b/>
          <w:color w:val="auto"/>
          <w:szCs w:val="21"/>
          <w:highlight w:val="none"/>
          <w:lang w:val="en-US" w:eastAsia="zh-CN"/>
        </w:rPr>
        <w:t xml:space="preserve">5</w:t>
      </w:r>
      <w:r>
        <w:rPr>
          <w:rFonts w:ascii="宋体" w:hAnsi="宋体" w:cs="宋体"/>
          <w:b/>
          <w:color w:val="auto"/>
          <w:szCs w:val="21"/>
          <w:highlight w:val="none"/>
        </w:rPr>
        <w:t xml:space="preserve">.</w:t>
      </w:r>
      <w:r>
        <w:rPr>
          <w:rFonts w:hint="eastAsia" w:ascii="宋体" w:hAnsi="宋体" w:cs="宋体"/>
          <w:b/>
          <w:color w:val="auto"/>
          <w:szCs w:val="21"/>
          <w:highlight w:val="none"/>
        </w:rPr>
        <w:t xml:space="preserve">针对中小型企业、残疾人福利企业和监狱企业的评审：</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根据《政府采购促进中小企业发展管理办法》（财库〔2020〕46号）、《关于促进残疾人就业政府采购政策的通知》（财</w:t>
      </w:r>
      <w:r>
        <w:rPr>
          <w:rFonts w:hint="eastAsia" w:ascii="宋体" w:hAnsi="宋体" w:cs="宋体"/>
          <w:color w:val="auto"/>
          <w:szCs w:val="21"/>
          <w:highlight w:val="none"/>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投标报价为准。残疾人福利性单位属于小型、微型企业的，不重复享受政策。</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①填报“中小企业声明函”需严格按“工信部联企业〔2011〕300号通知中的《中小企业划型标准规定》进行。</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②若供应商提供的声明函或认定证明为虚假材料，按“政府采购法”相关规定处理并报请政府监管部门给予行政处罚。</w:t>
      </w:r>
      <w:r/>
    </w:p>
    <w:p>
      <w:pPr>
        <w:ind w:firstLine="420"/>
        <w:spacing w:line="400" w:lineRule="exact"/>
        <w:shd w:val="clear" w:color="auto"/>
        <w:tabs>
          <w:tab w:val="left" w:pos="851" w:leader="none"/>
        </w:tabs>
        <w:rPr>
          <w:rFonts w:ascii="宋体" w:hAnsi="宋体" w:cs="宋体"/>
          <w:b/>
          <w:bCs/>
          <w:color w:val="auto"/>
          <w:szCs w:val="21"/>
          <w:highlight w:val="none"/>
        </w:rPr>
      </w:pPr>
      <w:r>
        <w:rPr>
          <w:rFonts w:hint="eastAsia" w:ascii="宋体" w:hAnsi="宋体" w:cs="宋体"/>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工业。</w:t>
      </w:r>
      <w:bookmarkEnd w:id="47"/>
      <w:r/>
      <w:r/>
    </w:p>
    <w:p>
      <w:pPr>
        <w:ind w:firstLine="422"/>
        <w:spacing w:line="400" w:lineRule="exact"/>
        <w:shd w:val="clear" w:color="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.政府采购中实施本国产品标准及相关政策</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投标人为该采购项目或者采购包提供的符合本国产品标准的产品成本之和占该投标人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（3）投标人需按照招标文件的要求提供《》（以下简称《声明函》），如不提供将不享受本国产品价格评审优惠。</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tabs>
          <w:tab w:val="left" w:pos="851" w:leader="none"/>
        </w:tabs>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numPr>
          <w:ilvl w:val="0"/>
          <w:numId w:val="11"/>
        </w:numPr>
        <w:ind w:firstLine="422"/>
        <w:keepLines w:val="0"/>
        <w:keepNext w:val="0"/>
        <w:pageBreakBefore w:val="0"/>
        <w:spacing w:line="36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w:t>
      </w:r>
      <w:r>
        <w:rPr>
          <w:rFonts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%（权重），其它分值占总分值的比重为</w:t>
      </w:r>
      <w:r>
        <w:rPr>
          <w:rFonts w:hint="eastAsia" w:ascii="宋体" w:hAnsi="宋体" w:cs="宋体"/>
          <w:color w:val="auto"/>
          <w:szCs w:val="21"/>
          <w:highlight w:val="none"/>
          <w:lang w:val="en-US" w:eastAsia="zh-CN"/>
        </w:rPr>
        <w:t xml:space="preserve">70</w:t>
      </w:r>
      <w:r>
        <w:rPr>
          <w:rFonts w:hint="eastAsia" w:ascii="宋体" w:hAnsi="宋体" w:cs="宋体"/>
          <w:color w:val="auto"/>
          <w:szCs w:val="21"/>
          <w:highlight w:val="none"/>
        </w:rPr>
        <w:t xml:space="preserve">%（权重）。</w:t>
      </w:r>
      <w:r/>
    </w:p>
    <w:p>
      <w:pPr>
        <w:ind w:firstLine="422"/>
        <w:spacing w:line="400" w:lineRule="exact"/>
        <w:shd w:val="clear" w:color="auto"/>
        <w:rPr>
          <w:rFonts w:ascii="宋体" w:hAnsi="宋体" w:cs="宋体"/>
          <w:color w:val="auto"/>
          <w:szCs w:val="21"/>
          <w:highlight w:val="none"/>
        </w:rPr>
      </w:pPr>
      <w:r>
        <w:rPr>
          <w:rFonts w:hint="eastAsia" w:ascii="宋体" w:hAnsi="宋体" w:cs="宋体"/>
          <w:b/>
          <w:color w:val="auto"/>
          <w:szCs w:val="21"/>
          <w:highlight w:val="none"/>
        </w:rPr>
        <w:t xml:space="preserve">（一）报价得分（3</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分）</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1.投标总报价低于或等于最高限价的，为有效投标报价。超最高限价的投标报价为无效投标报价。无效投标报价的投标文件不进行评审，也不得标。</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价格分采用低价优先法计算，即满足招标文件要求且投标价格最低的投标报价为评标基准价，其价格分为满分</w:t>
      </w:r>
      <w:r>
        <w:rPr>
          <w:rFonts w:hint="eastAsia" w:ascii="宋体" w:hAnsi="宋体"/>
          <w:color w:val="auto"/>
          <w:szCs w:val="24"/>
          <w:highlight w:val="none"/>
        </w:rPr>
        <w:t xml:space="preserve">。</w:t>
      </w:r>
      <w:r>
        <w:rPr>
          <w:rFonts w:hint="eastAsia" w:ascii="宋体" w:hAnsi="宋体" w:cs="宋体"/>
          <w:color w:val="auto"/>
          <w:szCs w:val="21"/>
          <w:highlight w:val="none"/>
        </w:rPr>
        <w:t xml:space="preserve">其他投标单位的价格分统一按照下列公式计算（计算结果四舍五入保留两位小数）：</w:t>
      </w:r>
      <w:r/>
    </w:p>
    <w:p>
      <w:pPr>
        <w:ind w:firstLine="420"/>
        <w:spacing w:line="400" w:lineRule="exact"/>
        <w:shd w:val="clear" w:color="auto"/>
        <w:rPr>
          <w:rFonts w:ascii="宋体" w:hAnsi="宋体" w:cs="宋体"/>
          <w:b/>
          <w:bCs/>
          <w:color w:val="auto"/>
          <w:szCs w:val="21"/>
          <w:highlight w:val="none"/>
        </w:rPr>
      </w:pPr>
      <w:r>
        <w:rPr>
          <w:rFonts w:hint="eastAsia" w:ascii="宋体" w:hAnsi="宋体"/>
          <w:b/>
          <w:bCs/>
          <w:color w:val="auto"/>
          <w:highlight w:val="none"/>
        </w:rPr>
        <w:t xml:space="preserve">投标</w:t>
      </w:r>
      <w:r>
        <w:rPr>
          <w:rFonts w:ascii="宋体" w:hAnsi="宋体"/>
          <w:b/>
          <w:bCs/>
          <w:color w:val="auto"/>
          <w:highlight w:val="none"/>
        </w:rPr>
        <w:t xml:space="preserve">报价得分=</w:t>
      </w:r>
      <w:r>
        <w:rPr>
          <w:rFonts w:hint="eastAsia" w:ascii="宋体" w:hAnsi="宋体" w:cs="宋体"/>
          <w:b/>
          <w:bCs/>
          <w:color w:val="auto"/>
          <w:szCs w:val="21"/>
          <w:highlight w:val="none"/>
        </w:rPr>
        <w:t xml:space="preserve">（评标基准价/投标报价）</w:t>
      </w:r>
      <w:r>
        <w:rPr>
          <w:rFonts w:ascii="宋体" w:hAnsi="宋体"/>
          <w:b/>
          <w:bCs/>
          <w:color w:val="auto"/>
          <w:highlight w:val="none"/>
        </w:rPr>
        <w:t xml:space="preserve">×价格权值</w:t>
      </w:r>
      <w:r>
        <w:rPr>
          <w:rFonts w:hint="eastAsia" w:ascii="宋体" w:hAnsi="宋体"/>
          <w:b/>
          <w:bCs/>
          <w:color w:val="auto"/>
          <w:highlight w:val="none"/>
        </w:rPr>
        <w:t xml:space="preserve">（3</w:t>
      </w:r>
      <w:r>
        <w:rPr>
          <w:rFonts w:hint="eastAsia" w:ascii="宋体" w:hAnsi="宋体"/>
          <w:b/>
          <w:bCs/>
          <w:color w:val="auto"/>
          <w:highlight w:val="none"/>
          <w:lang w:val="en-US" w:eastAsia="zh-CN"/>
        </w:rPr>
        <w:t xml:space="preserve">0</w:t>
      </w:r>
      <w:r>
        <w:rPr>
          <w:rFonts w:hint="eastAsia" w:ascii="宋体" w:hAnsi="宋体"/>
          <w:b/>
          <w:bCs/>
          <w:color w:val="auto"/>
          <w:highlight w:val="none"/>
        </w:rPr>
        <w:t xml:space="preserve">%）</w:t>
      </w:r>
      <w:r>
        <w:rPr>
          <w:rFonts w:ascii="宋体" w:hAnsi="宋体"/>
          <w:b/>
          <w:bCs/>
          <w:color w:val="auto"/>
          <w:highlight w:val="none"/>
        </w:rPr>
        <w:t xml:space="preserve">×100</w:t>
      </w:r>
      <w:r>
        <w:rPr>
          <w:rFonts w:hint="eastAsia" w:ascii="宋体" w:hAnsi="宋体" w:cs="宋体"/>
          <w:b/>
          <w:bCs/>
          <w:color w:val="auto"/>
          <w:szCs w:val="21"/>
          <w:highlight w:val="none"/>
        </w:rPr>
        <w:t xml:space="preserve">。</w:t>
      </w:r>
      <w:r/>
    </w:p>
    <w:p>
      <w:pPr>
        <w:ind w:firstLine="422"/>
        <w:spacing w:line="400" w:lineRule="exact"/>
        <w:shd w:val="clear" w:color="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.根据《苏财购〔2025〕62号》文，评审委员会启动异常低价投标（响应）审查的情形和具体要求，包括：</w:t>
      </w:r>
      <w:r/>
    </w:p>
    <w:p>
      <w:pPr>
        <w:ind w:firstLine="422"/>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A、评审过程中出现下列情形之一的【采购预算与最高限价一致的按照序号（1）】，评审委员会应当启动异常低价投标（响应）审查程序：</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③投标（响应）报价低于采购项目最高限价45%的，即投标（响应）报价&lt;采购项目最高限价×45%；</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④评审委员会基于专业判断，认为供应商报价过低，有可能影响产品质量或者不能诚信履约的其他情形。</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采购人可以结合具体项目实际情况，提高上述第1项至第3项中启动异常低价投标（响应）审查的数值标准，但是最高不得超过65%。</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相关法律法规对供应商报价有规定的，从其规定。</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（二）投标产品技术质量情况（18分）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产品的技术参数全部满足或优于采购要求的得最高分18分；标“▲”的参数每负偏离一项扣1分（其中核心产品标“▲”的参数每负偏离一项扣1.5分），其他参数每负偏离一项扣0.5分，扣完为止。投标文件中提供技术响应对照表。（标“▲”产品需提供技术参数要求的相应材料并提供标“▲”产品用于本项目的原厂售后服务承诺函原件扫描件，不提供或不按要求提供不得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（三）项目技术方案情况（</w:t>
      </w:r>
      <w:r>
        <w:rPr>
          <w:rFonts w:hint="eastAsia" w:ascii="宋体" w:hAnsi="宋体" w:cs="宋体"/>
          <w:b/>
          <w:bCs/>
          <w:color w:val="auto"/>
          <w:sz w:val="21"/>
          <w:szCs w:val="21"/>
          <w:highlight w:val="none"/>
          <w:lang w:val="en-US" w:eastAsia="zh-CN"/>
        </w:rPr>
        <w:t xml:space="preserve">39</w:t>
      </w:r>
      <w:r>
        <w:rPr>
          <w:rFonts w:hint="eastAsia" w:ascii="宋体" w:hAnsi="宋体" w:eastAsia="宋体" w:cs="宋体"/>
          <w:b/>
          <w:bCs/>
          <w:color w:val="auto"/>
          <w:sz w:val="21"/>
          <w:szCs w:val="21"/>
          <w:highlight w:val="none"/>
          <w:lang w:val="en-US" w:eastAsia="zh-CN"/>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1、项目理解与总体技术方案（8分）</w:t>
      </w:r>
      <w:r/>
    </w:p>
    <w:p>
      <w:pPr>
        <w:ind w:left="0" w:firstLine="420"/>
        <w:spacing w:line="360" w:lineRule="auto"/>
        <w:shd w:val="clear" w:color="auto"/>
        <w:rPr>
          <w:rFonts w:ascii="宋体" w:hAnsi="宋体"/>
          <w:bCs/>
          <w:color w:val="auto"/>
          <w:sz w:val="21"/>
          <w:szCs w:val="22"/>
          <w:highlight w:val="none"/>
        </w:rPr>
      </w:pPr>
      <w:r>
        <w:rPr>
          <w:rFonts w:hint="eastAsia" w:ascii="宋体" w:hAnsi="宋体" w:eastAsia="宋体" w:cs="宋体"/>
          <w:color w:val="auto"/>
          <w:sz w:val="21"/>
          <w:szCs w:val="21"/>
          <w:highlight w:val="none"/>
          <w:lang w:val="en-US" w:eastAsia="zh-CN"/>
        </w:rPr>
        <w:t xml:space="preserve">投标人对本项目有充分的理解，在本次招标范围内结合项目总体现状，提供总体技术方案包括：现状及需求分析（包含现有业务架构、数据库架构、服务器存储架构、虚拟化平台架构、网络及安全架构）、整体方案设计（包含本次项目内所有设备架构设计、与利旧设备无缝对接设计、上级</w:t>
      </w:r>
      <w:r>
        <w:rPr>
          <w:rFonts w:hint="eastAsia" w:ascii="宋体" w:hAnsi="宋体" w:cs="宋体"/>
          <w:color w:val="auto"/>
          <w:sz w:val="21"/>
          <w:szCs w:val="21"/>
          <w:highlight w:val="none"/>
          <w:lang w:val="en-US" w:eastAsia="zh-CN"/>
        </w:rPr>
        <w:t xml:space="preserve">部门及医共体</w:t>
      </w:r>
      <w:r>
        <w:rPr>
          <w:rFonts w:hint="eastAsia" w:ascii="宋体" w:hAnsi="宋体" w:eastAsia="宋体" w:cs="宋体"/>
          <w:color w:val="auto"/>
          <w:sz w:val="21"/>
          <w:szCs w:val="21"/>
          <w:highlight w:val="none"/>
          <w:lang w:val="en-US" w:eastAsia="zh-CN"/>
        </w:rPr>
        <w:t xml:space="preserve">数据对接方案。</w:t>
      </w:r>
      <w:r>
        <w:rPr>
          <w:rFonts w:hint="eastAsia" w:ascii="宋体" w:hAnsi="宋体"/>
          <w:bCs/>
          <w:color w:val="auto"/>
          <w:sz w:val="21"/>
          <w:szCs w:val="22"/>
          <w:highlight w:val="none"/>
        </w:rPr>
        <w:t xml:space="preserve">方案合理、可行性强、操作性强，完全贴合项目实际的得</w:t>
      </w:r>
      <w:r>
        <w:rPr>
          <w:rFonts w:ascii="宋体" w:hAnsi="宋体"/>
          <w:bCs/>
          <w:color w:val="auto"/>
          <w:sz w:val="21"/>
          <w:szCs w:val="22"/>
          <w:highlight w:val="none"/>
        </w:rPr>
        <w:t xml:space="preserve">8</w:t>
      </w:r>
      <w:r>
        <w:rPr>
          <w:rFonts w:hint="eastAsia" w:ascii="宋体" w:hAnsi="宋体"/>
          <w:bCs/>
          <w:color w:val="auto"/>
          <w:sz w:val="21"/>
          <w:szCs w:val="22"/>
          <w:highlight w:val="none"/>
        </w:rPr>
        <w:t xml:space="preserve">分；方案较合理、可行性较强、操作性较强，较贴合项目实际的得</w:t>
      </w:r>
      <w:r>
        <w:rPr>
          <w:rFonts w:ascii="宋体" w:hAnsi="宋体"/>
          <w:bCs/>
          <w:color w:val="auto"/>
          <w:sz w:val="21"/>
          <w:szCs w:val="22"/>
          <w:highlight w:val="none"/>
        </w:rPr>
        <w:t xml:space="preserve">6</w:t>
      </w:r>
      <w:r>
        <w:rPr>
          <w:rFonts w:hint="eastAsia" w:ascii="宋体" w:hAnsi="宋体"/>
          <w:bCs/>
          <w:color w:val="auto"/>
          <w:sz w:val="21"/>
          <w:szCs w:val="22"/>
          <w:highlight w:val="none"/>
        </w:rPr>
        <w:t xml:space="preserve">分；方案不太合理、可行性欠缺、操作性欠缺，与项目实际贴合度欠缺的得</w:t>
      </w:r>
      <w:r>
        <w:rPr>
          <w:rFonts w:ascii="宋体" w:hAnsi="宋体"/>
          <w:bCs/>
          <w:color w:val="auto"/>
          <w:sz w:val="21"/>
          <w:szCs w:val="22"/>
          <w:highlight w:val="none"/>
        </w:rPr>
        <w:t xml:space="preserve">4</w:t>
      </w:r>
      <w:r>
        <w:rPr>
          <w:rFonts w:hint="eastAsia" w:ascii="宋体" w:hAnsi="宋体"/>
          <w:bCs/>
          <w:color w:val="auto"/>
          <w:sz w:val="21"/>
          <w:szCs w:val="22"/>
          <w:highlight w:val="none"/>
        </w:rPr>
        <w:t xml:space="preserve">分；方案差，与项目实际贴合度差的得</w:t>
      </w:r>
      <w:r>
        <w:rPr>
          <w:rFonts w:ascii="宋体" w:hAnsi="宋体"/>
          <w:bCs/>
          <w:color w:val="auto"/>
          <w:sz w:val="21"/>
          <w:szCs w:val="22"/>
          <w:highlight w:val="none"/>
        </w:rPr>
        <w:t xml:space="preserve">2</w:t>
      </w:r>
      <w:r>
        <w:rPr>
          <w:rFonts w:hint="eastAsia" w:ascii="宋体" w:hAnsi="宋体"/>
          <w:bCs/>
          <w:color w:val="auto"/>
          <w:sz w:val="21"/>
          <w:szCs w:val="22"/>
          <w:highlight w:val="none"/>
        </w:rPr>
        <w:t xml:space="preserve">分；未提供不得分。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2、数据迁移方案（8分）</w:t>
      </w:r>
      <w:r/>
    </w:p>
    <w:p>
      <w:pPr>
        <w:ind w:left="0"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的数据迁移方案应包含完成业务系统的数据迁移工作，要求核心数据迁移过程不能发生业务中断等内容。需提供数据备份方案、数据库迁移方案、虚拟化平台迁移方案、非结构化数据迁移方案、回退及应急方案等。</w:t>
      </w:r>
      <w:r>
        <w:rPr>
          <w:rFonts w:hint="eastAsia" w:ascii="宋体" w:hAnsi="宋体"/>
          <w:bCs/>
          <w:color w:val="auto"/>
          <w:sz w:val="21"/>
          <w:szCs w:val="22"/>
          <w:highlight w:val="none"/>
        </w:rPr>
        <w:t xml:space="preserve">方案合理、可行性强、操作性强，完全贴合项目实际的得</w:t>
      </w:r>
      <w:r>
        <w:rPr>
          <w:rFonts w:ascii="宋体" w:hAnsi="宋体"/>
          <w:bCs/>
          <w:color w:val="auto"/>
          <w:sz w:val="21"/>
          <w:szCs w:val="22"/>
          <w:highlight w:val="none"/>
        </w:rPr>
        <w:t xml:space="preserve">8</w:t>
      </w:r>
      <w:r>
        <w:rPr>
          <w:rFonts w:hint="eastAsia" w:ascii="宋体" w:hAnsi="宋体"/>
          <w:bCs/>
          <w:color w:val="auto"/>
          <w:sz w:val="21"/>
          <w:szCs w:val="22"/>
          <w:highlight w:val="none"/>
        </w:rPr>
        <w:t xml:space="preserve">分；方案较合理、可行性较强、操作性较强，较贴合项目实际的得</w:t>
      </w:r>
      <w:r>
        <w:rPr>
          <w:rFonts w:ascii="宋体" w:hAnsi="宋体"/>
          <w:bCs/>
          <w:color w:val="auto"/>
          <w:sz w:val="21"/>
          <w:szCs w:val="22"/>
          <w:highlight w:val="none"/>
        </w:rPr>
        <w:t xml:space="preserve">6</w:t>
      </w:r>
      <w:r>
        <w:rPr>
          <w:rFonts w:hint="eastAsia" w:ascii="宋体" w:hAnsi="宋体"/>
          <w:bCs/>
          <w:color w:val="auto"/>
          <w:sz w:val="21"/>
          <w:szCs w:val="22"/>
          <w:highlight w:val="none"/>
        </w:rPr>
        <w:t xml:space="preserve">分；方案不太合理、可行性欠缺、操作性欠缺，与项目实际贴合度欠缺的得</w:t>
      </w:r>
      <w:r>
        <w:rPr>
          <w:rFonts w:ascii="宋体" w:hAnsi="宋体"/>
          <w:bCs/>
          <w:color w:val="auto"/>
          <w:sz w:val="21"/>
          <w:szCs w:val="22"/>
          <w:highlight w:val="none"/>
        </w:rPr>
        <w:t xml:space="preserve">4</w:t>
      </w:r>
      <w:r>
        <w:rPr>
          <w:rFonts w:hint="eastAsia" w:ascii="宋体" w:hAnsi="宋体"/>
          <w:bCs/>
          <w:color w:val="auto"/>
          <w:sz w:val="21"/>
          <w:szCs w:val="22"/>
          <w:highlight w:val="none"/>
        </w:rPr>
        <w:t xml:space="preserve">分；方案差，与项目实际贴合度差的得</w:t>
      </w:r>
      <w:r>
        <w:rPr>
          <w:rFonts w:ascii="宋体" w:hAnsi="宋体"/>
          <w:bCs/>
          <w:color w:val="auto"/>
          <w:sz w:val="21"/>
          <w:szCs w:val="22"/>
          <w:highlight w:val="none"/>
        </w:rPr>
        <w:t xml:space="preserve">2</w:t>
      </w:r>
      <w:r>
        <w:rPr>
          <w:rFonts w:hint="eastAsia" w:ascii="宋体" w:hAnsi="宋体"/>
          <w:bCs/>
          <w:color w:val="auto"/>
          <w:sz w:val="21"/>
          <w:szCs w:val="22"/>
          <w:highlight w:val="none"/>
        </w:rPr>
        <w:t xml:space="preserve">分；未提供不得分。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3、项目实施组织、进度计划及进度控制方案（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p>
      <w:pPr>
        <w:ind w:left="0"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投标人针对本项目提供项目实施组织方案及制定的实施进度计划和进度控制方案，包括各阶段重点、难点、风险点分析及应对措施。</w:t>
      </w:r>
      <w:r>
        <w:rPr>
          <w:rFonts w:hint="eastAsia" w:ascii="宋体" w:hAnsi="宋体"/>
          <w:bCs/>
          <w:color w:val="auto"/>
          <w:sz w:val="21"/>
          <w:szCs w:val="22"/>
          <w:highlight w:val="none"/>
        </w:rPr>
        <w:t xml:space="preserve">方案合理、可行性强、操作性强，完全贴合项目实际的得</w:t>
      </w:r>
      <w:r>
        <w:rPr>
          <w:rFonts w:ascii="宋体" w:hAnsi="宋体"/>
          <w:bCs/>
          <w:color w:val="auto"/>
          <w:sz w:val="21"/>
          <w:szCs w:val="22"/>
          <w:highlight w:val="none"/>
        </w:rPr>
        <w:t xml:space="preserve">8</w:t>
      </w:r>
      <w:r>
        <w:rPr>
          <w:rFonts w:hint="eastAsia" w:ascii="宋体" w:hAnsi="宋体"/>
          <w:bCs/>
          <w:color w:val="auto"/>
          <w:sz w:val="21"/>
          <w:szCs w:val="22"/>
          <w:highlight w:val="none"/>
        </w:rPr>
        <w:t xml:space="preserve">分；方案较合理、可行性较强、操作性较强，较贴合项目实际的得</w:t>
      </w:r>
      <w:r>
        <w:rPr>
          <w:rFonts w:ascii="宋体" w:hAnsi="宋体"/>
          <w:bCs/>
          <w:color w:val="auto"/>
          <w:sz w:val="21"/>
          <w:szCs w:val="22"/>
          <w:highlight w:val="none"/>
        </w:rPr>
        <w:t xml:space="preserve">6</w:t>
      </w:r>
      <w:r>
        <w:rPr>
          <w:rFonts w:hint="eastAsia" w:ascii="宋体" w:hAnsi="宋体"/>
          <w:bCs/>
          <w:color w:val="auto"/>
          <w:sz w:val="21"/>
          <w:szCs w:val="22"/>
          <w:highlight w:val="none"/>
        </w:rPr>
        <w:t xml:space="preserve">分；方案不太合理、可行性欠缺、操作性欠缺，与项目实际贴合度欠缺的得</w:t>
      </w:r>
      <w:r>
        <w:rPr>
          <w:rFonts w:ascii="宋体" w:hAnsi="宋体"/>
          <w:bCs/>
          <w:color w:val="auto"/>
          <w:sz w:val="21"/>
          <w:szCs w:val="22"/>
          <w:highlight w:val="none"/>
        </w:rPr>
        <w:t xml:space="preserve">4</w:t>
      </w:r>
      <w:r>
        <w:rPr>
          <w:rFonts w:hint="eastAsia" w:ascii="宋体" w:hAnsi="宋体"/>
          <w:bCs/>
          <w:color w:val="auto"/>
          <w:sz w:val="21"/>
          <w:szCs w:val="22"/>
          <w:highlight w:val="none"/>
        </w:rPr>
        <w:t xml:space="preserve">分；方案差，与项目实际贴合度差的得</w:t>
      </w:r>
      <w:r>
        <w:rPr>
          <w:rFonts w:ascii="宋体" w:hAnsi="宋体"/>
          <w:bCs/>
          <w:color w:val="auto"/>
          <w:sz w:val="21"/>
          <w:szCs w:val="22"/>
          <w:highlight w:val="none"/>
        </w:rPr>
        <w:t xml:space="preserve">2</w:t>
      </w:r>
      <w:r>
        <w:rPr>
          <w:rFonts w:hint="eastAsia" w:ascii="宋体" w:hAnsi="宋体"/>
          <w:bCs/>
          <w:color w:val="auto"/>
          <w:sz w:val="21"/>
          <w:szCs w:val="22"/>
          <w:highlight w:val="none"/>
        </w:rPr>
        <w:t xml:space="preserve">分；未提供不得分。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4、售后服务方案（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p>
      <w:pPr>
        <w:ind w:left="0"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投标人针对本项目提供售后服务方案。安排科学、合理、可行。需要包含售后服务体系、应急响应方案、售后人员安排、故障处理方案、培训方案等。</w:t>
      </w:r>
      <w:r>
        <w:rPr>
          <w:rFonts w:hint="eastAsia" w:ascii="宋体" w:hAnsi="宋体"/>
          <w:bCs/>
          <w:color w:val="auto"/>
          <w:sz w:val="21"/>
          <w:szCs w:val="22"/>
          <w:highlight w:val="none"/>
        </w:rPr>
        <w:t xml:space="preserve">方案合理、可行性强、操作性强，完全贴合项目实际的得</w:t>
      </w:r>
      <w:r>
        <w:rPr>
          <w:rFonts w:ascii="宋体" w:hAnsi="宋体"/>
          <w:bCs/>
          <w:color w:val="auto"/>
          <w:sz w:val="21"/>
          <w:szCs w:val="22"/>
          <w:highlight w:val="none"/>
        </w:rPr>
        <w:t xml:space="preserve">8</w:t>
      </w:r>
      <w:r>
        <w:rPr>
          <w:rFonts w:hint="eastAsia" w:ascii="宋体" w:hAnsi="宋体"/>
          <w:bCs/>
          <w:color w:val="auto"/>
          <w:sz w:val="21"/>
          <w:szCs w:val="22"/>
          <w:highlight w:val="none"/>
        </w:rPr>
        <w:t xml:space="preserve">分；方案较合理、可行性较强、操作性较强，较贴合项目实际的得</w:t>
      </w:r>
      <w:r>
        <w:rPr>
          <w:rFonts w:ascii="宋体" w:hAnsi="宋体"/>
          <w:bCs/>
          <w:color w:val="auto"/>
          <w:sz w:val="21"/>
          <w:szCs w:val="22"/>
          <w:highlight w:val="none"/>
        </w:rPr>
        <w:t xml:space="preserve">6</w:t>
      </w:r>
      <w:r>
        <w:rPr>
          <w:rFonts w:hint="eastAsia" w:ascii="宋体" w:hAnsi="宋体"/>
          <w:bCs/>
          <w:color w:val="auto"/>
          <w:sz w:val="21"/>
          <w:szCs w:val="22"/>
          <w:highlight w:val="none"/>
        </w:rPr>
        <w:t xml:space="preserve">分；方案不太合理、可行性欠缺、操作性欠缺，与项目实际贴合度欠缺的得</w:t>
      </w:r>
      <w:r>
        <w:rPr>
          <w:rFonts w:ascii="宋体" w:hAnsi="宋体"/>
          <w:bCs/>
          <w:color w:val="auto"/>
          <w:sz w:val="21"/>
          <w:szCs w:val="22"/>
          <w:highlight w:val="none"/>
        </w:rPr>
        <w:t xml:space="preserve">4</w:t>
      </w:r>
      <w:r>
        <w:rPr>
          <w:rFonts w:hint="eastAsia" w:ascii="宋体" w:hAnsi="宋体"/>
          <w:bCs/>
          <w:color w:val="auto"/>
          <w:sz w:val="21"/>
          <w:szCs w:val="22"/>
          <w:highlight w:val="none"/>
        </w:rPr>
        <w:t xml:space="preserve">分；方案差，与项目实际贴合度差的得</w:t>
      </w:r>
      <w:r>
        <w:rPr>
          <w:rFonts w:ascii="宋体" w:hAnsi="宋体"/>
          <w:bCs/>
          <w:color w:val="auto"/>
          <w:sz w:val="21"/>
          <w:szCs w:val="22"/>
          <w:highlight w:val="none"/>
        </w:rPr>
        <w:t xml:space="preserve">2</w:t>
      </w:r>
      <w:r>
        <w:rPr>
          <w:rFonts w:hint="eastAsia" w:ascii="宋体" w:hAnsi="宋体"/>
          <w:bCs/>
          <w:color w:val="auto"/>
          <w:sz w:val="21"/>
          <w:szCs w:val="22"/>
          <w:highlight w:val="none"/>
        </w:rPr>
        <w:t xml:space="preserve">分；未提供不得分。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5、网络安全体系方案（</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ind w:left="0"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投标人需根据项目实际需求，提供整体的网络安全体系建设方案。方案应包括：提供信息安全管理体系、信息安全技术体系、信息安全运维体系；针对目前医院存在的各种风险，提供详细的信息安全策略建设。</w:t>
      </w:r>
      <w:r>
        <w:rPr>
          <w:rFonts w:hint="eastAsia" w:ascii="宋体" w:hAnsi="宋体"/>
          <w:bCs/>
          <w:color w:val="auto"/>
          <w:sz w:val="21"/>
          <w:szCs w:val="22"/>
          <w:highlight w:val="none"/>
        </w:rPr>
        <w:t xml:space="preserve">方案合理、可行性强、操作性强，完全贴合项目实际的得</w:t>
      </w:r>
      <w:r>
        <w:rPr>
          <w:rFonts w:hint="eastAsia" w:ascii="宋体" w:hAnsi="宋体"/>
          <w:bCs/>
          <w:color w:val="auto"/>
          <w:sz w:val="21"/>
          <w:szCs w:val="22"/>
          <w:highlight w:val="none"/>
          <w:lang w:val="en-US" w:eastAsia="zh-CN"/>
        </w:rPr>
        <w:t xml:space="preserve">7</w:t>
      </w:r>
      <w:r>
        <w:rPr>
          <w:rFonts w:hint="eastAsia" w:ascii="宋体" w:hAnsi="宋体"/>
          <w:bCs/>
          <w:color w:val="auto"/>
          <w:sz w:val="21"/>
          <w:szCs w:val="22"/>
          <w:highlight w:val="none"/>
        </w:rPr>
        <w:t xml:space="preserve">分；方案较合理、可行性较强、操作性较强，较贴合项目实际的得</w:t>
      </w:r>
      <w:r>
        <w:rPr>
          <w:rFonts w:hint="eastAsia" w:ascii="宋体" w:hAnsi="宋体"/>
          <w:bCs/>
          <w:color w:val="auto"/>
          <w:sz w:val="21"/>
          <w:szCs w:val="22"/>
          <w:highlight w:val="none"/>
          <w:lang w:val="en-US" w:eastAsia="zh-CN"/>
        </w:rPr>
        <w:t xml:space="preserve">5</w:t>
      </w:r>
      <w:r>
        <w:rPr>
          <w:rFonts w:hint="eastAsia" w:ascii="宋体" w:hAnsi="宋体"/>
          <w:bCs/>
          <w:color w:val="auto"/>
          <w:sz w:val="21"/>
          <w:szCs w:val="22"/>
          <w:highlight w:val="none"/>
        </w:rPr>
        <w:t xml:space="preserve">分；方案不太合理、可行性欠缺、操作性欠缺，与项目实际贴合度欠缺的得</w:t>
      </w:r>
      <w:r>
        <w:rPr>
          <w:rFonts w:hint="eastAsia" w:ascii="宋体" w:hAnsi="宋体"/>
          <w:bCs/>
          <w:color w:val="auto"/>
          <w:sz w:val="21"/>
          <w:szCs w:val="22"/>
          <w:highlight w:val="none"/>
          <w:lang w:val="en-US" w:eastAsia="zh-CN"/>
        </w:rPr>
        <w:t xml:space="preserve">3</w:t>
      </w:r>
      <w:r>
        <w:rPr>
          <w:rFonts w:hint="eastAsia" w:ascii="宋体" w:hAnsi="宋体"/>
          <w:bCs/>
          <w:color w:val="auto"/>
          <w:sz w:val="21"/>
          <w:szCs w:val="22"/>
          <w:highlight w:val="none"/>
        </w:rPr>
        <w:t xml:space="preserve">分；方案差，与项目实际贴合度差的得</w:t>
      </w:r>
      <w:r>
        <w:rPr>
          <w:rFonts w:hint="eastAsia" w:ascii="宋体" w:hAnsi="宋体"/>
          <w:bCs/>
          <w:color w:val="auto"/>
          <w:sz w:val="21"/>
          <w:szCs w:val="22"/>
          <w:highlight w:val="none"/>
          <w:lang w:val="en-US" w:eastAsia="zh-CN"/>
        </w:rPr>
        <w:t xml:space="preserve">1</w:t>
      </w:r>
      <w:r>
        <w:rPr>
          <w:rFonts w:hint="eastAsia" w:ascii="宋体" w:hAnsi="宋体"/>
          <w:bCs/>
          <w:color w:val="auto"/>
          <w:sz w:val="21"/>
          <w:szCs w:val="22"/>
          <w:highlight w:val="none"/>
        </w:rPr>
        <w:t xml:space="preserve">分；未提供不得分。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（四）类似项目业绩（2分）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投标人自2023年1月1日至今（时间以合同签订日期为准）具有类似项目业绩的，每提供一个得1分，最高得2分。投标文件中提供完整合同</w:t>
      </w:r>
      <w:r>
        <w:rPr>
          <w:rFonts w:hint="eastAsia" w:ascii="宋体" w:hAnsi="宋体" w:cs="宋体"/>
          <w:color w:val="auto"/>
          <w:sz w:val="21"/>
          <w:szCs w:val="21"/>
          <w:highlight w:val="none"/>
          <w:lang w:val="en-US" w:eastAsia="zh-CN"/>
        </w:rPr>
        <w:t xml:space="preserve">及任意一期的发票</w:t>
      </w:r>
      <w:r>
        <w:rPr>
          <w:rFonts w:hint="eastAsia" w:ascii="宋体" w:hAnsi="宋体" w:eastAsia="宋体" w:cs="宋体"/>
          <w:color w:val="auto"/>
          <w:sz w:val="21"/>
          <w:szCs w:val="21"/>
          <w:highlight w:val="none"/>
          <w:lang w:val="en-US" w:eastAsia="zh-CN"/>
        </w:rPr>
        <w:t xml:space="preserve">扫描件加盖投标人公章，</w:t>
      </w:r>
      <w:r>
        <w:rPr>
          <w:rFonts w:hint="eastAsia" w:ascii="宋体" w:hAnsi="宋体" w:cs="宋体"/>
          <w:color w:val="auto"/>
          <w:sz w:val="21"/>
          <w:szCs w:val="21"/>
          <w:highlight w:val="none"/>
          <w:lang w:val="en-US" w:eastAsia="zh-CN"/>
        </w:rPr>
        <w:t xml:space="preserve">未按要求提供材料的，本项不得分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（五）针对本项目人员配置（</w:t>
      </w: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1、项目负责人（3分）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针对本项目拟派项目负责人（1名</w:t>
      </w:r>
      <w:r>
        <w:rPr>
          <w:rFonts w:hint="eastAsia" w:ascii="宋体" w:hAnsi="宋体" w:cs="宋体"/>
          <w:color w:val="auto"/>
          <w:sz w:val="21"/>
          <w:szCs w:val="21"/>
          <w:highlight w:val="none"/>
          <w:lang w:val="en-US" w:eastAsia="zh-CN"/>
        </w:rPr>
        <w:t xml:space="preserve">，不得兼任本项目其他岗位</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具备以下证书之一得1分，本项最高3分：</w:t>
      </w:r>
      <w:r/>
    </w:p>
    <w:p>
      <w:pPr>
        <w:numPr>
          <w:ilvl w:val="0"/>
          <w:numId w:val="12"/>
        </w:num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信息系统项目管理师（高级，计算机技术与软件专业技术资格（水平））；</w:t>
      </w:r>
      <w:r/>
    </w:p>
    <w:p>
      <w:pPr>
        <w:numPr>
          <w:ilvl w:val="0"/>
          <w:numId w:val="12"/>
        </w:num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售后服务管理师（高级）；</w:t>
      </w:r>
      <w:r/>
    </w:p>
    <w:p>
      <w:pPr>
        <w:numPr>
          <w:ilvl w:val="0"/>
          <w:numId w:val="12"/>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电子信息工程（高级工程师）或数字经济（电子信息）工程（高级工程师）。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2、技术负责人（</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拟派技术负责人（1 名，不得兼任本项目其他岗位），具备以下证书之一得 1 分，本项最高 3 分：</w:t>
      </w:r>
      <w:r/>
    </w:p>
    <w:p>
      <w:pPr>
        <w:numPr>
          <w:ilvl w:val="0"/>
          <w:numId w:val="13"/>
        </w:numPr>
        <w:ind w:left="525" w:firstLine="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高级信创规划管理师证书； </w:t>
      </w:r>
      <w:r/>
    </w:p>
    <w:p>
      <w:pPr>
        <w:numPr>
          <w:ilvl w:val="0"/>
          <w:numId w:val="13"/>
        </w:numPr>
        <w:ind w:left="525"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软件</w:t>
      </w:r>
      <w:r>
        <w:rPr>
          <w:rFonts w:hint="eastAsia" w:ascii="宋体" w:hAnsi="宋体" w:cs="宋体"/>
          <w:color w:val="auto"/>
          <w:sz w:val="21"/>
          <w:szCs w:val="21"/>
          <w:highlight w:val="none"/>
          <w:lang w:val="en-US" w:eastAsia="zh-CN"/>
        </w:rPr>
        <w:t xml:space="preserve">工程师（高级）</w:t>
      </w:r>
      <w:r>
        <w:rPr>
          <w:rFonts w:hint="default" w:ascii="宋体" w:hAnsi="宋体" w:eastAsia="宋体" w:cs="宋体"/>
          <w:color w:val="auto"/>
          <w:sz w:val="21"/>
          <w:szCs w:val="21"/>
          <w:highlight w:val="none"/>
          <w:lang w:val="en-US" w:eastAsia="zh-CN"/>
        </w:rPr>
        <w:t xml:space="preserve">； </w:t>
      </w:r>
      <w:r/>
    </w:p>
    <w:p>
      <w:pPr>
        <w:numPr>
          <w:ilvl w:val="0"/>
          <w:numId w:val="13"/>
        </w:numPr>
        <w:ind w:left="525"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通信工程（高级工程师）或数字经济（通信）工程（高级工程师）</w:t>
      </w:r>
      <w:r>
        <w:rPr>
          <w:rFonts w:hint="default"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3、网络安全负责人（3分）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拟派网络安全负责人（1 名，不得兼任本项目其他岗位），具备以下证书之一得 1 分，本项最高 3 分： </w:t>
      </w:r>
      <w:r/>
    </w:p>
    <w:p>
      <w:pPr>
        <w:numPr>
          <w:ilvl w:val="0"/>
          <w:numId w:val="14"/>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网络安全工程（高级工程师）或数字经济（网络安全）工程（高级工程师）</w:t>
      </w:r>
      <w:r>
        <w:rPr>
          <w:rFonts w:hint="eastAsia" w:ascii="宋体" w:hAnsi="宋体" w:eastAsia="宋体" w:cs="宋体"/>
          <w:color w:val="auto"/>
          <w:sz w:val="21"/>
          <w:szCs w:val="21"/>
          <w:highlight w:val="none"/>
          <w:lang w:val="en-US" w:eastAsia="zh-CN"/>
        </w:rPr>
        <w:t xml:space="preserve">； </w:t>
      </w:r>
      <w:r/>
    </w:p>
    <w:p>
      <w:pPr>
        <w:numPr>
          <w:ilvl w:val="0"/>
          <w:numId w:val="14"/>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网络通信安全管理员证书（三级（高级）及以上）</w:t>
      </w:r>
      <w:r>
        <w:rPr>
          <w:rFonts w:hint="eastAsia" w:ascii="宋体" w:hAnsi="宋体" w:cs="宋体"/>
          <w:color w:val="auto"/>
          <w:sz w:val="21"/>
          <w:szCs w:val="21"/>
          <w:highlight w:val="none"/>
          <w:lang w:val="en-US" w:eastAsia="zh-CN"/>
        </w:rPr>
        <w:t xml:space="preserve">或网络与信息安全管理员</w:t>
      </w:r>
      <w:r>
        <w:rPr>
          <w:rFonts w:hint="eastAsia" w:ascii="宋体" w:hAnsi="宋体" w:eastAsia="宋体" w:cs="宋体"/>
          <w:color w:val="auto"/>
          <w:sz w:val="21"/>
          <w:szCs w:val="21"/>
          <w:highlight w:val="none"/>
          <w:lang w:val="en-US" w:eastAsia="zh-CN"/>
        </w:rPr>
        <w:t xml:space="preserve">（三级（高级）及以上）； </w:t>
      </w:r>
      <w:r/>
    </w:p>
    <w:p>
      <w:pPr>
        <w:numPr>
          <w:ilvl w:val="0"/>
          <w:numId w:val="14"/>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信息系统项目管理师（高级，计算机技术与软件专业技术资格（水平））</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注：项目负责人、技术负责人、网络安全负责人三个岗位须为3名不同人员，不得互相兼任；上述人员</w:t>
      </w:r>
      <w:r>
        <w:rPr>
          <w:rFonts w:hint="eastAsia" w:ascii="宋体" w:hAnsi="宋体" w:eastAsia="宋体" w:cs="宋体"/>
          <w:color w:val="auto"/>
          <w:sz w:val="21"/>
          <w:szCs w:val="21"/>
          <w:highlight w:val="none"/>
          <w:lang w:val="en-US" w:eastAsia="zh-CN"/>
        </w:rPr>
        <w:t xml:space="preserve">投标文件中</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eastAsia="zh-CN"/>
        </w:rPr>
        <w:t xml:space="preserve">提供有效证书扫描件及投标人为其缴纳的</w:t>
      </w:r>
      <w:r>
        <w:rPr>
          <w:rFonts w:hint="eastAsia" w:ascii="宋体" w:hAnsi="宋体" w:cs="宋体"/>
          <w:color w:val="auto"/>
          <w:sz w:val="21"/>
          <w:szCs w:val="21"/>
          <w:highlight w:val="none"/>
          <w:lang w:val="en-US" w:eastAsia="zh-CN"/>
        </w:rPr>
        <w:t xml:space="preserve">近3个月的</w:t>
      </w:r>
      <w:r>
        <w:rPr>
          <w:rFonts w:hint="eastAsia" w:ascii="宋体" w:hAnsi="宋体" w:eastAsia="宋体" w:cs="宋体"/>
          <w:color w:val="auto"/>
          <w:sz w:val="21"/>
          <w:szCs w:val="21"/>
          <w:highlight w:val="none"/>
          <w:lang w:val="en-US" w:eastAsia="zh-CN"/>
        </w:rPr>
        <w:t xml:space="preserve">社保证明材料扫描件并加盖投标人公章</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退休返聘人员可提供退休证 + 聘用合同，可不提供社保证明。）</w:t>
      </w:r>
      <w:r>
        <w:rPr>
          <w:rFonts w:hint="eastAsia" w:ascii="宋体" w:hAnsi="宋体" w:cs="宋体"/>
          <w:color w:val="auto"/>
          <w:sz w:val="21"/>
          <w:szCs w:val="21"/>
          <w:highlight w:val="none"/>
          <w:lang w:val="en-US" w:eastAsia="zh-CN"/>
        </w:rPr>
        <w:t xml:space="preserve">，未按要求提供材料的，本项不得分</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4、项目组其他人员（</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拟派项目组其他人员（除项目负责人、技术负责人、网络安全负责人外，人员不得与前述岗位重复），具备以下证书之一得 1 分，本项最高得 </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1）系统架构设计师（中级及以上，计算机技术与软件专业技术资格（水平））</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2）网络工程师中级及以上</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投标文件中提供有效证书扫描件及投标人为其缴纳的</w:t>
      </w:r>
      <w:r>
        <w:rPr>
          <w:rFonts w:hint="eastAsia" w:ascii="宋体" w:hAnsi="宋体" w:cs="宋体"/>
          <w:color w:val="auto"/>
          <w:sz w:val="21"/>
          <w:szCs w:val="21"/>
          <w:highlight w:val="none"/>
          <w:lang w:val="en-US" w:eastAsia="zh-CN"/>
        </w:rPr>
        <w:t xml:space="preserve">近3个月的</w:t>
      </w:r>
      <w:r>
        <w:rPr>
          <w:rFonts w:hint="eastAsia" w:ascii="宋体" w:hAnsi="宋体" w:eastAsia="宋体" w:cs="宋体"/>
          <w:color w:val="auto"/>
          <w:sz w:val="21"/>
          <w:szCs w:val="21"/>
          <w:highlight w:val="none"/>
          <w:lang w:val="en-US" w:eastAsia="zh-CN"/>
        </w:rPr>
        <w:t xml:space="preserve">社保证明材料扫描件并加盖投标人公章</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退休返聘人员可提供退休证 + 聘用合同，可不提供社保证明。）</w:t>
      </w:r>
      <w:r>
        <w:rPr>
          <w:rFonts w:hint="eastAsia" w:ascii="宋体" w:hAnsi="宋体" w:cs="宋体"/>
          <w:color w:val="auto"/>
          <w:sz w:val="21"/>
          <w:szCs w:val="21"/>
          <w:highlight w:val="none"/>
          <w:lang w:val="en-US" w:eastAsia="zh-CN"/>
        </w:rPr>
        <w:t xml:space="preserve">，未按要求提供材料的，本项不得分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注：1、报价超过采购预算的将不进入综合评审程序，也不得标。</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2、付款步骤、服务期限如有负偏离的不得中标。</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3、针对评分标准中评分的每一条，投标人均应提供相关资料并作出相应说明供评委评判，不提供相关资料的视为不具备该项得分的条件。</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4、投标文件中复印件可用扫描件代替，如因复印件或扫描件模糊，造成无法辨认，该项不得分。招标文件中要求加盖投标单位公章的，可用电子签章代替。</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投标单位必须保证全部投标资料的真实性，采购人有权在采购的任何阶段进行调查和核实，如有虚假或对招标文件所要求说明的情况故意隐瞒或虚报，视为不实质性响应招标文件，为无效投标。已中标的将取消中标资格，并按“提供虚假材料谋取中标、成交”相关处理办法处理。</w:t>
      </w:r>
      <w:r/>
    </w:p>
    <w:p>
      <w:pPr>
        <w:pStyle w:val="77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jc w:val="right"/>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MS Mincho">
    <w:panose1 w:val="02020603050405090304"/>
  </w:font>
  <w:font w:name="Tahoma">
    <w:panose1 w:val="020B0604030504040204"/>
  </w:font>
  <w:font w:name="仿宋">
    <w:panose1 w:val="02010609060101010101"/>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楷体_GB2312">
    <w:panose1 w:val="0201060906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right="360"/>
      <w:rPr>
        <w:rStyle w:val="804"/>
      </w:rPr>
      <w:framePr w:wrap="around" w:vAnchor="text" w:hAnchor="margin" w:xAlign="center" w:y="1"/>
    </w:pPr>
    <w:r>
      <w:rPr>
        <w:rStyle w:val="804"/>
        <w:rFonts w:hint="eastAsia"/>
      </w:rPr>
      <w:t xml:space="preserve">第</w:t>
    </w:r>
    <w:r>
      <w:rPr>
        <w:rStyle w:val="804"/>
      </w:rPr>
      <w:t xml:space="preserve"> </w:t>
    </w:r>
    <w:r>
      <w:fldChar w:fldCharType="begin"/>
    </w:r>
    <w:r>
      <w:rPr>
        <w:rStyle w:val="804"/>
      </w:rPr>
      <w:instrText xml:space="preserve"> PAGE </w:instrText>
    </w:r>
    <w:r>
      <w:fldChar w:fldCharType="separate"/>
    </w:r>
    <w:r>
      <w:rPr>
        <w:rStyle w:val="804"/>
      </w:rPr>
      <w:t xml:space="preserve">34</w:t>
    </w:r>
    <w:r>
      <w:fldChar w:fldCharType="end"/>
    </w:r>
    <w:r>
      <w:rPr>
        <w:rStyle w:val="804"/>
      </w:rPr>
      <w:t xml:space="preserve"> </w:t>
    </w:r>
    <w:r>
      <w:rPr>
        <w:rStyle w:val="804"/>
        <w:rFonts w:hint="eastAsia"/>
      </w:rPr>
      <w:t xml:space="preserve">页</w:t>
    </w:r>
    <w:r/>
  </w:p>
  <w:p>
    <w:pPr>
      <w:pStyle w:val="7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4"/>
      </w:rPr>
      <w:framePr w:wrap="around" w:vAnchor="text" w:hAnchor="margin" w:xAlign="center" w:y="1"/>
    </w:pPr>
    <w:r>
      <w:fldChar w:fldCharType="begin"/>
    </w:r>
    <w:r>
      <w:rPr>
        <w:rStyle w:val="804"/>
      </w:rPr>
      <w:instrText xml:space="preserve">PAGE  </w:instrText>
    </w:r>
    <w:r>
      <w:fldChar w:fldCharType="end"/>
    </w:r>
    <w:r/>
  </w:p>
  <w:p>
    <w:pPr>
      <w:pStyle w:val="783"/>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hint="eastAsia" w:ascii="宋体" w:hAnsi="宋体" w:eastAsia="宋体" w:cs="宋体"/>
        <w:bCs/>
        <w:sz w:val="20"/>
        <w:szCs w:val="21"/>
        <w:u w:val="none"/>
        <w:lang w:eastAsia="zh-CN"/>
      </w:rPr>
    </w:pPr>
    <w:r>
      <w:rPr>
        <w:rFonts w:hint="eastAsia" w:ascii="宋体" w:hAnsi="宋体" w:eastAsia="宋体" w:cs="宋体"/>
        <w:bCs/>
        <w:u w:val="none"/>
      </w:rPr>
      <mc:AlternateContent>
        <mc:Choice Requires="wpg">
          <w:drawing>
            <wp:inline xmlns:wp="http://schemas.openxmlformats.org/drawingml/2006/wordprocessingDrawing" distT="0" distB="0" distL="0" distR="0">
              <wp:extent cx="345440" cy="177800"/>
              <wp:effectExtent l="0" t="0" r="16510" b="12700"/>
              <wp:docPr id="1" name="图片 2" descr="微信图片_2021060821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图片_20210608211302"/>
                      <pic:cNvPicPr>
                        <a:picLocks noChangeAspect="1"/>
                      </pic:cNvPicPr>
                      <pic:nvPr/>
                    </pic:nvPicPr>
                    <pic:blipFill>
                      <a:blip r:embed="rId1"/>
                      <a:srcRect l="0" t="0" r="0" b="9328"/>
                      <a:stretch/>
                    </pic:blipFill>
                    <pic:spPr bwMode="auto">
                      <a:xfrm>
                        <a:off x="0" y="0"/>
                        <a:ext cx="345440" cy="17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2pt;height:14.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Cs/>
        <w:u w:val="none"/>
      </w:rPr>
      <w:t xml:space="preserve"> </w:t>
    </w:r>
    <w:r>
      <w:rPr>
        <w:rFonts w:hint="eastAsia" w:ascii="宋体" w:hAnsi="宋体" w:eastAsia="宋体" w:cs="宋体"/>
        <w:bCs/>
        <w:sz w:val="20"/>
        <w:szCs w:val="21"/>
        <w:u w:val="none"/>
      </w:rPr>
      <w:t xml:space="preserve">苏州永正造价师事务所有限公司 </w:t>
    </w:r>
    <w:r>
      <w:rPr>
        <w:rFonts w:hint="eastAsia" w:ascii="宋体" w:hAnsi="宋体" w:eastAsia="宋体" w:cs="宋体"/>
        <w:sz w:val="20"/>
        <w:szCs w:val="21"/>
        <w:u w:val="none"/>
      </w:rPr>
      <w:t xml:space="preserve"> </w:t>
    </w:r>
    <w:r>
      <w:rPr>
        <w:rFonts w:hint="eastAsia" w:ascii="宋体" w:hAnsi="宋体" w:eastAsia="宋体" w:cs="宋体"/>
        <w:sz w:val="20"/>
        <w:szCs w:val="21"/>
      </w:rPr>
      <w:t xml:space="preserve">                    </w:t>
    </w:r>
    <w:r>
      <w:rPr>
        <w:rFonts w:hint="eastAsia" w:ascii="宋体" w:hAnsi="宋体" w:eastAsia="宋体" w:cs="宋体"/>
        <w:sz w:val="20"/>
        <w:szCs w:val="21"/>
        <w:lang w:val="en-US" w:eastAsia="zh-CN"/>
      </w:rPr>
      <w:t xml:space="preserve">   </w:t>
    </w:r>
    <w:r>
      <w:rPr>
        <w:rFonts w:hint="eastAsia" w:ascii="宋体" w:hAnsi="宋体" w:eastAsia="宋体" w:cs="宋体"/>
        <w:color w:val="auto"/>
        <w:sz w:val="20"/>
        <w:szCs w:val="21"/>
      </w:rPr>
      <w:t xml:space="preserve">标号：</w:t>
    </w:r>
    <w:r>
      <w:rPr>
        <w:rFonts w:hint="eastAsia" w:ascii="Segoe UI" w:hAnsi="Segoe UI" w:eastAsia="Segoe UI" w:cs="Segoe UI"/>
        <w:i w:val="0"/>
        <w:iCs w:val="0"/>
        <w:caps w:val="0"/>
        <w:spacing w:val="0"/>
        <w:sz w:val="21"/>
        <w:szCs w:val="21"/>
        <w:shd w:val="clear" w:color="auto" w:fill="ffffff"/>
        <w:lang w:val="en-US" w:eastAsia="zh-CN"/>
      </w:rPr>
      <w:t xml:space="preserve">JSZC-320509-YZZJ-G2026-0006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hint="eastAsia" w:ascii="Segoe UI" w:hAnsi="Segoe UI" w:eastAsia="Segoe UI" w:cs="Segoe UI"/>
        <w:i w:val="0"/>
        <w:iCs w:val="0"/>
        <w:caps w:val="0"/>
        <w:spacing w:val="0"/>
        <w:sz w:val="21"/>
        <w:szCs w:val="21"/>
        <w:shd w:val="clear" w:color="auto" w:fill="ffffff"/>
        <w:lang w:eastAsia="zh-CN"/>
      </w:rPr>
    </w:pPr>
    <w:r>
      <w:rPr>
        <w:rFonts w:hint="eastAsia" w:ascii="宋体" w:hAnsi="宋体" w:eastAsia="宋体" w:cs="宋体"/>
        <w:bCs/>
        <w:u w:val="none"/>
      </w:rPr>
      <mc:AlternateContent>
        <mc:Choice Requires="wpg">
          <w:drawing>
            <wp:inline xmlns:wp="http://schemas.openxmlformats.org/drawingml/2006/wordprocessingDrawing" distT="0" distB="0" distL="0" distR="0">
              <wp:extent cx="345440" cy="177800"/>
              <wp:effectExtent l="0" t="0" r="16510" b="12700"/>
              <wp:docPr id="2" name="图片 2" descr="微信图片_2021060821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微信图片_20210608211302"/>
                      <pic:cNvPicPr>
                        <a:picLocks noChangeAspect="1"/>
                      </pic:cNvPicPr>
                      <pic:nvPr/>
                    </pic:nvPicPr>
                    <pic:blipFill>
                      <a:blip r:embed="rId1"/>
                      <a:srcRect l="0" t="0" r="0" b="9328"/>
                      <a:stretch/>
                    </pic:blipFill>
                    <pic:spPr bwMode="auto">
                      <a:xfrm>
                        <a:off x="0" y="0"/>
                        <a:ext cx="345440" cy="17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pt;height:14.0pt;mso-wrap-distance-left:0.0pt;mso-wrap-distance-top:0.0pt;mso-wrap-distance-right:0.0pt;mso-wrap-distance-bottom:0.0pt;" stroked="f">
              <v:path textboxrect="0,0,0,0"/>
              <v:imagedata r:id="rId1" o:title=""/>
            </v:shape>
          </w:pict>
        </mc:Fallback>
      </mc:AlternateContent>
    </w:r>
    <w:r>
      <w:rPr>
        <w:rFonts w:hint="eastAsia" w:ascii="Segoe UI" w:hAnsi="Segoe UI" w:eastAsia="Segoe UI" w:cs="Segoe UI"/>
        <w:i w:val="0"/>
        <w:iCs w:val="0"/>
        <w:caps w:val="0"/>
        <w:spacing w:val="0"/>
        <w:sz w:val="21"/>
        <w:szCs w:val="21"/>
        <w:shd w:val="clear" w:color="auto" w:fill="ffffff"/>
      </w:rPr>
      <w:t xml:space="preserve"> 苏州永正造价师事务所有限公司                   </w:t>
    </w:r>
    <w:r>
      <w:rPr>
        <w:rFonts w:hint="eastAsia" w:ascii="Segoe UI" w:hAnsi="Segoe UI" w:eastAsia="宋体" w:cs="Segoe UI"/>
        <w:i w:val="0"/>
        <w:iCs w:val="0"/>
        <w:caps w:val="0"/>
        <w:spacing w:val="0"/>
        <w:sz w:val="21"/>
        <w:szCs w:val="21"/>
        <w:shd w:val="clear" w:color="auto" w:fill="ffffff"/>
        <w:lang w:val="en-US" w:eastAsia="zh-CN"/>
      </w:rPr>
      <w:t xml:space="preserve"> </w:t>
    </w:r>
    <w:r>
      <w:rPr>
        <w:rFonts w:hint="eastAsia" w:ascii="Segoe UI" w:hAnsi="Segoe UI" w:eastAsia="Segoe UI" w:cs="Segoe UI"/>
        <w:i w:val="0"/>
        <w:iCs w:val="0"/>
        <w:caps w:val="0"/>
        <w:spacing w:val="0"/>
        <w:sz w:val="21"/>
        <w:szCs w:val="21"/>
        <w:shd w:val="clear" w:color="auto" w:fill="ffffff"/>
      </w:rPr>
      <w:t xml:space="preserve"> 标号：</w:t>
    </w:r>
    <w:r>
      <w:rPr>
        <w:rFonts w:hint="eastAsia" w:ascii="Segoe UI" w:hAnsi="Segoe UI" w:eastAsia="Segoe UI" w:cs="Segoe UI"/>
        <w:i w:val="0"/>
        <w:iCs w:val="0"/>
        <w:caps w:val="0"/>
        <w:spacing w:val="0"/>
        <w:sz w:val="21"/>
        <w:szCs w:val="21"/>
        <w:shd w:val="clear" w:color="auto" w:fill="ffffff"/>
        <w:lang w:val="en-US" w:eastAsia="zh-CN"/>
      </w:rPr>
      <w:t xml:space="preserve">JSZC-320509-YZZJ-G2026-0006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7"/>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98"/>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83"/>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7">
    <w:multiLevelType w:val="hybridMultilevel"/>
    <w:lvl w:ilvl="0">
      <w:start w:val="1"/>
      <w:numFmt w:val="bullet"/>
      <w:pStyle w:val="101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31"/>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40"/>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0"/>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3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3"/>
  </w:num>
  <w:num w:numId="5">
    <w:abstractNumId w:val="1"/>
  </w:num>
  <w:num w:numId="6">
    <w:abstractNumId w:val="7"/>
  </w:num>
  <w:num w:numId="7">
    <w:abstractNumId w:val="8"/>
  </w:num>
  <w:num w:numId="8">
    <w:abstractNumId w:val="12"/>
  </w:num>
  <w:num w:numId="9">
    <w:abstractNumId w:val="5"/>
  </w:num>
  <w:num w:numId="10">
    <w:abstractNumId w:val="0"/>
  </w:num>
  <w:num w:numId="11">
    <w:abstractNumId w:val="10"/>
  </w:num>
  <w:num w:numId="12">
    <w:abstractNumId w:val="13"/>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basedOn w:val="753"/>
    <w:next w:val="753"/>
    <w:uiPriority w:val="0"/>
    <w:qFormat/>
    <w:pPr>
      <w:keepLines/>
      <w:keepNext/>
      <w:spacing w:before="340" w:after="330" w:line="576" w:lineRule="auto"/>
      <w:outlineLvl w:val="0"/>
    </w:pPr>
    <w:rPr>
      <w:rFonts w:eastAsia="楷体_GB2312"/>
      <w:b/>
      <w:sz w:val="44"/>
      <w:szCs w:val="20"/>
    </w:rPr>
  </w:style>
  <w:style w:type="paragraph" w:styleId="755">
    <w:name w:val="Heading 2"/>
    <w:basedOn w:val="753"/>
    <w:next w:val="753"/>
    <w:uiPriority w:val="0"/>
    <w:qFormat/>
    <w:pPr>
      <w:outlineLvl w:val="1"/>
    </w:pPr>
    <w:rPr>
      <w:rFonts w:ascii="Arial" w:hAnsi="Arial" w:eastAsia="黑体"/>
      <w:b/>
      <w:bCs/>
      <w:color w:val="000000"/>
      <w:spacing w:val="16"/>
      <w:sz w:val="28"/>
      <w:szCs w:val="32"/>
    </w:rPr>
  </w:style>
  <w:style w:type="paragraph" w:styleId="756">
    <w:name w:val="Heading 3"/>
    <w:basedOn w:val="753"/>
    <w:next w:val="753"/>
    <w:uiPriority w:val="0"/>
    <w:qFormat/>
    <w:pPr>
      <w:ind w:left="478" w:right="238"/>
      <w:outlineLvl w:val="2"/>
    </w:pPr>
    <w:rPr>
      <w:rFonts w:ascii="宋体"/>
      <w:b/>
      <w:bCs/>
      <w:color w:val="000000"/>
      <w:spacing w:val="40"/>
      <w:sz w:val="24"/>
      <w:szCs w:val="32"/>
    </w:rPr>
  </w:style>
  <w:style w:type="paragraph" w:styleId="757">
    <w:name w:val="Heading 4"/>
    <w:basedOn w:val="753"/>
    <w:next w:val="753"/>
    <w:uiPriority w:val="0"/>
    <w:qFormat/>
    <w:pPr>
      <w:ind w:left="600" w:firstLine="357"/>
      <w:outlineLvl w:val="3"/>
    </w:pPr>
    <w:rPr>
      <w:rFonts w:ascii="宋体" w:hAnsi="宋体"/>
      <w:color w:val="000000"/>
      <w:sz w:val="24"/>
      <w:szCs w:val="28"/>
      <w:u w:val="single"/>
    </w:rPr>
  </w:style>
  <w:style w:type="paragraph" w:styleId="758">
    <w:name w:val="Heading 5"/>
    <w:basedOn w:val="753"/>
    <w:next w:val="766"/>
    <w:uiPriority w:val="0"/>
    <w:qFormat/>
    <w:pPr>
      <w:jc w:val="left"/>
      <w:keepLines/>
      <w:keepNext/>
      <w:outlineLvl w:val="4"/>
    </w:pPr>
    <w:rPr>
      <w:rFonts w:ascii="Arial" w:hAnsi="Arial" w:eastAsia="黑体" w:cs="Arial"/>
      <w:b/>
      <w:bCs/>
      <w:sz w:val="28"/>
      <w:szCs w:val="28"/>
    </w:rPr>
  </w:style>
  <w:style w:type="paragraph" w:styleId="759">
    <w:name w:val="Heading 6"/>
    <w:basedOn w:val="753"/>
    <w:next w:val="753"/>
    <w:link w:val="816"/>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8"/>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9"/>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Indent"/>
    <w:basedOn w:val="753"/>
    <w:next w:val="753"/>
    <w:link w:val="1049"/>
    <w:uiPriority w:val="0"/>
    <w:qFormat/>
    <w:pPr>
      <w:ind w:firstLine="425"/>
      <w:spacing w:line="360" w:lineRule="auto"/>
    </w:pPr>
    <w:rPr>
      <w:sz w:val="24"/>
    </w:rPr>
  </w:style>
  <w:style w:type="paragraph" w:styleId="766">
    <w:name w:val="Normal Indent"/>
    <w:basedOn w:val="753"/>
    <w:link w:val="958"/>
    <w:uiPriority w:val="0"/>
    <w:qFormat/>
    <w:pPr>
      <w:ind w:firstLine="420"/>
      <w:jc w:val="left"/>
    </w:pPr>
    <w:rPr>
      <w:rFonts w:eastAsia="楷体_GB2312"/>
      <w:sz w:val="24"/>
      <w:szCs w:val="20"/>
    </w:rPr>
  </w:style>
  <w:style w:type="paragraph" w:styleId="767">
    <w:name w:val="toc 7"/>
    <w:basedOn w:val="754"/>
    <w:next w:val="753"/>
    <w:uiPriority w:val="0"/>
    <w:qFormat/>
    <w:pPr>
      <w:ind w:left="1640" w:firstLine="3784"/>
      <w:spacing w:before="0" w:after="0" w:line="360" w:lineRule="auto"/>
    </w:pPr>
  </w:style>
  <w:style w:type="paragraph" w:styleId="768">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Document Map"/>
    <w:basedOn w:val="753"/>
    <w:uiPriority w:val="0"/>
    <w:qFormat/>
    <w:rPr>
      <w:rFonts w:ascii="宋体"/>
      <w:sz w:val="18"/>
      <w:szCs w:val="18"/>
    </w:rPr>
  </w:style>
  <w:style w:type="paragraph" w:styleId="770">
    <w:name w:val="annotation text"/>
    <w:basedOn w:val="753"/>
    <w:uiPriority w:val="0"/>
    <w:qFormat/>
    <w:pPr>
      <w:jc w:val="left"/>
    </w:pPr>
  </w:style>
  <w:style w:type="paragraph" w:styleId="771">
    <w:name w:val="Body Text 3"/>
    <w:basedOn w:val="753"/>
    <w:uiPriority w:val="0"/>
    <w:qFormat/>
    <w:rPr>
      <w:color w:val="0000ff"/>
    </w:rPr>
  </w:style>
  <w:style w:type="paragraph" w:styleId="772">
    <w:name w:val="Body Text"/>
    <w:basedOn w:val="753"/>
    <w:link w:val="959"/>
    <w:uiPriority w:val="0"/>
    <w:qFormat/>
    <w:rPr>
      <w:sz w:val="24"/>
    </w:rPr>
  </w:style>
  <w:style w:type="paragraph" w:styleId="773">
    <w:name w:val="List 2"/>
    <w:basedOn w:val="754"/>
    <w:next w:val="767"/>
    <w:uiPriority w:val="0"/>
    <w:qFormat/>
    <w:pPr>
      <w:ind w:left="100" w:firstLine="3640"/>
      <w:spacing w:before="0" w:after="0" w:line="240" w:lineRule="auto"/>
    </w:pPr>
  </w:style>
  <w:style w:type="paragraph" w:styleId="774">
    <w:name w:val="Block Text"/>
    <w:basedOn w:val="753"/>
    <w:uiPriority w:val="0"/>
    <w:qFormat/>
    <w:pPr>
      <w:ind w:left="630" w:right="-609" w:firstLine="420"/>
      <w:spacing w:line="360" w:lineRule="auto"/>
    </w:pPr>
    <w:rPr>
      <w:rFonts w:hint="eastAsia" w:ascii="仿宋_GB2312" w:eastAsia="仿宋_GB2312"/>
      <w:szCs w:val="20"/>
    </w:rPr>
  </w:style>
  <w:style w:type="paragraph" w:styleId="775">
    <w:name w:val="toc 5"/>
    <w:basedOn w:val="753"/>
    <w:next w:val="753"/>
    <w:uiPriority w:val="39"/>
    <w:unhideWhenUsed/>
    <w:qFormat/>
    <w:pPr>
      <w:ind w:left="1134" w:right="0" w:firstLine="0"/>
      <w:spacing w:after="57"/>
    </w:pPr>
  </w:style>
  <w:style w:type="paragraph" w:styleId="776">
    <w:name w:val="toc 3"/>
    <w:basedOn w:val="753"/>
    <w:next w:val="753"/>
    <w:uiPriority w:val="39"/>
    <w:unhideWhenUsed/>
    <w:qFormat/>
    <w:pPr>
      <w:ind w:left="567" w:right="0" w:firstLine="0"/>
      <w:spacing w:after="57"/>
    </w:pPr>
  </w:style>
  <w:style w:type="paragraph" w:styleId="777">
    <w:name w:val="Plain Text"/>
    <w:basedOn w:val="753"/>
    <w:link w:val="960"/>
    <w:uiPriority w:val="99"/>
    <w:qFormat/>
    <w:rPr>
      <w:rFonts w:ascii="宋体" w:hAnsi="Courier New" w:eastAsia="楷体_GB2312"/>
      <w:sz w:val="26"/>
      <w:szCs w:val="20"/>
    </w:rPr>
  </w:style>
  <w:style w:type="paragraph" w:styleId="778">
    <w:name w:val="toc 8"/>
    <w:basedOn w:val="753"/>
    <w:next w:val="753"/>
    <w:uiPriority w:val="39"/>
    <w:unhideWhenUsed/>
    <w:qFormat/>
    <w:pPr>
      <w:ind w:left="1984" w:right="0" w:firstLine="0"/>
      <w:spacing w:after="57"/>
    </w:pPr>
  </w:style>
  <w:style w:type="paragraph" w:styleId="779">
    <w:name w:val="Date"/>
    <w:basedOn w:val="753"/>
    <w:next w:val="753"/>
    <w:link w:val="961"/>
    <w:uiPriority w:val="0"/>
    <w:qFormat/>
    <w:rPr>
      <w:rFonts w:ascii="宋体" w:hAnsi="宋体" w:eastAsia="楷体_GB2312"/>
      <w:sz w:val="24"/>
      <w:szCs w:val="20"/>
    </w:rPr>
  </w:style>
  <w:style w:type="paragraph" w:styleId="780">
    <w:name w:val="Body Text Indent 2"/>
    <w:basedOn w:val="753"/>
    <w:uiPriority w:val="0"/>
    <w:qFormat/>
    <w:pPr>
      <w:ind w:firstLine="540"/>
      <w:spacing w:line="360" w:lineRule="auto"/>
    </w:pPr>
    <w:rPr>
      <w:rFonts w:ascii="宋体" w:hAnsi="宋体"/>
      <w:sz w:val="24"/>
    </w:rPr>
  </w:style>
  <w:style w:type="paragraph" w:styleId="781">
    <w:name w:val="endnote text"/>
    <w:basedOn w:val="753"/>
    <w:link w:val="956"/>
    <w:uiPriority w:val="99"/>
    <w:semiHidden/>
    <w:unhideWhenUsed/>
    <w:qFormat/>
    <w:pPr>
      <w:spacing w:after="0" w:line="240" w:lineRule="auto"/>
    </w:pPr>
    <w:rPr>
      <w:sz w:val="20"/>
    </w:rPr>
  </w:style>
  <w:style w:type="paragraph" w:styleId="782">
    <w:name w:val="Balloon Text"/>
    <w:basedOn w:val="753"/>
    <w:uiPriority w:val="0"/>
    <w:qFormat/>
    <w:rPr>
      <w:sz w:val="18"/>
      <w:szCs w:val="18"/>
    </w:rPr>
  </w:style>
  <w:style w:type="paragraph" w:styleId="783">
    <w:name w:val="Footer"/>
    <w:basedOn w:val="753"/>
    <w:uiPriority w:val="0"/>
    <w:qFormat/>
    <w:pPr>
      <w:jc w:val="left"/>
      <w:tabs>
        <w:tab w:val="center" w:pos="4153" w:leader="none"/>
        <w:tab w:val="right" w:pos="8306" w:leader="none"/>
      </w:tabs>
    </w:pPr>
    <w:rPr>
      <w:rFonts w:eastAsia="楷体_GB2312"/>
      <w:sz w:val="18"/>
      <w:szCs w:val="20"/>
    </w:rPr>
  </w:style>
  <w:style w:type="paragraph" w:styleId="784">
    <w:name w:val="envelope return"/>
    <w:basedOn w:val="753"/>
    <w:uiPriority w:val="0"/>
    <w:qFormat/>
    <w:rPr>
      <w:rFonts w:ascii="Arial" w:hAnsi="Arial"/>
    </w:rPr>
  </w:style>
  <w:style w:type="paragraph" w:styleId="785">
    <w:name w:val="Header"/>
    <w:basedOn w:val="753"/>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786">
    <w:name w:val="toc 1"/>
    <w:basedOn w:val="753"/>
    <w:next w:val="753"/>
    <w:uiPriority w:val="39"/>
    <w:qFormat/>
    <w:pPr>
      <w:jc w:val="left"/>
      <w:spacing w:line="360" w:lineRule="auto"/>
      <w:tabs>
        <w:tab w:val="right" w:pos="8302" w:leader="dot"/>
      </w:tabs>
    </w:pPr>
    <w:rPr>
      <w:rFonts w:ascii="宋体" w:hAnsi="宋体"/>
      <w:sz w:val="18"/>
      <w:szCs w:val="21"/>
    </w:rPr>
  </w:style>
  <w:style w:type="paragraph" w:styleId="787">
    <w:name w:val="toc 4"/>
    <w:basedOn w:val="753"/>
    <w:next w:val="753"/>
    <w:uiPriority w:val="0"/>
    <w:qFormat/>
    <w:pPr>
      <w:ind w:left="630"/>
      <w:jc w:val="left"/>
    </w:pPr>
    <w:rPr>
      <w:szCs w:val="21"/>
    </w:rPr>
  </w:style>
  <w:style w:type="paragraph" w:styleId="788">
    <w:name w:val="Subtitle"/>
    <w:basedOn w:val="753"/>
    <w:next w:val="753"/>
    <w:link w:val="822"/>
    <w:uiPriority w:val="11"/>
    <w:qFormat/>
    <w:pPr>
      <w:spacing w:before="200" w:after="200"/>
    </w:pPr>
    <w:rPr>
      <w:sz w:val="24"/>
      <w:szCs w:val="24"/>
    </w:rPr>
  </w:style>
  <w:style w:type="paragraph" w:styleId="789">
    <w:name w:val="footnote text"/>
    <w:basedOn w:val="753"/>
    <w:link w:val="955"/>
    <w:uiPriority w:val="99"/>
    <w:semiHidden/>
    <w:unhideWhenUsed/>
    <w:qFormat/>
    <w:pPr>
      <w:spacing w:after="40" w:line="240" w:lineRule="auto"/>
    </w:pPr>
    <w:rPr>
      <w:sz w:val="18"/>
    </w:rPr>
  </w:style>
  <w:style w:type="paragraph" w:styleId="790">
    <w:name w:val="toc 6"/>
    <w:basedOn w:val="753"/>
    <w:next w:val="753"/>
    <w:uiPriority w:val="39"/>
    <w:unhideWhenUsed/>
    <w:qFormat/>
    <w:pPr>
      <w:ind w:left="1417" w:right="0" w:firstLine="0"/>
      <w:spacing w:after="57"/>
    </w:pPr>
  </w:style>
  <w:style w:type="paragraph" w:styleId="791">
    <w:name w:val="Body Text Indent 3"/>
    <w:basedOn w:val="753"/>
    <w:uiPriority w:val="0"/>
    <w:qFormat/>
    <w:pPr>
      <w:ind w:firstLine="570"/>
      <w:spacing w:line="520" w:lineRule="exact"/>
    </w:pPr>
    <w:rPr>
      <w:rFonts w:ascii="宋体" w:hAnsi="宋体"/>
      <w:bCs/>
      <w:sz w:val="24"/>
      <w:u w:val="single"/>
    </w:rPr>
  </w:style>
  <w:style w:type="paragraph" w:styleId="792">
    <w:name w:val="table of figures"/>
    <w:basedOn w:val="753"/>
    <w:next w:val="753"/>
    <w:uiPriority w:val="99"/>
    <w:unhideWhenUsed/>
    <w:qFormat/>
    <w:pPr>
      <w:spacing w:after="0" w:afterAutospacing="0"/>
    </w:pPr>
  </w:style>
  <w:style w:type="paragraph" w:styleId="793">
    <w:name w:val="toc 2"/>
    <w:basedOn w:val="753"/>
    <w:next w:val="753"/>
    <w:uiPriority w:val="39"/>
    <w:unhideWhenUsed/>
    <w:qFormat/>
    <w:pPr>
      <w:ind w:left="283" w:right="0" w:firstLine="0"/>
      <w:spacing w:after="57"/>
    </w:pPr>
  </w:style>
  <w:style w:type="paragraph" w:styleId="794">
    <w:name w:val="toc 9"/>
    <w:basedOn w:val="753"/>
    <w:next w:val="753"/>
    <w:uiPriority w:val="39"/>
    <w:unhideWhenUsed/>
    <w:qFormat/>
    <w:pPr>
      <w:ind w:left="2268" w:right="0" w:firstLine="0"/>
      <w:spacing w:after="57"/>
    </w:pPr>
  </w:style>
  <w:style w:type="paragraph" w:styleId="795">
    <w:name w:val="Body Text 2"/>
    <w:basedOn w:val="753"/>
    <w:uiPriority w:val="0"/>
    <w:qFormat/>
    <w:pPr>
      <w:spacing w:line="360" w:lineRule="auto"/>
    </w:pPr>
    <w:rPr>
      <w:color w:val="ff0000"/>
    </w:rPr>
  </w:style>
  <w:style w:type="paragraph" w:styleId="796">
    <w:name w:val="Normal (Web)"/>
    <w:basedOn w:val="753"/>
    <w:link w:val="1047"/>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797">
    <w:name w:val="index 1"/>
    <w:basedOn w:val="753"/>
    <w:next w:val="753"/>
    <w:uiPriority w:val="0"/>
    <w:qFormat/>
    <w:rPr>
      <w:rFonts w:ascii="宋体" w:hAnsi="宋体"/>
      <w:sz w:val="10"/>
    </w:rPr>
  </w:style>
  <w:style w:type="paragraph" w:styleId="798">
    <w:name w:val="Title"/>
    <w:basedOn w:val="753"/>
    <w:next w:val="753"/>
    <w:link w:val="962"/>
    <w:uiPriority w:val="0"/>
    <w:qFormat/>
    <w:pPr>
      <w:jc w:val="center"/>
      <w:spacing w:before="360" w:after="360" w:line="360" w:lineRule="auto"/>
      <w:outlineLvl w:val="0"/>
    </w:pPr>
    <w:rPr>
      <w:rFonts w:ascii="Arial" w:hAnsi="Arial" w:eastAsia="黑体"/>
      <w:sz w:val="36"/>
      <w:szCs w:val="20"/>
    </w:rPr>
  </w:style>
  <w:style w:type="paragraph" w:styleId="799">
    <w:name w:val="annotation subject"/>
    <w:basedOn w:val="770"/>
    <w:next w:val="770"/>
    <w:uiPriority w:val="0"/>
    <w:qFormat/>
    <w:rPr>
      <w:b/>
      <w:bCs/>
    </w:rPr>
  </w:style>
  <w:style w:type="paragraph" w:styleId="800">
    <w:name w:val="Body Text First Indent"/>
    <w:basedOn w:val="772"/>
    <w:uiPriority w:val="0"/>
    <w:qFormat/>
    <w:pPr>
      <w:ind w:firstLine="420"/>
      <w:jc w:val="left"/>
      <w:spacing w:after="120"/>
      <w:widowControl/>
    </w:pPr>
  </w:style>
  <w:style w:type="paragraph" w:styleId="801">
    <w:name w:val="Body Text First Indent 2"/>
    <w:basedOn w:val="765"/>
    <w:uiPriority w:val="0"/>
    <w:qFormat/>
    <w:pPr>
      <w:ind w:firstLine="420"/>
    </w:pPr>
  </w:style>
  <w:style w:type="table" w:styleId="802">
    <w:name w:val="Table Grid"/>
    <w:basedOn w:val="7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endnote reference"/>
    <w:basedOn w:val="763"/>
    <w:uiPriority w:val="99"/>
    <w:semiHidden/>
    <w:unhideWhenUsed/>
    <w:qFormat/>
    <w:rPr>
      <w:vertAlign w:val="superscript"/>
    </w:rPr>
  </w:style>
  <w:style w:type="character" w:styleId="804">
    <w:name w:val="page number"/>
    <w:basedOn w:val="763"/>
    <w:uiPriority w:val="0"/>
    <w:qFormat/>
  </w:style>
  <w:style w:type="character" w:styleId="805">
    <w:name w:val="FollowedHyperlink"/>
    <w:uiPriority w:val="0"/>
    <w:qFormat/>
    <w:rPr>
      <w:color w:val="800080"/>
      <w:u w:val="none"/>
    </w:rPr>
  </w:style>
  <w:style w:type="character" w:styleId="806">
    <w:name w:val="Emphasis"/>
    <w:basedOn w:val="763"/>
    <w:uiPriority w:val="0"/>
    <w:qFormat/>
    <w:rPr>
      <w:i/>
    </w:rPr>
  </w:style>
  <w:style w:type="character" w:styleId="807">
    <w:name w:val="Hyperlink"/>
    <w:uiPriority w:val="99"/>
    <w:qFormat/>
    <w:rPr>
      <w:color w:val="0000ff"/>
      <w:u w:val="none"/>
    </w:rPr>
  </w:style>
  <w:style w:type="character" w:styleId="808">
    <w:name w:val="annotation reference"/>
    <w:uiPriority w:val="0"/>
    <w:qFormat/>
    <w:rPr>
      <w:sz w:val="21"/>
      <w:szCs w:val="21"/>
    </w:rPr>
  </w:style>
  <w:style w:type="character" w:styleId="809">
    <w:name w:val="footnote reference"/>
    <w:basedOn w:val="763"/>
    <w:uiPriority w:val="99"/>
    <w:unhideWhenUsed/>
    <w:qFormat/>
    <w:rPr>
      <w:vertAlign w:val="superscript"/>
    </w:rPr>
  </w:style>
  <w:style w:type="paragraph" w:styleId="810" w:customStyle="1">
    <w:name w:val="段"/>
    <w:next w:val="753"/>
    <w:uiPriority w:val="0"/>
    <w:qFormat/>
    <w:pPr>
      <w:ind w:firstLine="200"/>
      <w:jc w:val="both"/>
    </w:pPr>
    <w:rPr>
      <w:rFonts w:hint="default" w:ascii="宋体" w:hAnsi="Times New Roman" w:eastAsia="宋体" w:cs="Times New Roman"/>
      <w:sz w:val="21"/>
      <w:lang w:val="en-US" w:eastAsia="zh-CN" w:bidi="ar-SA"/>
    </w:rPr>
  </w:style>
  <w:style w:type="character" w:styleId="811" w:customStyle="1">
    <w:name w:val="Heading 1 Char"/>
    <w:basedOn w:val="763"/>
    <w:uiPriority w:val="9"/>
    <w:qFormat/>
    <w:rPr>
      <w:rFonts w:ascii="Arial" w:hAnsi="Arial" w:eastAsia="Arial" w:cs="Arial"/>
      <w:sz w:val="40"/>
      <w:szCs w:val="40"/>
    </w:rPr>
  </w:style>
  <w:style w:type="character" w:styleId="812" w:customStyle="1">
    <w:name w:val="Heading 2 Char"/>
    <w:basedOn w:val="763"/>
    <w:uiPriority w:val="9"/>
    <w:qFormat/>
    <w:rPr>
      <w:rFonts w:ascii="Arial" w:hAnsi="Arial" w:eastAsia="Arial" w:cs="Arial"/>
      <w:sz w:val="34"/>
    </w:rPr>
  </w:style>
  <w:style w:type="character" w:styleId="813" w:customStyle="1">
    <w:name w:val="Heading 3 Char"/>
    <w:basedOn w:val="763"/>
    <w:uiPriority w:val="9"/>
    <w:qFormat/>
    <w:rPr>
      <w:rFonts w:ascii="Arial" w:hAnsi="Arial" w:eastAsia="Arial" w:cs="Arial"/>
      <w:sz w:val="30"/>
      <w:szCs w:val="30"/>
    </w:rPr>
  </w:style>
  <w:style w:type="character" w:styleId="814" w:customStyle="1">
    <w:name w:val="Heading 4 Char"/>
    <w:basedOn w:val="763"/>
    <w:uiPriority w:val="9"/>
    <w:qFormat/>
    <w:rPr>
      <w:rFonts w:ascii="Arial" w:hAnsi="Arial" w:eastAsia="Arial" w:cs="Arial"/>
      <w:b/>
      <w:bCs/>
      <w:sz w:val="26"/>
      <w:szCs w:val="26"/>
    </w:rPr>
  </w:style>
  <w:style w:type="character" w:styleId="815" w:customStyle="1">
    <w:name w:val="Heading 5 Char"/>
    <w:basedOn w:val="763"/>
    <w:uiPriority w:val="9"/>
    <w:qFormat/>
    <w:rPr>
      <w:rFonts w:ascii="Arial" w:hAnsi="Arial" w:eastAsia="Arial" w:cs="Arial"/>
      <w:b/>
      <w:bCs/>
      <w:sz w:val="24"/>
      <w:szCs w:val="24"/>
    </w:rPr>
  </w:style>
  <w:style w:type="character" w:styleId="816" w:customStyle="1">
    <w:name w:val="Heading 6 Char"/>
    <w:basedOn w:val="763"/>
    <w:link w:val="759"/>
    <w:uiPriority w:val="9"/>
    <w:qFormat/>
    <w:rPr>
      <w:rFonts w:ascii="Arial" w:hAnsi="Arial" w:eastAsia="Arial" w:cs="Arial"/>
      <w:b/>
      <w:bCs/>
      <w:sz w:val="22"/>
      <w:szCs w:val="22"/>
    </w:rPr>
  </w:style>
  <w:style w:type="character" w:styleId="817" w:customStyle="1">
    <w:name w:val="Heading 7 Char"/>
    <w:basedOn w:val="763"/>
    <w:link w:val="760"/>
    <w:uiPriority w:val="9"/>
    <w:qFormat/>
    <w:rPr>
      <w:rFonts w:ascii="Arial" w:hAnsi="Arial" w:eastAsia="Arial" w:cs="Arial"/>
      <w:b/>
      <w:bCs/>
      <w:i/>
      <w:iCs/>
      <w:sz w:val="22"/>
      <w:szCs w:val="22"/>
    </w:rPr>
  </w:style>
  <w:style w:type="character" w:styleId="818" w:customStyle="1">
    <w:name w:val="Heading 8 Char"/>
    <w:basedOn w:val="763"/>
    <w:link w:val="761"/>
    <w:uiPriority w:val="9"/>
    <w:qFormat/>
    <w:rPr>
      <w:rFonts w:ascii="Arial" w:hAnsi="Arial" w:eastAsia="Arial" w:cs="Arial"/>
      <w:i/>
      <w:iCs/>
      <w:sz w:val="22"/>
      <w:szCs w:val="22"/>
    </w:rPr>
  </w:style>
  <w:style w:type="character" w:styleId="819" w:customStyle="1">
    <w:name w:val="Heading 9 Char"/>
    <w:basedOn w:val="763"/>
    <w:link w:val="762"/>
    <w:uiPriority w:val="9"/>
    <w:qFormat/>
    <w:rPr>
      <w:rFonts w:ascii="Arial" w:hAnsi="Arial" w:eastAsia="Arial" w:cs="Arial"/>
      <w:i/>
      <w:iCs/>
      <w:sz w:val="21"/>
      <w:szCs w:val="21"/>
    </w:r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character" w:styleId="821" w:customStyle="1">
    <w:name w:val="Title Char"/>
    <w:basedOn w:val="763"/>
    <w:uiPriority w:val="10"/>
    <w:qFormat/>
    <w:rPr>
      <w:sz w:val="48"/>
      <w:szCs w:val="48"/>
    </w:rPr>
  </w:style>
  <w:style w:type="character" w:styleId="822" w:customStyle="1">
    <w:name w:val="Subtitle Char"/>
    <w:basedOn w:val="763"/>
    <w:link w:val="788"/>
    <w:uiPriority w:val="11"/>
    <w:qFormat/>
    <w:rPr>
      <w:sz w:val="24"/>
      <w:szCs w:val="24"/>
    </w:rPr>
  </w:style>
  <w:style w:type="paragraph" w:styleId="823">
    <w:name w:val="Quote"/>
    <w:basedOn w:val="753"/>
    <w:next w:val="753"/>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53"/>
    <w:next w:val="753"/>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63"/>
    <w:uiPriority w:val="99"/>
    <w:qFormat/>
  </w:style>
  <w:style w:type="character" w:styleId="828" w:customStyle="1">
    <w:name w:val="Footer Char"/>
    <w:basedOn w:val="763"/>
    <w:uiPriority w:val="99"/>
    <w:qFormat/>
  </w:style>
  <w:style w:type="character" w:styleId="829" w:customStyle="1">
    <w:name w:val="Caption Char"/>
    <w:uiPriority w:val="99"/>
    <w:qFormat/>
  </w:style>
  <w:style w:type="table" w:styleId="830" w:customStyle="1">
    <w:name w:val="Table Grid Light"/>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6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6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6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6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6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6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6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6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6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6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6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6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6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6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6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6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6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6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6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6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6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6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6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6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6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6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6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6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6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6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6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6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6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6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6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6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6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6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6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6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6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6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6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6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6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6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6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6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6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6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6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6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6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6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6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6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6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6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6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6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6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6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6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6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6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6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6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6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6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6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6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6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6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6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6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6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link w:val="789"/>
    <w:uiPriority w:val="99"/>
    <w:qFormat/>
    <w:rPr>
      <w:sz w:val="18"/>
    </w:rPr>
  </w:style>
  <w:style w:type="character" w:styleId="956" w:customStyle="1">
    <w:name w:val="Endnote Text Char"/>
    <w:link w:val="781"/>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character" w:styleId="958" w:customStyle="1">
    <w:name w:val="正文缩进 字符"/>
    <w:link w:val="766"/>
    <w:uiPriority w:val="0"/>
    <w:qFormat/>
    <w:rPr>
      <w:rFonts w:eastAsia="楷体_GB2312"/>
      <w:sz w:val="24"/>
    </w:rPr>
  </w:style>
  <w:style w:type="character" w:styleId="959" w:customStyle="1">
    <w:name w:val="正文文本 字符"/>
    <w:link w:val="772"/>
    <w:uiPriority w:val="0"/>
    <w:qFormat/>
    <w:rPr>
      <w:sz w:val="24"/>
      <w:szCs w:val="24"/>
    </w:rPr>
  </w:style>
  <w:style w:type="character" w:styleId="960" w:customStyle="1">
    <w:name w:val="纯文本 字符"/>
    <w:link w:val="777"/>
    <w:uiPriority w:val="99"/>
    <w:qFormat/>
    <w:rPr>
      <w:rFonts w:ascii="宋体" w:hAnsi="Courier New" w:eastAsia="楷体_GB2312"/>
      <w:sz w:val="26"/>
    </w:rPr>
  </w:style>
  <w:style w:type="character" w:styleId="961" w:customStyle="1">
    <w:name w:val="日期 字符"/>
    <w:link w:val="779"/>
    <w:uiPriority w:val="0"/>
    <w:qFormat/>
    <w:rPr>
      <w:rFonts w:ascii="宋体" w:hAnsi="宋体" w:eastAsia="楷体_GB2312"/>
      <w:sz w:val="24"/>
    </w:rPr>
  </w:style>
  <w:style w:type="character" w:styleId="962" w:customStyle="1">
    <w:name w:val="标题 字符"/>
    <w:link w:val="798"/>
    <w:uiPriority w:val="0"/>
    <w:qFormat/>
    <w:rPr>
      <w:rFonts w:ascii="Arial" w:hAnsi="Arial" w:eastAsia="黑体"/>
      <w:sz w:val="36"/>
    </w:rPr>
  </w:style>
  <w:style w:type="paragraph" w:styleId="963" w:customStyle="1">
    <w:name w:val="正文1"/>
    <w:next w:val="753"/>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64" w:customStyle="1">
    <w:name w:val="normal__char1"/>
    <w:uiPriority w:val="0"/>
    <w:qFormat/>
    <w:rPr>
      <w:rFonts w:hint="default" w:ascii="Calibri" w:hAnsi="Calibri"/>
      <w:sz w:val="20"/>
      <w:szCs w:val="20"/>
    </w:rPr>
  </w:style>
  <w:style w:type="character" w:styleId="965" w:customStyle="1">
    <w:name w:val="dash6b63_6587__char1"/>
    <w:uiPriority w:val="0"/>
    <w:qFormat/>
    <w:rPr>
      <w:rFonts w:hint="default" w:ascii="Times New Roman" w:hAnsi="Times New Roman" w:cs="Times New Roman"/>
      <w:sz w:val="20"/>
      <w:szCs w:val="20"/>
      <w:u w:val="none"/>
    </w:rPr>
  </w:style>
  <w:style w:type="character" w:styleId="966" w:customStyle="1">
    <w:name w:val="Plain Text Char Char"/>
    <w:link w:val="967"/>
    <w:uiPriority w:val="0"/>
    <w:qFormat/>
    <w:rPr>
      <w:rFonts w:ascii="宋体" w:hAnsi="Courier New" w:eastAsia="楷体_GB2312"/>
      <w:sz w:val="26"/>
    </w:rPr>
  </w:style>
  <w:style w:type="paragraph" w:styleId="967" w:customStyle="1">
    <w:name w:val="纯文本1"/>
    <w:basedOn w:val="753"/>
    <w:link w:val="966"/>
    <w:uiPriority w:val="0"/>
    <w:qFormat/>
    <w:rPr>
      <w:rFonts w:ascii="宋体" w:hAnsi="Courier New" w:eastAsia="楷体_GB2312"/>
      <w:sz w:val="26"/>
      <w:szCs w:val="20"/>
    </w:rPr>
  </w:style>
  <w:style w:type="character" w:styleId="968" w:customStyle="1">
    <w:name w:val="style14"/>
    <w:basedOn w:val="763"/>
    <w:uiPriority w:val="0"/>
    <w:qFormat/>
  </w:style>
  <w:style w:type="character" w:styleId="969" w:customStyle="1">
    <w:name w:val="Char Char1"/>
    <w:uiPriority w:val="0"/>
    <w:qFormat/>
    <w:rPr>
      <w:rFonts w:ascii="宋体"/>
      <w:sz w:val="18"/>
      <w:szCs w:val="18"/>
    </w:rPr>
  </w:style>
  <w:style w:type="character" w:styleId="970" w:customStyle="1">
    <w:name w:val="ALT+Z Char1"/>
    <w:uiPriority w:val="0"/>
    <w:qFormat/>
    <w:rPr>
      <w:rFonts w:eastAsia="宋体"/>
      <w:sz w:val="24"/>
      <w:szCs w:val="24"/>
      <w:lang w:val="en-US" w:eastAsia="zh-CN" w:bidi="ar-SA"/>
    </w:rPr>
  </w:style>
  <w:style w:type="character" w:styleId="971" w:customStyle="1">
    <w:name w:val="列表段落 字符"/>
    <w:link w:val="972"/>
    <w:uiPriority w:val="34"/>
    <w:qFormat/>
    <w:rPr>
      <w:rFonts w:ascii="Calibri" w:hAnsi="Calibri"/>
      <w:sz w:val="21"/>
      <w:szCs w:val="22"/>
    </w:rPr>
  </w:style>
  <w:style w:type="paragraph" w:styleId="972">
    <w:name w:val="List Paragraph"/>
    <w:basedOn w:val="753"/>
    <w:link w:val="971"/>
    <w:uiPriority w:val="34"/>
    <w:qFormat/>
    <w:pPr>
      <w:ind w:firstLine="420"/>
    </w:pPr>
    <w:rPr>
      <w:rFonts w:ascii="Calibri" w:hAnsi="Calibri"/>
      <w:szCs w:val="22"/>
    </w:rPr>
  </w:style>
  <w:style w:type="character" w:styleId="973" w:customStyle="1">
    <w:name w:val="Andy_正文 Char"/>
    <w:link w:val="974"/>
    <w:uiPriority w:val="0"/>
    <w:qFormat/>
    <w:rPr>
      <w:rFonts w:ascii="Calibri" w:hAnsi="Calibri"/>
      <w:sz w:val="24"/>
      <w:szCs w:val="24"/>
    </w:rPr>
  </w:style>
  <w:style w:type="paragraph" w:styleId="974" w:customStyle="1">
    <w:name w:val="Andy_正文"/>
    <w:basedOn w:val="753"/>
    <w:link w:val="973"/>
    <w:uiPriority w:val="0"/>
    <w:qFormat/>
    <w:pPr>
      <w:ind w:firstLine="480"/>
      <w:spacing w:line="360" w:lineRule="auto"/>
    </w:pPr>
    <w:rPr>
      <w:rFonts w:ascii="Calibri" w:hAnsi="Calibri"/>
      <w:sz w:val="24"/>
    </w:rPr>
  </w:style>
  <w:style w:type="character" w:styleId="975" w:customStyle="1">
    <w:name w:val="grame"/>
    <w:uiPriority w:val="0"/>
    <w:qFormat/>
    <w:rPr>
      <w:sz w:val="21"/>
      <w:szCs w:val="21"/>
    </w:rPr>
  </w:style>
  <w:style w:type="paragraph" w:styleId="976" w:customStyle="1">
    <w:name w:val="dash6b63_6587"/>
    <w:basedOn w:val="753"/>
    <w:uiPriority w:val="0"/>
    <w:qFormat/>
    <w:pPr>
      <w:widowControl/>
    </w:pPr>
    <w:rPr>
      <w:sz w:val="20"/>
      <w:szCs w:val="20"/>
    </w:rPr>
  </w:style>
  <w:style w:type="paragraph" w:styleId="977" w:customStyle="1">
    <w:name w:val="表格"/>
    <w:basedOn w:val="753"/>
    <w:uiPriority w:val="0"/>
    <w:qFormat/>
    <w:pPr>
      <w:ind w:firstLine="42"/>
    </w:pPr>
    <w:rPr>
      <w:rFonts w:ascii="宋体" w:hAnsi="宋体"/>
      <w:sz w:val="20"/>
      <w:szCs w:val="20"/>
    </w:rPr>
  </w:style>
  <w:style w:type="paragraph" w:styleId="978" w:customStyle="1">
    <w:name w:val="xl39"/>
    <w:basedOn w:val="753"/>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79" w:customStyle="1">
    <w:name w:val="列出段落1"/>
    <w:basedOn w:val="753"/>
    <w:uiPriority w:val="34"/>
    <w:qFormat/>
    <w:pPr>
      <w:ind w:firstLine="420"/>
    </w:pPr>
  </w:style>
  <w:style w:type="paragraph" w:styleId="980" w:customStyle="1">
    <w:name w:val="xl25"/>
    <w:basedOn w:val="75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81" w:customStyle="1">
    <w:name w:val="xl35"/>
    <w:basedOn w:val="753"/>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82" w:customStyle="1">
    <w:name w:val="xl30"/>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3" w:customStyle="1">
    <w:name w:val="财政-标题三"/>
    <w:basedOn w:val="753"/>
    <w:uiPriority w:val="0"/>
    <w:qFormat/>
    <w:pPr>
      <w:numPr>
        <w:ilvl w:val="2"/>
        <w:numId w:val="1"/>
      </w:numPr>
      <w:outlineLvl w:val="2"/>
    </w:pPr>
    <w:rPr>
      <w:b/>
      <w:sz w:val="32"/>
      <w:szCs w:val="21"/>
    </w:rPr>
  </w:style>
  <w:style w:type="paragraph" w:styleId="984" w:customStyle="1">
    <w:name w:val="Char"/>
    <w:basedOn w:val="753"/>
    <w:uiPriority w:val="0"/>
    <w:qFormat/>
    <w:rPr>
      <w:rFonts w:ascii="仿宋_GB2312" w:eastAsia="仿宋_GB2312"/>
      <w:b/>
      <w:sz w:val="32"/>
      <w:szCs w:val="32"/>
    </w:rPr>
  </w:style>
  <w:style w:type="paragraph" w:styleId="985" w:customStyle="1">
    <w:name w:val="xl29"/>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86" w:customStyle="1">
    <w:name w:val="xl31"/>
    <w:basedOn w:val="75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7" w:customStyle="1">
    <w:name w:val="font5"/>
    <w:basedOn w:val="753"/>
    <w:uiPriority w:val="0"/>
    <w:qFormat/>
    <w:pPr>
      <w:jc w:val="left"/>
      <w:spacing w:before="100" w:beforeAutospacing="1" w:after="100" w:afterAutospacing="1"/>
      <w:widowControl/>
    </w:pPr>
    <w:rPr>
      <w:rFonts w:hint="eastAsia" w:ascii="宋体" w:hAnsi="宋体"/>
      <w:sz w:val="18"/>
      <w:szCs w:val="18"/>
    </w:rPr>
  </w:style>
  <w:style w:type="paragraph" w:styleId="988" w:customStyle="1">
    <w:name w:val="_正文段落"/>
    <w:basedOn w:val="753"/>
    <w:uiPriority w:val="0"/>
    <w:qFormat/>
    <w:pPr>
      <w:ind w:firstLine="480"/>
      <w:spacing w:line="360" w:lineRule="auto"/>
    </w:pPr>
    <w:rPr>
      <w:rFonts w:ascii="宋体" w:hAnsi="宋体"/>
      <w:sz w:val="24"/>
    </w:rPr>
  </w:style>
  <w:style w:type="paragraph" w:styleId="989" w:customStyle="1">
    <w:name w:val="Char2 Char Char Char"/>
    <w:basedOn w:val="753"/>
    <w:uiPriority w:val="0"/>
    <w:qFormat/>
    <w:pPr>
      <w:jc w:val="left"/>
      <w:spacing w:after="160" w:line="240" w:lineRule="exact"/>
      <w:widowControl/>
    </w:pPr>
    <w:rPr>
      <w:rFonts w:ascii="Verdana" w:hAnsi="Verdana"/>
      <w:sz w:val="20"/>
      <w:szCs w:val="20"/>
      <w:lang w:eastAsia="en-US"/>
    </w:rPr>
  </w:style>
  <w:style w:type="paragraph" w:styleId="990" w:customStyle="1">
    <w:name w:val="四级条标题"/>
    <w:basedOn w:val="991"/>
    <w:next w:val="810"/>
    <w:uiPriority w:val="0"/>
    <w:qFormat/>
    <w:pPr>
      <w:outlineLvl w:val="5"/>
    </w:pPr>
  </w:style>
  <w:style w:type="paragraph" w:styleId="991" w:customStyle="1">
    <w:name w:val="三级条标题"/>
    <w:basedOn w:val="992"/>
    <w:next w:val="810"/>
    <w:uiPriority w:val="0"/>
    <w:qFormat/>
    <w:pPr>
      <w:outlineLvl w:val="4"/>
    </w:pPr>
  </w:style>
  <w:style w:type="paragraph" w:styleId="992" w:customStyle="1">
    <w:name w:val="二级条标题"/>
    <w:basedOn w:val="993"/>
    <w:next w:val="810"/>
    <w:uiPriority w:val="0"/>
    <w:qFormat/>
    <w:pPr>
      <w:outlineLvl w:val="3"/>
    </w:pPr>
  </w:style>
  <w:style w:type="paragraph" w:styleId="993" w:customStyle="1">
    <w:name w:val="一级条标题"/>
    <w:basedOn w:val="754"/>
    <w:next w:val="810"/>
    <w:uiPriority w:val="0"/>
    <w:qFormat/>
    <w:pPr>
      <w:ind w:left="840"/>
      <w:keepLines w:val="0"/>
      <w:keepNext w:val="0"/>
      <w:spacing w:before="0" w:after="0" w:line="240" w:lineRule="auto"/>
      <w:widowControl/>
      <w:outlineLvl w:val="2"/>
    </w:pPr>
    <w:rPr>
      <w:rFonts w:eastAsia="黑体"/>
      <w:b w:val="0"/>
      <w:sz w:val="21"/>
      <w:szCs w:val="21"/>
    </w:rPr>
  </w:style>
  <w:style w:type="paragraph" w:styleId="994" w:customStyle="1">
    <w:name w:val="xl38"/>
    <w:basedOn w:val="753"/>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9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96" w:customStyle="1">
    <w:name w:val="xl33"/>
    <w:basedOn w:val="753"/>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97" w:customStyle="1">
    <w:name w:val="_Style 30"/>
    <w:basedOn w:val="753"/>
    <w:next w:val="777"/>
    <w:uiPriority w:val="0"/>
    <w:qFormat/>
    <w:rPr>
      <w:rFonts w:ascii="宋体" w:hAnsi="Courier New"/>
    </w:rPr>
  </w:style>
  <w:style w:type="paragraph" w:styleId="998" w:customStyle="1">
    <w:name w:val="列表内容"/>
    <w:basedOn w:val="753"/>
    <w:next w:val="753"/>
    <w:uiPriority w:val="0"/>
    <w:qFormat/>
    <w:pPr>
      <w:numPr>
        <w:ilvl w:val="0"/>
        <w:numId w:val="2"/>
      </w:numPr>
      <w:ind w:left="0" w:firstLine="200"/>
      <w:jc w:val="left"/>
      <w:widowControl/>
    </w:pPr>
    <w:rPr>
      <w:sz w:val="18"/>
    </w:rPr>
  </w:style>
  <w:style w:type="paragraph" w:styleId="999" w:customStyle="1">
    <w:name w:val="样式3"/>
    <w:basedOn w:val="753"/>
    <w:next w:val="753"/>
    <w:uiPriority w:val="0"/>
    <w:qFormat/>
    <w:pPr>
      <w:spacing w:line="360" w:lineRule="auto"/>
    </w:pPr>
    <w:rPr>
      <w:szCs w:val="21"/>
    </w:rPr>
  </w:style>
  <w:style w:type="paragraph" w:styleId="1000" w:customStyle="1">
    <w:name w:val="正文表标题"/>
    <w:next w:val="810"/>
    <w:uiPriority w:val="0"/>
    <w:qFormat/>
    <w:pPr>
      <w:numPr>
        <w:ilvl w:val="0"/>
        <w:numId w:val="3"/>
      </w:numPr>
      <w:jc w:val="center"/>
    </w:pPr>
    <w:rPr>
      <w:rFonts w:hint="default" w:ascii="黑体" w:hAnsi="Times New Roman" w:eastAsia="黑体" w:cs="黑体"/>
      <w:sz w:val="21"/>
      <w:szCs w:val="21"/>
      <w:lang w:val="en-US" w:eastAsia="zh-CN" w:bidi="ar-SA"/>
    </w:rPr>
  </w:style>
  <w:style w:type="paragraph" w:styleId="1001" w:customStyle="1">
    <w:name w:val="xl42"/>
    <w:basedOn w:val="75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2" w:customStyle="1">
    <w:name w:val="表格文字"/>
    <w:basedOn w:val="753"/>
    <w:uiPriority w:val="0"/>
    <w:qFormat/>
    <w:pPr>
      <w:jc w:val="left"/>
    </w:pPr>
    <w:rPr>
      <w:szCs w:val="21"/>
    </w:rPr>
  </w:style>
  <w:style w:type="paragraph" w:styleId="1003" w:customStyle="1">
    <w:name w:val="xl28"/>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4" w:customStyle="1">
    <w:name w:val="+列表1"/>
    <w:basedOn w:val="753"/>
    <w:uiPriority w:val="0"/>
    <w:qFormat/>
    <w:pPr>
      <w:jc w:val="center"/>
    </w:pPr>
    <w:rPr>
      <w:sz w:val="24"/>
    </w:rPr>
  </w:style>
  <w:style w:type="paragraph" w:styleId="1005" w:customStyle="1">
    <w:name w:val="xl40"/>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6" w:customStyle="1">
    <w:name w:val="font6"/>
    <w:basedOn w:val="753"/>
    <w:uiPriority w:val="0"/>
    <w:qFormat/>
    <w:pPr>
      <w:jc w:val="left"/>
      <w:spacing w:before="100" w:beforeAutospacing="1" w:after="100" w:afterAutospacing="1"/>
      <w:widowControl/>
    </w:pPr>
    <w:rPr>
      <w:rFonts w:hint="eastAsia" w:ascii="宋体" w:hAnsi="宋体"/>
      <w:sz w:val="20"/>
      <w:szCs w:val="20"/>
    </w:rPr>
  </w:style>
  <w:style w:type="paragraph" w:styleId="1007" w:customStyle="1">
    <w:name w:val="前言、引言标题"/>
    <w:next w:val="753"/>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1008" w:customStyle="1">
    <w:name w:val="xl26"/>
    <w:basedOn w:val="75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1009" w:customStyle="1">
    <w:name w:val="样式SZA"/>
    <w:basedOn w:val="772"/>
    <w:uiPriority w:val="0"/>
    <w:qFormat/>
    <w:pPr>
      <w:numPr>
        <w:ilvl w:val="0"/>
        <w:numId w:val="5"/>
      </w:numPr>
      <w:jc w:val="left"/>
      <w:spacing w:after="220" w:line="220" w:lineRule="atLeast"/>
      <w:widowControl/>
    </w:pPr>
    <w:rPr>
      <w:sz w:val="21"/>
      <w:szCs w:val="20"/>
    </w:rPr>
  </w:style>
  <w:style w:type="paragraph" w:styleId="1010" w:customStyle="1">
    <w:name w:val="xl43"/>
    <w:basedOn w:val="75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11" w:customStyle="1">
    <w:name w:val="纯文本11"/>
    <w:basedOn w:val="753"/>
    <w:next w:val="787"/>
    <w:uiPriority w:val="0"/>
    <w:qFormat/>
    <w:rPr>
      <w:rFonts w:ascii="宋体" w:hAnsi="Courier New" w:eastAsia="楷体_GB2312"/>
      <w:sz w:val="28"/>
    </w:rPr>
  </w:style>
  <w:style w:type="paragraph" w:styleId="101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013" w:customStyle="1">
    <w:name w:val="五级条标题"/>
    <w:basedOn w:val="990"/>
    <w:next w:val="810"/>
    <w:uiPriority w:val="0"/>
    <w:qFormat/>
    <w:pPr>
      <w:outlineLvl w:val="6"/>
    </w:pPr>
  </w:style>
  <w:style w:type="paragraph" w:styleId="1014" w:customStyle="1">
    <w:name w:val="xl24"/>
    <w:basedOn w:val="753"/>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1015" w:customStyle="1">
    <w:name w:val="xl41"/>
    <w:basedOn w:val="753"/>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16" w:customStyle="1">
    <w:name w:val="小标题"/>
    <w:basedOn w:val="753"/>
    <w:next w:val="766"/>
    <w:uiPriority w:val="0"/>
    <w:qFormat/>
    <w:pPr>
      <w:numPr>
        <w:ilvl w:val="0"/>
        <w:numId w:val="6"/>
      </w:numPr>
      <w:ind w:left="200" w:hanging="200"/>
    </w:pPr>
    <w:rPr>
      <w:rFonts w:ascii="Arial" w:hAnsi="Arial" w:eastAsia="黑体"/>
      <w:b/>
      <w:sz w:val="28"/>
    </w:rPr>
  </w:style>
  <w:style w:type="paragraph" w:styleId="1017" w:customStyle="1">
    <w:name w:val="纯文本2"/>
    <w:basedOn w:val="753"/>
    <w:uiPriority w:val="0"/>
    <w:qFormat/>
    <w:pPr>
      <w:jc w:val="left"/>
      <w:widowControl/>
    </w:pPr>
    <w:rPr>
      <w:rFonts w:ascii="宋体" w:hAnsi="Courier New" w:eastAsia="楷体_GB2312"/>
      <w:sz w:val="26"/>
      <w:szCs w:val="20"/>
    </w:rPr>
  </w:style>
  <w:style w:type="paragraph" w:styleId="1018" w:customStyle="1">
    <w:name w:val="xl32"/>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019" w:customStyle="1">
    <w:name w:val="xl37"/>
    <w:basedOn w:val="753"/>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20" w:customStyle="1">
    <w:name w:val="Char Char"/>
    <w:basedOn w:val="753"/>
    <w:uiPriority w:val="0"/>
    <w:qFormat/>
    <w:rPr>
      <w:szCs w:val="21"/>
    </w:rPr>
  </w:style>
  <w:style w:type="paragraph" w:styleId="1021" w:customStyle="1">
    <w:name w:val="font7"/>
    <w:basedOn w:val="753"/>
    <w:uiPriority w:val="0"/>
    <w:qFormat/>
    <w:pPr>
      <w:jc w:val="left"/>
      <w:spacing w:before="100" w:beforeAutospacing="1" w:after="100" w:afterAutospacing="1"/>
      <w:widowControl/>
    </w:pPr>
    <w:rPr>
      <w:rFonts w:ascii="Verdana" w:hAnsi="Verdana"/>
      <w:sz w:val="20"/>
      <w:szCs w:val="20"/>
    </w:rPr>
  </w:style>
  <w:style w:type="paragraph" w:styleId="1022" w:customStyle="1">
    <w:name w:val="表正文"/>
    <w:basedOn w:val="753"/>
    <w:uiPriority w:val="0"/>
    <w:qFormat/>
    <w:rPr>
      <w:sz w:val="24"/>
    </w:rPr>
  </w:style>
  <w:style w:type="paragraph" w:styleId="1023" w:customStyle="1">
    <w:name w:val="Char11"/>
    <w:basedOn w:val="753"/>
    <w:uiPriority w:val="0"/>
    <w:qFormat/>
    <w:pPr>
      <w:ind w:left="420" w:hanging="420"/>
      <w:tabs>
        <w:tab w:val="left" w:pos="420" w:leader="none"/>
        <w:tab w:val="left" w:pos="960" w:leader="none"/>
      </w:tabs>
    </w:pPr>
    <w:rPr>
      <w:szCs w:val="20"/>
    </w:rPr>
  </w:style>
  <w:style w:type="paragraph" w:styleId="1024" w:customStyle="1">
    <w:name w:val="正文 A"/>
    <w:next w:val="81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25" w:customStyle="1">
    <w:name w:val="纯文本12"/>
    <w:basedOn w:val="753"/>
    <w:uiPriority w:val="99"/>
    <w:qFormat/>
    <w:rPr>
      <w:rFonts w:ascii="宋体" w:hAnsi="Courier New" w:eastAsia="楷体_GB2312"/>
      <w:sz w:val="28"/>
    </w:rPr>
  </w:style>
  <w:style w:type="paragraph" w:styleId="1026" w:customStyle="1">
    <w:name w:val="Char Char Char1 Char Char Char Char"/>
    <w:basedOn w:val="753"/>
    <w:uiPriority w:val="0"/>
    <w:qFormat/>
    <w:pPr>
      <w:jc w:val="left"/>
      <w:spacing w:after="160" w:line="240" w:lineRule="exact"/>
      <w:widowControl/>
    </w:pPr>
    <w:rPr>
      <w:rFonts w:ascii="Verdana" w:hAnsi="Verdana"/>
      <w:szCs w:val="20"/>
      <w:lang w:eastAsia="en-US"/>
    </w:rPr>
  </w:style>
  <w:style w:type="paragraph" w:styleId="1027" w:customStyle="1">
    <w:name w:val="Char Char Char Char"/>
    <w:basedOn w:val="753"/>
    <w:uiPriority w:val="0"/>
    <w:qFormat/>
    <w:pPr>
      <w:jc w:val="left"/>
      <w:spacing w:after="160" w:line="240" w:lineRule="exact"/>
      <w:widowControl/>
    </w:pPr>
    <w:rPr>
      <w:rFonts w:ascii="Verdana" w:hAnsi="Verdana" w:eastAsia="仿宋_GB2312"/>
      <w:sz w:val="24"/>
      <w:szCs w:val="20"/>
      <w:lang w:eastAsia="en-US"/>
    </w:rPr>
  </w:style>
  <w:style w:type="paragraph" w:styleId="1028" w:customStyle="1">
    <w:name w:val="xl34"/>
    <w:basedOn w:val="75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29" w:customStyle="1">
    <w:name w:val="+正文"/>
    <w:basedOn w:val="753"/>
    <w:uiPriority w:val="0"/>
    <w:qFormat/>
    <w:pPr>
      <w:ind w:firstLine="200"/>
      <w:spacing w:line="360" w:lineRule="auto"/>
    </w:pPr>
    <w:rPr>
      <w:sz w:val="24"/>
      <w:szCs w:val="28"/>
    </w:rPr>
  </w:style>
  <w:style w:type="paragraph" w:styleId="1030" w:customStyle="1">
    <w:name w:val="样式 正文缩进 + 首行缩进:  2 字符 段前: 0.5 行 段后: 0.5 行"/>
    <w:basedOn w:val="766"/>
    <w:uiPriority w:val="0"/>
    <w:qFormat/>
    <w:pPr>
      <w:ind w:firstLine="480"/>
      <w:jc w:val="both"/>
      <w:spacing w:before="156" w:after="156" w:line="360" w:lineRule="auto"/>
    </w:pPr>
    <w:rPr>
      <w:rFonts w:eastAsia="宋体"/>
      <w:sz w:val="21"/>
    </w:rPr>
  </w:style>
  <w:style w:type="paragraph" w:styleId="1031" w:customStyle="1">
    <w:name w:val="+标题2"/>
    <w:basedOn w:val="755"/>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32" w:customStyle="1">
    <w:name w:val="符号列表"/>
    <w:basedOn w:val="753"/>
    <w:uiPriority w:val="0"/>
    <w:qFormat/>
    <w:pPr>
      <w:jc w:val="left"/>
      <w:spacing w:line="440" w:lineRule="exact"/>
      <w:widowControl/>
    </w:pPr>
    <w:rPr>
      <w:rFonts w:ascii="宋体" w:hAnsi="宋体"/>
      <w:color w:val="000000"/>
    </w:rPr>
  </w:style>
  <w:style w:type="paragraph" w:styleId="1033" w:customStyle="1">
    <w:name w:val="xl36"/>
    <w:basedOn w:val="753"/>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34" w:customStyle="1">
    <w:name w:val="Plain Text1"/>
    <w:basedOn w:val="753"/>
    <w:uiPriority w:val="0"/>
    <w:qFormat/>
    <w:pPr>
      <w:spacing w:line="312" w:lineRule="atLeast"/>
    </w:pPr>
    <w:rPr>
      <w:rFonts w:ascii="Arial Black" w:hAnsi="Courier New"/>
      <w:szCs w:val="20"/>
    </w:rPr>
  </w:style>
  <w:style w:type="paragraph" w:styleId="1035" w:customStyle="1">
    <w:name w:val="投标标题4"/>
    <w:basedOn w:val="757"/>
    <w:uiPriority w:val="0"/>
    <w:qFormat/>
    <w:pPr>
      <w:numPr>
        <w:ilvl w:val="3"/>
        <w:numId w:val="8"/>
      </w:numPr>
    </w:pPr>
    <w:rPr>
      <w:rFonts w:eastAsia="仿宋" w:cs="Arial"/>
      <w:szCs w:val="24"/>
    </w:rPr>
  </w:style>
  <w:style w:type="paragraph" w:styleId="1036" w:customStyle="1">
    <w:name w:val="xl44"/>
    <w:basedOn w:val="753"/>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37" w:customStyle="1">
    <w:name w:val="xl27"/>
    <w:basedOn w:val="75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38" w:customStyle="1">
    <w:name w:val="Char1"/>
    <w:basedOn w:val="753"/>
    <w:uiPriority w:val="0"/>
    <w:qFormat/>
    <w:rPr>
      <w:rFonts w:ascii="Tahoma" w:hAnsi="Tahoma"/>
      <w:sz w:val="24"/>
      <w:szCs w:val="20"/>
    </w:rPr>
  </w:style>
  <w:style w:type="paragraph" w:styleId="1039" w:customStyle="1">
    <w:name w:val="_Style 119"/>
    <w:uiPriority w:val="99"/>
    <w:semiHidden/>
    <w:qFormat/>
    <w:rPr>
      <w:rFonts w:hint="default" w:ascii="Times New Roman" w:hAnsi="Times New Roman" w:eastAsia="宋体" w:cs="Times New Roman"/>
      <w:sz w:val="21"/>
      <w:szCs w:val="24"/>
      <w:lang w:val="en-US" w:eastAsia="zh-CN" w:bidi="ar-SA"/>
    </w:rPr>
  </w:style>
  <w:style w:type="paragraph" w:styleId="1040" w:customStyle="1">
    <w:name w:val="+标题4"/>
    <w:basedOn w:val="757"/>
    <w:uiPriority w:val="0"/>
    <w:qFormat/>
    <w:pPr>
      <w:numPr>
        <w:ilvl w:val="3"/>
        <w:numId w:val="7"/>
      </w:numPr>
      <w:keepLines/>
      <w:keepNext/>
      <w:spacing w:line="360" w:lineRule="auto"/>
    </w:pPr>
    <w:rPr>
      <w:rFonts w:ascii="Times New Roman" w:hAnsi="Times New Roman"/>
      <w:b/>
      <w:bCs/>
      <w:color w:val="auto"/>
      <w:u w:val="none"/>
    </w:rPr>
  </w:style>
  <w:style w:type="paragraph" w:styleId="1041" w:customStyle="1">
    <w:name w:val="表"/>
    <w:basedOn w:val="753"/>
    <w:uiPriority w:val="0"/>
    <w:qFormat/>
    <w:pPr>
      <w:jc w:val="center"/>
    </w:pPr>
    <w:rPr>
      <w:szCs w:val="20"/>
    </w:rPr>
  </w:style>
  <w:style w:type="paragraph" w:styleId="1042" w:customStyle="1">
    <w:name w:val="Plain Text11"/>
    <w:basedOn w:val="753"/>
    <w:uiPriority w:val="0"/>
    <w:qFormat/>
    <w:rPr>
      <w:rFonts w:ascii="宋体" w:hAnsi="Courier New" w:eastAsia="楷体_GB2312"/>
      <w:sz w:val="28"/>
      <w:szCs w:val="20"/>
    </w:rPr>
  </w:style>
  <w:style w:type="character" w:styleId="1043" w:customStyle="1">
    <w:name w:val="15"/>
    <w:basedOn w:val="763"/>
    <w:uiPriority w:val="0"/>
    <w:qFormat/>
    <w:rPr>
      <w:rFonts w:hint="default" w:ascii="Times New Roman" w:hAnsi="Times New Roman" w:cs="Times New Roman"/>
    </w:rPr>
  </w:style>
  <w:style w:type="paragraph" w:styleId="1044" w:customStyle="1">
    <w:name w:val="纯文本21"/>
    <w:uiPriority w:val="0"/>
    <w:qFormat/>
    <w:pPr>
      <w:jc w:val="both"/>
      <w:widowControl w:val="off"/>
    </w:pPr>
    <w:rPr>
      <w:rFonts w:hint="default" w:ascii="宋体" w:hAnsi="Courier New" w:eastAsia="宋体" w:cs="Times New Roman"/>
      <w:sz w:val="26"/>
      <w:lang w:val="en-US" w:eastAsia="zh-CN" w:bidi="ar-SA"/>
    </w:rPr>
  </w:style>
  <w:style w:type="paragraph" w:styleId="1045" w:customStyle="1">
    <w:name w:val="正文缩进1"/>
    <w:uiPriority w:val="0"/>
    <w:qFormat/>
    <w:pPr>
      <w:ind w:firstLine="420"/>
    </w:pPr>
    <w:rPr>
      <w:rFonts w:hint="default" w:ascii="Calibri" w:hAnsi="Calibri" w:eastAsia="楷体_GB2312" w:cs="Times New Roman"/>
      <w:sz w:val="24"/>
      <w:lang w:val="en-US" w:eastAsia="zh-CN" w:bidi="ar-SA"/>
    </w:rPr>
  </w:style>
  <w:style w:type="character" w:styleId="1046" w:customStyle="1">
    <w:name w:val="apple-converted-space"/>
    <w:basedOn w:val="763"/>
    <w:uiPriority w:val="0"/>
    <w:qFormat/>
  </w:style>
  <w:style w:type="character" w:styleId="1047" w:customStyle="1">
    <w:name w:val="普通(网站) 字符"/>
    <w:link w:val="796"/>
    <w:uiPriority w:val="0"/>
    <w:qFormat/>
    <w:rPr>
      <w:rFonts w:ascii="Arial Unicode MS" w:hAnsi="Arial Unicode MS" w:eastAsia="Arial Unicode MS"/>
      <w:color w:val="000000"/>
      <w:sz w:val="24"/>
      <w:szCs w:val="24"/>
    </w:rPr>
  </w:style>
  <w:style w:type="paragraph" w:styleId="1048" w:customStyle="1">
    <w:name w:val="正文缩进2字符"/>
    <w:uiPriority w:val="0"/>
    <w:qFormat/>
    <w:pPr>
      <w:ind w:firstLine="200"/>
      <w:jc w:val="both"/>
      <w:spacing w:line="300" w:lineRule="auto"/>
    </w:pPr>
    <w:rPr>
      <w:rFonts w:hint="default" w:ascii="Calibri" w:hAnsi="Calibri" w:eastAsia="宋体" w:cs="Times New Roman"/>
      <w:sz w:val="21"/>
      <w:szCs w:val="24"/>
      <w:lang w:val="en-US" w:eastAsia="zh-CN" w:bidi="ar-SA"/>
    </w:rPr>
  </w:style>
  <w:style w:type="character" w:styleId="1049" w:customStyle="1">
    <w:name w:val="正文文本缩进 字符"/>
    <w:basedOn w:val="763"/>
    <w:link w:val="765"/>
    <w:uiPriority w:val="0"/>
    <w:qFormat/>
    <w:rPr>
      <w:sz w:val="24"/>
      <w:szCs w:val="24"/>
    </w:rPr>
  </w:style>
  <w:style w:type="paragraph" w:styleId="1050" w:customStyle="1">
    <w:name w:val="Table Paragraph"/>
    <w:basedOn w:val="753"/>
    <w:uiPriority w:val="1"/>
    <w:qFormat/>
    <w:rPr>
      <w:rFonts w:ascii="宋体" w:hAnsi="宋体" w:cs="宋体"/>
      <w:lang w:val="zh-CN" w:bidi="zh-CN"/>
    </w:rPr>
  </w:style>
  <w:style w:type="character" w:styleId="1051" w:customStyle="1">
    <w:name w:val="font41"/>
    <w:basedOn w:val="763"/>
    <w:uiPriority w:val="0"/>
    <w:qFormat/>
    <w:rPr>
      <w:rFonts w:hint="eastAsia" w:ascii="宋体" w:hAnsi="宋体" w:eastAsia="宋体" w:cs="宋体"/>
      <w:b/>
      <w:bCs/>
      <w:color w:val="000000"/>
      <w:sz w:val="28"/>
      <w:szCs w:val="28"/>
      <w:u w:val="none"/>
    </w:rPr>
  </w:style>
  <w:style w:type="paragraph" w:styleId="1052" w:customStyle="1">
    <w:name w:val="纯文本3"/>
    <w:basedOn w:val="753"/>
    <w:uiPriority w:val="0"/>
    <w:qFormat/>
    <w:rPr>
      <w:rFonts w:hint="eastAsia" w:hAnsi="Courier New" w:eastAsia="楷体_GB2312"/>
      <w:sz w:val="28"/>
      <w:szCs w:val="20"/>
    </w:rPr>
  </w:style>
  <w:style w:type="paragraph" w:styleId="1053" w:customStyle="1">
    <w:name w:val="首行缩进"/>
    <w:basedOn w:val="753"/>
    <w:uiPriority w:val="0"/>
    <w:qFormat/>
    <w:pPr>
      <w:ind w:firstLine="480"/>
      <w:jc w:val="left"/>
      <w:widowControl/>
    </w:pPr>
    <w:rPr>
      <w:sz w:val="24"/>
      <w:szCs w:val="20"/>
      <w:lang w:val="zh-CN"/>
    </w:rPr>
  </w:style>
  <w:style w:type="character" w:styleId="1054" w:customStyle="1">
    <w:name w:val="font21"/>
    <w:basedOn w:val="763"/>
    <w:uiPriority w:val="0"/>
    <w:qFormat/>
    <w:rPr>
      <w:rFonts w:hint="default" w:ascii="Times New Roman" w:hAnsi="Times New Roman" w:cs="Times New Roman"/>
      <w:color w:val="000000"/>
      <w:sz w:val="21"/>
      <w:szCs w:val="21"/>
      <w:u w:val="none"/>
    </w:rPr>
  </w:style>
  <w:style w:type="character" w:styleId="1055" w:customStyle="1">
    <w:name w:val="font51"/>
    <w:basedOn w:val="763"/>
    <w:uiPriority w:val="0"/>
    <w:qFormat/>
    <w:rPr>
      <w:rFonts w:hint="eastAsia" w:ascii="宋体" w:hAnsi="宋体" w:eastAsia="宋体" w:cs="宋体"/>
      <w:color w:val="ff0000"/>
      <w:sz w:val="21"/>
      <w:szCs w:val="21"/>
      <w:u w:val="none"/>
    </w:rPr>
  </w:style>
  <w:style w:type="character" w:styleId="1056" w:customStyle="1">
    <w:name w:val="font31"/>
    <w:basedOn w:val="763"/>
    <w:uiPriority w:val="0"/>
    <w:qFormat/>
    <w:rPr>
      <w:rFonts w:hint="default" w:ascii="Times New Roman" w:hAnsi="Times New Roman" w:cs="Times New Roman"/>
      <w:color w:val="000000"/>
      <w:sz w:val="21"/>
      <w:szCs w:val="21"/>
      <w:u w:val="none"/>
    </w:rPr>
  </w:style>
  <w:style w:type="paragraph" w:styleId="1057" w:customStyle="1">
    <w:name w:val="*正文"/>
    <w:basedOn w:val="753"/>
    <w:uiPriority w:val="0"/>
    <w:qFormat/>
    <w:pPr>
      <w:ind w:firstLine="200"/>
      <w:spacing w:line="360" w:lineRule="auto"/>
    </w:pPr>
    <w:rPr>
      <w:rFonts w:ascii="宋体" w:hAnsi="宋体"/>
      <w:sz w:val="24"/>
      <w:lang w:val="zh-CN"/>
    </w:rPr>
  </w:style>
  <w:style w:type="paragraph" w:styleId="1058" w:customStyle="1">
    <w:name w:val="纯文本4"/>
    <w:basedOn w:val="753"/>
    <w:uiPriority w:val="0"/>
    <w:qFormat/>
    <w:rPr>
      <w:rFonts w:ascii="宋体" w:hAnsi="Courier New" w:eastAsia="楷体_GB2312"/>
      <w:sz w:val="26"/>
      <w:szCs w:val="20"/>
    </w:rPr>
  </w:style>
  <w:style w:type="paragraph" w:styleId="1059" w:customStyle="1">
    <w:name w:val="_Style 5"/>
    <w:basedOn w:val="753"/>
    <w:uiPriority w:val="0"/>
    <w:qFormat/>
    <w:pPr>
      <w:ind w:firstLine="420"/>
      <w:jc w:val="left"/>
      <w:widowControl/>
    </w:pPr>
    <w:rPr>
      <w:rFonts w:ascii="Calibri" w:hAnsi="Calibri"/>
      <w:sz w:val="24"/>
    </w:rPr>
  </w:style>
  <w:style w:type="paragraph" w:styleId="1060" w:customStyle="1">
    <w:name w:val="+正文 Char"/>
    <w:basedOn w:val="753"/>
    <w:uiPriority w:val="0"/>
    <w:qFormat/>
    <w:pPr>
      <w:ind w:firstLine="200"/>
      <w:spacing w:line="360" w:lineRule="auto"/>
    </w:pPr>
    <w:rPr>
      <w:rFonts w:eastAsia="宋体"/>
      <w:sz w:val="24"/>
    </w:rPr>
  </w:style>
  <w:style w:type="paragraph" w:styleId="1061" w:customStyle="1">
    <w:name w:val="Plain Text"/>
    <w:basedOn w:val="753"/>
    <w:uiPriority w:val="0"/>
    <w:qFormat/>
    <w:rPr>
      <w:rFonts w:ascii="宋体" w:hAnsi="Courier New" w:eastAsia="楷体_GB2312"/>
      <w:sz w:val="26"/>
      <w:szCs w:val="20"/>
    </w:rPr>
  </w:style>
  <w:style w:type="character" w:styleId="1062" w:customStyle="1">
    <w:name w:val="font11"/>
    <w:basedOn w:val="763"/>
    <w:uiPriority w:val="0"/>
    <w:qFormat/>
    <w:rPr>
      <w:rFonts w:hint="eastAsia" w:ascii="宋体" w:hAnsi="宋体" w:eastAsia="宋体" w:cs="宋体"/>
      <w:color w:val="000000"/>
      <w:sz w:val="22"/>
      <w:szCs w:val="22"/>
      <w:u w:val="none"/>
    </w:rPr>
  </w:style>
  <w:style w:type="paragraph" w:styleId="1063" w:customStyle="1">
    <w:name w:val="正文(其它)"/>
    <w:basedOn w:val="753"/>
    <w:uiPriority w:val="0"/>
    <w:qFormat/>
    <w:pPr>
      <w:jc w:val="center"/>
      <w:spacing w:line="312" w:lineRule="auto"/>
    </w:pPr>
    <w:rPr>
      <w:rFonts w:ascii="黑体" w:eastAsia="黑体"/>
      <w:sz w:val="32"/>
      <w:szCs w:val="32"/>
    </w:rPr>
  </w:style>
  <w:style w:type="paragraph" w:styleId="1064" w:customStyle="1">
    <w:name w:val="正文文本缩进12"/>
    <w:basedOn w:val="753"/>
    <w:next w:val="1065"/>
    <w:uiPriority w:val="0"/>
    <w:qFormat/>
    <w:pPr>
      <w:ind w:firstLine="425"/>
      <w:spacing w:line="360" w:lineRule="auto"/>
    </w:pPr>
    <w:rPr>
      <w:sz w:val="24"/>
    </w:rPr>
  </w:style>
  <w:style w:type="paragraph" w:styleId="1065" w:customStyle="1">
    <w:name w:val="寄信人地址12"/>
    <w:basedOn w:val="753"/>
    <w:uiPriority w:val="0"/>
    <w:qFormat/>
    <w:pPr>
      <w:jc w:val="both"/>
      <w:widowControl w:val="off"/>
    </w:pPr>
    <w:rPr>
      <w:rFonts w:ascii="Arial" w:hAnsi="Arial" w:eastAsia="宋体" w:cs="Times New Roman"/>
      <w:sz w:val="21"/>
      <w:szCs w:val="24"/>
      <w:lang w:val="en-US" w:eastAsia="zh-CN" w:bidi="ar-SA"/>
    </w:rPr>
  </w:style>
  <w:style w:type="paragraph" w:styleId="1066" w:customStyle="1">
    <w:name w:val="Table Text"/>
    <w:basedOn w:val="753"/>
    <w:uiPriority w:val="0"/>
    <w:semiHidden/>
    <w:qFormat/>
    <w:rPr>
      <w:rFonts w:ascii="宋体" w:hAnsi="宋体" w:eastAsia="宋体" w:cs="宋体"/>
      <w:sz w:val="19"/>
      <w:szCs w:val="19"/>
      <w:lang w:eastAsia="en-US"/>
    </w:rPr>
  </w:style>
  <w:style w:type="character" w:styleId="1067" w:customStyle="1">
    <w:name w:val="NormalCharacter"/>
    <w:uiPriority w:val="99"/>
    <w:qFormat/>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雷美玉</cp:lastModifiedBy>
  <cp:revision>236</cp:revision>
  <dcterms:created xsi:type="dcterms:W3CDTF">2019-11-30T15:44:00Z</dcterms:created>
  <dcterms:modified xsi:type="dcterms:W3CDTF">2026-10-22T08:56:16Z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2C5002865BA1406FBFCE5CC08E5D1BD5_13</vt:lpwstr>
  </property>
  <property fmtid="{D5CDD505-2E9C-101B-9397-08002B2CF9AE}" pid="4" name="KSOTemplateDocerSaveRecord">
    <vt:lpwstr>eyJoZGlkIjoiODc0NTk2ODY2OTY3M2ExYmFhNDJmY2NmMjM5NTI4NzEiLCJ1c2VySWQiOiIxMTI4ODk0NDgxIn0=</vt:lpwstr>
  </property>
</Properties>
</file>