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6"/>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696"/>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696"/>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696"/>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696"/>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96"/>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96"/>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96"/>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96"/>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2027年淮安市城市照明管理服务中心路灯电费采购</w:t>
      </w:r>
      <w:r>
        <w:rPr>
          <w:rFonts w:hint="eastAsia" w:ascii="黑体" w:hAnsi="黑体" w:eastAsia="黑体"/>
          <w:b/>
          <w:sz w:val="36"/>
          <w:szCs w:val="36"/>
          <w:highlight w:val="none"/>
        </w:rPr>
      </w:r>
      <w:r/>
    </w:p>
    <w:p>
      <w:pPr>
        <w:pStyle w:val="696"/>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pStyle w:val="696"/>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696"/>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JSZC-320800-JZCG-G2026-0070</w:t>
      </w:r>
      <w:r>
        <w:rPr>
          <w:rFonts w:hint="eastAsia" w:ascii="黑体" w:hAnsi="黑体" w:eastAsia="黑体"/>
          <w:b/>
          <w:sz w:val="36"/>
          <w:highlight w:val="none"/>
        </w:rPr>
      </w:r>
      <w:r/>
    </w:p>
    <w:p>
      <w:pPr>
        <w:pStyle w:val="696"/>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696"/>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696"/>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96"/>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96"/>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96"/>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696"/>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696"/>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十</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十二</w:t>
      </w:r>
      <w:r>
        <w:rPr>
          <w:rFonts w:hint="eastAsia" w:ascii="黑体" w:hAnsi="黑体" w:eastAsia="黑体"/>
          <w:b/>
          <w:sz w:val="36"/>
          <w:szCs w:val="36"/>
          <w:highlight w:val="none"/>
        </w:rPr>
        <w:t xml:space="preserve">日</w:t>
      </w:r>
      <w:r>
        <w:rPr>
          <w:rFonts w:hint="eastAsia" w:ascii="宋体" w:hAnsi="宋体"/>
          <w:sz w:val="24"/>
          <w:highlight w:val="none"/>
        </w:rPr>
      </w:r>
      <w:r/>
    </w:p>
    <w:p>
      <w:pPr>
        <w:pStyle w:val="696"/>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696"/>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696"/>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受淮安市城市照明管理服务中心的委托，淮安市政府采购中心就     2027年淮安市城市照明管理服务中心路灯电费采购政府采购项目进行公开招标采购，现邀请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696"/>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696"/>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2027年淮安市城市照明管理服务中心路灯电费采购</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  </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月5日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96"/>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696"/>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2027年淮安市城市照明管理服务中心路灯电费采购</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  </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月5日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696"/>
                      </w:pPr>
                      <w:r/>
                      <w:r/>
                    </w:p>
                  </w:txbxContent>
                </v:textbox>
              </v:shape>
            </w:pict>
          </mc:Fallback>
        </mc:AlternateContent>
      </w:r>
      <w:r>
        <w:rPr>
          <w:rFonts w:hint="eastAsia" w:ascii="仿宋" w:hAnsi="仿宋" w:eastAsia="仿宋"/>
          <w:sz w:val="28"/>
          <w:szCs w:val="28"/>
          <w:highlight w:val="none"/>
        </w:rPr>
      </w:r>
      <w:r/>
    </w:p>
    <w:p>
      <w:pPr>
        <w:pStyle w:val="696"/>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96"/>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96"/>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96"/>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696"/>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（一）项目编号:JSZC-320800-JZCG-G2026-0070</w:t>
      </w:r>
      <w:r>
        <w:rPr>
          <w:rFonts w:hint="eastAsia"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2027年淮安市城市照明管理服务中心路灯电费采购</w:t>
      </w:r>
      <w:r>
        <w:rPr>
          <w:rFonts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ascii="仿宋" w:hAnsi="仿宋" w:eastAsia="仿宋"/>
          <w:sz w:val="28"/>
          <w:szCs w:val="28"/>
          <w:highlight w:val="none"/>
        </w:rPr>
        <w:t xml:space="preserve">955.5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（四）最高限价:344.19元/兆瓦时</w:t>
      </w:r>
      <w:r>
        <w:rPr>
          <w:rFonts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（五）采购需求:淮安市城市照明管理服务中心2027年度照明用电采购，年预计用电量1300万千瓦时（以实际使用量结算），详见招标文件第五章。</w:t>
      </w:r>
      <w:r>
        <w:rPr>
          <w:rFonts w:ascii="仿宋" w:hAnsi="仿宋" w:eastAsia="仿宋"/>
          <w:sz w:val="28"/>
          <w:szCs w:val="28"/>
          <w:highlight w:val="none"/>
        </w:rPr>
      </w:r>
      <w:r/>
    </w:p>
    <w:p>
      <w:pPr>
        <w:pStyle w:val="696"/>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（六）合同履行期限:2027年1月1日至2027年12月31日    </w:t>
      </w:r>
      <w:r>
        <w:rPr>
          <w:rFonts w:hint="eastAsia" w:ascii="仿宋" w:hAnsi="仿宋" w:eastAsia="仿宋"/>
          <w:sz w:val="28"/>
          <w:szCs w:val="28"/>
          <w:highlight w:val="none"/>
        </w:rPr>
      </w:r>
      <w:r/>
    </w:p>
    <w:p>
      <w:pPr>
        <w:pStyle w:val="696"/>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其他未列明行业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96"/>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696"/>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696"/>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96"/>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96"/>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696"/>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696"/>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696"/>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（三）本项目的特定资格要求:投标人</w:t>
      </w:r>
      <w:r>
        <w:rPr>
          <w:rFonts w:hint="eastAsia" w:ascii="仿宋" w:hAnsi="仿宋" w:eastAsia="仿宋"/>
          <w:sz w:val="28"/>
          <w:szCs w:val="28"/>
          <w:highlight w:val="none"/>
          <w:lang w:eastAsia="zh-CN"/>
        </w:rPr>
        <w:t xml:space="preserve">须</w:t>
      </w:r>
      <w:r>
        <w:rPr>
          <w:rFonts w:hint="eastAsia" w:ascii="仿宋" w:hAnsi="仿宋" w:eastAsia="仿宋"/>
          <w:sz w:val="28"/>
          <w:szCs w:val="28"/>
          <w:highlight w:val="none"/>
        </w:rPr>
        <w:t xml:space="preserve">在江苏电力交易中心有限公司（以下简称：电力交易中心）完成公示、承诺、注册、备案程序，具备参加电力交易的购售电资格。（必须提供以下所有材料：1、江苏电力交易中心有限公司受理注册售电公司信息的公示文件及含投标人名称的注册公示目录扫描件并加盖投标人电子签章；2、2026年8月份以后日期查询显示的含投标人公司名称的江苏电力交易中心电力交易平台-数字交易大厅-售电公司目录截图并加盖投标人电子签章）</w:t>
      </w:r>
      <w:r>
        <w:rPr>
          <w:rFonts w:hint="eastAsia" w:ascii="仿宋" w:hAnsi="仿宋" w:eastAsia="仿宋"/>
          <w:color w:val="000000"/>
          <w:sz w:val="28"/>
          <w:szCs w:val="28"/>
          <w:highlight w:val="none"/>
          <w:lang w:val="zh-CN" w:eastAsia="zh-CN"/>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96"/>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96"/>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96"/>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w:t>
      </w:r>
      <w:r>
        <w:rPr>
          <w:rFonts w:hint="eastAsia" w:ascii="仿宋" w:hAnsi="仿宋" w:eastAsia="仿宋"/>
          <w:sz w:val="28"/>
          <w:szCs w:val="28"/>
          <w:highlight w:val="none"/>
          <w:lang w:eastAsia="zh-CN"/>
        </w:rPr>
        <w:t xml:space="preserve">江苏</w:t>
      </w:r>
      <w:r>
        <w:rPr>
          <w:rFonts w:hint="eastAsia" w:ascii="仿宋" w:hAnsi="仿宋" w:eastAsia="仿宋"/>
          <w:sz w:val="28"/>
          <w:szCs w:val="28"/>
          <w:highlight w:val="none"/>
        </w:rPr>
        <w:t xml:space="preserve">政府采购网”自行免费下载招标文件。</w:t>
      </w:r>
      <w:r>
        <w:rPr>
          <w:rFonts w:hint="eastAsia" w:ascii="仿宋" w:hAnsi="仿宋" w:eastAsia="仿宋"/>
          <w:sz w:val="28"/>
          <w:szCs w:val="28"/>
          <w:highlight w:val="none"/>
        </w:rPr>
      </w:r>
      <w:r/>
    </w:p>
    <w:p>
      <w:pPr>
        <w:pStyle w:val="696"/>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696"/>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月5日上午9:30。</w:t>
      </w:r>
      <w:r>
        <w:rPr>
          <w:rFonts w:ascii="仿宋" w:hAnsi="仿宋" w:eastAsia="仿宋"/>
          <w:sz w:val="28"/>
          <w:szCs w:val="28"/>
          <w:highlight w:val="none"/>
        </w:rPr>
      </w:r>
      <w:r/>
    </w:p>
    <w:p>
      <w:pPr>
        <w:pStyle w:val="696"/>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696"/>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696"/>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696"/>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名称:淮安市城市照明管理服务中心</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地址:淮安市清江浦区青年路1号市政大厦</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联系方式:郑杰、杜红勇  0517-83990191、18905235839</w:t>
      </w:r>
      <w:r>
        <w:rPr>
          <w:rFonts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rPr>
          <w:rFonts w:ascii="仿宋" w:hAnsi="仿宋" w:eastAsia="仿宋"/>
          <w:sz w:val="28"/>
          <w:szCs w:val="28"/>
          <w:highlight w:val="none"/>
          <w:lang w:val="en-US" w:eastAsia="zh-CN"/>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696"/>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w:t>
      </w:r>
      <w:r>
        <w:rPr>
          <w:rFonts w:hint="eastAsia" w:ascii="仿宋" w:hAnsi="仿宋" w:eastAsia="仿宋"/>
          <w:sz w:val="28"/>
          <w:szCs w:val="28"/>
          <w:highlight w:val="none"/>
          <w:lang w:eastAsia="zh-CN"/>
        </w:rPr>
        <w:t xml:space="preserve">“江苏政府采购网”、</w:t>
      </w:r>
      <w:r>
        <w:rPr>
          <w:rFonts w:hint="eastAsia" w:ascii="仿宋" w:hAnsi="仿宋" w:eastAsia="仿宋"/>
          <w:sz w:val="28"/>
          <w:szCs w:val="28"/>
          <w:highlight w:val="none"/>
        </w:rPr>
        <w:t xml:space="preserve">“淮安政府采购网”发布的更正公告。</w:t>
      </w:r>
      <w:r>
        <w:rPr>
          <w:rFonts w:hint="eastAsia" w:ascii="仿宋" w:hAnsi="仿宋" w:eastAsia="仿宋"/>
          <w:sz w:val="28"/>
          <w:szCs w:val="28"/>
          <w:highlight w:val="none"/>
        </w:rPr>
      </w:r>
      <w:r/>
    </w:p>
    <w:p>
      <w:pPr>
        <w:pStyle w:val="696"/>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696"/>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696"/>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69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696"/>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696"/>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69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696"/>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696"/>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69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69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69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696"/>
        <w:keepLines w:val="0"/>
        <w:keepNext w:val="0"/>
        <w:pageBreakBefore w:val="0"/>
        <w:spacing w:line="520" w:lineRule="exact"/>
        <w:rPr>
          <w:rFonts w:ascii="仿宋" w:hAnsi="仿宋" w:eastAsia="仿宋"/>
          <w:sz w:val="28"/>
          <w:szCs w:val="28"/>
          <w:highlight w:val="none"/>
        </w:rPr>
        <w:outlineLvl w:val="9"/>
      </w:pPr>
      <w:r/>
      <w:bookmarkStart w:id="0" w:name="_Toc16938530"/>
      <w:r/>
      <w:bookmarkStart w:id="1" w:name="_Toc462564073"/>
      <w:r/>
      <w:bookmarkStart w:id="2" w:name="_Toc513029214"/>
      <w:r/>
      <w:bookmarkStart w:id="3" w:name="_Toc20823286"/>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bookmarkStart w:id="4" w:name="_Toc49090510"/>
      <w:r/>
      <w:bookmarkStart w:id="5" w:name="_Toc14577359"/>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696"/>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696"/>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696"/>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696"/>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696"/>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69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696"/>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696"/>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696"/>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bookmarkStart w:id="9" w:name="_Toc16938547"/>
      <w:r/>
      <w:bookmarkStart w:id="10" w:name="_Toc513029231"/>
      <w:r/>
      <w:bookmarkStart w:id="11" w:name="_Toc20823303"/>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696"/>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bookmarkStart w:id="12" w:name="_Toc513029232"/>
      <w:r/>
      <w:bookmarkStart w:id="13" w:name="_Toc20823304"/>
      <w:r/>
      <w:bookmarkStart w:id="14" w:name="_Toc1693854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bookmarkStart w:id="15" w:name="_Toc16938549"/>
      <w:r/>
      <w:bookmarkStart w:id="16" w:name="_Toc513029233"/>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bookmarkStart w:id="18" w:name="_Toc513029234"/>
      <w:r/>
      <w:bookmarkStart w:id="19" w:name="_Toc16938550"/>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69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69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69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69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69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69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69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696"/>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16938551"/>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696"/>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696"/>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696"/>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696"/>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696"/>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696"/>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513029236"/>
      <w:r/>
      <w:bookmarkStart w:id="31" w:name="_Toc20823308"/>
      <w:r/>
      <w:bookmarkStart w:id="32" w:name="_Toc16938552"/>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696"/>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513029237"/>
      <w:r/>
      <w:bookmarkStart w:id="34" w:name="_Toc16938553"/>
      <w:r/>
      <w:bookmarkStart w:id="35" w:name="_Toc20823309"/>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696"/>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717"/>
        <w:ind w:left="0" w:firstLine="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cs="Times New Roman"/>
          <w:sz w:val="28"/>
          <w:szCs w:val="28"/>
          <w:highlight w:val="none"/>
          <w:lang w:val="en-US" w:eastAsia="zh-CN" w:bidi="ar-SA"/>
        </w:rPr>
      </w:r>
      <w:r/>
    </w:p>
    <w:p>
      <w:pPr>
        <w:pStyle w:val="717"/>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w:t>
      </w:r>
      <w:r>
        <w:rPr>
          <w:rFonts w:hint="eastAsia" w:ascii="仿宋" w:hAnsi="仿宋" w:eastAsia="仿宋" w:cs="Times New Roman"/>
          <w:b/>
          <w:bCs/>
          <w:sz w:val="28"/>
          <w:szCs w:val="28"/>
          <w:highlight w:val="none"/>
          <w:u w:val="single"/>
          <w:lang w:val="en-US" w:eastAsia="zh-CN" w:bidi="ar-SA"/>
        </w:rPr>
        <w:t xml:space="preserve">10000</w:t>
      </w:r>
      <w:r>
        <w:rPr>
          <w:rFonts w:hint="eastAsia" w:ascii="仿宋" w:hAnsi="仿宋" w:eastAsia="仿宋" w:cs="Times New Roman"/>
          <w:sz w:val="28"/>
          <w:szCs w:val="28"/>
          <w:highlight w:val="none"/>
          <w:lang w:val="en-US" w:eastAsia="zh-CN" w:bidi="ar-SA"/>
        </w:rPr>
        <w:t xml:space="preserve">元作为本合同的履约保证金。（不得超过合同金额的10%）</w:t>
      </w:r>
      <w:r>
        <w:rPr>
          <w:rFonts w:hint="eastAsia" w:ascii="仿宋" w:hAnsi="仿宋" w:eastAsia="仿宋" w:cs="Times New Roman"/>
          <w:sz w:val="28"/>
          <w:szCs w:val="28"/>
          <w:highlight w:val="none"/>
          <w:lang w:val="en-US" w:eastAsia="zh-CN" w:bidi="ar-SA"/>
        </w:rPr>
      </w:r>
      <w:r/>
    </w:p>
    <w:p>
      <w:pPr>
        <w:pStyle w:val="696"/>
        <w:ind w:firstLine="560"/>
        <w:spacing w:line="520" w:lineRule="exact"/>
        <w:rPr>
          <w:rFonts w:ascii="仿宋" w:hAnsi="仿宋" w:eastAsia="仿宋"/>
          <w:sz w:val="28"/>
          <w:szCs w:val="28"/>
          <w:highlight w:val="none"/>
        </w:rPr>
      </w:pPr>
      <w:r/>
      <w:bookmarkEnd w:id="33"/>
      <w:r/>
      <w:bookmarkEnd w:id="34"/>
      <w:r/>
      <w:bookmarkEnd w:id="35"/>
      <w:r>
        <w:rPr>
          <w:rFonts w:hint="eastAsia" w:ascii="仿宋" w:hAnsi="仿宋" w:eastAsia="仿宋"/>
          <w:sz w:val="28"/>
          <w:szCs w:val="28"/>
          <w:highlight w:val="none"/>
        </w:rPr>
        <w:t xml:space="preserve">32.2乙方提供的履约保证金可以是人民币形式（银行本票、汇票、支票、电汇），或银行保函、担保公司的保证担保或保险公司的保证保险等多种形式。</w:t>
      </w:r>
      <w:r>
        <w:rPr>
          <w:rFonts w:ascii="仿宋" w:hAnsi="仿宋" w:eastAsia="仿宋"/>
          <w:sz w:val="28"/>
          <w:szCs w:val="28"/>
          <w:highlight w:val="none"/>
        </w:rPr>
      </w:r>
      <w:r/>
    </w:p>
    <w:p>
      <w:pPr>
        <w:pStyle w:val="696"/>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32.3乙方选取银行保函、担保公司的保证担保或保险公司的保证保险等形式的向采购人缴纳的，如保函（担保、保险等）的约定期到期但乙方履约仍未结束的，乙方须进行续保。</w:t>
      </w:r>
      <w:r>
        <w:rPr>
          <w:rFonts w:ascii="仿宋" w:hAnsi="仿宋" w:eastAsia="仿宋"/>
          <w:sz w:val="28"/>
          <w:szCs w:val="28"/>
          <w:highlight w:val="none"/>
        </w:rPr>
      </w:r>
      <w:r/>
    </w:p>
    <w:p>
      <w:pPr>
        <w:pStyle w:val="696"/>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ascii="仿宋" w:hAnsi="仿宋" w:eastAsia="仿宋"/>
          <w:sz w:val="28"/>
          <w:szCs w:val="28"/>
          <w:highlight w:val="none"/>
        </w:rPr>
      </w:r>
      <w:r/>
    </w:p>
    <w:p>
      <w:pPr>
        <w:pStyle w:val="696"/>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32.5如乙方未能履行合同规定的义务，甲方有权从履约保证金中取得补偿。</w:t>
      </w:r>
      <w:r>
        <w:rPr>
          <w:rFonts w:ascii="仿宋" w:hAnsi="仿宋" w:eastAsia="仿宋"/>
          <w:sz w:val="28"/>
          <w:szCs w:val="28"/>
          <w:highlight w:val="none"/>
        </w:rPr>
      </w:r>
      <w:r/>
    </w:p>
    <w:p>
      <w:pPr>
        <w:pStyle w:val="696"/>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sz w:val="28"/>
          <w:szCs w:val="28"/>
          <w:highlight w:val="none"/>
        </w:rPr>
        <w:t xml:space="preserve">    32.7履约保证金在合同约定期间内不予退还或者应完全有效，履约保证金在项目验收合格后无息退还给乙方。</w:t>
      </w:r>
      <w:r>
        <w:rPr>
          <w:rFonts w:hint="eastAsia" w:ascii="仿宋" w:hAnsi="仿宋" w:eastAsia="仿宋"/>
          <w:b/>
          <w:bCs/>
          <w:sz w:val="32"/>
          <w:szCs w:val="28"/>
          <w:highlight w:val="none"/>
        </w:rPr>
      </w:r>
      <w:r/>
    </w:p>
    <w:p>
      <w:pPr>
        <w:pStyle w:val="696"/>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69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节能、环保政策（本项目不涉及）</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696"/>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696"/>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696"/>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734"/>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7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696"/>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7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7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734"/>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7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7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7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7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7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734"/>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696"/>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696"/>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65</w:t>
      </w:r>
      <w:r>
        <w:rPr>
          <w:rFonts w:hint="eastAsia" w:ascii="仿宋" w:hAnsi="仿宋" w:eastAsia="仿宋"/>
          <w:sz w:val="28"/>
          <w:highlight w:val="none"/>
        </w:rPr>
        <w:t xml:space="preserve">分</w:t>
      </w:r>
      <w:r>
        <w:rPr>
          <w:rFonts w:hint="eastAsia" w:ascii="仿宋" w:hAnsi="仿宋" w:eastAsia="仿宋"/>
          <w:sz w:val="28"/>
          <w:highlight w:val="none"/>
        </w:rPr>
      </w:r>
      <w:r/>
    </w:p>
    <w:p>
      <w:pPr>
        <w:pStyle w:val="730"/>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730"/>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65</w:t>
      </w:r>
      <w:r>
        <w:rPr>
          <w:rFonts w:hint="eastAsia" w:ascii="仿宋" w:hAnsi="仿宋" w:eastAsia="仿宋"/>
          <w:highlight w:val="none"/>
        </w:rPr>
        <w:t xml:space="preserve">分</w:t>
      </w:r>
      <w:r>
        <w:rPr>
          <w:rFonts w:hint="eastAsia" w:ascii="仿宋" w:hAnsi="仿宋" w:eastAsia="仿宋"/>
          <w:highlight w:val="none"/>
        </w:rPr>
      </w:r>
      <w:r/>
    </w:p>
    <w:p>
      <w:pPr>
        <w:pStyle w:val="696"/>
        <w:ind w:firstLine="411"/>
        <w:spacing w:line="440" w:lineRule="exact"/>
        <w:rPr>
          <w:rFonts w:hint="eastAsia" w:ascii="仿宋" w:hAnsi="仿宋" w:eastAsia="仿宋" w:cs="Times New Roman"/>
          <w:b/>
          <w:bCs/>
          <w:sz w:val="28"/>
          <w:szCs w:val="24"/>
          <w:highlight w:val="none"/>
          <w:lang w:val="en-US" w:eastAsia="zh-CN" w:bidi="ar-SA"/>
        </w:rPr>
      </w:pPr>
      <w:r>
        <w:rPr>
          <w:rFonts w:hint="eastAsia" w:ascii="仿宋" w:hAnsi="仿宋" w:eastAsia="仿宋" w:cs="Times New Roman"/>
          <w:b/>
          <w:bCs/>
          <w:sz w:val="28"/>
          <w:szCs w:val="24"/>
          <w:highlight w:val="none"/>
          <w:lang w:val="en-US" w:eastAsia="zh-CN" w:bidi="ar-SA"/>
        </w:rPr>
        <w:t xml:space="preserve">注：1）本项目采用单价报价方式。投标人投标报价统一以2026年江苏电力市场年度交易结果公示的2026年年度交易总成交加权均价344.19元/兆瓦时为基数优惠后的价格进行报价。</w:t>
      </w:r>
      <w:r>
        <w:rPr>
          <w:rFonts w:hint="eastAsia" w:ascii="仿宋" w:hAnsi="仿宋" w:eastAsia="仿宋" w:cs="Times New Roman"/>
          <w:b/>
          <w:bCs/>
          <w:sz w:val="28"/>
          <w:szCs w:val="24"/>
          <w:highlight w:val="none"/>
          <w:lang w:val="en-US" w:eastAsia="zh-CN" w:bidi="ar-SA"/>
        </w:rPr>
      </w:r>
      <w:r/>
    </w:p>
    <w:p>
      <w:pPr>
        <w:pStyle w:val="696"/>
        <w:numPr>
          <w:ilvl w:val="0"/>
          <w:numId w:val="5"/>
        </w:numPr>
        <w:ind w:firstLine="562"/>
        <w:keepLines w:val="0"/>
        <w:keepNext w:val="0"/>
        <w:pageBreakBefore w:val="0"/>
        <w:spacing w:line="520" w:lineRule="exact"/>
        <w:rPr>
          <w:rFonts w:hint="eastAsia" w:ascii="仿宋" w:hAnsi="仿宋" w:eastAsia="仿宋" w:cs="Times New Roman"/>
          <w:b/>
          <w:bCs/>
          <w:sz w:val="28"/>
          <w:szCs w:val="24"/>
          <w:highlight w:val="none"/>
          <w:lang w:val="en-US" w:eastAsia="zh-CN" w:bidi="ar-SA"/>
        </w:rPr>
        <w:outlineLvl w:val="9"/>
      </w:pPr>
      <w:r>
        <w:rPr>
          <w:rFonts w:hint="eastAsia" w:ascii="仿宋" w:hAnsi="仿宋" w:eastAsia="仿宋" w:cs="Times New Roman"/>
          <w:b/>
          <w:bCs/>
          <w:sz w:val="28"/>
          <w:szCs w:val="24"/>
          <w:highlight w:val="none"/>
          <w:lang w:val="en-US" w:eastAsia="zh-CN" w:bidi="ar-SA"/>
        </w:rPr>
        <w:t xml:space="preserve">因电子招投标系统中投标报价小数点只保留2位，单位为元。为了便于系统计算，如投标人优惠价格为10.00元/兆瓦时，则投标报价写作334.19元；如投标人优惠价格为1.19元/兆瓦时，则投标报价写作343.00元；如投标人优惠价格为0.09元/兆瓦时，则投标报价写作344.10元。</w:t>
      </w:r>
      <w:r>
        <w:rPr>
          <w:rFonts w:hint="eastAsia" w:ascii="仿宋" w:hAnsi="仿宋" w:eastAsia="仿宋" w:cs="Times New Roman"/>
          <w:b/>
          <w:bCs/>
          <w:sz w:val="28"/>
          <w:szCs w:val="24"/>
          <w:highlight w:val="none"/>
          <w:lang w:val="en-US" w:eastAsia="zh-CN" w:bidi="ar-SA"/>
        </w:rPr>
      </w:r>
      <w:r/>
    </w:p>
    <w:p>
      <w:pPr>
        <w:pStyle w:val="696"/>
        <w:numPr>
          <w:ilvl w:val="0"/>
          <w:numId w:val="5"/>
        </w:numPr>
        <w:ind w:firstLine="562"/>
        <w:keepLines w:val="0"/>
        <w:keepNext w:val="0"/>
        <w:pageBreakBefore w:val="0"/>
        <w:spacing w:line="520" w:lineRule="exact"/>
        <w:rPr>
          <w:rFonts w:ascii="仿宋" w:hAnsi="仿宋" w:eastAsia="仿宋" w:cs="Times New Roman"/>
          <w:b/>
          <w:bCs/>
          <w:sz w:val="28"/>
          <w:szCs w:val="24"/>
          <w:highlight w:val="none"/>
          <w:lang w:val="en-US" w:eastAsia="zh-CN" w:bidi="ar-SA"/>
        </w:rPr>
        <w:outlineLvl w:val="9"/>
      </w:pPr>
      <w:r>
        <w:rPr>
          <w:rFonts w:ascii="仿宋" w:hAnsi="仿宋" w:eastAsia="仿宋" w:cs="Times New Roman"/>
          <w:b/>
          <w:bCs/>
          <w:sz w:val="28"/>
          <w:szCs w:val="24"/>
          <w:highlight w:val="none"/>
          <w:lang w:val="en-US" w:eastAsia="zh-CN" w:bidi="ar-SA"/>
        </w:rPr>
        <w:t xml:space="preserve">甲方的结算电价=2027年（合同拟执行年份）江苏电力市场年度总交易成交均价（含辅助服务费用、利润、税金及支付给员工的工资和国家强制缴纳的各种社会保障资金等全部费用，以及与本项目有关的所有费用，中途所涉及到协助采购人申请办理电力交易有关手续等工作均不再另计费用）-中标人“优惠价格”+上网环节线损费用折价+电度输配电价+系统运行费用折价+政府性基金及附加。其中输配电价格、政府性基金及附加根据江苏省发展和改革委员会价格部门的发文确定。</w:t>
      </w:r>
      <w:r>
        <w:rPr>
          <w:rFonts w:ascii="仿宋" w:hAnsi="仿宋" w:eastAsia="仿宋" w:cs="Times New Roman"/>
          <w:b/>
          <w:bCs/>
          <w:sz w:val="28"/>
          <w:szCs w:val="24"/>
          <w:highlight w:val="none"/>
          <w:lang w:val="en-US" w:eastAsia="zh-CN" w:bidi="ar-SA"/>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方案部分</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23</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96"/>
        <w:ind w:firstLine="560"/>
        <w:spacing w:line="520" w:lineRule="exact"/>
        <w:rPr>
          <w:rFonts w:eastAsia="仿宋"/>
          <w:sz w:val="28"/>
          <w:szCs w:val="28"/>
          <w:highlight w:val="none"/>
        </w:rPr>
      </w:pPr>
      <w:r>
        <w:rPr>
          <w:rFonts w:hint="eastAsia" w:eastAsia="仿宋"/>
          <w:sz w:val="28"/>
          <w:szCs w:val="28"/>
          <w:highlight w:val="none"/>
        </w:rPr>
        <w:t xml:space="preserve">（1）项目整体服务规划（</w:t>
      </w:r>
      <w:r>
        <w:rPr>
          <w:rFonts w:eastAsia="仿宋"/>
          <w:sz w:val="28"/>
          <w:szCs w:val="28"/>
          <w:highlight w:val="none"/>
        </w:rPr>
        <w:t xml:space="preserve">5</w:t>
      </w:r>
      <w:r>
        <w:rPr>
          <w:rFonts w:hint="eastAsia" w:eastAsia="仿宋"/>
          <w:sz w:val="28"/>
          <w:szCs w:val="28"/>
          <w:highlight w:val="none"/>
        </w:rPr>
        <w:t xml:space="preserve">分）</w:t>
      </w:r>
      <w:r>
        <w:rPr>
          <w:rFonts w:eastAsia="仿宋"/>
          <w:sz w:val="28"/>
          <w:szCs w:val="28"/>
          <w:highlight w:val="none"/>
        </w:rPr>
      </w:r>
      <w:r/>
    </w:p>
    <w:p>
      <w:pPr>
        <w:pStyle w:val="696"/>
        <w:ind w:firstLine="560"/>
        <w:spacing w:line="520" w:lineRule="exact"/>
        <w:rPr>
          <w:rFonts w:eastAsia="仿宋"/>
          <w:sz w:val="28"/>
          <w:szCs w:val="28"/>
          <w:highlight w:val="none"/>
        </w:rPr>
      </w:pPr>
      <w:r>
        <w:rPr>
          <w:rFonts w:hint="eastAsia" w:eastAsia="仿宋"/>
          <w:sz w:val="28"/>
          <w:szCs w:val="28"/>
          <w:highlight w:val="none"/>
        </w:rPr>
        <w:t xml:space="preserve">整体设想周到全面，售电解决方案规划全面详细、针对性强，服务质量目标明确。方案内容详细完善、有针对性解释说明且优于项目需求的得</w:t>
      </w:r>
      <w:r>
        <w:rPr>
          <w:rFonts w:eastAsia="仿宋"/>
          <w:sz w:val="28"/>
          <w:szCs w:val="28"/>
          <w:highlight w:val="none"/>
        </w:rPr>
        <w:t xml:space="preserve">5</w:t>
      </w:r>
      <w:r>
        <w:rPr>
          <w:rFonts w:hint="eastAsia" w:eastAsia="仿宋"/>
          <w:sz w:val="28"/>
          <w:szCs w:val="28"/>
          <w:highlight w:val="none"/>
        </w:rPr>
        <w:t xml:space="preserve">分，完全符合项目需求的得</w:t>
      </w:r>
      <w:r>
        <w:rPr>
          <w:rFonts w:eastAsia="仿宋"/>
          <w:sz w:val="28"/>
          <w:szCs w:val="28"/>
          <w:highlight w:val="none"/>
        </w:rPr>
        <w:t xml:space="preserve">3.5</w:t>
      </w:r>
      <w:r>
        <w:rPr>
          <w:rFonts w:hint="eastAsia" w:eastAsia="仿宋"/>
          <w:sz w:val="28"/>
          <w:szCs w:val="28"/>
          <w:highlight w:val="none"/>
        </w:rPr>
        <w:t xml:space="preserve">分，基本符合项目需求的得</w:t>
      </w:r>
      <w:r>
        <w:rPr>
          <w:rFonts w:eastAsia="仿宋"/>
          <w:sz w:val="28"/>
          <w:szCs w:val="28"/>
          <w:highlight w:val="none"/>
        </w:rPr>
        <w:t xml:space="preserve">2</w:t>
      </w:r>
      <w:r>
        <w:rPr>
          <w:rFonts w:hint="eastAsia" w:eastAsia="仿宋"/>
          <w:sz w:val="28"/>
          <w:szCs w:val="28"/>
          <w:highlight w:val="none"/>
        </w:rPr>
        <w:t xml:space="preserve">分，不符合项目需求或不提供不得分。</w:t>
      </w:r>
      <w:r>
        <w:rPr>
          <w:rFonts w:eastAsia="仿宋"/>
          <w:sz w:val="28"/>
          <w:szCs w:val="28"/>
          <w:highlight w:val="none"/>
        </w:rPr>
      </w:r>
      <w:r/>
    </w:p>
    <w:p>
      <w:pPr>
        <w:pStyle w:val="696"/>
        <w:ind w:firstLine="560"/>
        <w:spacing w:line="520" w:lineRule="exact"/>
        <w:rPr>
          <w:rFonts w:eastAsia="仿宋"/>
          <w:sz w:val="28"/>
          <w:szCs w:val="28"/>
          <w:highlight w:val="none"/>
        </w:rPr>
      </w:pPr>
      <w:r>
        <w:rPr>
          <w:rFonts w:hint="eastAsia" w:eastAsia="仿宋"/>
          <w:sz w:val="28"/>
          <w:szCs w:val="28"/>
          <w:highlight w:val="none"/>
        </w:rPr>
        <w:t xml:space="preserve">（2）安全保障机制方案（</w:t>
      </w:r>
      <w:r>
        <w:rPr>
          <w:rFonts w:eastAsia="仿宋"/>
          <w:sz w:val="28"/>
          <w:szCs w:val="28"/>
          <w:highlight w:val="none"/>
        </w:rPr>
        <w:t xml:space="preserve">5</w:t>
      </w:r>
      <w:r>
        <w:rPr>
          <w:rFonts w:hint="eastAsia" w:eastAsia="仿宋"/>
          <w:sz w:val="28"/>
          <w:szCs w:val="28"/>
          <w:highlight w:val="none"/>
        </w:rPr>
        <w:t xml:space="preserve">分）</w:t>
      </w:r>
      <w:r>
        <w:rPr>
          <w:rFonts w:eastAsia="仿宋"/>
          <w:sz w:val="28"/>
          <w:szCs w:val="28"/>
          <w:highlight w:val="none"/>
        </w:rPr>
      </w:r>
      <w:r/>
    </w:p>
    <w:p>
      <w:pPr>
        <w:pStyle w:val="696"/>
        <w:ind w:firstLine="560"/>
        <w:spacing w:line="520" w:lineRule="exact"/>
        <w:rPr>
          <w:rFonts w:eastAsia="仿宋"/>
          <w:sz w:val="28"/>
          <w:szCs w:val="28"/>
          <w:highlight w:val="none"/>
        </w:rPr>
      </w:pPr>
      <w:r>
        <w:rPr>
          <w:rFonts w:hint="eastAsia" w:eastAsia="仿宋"/>
          <w:sz w:val="28"/>
          <w:szCs w:val="28"/>
          <w:highlight w:val="none"/>
        </w:rPr>
        <w:t xml:space="preserve">投标人根据本项目需求和实际情况制定。内容完整且阐述详细、具体、明确、安全性强、与项目需求吻合程度高且优于项目需求的得</w:t>
      </w:r>
      <w:r>
        <w:rPr>
          <w:rFonts w:eastAsia="仿宋"/>
          <w:sz w:val="28"/>
          <w:szCs w:val="28"/>
          <w:highlight w:val="none"/>
        </w:rPr>
        <w:t xml:space="preserve">5</w:t>
      </w:r>
      <w:r>
        <w:rPr>
          <w:rFonts w:hint="eastAsia" w:eastAsia="仿宋"/>
          <w:sz w:val="28"/>
          <w:szCs w:val="28"/>
          <w:highlight w:val="none"/>
        </w:rPr>
        <w:t xml:space="preserve">分，阐述简单但内容完整、基本符合采购需求的得</w:t>
      </w:r>
      <w:r>
        <w:rPr>
          <w:rFonts w:eastAsia="仿宋"/>
          <w:sz w:val="28"/>
          <w:szCs w:val="28"/>
          <w:highlight w:val="none"/>
        </w:rPr>
        <w:t xml:space="preserve">3.5</w:t>
      </w:r>
      <w:r>
        <w:rPr>
          <w:rFonts w:hint="eastAsia" w:eastAsia="仿宋"/>
          <w:sz w:val="28"/>
          <w:szCs w:val="28"/>
          <w:highlight w:val="none"/>
        </w:rPr>
        <w:t xml:space="preserve">分，描述一般、结构较清晰的得</w:t>
      </w:r>
      <w:r>
        <w:rPr>
          <w:rFonts w:eastAsia="仿宋"/>
          <w:sz w:val="28"/>
          <w:szCs w:val="28"/>
          <w:highlight w:val="none"/>
        </w:rPr>
        <w:t xml:space="preserve">2</w:t>
      </w:r>
      <w:r>
        <w:rPr>
          <w:rFonts w:hint="eastAsia" w:eastAsia="仿宋"/>
          <w:sz w:val="28"/>
          <w:szCs w:val="28"/>
          <w:highlight w:val="none"/>
        </w:rPr>
        <w:t xml:space="preserve">分，不符合项目需求或不提供的不得分。</w:t>
      </w:r>
      <w:r>
        <w:rPr>
          <w:rFonts w:eastAsia="仿宋"/>
          <w:sz w:val="28"/>
          <w:szCs w:val="28"/>
          <w:highlight w:val="none"/>
        </w:rPr>
      </w:r>
      <w:r/>
    </w:p>
    <w:p>
      <w:pPr>
        <w:pStyle w:val="696"/>
        <w:ind w:firstLine="560"/>
        <w:spacing w:line="520" w:lineRule="exact"/>
        <w:rPr>
          <w:rFonts w:eastAsia="仿宋"/>
          <w:sz w:val="28"/>
          <w:szCs w:val="28"/>
          <w:highlight w:val="none"/>
        </w:rPr>
      </w:pPr>
      <w:r>
        <w:rPr>
          <w:rFonts w:hint="eastAsia" w:eastAsia="仿宋"/>
          <w:sz w:val="28"/>
          <w:szCs w:val="28"/>
          <w:highlight w:val="none"/>
        </w:rPr>
        <w:t xml:space="preserve">（</w:t>
      </w:r>
      <w:r>
        <w:rPr>
          <w:rFonts w:eastAsia="仿宋"/>
          <w:sz w:val="28"/>
          <w:szCs w:val="28"/>
          <w:highlight w:val="none"/>
        </w:rPr>
        <w:t xml:space="preserve">3</w:t>
      </w:r>
      <w:r>
        <w:rPr>
          <w:rFonts w:hint="eastAsia" w:eastAsia="仿宋"/>
          <w:sz w:val="28"/>
          <w:szCs w:val="28"/>
          <w:highlight w:val="none"/>
        </w:rPr>
        <w:t xml:space="preserve">）服务保证措施（</w:t>
      </w:r>
      <w:r>
        <w:rPr>
          <w:rFonts w:eastAsia="仿宋"/>
          <w:sz w:val="28"/>
          <w:szCs w:val="28"/>
          <w:highlight w:val="none"/>
        </w:rPr>
        <w:t xml:space="preserve">5</w:t>
      </w:r>
      <w:r>
        <w:rPr>
          <w:rFonts w:hint="eastAsia" w:eastAsia="仿宋"/>
          <w:sz w:val="28"/>
          <w:szCs w:val="28"/>
          <w:highlight w:val="none"/>
        </w:rPr>
        <w:t xml:space="preserve">分）</w:t>
      </w:r>
      <w:r>
        <w:rPr>
          <w:rFonts w:eastAsia="仿宋"/>
          <w:sz w:val="28"/>
          <w:szCs w:val="28"/>
          <w:highlight w:val="none"/>
        </w:rPr>
      </w:r>
      <w:r/>
    </w:p>
    <w:p>
      <w:pPr>
        <w:pStyle w:val="696"/>
        <w:ind w:firstLine="560"/>
        <w:spacing w:line="520" w:lineRule="exact"/>
        <w:rPr>
          <w:rFonts w:eastAsia="仿宋"/>
          <w:sz w:val="28"/>
          <w:szCs w:val="28"/>
          <w:highlight w:val="none"/>
        </w:rPr>
      </w:pPr>
      <w:r>
        <w:rPr>
          <w:rFonts w:hint="eastAsia" w:eastAsia="仿宋"/>
          <w:sz w:val="28"/>
          <w:szCs w:val="28"/>
          <w:highlight w:val="none"/>
        </w:rPr>
        <w:t xml:space="preserve">投标人根据本项目需求和实际情况制定。内容描述完整详尽，结构清晰严谨，制度齐全，进度流程科学合理、措施有效，可落地性强且优于项目需求的得</w:t>
      </w:r>
      <w:r>
        <w:rPr>
          <w:rFonts w:eastAsia="仿宋"/>
          <w:sz w:val="28"/>
          <w:szCs w:val="28"/>
          <w:highlight w:val="none"/>
        </w:rPr>
        <w:t xml:space="preserve">5</w:t>
      </w:r>
      <w:r>
        <w:rPr>
          <w:rFonts w:hint="eastAsia" w:eastAsia="仿宋"/>
          <w:sz w:val="28"/>
          <w:szCs w:val="28"/>
          <w:highlight w:val="none"/>
        </w:rPr>
        <w:t xml:space="preserve">分，方案描述一般，结构较清晰，制度通用，进度流程常规、措施通用，可落地性一般且完全符合项目需求的得</w:t>
      </w:r>
      <w:r>
        <w:rPr>
          <w:rFonts w:eastAsia="仿宋"/>
          <w:sz w:val="28"/>
          <w:szCs w:val="28"/>
          <w:highlight w:val="none"/>
        </w:rPr>
        <w:t xml:space="preserve">3.5</w:t>
      </w:r>
      <w:r>
        <w:rPr>
          <w:rFonts w:hint="eastAsia" w:eastAsia="仿宋"/>
          <w:sz w:val="28"/>
          <w:szCs w:val="28"/>
          <w:highlight w:val="none"/>
        </w:rPr>
        <w:t xml:space="preserve">分，基本符合项目需求的得</w:t>
      </w:r>
      <w:r>
        <w:rPr>
          <w:rFonts w:eastAsia="仿宋"/>
          <w:sz w:val="28"/>
          <w:szCs w:val="28"/>
          <w:highlight w:val="none"/>
        </w:rPr>
        <w:t xml:space="preserve">2</w:t>
      </w:r>
      <w:r>
        <w:rPr>
          <w:rFonts w:hint="eastAsia" w:eastAsia="仿宋"/>
          <w:sz w:val="28"/>
          <w:szCs w:val="28"/>
          <w:highlight w:val="none"/>
        </w:rPr>
        <w:t xml:space="preserve">分，不符合项目需求或不提供的不得分。</w:t>
      </w:r>
      <w:r>
        <w:rPr>
          <w:rFonts w:eastAsia="仿宋"/>
          <w:sz w:val="28"/>
          <w:szCs w:val="28"/>
          <w:highlight w:val="none"/>
        </w:rPr>
      </w:r>
      <w:r/>
    </w:p>
    <w:p>
      <w:pPr>
        <w:pStyle w:val="696"/>
        <w:ind w:firstLine="560"/>
        <w:spacing w:line="520" w:lineRule="exact"/>
        <w:rPr>
          <w:rFonts w:eastAsia="仿宋"/>
          <w:sz w:val="28"/>
          <w:szCs w:val="28"/>
          <w:highlight w:val="none"/>
        </w:rPr>
      </w:pPr>
      <w:r>
        <w:rPr>
          <w:rFonts w:hint="eastAsia" w:eastAsia="仿宋"/>
          <w:sz w:val="28"/>
          <w:szCs w:val="28"/>
          <w:highlight w:val="none"/>
        </w:rPr>
        <w:t xml:space="preserve">（</w:t>
      </w:r>
      <w:r>
        <w:rPr>
          <w:rFonts w:eastAsia="仿宋"/>
          <w:sz w:val="28"/>
          <w:szCs w:val="28"/>
          <w:highlight w:val="none"/>
        </w:rPr>
        <w:t xml:space="preserve">4</w:t>
      </w:r>
      <w:r>
        <w:rPr>
          <w:rFonts w:hint="eastAsia" w:eastAsia="仿宋"/>
          <w:sz w:val="28"/>
          <w:szCs w:val="28"/>
          <w:highlight w:val="none"/>
        </w:rPr>
        <w:t xml:space="preserve">）综合能源服务，用电指导以及后期新能源需求建议（</w:t>
      </w:r>
      <w:r>
        <w:rPr>
          <w:rFonts w:eastAsia="仿宋"/>
          <w:sz w:val="28"/>
          <w:szCs w:val="28"/>
          <w:highlight w:val="none"/>
        </w:rPr>
        <w:t xml:space="preserve">4</w:t>
      </w:r>
      <w:r>
        <w:rPr>
          <w:rFonts w:hint="eastAsia" w:eastAsia="仿宋"/>
          <w:sz w:val="28"/>
          <w:szCs w:val="28"/>
          <w:highlight w:val="none"/>
        </w:rPr>
        <w:t xml:space="preserve">分）</w:t>
      </w:r>
      <w:r>
        <w:rPr>
          <w:rFonts w:eastAsia="仿宋"/>
          <w:sz w:val="28"/>
          <w:szCs w:val="28"/>
          <w:highlight w:val="none"/>
        </w:rPr>
      </w:r>
      <w:r/>
    </w:p>
    <w:p>
      <w:pPr>
        <w:pStyle w:val="696"/>
        <w:ind w:firstLine="560"/>
        <w:spacing w:line="520" w:lineRule="exact"/>
        <w:rPr>
          <w:rFonts w:eastAsia="仿宋"/>
          <w:sz w:val="28"/>
          <w:szCs w:val="28"/>
          <w:highlight w:val="none"/>
        </w:rPr>
      </w:pPr>
      <w:r>
        <w:rPr>
          <w:rFonts w:hint="eastAsia" w:eastAsia="仿宋"/>
          <w:sz w:val="28"/>
          <w:szCs w:val="28"/>
          <w:highlight w:val="none"/>
        </w:rPr>
        <w:t xml:space="preserve">投标人根据本项目需求和实际情况制定。描述详细、具体、明确的，对关键内容分析到位、全面，有利于实施且优于项目需求的的得</w:t>
      </w:r>
      <w:r>
        <w:rPr>
          <w:rFonts w:eastAsia="仿宋"/>
          <w:sz w:val="28"/>
          <w:szCs w:val="28"/>
          <w:highlight w:val="none"/>
        </w:rPr>
        <w:t xml:space="preserve">4</w:t>
      </w:r>
      <w:r>
        <w:rPr>
          <w:rFonts w:hint="eastAsia" w:eastAsia="仿宋"/>
          <w:sz w:val="28"/>
          <w:szCs w:val="28"/>
          <w:highlight w:val="none"/>
        </w:rPr>
        <w:t xml:space="preserve">分，描述较为简单，但内容完整、对关键内容分析到位，在一定程度上有利于实施且完全符合项目需求的得</w:t>
      </w:r>
      <w:r>
        <w:rPr>
          <w:rFonts w:eastAsia="仿宋"/>
          <w:sz w:val="28"/>
          <w:szCs w:val="28"/>
          <w:highlight w:val="none"/>
        </w:rPr>
        <w:t xml:space="preserve">3</w:t>
      </w:r>
      <w:r>
        <w:rPr>
          <w:rFonts w:hint="eastAsia" w:eastAsia="仿宋"/>
          <w:sz w:val="28"/>
          <w:szCs w:val="28"/>
          <w:highlight w:val="none"/>
        </w:rPr>
        <w:t xml:space="preserve">分，基本符合项目需求的得</w:t>
      </w:r>
      <w:r>
        <w:rPr>
          <w:rFonts w:eastAsia="仿宋"/>
          <w:sz w:val="28"/>
          <w:szCs w:val="28"/>
          <w:highlight w:val="none"/>
        </w:rPr>
        <w:t xml:space="preserve">2</w:t>
      </w:r>
      <w:r>
        <w:rPr>
          <w:rFonts w:hint="eastAsia" w:eastAsia="仿宋"/>
          <w:sz w:val="28"/>
          <w:szCs w:val="28"/>
          <w:highlight w:val="none"/>
        </w:rPr>
        <w:t xml:space="preserve">分，不符合项目需求或不提供的不得分。</w:t>
      </w:r>
      <w:r>
        <w:rPr>
          <w:rFonts w:eastAsia="仿宋"/>
          <w:sz w:val="28"/>
          <w:szCs w:val="28"/>
          <w:highlight w:val="none"/>
        </w:rPr>
      </w:r>
      <w:r/>
    </w:p>
    <w:p>
      <w:pPr>
        <w:pStyle w:val="696"/>
        <w:ind w:firstLine="560"/>
        <w:spacing w:line="520" w:lineRule="exact"/>
        <w:rPr>
          <w:rFonts w:eastAsia="仿宋"/>
          <w:sz w:val="28"/>
          <w:szCs w:val="28"/>
          <w:highlight w:val="none"/>
        </w:rPr>
      </w:pPr>
      <w:r>
        <w:rPr>
          <w:rFonts w:hint="eastAsia" w:eastAsia="仿宋"/>
          <w:sz w:val="28"/>
          <w:szCs w:val="28"/>
          <w:highlight w:val="none"/>
        </w:rPr>
        <w:t xml:space="preserve">（</w:t>
      </w:r>
      <w:r>
        <w:rPr>
          <w:rFonts w:eastAsia="仿宋"/>
          <w:sz w:val="28"/>
          <w:szCs w:val="28"/>
          <w:highlight w:val="none"/>
        </w:rPr>
        <w:t xml:space="preserve">5</w:t>
      </w:r>
      <w:r>
        <w:rPr>
          <w:rFonts w:hint="eastAsia" w:eastAsia="仿宋"/>
          <w:sz w:val="28"/>
          <w:szCs w:val="28"/>
          <w:highlight w:val="none"/>
        </w:rPr>
        <w:t xml:space="preserve">）项目的重点及难点分析（</w:t>
      </w:r>
      <w:r>
        <w:rPr>
          <w:rFonts w:eastAsia="仿宋"/>
          <w:sz w:val="28"/>
          <w:szCs w:val="28"/>
          <w:highlight w:val="none"/>
        </w:rPr>
        <w:t xml:space="preserve">4</w:t>
      </w:r>
      <w:r>
        <w:rPr>
          <w:rFonts w:hint="eastAsia" w:eastAsia="仿宋"/>
          <w:sz w:val="28"/>
          <w:szCs w:val="28"/>
          <w:highlight w:val="none"/>
        </w:rPr>
        <w:t xml:space="preserve">分）</w:t>
      </w:r>
      <w:r>
        <w:rPr>
          <w:rFonts w:eastAsia="仿宋"/>
          <w:sz w:val="28"/>
          <w:szCs w:val="28"/>
          <w:highlight w:val="none"/>
        </w:rPr>
      </w:r>
      <w:r/>
    </w:p>
    <w:p>
      <w:pPr>
        <w:pStyle w:val="696"/>
        <w:ind w:firstLine="560"/>
        <w:spacing w:line="520" w:lineRule="exact"/>
        <w:rPr>
          <w:rFonts w:eastAsia="仿宋"/>
          <w:sz w:val="28"/>
          <w:szCs w:val="28"/>
          <w:highlight w:val="none"/>
        </w:rPr>
      </w:pPr>
      <w:r>
        <w:rPr>
          <w:rFonts w:hint="eastAsia" w:eastAsia="仿宋"/>
          <w:sz w:val="28"/>
          <w:szCs w:val="28"/>
          <w:highlight w:val="none"/>
        </w:rPr>
        <w:t xml:space="preserve">投标人根据本项目需求和实际情况制定。内容详尽、科学合理、切实可行且优于项目需求的的得</w:t>
      </w:r>
      <w:r>
        <w:rPr>
          <w:rFonts w:eastAsia="仿宋"/>
          <w:sz w:val="28"/>
          <w:szCs w:val="28"/>
          <w:highlight w:val="none"/>
        </w:rPr>
        <w:t xml:space="preserve">4</w:t>
      </w:r>
      <w:r>
        <w:rPr>
          <w:rFonts w:hint="eastAsia" w:eastAsia="仿宋"/>
          <w:sz w:val="28"/>
          <w:szCs w:val="28"/>
          <w:highlight w:val="none"/>
        </w:rPr>
        <w:t xml:space="preserve">分，内容完整、合理可行且完全符合项目需求的得</w:t>
      </w:r>
      <w:r>
        <w:rPr>
          <w:rFonts w:eastAsia="仿宋"/>
          <w:sz w:val="28"/>
          <w:szCs w:val="28"/>
          <w:highlight w:val="none"/>
        </w:rPr>
        <w:t xml:space="preserve">3</w:t>
      </w:r>
      <w:r>
        <w:rPr>
          <w:rFonts w:hint="eastAsia" w:eastAsia="仿宋"/>
          <w:sz w:val="28"/>
          <w:szCs w:val="28"/>
          <w:highlight w:val="none"/>
        </w:rPr>
        <w:t xml:space="preserve">分，基本符合项目需求的得</w:t>
      </w:r>
      <w:r>
        <w:rPr>
          <w:rFonts w:eastAsia="仿宋"/>
          <w:sz w:val="28"/>
          <w:szCs w:val="28"/>
          <w:highlight w:val="none"/>
        </w:rPr>
        <w:t xml:space="preserve">2</w:t>
      </w:r>
      <w:r>
        <w:rPr>
          <w:rFonts w:hint="eastAsia" w:eastAsia="仿宋"/>
          <w:sz w:val="28"/>
          <w:szCs w:val="28"/>
          <w:highlight w:val="none"/>
        </w:rPr>
        <w:t xml:space="preserve">分，不符合项目需求或不提供的不得分。</w:t>
      </w:r>
      <w:r>
        <w:rPr>
          <w:rFonts w:eastAsia="仿宋"/>
          <w:sz w:val="28"/>
          <w:szCs w:val="28"/>
          <w:highlight w:val="none"/>
        </w:rPr>
      </w:r>
      <w:r/>
    </w:p>
    <w:p>
      <w:pPr>
        <w:pStyle w:val="696"/>
        <w:ind w:firstLine="560"/>
        <w:spacing w:line="520" w:lineRule="exact"/>
        <w:rPr>
          <w:rFonts w:hint="eastAsia" w:ascii="仿宋" w:hAnsi="仿宋" w:eastAsia="仿宋"/>
          <w:sz w:val="28"/>
          <w:szCs w:val="28"/>
          <w:highlight w:val="none"/>
        </w:rPr>
      </w:pPr>
      <w:r>
        <w:rPr>
          <w:rFonts w:hint="eastAsia" w:eastAsia="仿宋"/>
          <w:b/>
          <w:bCs/>
          <w:sz w:val="28"/>
          <w:szCs w:val="28"/>
          <w:highlight w:val="none"/>
        </w:rPr>
        <w:t xml:space="preserve">注：本项目的方案部分采用暗标方式进行评审，投标人需按照第二章“投标人须知”第17条的要求编制方案，未按要求编制的本项不得分。</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12</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96"/>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自2022年1月1日（指合同签订日期）以来承接过同类项目（城市道路照明（或路灯）售电业务，不含厂区）成功案例，每提供一个得4分，本项最多得8分。（提供合同、省电力交易中心备案的扫描件并并加盖投标人电子签章，如合同中不能反映项目内容的，还需提供由用户出具的相关证明材料并加盖用户公章，缺一不可得分、不提供不得分；同一甲方多次、多年度委托的同一家单位的，只计算一次分值）</w:t>
      </w:r>
      <w:r>
        <w:rPr>
          <w:rFonts w:hint="eastAsia" w:ascii="仿宋" w:hAnsi="仿宋" w:eastAsia="仿宋"/>
          <w:sz w:val="28"/>
          <w:szCs w:val="28"/>
          <w:highlight w:val="none"/>
        </w:rPr>
      </w:r>
      <w:r/>
    </w:p>
    <w:p>
      <w:pPr>
        <w:pStyle w:val="696"/>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（2）投标人开展过绿电交易，投标人需提供自2022年1月1日以来取得绿证业绩的得2分，不提供不得分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（提供江苏省电力交易中心绿电成交证明截图或中国绿色电力证书交易平台成交证明截图并加盖投标人电子签章，不提供不得分）</w:t>
      </w:r>
      <w:r>
        <w:rPr>
          <w:rFonts w:hint="eastAsia" w:ascii="仿宋" w:hAnsi="仿宋" w:eastAsia="仿宋"/>
          <w:sz w:val="28"/>
          <w:szCs w:val="28"/>
          <w:highlight w:val="none"/>
        </w:rPr>
      </w:r>
      <w:r/>
    </w:p>
    <w:p>
      <w:pPr>
        <w:pStyle w:val="696"/>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（3）同公司或集团内部拥有发电企业（厂）的得2分。（提供投标人与发电企业存在相联关系（如控股、母子公司关系等）、发电企业（厂）营业执照等证明材料并加盖投标人电子签章，不提供不得分）</w:t>
      </w:r>
      <w:r>
        <w:rPr>
          <w:rFonts w:hint="eastAsia" w:ascii="仿宋" w:hAnsi="仿宋" w:eastAsia="仿宋"/>
          <w:sz w:val="28"/>
          <w:szCs w:val="28"/>
          <w:highlight w:val="none"/>
        </w:rPr>
      </w:r>
      <w:r/>
    </w:p>
    <w:p>
      <w:pPr>
        <w:pStyle w:val="696"/>
        <w:ind w:firstLine="560"/>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696"/>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717"/>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717"/>
        <w:jc w:val="cente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一、售电公司与电力用户购售电合同（示范文本）</w:t>
      </w:r>
      <w:r>
        <w:rPr>
          <w:rFonts w:hint="eastAsia" w:ascii="仿宋" w:hAnsi="仿宋" w:eastAsia="仿宋"/>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售电公司与电力用户购售电合同（以下简称本合同）由下列双方签署：</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1、购电方（电力用户，以下简称甲方）：</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，系一家具有</w:t>
      </w:r>
      <w:r>
        <w:rPr>
          <w:rFonts w:hint="eastAsia" w:ascii="仿宋" w:hAnsi="仿宋" w:eastAsia="仿宋" w:cs="仿宋"/>
          <w:b w:val="0"/>
          <w:bCs/>
          <w:sz w:val="28"/>
          <w:szCs w:val="28"/>
          <w:highlight w:val="none"/>
          <w:u w:val="single"/>
        </w:rPr>
        <w:t xml:space="preserve">法人资格/经法人单位授权</w:t>
      </w:r>
      <w:r>
        <w:rPr>
          <w:rFonts w:hint="eastAsia" w:ascii="仿宋" w:hAnsi="仿宋" w:eastAsia="仿宋" w:cs="仿宋"/>
          <w:b w:val="0"/>
          <w:bCs/>
          <w:sz w:val="28"/>
          <w:szCs w:val="28"/>
          <w:highlight w:val="none"/>
        </w:rPr>
        <w:t xml:space="preserve">的用电企业，统一社会信用代码：</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，住所：</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，法定代表人∕授权代理人：</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。甲方开户银行及账号：开户名称：</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开户银行：</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账号：</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rPr>
      </w:r>
      <w:r/>
    </w:p>
    <w:p>
      <w:pPr>
        <w:pStyle w:val="696"/>
        <w:ind w:firstLine="560"/>
        <w:spacing w:line="360" w:lineRule="auto"/>
        <w:tabs>
          <w:tab w:val="left" w:pos="204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甲方合同联系人（必填）：</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，联系电话（必填）：</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，联系邮箱：</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甲方用电地址：</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对应户号：</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（如用电地址有多个，可以自行扩展补充或作为附表列 出）</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 w:val="left" w:pos="85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2、售电方（售电公司，以下简称乙方）：</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，系一家具有法人资格的售电公司，企业所在地为</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，在</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办理工商登记注册，统一社会信用代码：</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，住所：</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，法定代表人∕授权代理人：</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。乙方开户银行及账号：开户名称：</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开户银行：</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账号：</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乙方合同联系人（必填）：</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，联系电话（必填）：</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，联系邮箱：</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鉴于：</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1、甲方已和所在地电网企业（含增量配网企业，下同）签订正式供用电合同（非临时用电协议），甲方所有的供电（含供电安全、用电容量、抄表计量等）和资金缴费事宜均由所在地电网企业承担。</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2、乙方符合国家发展改革委、国家能源局《售电公司准入与退出管理办法》准入条件，在江苏电力交易中心有限公司（以下简称：交易中心）完成公示、承诺、注册、备案程序，具备参加电力市场的购售电资格。</w:t>
      </w:r>
      <w:r>
        <w:rPr>
          <w:rFonts w:hint="eastAsia" w:ascii="仿宋" w:hAnsi="仿宋" w:eastAsia="仿宋" w:cs="仿宋"/>
          <w:b w:val="0"/>
          <w:bCs/>
          <w:sz w:val="28"/>
          <w:szCs w:val="28"/>
          <w:highlight w:val="none"/>
        </w:rPr>
      </w:r>
      <w:r/>
    </w:p>
    <w:p>
      <w:pPr>
        <w:pStyle w:val="696"/>
        <w:ind w:firstLine="560"/>
        <w:spacing w:line="520" w:lineRule="exact"/>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3、甲、乙双方通过江苏省电力交易中心及电网企业的输配电网完成电能购售电交易，双方根据国家有关法律、法规，依据江苏省政府相关部门电力体制改革政策文件，本着平等、自愿、公平和诚信的原则，经协商一致，签订本合同。</w:t>
      </w:r>
      <w:r>
        <w:rPr>
          <w:rFonts w:hint="eastAsia" w:ascii="仿宋" w:hAnsi="仿宋" w:eastAsia="仿宋" w:cs="仿宋"/>
          <w:b w:val="0"/>
          <w:bCs/>
          <w:sz w:val="28"/>
          <w:szCs w:val="28"/>
          <w:highlight w:val="none"/>
        </w:rPr>
      </w:r>
      <w:r/>
    </w:p>
    <w:p>
      <w:pPr>
        <w:pStyle w:val="696"/>
        <w:ind w:firstLine="560"/>
        <w:spacing w:line="520" w:lineRule="exact"/>
        <w:widowControl/>
        <w:rPr>
          <w:rFonts w:hint="eastAsia" w:ascii="仿宋" w:hAnsi="仿宋" w:eastAsia="仿宋" w:cs="仿宋"/>
          <w:b w:val="0"/>
          <w:bCs/>
          <w:sz w:val="28"/>
          <w:szCs w:val="28"/>
          <w:highlight w:val="none"/>
          <w:lang w:val="zh-TW"/>
        </w:rPr>
      </w:pPr>
      <w:r>
        <w:rPr>
          <w:rFonts w:hint="eastAsia" w:ascii="仿宋" w:hAnsi="仿宋" w:eastAsia="仿宋" w:cs="仿宋"/>
          <w:b w:val="0"/>
          <w:bCs/>
          <w:sz w:val="28"/>
          <w:szCs w:val="28"/>
          <w:highlight w:val="none"/>
          <w:lang w:bidi="ar"/>
        </w:rPr>
        <w:t xml:space="preserve">4、中标人对商品的包装应按照“财办库〔2020〕123号《关于印发《商品包装政府采购需求标准（试行）》、《快递包装政府采购需求标准（试行）》的通知》”执行。涉及设备运维参考《绿色数据中心政府采购需求标准（试行）》（财库【2023】7号文）执行。中标人在服务过程中能到做到低碳物流、环保节约、提高资源利用率。相关设备、运维服务，应该有利于节约能源、环境保护和资源循环利用。</w:t>
      </w:r>
      <w:r>
        <w:rPr>
          <w:rFonts w:hint="eastAsia" w:ascii="仿宋" w:hAnsi="仿宋" w:eastAsia="仿宋" w:cs="仿宋"/>
          <w:b w:val="0"/>
          <w:bCs/>
          <w:sz w:val="28"/>
          <w:szCs w:val="28"/>
          <w:highlight w:val="none"/>
          <w:lang w:val="zh-TW"/>
        </w:rPr>
      </w:r>
      <w:r/>
    </w:p>
    <w:p>
      <w:pPr>
        <w:pStyle w:val="696"/>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bookmarkStart w:id="36" w:name="_bookmark0"/>
      <w:r/>
      <w:bookmarkEnd w:id="36"/>
      <w:r>
        <w:rPr>
          <w:rFonts w:hint="eastAsia" w:ascii="仿宋" w:hAnsi="仿宋" w:eastAsia="仿宋" w:cs="仿宋"/>
          <w:b w:val="0"/>
          <w:bCs/>
          <w:sz w:val="28"/>
          <w:szCs w:val="28"/>
          <w:highlight w:val="none"/>
        </w:rPr>
      </w:r>
      <w:r/>
    </w:p>
    <w:p>
      <w:pPr>
        <w:pStyle w:val="696"/>
        <w:jc w:val="center"/>
        <w:spacing w:line="360" w:lineRule="auto"/>
        <w:tabs>
          <w:tab w:val="left" w:pos="1722" w:leader="none"/>
        </w:tabs>
        <w:rPr>
          <w:rFonts w:hint="eastAsia" w:ascii="仿宋" w:hAnsi="仿宋" w:eastAsia="仿宋" w:cs="仿宋"/>
          <w:b w:val="0"/>
          <w:bCs/>
          <w:sz w:val="28"/>
          <w:szCs w:val="28"/>
          <w:highlight w:val="none"/>
        </w:rPr>
        <w:outlineLvl w:val="1"/>
      </w:pPr>
      <w:r>
        <w:rPr>
          <w:rFonts w:hint="eastAsia" w:ascii="仿宋" w:hAnsi="仿宋" w:eastAsia="仿宋" w:cs="仿宋"/>
          <w:b w:val="0"/>
          <w:bCs/>
          <w:sz w:val="28"/>
          <w:szCs w:val="28"/>
          <w:highlight w:val="none"/>
        </w:rPr>
        <w:br w:type="page" w:clear="all"/>
      </w:r>
      <w:r>
        <w:rPr>
          <w:rFonts w:hint="eastAsia" w:ascii="仿宋" w:hAnsi="仿宋" w:eastAsia="仿宋" w:cs="仿宋"/>
          <w:b w:val="0"/>
          <w:bCs/>
          <w:sz w:val="28"/>
          <w:szCs w:val="28"/>
          <w:highlight w:val="none"/>
        </w:rPr>
        <w:t xml:space="preserve">第一章 定义和解释</w:t>
      </w:r>
      <w:r>
        <w:rPr>
          <w:rFonts w:hint="eastAsia" w:ascii="仿宋" w:hAnsi="仿宋" w:eastAsia="仿宋" w:cs="仿宋"/>
          <w:b w:val="0"/>
          <w:bCs/>
          <w:sz w:val="28"/>
          <w:szCs w:val="28"/>
          <w:highlight w:val="none"/>
        </w:rPr>
      </w:r>
      <w:r/>
    </w:p>
    <w:p>
      <w:pPr>
        <w:pStyle w:val="696"/>
        <w:numPr>
          <w:ilvl w:val="1"/>
          <w:numId w:val="6"/>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定义</w:t>
      </w:r>
      <w:r>
        <w:rPr>
          <w:rFonts w:hint="eastAsia" w:ascii="仿宋" w:hAnsi="仿宋" w:eastAsia="仿宋" w:cs="仿宋"/>
          <w:b w:val="0"/>
          <w:bCs/>
          <w:sz w:val="28"/>
          <w:szCs w:val="28"/>
          <w:highlight w:val="none"/>
        </w:rPr>
      </w:r>
      <w:r/>
    </w:p>
    <w:p>
      <w:pPr>
        <w:pStyle w:val="696"/>
        <w:numPr>
          <w:ilvl w:val="2"/>
          <w:numId w:val="6"/>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合约电量：是指本合同项下约定的交易电量。</w:t>
      </w:r>
      <w:r>
        <w:rPr>
          <w:rFonts w:hint="eastAsia" w:ascii="仿宋" w:hAnsi="仿宋" w:eastAsia="仿宋" w:cs="仿宋"/>
          <w:b w:val="0"/>
          <w:bCs/>
          <w:sz w:val="28"/>
          <w:szCs w:val="28"/>
          <w:highlight w:val="none"/>
        </w:rPr>
      </w:r>
      <w:r/>
    </w:p>
    <w:p>
      <w:pPr>
        <w:pStyle w:val="696"/>
        <w:numPr>
          <w:ilvl w:val="2"/>
          <w:numId w:val="6"/>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结算周期：是指江苏省电力交易中心在一定时间内对市场成员按照各类交易合同对实际用电进行电费结算的时间周期。目前为按照公历计算的自然月。</w:t>
      </w:r>
      <w:r>
        <w:rPr>
          <w:rFonts w:hint="eastAsia" w:ascii="仿宋" w:hAnsi="仿宋" w:eastAsia="仿宋" w:cs="仿宋"/>
          <w:b w:val="0"/>
          <w:bCs/>
          <w:sz w:val="28"/>
          <w:szCs w:val="28"/>
          <w:highlight w:val="none"/>
        </w:rPr>
      </w:r>
      <w:r/>
    </w:p>
    <w:p>
      <w:pPr>
        <w:pStyle w:val="696"/>
        <w:numPr>
          <w:ilvl w:val="2"/>
          <w:numId w:val="6"/>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结算电量：是指电力交易中心依据电力市场交易规则，结合电力用户的实际抄表电量，为本合同实际执行出具的结算电量数值。包括实际用电量和超出合同约定偏差范围的偏差电量。</w:t>
      </w:r>
      <w:r>
        <w:rPr>
          <w:rFonts w:hint="eastAsia" w:ascii="仿宋" w:hAnsi="仿宋" w:eastAsia="仿宋" w:cs="仿宋"/>
          <w:b w:val="0"/>
          <w:bCs/>
          <w:sz w:val="28"/>
          <w:szCs w:val="28"/>
          <w:highlight w:val="none"/>
        </w:rPr>
      </w:r>
      <w:r/>
    </w:p>
    <w:p>
      <w:pPr>
        <w:pStyle w:val="696"/>
        <w:numPr>
          <w:ilvl w:val="2"/>
          <w:numId w:val="6"/>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直接交易基准价：指当期江苏省燃煤机组上网基准价与超低排放电价之和。</w:t>
      </w:r>
      <w:r>
        <w:rPr>
          <w:rFonts w:hint="eastAsia" w:ascii="仿宋" w:hAnsi="仿宋" w:eastAsia="仿宋" w:cs="仿宋"/>
          <w:b w:val="0"/>
          <w:bCs/>
          <w:sz w:val="28"/>
          <w:szCs w:val="28"/>
          <w:highlight w:val="none"/>
        </w:rPr>
      </w:r>
      <w:r/>
    </w:p>
    <w:p>
      <w:pPr>
        <w:pStyle w:val="696"/>
        <w:numPr>
          <w:ilvl w:val="2"/>
          <w:numId w:val="6"/>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市场化成交电价：指售电公司与电力用户确定的市场化电量交易价格，不含上网环节线损费用折价、输配电价、系统运行费用折价、和政府性基金及附加。</w:t>
      </w:r>
      <w:r>
        <w:rPr>
          <w:rFonts w:hint="eastAsia" w:ascii="仿宋" w:hAnsi="仿宋" w:eastAsia="仿宋" w:cs="仿宋"/>
          <w:b w:val="0"/>
          <w:bCs/>
          <w:sz w:val="28"/>
          <w:szCs w:val="28"/>
          <w:highlight w:val="none"/>
        </w:rPr>
      </w:r>
      <w:r/>
    </w:p>
    <w:p>
      <w:pPr>
        <w:pStyle w:val="696"/>
        <w:numPr>
          <w:ilvl w:val="2"/>
          <w:numId w:val="6"/>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紧急情况：指电力系统发生事故或发电、输配电、用电设备发生重大事故，电网频率或者电压超出规定范围，输变电设备负载超过规定值，主干线路功率超出规定的稳定限额以及其他威胁电网安全运行，有可能破坏电网稳定，导致电网瓦解以至大面积停电等运行情况，并且该情况在结束后得到能源监管机构确认。</w:t>
      </w:r>
      <w:r>
        <w:rPr>
          <w:rFonts w:hint="eastAsia" w:ascii="仿宋" w:hAnsi="仿宋" w:eastAsia="仿宋" w:cs="仿宋"/>
          <w:b w:val="0"/>
          <w:bCs/>
          <w:sz w:val="28"/>
          <w:szCs w:val="28"/>
          <w:highlight w:val="none"/>
        </w:rPr>
      </w:r>
      <w:r/>
    </w:p>
    <w:p>
      <w:pPr>
        <w:pStyle w:val="696"/>
        <w:numPr>
          <w:ilvl w:val="1"/>
          <w:numId w:val="6"/>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解释</w:t>
      </w:r>
      <w:r>
        <w:rPr>
          <w:rFonts w:hint="eastAsia" w:ascii="仿宋" w:hAnsi="仿宋" w:eastAsia="仿宋" w:cs="仿宋"/>
          <w:b w:val="0"/>
          <w:bCs/>
          <w:sz w:val="28"/>
          <w:szCs w:val="28"/>
          <w:highlight w:val="none"/>
        </w:rPr>
      </w:r>
      <w:r/>
    </w:p>
    <w:p>
      <w:pPr>
        <w:pStyle w:val="696"/>
        <w:numPr>
          <w:ilvl w:val="2"/>
          <w:numId w:val="6"/>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本合同中的标题仅为阅读方便，不应被视为本合同的组成部分，亦不应以任何方式影响对本合同的解释。</w:t>
      </w:r>
      <w:r>
        <w:rPr>
          <w:rFonts w:hint="eastAsia" w:ascii="仿宋" w:hAnsi="仿宋" w:eastAsia="仿宋" w:cs="仿宋"/>
          <w:b w:val="0"/>
          <w:bCs/>
          <w:sz w:val="28"/>
          <w:szCs w:val="28"/>
          <w:highlight w:val="none"/>
        </w:rPr>
      </w:r>
      <w:r/>
    </w:p>
    <w:p>
      <w:pPr>
        <w:pStyle w:val="696"/>
        <w:numPr>
          <w:ilvl w:val="2"/>
          <w:numId w:val="6"/>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本合同附件与正文具有同等的法律效力。</w:t>
      </w:r>
      <w:r>
        <w:rPr>
          <w:rFonts w:hint="eastAsia" w:ascii="仿宋" w:hAnsi="仿宋" w:eastAsia="仿宋" w:cs="仿宋"/>
          <w:b w:val="0"/>
          <w:bCs/>
          <w:sz w:val="28"/>
          <w:szCs w:val="28"/>
          <w:highlight w:val="none"/>
        </w:rPr>
      </w:r>
      <w:r/>
    </w:p>
    <w:p>
      <w:pPr>
        <w:pStyle w:val="696"/>
        <w:numPr>
          <w:ilvl w:val="2"/>
          <w:numId w:val="6"/>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本合同对任何一方的合法承继者或受让人具有约束力。但当事人另有约定的除外。遇有本款约定的情形时，相关义务人应当依法履行必要的通知义务及完备的法律手续。</w:t>
      </w:r>
      <w:r>
        <w:rPr>
          <w:rFonts w:hint="eastAsia" w:ascii="仿宋" w:hAnsi="仿宋" w:eastAsia="仿宋" w:cs="仿宋"/>
          <w:b w:val="0"/>
          <w:bCs/>
          <w:sz w:val="28"/>
          <w:szCs w:val="28"/>
          <w:highlight w:val="none"/>
        </w:rPr>
      </w:r>
      <w:r/>
    </w:p>
    <w:p>
      <w:pPr>
        <w:pStyle w:val="696"/>
        <w:numPr>
          <w:ilvl w:val="2"/>
          <w:numId w:val="6"/>
        </w:numPr>
        <w:ind w:left="0" w:firstLine="560"/>
        <w:spacing w:line="360" w:lineRule="auto"/>
        <w:tabs>
          <w:tab w:val="left" w:pos="164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除上下文另有要求外，本合同所指的日、月、年均为公历北京时间的日、月、年，货币计价单位均为人民币（含税）。</w:t>
      </w:r>
      <w:r>
        <w:rPr>
          <w:rFonts w:hint="eastAsia" w:ascii="仿宋" w:hAnsi="仿宋" w:eastAsia="仿宋" w:cs="仿宋"/>
          <w:b w:val="0"/>
          <w:bCs/>
          <w:sz w:val="28"/>
          <w:szCs w:val="28"/>
          <w:highlight w:val="none"/>
        </w:rPr>
      </w:r>
      <w:r/>
    </w:p>
    <w:p>
      <w:pPr>
        <w:pStyle w:val="696"/>
        <w:jc w:val="center"/>
        <w:spacing w:line="360" w:lineRule="auto"/>
        <w:tabs>
          <w:tab w:val="left" w:pos="1722" w:leader="none"/>
        </w:tabs>
        <w:rPr>
          <w:rFonts w:hint="eastAsia" w:ascii="仿宋" w:hAnsi="仿宋" w:eastAsia="仿宋" w:cs="仿宋"/>
          <w:b w:val="0"/>
          <w:bCs/>
          <w:sz w:val="28"/>
          <w:szCs w:val="28"/>
          <w:highlight w:val="none"/>
        </w:rPr>
        <w:outlineLvl w:val="1"/>
      </w:pPr>
      <w:r/>
      <w:bookmarkStart w:id="37" w:name="_bookmark1"/>
      <w:r/>
      <w:bookmarkEnd w:id="37"/>
      <w:r>
        <w:rPr>
          <w:rFonts w:hint="eastAsia" w:ascii="仿宋" w:hAnsi="仿宋" w:eastAsia="仿宋" w:cs="仿宋"/>
          <w:b w:val="0"/>
          <w:bCs/>
          <w:sz w:val="28"/>
          <w:szCs w:val="28"/>
          <w:highlight w:val="none"/>
        </w:rPr>
        <w:t xml:space="preserve">第二章 双方陈述</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 w:val="left" w:pos="555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甲、乙双方任何一方在此向对方陈述如下：</w:t>
      </w:r>
      <w:r>
        <w:rPr>
          <w:rFonts w:hint="eastAsia" w:ascii="仿宋" w:hAnsi="仿宋" w:eastAsia="仿宋" w:cs="仿宋"/>
          <w:b w:val="0"/>
          <w:bCs/>
          <w:sz w:val="28"/>
          <w:szCs w:val="28"/>
          <w:highlight w:val="none"/>
        </w:rPr>
      </w:r>
      <w:r/>
    </w:p>
    <w:p>
      <w:pPr>
        <w:pStyle w:val="696"/>
        <w:numPr>
          <w:ilvl w:val="1"/>
          <w:numId w:val="7"/>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本方为一家依法设立并合法存续的企业，有权签署 并有能力履行本合同。</w:t>
      </w:r>
      <w:r>
        <w:rPr>
          <w:rFonts w:hint="eastAsia" w:ascii="仿宋" w:hAnsi="仿宋" w:eastAsia="仿宋" w:cs="仿宋"/>
          <w:b w:val="0"/>
          <w:bCs/>
          <w:sz w:val="28"/>
          <w:szCs w:val="28"/>
          <w:highlight w:val="none"/>
        </w:rPr>
      </w:r>
      <w:r/>
    </w:p>
    <w:p>
      <w:pPr>
        <w:pStyle w:val="696"/>
        <w:numPr>
          <w:ilvl w:val="1"/>
          <w:numId w:val="7"/>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本方签署和履行本合同所需的一切手续（包括办理必要的政府批准、取得营业执照等）均已办妥并合法有效。</w:t>
      </w:r>
      <w:r>
        <w:rPr>
          <w:rFonts w:hint="eastAsia" w:ascii="仿宋" w:hAnsi="仿宋" w:eastAsia="仿宋" w:cs="仿宋"/>
          <w:b w:val="0"/>
          <w:bCs/>
          <w:sz w:val="28"/>
          <w:szCs w:val="28"/>
          <w:highlight w:val="none"/>
        </w:rPr>
      </w:r>
      <w:r/>
    </w:p>
    <w:p>
      <w:pPr>
        <w:pStyle w:val="696"/>
        <w:numPr>
          <w:ilvl w:val="1"/>
          <w:numId w:val="7"/>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在签署本合同时，任何法院、仲裁机构、行政机关 或能源监管机构均未做出过任何足以对本方履行本合同产生重大不利影响的判决、裁定、裁决或具体行政行为。</w:t>
      </w:r>
      <w:r>
        <w:rPr>
          <w:rFonts w:hint="eastAsia" w:ascii="仿宋" w:hAnsi="仿宋" w:eastAsia="仿宋" w:cs="仿宋"/>
          <w:b w:val="0"/>
          <w:bCs/>
          <w:sz w:val="28"/>
          <w:szCs w:val="28"/>
          <w:highlight w:val="none"/>
        </w:rPr>
      </w:r>
      <w:r/>
    </w:p>
    <w:p>
      <w:pPr>
        <w:pStyle w:val="696"/>
        <w:numPr>
          <w:ilvl w:val="1"/>
          <w:numId w:val="7"/>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本方为签署本合同所需的内部授权程序均已完成，签署本合同的是本方法定代表人或授权代理人，并且本合同生效后即对双方具有法律约束力。</w:t>
      </w:r>
      <w:r>
        <w:rPr>
          <w:rFonts w:hint="eastAsia" w:ascii="仿宋" w:hAnsi="仿宋" w:eastAsia="仿宋" w:cs="仿宋"/>
          <w:b w:val="0"/>
          <w:bCs/>
          <w:sz w:val="28"/>
          <w:szCs w:val="28"/>
          <w:highlight w:val="none"/>
        </w:rPr>
      </w:r>
      <w:r/>
    </w:p>
    <w:p>
      <w:pPr>
        <w:pStyle w:val="696"/>
        <w:numPr>
          <w:ilvl w:val="1"/>
          <w:numId w:val="7"/>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本方签署的合同内容符合国家有关市场化交易的法律、法规以及政策等。</w:t>
      </w:r>
      <w:r>
        <w:rPr>
          <w:rFonts w:hint="eastAsia" w:ascii="仿宋" w:hAnsi="仿宋" w:eastAsia="仿宋" w:cs="仿宋"/>
          <w:b w:val="0"/>
          <w:bCs/>
          <w:sz w:val="28"/>
          <w:szCs w:val="28"/>
          <w:highlight w:val="none"/>
        </w:rPr>
      </w:r>
      <w:r/>
    </w:p>
    <w:p>
      <w:pPr>
        <w:pStyle w:val="696"/>
        <w:numPr>
          <w:ilvl w:val="1"/>
          <w:numId w:val="7"/>
        </w:numPr>
        <w:ind w:left="0"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如国家法律、法规发生变化或者政府有关部门、能源监管机构出台有关规定、规则，合同双方同意按照法律、法规、规定和规则予以调整和修改。</w:t>
      </w:r>
      <w:r>
        <w:rPr>
          <w:rFonts w:hint="eastAsia" w:ascii="仿宋" w:hAnsi="仿宋" w:eastAsia="仿宋" w:cs="仿宋"/>
          <w:b w:val="0"/>
          <w:bCs/>
          <w:sz w:val="28"/>
          <w:szCs w:val="28"/>
          <w:highlight w:val="none"/>
        </w:rPr>
      </w:r>
      <w:r/>
    </w:p>
    <w:p>
      <w:pPr>
        <w:pStyle w:val="696"/>
        <w:jc w:val="center"/>
        <w:spacing w:line="360" w:lineRule="auto"/>
        <w:tabs>
          <w:tab w:val="left" w:pos="1722" w:leader="none"/>
        </w:tabs>
        <w:rPr>
          <w:rFonts w:hint="eastAsia" w:ascii="仿宋" w:hAnsi="仿宋" w:eastAsia="仿宋" w:cs="仿宋"/>
          <w:b w:val="0"/>
          <w:bCs/>
          <w:sz w:val="28"/>
          <w:szCs w:val="28"/>
          <w:highlight w:val="none"/>
        </w:rPr>
        <w:outlineLvl w:val="1"/>
      </w:pPr>
      <w:r/>
      <w:bookmarkStart w:id="38" w:name="_bookmark2"/>
      <w:r/>
      <w:bookmarkEnd w:id="38"/>
      <w:r>
        <w:rPr>
          <w:rFonts w:hint="eastAsia" w:ascii="仿宋" w:hAnsi="仿宋" w:eastAsia="仿宋" w:cs="仿宋"/>
          <w:b w:val="0"/>
          <w:bCs/>
          <w:sz w:val="28"/>
          <w:szCs w:val="28"/>
          <w:highlight w:val="none"/>
        </w:rPr>
        <w:t xml:space="preserve">第三章 双方的权利和义务</w:t>
      </w:r>
      <w:r>
        <w:rPr>
          <w:rFonts w:hint="eastAsia" w:ascii="仿宋" w:hAnsi="仿宋" w:eastAsia="仿宋" w:cs="仿宋"/>
          <w:b w:val="0"/>
          <w:bCs/>
          <w:sz w:val="28"/>
          <w:szCs w:val="28"/>
          <w:highlight w:val="none"/>
        </w:rPr>
      </w:r>
      <w:r/>
    </w:p>
    <w:p>
      <w:pPr>
        <w:pStyle w:val="696"/>
        <w:numPr>
          <w:ilvl w:val="1"/>
          <w:numId w:val="8"/>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甲方的权利包括：</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公平参加江苏电力市场。提交、核对、完善、注销在江苏电力交易平台上注册的甲方基础资料信息；</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获得江苏电力市场所有向社会公开以及行业内公开的信息；</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获得乙方与本合同相关的各类交易中标情况；</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未经甲方授权，甲方自身的用电信息以及与本合同相关信息（含电价约定），乙方不得向第三方提供（交易中心及法定监管机构除外）。</w:t>
      </w:r>
      <w:r>
        <w:rPr>
          <w:rFonts w:hint="eastAsia" w:ascii="仿宋" w:hAnsi="仿宋" w:eastAsia="仿宋" w:cs="仿宋"/>
          <w:b w:val="0"/>
          <w:bCs/>
          <w:sz w:val="28"/>
          <w:szCs w:val="28"/>
          <w:highlight w:val="none"/>
        </w:rPr>
      </w:r>
      <w:r/>
    </w:p>
    <w:p>
      <w:pPr>
        <w:pStyle w:val="696"/>
        <w:numPr>
          <w:ilvl w:val="1"/>
          <w:numId w:val="8"/>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甲方的义务包括：</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甲方的用电计划和主要设备检修计划，应向乙方如实提供并及时更新；配合乙方的用电计划预测和调整工作；</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向乙方提供用电关口计量的历史信息；遵守电力市场信息发布管理规定，不得将乙方与本合同有关的交易信息向第三方提供，也不得将电力市场行业内信息向社会公开；</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及时向乙方通报甲方的用电增减容、企业关停或搬迁、厂房转租以及用电户号的并户、销户、改名、过户等可能影响电力市场交易的情况；</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及时向电网公司缴纳电费（含市场化交易可能产生的偏差费用）；</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甲方如参加分布式发电市场化交易，则应将分布式发电市场化交易的全年和分月电量通报乙方。</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发生紧急情况时，按照相关规定执行。</w:t>
      </w:r>
      <w:r>
        <w:rPr>
          <w:rFonts w:hint="eastAsia" w:ascii="仿宋" w:hAnsi="仿宋" w:eastAsia="仿宋" w:cs="仿宋"/>
          <w:b w:val="0"/>
          <w:bCs/>
          <w:sz w:val="28"/>
          <w:szCs w:val="28"/>
          <w:highlight w:val="none"/>
        </w:rPr>
      </w:r>
      <w:r/>
    </w:p>
    <w:p>
      <w:pPr>
        <w:pStyle w:val="696"/>
        <w:numPr>
          <w:ilvl w:val="1"/>
          <w:numId w:val="8"/>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乙方的权利包括：</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要求甲方提供履行本合同义务相关的信息、资料及查阅关口计量历史数据。</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查阅甲方实际的电费核查联、结算单（与市场化相关部分）。</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有权要求甲方及时通报该企业的用电增减容、企业关停或搬迁、厂房转租以及用电户号的并户、销户、改名、过户等可能影响电力市场交易的情况；</w:t>
      </w:r>
      <w:r>
        <w:rPr>
          <w:rFonts w:hint="eastAsia" w:ascii="仿宋" w:hAnsi="仿宋" w:eastAsia="仿宋" w:cs="仿宋"/>
          <w:b w:val="0"/>
          <w:bCs/>
          <w:sz w:val="28"/>
          <w:szCs w:val="28"/>
          <w:highlight w:val="none"/>
        </w:rPr>
      </w:r>
      <w:r/>
    </w:p>
    <w:p>
      <w:pPr>
        <w:pStyle w:val="696"/>
        <w:numPr>
          <w:ilvl w:val="1"/>
          <w:numId w:val="8"/>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乙方的义务包括：</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按照国家有关法规、规定和技术规范，为甲方提供电力交易和参与江苏电力辅助服务市场相关服务，参与电力市场交易并按规定结算。</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按照国家规定，作为可再生能源电力的消纳责任主体，承担可再生能源电力的消纳责任。</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按照电力市场信息发布管理规定，向甲方、交易中心提供真实准确的有关电力直接交易的相关信息及资料；</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根据国家有关法规支付电力交易相关费用；</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协助甲方申请办理电力交易有关手续；</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按照相关规则、规定向交易中心提交银行履约保函，担保合同的履约。</w:t>
      </w:r>
      <w:r>
        <w:rPr>
          <w:rFonts w:hint="eastAsia" w:ascii="仿宋" w:hAnsi="仿宋" w:eastAsia="仿宋" w:cs="仿宋"/>
          <w:b w:val="0"/>
          <w:bCs/>
          <w:sz w:val="28"/>
          <w:szCs w:val="28"/>
          <w:highlight w:val="none"/>
        </w:rPr>
      </w:r>
      <w:r/>
    </w:p>
    <w:p>
      <w:pPr>
        <w:pStyle w:val="696"/>
        <w:numPr>
          <w:ilvl w:val="2"/>
          <w:numId w:val="8"/>
        </w:numPr>
        <w:ind w:left="0" w:firstLine="560"/>
        <w:spacing w:line="360" w:lineRule="auto"/>
        <w:tabs>
          <w:tab w:val="left" w:pos="172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发生紧急情况时，按照相关规定执行。</w:t>
      </w:r>
      <w:bookmarkStart w:id="39" w:name="_bookmark3"/>
      <w:r/>
      <w:bookmarkEnd w:id="39"/>
      <w:r>
        <w:rPr>
          <w:rFonts w:hint="eastAsia" w:ascii="仿宋" w:hAnsi="仿宋" w:eastAsia="仿宋" w:cs="仿宋"/>
          <w:b w:val="0"/>
          <w:bCs/>
          <w:sz w:val="28"/>
          <w:szCs w:val="28"/>
          <w:highlight w:val="none"/>
        </w:rPr>
      </w:r>
      <w:r/>
    </w:p>
    <w:p>
      <w:pPr>
        <w:pStyle w:val="696"/>
        <w:jc w:val="center"/>
        <w:spacing w:line="360" w:lineRule="auto"/>
        <w:tabs>
          <w:tab w:val="left" w:pos="1722" w:leader="none"/>
        </w:tabs>
        <w:rPr>
          <w:rFonts w:hint="eastAsia" w:ascii="仿宋" w:hAnsi="仿宋" w:eastAsia="仿宋" w:cs="仿宋"/>
          <w:b w:val="0"/>
          <w:bCs/>
          <w:sz w:val="28"/>
          <w:szCs w:val="28"/>
          <w:highlight w:val="none"/>
        </w:rPr>
        <w:outlineLvl w:val="1"/>
      </w:pPr>
      <w:r>
        <w:rPr>
          <w:rFonts w:hint="eastAsia" w:ascii="仿宋" w:hAnsi="仿宋" w:eastAsia="仿宋" w:cs="仿宋"/>
          <w:b w:val="0"/>
          <w:bCs/>
          <w:sz w:val="28"/>
          <w:szCs w:val="28"/>
          <w:highlight w:val="none"/>
        </w:rPr>
        <w:t xml:space="preserve">第四章 合同周期、交易电量（力）、电价</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4.1 双方约定：甲方自</w:t>
      </w: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u w:val="single"/>
        </w:rPr>
        <w:t xml:space="preserve">1</w:t>
      </w:r>
      <w:r>
        <w:rPr>
          <w:rFonts w:hint="eastAsia" w:ascii="仿宋" w:hAnsi="仿宋" w:eastAsia="仿宋" w:cs="仿宋"/>
          <w:b w:val="0"/>
          <w:bCs/>
          <w:sz w:val="28"/>
          <w:szCs w:val="28"/>
          <w:highlight w:val="none"/>
        </w:rPr>
        <w:t xml:space="preserve">日至</w:t>
      </w: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12</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u w:val="single"/>
        </w:rPr>
        <w:t xml:space="preserve">31</w:t>
      </w:r>
      <w:r>
        <w:rPr>
          <w:rFonts w:hint="eastAsia" w:ascii="仿宋" w:hAnsi="仿宋" w:eastAsia="仿宋" w:cs="仿宋"/>
          <w:b w:val="0"/>
          <w:bCs/>
          <w:sz w:val="28"/>
          <w:szCs w:val="28"/>
          <w:highlight w:val="none"/>
        </w:rPr>
        <w:t xml:space="preserve">日的全部市场化可交易用电电量（不含分布式发电市场化交易电量，下同）预估约</w:t>
      </w:r>
      <w:r>
        <w:rPr>
          <w:rFonts w:hint="eastAsia" w:ascii="仿宋" w:hAnsi="仿宋" w:eastAsia="仿宋" w:cs="仿宋"/>
          <w:b w:val="0"/>
          <w:bCs/>
          <w:sz w:val="28"/>
          <w:szCs w:val="28"/>
          <w:highlight w:val="none"/>
          <w:u w:val="single"/>
        </w:rPr>
        <w:t xml:space="preserve">1300</w:t>
      </w:r>
      <w:r>
        <w:rPr>
          <w:rFonts w:hint="eastAsia" w:ascii="仿宋" w:hAnsi="仿宋" w:eastAsia="仿宋" w:cs="仿宋"/>
          <w:b w:val="0"/>
          <w:bCs/>
          <w:sz w:val="28"/>
          <w:szCs w:val="28"/>
          <w:highlight w:val="none"/>
        </w:rPr>
        <w:t xml:space="preserve">万千瓦时，向乙方购买（必填）。</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color w:val="000000"/>
          <w:sz w:val="28"/>
          <w:szCs w:val="28"/>
          <w:highlight w:val="none"/>
        </w:rPr>
      </w:pPr>
      <w:r>
        <w:rPr>
          <w:rFonts w:hint="eastAsia" w:ascii="仿宋" w:hAnsi="仿宋" w:eastAsia="仿宋" w:cs="仿宋"/>
          <w:b w:val="0"/>
          <w:bCs/>
          <w:sz w:val="28"/>
          <w:szCs w:val="28"/>
          <w:highlight w:val="none"/>
        </w:rPr>
        <w:t xml:space="preserve">4.2 交易电价方案按照甲方当前的用电户号约定。如在合同执行周期内，甲方新增用电户号，则甲方需与乙方参照本合同签订增补合同，并报交易中心。如在合同执行周期内，在本合同内的户号不再使用或不再归属甲方，则合同中关于</w:t>
      </w:r>
      <w:r>
        <w:rPr>
          <w:rFonts w:hint="eastAsia" w:ascii="仿宋" w:hAnsi="仿宋" w:eastAsia="仿宋" w:cs="仿宋"/>
          <w:b w:val="0"/>
          <w:bCs/>
          <w:color w:val="000000"/>
          <w:sz w:val="28"/>
          <w:szCs w:val="28"/>
          <w:highlight w:val="none"/>
        </w:rPr>
        <w:t xml:space="preserve">此户号的约定自动作废。</w:t>
      </w:r>
      <w:r>
        <w:rPr>
          <w:rFonts w:hint="eastAsia" w:ascii="仿宋" w:hAnsi="仿宋" w:eastAsia="仿宋" w:cs="仿宋"/>
          <w:b w:val="0"/>
          <w:bCs/>
          <w:color w:val="000000"/>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4.3甲方的结算电价=2027年（合同拟执行年份）江苏电力市场年度总交易成交均价（含辅助服务费用、利润、税金及支付给员工的工资和国家强制缴纳的各种社会保障资金等全部费用，以及与本项目有关的所有费用，中途所涉及到协助采购人申请办理电力交易有关手续等工作均不再另计费用）-中标人“优惠价格”+上网环节线损费用折价+电度输配电价+系统运行费用折价+政府性基金及附加。其中输配电价格、政府性基金及附加根据江苏省发展和改革委员会价格部门的发文确定。</w:t>
      </w:r>
      <w:r>
        <w:rPr>
          <w:rFonts w:hint="eastAsia" w:ascii="仿宋" w:hAnsi="仿宋" w:eastAsia="仿宋" w:cs="仿宋"/>
          <w:b w:val="0"/>
          <w:bCs/>
          <w:color w:val="000000"/>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中标人“优惠价格”= 344.19-中标报价（元/兆瓦时）。</w:t>
      </w:r>
      <w:r>
        <w:rPr>
          <w:rFonts w:hint="eastAsia" w:ascii="仿宋" w:hAnsi="仿宋" w:eastAsia="仿宋" w:cs="仿宋"/>
          <w:b w:val="0"/>
          <w:bCs/>
          <w:color w:val="000000"/>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举例：中标报价为334.19元/兆瓦时，等于中标人“优惠价格”10元/兆瓦时。甲方的结算电价=2027年（合同拟执行年份）江苏电力市场年度总交易成交均价-10元/兆瓦时+上网环节线损费用折价+电度输配电价+系统运行费用折价+政府性基金及附加）</w:t>
      </w:r>
      <w:r>
        <w:rPr>
          <w:rFonts w:hint="eastAsia" w:ascii="仿宋" w:hAnsi="仿宋" w:eastAsia="仿宋" w:cs="仿宋"/>
          <w:b w:val="0"/>
          <w:bCs/>
          <w:color w:val="000000"/>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4.4 交易电量的电价约定方案：</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color w:val="000000"/>
          <w:sz w:val="28"/>
          <w:szCs w:val="28"/>
          <w:highlight w:val="none"/>
        </w:rPr>
      </w:pPr>
      <w:r>
        <w:rPr>
          <w:rFonts w:hint="eastAsia" w:ascii="仿宋" w:hAnsi="仿宋" w:eastAsia="仿宋" w:cs="仿宋"/>
          <w:b w:val="0"/>
          <w:bCs/>
          <w:sz w:val="28"/>
          <w:szCs w:val="28"/>
          <w:highlight w:val="none"/>
        </w:rPr>
        <w:t xml:space="preserve">甲方各用电户号的总交易用电电量，以月度为结算周期，</w:t>
      </w:r>
      <w:r>
        <w:rPr>
          <w:rFonts w:hint="eastAsia" w:ascii="仿宋" w:hAnsi="仿宋" w:eastAsia="仿宋" w:cs="仿宋"/>
          <w:b w:val="0"/>
          <w:bCs/>
          <w:sz w:val="28"/>
          <w:szCs w:val="28"/>
          <w:highlight w:val="none"/>
          <w:u w:val="single"/>
        </w:rPr>
        <w:t xml:space="preserve">100</w:t>
      </w:r>
      <w:r>
        <w:rPr>
          <w:rFonts w:hint="eastAsia" w:ascii="仿宋" w:hAnsi="仿宋" w:eastAsia="仿宋" w:cs="仿宋"/>
          <w:b w:val="0"/>
          <w:bCs/>
          <w:sz w:val="28"/>
          <w:szCs w:val="28"/>
          <w:highlight w:val="none"/>
        </w:rPr>
        <w:t xml:space="preserve">%比例的电量采用固定</w:t>
      </w:r>
      <w:r>
        <w:rPr>
          <w:rFonts w:hint="eastAsia" w:ascii="仿宋" w:hAnsi="仿宋" w:eastAsia="仿宋" w:cs="仿宋"/>
          <w:b w:val="0"/>
          <w:bCs/>
          <w:color w:val="000000"/>
          <w:sz w:val="28"/>
          <w:szCs w:val="28"/>
          <w:highlight w:val="none"/>
        </w:rPr>
        <w:t xml:space="preserve">价格方式，</w:t>
      </w:r>
      <w:r>
        <w:rPr>
          <w:rFonts w:hint="eastAsia" w:ascii="仿宋" w:hAnsi="仿宋" w:eastAsia="仿宋" w:cs="仿宋"/>
          <w:b w:val="0"/>
          <w:bCs/>
          <w:color w:val="000000"/>
          <w:sz w:val="28"/>
          <w:szCs w:val="28"/>
          <w:highlight w:val="none"/>
          <w:u w:val="single"/>
        </w:rPr>
        <w:t xml:space="preserve">∕</w:t>
      </w:r>
      <w:r>
        <w:rPr>
          <w:rFonts w:hint="eastAsia" w:ascii="仿宋" w:hAnsi="仿宋" w:eastAsia="仿宋" w:cs="仿宋"/>
          <w:b w:val="0"/>
          <w:bCs/>
          <w:color w:val="000000"/>
          <w:sz w:val="28"/>
          <w:szCs w:val="28"/>
          <w:highlight w:val="none"/>
        </w:rPr>
        <w:t xml:space="preserve">%比例的电量采用比例分成方式。具体固定价格方式、比例分成方式按照以下约定执行：</w:t>
      </w:r>
      <w:r>
        <w:rPr>
          <w:rFonts w:hint="eastAsia" w:ascii="仿宋" w:hAnsi="仿宋" w:eastAsia="仿宋" w:cs="仿宋"/>
          <w:b w:val="0"/>
          <w:bCs/>
          <w:color w:val="000000"/>
          <w:sz w:val="28"/>
          <w:szCs w:val="28"/>
          <w:highlight w:val="none"/>
        </w:rPr>
      </w:r>
      <w:r/>
    </w:p>
    <w:p>
      <w:pPr>
        <w:pStyle w:val="696"/>
        <w:numPr>
          <w:ilvl w:val="0"/>
          <w:numId w:val="0"/>
        </w:numPr>
        <w:ind w:left="680"/>
        <w:spacing w:line="360" w:lineRule="auto"/>
        <w:tabs>
          <w:tab w:val="left" w:pos="1088" w:leader="none"/>
          <w:tab w:val="left" w:pos="2520" w:leader="none"/>
        </w:tabs>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rPr>
        <w:t xml:space="preserve">固定价格方式：甲方名下用电户号，市场化成交电价均按照</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（单位：元∕千瓦时）结算。</w:t>
      </w:r>
      <w:r>
        <w:rPr>
          <w:rFonts w:hint="eastAsia" w:ascii="仿宋" w:hAnsi="仿宋" w:eastAsia="仿宋" w:cs="仿宋"/>
          <w:b w:val="0"/>
          <w:bCs/>
          <w:color w:val="000000"/>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双方补充约定如下：</w:t>
      </w:r>
      <w:r>
        <w:rPr>
          <w:rFonts w:hint="eastAsia" w:ascii="仿宋" w:hAnsi="仿宋" w:eastAsia="仿宋" w:cs="仿宋"/>
          <w:b w:val="0"/>
          <w:bCs/>
          <w:sz w:val="28"/>
          <w:szCs w:val="28"/>
          <w:highlight w:val="none"/>
          <w:u w:val="single"/>
        </w:rPr>
        <w:t xml:space="preserve">/</w:t>
      </w:r>
      <w:r>
        <w:rPr>
          <w:rFonts w:hint="eastAsia" w:ascii="仿宋" w:hAnsi="仿宋" w:eastAsia="仿宋" w:cs="仿宋"/>
          <w:b w:val="0"/>
          <w:bCs/>
          <w:sz w:val="28"/>
          <w:szCs w:val="28"/>
          <w:highlight w:val="none"/>
        </w:rPr>
      </w:r>
      <w:r/>
    </w:p>
    <w:p>
      <w:pPr>
        <w:pStyle w:val="696"/>
        <w:numPr>
          <w:ilvl w:val="0"/>
          <w:numId w:val="0"/>
        </w:numPr>
        <w:ind w:left="680" w:right="361"/>
        <w:spacing w:before="2" w:line="360" w:lineRule="auto"/>
        <w:tabs>
          <w:tab w:val="left" w:pos="921" w:leader="none"/>
          <w:tab w:val="left" w:pos="1098" w:leader="none"/>
          <w:tab w:val="left" w:pos="2520" w:leader="none"/>
          <w:tab w:val="left" w:pos="4434" w:leader="none"/>
          <w:tab w:val="left" w:pos="5394" w:leader="none"/>
          <w:tab w:val="left" w:pos="850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val="en-US" w:eastAsia="zh-CN"/>
        </w:rPr>
        <w:t xml:space="preserve">2.</w:t>
      </w:r>
      <w:r>
        <w:rPr>
          <w:rFonts w:hint="eastAsia" w:ascii="仿宋" w:hAnsi="仿宋" w:eastAsia="仿宋" w:cs="仿宋"/>
          <w:b w:val="0"/>
          <w:bCs/>
          <w:sz w:val="28"/>
          <w:szCs w:val="28"/>
          <w:highlight w:val="none"/>
        </w:rPr>
        <w:t xml:space="preserve">比例分成方式：乙方以结算月为统计周期，</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%比例的电量，参照结算月所在年度交易中心公告的批发市场年度长协交易均价，低于江苏省当期直接交易基准价的部分，</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%比例归甲方所有，</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%比例归乙方所有，高于江苏省当期直接交易基准价的部分，</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%比例由甲方承担，</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%比例由乙方承担；</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%比例的电量，参照结算月所在月度交易中心公告的月度竞价出清价格，低于江苏省当期直接交易基准价的部分，</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%比例归甲方所有，</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%比例归乙方所有，高于江苏省当期直接交易基准价的部分，</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%比例由甲方承担，</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 %比例由乙方承担。</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双方补充约定如下：</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4.5 电量及偏差约定：</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甲方在本合同周期内各户号的电量总和，暂按照以下分月预估电量（甲方用电分月计划表），合计电量为</w:t>
      </w:r>
      <w:r>
        <w:rPr>
          <w:rFonts w:hint="eastAsia" w:ascii="仿宋" w:hAnsi="仿宋" w:eastAsia="仿宋" w:cs="仿宋"/>
          <w:b w:val="0"/>
          <w:bCs/>
          <w:sz w:val="28"/>
          <w:szCs w:val="28"/>
          <w:highlight w:val="none"/>
          <w:u w:val="single"/>
        </w:rPr>
        <w:t xml:space="preserve"> 1300 </w:t>
      </w:r>
      <w:r>
        <w:rPr>
          <w:rFonts w:hint="eastAsia" w:ascii="仿宋" w:hAnsi="仿宋" w:eastAsia="仿宋" w:cs="仿宋"/>
          <w:b w:val="0"/>
          <w:bCs/>
          <w:sz w:val="28"/>
          <w:szCs w:val="28"/>
          <w:highlight w:val="none"/>
        </w:rPr>
        <w:t xml:space="preserve">万千瓦时。</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合同对售电的计价电量包偏差，包超用，乙方承担甲方全部实际用量的偏差考核，不向甲方收取偏差调整费用。甲方不承担用电量偏差风险。</w:t>
      </w:r>
      <w:r>
        <w:rPr>
          <w:rFonts w:hint="eastAsia" w:ascii="仿宋" w:hAnsi="仿宋" w:eastAsia="仿宋" w:cs="仿宋"/>
          <w:b w:val="0"/>
          <w:bCs/>
          <w:sz w:val="28"/>
          <w:szCs w:val="28"/>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12"/>
        <w:gridCol w:w="3577"/>
      </w:tblGrid>
      <w:tr>
        <w:trPr>
          <w:trHeight w:val="1427"/>
        </w:trPr>
        <w:tc>
          <w:tcPr>
            <w:tcW w:w="3112" w:type="dxa"/>
            <w:vAlign w:val="center"/>
            <w:textDirection w:val="lrTb"/>
            <w:noWrap w:val="false"/>
          </w:tcPr>
          <w:p>
            <w:pPr>
              <w:pStyle w:val="696"/>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时间</w:t>
            </w:r>
            <w:r>
              <w:rPr>
                <w:rFonts w:hint="eastAsia" w:ascii="仿宋" w:hAnsi="仿宋" w:eastAsia="仿宋" w:cs="仿宋"/>
                <w:b w:val="0"/>
                <w:bCs/>
                <w:sz w:val="28"/>
                <w:szCs w:val="28"/>
                <w:highlight w:val="none"/>
              </w:rPr>
            </w:r>
            <w:r/>
          </w:p>
        </w:tc>
        <w:tc>
          <w:tcPr>
            <w:tcW w:w="3577" w:type="dxa"/>
            <w:vAlign w:val="center"/>
            <w:textDirection w:val="lrTb"/>
            <w:noWrap w:val="false"/>
          </w:tcPr>
          <w:p>
            <w:pPr>
              <w:pStyle w:val="696"/>
              <w:ind w:right="979"/>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分月计划</w:t>
            </w:r>
            <w:r>
              <w:rPr>
                <w:rFonts w:hint="eastAsia" w:ascii="仿宋" w:hAnsi="仿宋" w:eastAsia="仿宋" w:cs="仿宋"/>
                <w:b w:val="0"/>
                <w:bCs/>
                <w:sz w:val="28"/>
                <w:szCs w:val="28"/>
                <w:highlight w:val="none"/>
              </w:rPr>
            </w:r>
            <w:r/>
          </w:p>
          <w:p>
            <w:pPr>
              <w:pStyle w:val="696"/>
              <w:ind w:right="981"/>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（万千瓦时）</w:t>
            </w:r>
            <w:r>
              <w:rPr>
                <w:rFonts w:hint="eastAsia" w:ascii="仿宋" w:hAnsi="仿宋" w:eastAsia="仿宋" w:cs="仿宋"/>
                <w:b w:val="0"/>
                <w:bCs/>
                <w:sz w:val="28"/>
                <w:szCs w:val="28"/>
                <w:highlight w:val="none"/>
              </w:rPr>
            </w:r>
            <w:r/>
          </w:p>
        </w:tc>
      </w:tr>
      <w:tr>
        <w:trPr>
          <w:trHeight w:val="621"/>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trHeight w:val="618"/>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2</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trHeight w:val="621"/>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3</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trHeight w:val="618"/>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4</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trHeight w:val="621"/>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5</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trHeight w:val="619"/>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6</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trHeight w:val="621"/>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7</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trHeight w:val="618"/>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8</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ind w:left="420"/>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trHeight w:val="621"/>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9</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ind w:left="420"/>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trHeight w:val="618"/>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10</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ind w:left="420"/>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trHeight w:val="621"/>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11</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ind w:left="420"/>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r>
        <w:trPr>
          <w:trHeight w:val="619"/>
        </w:trPr>
        <w:tc>
          <w:tcPr>
            <w:tcW w:w="3112" w:type="dxa"/>
            <w:vAlign w:val="top"/>
            <w:textDirection w:val="lrTb"/>
            <w:noWrap w:val="false"/>
          </w:tcPr>
          <w:p>
            <w:pPr>
              <w:pStyle w:val="696"/>
              <w:jc w:val="center"/>
              <w:spacing w:before="156" w:line="480" w:lineRule="exact"/>
              <w:tabs>
                <w:tab w:val="left" w:pos="65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u w:val="single"/>
              </w:rPr>
              <w:t xml:space="preserve">2027</w:t>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12</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rPr>
            </w:r>
            <w:r/>
          </w:p>
        </w:tc>
        <w:tc>
          <w:tcPr>
            <w:tcW w:w="3577" w:type="dxa"/>
            <w:vAlign w:val="top"/>
            <w:textDirection w:val="lrTb"/>
            <w:noWrap w:val="false"/>
          </w:tcPr>
          <w:p>
            <w:pPr>
              <w:pStyle w:val="696"/>
              <w:ind w:left="420"/>
              <w:jc w:val="center"/>
              <w:spacing w:line="48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tc>
      </w:tr>
    </w:tbl>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分月合同电量按照政府相关规则、规定分时段约定，具体分解方式由交易双方按照电网典型负荷曲线、各自用电负荷特性及其他方式自行约定，交易各时段电量以附件方式明确。</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双方约定：甲方的分月电量计划，可以在执行月开始日的15天前，通知乙方无条件修改；在执行月开始日之前的 15天以内，双方协商修改分月计划。</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双方同时约定，对执行月实际电量与分月电量产生的偏差，甲方的实际电量与分月计划电量相比较，在正负偏差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%以内的电量，全部执行本合同4.4条约定的价格；超出正偏差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 %以外部分，按照</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价格结算；超出负偏差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 %以外部分，需要按照价格补偿乙方。</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4.6 电力曲线约定：</w:t>
      </w:r>
      <w:r>
        <w:rPr>
          <w:rFonts w:hint="eastAsia" w:ascii="仿宋" w:hAnsi="仿宋" w:eastAsia="仿宋" w:cs="仿宋"/>
          <w:b w:val="0"/>
          <w:bCs/>
          <w:sz w:val="28"/>
          <w:szCs w:val="28"/>
          <w:highlight w:val="none"/>
        </w:rPr>
      </w:r>
      <w:r/>
    </w:p>
    <w:p>
      <w:pPr>
        <w:pStyle w:val="696"/>
        <w:ind w:firstLine="560"/>
        <w:jc w:val="left"/>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双方约定：在现货市场环境下，</w:t>
      </w:r>
      <w:r>
        <w:rPr>
          <w:rFonts w:hint="eastAsia" w:ascii="仿宋" w:hAnsi="仿宋" w:eastAsia="仿宋" w:cs="仿宋"/>
          <w:b w:val="0"/>
          <w:bCs/>
          <w:sz w:val="28"/>
          <w:szCs w:val="28"/>
          <w:highlight w:val="none"/>
          <w:u w:val="single"/>
        </w:rPr>
        <w:t xml:space="preserve">不执行</w:t>
      </w:r>
      <w:r>
        <w:rPr>
          <w:rFonts w:hint="eastAsia" w:ascii="仿宋" w:hAnsi="仿宋" w:eastAsia="仿宋" w:cs="仿宋"/>
          <w:b w:val="0"/>
          <w:bCs/>
          <w:sz w:val="28"/>
          <w:szCs w:val="28"/>
          <w:highlight w:val="none"/>
        </w:rPr>
        <w:t xml:space="preserve">(二选一) 双方约定的标准用电曲线。若执行，甲方需提供标准用电曲线，并可以在执行开始日的</w:t>
      </w:r>
      <w:r>
        <w:rPr>
          <w:rFonts w:hint="eastAsia" w:ascii="仿宋" w:hAnsi="仿宋" w:eastAsia="仿宋" w:cs="仿宋"/>
          <w:b w:val="0"/>
          <w:bCs/>
          <w:sz w:val="28"/>
          <w:szCs w:val="28"/>
          <w:highlight w:val="none"/>
        </w:rPr>
        <w:tab/>
      </w:r>
      <w:r>
        <w:rPr>
          <w:rFonts w:hint="eastAsia" w:ascii="仿宋" w:hAnsi="仿宋" w:eastAsia="仿宋" w:cs="仿宋"/>
          <w:b w:val="0"/>
          <w:bCs/>
          <w:sz w:val="28"/>
          <w:szCs w:val="28"/>
          <w:highlight w:val="none"/>
          <w:u w:val="single"/>
        </w:rPr>
        <w:t xml:space="preserve">∕</w:t>
      </w:r>
      <w:r>
        <w:rPr>
          <w:rFonts w:hint="eastAsia" w:ascii="仿宋" w:hAnsi="仿宋" w:eastAsia="仿宋" w:cs="仿宋"/>
          <w:b w:val="0"/>
          <w:bCs/>
          <w:sz w:val="28"/>
          <w:szCs w:val="28"/>
          <w:highlight w:val="none"/>
        </w:rPr>
        <w:t xml:space="preserve">天前，通知乙方无条件修改。</w:t>
      </w:r>
      <w:r>
        <w:rPr>
          <w:rFonts w:hint="eastAsia" w:ascii="仿宋" w:hAnsi="仿宋" w:eastAsia="仿宋" w:cs="仿宋"/>
          <w:b w:val="0"/>
          <w:bCs/>
          <w:sz w:val="28"/>
          <w:szCs w:val="28"/>
          <w:highlight w:val="none"/>
        </w:rPr>
      </w:r>
      <w:r/>
    </w:p>
    <w:p>
      <w:pPr>
        <w:pStyle w:val="696"/>
        <w:ind w:firstLine="560"/>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双方同时约定，对执行月实际用电曲线与标准曲线产生的偏差，在正负偏差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 %以内的电量，全部执行本合同4.4条约定的价格；超出正偏差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 %以外部分，按照</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价格结算；超出负偏差</w:t>
      </w:r>
      <w:r>
        <w:rPr>
          <w:rFonts w:hint="eastAsia" w:ascii="仿宋" w:hAnsi="仿宋" w:eastAsia="仿宋" w:cs="仿宋"/>
          <w:b w:val="0"/>
          <w:bCs/>
          <w:sz w:val="28"/>
          <w:szCs w:val="28"/>
          <w:highlight w:val="none"/>
          <w:u w:val="single"/>
        </w:rPr>
        <w:t xml:space="preserve"> /   </w:t>
      </w:r>
      <w:r>
        <w:rPr>
          <w:rFonts w:hint="eastAsia" w:ascii="仿宋" w:hAnsi="仿宋" w:eastAsia="仿宋" w:cs="仿宋"/>
          <w:b w:val="0"/>
          <w:bCs/>
          <w:sz w:val="28"/>
          <w:szCs w:val="28"/>
          <w:highlight w:val="none"/>
        </w:rPr>
        <w:t xml:space="preserve"> %以外部分，需要按照</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价格补偿乙方。</w:t>
      </w:r>
      <w:r>
        <w:rPr>
          <w:rFonts w:hint="eastAsia" w:ascii="仿宋" w:hAnsi="仿宋" w:eastAsia="仿宋" w:cs="仿宋"/>
          <w:b w:val="0"/>
          <w:bCs/>
          <w:sz w:val="28"/>
          <w:szCs w:val="28"/>
          <w:highlight w:val="none"/>
        </w:rPr>
      </w:r>
      <w:r/>
    </w:p>
    <w:p>
      <w:pPr>
        <w:pStyle w:val="696"/>
        <w:jc w:val="center"/>
        <w:spacing w:line="360" w:lineRule="auto"/>
        <w:tabs>
          <w:tab w:val="left" w:pos="1722" w:leader="none"/>
        </w:tabs>
        <w:rPr>
          <w:rFonts w:hint="eastAsia" w:ascii="仿宋" w:hAnsi="仿宋" w:eastAsia="仿宋" w:cs="仿宋"/>
          <w:b w:val="0"/>
          <w:bCs/>
          <w:sz w:val="28"/>
          <w:szCs w:val="28"/>
          <w:highlight w:val="none"/>
        </w:rPr>
        <w:outlineLvl w:val="1"/>
      </w:pPr>
      <w:r/>
      <w:bookmarkStart w:id="40" w:name="_bookmark4"/>
      <w:r/>
      <w:bookmarkEnd w:id="40"/>
      <w:r>
        <w:rPr>
          <w:rFonts w:hint="eastAsia" w:ascii="仿宋" w:hAnsi="仿宋" w:eastAsia="仿宋" w:cs="仿宋"/>
          <w:b w:val="0"/>
          <w:bCs/>
          <w:sz w:val="28"/>
          <w:szCs w:val="28"/>
          <w:highlight w:val="none"/>
        </w:rPr>
        <w:t xml:space="preserve">第五章 计量、结算和支付</w:t>
      </w:r>
      <w:r>
        <w:rPr>
          <w:rFonts w:hint="eastAsia" w:ascii="仿宋" w:hAnsi="仿宋" w:eastAsia="仿宋" w:cs="仿宋"/>
          <w:b w:val="0"/>
          <w:bCs/>
          <w:sz w:val="28"/>
          <w:szCs w:val="28"/>
          <w:highlight w:val="none"/>
        </w:rPr>
      </w:r>
      <w:r/>
    </w:p>
    <w:p>
      <w:pPr>
        <w:pStyle w:val="696"/>
        <w:numPr>
          <w:ilvl w:val="1"/>
          <w:numId w:val="9"/>
        </w:numPr>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甲方的计量点按照甲方与供电企业签订的供用电合同执行，不再另行约定电力交易计量点。</w:t>
      </w:r>
      <w:r>
        <w:rPr>
          <w:rFonts w:hint="eastAsia" w:ascii="仿宋" w:hAnsi="仿宋" w:eastAsia="仿宋" w:cs="仿宋"/>
          <w:b w:val="0"/>
          <w:bCs/>
          <w:sz w:val="28"/>
          <w:szCs w:val="28"/>
          <w:highlight w:val="none"/>
        </w:rPr>
      </w:r>
      <w:r/>
    </w:p>
    <w:p>
      <w:pPr>
        <w:pStyle w:val="696"/>
        <w:numPr>
          <w:ilvl w:val="1"/>
          <w:numId w:val="9"/>
        </w:num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甲方的电费支付，保持现有向电网企业缴费的方式不变，其中甲方的电价优惠，可以直接在向电网企业缴交的用电电费中扣减。乙方的电费收取方式按照电力市场交易规则执行。双方无代缴、代扣和担保义务。</w:t>
      </w:r>
      <w:r>
        <w:rPr>
          <w:rFonts w:hint="eastAsia" w:ascii="仿宋" w:hAnsi="仿宋" w:eastAsia="仿宋" w:cs="仿宋"/>
          <w:b w:val="0"/>
          <w:bCs/>
          <w:sz w:val="28"/>
          <w:szCs w:val="28"/>
          <w:highlight w:val="none"/>
        </w:rPr>
      </w:r>
      <w:r/>
    </w:p>
    <w:p>
      <w:pPr>
        <w:pStyle w:val="696"/>
        <w:numPr>
          <w:ilvl w:val="1"/>
          <w:numId w:val="9"/>
        </w:numPr>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约定：在每个结算周期内，由乙方代为向交易中心申报本合同涉及的电量、电价，并核对结算相关数据（申报数据有误的由乙方无条件纠偏补差）；双方同时约定，均以电网企业发布的电费发票及其电费核查联作为合同执行的参照标准。甲方应在收到电费发票及其核查联后的十五个工作日内，向乙方、江苏省电力交易中心可分别提出申诉意见。</w:t>
      </w:r>
      <w:r>
        <w:rPr>
          <w:rFonts w:hint="eastAsia" w:ascii="仿宋" w:hAnsi="仿宋" w:eastAsia="仿宋" w:cs="仿宋"/>
          <w:b w:val="0"/>
          <w:bCs/>
          <w:sz w:val="28"/>
          <w:szCs w:val="28"/>
          <w:highlight w:val="none"/>
        </w:rPr>
      </w:r>
      <w:r/>
    </w:p>
    <w:p>
      <w:pPr>
        <w:pStyle w:val="717"/>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5.4履约保证金</w:t>
      </w:r>
      <w:r>
        <w:rPr>
          <w:rFonts w:hint="eastAsia" w:ascii="仿宋" w:hAnsi="仿宋" w:eastAsia="仿宋" w:cs="仿宋"/>
          <w:b w:val="0"/>
          <w:bCs/>
          <w:sz w:val="28"/>
          <w:szCs w:val="28"/>
          <w:highlight w:val="none"/>
        </w:rPr>
      </w:r>
      <w:r/>
    </w:p>
    <w:p>
      <w:pPr>
        <w:pStyle w:val="696"/>
        <w:ind w:firstLine="6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5.4.1 乙方交纳人民币</w:t>
      </w:r>
      <w:r>
        <w:rPr>
          <w:rFonts w:hint="eastAsia" w:ascii="仿宋" w:hAnsi="仿宋" w:eastAsia="仿宋" w:cs="仿宋"/>
          <w:b w:val="0"/>
          <w:bCs/>
          <w:sz w:val="28"/>
          <w:szCs w:val="28"/>
          <w:highlight w:val="none"/>
          <w:u w:val="single"/>
        </w:rPr>
        <w:t xml:space="preserve">壹万</w:t>
      </w:r>
      <w:r>
        <w:rPr>
          <w:rFonts w:hint="eastAsia" w:ascii="仿宋" w:hAnsi="仿宋" w:eastAsia="仿宋" w:cs="仿宋"/>
          <w:b w:val="0"/>
          <w:bCs/>
          <w:sz w:val="28"/>
          <w:szCs w:val="28"/>
          <w:highlight w:val="none"/>
        </w:rPr>
        <w:t xml:space="preserve">元作为本合同的履约保证金。</w:t>
      </w:r>
      <w:r>
        <w:rPr>
          <w:rFonts w:hint="eastAsia" w:ascii="仿宋" w:hAnsi="仿宋" w:eastAsia="仿宋" w:cs="仿宋"/>
          <w:b w:val="0"/>
          <w:bCs/>
          <w:sz w:val="28"/>
          <w:szCs w:val="28"/>
          <w:highlight w:val="none"/>
        </w:rPr>
      </w:r>
      <w:r/>
    </w:p>
    <w:p>
      <w:pPr>
        <w:pStyle w:val="696"/>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5.4.2乙方提供的履约保证金可以是人民币形式（银行本票、汇票、支票、电汇），或银行保函、担保公司的保证担保或保险公司的保证保险等多种形式。</w:t>
      </w:r>
      <w:r>
        <w:rPr>
          <w:rFonts w:hint="eastAsia" w:ascii="仿宋" w:hAnsi="仿宋" w:eastAsia="仿宋" w:cs="仿宋"/>
          <w:b w:val="0"/>
          <w:bCs/>
          <w:sz w:val="28"/>
          <w:szCs w:val="28"/>
          <w:highlight w:val="none"/>
        </w:rPr>
      </w:r>
      <w:r/>
    </w:p>
    <w:p>
      <w:pPr>
        <w:pStyle w:val="696"/>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仿宋"/>
          <w:b w:val="0"/>
          <w:bCs/>
          <w:sz w:val="28"/>
          <w:szCs w:val="28"/>
          <w:highlight w:val="none"/>
        </w:rPr>
      </w:r>
      <w:r/>
    </w:p>
    <w:p>
      <w:pPr>
        <w:pStyle w:val="696"/>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仿宋"/>
          <w:b w:val="0"/>
          <w:bCs/>
          <w:sz w:val="28"/>
          <w:szCs w:val="28"/>
          <w:highlight w:val="none"/>
        </w:rPr>
      </w:r>
      <w:r/>
    </w:p>
    <w:p>
      <w:pPr>
        <w:pStyle w:val="696"/>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5.4.5如乙方未能履行合同规定的义务，甲方有权从履约保证金中取得补偿。</w:t>
      </w:r>
      <w:r>
        <w:rPr>
          <w:rFonts w:hint="eastAsia" w:ascii="仿宋" w:hAnsi="仿宋" w:eastAsia="仿宋" w:cs="仿宋"/>
          <w:b w:val="0"/>
          <w:bCs/>
          <w:sz w:val="28"/>
          <w:szCs w:val="28"/>
          <w:highlight w:val="none"/>
        </w:rPr>
      </w:r>
      <w:r/>
    </w:p>
    <w:p>
      <w:pPr>
        <w:pStyle w:val="696"/>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仿宋"/>
          <w:b w:val="0"/>
          <w:bCs/>
          <w:sz w:val="28"/>
          <w:szCs w:val="28"/>
          <w:highlight w:val="none"/>
        </w:rPr>
      </w:r>
      <w:r/>
    </w:p>
    <w:p>
      <w:pPr>
        <w:pStyle w:val="696"/>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5.4.7履约保证金在合同约定期间内不予退还或者应完全有效，履约保证金在项目验收合格后无息退还给乙方。</w:t>
      </w:r>
      <w:r>
        <w:rPr>
          <w:rFonts w:hint="eastAsia" w:ascii="仿宋" w:hAnsi="仿宋" w:eastAsia="仿宋" w:cs="仿宋"/>
          <w:b w:val="0"/>
          <w:bCs/>
          <w:sz w:val="28"/>
          <w:szCs w:val="28"/>
          <w:highlight w:val="none"/>
        </w:rPr>
      </w:r>
      <w:r/>
    </w:p>
    <w:p>
      <w:pPr>
        <w:pStyle w:val="696"/>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5.5其他补充约定：考虑城市照明的公共安全属性，电费支付可能因短期结算滞后、付款延期造成难以按期支付电费等不利因数，投标方应当按需正常供电，以降低售电市场交易方式中可能出现的相应市场风险。</w:t>
      </w:r>
      <w:r>
        <w:rPr>
          <w:rFonts w:hint="eastAsia" w:ascii="仿宋" w:hAnsi="仿宋" w:eastAsia="仿宋" w:cs="仿宋"/>
          <w:b w:val="0"/>
          <w:bCs/>
          <w:sz w:val="28"/>
          <w:szCs w:val="28"/>
          <w:highlight w:val="none"/>
        </w:rPr>
      </w:r>
      <w:r/>
    </w:p>
    <w:p>
      <w:pPr>
        <w:pStyle w:val="696"/>
        <w:ind w:firstLine="560"/>
        <w:spacing w:line="520" w:lineRule="exac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pStyle w:val="696"/>
        <w:jc w:val="center"/>
        <w:spacing w:line="520" w:lineRule="exact"/>
        <w:tabs>
          <w:tab w:val="left" w:pos="1722" w:leader="none"/>
        </w:tabs>
        <w:rPr>
          <w:rFonts w:hint="eastAsia" w:ascii="仿宋" w:hAnsi="仿宋" w:eastAsia="仿宋" w:cs="仿宋"/>
          <w:b w:val="0"/>
          <w:bCs/>
          <w:sz w:val="28"/>
          <w:szCs w:val="28"/>
          <w:highlight w:val="none"/>
        </w:rPr>
        <w:outlineLvl w:val="1"/>
      </w:pPr>
      <w:r/>
      <w:bookmarkStart w:id="41" w:name="_bookmark5"/>
      <w:r/>
      <w:bookmarkEnd w:id="41"/>
      <w:r>
        <w:rPr>
          <w:rFonts w:hint="eastAsia" w:ascii="仿宋" w:hAnsi="仿宋" w:eastAsia="仿宋" w:cs="仿宋"/>
          <w:b w:val="0"/>
          <w:bCs/>
          <w:sz w:val="28"/>
          <w:szCs w:val="28"/>
          <w:highlight w:val="none"/>
        </w:rPr>
        <w:t xml:space="preserve">第六章 合同变更、解除与违约赔偿</w:t>
      </w:r>
      <w:r>
        <w:rPr>
          <w:rFonts w:hint="eastAsia" w:ascii="仿宋" w:hAnsi="仿宋" w:eastAsia="仿宋" w:cs="仿宋"/>
          <w:b w:val="0"/>
          <w:bCs/>
          <w:sz w:val="28"/>
          <w:szCs w:val="28"/>
          <w:highlight w:val="none"/>
        </w:rPr>
      </w:r>
      <w:r/>
    </w:p>
    <w:p>
      <w:pPr>
        <w:pStyle w:val="696"/>
        <w:numPr>
          <w:ilvl w:val="1"/>
          <w:numId w:val="10"/>
        </w:numPr>
        <w:ind w:left="0" w:firstLine="560"/>
        <w:spacing w:line="520" w:lineRule="exact"/>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的任何修改、补充或变更必须以书面的形式进行(分月计划调整除外)，双方盖章后方为有效。分月计划的调整，双方约定可以由本合同指定联系人，通过短信、邮箱或者微信等网络方式发送和确认完成，但双方均须做好记录，并可以随时调取查用。</w:t>
      </w:r>
      <w:r>
        <w:rPr>
          <w:rFonts w:hint="eastAsia" w:ascii="仿宋" w:hAnsi="仿宋" w:eastAsia="仿宋" w:cs="仿宋"/>
          <w:b w:val="0"/>
          <w:bCs/>
          <w:sz w:val="28"/>
          <w:szCs w:val="28"/>
          <w:highlight w:val="none"/>
        </w:rPr>
      </w:r>
      <w:r/>
    </w:p>
    <w:p>
      <w:pPr>
        <w:pStyle w:val="696"/>
        <w:numPr>
          <w:ilvl w:val="1"/>
          <w:numId w:val="10"/>
        </w:num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本合同到期自动解除，任何一方提前未经对方同意解除合同视为违约。</w:t>
      </w:r>
      <w:r>
        <w:rPr>
          <w:rFonts w:hint="eastAsia" w:ascii="仿宋" w:hAnsi="仿宋" w:eastAsia="仿宋" w:cs="仿宋"/>
          <w:b w:val="0"/>
          <w:bCs/>
          <w:sz w:val="28"/>
          <w:szCs w:val="28"/>
          <w:highlight w:val="none"/>
        </w:rPr>
      </w:r>
      <w:r/>
    </w:p>
    <w:p>
      <w:pPr>
        <w:pStyle w:val="696"/>
        <w:numPr>
          <w:ilvl w:val="1"/>
          <w:numId w:val="10"/>
        </w:num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如因乙方责任，没有及时完成本合同备案或其他相关执行手续，导致本合同无法执行，双方约定：</w:t>
      </w:r>
      <w:r>
        <w:rPr>
          <w:rFonts w:hint="eastAsia" w:ascii="仿宋" w:hAnsi="仿宋" w:eastAsia="仿宋" w:cs="仿宋"/>
          <w:b w:val="0"/>
          <w:bCs/>
          <w:sz w:val="28"/>
          <w:szCs w:val="28"/>
          <w:highlight w:val="none"/>
        </w:rPr>
      </w:r>
      <w:r/>
    </w:p>
    <w:p>
      <w:pPr>
        <w:pStyle w:val="696"/>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 (1)若在合同约定的实际开始执行前 30 日前书面通知甲方，提出解约，乙方一次性赔偿甲方</w:t>
      </w:r>
      <w:bookmarkStart w:id="42" w:name="OLE_LINK7"/>
      <w:r>
        <w:rPr>
          <w:rFonts w:hint="eastAsia" w:ascii="仿宋" w:hAnsi="仿宋" w:eastAsia="仿宋" w:cs="仿宋"/>
          <w:b w:val="0"/>
          <w:bCs/>
          <w:sz w:val="28"/>
          <w:szCs w:val="28"/>
          <w:highlight w:val="none"/>
        </w:rPr>
        <w:t xml:space="preserve">因乙方违约造成的一切经济损失</w:t>
      </w:r>
      <w:bookmarkEnd w:id="42"/>
      <w:r>
        <w:rPr>
          <w:rFonts w:hint="eastAsia" w:ascii="仿宋" w:hAnsi="仿宋" w:eastAsia="仿宋" w:cs="仿宋"/>
          <w:b w:val="0"/>
          <w:bCs/>
          <w:sz w:val="28"/>
          <w:szCs w:val="28"/>
          <w:highlight w:val="none"/>
        </w:rPr>
        <w:t xml:space="preserve">（含可能造成的电网企业代理购电价格的1.5倍电价差额等）；</w:t>
      </w:r>
      <w:r>
        <w:rPr>
          <w:rFonts w:hint="eastAsia" w:ascii="仿宋" w:hAnsi="仿宋" w:eastAsia="仿宋" w:cs="仿宋"/>
          <w:b w:val="0"/>
          <w:bCs/>
          <w:sz w:val="28"/>
          <w:szCs w:val="28"/>
          <w:highlight w:val="none"/>
        </w:rPr>
      </w:r>
      <w:r/>
    </w:p>
    <w:p>
      <w:pPr>
        <w:pStyle w:val="696"/>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 (2)其他情况，乙方一次性赔偿甲方</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rPr>
        <w:t xml:space="preserve">万元的损失。</w:t>
      </w:r>
      <w:r>
        <w:rPr>
          <w:rFonts w:hint="eastAsia" w:ascii="仿宋" w:hAnsi="仿宋" w:eastAsia="仿宋" w:cs="仿宋"/>
          <w:b w:val="0"/>
          <w:bCs/>
          <w:sz w:val="28"/>
          <w:szCs w:val="28"/>
          <w:highlight w:val="none"/>
        </w:rPr>
      </w:r>
      <w:r/>
    </w:p>
    <w:p>
      <w:pPr>
        <w:pStyle w:val="696"/>
        <w:numPr>
          <w:ilvl w:val="1"/>
          <w:numId w:val="10"/>
        </w:num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如在合同周期内，乙方未按照本合同约定给甲方进行结算，需按照合同约定结算电费和实际结算电费的差额部分的</w:t>
      </w:r>
      <w:r>
        <w:rPr>
          <w:rFonts w:hint="eastAsia" w:ascii="仿宋" w:hAnsi="仿宋" w:eastAsia="仿宋" w:cs="仿宋"/>
          <w:b w:val="0"/>
          <w:bCs/>
          <w:sz w:val="28"/>
          <w:szCs w:val="28"/>
          <w:highlight w:val="none"/>
          <w:u w:val="single"/>
        </w:rPr>
        <w:t xml:space="preserve">壹</w:t>
      </w:r>
      <w:r>
        <w:rPr>
          <w:rFonts w:hint="eastAsia" w:ascii="仿宋" w:hAnsi="仿宋" w:eastAsia="仿宋" w:cs="仿宋"/>
          <w:b w:val="0"/>
          <w:bCs/>
          <w:sz w:val="28"/>
          <w:szCs w:val="28"/>
          <w:highlight w:val="none"/>
        </w:rPr>
        <w:t xml:space="preserve">倍赔偿甲方。</w:t>
      </w:r>
      <w:r>
        <w:rPr>
          <w:rFonts w:hint="eastAsia" w:ascii="仿宋" w:hAnsi="仿宋" w:eastAsia="仿宋" w:cs="仿宋"/>
          <w:b w:val="0"/>
          <w:bCs/>
          <w:sz w:val="28"/>
          <w:szCs w:val="28"/>
          <w:highlight w:val="none"/>
        </w:rPr>
      </w:r>
      <w:r/>
    </w:p>
    <w:p>
      <w:pPr>
        <w:pStyle w:val="696"/>
        <w:numPr>
          <w:ilvl w:val="1"/>
          <w:numId w:val="10"/>
        </w:numPr>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如甲方在合同周期内，未经乙方书面同意，与其他售电公司签订购售电合同、不配合在江苏省电力交易中心办理备案及其他相关手续、转为批发市场用户等行为导致本合同无法执行，双方约定，按照以下条款，甲方应赔偿乙方：</w:t>
      </w:r>
      <w:r>
        <w:rPr>
          <w:rFonts w:hint="eastAsia" w:ascii="仿宋" w:hAnsi="仿宋" w:eastAsia="仿宋" w:cs="仿宋"/>
          <w:b w:val="0"/>
          <w:bCs/>
          <w:sz w:val="28"/>
          <w:szCs w:val="28"/>
          <w:highlight w:val="none"/>
        </w:rPr>
      </w:r>
      <w:r/>
    </w:p>
    <w:p>
      <w:pPr>
        <w:pStyle w:val="696"/>
        <w:numPr>
          <w:ilvl w:val="0"/>
          <w:numId w:val="11"/>
        </w:numPr>
        <w:ind w:firstLine="560"/>
        <w:spacing w:line="360" w:lineRule="auto"/>
        <w:tabs>
          <w:tab w:val="left" w:pos="1244" w:leader="none"/>
          <w:tab w:val="left" w:pos="268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在合同约定的实际开始执行前30日内提出解约，一次性赔偿乙方</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w:t>
      </w:r>
      <w:r>
        <w:rPr>
          <w:rFonts w:hint="eastAsia" w:ascii="仿宋" w:hAnsi="仿宋" w:eastAsia="仿宋" w:cs="仿宋"/>
          <w:b w:val="0"/>
          <w:bCs/>
          <w:sz w:val="28"/>
          <w:szCs w:val="28"/>
          <w:highlight w:val="none"/>
        </w:rPr>
        <w:t xml:space="preserve">万元的签约损失；</w:t>
      </w:r>
      <w:r>
        <w:rPr>
          <w:rFonts w:hint="eastAsia" w:ascii="仿宋" w:hAnsi="仿宋" w:eastAsia="仿宋" w:cs="仿宋"/>
          <w:b w:val="0"/>
          <w:bCs/>
          <w:sz w:val="28"/>
          <w:szCs w:val="28"/>
          <w:highlight w:val="none"/>
        </w:rPr>
      </w:r>
      <w:r/>
    </w:p>
    <w:p>
      <w:pPr>
        <w:pStyle w:val="696"/>
        <w:numPr>
          <w:ilvl w:val="0"/>
          <w:numId w:val="11"/>
        </w:numPr>
        <w:ind w:firstLine="560"/>
        <w:spacing w:line="360" w:lineRule="auto"/>
        <w:tabs>
          <w:tab w:val="left" w:pos="1261" w:leader="none"/>
          <w:tab w:val="left" w:pos="268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在合同执行过程中，甲方要求解约，按照未履约月 份，向乙方按照每个月</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rPr>
        <w:t xml:space="preserve">万元的签约损失赔偿。</w:t>
      </w:r>
      <w:r>
        <w:rPr>
          <w:rFonts w:hint="eastAsia" w:ascii="仿宋" w:hAnsi="仿宋" w:eastAsia="仿宋" w:cs="仿宋"/>
          <w:b w:val="0"/>
          <w:bCs/>
          <w:sz w:val="28"/>
          <w:szCs w:val="28"/>
          <w:highlight w:val="none"/>
        </w:rPr>
      </w:r>
      <w:r/>
    </w:p>
    <w:p>
      <w:pPr>
        <w:pStyle w:val="696"/>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甲方与乙方签约后，不应与其它售电公司签约。因乙方失误导致甲方未能享受优惠的，乙方赔偿甲方损失。因甲方自身原因不能参与电力市场导致损失的，甲方不承担违约责任。</w:t>
      </w:r>
      <w:r>
        <w:rPr>
          <w:rFonts w:hint="eastAsia" w:ascii="仿宋" w:hAnsi="仿宋" w:eastAsia="仿宋" w:cs="仿宋"/>
          <w:b w:val="0"/>
          <w:bCs/>
          <w:sz w:val="28"/>
          <w:szCs w:val="28"/>
          <w:highlight w:val="none"/>
        </w:rPr>
      </w:r>
      <w:r/>
    </w:p>
    <w:p>
      <w:pPr>
        <w:pStyle w:val="696"/>
        <w:jc w:val="center"/>
        <w:spacing w:line="360" w:lineRule="auto"/>
        <w:tabs>
          <w:tab w:val="left" w:pos="1722" w:leader="none"/>
        </w:tabs>
        <w:rPr>
          <w:rFonts w:hint="eastAsia" w:ascii="仿宋" w:hAnsi="仿宋" w:eastAsia="仿宋" w:cs="仿宋"/>
          <w:b w:val="0"/>
          <w:bCs/>
          <w:sz w:val="28"/>
          <w:szCs w:val="28"/>
          <w:highlight w:val="none"/>
        </w:rPr>
        <w:outlineLvl w:val="1"/>
      </w:pPr>
      <w:r/>
      <w:bookmarkStart w:id="43" w:name="_bookmark6"/>
      <w:r/>
      <w:bookmarkEnd w:id="43"/>
      <w:r>
        <w:rPr>
          <w:rFonts w:hint="eastAsia" w:ascii="仿宋" w:hAnsi="仿宋" w:eastAsia="仿宋" w:cs="仿宋"/>
          <w:b w:val="0"/>
          <w:bCs/>
          <w:sz w:val="28"/>
          <w:szCs w:val="28"/>
          <w:highlight w:val="none"/>
        </w:rPr>
        <w:t xml:space="preserve">第七章 保密及争议解决</w:t>
      </w:r>
      <w:r>
        <w:rPr>
          <w:rFonts w:hint="eastAsia" w:ascii="仿宋" w:hAnsi="仿宋" w:eastAsia="仿宋" w:cs="仿宋"/>
          <w:b w:val="0"/>
          <w:bCs/>
          <w:sz w:val="28"/>
          <w:szCs w:val="28"/>
          <w:highlight w:val="none"/>
        </w:rPr>
      </w:r>
      <w:r/>
    </w:p>
    <w:p>
      <w:pPr>
        <w:pStyle w:val="696"/>
        <w:numPr>
          <w:ilvl w:val="1"/>
          <w:numId w:val="12"/>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保密</w:t>
      </w:r>
      <w:r>
        <w:rPr>
          <w:rFonts w:hint="eastAsia" w:ascii="仿宋" w:hAnsi="仿宋" w:eastAsia="仿宋" w:cs="仿宋"/>
          <w:b w:val="0"/>
          <w:bCs/>
          <w:sz w:val="28"/>
          <w:szCs w:val="28"/>
          <w:highlight w:val="none"/>
        </w:rPr>
      </w:r>
      <w:r/>
    </w:p>
    <w:p>
      <w:pPr>
        <w:pStyle w:val="696"/>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乙双方均应保证其从另一方取得的所有无法自公开渠道获得的资料和文件（包括财务、技术等内容）予以保密。未经该资料和文件的原提供方同意，不得向任何第三方透露该资料和文件的全部或任何部分，但按照法律、法规规定可做出披露的情况除外。</w:t>
      </w:r>
      <w:r>
        <w:rPr>
          <w:rFonts w:hint="eastAsia" w:ascii="仿宋" w:hAnsi="仿宋" w:eastAsia="仿宋" w:cs="仿宋"/>
          <w:b w:val="0"/>
          <w:bCs/>
          <w:sz w:val="28"/>
          <w:szCs w:val="28"/>
          <w:highlight w:val="none"/>
        </w:rPr>
      </w:r>
      <w:r/>
    </w:p>
    <w:p>
      <w:pPr>
        <w:pStyle w:val="696"/>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本合同中有关解除、争议解决和保密的条款在本合同解除后仍然有效。</w:t>
      </w:r>
      <w:r>
        <w:rPr>
          <w:rFonts w:hint="eastAsia" w:ascii="仿宋" w:hAnsi="仿宋" w:eastAsia="仿宋" w:cs="仿宋"/>
          <w:b w:val="0"/>
          <w:bCs/>
          <w:sz w:val="28"/>
          <w:szCs w:val="28"/>
          <w:highlight w:val="none"/>
        </w:rPr>
      </w:r>
      <w:r/>
    </w:p>
    <w:p>
      <w:pPr>
        <w:pStyle w:val="696"/>
        <w:numPr>
          <w:ilvl w:val="1"/>
          <w:numId w:val="12"/>
        </w:numPr>
        <w:ind w:left="0" w:firstLine="560"/>
        <w:spacing w:line="360" w:lineRule="auto"/>
        <w:tabs>
          <w:tab w:val="left" w:pos="1323"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凡因执行本合同所发生的与本合同有关的一切争议，双方应协商解决；协商不成，按以下第 (</w:t>
      </w:r>
      <w:r>
        <w:rPr>
          <w:rFonts w:hint="eastAsia" w:ascii="仿宋" w:hAnsi="仿宋" w:eastAsia="仿宋" w:cs="仿宋"/>
          <w:b w:val="0"/>
          <w:bCs/>
          <w:sz w:val="28"/>
          <w:szCs w:val="28"/>
          <w:highlight w:val="none"/>
          <w:u w:val="single"/>
        </w:rPr>
        <w:t xml:space="preserve"> 2 </w:t>
      </w:r>
      <w:r>
        <w:rPr>
          <w:rFonts w:hint="eastAsia" w:ascii="仿宋" w:hAnsi="仿宋" w:eastAsia="仿宋" w:cs="仿宋"/>
          <w:b w:val="0"/>
          <w:bCs/>
          <w:sz w:val="28"/>
          <w:szCs w:val="28"/>
          <w:highlight w:val="none"/>
        </w:rPr>
        <w:t xml:space="preserve">)种方式处理：</w:t>
      </w:r>
      <w:r>
        <w:rPr>
          <w:rFonts w:hint="eastAsia" w:ascii="仿宋" w:hAnsi="仿宋" w:eastAsia="仿宋" w:cs="仿宋"/>
          <w:b w:val="0"/>
          <w:bCs/>
          <w:sz w:val="28"/>
          <w:szCs w:val="28"/>
          <w:highlight w:val="none"/>
        </w:rPr>
      </w:r>
      <w:r/>
    </w:p>
    <w:p>
      <w:pPr>
        <w:pStyle w:val="696"/>
        <w:numPr>
          <w:ilvl w:val="0"/>
          <w:numId w:val="13"/>
        </w:numPr>
        <w:ind w:left="0" w:firstLine="560"/>
        <w:spacing w:line="360" w:lineRule="auto"/>
        <w:tabs>
          <w:tab w:val="left" w:pos="1261"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双方同意提请仲裁委员会，请求按照其仲裁规则进行仲裁。仲裁裁决是终局的，对双方均具有法律约束力。</w:t>
      </w:r>
      <w:r>
        <w:rPr>
          <w:rFonts w:hint="eastAsia" w:ascii="仿宋" w:hAnsi="仿宋" w:eastAsia="仿宋" w:cs="仿宋"/>
          <w:b w:val="0"/>
          <w:bCs/>
          <w:sz w:val="28"/>
          <w:szCs w:val="28"/>
          <w:highlight w:val="none"/>
        </w:rPr>
      </w:r>
      <w:r/>
    </w:p>
    <w:p>
      <w:pPr>
        <w:pStyle w:val="696"/>
        <w:numPr>
          <w:ilvl w:val="0"/>
          <w:numId w:val="13"/>
        </w:numPr>
        <w:ind w:left="0" w:firstLine="560"/>
        <w:spacing w:line="360" w:lineRule="auto"/>
        <w:tabs>
          <w:tab w:val="left" w:pos="124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任何一方依法提请甲方人民法院通过诉讼程序解决。</w:t>
      </w:r>
      <w:r>
        <w:rPr>
          <w:rFonts w:hint="eastAsia" w:ascii="仿宋" w:hAnsi="仿宋" w:eastAsia="仿宋" w:cs="仿宋"/>
          <w:b w:val="0"/>
          <w:bCs/>
          <w:sz w:val="28"/>
          <w:szCs w:val="28"/>
          <w:highlight w:val="none"/>
        </w:rPr>
      </w:r>
      <w:r/>
    </w:p>
    <w:p>
      <w:pPr>
        <w:pStyle w:val="696"/>
        <w:ind w:firstLine="198"/>
        <w:jc w:val="center"/>
        <w:spacing w:line="360" w:lineRule="auto"/>
        <w:tabs>
          <w:tab w:val="left" w:pos="1722" w:leader="none"/>
        </w:tabs>
        <w:rPr>
          <w:rFonts w:hint="eastAsia" w:ascii="仿宋" w:hAnsi="仿宋" w:eastAsia="仿宋" w:cs="仿宋"/>
          <w:b w:val="0"/>
          <w:bCs/>
          <w:sz w:val="28"/>
          <w:szCs w:val="28"/>
          <w:highlight w:val="none"/>
        </w:rPr>
        <w:outlineLvl w:val="1"/>
      </w:pPr>
      <w:r/>
      <w:bookmarkStart w:id="44" w:name="_bookmark7"/>
      <w:r/>
      <w:bookmarkEnd w:id="44"/>
      <w:r>
        <w:rPr>
          <w:rFonts w:hint="eastAsia" w:ascii="仿宋" w:hAnsi="仿宋" w:eastAsia="仿宋" w:cs="仿宋"/>
          <w:b w:val="0"/>
          <w:bCs/>
          <w:sz w:val="28"/>
          <w:szCs w:val="28"/>
          <w:highlight w:val="none"/>
        </w:rPr>
        <w:t xml:space="preserve">第八章 合同生效和期限</w:t>
      </w:r>
      <w:r>
        <w:rPr>
          <w:rFonts w:hint="eastAsia" w:ascii="仿宋" w:hAnsi="仿宋" w:eastAsia="仿宋" w:cs="仿宋"/>
          <w:b w:val="0"/>
          <w:bCs/>
          <w:sz w:val="28"/>
          <w:szCs w:val="28"/>
          <w:highlight w:val="none"/>
        </w:rPr>
      </w:r>
      <w:r/>
    </w:p>
    <w:p>
      <w:pPr>
        <w:pStyle w:val="696"/>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8.1 本合同的订立、效力、解释、履行和争议的解决均 适用中华人民共和国法律。双方未尽事宜，均服从中华人民 共和国法律和江苏电力市场交易规则。</w:t>
      </w:r>
      <w:r>
        <w:rPr>
          <w:rFonts w:hint="eastAsia" w:ascii="仿宋" w:hAnsi="仿宋" w:eastAsia="仿宋" w:cs="仿宋"/>
          <w:b w:val="0"/>
          <w:bCs/>
          <w:sz w:val="28"/>
          <w:szCs w:val="28"/>
          <w:highlight w:val="none"/>
        </w:rPr>
      </w:r>
      <w:r/>
    </w:p>
    <w:p>
      <w:pPr>
        <w:pStyle w:val="696"/>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8.2  本合同经双方法定代表人（或授权代理人）签字并盖章后生效。合同生效后，关于办理本合同在江苏省电力交易中心的备案及其他相关执行手续，双方选择以下约定</w:t>
      </w:r>
      <w:r>
        <w:rPr>
          <w:rFonts w:hint="eastAsia" w:ascii="仿宋" w:hAnsi="仿宋" w:eastAsia="仿宋" w:cs="仿宋"/>
          <w:b w:val="0"/>
          <w:bCs/>
          <w:sz w:val="28"/>
          <w:szCs w:val="28"/>
          <w:highlight w:val="none"/>
          <w:u w:val="single"/>
        </w:rPr>
        <w:t xml:space="preserve"> （1）</w:t>
      </w:r>
      <w:r>
        <w:rPr>
          <w:rFonts w:hint="eastAsia" w:ascii="仿宋" w:hAnsi="仿宋" w:eastAsia="仿宋" w:cs="仿宋"/>
          <w:b w:val="0"/>
          <w:bCs/>
          <w:sz w:val="28"/>
          <w:szCs w:val="28"/>
          <w:highlight w:val="none"/>
        </w:rPr>
        <w:t xml:space="preserve">（单选）：</w:t>
      </w:r>
      <w:r>
        <w:rPr>
          <w:rFonts w:hint="eastAsia" w:ascii="仿宋" w:hAnsi="仿宋" w:eastAsia="仿宋" w:cs="仿宋"/>
          <w:b w:val="0"/>
          <w:bCs/>
          <w:sz w:val="28"/>
          <w:szCs w:val="28"/>
          <w:highlight w:val="none"/>
        </w:rPr>
      </w:r>
      <w:r/>
    </w:p>
    <w:p>
      <w:pPr>
        <w:pStyle w:val="696"/>
        <w:numPr>
          <w:ilvl w:val="0"/>
          <w:numId w:val="14"/>
        </w:numPr>
        <w:ind w:left="0" w:firstLine="560"/>
        <w:spacing w:line="360" w:lineRule="auto"/>
        <w:tabs>
          <w:tab w:val="left" w:pos="158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甲方与乙方共同办理本合同在江苏省电力交易中心的备案及其他相关执行手续，</w:t>
      </w:r>
      <w:r>
        <w:rPr>
          <w:rFonts w:hint="eastAsia" w:ascii="仿宋" w:hAnsi="仿宋" w:eastAsia="仿宋" w:cs="仿宋"/>
          <w:b w:val="0"/>
          <w:bCs/>
          <w:sz w:val="28"/>
          <w:szCs w:val="28"/>
          <w:highlight w:val="none"/>
        </w:rPr>
      </w:r>
      <w:r/>
    </w:p>
    <w:p>
      <w:pPr>
        <w:pStyle w:val="696"/>
        <w:numPr>
          <w:ilvl w:val="0"/>
          <w:numId w:val="14"/>
        </w:numPr>
        <w:ind w:left="0" w:firstLine="560"/>
        <w:spacing w:line="360" w:lineRule="auto"/>
        <w:tabs>
          <w:tab w:val="left" w:pos="1564"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由</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乙 </w:t>
      </w:r>
      <w:r>
        <w:rPr>
          <w:rFonts w:hint="eastAsia" w:ascii="仿宋" w:hAnsi="仿宋" w:eastAsia="仿宋" w:cs="仿宋"/>
          <w:b w:val="0"/>
          <w:bCs/>
          <w:sz w:val="28"/>
          <w:szCs w:val="28"/>
          <w:highlight w:val="none"/>
        </w:rPr>
        <w:t xml:space="preserve">方代为办理本合同在江苏省电力交易中心的备案和相关执行手续。</w:t>
      </w:r>
      <w:r>
        <w:rPr>
          <w:rFonts w:hint="eastAsia" w:ascii="仿宋" w:hAnsi="仿宋" w:eastAsia="仿宋" w:cs="仿宋"/>
          <w:b w:val="0"/>
          <w:bCs/>
          <w:sz w:val="28"/>
          <w:szCs w:val="28"/>
          <w:highlight w:val="none"/>
        </w:rPr>
      </w:r>
      <w:r/>
    </w:p>
    <w:p>
      <w:pPr>
        <w:pStyle w:val="696"/>
        <w:ind w:firstLine="560"/>
        <w:spacing w:line="360" w:lineRule="auto"/>
        <w:tabs>
          <w:tab w:val="left" w:pos="1402"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本合同及其附件构成双方就本合同标的达成的全部内容，取代所有双方在此之前就本合同标的所签订的协议和合同。</w:t>
      </w:r>
      <w:r>
        <w:rPr>
          <w:rFonts w:hint="eastAsia" w:ascii="仿宋" w:hAnsi="仿宋" w:eastAsia="仿宋" w:cs="仿宋"/>
          <w:b w:val="0"/>
          <w:bCs/>
          <w:sz w:val="28"/>
          <w:szCs w:val="28"/>
          <w:highlight w:val="none"/>
        </w:rPr>
      </w:r>
      <w:r/>
    </w:p>
    <w:p>
      <w:pPr>
        <w:pStyle w:val="696"/>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8.3  任何一方未通过书面形式声明放弃其在本合同项下的任何权利，则不应被视为其弃权。任何一方未行使其在本合同项下的任何权利，均不应被视为对任何上述权利的放弃或对今后任何上述权利的放弃。</w:t>
      </w:r>
      <w:r>
        <w:rPr>
          <w:rFonts w:hint="eastAsia" w:ascii="仿宋" w:hAnsi="仿宋" w:eastAsia="仿宋" w:cs="仿宋"/>
          <w:b w:val="0"/>
          <w:bCs/>
          <w:sz w:val="28"/>
          <w:szCs w:val="28"/>
          <w:highlight w:val="none"/>
        </w:rPr>
      </w:r>
      <w:r/>
    </w:p>
    <w:p>
      <w:pPr>
        <w:pStyle w:val="696"/>
        <w:ind w:firstLine="560"/>
        <w:spacing w:line="520" w:lineRule="atLeast"/>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8.4  本合同有效期：自签订之日起至4.1条款约定的合同交易最后日期。</w:t>
      </w:r>
      <w:r>
        <w:rPr>
          <w:rFonts w:hint="eastAsia" w:ascii="仿宋" w:hAnsi="仿宋" w:eastAsia="仿宋" w:cs="仿宋"/>
          <w:b w:val="0"/>
          <w:bCs/>
          <w:sz w:val="28"/>
          <w:szCs w:val="28"/>
          <w:highlight w:val="none"/>
        </w:rPr>
      </w:r>
      <w:r/>
    </w:p>
    <w:p>
      <w:pPr>
        <w:pStyle w:val="696"/>
        <w:ind w:firstLine="560"/>
        <w:spacing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8.4  本合同正本一式</w:t>
      </w:r>
      <w:r>
        <w:rPr>
          <w:rFonts w:hint="eastAsia" w:ascii="仿宋" w:hAnsi="仿宋" w:eastAsia="仿宋" w:cs="仿宋"/>
          <w:b w:val="0"/>
          <w:bCs/>
          <w:sz w:val="28"/>
          <w:szCs w:val="28"/>
          <w:highlight w:val="none"/>
          <w:u w:val="single"/>
        </w:rPr>
        <w:t xml:space="preserve">陆</w:t>
      </w:r>
      <w:r>
        <w:rPr>
          <w:rFonts w:hint="eastAsia" w:ascii="仿宋" w:hAnsi="仿宋" w:eastAsia="仿宋" w:cs="仿宋"/>
          <w:b w:val="0"/>
          <w:bCs/>
          <w:sz w:val="28"/>
          <w:szCs w:val="28"/>
          <w:highlight w:val="none"/>
        </w:rPr>
        <w:t xml:space="preserve">份，双方各执</w:t>
      </w:r>
      <w:r>
        <w:rPr>
          <w:rFonts w:hint="eastAsia" w:ascii="仿宋" w:hAnsi="仿宋" w:eastAsia="仿宋" w:cs="仿宋"/>
          <w:b w:val="0"/>
          <w:bCs/>
          <w:sz w:val="28"/>
          <w:szCs w:val="28"/>
          <w:highlight w:val="none"/>
          <w:u w:val="single"/>
        </w:rPr>
        <w:t xml:space="preserve">叁</w:t>
      </w:r>
      <w:r>
        <w:rPr>
          <w:rFonts w:hint="eastAsia" w:ascii="仿宋" w:hAnsi="仿宋" w:eastAsia="仿宋" w:cs="仿宋"/>
          <w:b w:val="0"/>
          <w:bCs/>
          <w:sz w:val="28"/>
          <w:szCs w:val="28"/>
          <w:highlight w:val="none"/>
        </w:rPr>
        <w:t xml:space="preserve">份，副本若干份，分送有关机构。</w:t>
      </w:r>
      <w:r>
        <w:rPr>
          <w:rFonts w:hint="eastAsia" w:ascii="仿宋" w:hAnsi="仿宋" w:eastAsia="仿宋" w:cs="仿宋"/>
          <w:b w:val="0"/>
          <w:bCs/>
          <w:sz w:val="28"/>
          <w:szCs w:val="28"/>
          <w:highlight w:val="none"/>
        </w:rPr>
      </w:r>
      <w:r/>
    </w:p>
    <w:p>
      <w:pPr>
        <w:pStyle w:val="696"/>
        <w:ind w:firstLine="560"/>
        <w:spacing w:before="43" w:line="360" w:lineRule="auto"/>
        <w:tabs>
          <w:tab w:val="left" w:pos="1388"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签字页：</w:t>
      </w:r>
      <w:r>
        <w:rPr>
          <w:rFonts w:hint="eastAsia" w:ascii="仿宋" w:hAnsi="仿宋" w:eastAsia="仿宋" w:cs="仿宋"/>
          <w:b w:val="0"/>
          <w:bCs/>
          <w:sz w:val="28"/>
          <w:szCs w:val="28"/>
          <w:highlight w:val="none"/>
        </w:rPr>
      </w:r>
      <w:r/>
    </w:p>
    <w:p>
      <w:pPr>
        <w:pStyle w:val="696"/>
        <w:ind w:left="761" w:right="946"/>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pStyle w:val="696"/>
        <w:ind w:left="761" w:right="946"/>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rPr>
        <w:t xml:space="preserve">甲方（盖章）：</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r>
      <w:r/>
    </w:p>
    <w:p>
      <w:pPr>
        <w:pStyle w:val="696"/>
        <w:ind w:left="761" w:right="946"/>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rPr>
        <w:t xml:space="preserve">法定代表人/授权代理人:</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r>
      <w:r/>
    </w:p>
    <w:p>
      <w:pPr>
        <w:pStyle w:val="696"/>
        <w:ind w:left="761" w:right="946"/>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签订日期：</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日</w:t>
      </w:r>
      <w:r>
        <w:rPr>
          <w:rFonts w:hint="eastAsia" w:ascii="仿宋" w:hAnsi="仿宋" w:eastAsia="仿宋" w:cs="仿宋"/>
          <w:b w:val="0"/>
          <w:bCs/>
          <w:sz w:val="28"/>
          <w:szCs w:val="28"/>
          <w:highlight w:val="none"/>
        </w:rPr>
      </w:r>
      <w:r/>
    </w:p>
    <w:p>
      <w:pPr>
        <w:pStyle w:val="696"/>
        <w:spacing w:line="360" w:lineRule="auto"/>
        <w:tabs>
          <w:tab w:val="left" w:pos="2020" w:leader="none"/>
          <w:tab w:val="center" w:pos="4535"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r>
      <w:r/>
    </w:p>
    <w:p>
      <w:pPr>
        <w:pStyle w:val="696"/>
        <w:ind w:left="760" w:right="947"/>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rPr>
        <w:t xml:space="preserve">乙方（盖章）：</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r>
      <w:r/>
    </w:p>
    <w:p>
      <w:pPr>
        <w:pStyle w:val="696"/>
        <w:ind w:left="760" w:right="947"/>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u w:val="single"/>
        </w:rPr>
      </w:pPr>
      <w:r>
        <w:rPr>
          <w:rFonts w:hint="eastAsia" w:ascii="仿宋" w:hAnsi="仿宋" w:eastAsia="仿宋" w:cs="仿宋"/>
          <w:b w:val="0"/>
          <w:bCs/>
          <w:sz w:val="28"/>
          <w:szCs w:val="28"/>
          <w:highlight w:val="none"/>
        </w:rPr>
        <w:t xml:space="preserve">法定代表人/授权代理人:</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u w:val="single"/>
        </w:rPr>
      </w:r>
      <w:r/>
    </w:p>
    <w:p>
      <w:pPr>
        <w:pStyle w:val="696"/>
        <w:ind w:left="760" w:right="947"/>
        <w:spacing w:line="360" w:lineRule="auto"/>
        <w:tabs>
          <w:tab w:val="left" w:pos="2020" w:leader="none"/>
          <w:tab w:val="left" w:pos="3322" w:leader="none"/>
          <w:tab w:val="center" w:pos="4535" w:leader="none"/>
          <w:tab w:val="left" w:pos="7855" w:leader="none"/>
          <w:tab w:val="left" w:pos="7910" w:leader="none"/>
        </w:tabs>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rPr>
        <w:t xml:space="preserve">签订日期：</w:t>
      </w:r>
      <w:r>
        <w:rPr>
          <w:rFonts w:hint="eastAsia" w:ascii="仿宋" w:hAnsi="仿宋" w:eastAsia="仿宋" w:cs="仿宋"/>
          <w:b w:val="0"/>
          <w:bCs/>
          <w:sz w:val="28"/>
          <w:szCs w:val="28"/>
          <w:highlight w:val="none"/>
          <w:u w:val="single"/>
        </w:rPr>
        <w:tab/>
      </w:r>
      <w:r>
        <w:rPr>
          <w:rFonts w:hint="eastAsia" w:ascii="仿宋" w:hAnsi="仿宋" w:eastAsia="仿宋" w:cs="仿宋"/>
          <w:b w:val="0"/>
          <w:bCs/>
          <w:sz w:val="28"/>
          <w:szCs w:val="28"/>
          <w:highlight w:val="none"/>
        </w:rPr>
        <w:t xml:space="preserve">年</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月</w:t>
      </w:r>
      <w:r>
        <w:rPr>
          <w:rFonts w:hint="eastAsia" w:ascii="仿宋" w:hAnsi="仿宋" w:eastAsia="仿宋" w:cs="仿宋"/>
          <w:b w:val="0"/>
          <w:bCs/>
          <w:sz w:val="28"/>
          <w:szCs w:val="28"/>
          <w:highlight w:val="none"/>
          <w:u w:val="single"/>
        </w:rPr>
        <w:t xml:space="preserve">   </w:t>
      </w:r>
      <w:r>
        <w:rPr>
          <w:rFonts w:hint="eastAsia" w:ascii="仿宋" w:hAnsi="仿宋" w:eastAsia="仿宋" w:cs="仿宋"/>
          <w:b w:val="0"/>
          <w:bCs/>
          <w:sz w:val="28"/>
          <w:szCs w:val="28"/>
          <w:highlight w:val="none"/>
        </w:rPr>
        <w:t xml:space="preserve">日</w:t>
      </w:r>
      <w:r>
        <w:rPr>
          <w:rFonts w:hint="eastAsia" w:ascii="仿宋" w:hAnsi="仿宋" w:eastAsia="仿宋" w:cs="仿宋"/>
          <w:b w:val="0"/>
          <w:bCs/>
          <w:sz w:val="28"/>
          <w:szCs w:val="28"/>
          <w:highlight w:val="none"/>
        </w:rPr>
      </w:r>
      <w:r/>
    </w:p>
    <w:p>
      <w:pPr>
        <w:pStyle w:val="717"/>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一、</w:t>
      </w:r>
      <w:r>
        <w:rPr>
          <w:rFonts w:hint="eastAsia" w:ascii="仿宋" w:hAnsi="仿宋" w:eastAsia="仿宋"/>
          <w:bCs/>
          <w:sz w:val="28"/>
          <w:szCs w:val="28"/>
          <w:highlight w:val="none"/>
          <w:lang w:eastAsia="zh-CN"/>
        </w:rPr>
        <w:t xml:space="preserve">项目主要内容</w:t>
      </w:r>
      <w:r>
        <w:rPr>
          <w:rFonts w:hint="eastAsia" w:ascii="仿宋" w:hAnsi="仿宋" w:eastAsia="仿宋"/>
          <w:bCs/>
          <w:sz w:val="28"/>
          <w:szCs w:val="28"/>
          <w:highlight w:val="none"/>
          <w:lang w:eastAsia="zh-CN"/>
        </w:rPr>
      </w:r>
      <w:r/>
    </w:p>
    <w:p>
      <w:pPr>
        <w:pStyle w:val="717"/>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1、投标人符合国家发展改革委、国家能源局《有序放开配电网业务管理办法》、《发改经体[2016]2120号》、《发改能源[2016]27</w:t>
      </w:r>
      <w:r>
        <w:rPr>
          <w:rFonts w:hint="eastAsia" w:ascii="仿宋" w:hAnsi="仿宋" w:eastAsia="仿宋" w:cs="Times New Roman"/>
          <w:bCs/>
          <w:sz w:val="28"/>
          <w:szCs w:val="28"/>
          <w:highlight w:val="none"/>
        </w:rPr>
        <w:t xml:space="preserve">84号》、《苏发改能源[2019]1068号》、《售电公司管理办法》（发改体改规〔2021〕1595号）、《苏发改价格发[2021] 1008号》、《发改办价格〔2021〕809号》、《发改办价格〔2022〕1047号》、《电力市场运行基本规则》（2024年第20号令）、《电力中长期市场基本规则》（发改能源规〔2025〕1656号）、《电力市场计量结算基本规则》（发改能源规〔2025〕976号）、《关于开展2026年电力市场交易工作的通知》（苏发改能源发〔2025〕1141号）等相关政策规定和行业准入条件。</w:t>
      </w:r>
      <w:r>
        <w:rPr>
          <w:rFonts w:hint="eastAsia" w:ascii="仿宋" w:hAnsi="仿宋" w:eastAsia="仿宋" w:cs="Times New Roman"/>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2、投标人需已建有符合江苏电力交易中心要求的互联网平台。</w:t>
      </w:r>
      <w:r>
        <w:rPr>
          <w:rFonts w:hint="eastAsia" w:ascii="仿宋" w:hAnsi="仿宋" w:eastAsia="仿宋" w:cs="Times New Roman"/>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3、服务期内投标人应保证采购人的正常用电，如因投标人的原因导致采购人不能正常用电的，所造成的损失由投标人承担。</w:t>
      </w:r>
      <w:r>
        <w:rPr>
          <w:rFonts w:hint="eastAsia" w:ascii="仿宋" w:hAnsi="仿宋" w:eastAsia="仿宋" w:cs="Times New Roman"/>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4、服务期间设备一旦发生故障，投标人要配合采购人在第一时间赶到现场采取合理有效的措施修复故障，保障设施的正常运行。</w:t>
      </w:r>
      <w:r>
        <w:rPr>
          <w:rFonts w:hint="eastAsia" w:ascii="仿宋" w:hAnsi="仿宋" w:eastAsia="仿宋" w:cs="Times New Roman"/>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5、由中标人承担100%偏差考核。</w:t>
      </w:r>
      <w:r>
        <w:rPr>
          <w:rFonts w:hint="eastAsia" w:ascii="仿宋" w:hAnsi="仿宋" w:eastAsia="仿宋" w:cs="Times New Roman"/>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lang w:val="en-US" w:eastAsia="zh-CN"/>
        </w:rPr>
        <w:t xml:space="preserve">6、</w:t>
      </w:r>
      <w:r>
        <w:rPr>
          <w:rFonts w:hint="eastAsia" w:ascii="仿宋" w:hAnsi="仿宋" w:eastAsia="仿宋" w:cs="Times New Roman"/>
          <w:bCs/>
          <w:sz w:val="28"/>
          <w:szCs w:val="28"/>
          <w:highlight w:val="none"/>
        </w:rPr>
        <w:t xml:space="preserve">交易模式：全电量一口价。</w:t>
      </w:r>
      <w:r>
        <w:rPr>
          <w:rFonts w:hint="eastAsia" w:ascii="仿宋" w:hAnsi="仿宋" w:eastAsia="仿宋" w:cs="Times New Roman"/>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cs="Times New Roman"/>
          <w:bCs/>
          <w:sz w:val="28"/>
          <w:szCs w:val="28"/>
          <w:highlight w:val="none"/>
          <w:lang w:val="en-US" w:eastAsia="zh-CN"/>
        </w:rPr>
        <w:outlineLvl w:val="9"/>
      </w:pPr>
      <w:r>
        <w:rPr>
          <w:rFonts w:hint="eastAsia" w:ascii="仿宋" w:hAnsi="仿宋" w:eastAsia="仿宋" w:cs="Times New Roman"/>
          <w:bCs/>
          <w:sz w:val="28"/>
          <w:szCs w:val="28"/>
          <w:highlight w:val="none"/>
          <w:lang w:val="en-US" w:eastAsia="zh-CN"/>
        </w:rPr>
        <w:t xml:space="preserve">7、</w:t>
      </w:r>
      <w:r>
        <w:rPr>
          <w:rFonts w:hint="eastAsia" w:ascii="仿宋" w:hAnsi="仿宋" w:eastAsia="仿宋" w:cs="Times New Roman"/>
          <w:bCs/>
          <w:sz w:val="28"/>
          <w:szCs w:val="28"/>
          <w:highlight w:val="none"/>
        </w:rPr>
        <w:t xml:space="preserve">现照明电费执行约0.735元/度，预计年用电量1300万千瓦时。</w:t>
      </w:r>
      <w:r>
        <w:rPr>
          <w:rFonts w:hint="eastAsia" w:ascii="仿宋" w:hAnsi="仿宋" w:eastAsia="仿宋" w:cs="Times New Roman"/>
          <w:bCs/>
          <w:sz w:val="28"/>
          <w:szCs w:val="28"/>
          <w:highlight w:val="none"/>
          <w:lang w:val="en-US" w:eastAsia="zh-CN"/>
        </w:rPr>
      </w:r>
      <w:r/>
    </w:p>
    <w:p>
      <w:pPr>
        <w:pStyle w:val="717"/>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二</w:t>
      </w:r>
      <w:r>
        <w:rPr>
          <w:rFonts w:hint="eastAsia" w:ascii="仿宋" w:hAnsi="仿宋" w:eastAsia="仿宋"/>
          <w:bCs/>
          <w:sz w:val="28"/>
          <w:szCs w:val="28"/>
          <w:highlight w:val="none"/>
        </w:rPr>
        <w:t xml:space="preserve">、投标人合作相关条款要求</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1、对于国内电力市场信息能做到主动关注及了解，政府相关政策指导及优惠措施等讯息能及时分享给招标方，便于招标方针对国内各分公司电力方面业务进行指导或建议。</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具有良好的合同履行能力，良好的电力市场竞价能力。包括但不限于拥有固定的营业场所，具备与售电规模、服务范围相适应的基数信息支持系统、客户服务平台，能够满足参加市场交易的信息报送、报价挂单、合同签订、客户服务等功能。</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3、合同对售电的计价电量包偏差，包超用，投标人承担招标人全部实际用量的偏差考核，不向招标人收取偏差调整费用。采购人不承担用电量偏差风险。</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4、如招投标双方签订合同后投标人未能与发电企业或有关单位签订足够的合约电量，造成招标人损失的部分由投标人承担。</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6、本次投标人投标报价统一以2026年江苏电力市场年度交易结果公示的2026年年度交易总成交加权均价344.19元/兆瓦时为基数优惠后的价格进行报价。</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7、“优惠价格”在合同实施期间不因市场和政策变化因素而变动，由中标人一次性包干，以后无论项目是否发生变更中标“优惠价格”均不予调整。</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8、甲方的结算电价=2027年（合同拟执行年份）江苏电力市场年度总交易成交均价（含辅助服务费用、利润、税金及支付给员工的工资和国家强制缴纳的各种社会保障资金等全部费用，以及与本项目有关的所有费用，中途所涉及到协助采购人申请办理电力交易有关手续等工作均不再另计费用）-中标人“优惠价格”+上网环节线损费用折价+电度输配电价+系统运行费用折价+政府性基金及附加。其中输配电价格、政府性基金及附加根据江苏省发展和改革委员会价格部门的发文确定。</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中标人“优惠价格”= 344.19-中标报价（元/兆瓦时）。</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举例：中标报价为334.19元/兆瓦时，等于中标人“优惠价格”10元/兆瓦时。甲方的结算电价=2026年（合同拟执行年份）江苏电力市场年度总交易成交均价-10元/兆瓦时+上网环节线损费用折价+电度输配电价+系统运行费用折价+政府性基金及附加）</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
          <w:bCs w:val="0"/>
          <w:sz w:val="28"/>
          <w:szCs w:val="28"/>
          <w:highlight w:val="none"/>
        </w:rPr>
        <w:outlineLvl w:val="9"/>
      </w:pPr>
      <w:r>
        <w:rPr>
          <w:rFonts w:hint="eastAsia" w:ascii="仿宋" w:hAnsi="仿宋" w:eastAsia="仿宋"/>
          <w:bCs/>
          <w:sz w:val="28"/>
          <w:szCs w:val="28"/>
          <w:highlight w:val="none"/>
        </w:rPr>
        <w:t xml:space="preserve">★9、投标人需承诺按照采购文件要求进行报价，如中标，不得以非客观原因放弃中标资格。如果因中标人原因导致中标合同无法执行造成招标人损失，中标人将全额赔偿招标人损失。</w:t>
      </w:r>
      <w:r>
        <w:rPr>
          <w:rFonts w:hint="eastAsia" w:ascii="仿宋" w:hAnsi="仿宋" w:eastAsia="仿宋"/>
          <w:b/>
          <w:bCs w:val="0"/>
          <w:sz w:val="28"/>
          <w:szCs w:val="28"/>
          <w:highlight w:val="none"/>
        </w:rPr>
        <w:t xml:space="preserve">（提供承诺书格式自拟加盖投标人电子签章，未提供作无效投标处理）</w:t>
      </w:r>
      <w:r>
        <w:rPr>
          <w:rFonts w:hint="eastAsia" w:ascii="仿宋" w:hAnsi="仿宋" w:eastAsia="仿宋"/>
          <w:b/>
          <w:bCs w:val="0"/>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10、中标人在服务过程中，针对招标方的咨询或需求，须在24小时内积极响应，应当做好相关售后咨询、配合服务工作，提高客户满意度。</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11、中标人不能按要求执行的，招标人有权要求中标人作出相应补偿和赔偿以保证招标人的利益不受侵害。</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12、投标人全力协助招标人办理省电力交易中心备案等全部手续。</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13、投标人对输配电让利和政府基金等售电政策补贴的说明：中标人应当将输配电让利和政府基金等国家补贴或当地政府针对售电市场的政策补贴分享给招标人，且对招标人申请补贴的申报流程、手续材料、政府窗口对接等业务全权负责。如国家或当地政府对售电市场有新的补贴或政策变动的，投标人需及时告知和分享信息，不得隐瞒、自纳。</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14、投标方按规则向电力交易机构、电力调度机构提供签约零售用户的交易电力电量需求、典型负荷曲线及其他生产信息，获得市场化交易、输配电服务和签约市场主体的基础信息等相关信息，承担用户信息保密义务；具备满足参与市场化交易要求的技术支持手段。</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15、考虑城市照明的公共安全属性，电费支付可能因短期结算滞后、付款延期造成难以按期支付电费等</w:t>
      </w:r>
      <w:r>
        <w:rPr>
          <w:rFonts w:hint="eastAsia" w:ascii="仿宋" w:hAnsi="仿宋" w:eastAsia="仿宋"/>
          <w:bCs/>
          <w:sz w:val="28"/>
          <w:szCs w:val="28"/>
          <w:highlight w:val="yellow"/>
          <w:lang w:eastAsia="zh-CN"/>
        </w:rPr>
        <w:t xml:space="preserve">不利因素</w:t>
      </w:r>
      <w:r>
        <w:rPr>
          <w:rFonts w:hint="eastAsia" w:ascii="仿宋" w:hAnsi="仿宋" w:eastAsia="仿宋"/>
          <w:bCs/>
          <w:sz w:val="28"/>
          <w:szCs w:val="28"/>
          <w:highlight w:val="none"/>
        </w:rPr>
        <w:t xml:space="preserve">，投标方应当按需正常供电，以降低售电市场交易方式中可能出现的相应市场风险。</w:t>
      </w:r>
      <w:r>
        <w:rPr>
          <w:rFonts w:hint="eastAsia" w:ascii="仿宋" w:hAnsi="仿宋" w:eastAsia="仿宋"/>
          <w:bCs/>
          <w:sz w:val="28"/>
          <w:szCs w:val="28"/>
          <w:highlight w:val="none"/>
        </w:rPr>
      </w:r>
      <w:r/>
    </w:p>
    <w:p>
      <w:pPr>
        <w:pStyle w:val="717"/>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三</w:t>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eastAsia="zh-CN"/>
        </w:rPr>
        <w:t xml:space="preserve">其他说明</w:t>
      </w:r>
      <w:r>
        <w:rPr>
          <w:rFonts w:hint="eastAsia" w:ascii="仿宋" w:hAnsi="仿宋" w:eastAsia="仿宋"/>
          <w:bCs/>
          <w:sz w:val="28"/>
          <w:szCs w:val="28"/>
          <w:highlight w:val="none"/>
          <w:lang w:eastAsia="zh-CN"/>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1、采购单位不承担因其他因素产生的任何费用，投标人应综合考虑报价。</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2、中标单位必须高度重视安全生产。服务期间由于管理不善、服务人员操作不规范、聘用不符合要求人员等因素造成的安全事故，均由成交单位承担一切责任和损失。</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3、未经采购人同意，投标人不得在合同期限内将本项目的管理权转包或发包。</w:t>
      </w:r>
      <w:r>
        <w:rPr>
          <w:rFonts w:hint="eastAsia" w:ascii="仿宋" w:hAnsi="仿宋" w:eastAsia="仿宋"/>
          <w:bCs/>
          <w:sz w:val="28"/>
          <w:szCs w:val="28"/>
          <w:highlight w:val="none"/>
        </w:rPr>
      </w:r>
      <w:r/>
    </w:p>
    <w:p>
      <w:pPr>
        <w:pStyle w:val="717"/>
        <w:ind w:firstLine="560"/>
        <w:keepLines w:val="0"/>
        <w:keepNext w:val="0"/>
        <w:pageBreakBefore w:val="0"/>
        <w:spacing w:line="520" w:lineRule="exact"/>
        <w:widowControl w:val="off"/>
        <w:rPr>
          <w:rFonts w:hint="eastAsia"/>
          <w:highlight w:val="none"/>
        </w:rPr>
        <w:outlineLvl w:val="9"/>
      </w:pPr>
      <w:r>
        <w:rPr>
          <w:rFonts w:hint="eastAsia" w:ascii="仿宋" w:hAnsi="仿宋" w:eastAsia="仿宋"/>
          <w:bCs/>
          <w:sz w:val="28"/>
          <w:szCs w:val="28"/>
          <w:highlight w:val="none"/>
        </w:rPr>
        <w:t xml:space="preserve">4、服务地点及付款等以合同为准。</w:t>
      </w:r>
      <w:r>
        <w:rPr>
          <w:rFonts w:hint="eastAsia"/>
          <w:highlight w:val="none"/>
        </w:rPr>
      </w:r>
      <w:r/>
    </w:p>
    <w:p>
      <w:pPr>
        <w:pStyle w:val="717"/>
        <w:numPr>
          <w:ilvl w:val="0"/>
          <w:numId w:val="0"/>
        </w:num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四、履约验收基本要求</w:t>
      </w:r>
      <w:r>
        <w:rPr>
          <w:rFonts w:hint="eastAsia" w:ascii="仿宋" w:hAnsi="仿宋" w:eastAsia="仿宋"/>
          <w:bCs/>
          <w:sz w:val="28"/>
          <w:szCs w:val="28"/>
          <w:highlight w:val="none"/>
          <w:lang w:eastAsia="zh-CN"/>
        </w:rPr>
      </w:r>
      <w:r/>
    </w:p>
    <w:p>
      <w:pPr>
        <w:pStyle w:val="717"/>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1、满足发改、能源办等相关政府部门及电力交易中心关于售电供电的相关要求，确保售电行为合法合规，符合行业规范及监管标准，自觉接受相关主管部门及电力交易中心的监督与管理；</w:t>
      </w:r>
      <w:r>
        <w:rPr>
          <w:rFonts w:hint="eastAsia" w:ascii="仿宋" w:hAnsi="仿宋" w:eastAsia="仿宋"/>
          <w:bCs/>
          <w:sz w:val="28"/>
          <w:szCs w:val="28"/>
          <w:highlight w:val="none"/>
        </w:rPr>
      </w:r>
      <w:r/>
    </w:p>
    <w:p>
      <w:pPr>
        <w:pStyle w:val="717"/>
        <w:ind w:firstLine="560"/>
        <w:spacing w:line="52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2、按照每月一次的频率持续稳定供电及电费精准结算，切实保障电力供应的连续性与稳定性，避免出现断供、停电或供电不足等影响正常用电的情况。</w:t>
      </w:r>
      <w:r>
        <w:rPr>
          <w:rFonts w:hint="eastAsia" w:ascii="仿宋" w:hAnsi="仿宋" w:eastAsia="仿宋"/>
          <w:bCs/>
          <w:sz w:val="28"/>
          <w:szCs w:val="28"/>
          <w:highlight w:val="none"/>
          <w:lang w:eastAsia="zh-CN"/>
        </w:rPr>
      </w:r>
      <w:r/>
    </w:p>
    <w:p>
      <w:pPr>
        <w:pStyle w:val="717"/>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五、</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69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时间:2027年1月1日至2027年12月31日。</w:t>
      </w:r>
      <w:r>
        <w:rPr>
          <w:rFonts w:hint="eastAsia"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地点:由采购人指定。</w:t>
      </w:r>
      <w:r>
        <w:rPr>
          <w:rFonts w:hint="eastAsia" w:ascii="仿宋" w:hAnsi="仿宋" w:eastAsia="仿宋"/>
          <w:sz w:val="28"/>
          <w:szCs w:val="28"/>
          <w:highlight w:val="none"/>
        </w:rPr>
      </w:r>
      <w:r/>
    </w:p>
    <w:p>
      <w:pPr>
        <w:pStyle w:val="696"/>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（三）付款方式:</w:t>
      </w:r>
      <w:r>
        <w:rPr>
          <w:rFonts w:hint="eastAsia" w:ascii="仿宋" w:hAnsi="仿宋" w:eastAsia="仿宋"/>
          <w:sz w:val="28"/>
          <w:szCs w:val="28"/>
          <w:highlight w:val="none"/>
          <w:lang w:eastAsia="zh-CN"/>
        </w:rPr>
        <w:t xml:space="preserve">按月支付。</w:t>
      </w:r>
      <w:r>
        <w:rPr>
          <w:rFonts w:hint="eastAsia" w:ascii="仿宋" w:hAnsi="仿宋" w:eastAsia="仿宋"/>
          <w:sz w:val="28"/>
          <w:szCs w:val="28"/>
          <w:highlight w:val="none"/>
          <w:lang w:val="en-US" w:eastAsia="zh-CN"/>
        </w:rPr>
      </w:r>
      <w:r/>
    </w:p>
    <w:p>
      <w:pPr>
        <w:pStyle w:val="696"/>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717"/>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71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1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1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1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96"/>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71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717"/>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717"/>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717"/>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696"/>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96"/>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96"/>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696"/>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696"/>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69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69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696"/>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717"/>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71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769"/>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696"/>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96"/>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769"/>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769"/>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769"/>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769"/>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769"/>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769"/>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769"/>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769"/>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696"/>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717"/>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696"/>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696"/>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96"/>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696"/>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696"/>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696"/>
              <w:jc w:val="center"/>
              <w:keepLines w:val="0"/>
              <w:keepNext w:val="0"/>
              <w:pageBreakBefore w:val="0"/>
              <w:spacing w:line="7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lang w:eastAsia="zh-CN"/>
              </w:rPr>
              <w:t xml:space="preserve">（单价）</w:t>
            </w:r>
            <w:r>
              <w:rPr>
                <w:rFonts w:hint="eastAsia" w:ascii="仿宋" w:hAnsi="仿宋" w:eastAsia="仿宋"/>
                <w:sz w:val="28"/>
                <w:szCs w:val="28"/>
                <w:highlight w:val="none"/>
                <w:lang w:eastAsia="zh-CN"/>
              </w:rPr>
            </w:r>
            <w:r/>
          </w:p>
        </w:tc>
        <w:tc>
          <w:tcPr>
            <w:tcW w:w="6759" w:type="dxa"/>
            <w:vAlign w:val="center"/>
            <w:textDirection w:val="lrTb"/>
            <w:noWrap w:val="false"/>
          </w:tcPr>
          <w:p>
            <w:pPr>
              <w:pStyle w:val="696"/>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696"/>
              <w:keepLines w:val="0"/>
              <w:keepNext w:val="0"/>
              <w:pageBreakBefore w:val="0"/>
              <w:spacing w:line="7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none"/>
                <w:lang w:eastAsia="zh-CN"/>
              </w:rPr>
              <w:t xml:space="preserve">角</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eastAsia="zh-CN"/>
              </w:rPr>
              <w:t xml:space="preserve">分</w:t>
            </w:r>
            <w:r>
              <w:rPr>
                <w:rFonts w:hint="eastAsia" w:ascii="仿宋" w:hAnsi="仿宋" w:eastAsia="仿宋"/>
                <w:sz w:val="28"/>
                <w:szCs w:val="28"/>
                <w:highlight w:val="none"/>
                <w:lang w:eastAsia="zh-CN"/>
              </w:rPr>
            </w:r>
            <w:r/>
          </w:p>
        </w:tc>
      </w:tr>
      <w:tr>
        <w:trPr>
          <w:cantSplit/>
          <w:trHeight w:val="1273"/>
        </w:trPr>
        <w:tc>
          <w:tcPr>
            <w:tcW w:w="1701" w:type="dxa"/>
            <w:vAlign w:val="center"/>
            <w:textDirection w:val="lrTb"/>
            <w:noWrap w:val="false"/>
          </w:tcPr>
          <w:p>
            <w:pPr>
              <w:pStyle w:val="696"/>
              <w:ind w:firstLine="1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服务时间</w:t>
            </w:r>
            <w:r>
              <w:rPr>
                <w:rFonts w:hint="eastAsia" w:ascii="仿宋" w:hAnsi="仿宋" w:eastAsia="仿宋"/>
                <w:sz w:val="28"/>
                <w:szCs w:val="28"/>
                <w:highlight w:val="none"/>
                <w:lang w:eastAsia="zh-CN"/>
              </w:rPr>
            </w:r>
            <w:r/>
          </w:p>
        </w:tc>
        <w:tc>
          <w:tcPr>
            <w:tcW w:w="6759" w:type="dxa"/>
            <w:vAlign w:val="center"/>
            <w:textDirection w:val="lrTb"/>
            <w:noWrap w:val="false"/>
          </w:tcPr>
          <w:p>
            <w:pPr>
              <w:pStyle w:val="696"/>
              <w:ind w:firstLine="1540"/>
              <w:keepLines w:val="0"/>
              <w:keepNext w:val="0"/>
              <w:pageBreakBefore w:val="0"/>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按招标文件要求</w:t>
            </w:r>
            <w:r>
              <w:rPr>
                <w:rFonts w:hint="eastAsia" w:ascii="仿宋" w:hAnsi="仿宋" w:eastAsia="仿宋"/>
                <w:sz w:val="28"/>
                <w:szCs w:val="28"/>
                <w:highlight w:val="none"/>
                <w:lang w:eastAsia="zh-CN"/>
              </w:rPr>
            </w:r>
            <w:r/>
          </w:p>
        </w:tc>
      </w:tr>
    </w:tbl>
    <w:p>
      <w:pPr>
        <w:pStyle w:val="717"/>
        <w:keepLines w:val="0"/>
        <w:keepNext w:val="0"/>
        <w:pageBreakBefore w:val="0"/>
        <w:rPr>
          <w:rFonts w:hint="eastAsia" w:hAnsi="宋体"/>
          <w:b/>
          <w:sz w:val="32"/>
          <w:szCs w:val="32"/>
          <w:highlight w:val="none"/>
        </w:rPr>
        <w:outlineLvl w:val="9"/>
      </w:pPr>
      <w:r/>
      <w:bookmarkStart w:id="45" w:name="_Toc157775468"/>
      <w:r>
        <w:rPr>
          <w:rFonts w:hint="eastAsia" w:hAnsi="宋体"/>
          <w:b/>
          <w:sz w:val="32"/>
          <w:szCs w:val="32"/>
          <w:highlight w:val="none"/>
        </w:rPr>
      </w:r>
      <w:r/>
    </w:p>
    <w:p>
      <w:pPr>
        <w:pStyle w:val="717"/>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717"/>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17"/>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rPr>
                <w:rFonts w:hint="eastAsia" w:ascii="仿宋" w:hAnsi="仿宋" w:eastAsia="仿宋"/>
                <w:sz w:val="24"/>
                <w:szCs w:val="24"/>
                <w:highlight w:val="none"/>
                <w:lang w:eastAsia="zh-CN"/>
              </w:rPr>
            </w:r>
            <w:r/>
          </w:p>
        </w:tc>
        <w:tc>
          <w:tcPr>
            <w:tcMar>
              <w:left w:w="108" w:type="dxa"/>
              <w:top w:w="0" w:type="dxa"/>
              <w:right w:w="108" w:type="dxa"/>
              <w:bottom w:w="0" w:type="dxa"/>
            </w:tcMar>
            <w:tcW w:w="145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17"/>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1030"/>
        </w:trPr>
        <w:tc>
          <w:tcPr>
            <w:gridSpan w:val="7"/>
            <w:tcMar>
              <w:left w:w="108" w:type="dxa"/>
              <w:top w:w="0" w:type="dxa"/>
              <w:right w:w="108" w:type="dxa"/>
              <w:bottom w:w="0" w:type="dxa"/>
            </w:tcMar>
            <w:tcW w:w="9180" w:type="dxa"/>
            <w:vAlign w:val="center"/>
            <w:textDirection w:val="lrTb"/>
            <w:noWrap w:val="false"/>
          </w:tcPr>
          <w:p>
            <w:pPr>
              <w:pStyle w:val="717"/>
              <w:jc w:val="left"/>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ascii="仿宋" w:hAnsi="仿宋" w:eastAsia="仿宋"/>
                <w:sz w:val="24"/>
                <w:szCs w:val="24"/>
                <w:highlight w:val="none"/>
              </w:rPr>
            </w:r>
            <w:r/>
          </w:p>
        </w:tc>
      </w:tr>
    </w:tbl>
    <w:p>
      <w:pPr>
        <w:pStyle w:val="717"/>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717"/>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w:t>
      </w:r>
      <w:r>
        <w:rPr>
          <w:rFonts w:hint="eastAsia" w:ascii="仿宋" w:hAnsi="仿宋" w:eastAsia="仿宋"/>
          <w:sz w:val="28"/>
          <w:szCs w:val="24"/>
          <w:highlight w:val="none"/>
        </w:rPr>
        <w:t xml:space="preserve">应包括所投服务（包含与服务相关的货物）费用、安装调试费、测试验收费、培训费、运行维护费用、税金、国际国内运输保险、报关清关、开证、办理全套免税手续费用及其他有关的为完成本项目发生的所有费用，</w:t>
      </w:r>
      <w:r>
        <w:rPr>
          <w:rFonts w:ascii="仿宋" w:hAnsi="仿宋" w:eastAsia="仿宋"/>
          <w:sz w:val="28"/>
          <w:szCs w:val="24"/>
          <w:highlight w:val="none"/>
        </w:rPr>
        <w:t xml:space="preserve">招标文件</w:t>
      </w:r>
      <w:r>
        <w:rPr>
          <w:rFonts w:hint="eastAsia" w:ascii="仿宋" w:hAnsi="仿宋" w:eastAsia="仿宋"/>
          <w:sz w:val="28"/>
          <w:szCs w:val="24"/>
          <w:highlight w:val="none"/>
        </w:rPr>
        <w:t xml:space="preserve">中另有规定的除外。</w:t>
      </w:r>
      <w:r>
        <w:rPr>
          <w:rFonts w:ascii="仿宋" w:hAnsi="仿宋" w:eastAsia="仿宋"/>
          <w:sz w:val="28"/>
          <w:szCs w:val="24"/>
          <w:highlight w:val="none"/>
        </w:rPr>
      </w:r>
      <w:r/>
    </w:p>
    <w:p>
      <w:pPr>
        <w:pStyle w:val="717"/>
        <w:numPr>
          <w:ilvl w:val="0"/>
          <w:numId w:val="15"/>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highlight w:val="none"/>
        </w:rPr>
      </w:r>
      <w:r/>
    </w:p>
    <w:p>
      <w:pPr>
        <w:pStyle w:val="717"/>
        <w:jc w:val="center"/>
        <w:spacing w:line="440" w:lineRule="exact"/>
        <w:rPr>
          <w:rFonts w:ascii="仿宋" w:hAnsi="仿宋" w:eastAsia="仿宋"/>
          <w:b/>
          <w:sz w:val="32"/>
          <w:highlight w:val="none"/>
        </w:rPr>
      </w:pPr>
      <w:r>
        <w:rPr>
          <w:rFonts w:hint="eastAsia" w:ascii="仿宋" w:hAnsi="仿宋" w:eastAsia="仿宋"/>
          <w:b/>
          <w:sz w:val="32"/>
          <w:highlight w:val="none"/>
        </w:rPr>
        <w:br w:type="page" w:clear="all"/>
      </w:r>
      <w:r>
        <w:rPr>
          <w:rFonts w:hint="eastAsia" w:ascii="仿宋" w:hAnsi="仿宋" w:eastAsia="仿宋"/>
          <w:b/>
          <w:sz w:val="32"/>
          <w:highlight w:val="none"/>
        </w:rPr>
        <w:t xml:space="preserve">四、</w:t>
      </w:r>
      <w:bookmarkEnd w:id="45"/>
      <w:r>
        <w:rPr>
          <w:rFonts w:hint="eastAsia" w:ascii="仿宋" w:hAnsi="仿宋" w:eastAsia="仿宋"/>
          <w:b/>
          <w:sz w:val="32"/>
          <w:szCs w:val="32"/>
          <w:highlight w:val="none"/>
        </w:rPr>
        <w:t xml:space="preserve">服务</w:t>
      </w:r>
      <w:r>
        <w:rPr>
          <w:rFonts w:hint="eastAsia" w:ascii="仿宋" w:hAnsi="仿宋" w:eastAsia="仿宋"/>
          <w:b/>
          <w:sz w:val="32"/>
          <w:highlight w:val="none"/>
        </w:rPr>
        <w:t xml:space="preserve">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ascii="仿宋" w:hAnsi="仿宋" w:eastAsia="仿宋"/>
          <w:b/>
          <w:sz w:val="32"/>
          <w:highlight w:val="none"/>
        </w:rPr>
      </w:r>
      <w:r/>
    </w:p>
    <w:tbl>
      <w:tblPr>
        <w:tblW w:w="0" w:type="auto"/>
        <w:tblInd w:w="-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96"/>
              <w:jc w:val="center"/>
              <w:spacing w:line="360" w:lineRule="auto"/>
              <w:rPr>
                <w:rFonts w:ascii="仿宋" w:hAnsi="仿宋" w:eastAsia="仿宋" w:cs="Arial"/>
                <w:sz w:val="24"/>
                <w:highlight w:val="none"/>
              </w:rPr>
            </w:pPr>
            <w:r>
              <w:rPr>
                <w:rFonts w:hint="eastAsia" w:ascii="仿宋" w:hAnsi="仿宋" w:eastAsia="仿宋" w:cs="Arial"/>
                <w:sz w:val="24"/>
                <w:highlight w:val="none"/>
              </w:rPr>
              <w:t xml:space="preserve">序号</w:t>
            </w:r>
            <w:r>
              <w:rPr>
                <w:rFonts w:ascii="仿宋" w:hAnsi="仿宋" w:eastAsia="仿宋" w:cs="Arial"/>
                <w:sz w:val="24"/>
                <w:highlight w:val="none"/>
              </w:rPr>
            </w:r>
            <w:r/>
          </w:p>
        </w:tc>
        <w:tc>
          <w:tcPr>
            <w:tcW w:w="3237" w:type="dxa"/>
            <w:vAlign w:val="center"/>
            <w:textDirection w:val="lrTb"/>
            <w:noWrap w:val="false"/>
          </w:tcPr>
          <w:p>
            <w:pPr>
              <w:pStyle w:val="696"/>
              <w:jc w:val="center"/>
              <w:rPr>
                <w:rFonts w:ascii="仿宋" w:hAnsi="仿宋" w:eastAsia="仿宋" w:cs="Arial"/>
                <w:sz w:val="24"/>
                <w:highlight w:val="none"/>
              </w:rPr>
            </w:pPr>
            <w:r>
              <w:rPr>
                <w:rFonts w:hint="eastAsia" w:ascii="仿宋" w:hAnsi="仿宋" w:eastAsia="仿宋" w:cs="Arial"/>
                <w:sz w:val="24"/>
                <w:highlight w:val="none"/>
              </w:rPr>
              <w:t xml:space="preserve">项目采购需求中主要服务</w:t>
            </w:r>
            <w:r>
              <w:rPr>
                <w:rFonts w:ascii="仿宋" w:hAnsi="仿宋" w:eastAsia="仿宋" w:cs="Arial"/>
                <w:sz w:val="24"/>
                <w:highlight w:val="none"/>
              </w:rPr>
            </w:r>
            <w:r/>
          </w:p>
          <w:p>
            <w:pPr>
              <w:pStyle w:val="696"/>
              <w:jc w:val="center"/>
              <w:rPr>
                <w:rFonts w:ascii="仿宋" w:hAnsi="仿宋" w:eastAsia="仿宋" w:cs="Arial"/>
                <w:sz w:val="24"/>
                <w:highlight w:val="none"/>
              </w:rPr>
            </w:pPr>
            <w:r>
              <w:rPr>
                <w:rFonts w:hint="eastAsia" w:ascii="仿宋" w:hAnsi="仿宋" w:eastAsia="仿宋" w:cs="Arial"/>
                <w:sz w:val="24"/>
                <w:highlight w:val="none"/>
              </w:rPr>
              <w:t xml:space="preserve">条款描述</w:t>
            </w:r>
            <w:r>
              <w:rPr>
                <w:rFonts w:ascii="仿宋" w:hAnsi="仿宋" w:eastAsia="仿宋" w:cs="Arial"/>
                <w:sz w:val="24"/>
                <w:highlight w:val="none"/>
              </w:rPr>
            </w:r>
            <w:r/>
          </w:p>
        </w:tc>
        <w:tc>
          <w:tcPr>
            <w:tcW w:w="2346" w:type="dxa"/>
            <w:vAlign w:val="center"/>
            <w:textDirection w:val="lrTb"/>
            <w:noWrap w:val="false"/>
          </w:tcPr>
          <w:p>
            <w:pPr>
              <w:pStyle w:val="696"/>
              <w:jc w:val="center"/>
              <w:rPr>
                <w:rFonts w:ascii="仿宋" w:hAnsi="仿宋" w:eastAsia="仿宋" w:cs="Arial"/>
                <w:sz w:val="24"/>
                <w:highlight w:val="none"/>
              </w:rPr>
            </w:pPr>
            <w:r>
              <w:rPr>
                <w:rFonts w:hint="eastAsia" w:ascii="仿宋" w:hAnsi="仿宋" w:eastAsia="仿宋" w:cs="Arial"/>
                <w:sz w:val="24"/>
                <w:highlight w:val="none"/>
              </w:rPr>
              <w:t xml:space="preserve">所投服务及相关描述</w:t>
            </w:r>
            <w:r>
              <w:rPr>
                <w:rFonts w:ascii="仿宋" w:hAnsi="仿宋" w:eastAsia="仿宋" w:cs="Arial"/>
                <w:sz w:val="24"/>
                <w:highlight w:val="none"/>
              </w:rPr>
            </w:r>
            <w:r/>
          </w:p>
        </w:tc>
        <w:tc>
          <w:tcPr>
            <w:tcW w:w="1080" w:type="dxa"/>
            <w:vAlign w:val="center"/>
            <w:textDirection w:val="lrTb"/>
            <w:noWrap w:val="false"/>
          </w:tcPr>
          <w:p>
            <w:pPr>
              <w:pStyle w:val="696"/>
              <w:rPr>
                <w:rFonts w:ascii="仿宋" w:hAnsi="仿宋" w:eastAsia="仿宋" w:cs="Arial"/>
                <w:sz w:val="24"/>
                <w:highlight w:val="none"/>
              </w:rPr>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ascii="仿宋" w:hAnsi="仿宋" w:eastAsia="仿宋" w:cs="Arial"/>
                <w:sz w:val="24"/>
                <w:highlight w:val="none"/>
              </w:rPr>
            </w:r>
            <w:r/>
          </w:p>
        </w:tc>
        <w:tc>
          <w:tcPr>
            <w:tcW w:w="1074" w:type="dxa"/>
            <w:vAlign w:val="center"/>
            <w:textDirection w:val="lrTb"/>
            <w:noWrap w:val="false"/>
          </w:tcPr>
          <w:p>
            <w:pPr>
              <w:pStyle w:val="696"/>
              <w:jc w:val="center"/>
              <w:spacing w:line="360" w:lineRule="auto"/>
              <w:rPr>
                <w:rFonts w:ascii="仿宋" w:hAnsi="仿宋" w:eastAsia="仿宋" w:cs="Arial"/>
                <w:sz w:val="24"/>
                <w:highlight w:val="none"/>
              </w:rPr>
            </w:pPr>
            <w:r>
              <w:rPr>
                <w:rFonts w:hint="eastAsia" w:ascii="仿宋" w:hAnsi="仿宋" w:eastAsia="仿宋" w:cs="Arial"/>
                <w:sz w:val="24"/>
                <w:highlight w:val="none"/>
              </w:rPr>
              <w:t xml:space="preserve">备注</w:t>
            </w:r>
            <w:r>
              <w:rPr>
                <w:rFonts w:ascii="仿宋" w:hAnsi="仿宋" w:eastAsia="仿宋" w:cs="Arial"/>
                <w:sz w:val="24"/>
                <w:highlight w:val="none"/>
              </w:rPr>
            </w:r>
            <w:r/>
          </w:p>
        </w:tc>
      </w:tr>
      <w:tr>
        <w:trPr>
          <w:cantSplit/>
          <w:trHeight w:val="773"/>
        </w:trPr>
        <w:tc>
          <w:tcPr>
            <w:tcW w:w="1083"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r>
      <w:tr>
        <w:trPr>
          <w:cantSplit/>
          <w:trHeight w:val="773"/>
        </w:trPr>
        <w:tc>
          <w:tcPr>
            <w:tcW w:w="1083"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3237"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2346" w:type="dxa"/>
            <w:vAlign w:val="center"/>
            <w:textDirection w:val="lrTb"/>
            <w:noWrap w:val="false"/>
          </w:tcPr>
          <w:p>
            <w:pPr>
              <w:pStyle w:val="696"/>
              <w:jc w:val="center"/>
              <w:rPr>
                <w:rFonts w:ascii="仿宋" w:hAnsi="仿宋" w:eastAsia="仿宋" w:cs="Arial"/>
                <w:sz w:val="24"/>
                <w:highlight w:val="none"/>
              </w:rPr>
            </w:pPr>
            <w:r>
              <w:rPr>
                <w:rFonts w:ascii="仿宋" w:hAnsi="仿宋" w:eastAsia="仿宋" w:cs="Arial"/>
                <w:sz w:val="24"/>
                <w:highlight w:val="none"/>
              </w:rPr>
            </w:r>
            <w:r/>
          </w:p>
        </w:tc>
        <w:tc>
          <w:tcPr>
            <w:tcW w:w="1080"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c>
          <w:tcPr>
            <w:tcW w:w="1074" w:type="dxa"/>
            <w:vAlign w:val="center"/>
            <w:textDirection w:val="lrTb"/>
            <w:noWrap w:val="false"/>
          </w:tcPr>
          <w:p>
            <w:pPr>
              <w:pStyle w:val="696"/>
              <w:jc w:val="center"/>
              <w:spacing w:line="360" w:lineRule="auto"/>
              <w:rPr>
                <w:rFonts w:ascii="仿宋" w:hAnsi="仿宋" w:eastAsia="仿宋" w:cs="Arial"/>
                <w:sz w:val="24"/>
                <w:highlight w:val="none"/>
              </w:rPr>
            </w:pPr>
            <w:r>
              <w:rPr>
                <w:rFonts w:ascii="仿宋" w:hAnsi="仿宋" w:eastAsia="仿宋" w:cs="Arial"/>
                <w:sz w:val="24"/>
                <w:highlight w:val="none"/>
              </w:rPr>
            </w:r>
            <w:r/>
          </w:p>
        </w:tc>
      </w:tr>
    </w:tbl>
    <w:p>
      <w:pPr>
        <w:pStyle w:val="696"/>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ascii="仿宋" w:hAnsi="仿宋" w:eastAsia="仿宋"/>
          <w:sz w:val="28"/>
          <w:szCs w:val="28"/>
          <w:highlight w:val="none"/>
        </w:rPr>
      </w:r>
      <w:r/>
    </w:p>
    <w:p>
      <w:pPr>
        <w:pStyle w:val="696"/>
        <w:ind w:firstLine="420"/>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（2）投标人必须仔细阅读本招标文件第五章中所有服务条款和相关要求，并将响应情况及偏离情况逐项填入上表，响应时不得对服务条款规范进行直接复制粘贴及简单表述为完全响应，否则将影响该项得分。</w:t>
      </w:r>
      <w:r>
        <w:rPr>
          <w:rFonts w:ascii="仿宋" w:hAnsi="仿宋" w:eastAsia="仿宋"/>
          <w:sz w:val="28"/>
          <w:szCs w:val="28"/>
          <w:highlight w:val="none"/>
        </w:rPr>
      </w:r>
      <w:r/>
    </w:p>
    <w:p>
      <w:pPr>
        <w:pStyle w:val="696"/>
        <w:ind w:firstLine="480"/>
        <w:spacing w:line="440" w:lineRule="exact"/>
        <w:rPr>
          <w:rFonts w:ascii="宋体" w:hAnsi="宋体"/>
          <w:bCs/>
          <w:sz w:val="32"/>
          <w:highlight w:val="none"/>
        </w:rPr>
      </w:pPr>
      <w:r>
        <w:rPr>
          <w:rFonts w:ascii="宋体" w:hAnsi="宋体"/>
          <w:bCs/>
          <w:sz w:val="32"/>
          <w:highlight w:val="none"/>
        </w:rPr>
      </w:r>
      <w:r/>
    </w:p>
    <w:p>
      <w:pPr>
        <w:pStyle w:val="717"/>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717"/>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696"/>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96"/>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96"/>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696"/>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696"/>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69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96"/>
        <w:ind w:firstLine="560"/>
        <w:jc w:val="both"/>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投标人</w:t>
      </w:r>
      <w:r>
        <w:rPr>
          <w:rFonts w:hint="eastAsia" w:ascii="仿宋" w:hAnsi="仿宋" w:eastAsia="仿宋"/>
          <w:sz w:val="28"/>
          <w:szCs w:val="28"/>
          <w:highlight w:val="none"/>
          <w:lang w:eastAsia="zh-CN"/>
        </w:rPr>
        <w:t xml:space="preserve">须</w:t>
      </w:r>
      <w:r>
        <w:rPr>
          <w:rFonts w:hint="eastAsia" w:ascii="仿宋" w:hAnsi="仿宋" w:eastAsia="仿宋"/>
          <w:sz w:val="28"/>
          <w:szCs w:val="28"/>
          <w:highlight w:val="none"/>
        </w:rPr>
        <w:t xml:space="preserve">在江苏电力交易中心有限公司（以下简称：电力交易中心）完成公示、承诺、注册、备案程序，具备参加电力交易的购售电资格。（必须提供以下所有材料：1、江苏电力交易中心有限公司受理注册售电公司信息的公示文件及含投标人名称的注册公示目录扫描件并加盖投标人电子签章；2、2026年8月份以后日期查询显示的含投标人公司名称的江苏电力交易中心电力交易平台-数字交易大厅-售电公司目录截图并加盖投标人电子签章）</w:t>
      </w:r>
      <w:r>
        <w:rPr>
          <w:rFonts w:hint="eastAsia" w:ascii="仿宋" w:hAnsi="仿宋" w:eastAsia="仿宋"/>
          <w:sz w:val="28"/>
          <w:szCs w:val="28"/>
          <w:highlight w:val="none"/>
        </w:rPr>
      </w:r>
      <w:r/>
    </w:p>
    <w:p>
      <w:pPr>
        <w:pStyle w:val="696"/>
        <w:ind w:firstLine="560"/>
        <w:jc w:val="both"/>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96"/>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46" w:name="_Toc157775454"/>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696"/>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rPr>
          <w:rFonts w:hint="eastAsia" w:ascii="宋体" w:hAnsi="宋体"/>
          <w:b/>
          <w:sz w:val="36"/>
          <w:highlight w:val="none"/>
        </w:rPr>
      </w:r>
      <w:r/>
    </w:p>
    <w:p>
      <w:pPr>
        <w:pStyle w:val="696"/>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696"/>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696"/>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696"/>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46"/>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696"/>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696"/>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696"/>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696"/>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696"/>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696"/>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696"/>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696"/>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696"/>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96"/>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769"/>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696"/>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696"/>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696"/>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696"/>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696"/>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696"/>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96"/>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96"/>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96"/>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96"/>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96"/>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96"/>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696"/>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96"/>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96"/>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696"/>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696"/>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96"/>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96"/>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696"/>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696"/>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696"/>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696"/>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704"/>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96"/>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96"/>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96"/>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96"/>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96"/>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96"/>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96"/>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96"/>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696"/>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696"/>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96"/>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696"/>
        <w:jc w:val="left"/>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96"/>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企业声明函（服务）</w:t>
      </w:r>
      <w:r>
        <w:rPr>
          <w:rFonts w:hint="eastAsia" w:ascii="仿宋" w:hAnsi="仿宋" w:eastAsia="仿宋"/>
          <w:b/>
          <w:bCs/>
          <w:sz w:val="32"/>
          <w:szCs w:val="32"/>
          <w:highlight w:val="none"/>
        </w:rPr>
      </w:r>
      <w:r/>
    </w:p>
    <w:p>
      <w:pPr>
        <w:pStyle w:val="704"/>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70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70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70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70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70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70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696"/>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96"/>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704"/>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704"/>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70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696"/>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704"/>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704"/>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696"/>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96"/>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96"/>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704"/>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704"/>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704"/>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70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37"/>
      </w:rPr>
      <w:framePr w:wrap="around" w:vAnchor="text" w:hAnchor="margin" w:xAlign="center" w:y="1"/>
    </w:pPr>
    <w:r>
      <w:fldChar w:fldCharType="begin"/>
    </w:r>
    <w:r>
      <w:rPr>
        <w:rStyle w:val="737"/>
      </w:rPr>
      <w:instrText xml:space="preserve">PAGE  </w:instrText>
    </w:r>
    <w:r>
      <w:fldChar w:fldCharType="end"/>
    </w:r>
    <w:r>
      <w:rPr>
        <w:rStyle w:val="737"/>
      </w:rPr>
    </w:r>
    <w:r/>
  </w:p>
  <w:p>
    <w:pPr>
      <w:pStyle w:val="72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9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9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6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696"/>
        <w:ind w:left="120" w:hanging="627"/>
      </w:pPr>
      <w:rPr>
        <w:lang w:val="en-US" w:eastAsia="zh-CN" w:bidi="ar-SA"/>
      </w:rPr>
    </w:lvl>
    <w:lvl w:ilvl="1">
      <w:start w:val="1"/>
      <w:numFmt w:val="decimal"/>
      <w:isLgl w:val="false"/>
      <w:suff w:val="tab"/>
      <w:lvlText w:val="%1.%2"/>
      <w:lvlJc w:val="left"/>
      <w:pPr>
        <w:pStyle w:val="696"/>
        <w:ind w:left="120" w:hanging="627"/>
      </w:pPr>
      <w:rPr>
        <w:rFonts w:ascii="仿宋" w:hAnsi="仿宋" w:eastAsia="仿宋" w:cs="仿宋"/>
        <w:b w:val="0"/>
        <w:bCs w:val="0"/>
        <w:i w:val="0"/>
        <w:iCs w:val="0"/>
        <w:spacing w:val="0"/>
        <w:sz w:val="32"/>
        <w:szCs w:val="32"/>
        <w:lang w:val="en-US" w:eastAsia="zh-CN" w:bidi="ar-SA"/>
      </w:rPr>
    </w:lvl>
    <w:lvl w:ilvl="2">
      <w:start w:val="0"/>
      <w:numFmt w:val="bullet"/>
      <w:isLgl w:val="false"/>
      <w:suff w:val="tab"/>
      <w:lvlText w:val="•"/>
      <w:lvlJc w:val="left"/>
      <w:pPr>
        <w:pStyle w:val="696"/>
        <w:ind w:left="1869" w:hanging="627"/>
      </w:pPr>
      <w:rPr>
        <w:lang w:val="en-US" w:eastAsia="zh-CN" w:bidi="ar-SA"/>
      </w:rPr>
    </w:lvl>
    <w:lvl w:ilvl="3">
      <w:start w:val="0"/>
      <w:numFmt w:val="bullet"/>
      <w:isLgl w:val="false"/>
      <w:suff w:val="tab"/>
      <w:lvlText w:val="•"/>
      <w:lvlJc w:val="left"/>
      <w:pPr>
        <w:pStyle w:val="696"/>
        <w:ind w:left="2743" w:hanging="627"/>
      </w:pPr>
      <w:rPr>
        <w:lang w:val="en-US" w:eastAsia="zh-CN" w:bidi="ar-SA"/>
      </w:rPr>
    </w:lvl>
    <w:lvl w:ilvl="4">
      <w:start w:val="0"/>
      <w:numFmt w:val="bullet"/>
      <w:isLgl w:val="false"/>
      <w:suff w:val="tab"/>
      <w:lvlText w:val="•"/>
      <w:lvlJc w:val="left"/>
      <w:pPr>
        <w:pStyle w:val="696"/>
        <w:ind w:left="3618" w:hanging="627"/>
      </w:pPr>
      <w:rPr>
        <w:lang w:val="en-US" w:eastAsia="zh-CN" w:bidi="ar-SA"/>
      </w:rPr>
    </w:lvl>
    <w:lvl w:ilvl="5">
      <w:start w:val="0"/>
      <w:numFmt w:val="bullet"/>
      <w:isLgl w:val="false"/>
      <w:suff w:val="tab"/>
      <w:lvlText w:val="•"/>
      <w:lvlJc w:val="left"/>
      <w:pPr>
        <w:pStyle w:val="696"/>
        <w:ind w:left="4493" w:hanging="627"/>
      </w:pPr>
      <w:rPr>
        <w:lang w:val="en-US" w:eastAsia="zh-CN" w:bidi="ar-SA"/>
      </w:rPr>
    </w:lvl>
    <w:lvl w:ilvl="6">
      <w:start w:val="0"/>
      <w:numFmt w:val="bullet"/>
      <w:isLgl w:val="false"/>
      <w:suff w:val="tab"/>
      <w:lvlText w:val="•"/>
      <w:lvlJc w:val="left"/>
      <w:pPr>
        <w:pStyle w:val="696"/>
        <w:ind w:left="5367" w:hanging="627"/>
      </w:pPr>
      <w:rPr>
        <w:lang w:val="en-US" w:eastAsia="zh-CN" w:bidi="ar-SA"/>
      </w:rPr>
    </w:lvl>
    <w:lvl w:ilvl="7">
      <w:start w:val="0"/>
      <w:numFmt w:val="bullet"/>
      <w:isLgl w:val="false"/>
      <w:suff w:val="tab"/>
      <w:lvlText w:val="•"/>
      <w:lvlJc w:val="left"/>
      <w:pPr>
        <w:pStyle w:val="696"/>
        <w:ind w:left="6242" w:hanging="627"/>
      </w:pPr>
      <w:rPr>
        <w:lang w:val="en-US" w:eastAsia="zh-CN" w:bidi="ar-SA"/>
      </w:rPr>
    </w:lvl>
    <w:lvl w:ilvl="8">
      <w:start w:val="0"/>
      <w:numFmt w:val="bullet"/>
      <w:isLgl w:val="false"/>
      <w:suff w:val="tab"/>
      <w:lvlText w:val="•"/>
      <w:lvlJc w:val="left"/>
      <w:pPr>
        <w:pStyle w:val="696"/>
        <w:ind w:left="7117" w:hanging="627"/>
      </w:pPr>
      <w:rPr>
        <w:lang w:val="en-US" w:eastAsia="zh-CN" w:bidi="ar-SA"/>
      </w:rPr>
    </w:lvl>
  </w:abstractNum>
  <w:abstractNum w:abstractNumId="4">
    <w:multiLevelType w:val="hybridMultilevel"/>
    <w:lvl w:ilvl="0">
      <w:start w:val="1"/>
      <w:numFmt w:val="decimal"/>
      <w:isLgl w:val="false"/>
      <w:suff w:val="tab"/>
      <w:lvlText w:val="%1"/>
      <w:lvlJc w:val="left"/>
      <w:pPr>
        <w:pStyle w:val="696"/>
        <w:ind w:left="1322" w:hanging="562"/>
      </w:pPr>
      <w:rPr>
        <w:lang w:val="en-US" w:eastAsia="zh-CN" w:bidi="ar-SA"/>
      </w:rPr>
    </w:lvl>
    <w:lvl w:ilvl="1">
      <w:start w:val="1"/>
      <w:numFmt w:val="decimal"/>
      <w:isLgl w:val="false"/>
      <w:suff w:val="tab"/>
      <w:lvlText w:val="%1.%2"/>
      <w:lvlJc w:val="left"/>
      <w:pPr>
        <w:pStyle w:val="696"/>
        <w:ind w:left="1322" w:hanging="562"/>
      </w:pPr>
      <w:rPr>
        <w:rFonts w:ascii="仿宋" w:hAnsi="仿宋" w:eastAsia="仿宋" w:cs="仿宋"/>
        <w:b w:val="0"/>
        <w:bCs w:val="0"/>
        <w:i w:val="0"/>
        <w:iCs w:val="0"/>
        <w:spacing w:val="0"/>
        <w:sz w:val="32"/>
        <w:szCs w:val="32"/>
        <w:lang w:val="en-US" w:eastAsia="zh-CN" w:bidi="ar-SA"/>
      </w:rPr>
    </w:lvl>
    <w:lvl w:ilvl="2">
      <w:start w:val="1"/>
      <w:numFmt w:val="decimal"/>
      <w:isLgl w:val="false"/>
      <w:suff w:val="tab"/>
      <w:lvlText w:val="%1.%2.%3"/>
      <w:lvlJc w:val="left"/>
      <w:pPr>
        <w:pStyle w:val="696"/>
        <w:ind w:left="1642" w:hanging="881"/>
      </w:pPr>
      <w:rPr>
        <w:rFonts w:ascii="仿宋" w:hAnsi="仿宋" w:eastAsia="仿宋" w:cs="仿宋"/>
        <w:b w:val="0"/>
        <w:bCs w:val="0"/>
        <w:i w:val="0"/>
        <w:iCs w:val="0"/>
        <w:spacing w:val="0"/>
        <w:sz w:val="32"/>
        <w:szCs w:val="32"/>
        <w:lang w:val="en-US" w:eastAsia="zh-CN" w:bidi="ar-SA"/>
      </w:rPr>
    </w:lvl>
    <w:lvl w:ilvl="3">
      <w:start w:val="0"/>
      <w:numFmt w:val="bullet"/>
      <w:isLgl w:val="false"/>
      <w:suff w:val="tab"/>
      <w:lvlText w:val="•"/>
      <w:lvlJc w:val="left"/>
      <w:pPr>
        <w:pStyle w:val="696"/>
        <w:ind w:left="2543" w:hanging="881"/>
      </w:pPr>
      <w:rPr>
        <w:lang w:val="en-US" w:eastAsia="zh-CN" w:bidi="ar-SA"/>
      </w:rPr>
    </w:lvl>
    <w:lvl w:ilvl="4">
      <w:start w:val="0"/>
      <w:numFmt w:val="bullet"/>
      <w:isLgl w:val="false"/>
      <w:suff w:val="tab"/>
      <w:lvlText w:val="•"/>
      <w:lvlJc w:val="left"/>
      <w:pPr>
        <w:pStyle w:val="696"/>
        <w:ind w:left="3446" w:hanging="881"/>
      </w:pPr>
      <w:rPr>
        <w:lang w:val="en-US" w:eastAsia="zh-CN" w:bidi="ar-SA"/>
      </w:rPr>
    </w:lvl>
    <w:lvl w:ilvl="5">
      <w:start w:val="0"/>
      <w:numFmt w:val="bullet"/>
      <w:isLgl w:val="false"/>
      <w:suff w:val="tab"/>
      <w:lvlText w:val="•"/>
      <w:lvlJc w:val="left"/>
      <w:pPr>
        <w:pStyle w:val="696"/>
        <w:ind w:left="4349" w:hanging="881"/>
      </w:pPr>
      <w:rPr>
        <w:lang w:val="en-US" w:eastAsia="zh-CN" w:bidi="ar-SA"/>
      </w:rPr>
    </w:lvl>
    <w:lvl w:ilvl="6">
      <w:start w:val="0"/>
      <w:numFmt w:val="bullet"/>
      <w:isLgl w:val="false"/>
      <w:suff w:val="tab"/>
      <w:lvlText w:val="•"/>
      <w:lvlJc w:val="left"/>
      <w:pPr>
        <w:pStyle w:val="696"/>
        <w:ind w:left="5253" w:hanging="881"/>
      </w:pPr>
      <w:rPr>
        <w:lang w:val="en-US" w:eastAsia="zh-CN" w:bidi="ar-SA"/>
      </w:rPr>
    </w:lvl>
    <w:lvl w:ilvl="7">
      <w:start w:val="0"/>
      <w:numFmt w:val="bullet"/>
      <w:isLgl w:val="false"/>
      <w:suff w:val="tab"/>
      <w:lvlText w:val="•"/>
      <w:lvlJc w:val="left"/>
      <w:pPr>
        <w:pStyle w:val="696"/>
        <w:ind w:left="6156" w:hanging="881"/>
      </w:pPr>
      <w:rPr>
        <w:lang w:val="en-US" w:eastAsia="zh-CN" w:bidi="ar-SA"/>
      </w:rPr>
    </w:lvl>
    <w:lvl w:ilvl="8">
      <w:start w:val="0"/>
      <w:numFmt w:val="bullet"/>
      <w:isLgl w:val="false"/>
      <w:suff w:val="tab"/>
      <w:lvlText w:val="•"/>
      <w:lvlJc w:val="left"/>
      <w:pPr>
        <w:pStyle w:val="696"/>
        <w:ind w:left="7059" w:hanging="881"/>
      </w:pPr>
      <w:rPr>
        <w:lang w:val="en-US" w:eastAsia="zh-CN" w:bidi="ar-SA"/>
      </w:rPr>
    </w:lvl>
  </w:abstractNum>
  <w:abstractNum w:abstractNumId="5">
    <w:multiLevelType w:val="hybridMultilevel"/>
    <w:lvl w:ilvl="0">
      <w:start w:val="1"/>
      <w:numFmt w:val="chineseCountingThousand"/>
      <w:pStyle w:val="780"/>
      <w:isLgl w:val="false"/>
      <w:suff w:val="nothing"/>
      <w:lvlText w:val="第%1章"/>
      <w:lvlJc w:val="left"/>
      <w:pPr>
        <w:pStyle w:val="696"/>
        <w:ind w:left="640" w:firstLine="0"/>
      </w:pPr>
      <w:rPr>
        <w:rFonts w:hint="eastAsia"/>
      </w:rPr>
    </w:lvl>
    <w:lvl w:ilvl="1">
      <w:start w:val="1"/>
      <w:numFmt w:val="decimal"/>
      <w:isLgl w:val="false"/>
      <w:suff w:val="nothing"/>
      <w:lvlText w:val=""/>
      <w:lvlJc w:val="left"/>
      <w:pPr>
        <w:pStyle w:val="696"/>
        <w:ind w:left="640" w:firstLine="0"/>
      </w:pPr>
      <w:rPr>
        <w:rFonts w:hint="eastAsia"/>
      </w:rPr>
    </w:lvl>
    <w:lvl w:ilvl="2">
      <w:start w:val="1"/>
      <w:numFmt w:val="decimal"/>
      <w:isLgl w:val="false"/>
      <w:suff w:val="nothing"/>
      <w:lvlText w:val=""/>
      <w:lvlJc w:val="left"/>
      <w:pPr>
        <w:pStyle w:val="696"/>
        <w:ind w:left="640" w:firstLine="0"/>
      </w:pPr>
      <w:rPr>
        <w:rFonts w:hint="eastAsia"/>
      </w:rPr>
    </w:lvl>
    <w:lvl w:ilvl="3">
      <w:start w:val="1"/>
      <w:numFmt w:val="decimal"/>
      <w:isLgl w:val="false"/>
      <w:suff w:val="nothing"/>
      <w:lvlText w:val=""/>
      <w:lvlJc w:val="left"/>
      <w:pPr>
        <w:pStyle w:val="696"/>
        <w:ind w:left="640" w:firstLine="0"/>
      </w:pPr>
      <w:rPr>
        <w:rFonts w:hint="eastAsia"/>
      </w:rPr>
    </w:lvl>
    <w:lvl w:ilvl="4">
      <w:start w:val="1"/>
      <w:numFmt w:val="decimal"/>
      <w:isLgl w:val="false"/>
      <w:suff w:val="nothing"/>
      <w:lvlText w:val=""/>
      <w:lvlJc w:val="left"/>
      <w:pPr>
        <w:pStyle w:val="696"/>
        <w:ind w:left="640" w:firstLine="0"/>
      </w:pPr>
      <w:rPr>
        <w:rFonts w:hint="eastAsia"/>
      </w:rPr>
    </w:lvl>
    <w:lvl w:ilvl="5">
      <w:start w:val="1"/>
      <w:numFmt w:val="decimal"/>
      <w:isLgl w:val="false"/>
      <w:suff w:val="nothing"/>
      <w:lvlText w:val=""/>
      <w:lvlJc w:val="left"/>
      <w:pPr>
        <w:pStyle w:val="696"/>
        <w:ind w:left="640" w:firstLine="0"/>
      </w:pPr>
      <w:rPr>
        <w:rFonts w:hint="eastAsia"/>
      </w:rPr>
    </w:lvl>
    <w:lvl w:ilvl="6">
      <w:start w:val="1"/>
      <w:numFmt w:val="decimal"/>
      <w:isLgl w:val="false"/>
      <w:suff w:val="nothing"/>
      <w:lvlText w:val=""/>
      <w:lvlJc w:val="left"/>
      <w:pPr>
        <w:pStyle w:val="696"/>
        <w:ind w:left="640" w:firstLine="0"/>
      </w:pPr>
      <w:rPr>
        <w:rFonts w:hint="eastAsia"/>
      </w:rPr>
    </w:lvl>
    <w:lvl w:ilvl="7">
      <w:start w:val="1"/>
      <w:numFmt w:val="decimal"/>
      <w:isLgl w:val="false"/>
      <w:suff w:val="nothing"/>
      <w:lvlText w:val=""/>
      <w:lvlJc w:val="left"/>
      <w:pPr>
        <w:pStyle w:val="696"/>
        <w:ind w:left="640" w:firstLine="0"/>
      </w:pPr>
      <w:rPr>
        <w:rFonts w:hint="eastAsia"/>
      </w:rPr>
    </w:lvl>
    <w:lvl w:ilvl="8">
      <w:start w:val="1"/>
      <w:numFmt w:val="decimal"/>
      <w:isLgl w:val="false"/>
      <w:suff w:val="nothing"/>
      <w:lvlText w:val=""/>
      <w:lvlJc w:val="left"/>
      <w:pPr>
        <w:pStyle w:val="696"/>
        <w:ind w:left="640" w:firstLine="0"/>
      </w:pPr>
      <w:rPr>
        <w:rFonts w:hint="eastAsia"/>
      </w:rPr>
    </w:lvl>
  </w:abstractNum>
  <w:abstractNum w:abstractNumId="6">
    <w:multiLevelType w:val="hybridMultilevel"/>
    <w:lvl w:ilvl="0">
      <w:start w:val="1"/>
      <w:numFmt w:val="decimal"/>
      <w:isLgl w:val="false"/>
      <w:suff w:val="tab"/>
      <w:lvlText w:val="(%1)"/>
      <w:lvlJc w:val="left"/>
      <w:pPr>
        <w:pStyle w:val="696"/>
        <w:ind w:left="120" w:hanging="483"/>
      </w:pPr>
      <w:rPr>
        <w:rFonts w:ascii="仿宋" w:hAnsi="仿宋" w:eastAsia="仿宋" w:cs="仿宋"/>
        <w:b w:val="0"/>
        <w:bCs w:val="0"/>
        <w:i w:val="0"/>
        <w:iCs w:val="0"/>
        <w:spacing w:val="-2"/>
        <w:sz w:val="30"/>
        <w:szCs w:val="30"/>
        <w:lang w:val="en-US" w:eastAsia="zh-CN" w:bidi="ar-SA"/>
      </w:rPr>
    </w:lvl>
    <w:lvl w:ilvl="1">
      <w:start w:val="0"/>
      <w:numFmt w:val="bullet"/>
      <w:isLgl w:val="false"/>
      <w:suff w:val="tab"/>
      <w:lvlText w:val="•"/>
      <w:lvlJc w:val="left"/>
      <w:pPr>
        <w:pStyle w:val="696"/>
        <w:ind w:left="994" w:hanging="483"/>
      </w:pPr>
      <w:rPr>
        <w:lang w:val="en-US" w:eastAsia="zh-CN" w:bidi="ar-SA"/>
      </w:rPr>
    </w:lvl>
    <w:lvl w:ilvl="2">
      <w:start w:val="0"/>
      <w:numFmt w:val="bullet"/>
      <w:isLgl w:val="false"/>
      <w:suff w:val="tab"/>
      <w:lvlText w:val="•"/>
      <w:lvlJc w:val="left"/>
      <w:pPr>
        <w:pStyle w:val="696"/>
        <w:ind w:left="1869" w:hanging="483"/>
      </w:pPr>
      <w:rPr>
        <w:lang w:val="en-US" w:eastAsia="zh-CN" w:bidi="ar-SA"/>
      </w:rPr>
    </w:lvl>
    <w:lvl w:ilvl="3">
      <w:start w:val="0"/>
      <w:numFmt w:val="bullet"/>
      <w:isLgl w:val="false"/>
      <w:suff w:val="tab"/>
      <w:lvlText w:val="•"/>
      <w:lvlJc w:val="left"/>
      <w:pPr>
        <w:pStyle w:val="696"/>
        <w:ind w:left="2743" w:hanging="483"/>
      </w:pPr>
      <w:rPr>
        <w:lang w:val="en-US" w:eastAsia="zh-CN" w:bidi="ar-SA"/>
      </w:rPr>
    </w:lvl>
    <w:lvl w:ilvl="4">
      <w:start w:val="0"/>
      <w:numFmt w:val="bullet"/>
      <w:isLgl w:val="false"/>
      <w:suff w:val="tab"/>
      <w:lvlText w:val="•"/>
      <w:lvlJc w:val="left"/>
      <w:pPr>
        <w:pStyle w:val="696"/>
        <w:ind w:left="3618" w:hanging="483"/>
      </w:pPr>
      <w:rPr>
        <w:lang w:val="en-US" w:eastAsia="zh-CN" w:bidi="ar-SA"/>
      </w:rPr>
    </w:lvl>
    <w:lvl w:ilvl="5">
      <w:start w:val="0"/>
      <w:numFmt w:val="bullet"/>
      <w:isLgl w:val="false"/>
      <w:suff w:val="tab"/>
      <w:lvlText w:val="•"/>
      <w:lvlJc w:val="left"/>
      <w:pPr>
        <w:pStyle w:val="696"/>
        <w:ind w:left="4493" w:hanging="483"/>
      </w:pPr>
      <w:rPr>
        <w:lang w:val="en-US" w:eastAsia="zh-CN" w:bidi="ar-SA"/>
      </w:rPr>
    </w:lvl>
    <w:lvl w:ilvl="6">
      <w:start w:val="0"/>
      <w:numFmt w:val="bullet"/>
      <w:isLgl w:val="false"/>
      <w:suff w:val="tab"/>
      <w:lvlText w:val="•"/>
      <w:lvlJc w:val="left"/>
      <w:pPr>
        <w:pStyle w:val="696"/>
        <w:ind w:left="5367" w:hanging="483"/>
      </w:pPr>
      <w:rPr>
        <w:lang w:val="en-US" w:eastAsia="zh-CN" w:bidi="ar-SA"/>
      </w:rPr>
    </w:lvl>
    <w:lvl w:ilvl="7">
      <w:start w:val="0"/>
      <w:numFmt w:val="bullet"/>
      <w:isLgl w:val="false"/>
      <w:suff w:val="tab"/>
      <w:lvlText w:val="•"/>
      <w:lvlJc w:val="left"/>
      <w:pPr>
        <w:pStyle w:val="696"/>
        <w:ind w:left="6242" w:hanging="483"/>
      </w:pPr>
      <w:rPr>
        <w:lang w:val="en-US" w:eastAsia="zh-CN" w:bidi="ar-SA"/>
      </w:rPr>
    </w:lvl>
    <w:lvl w:ilvl="8">
      <w:start w:val="0"/>
      <w:numFmt w:val="bullet"/>
      <w:isLgl w:val="false"/>
      <w:suff w:val="tab"/>
      <w:lvlText w:val="•"/>
      <w:lvlJc w:val="left"/>
      <w:pPr>
        <w:pStyle w:val="696"/>
        <w:ind w:left="7117" w:hanging="483"/>
      </w:pPr>
      <w:rPr>
        <w:lang w:val="en-US" w:eastAsia="zh-CN" w:bidi="ar-SA"/>
      </w:rPr>
    </w:lvl>
  </w:abstractNum>
  <w:abstractNum w:abstractNumId="7">
    <w:multiLevelType w:val="hybridMultilevel"/>
    <w:lvl w:ilvl="0">
      <w:start w:val="5"/>
      <w:numFmt w:val="decimal"/>
      <w:isLgl w:val="false"/>
      <w:suff w:val="tab"/>
      <w:lvlText w:val="%1"/>
      <w:lvlJc w:val="left"/>
      <w:pPr>
        <w:pStyle w:val="696"/>
        <w:ind w:left="120" w:hanging="627"/>
      </w:pPr>
      <w:rPr>
        <w:lang w:val="en-US" w:eastAsia="zh-CN" w:bidi="ar-SA"/>
      </w:rPr>
    </w:lvl>
    <w:lvl w:ilvl="1">
      <w:start w:val="1"/>
      <w:numFmt w:val="decimal"/>
      <w:isLgl w:val="false"/>
      <w:suff w:val="tab"/>
      <w:lvlText w:val="%1.%2"/>
      <w:lvlJc w:val="left"/>
      <w:pPr>
        <w:pStyle w:val="696"/>
        <w:ind w:left="70" w:hanging="627"/>
      </w:pPr>
      <w:rPr>
        <w:rFonts w:ascii="仿宋" w:hAnsi="仿宋" w:eastAsia="仿宋" w:cs="仿宋"/>
        <w:b w:val="0"/>
        <w:bCs w:val="0"/>
        <w:i w:val="0"/>
        <w:iCs w:val="0"/>
        <w:spacing w:val="0"/>
        <w:sz w:val="32"/>
        <w:szCs w:val="32"/>
        <w:lang w:val="en-US" w:eastAsia="zh-CN" w:bidi="ar-SA"/>
      </w:rPr>
    </w:lvl>
    <w:lvl w:ilvl="2">
      <w:start w:val="0"/>
      <w:numFmt w:val="bullet"/>
      <w:isLgl w:val="false"/>
      <w:suff w:val="tab"/>
      <w:lvlText w:val="•"/>
      <w:lvlJc w:val="left"/>
      <w:pPr>
        <w:pStyle w:val="696"/>
        <w:ind w:left="1869" w:hanging="627"/>
      </w:pPr>
      <w:rPr>
        <w:lang w:val="en-US" w:eastAsia="zh-CN" w:bidi="ar-SA"/>
      </w:rPr>
    </w:lvl>
    <w:lvl w:ilvl="3">
      <w:start w:val="0"/>
      <w:numFmt w:val="bullet"/>
      <w:isLgl w:val="false"/>
      <w:suff w:val="tab"/>
      <w:lvlText w:val="•"/>
      <w:lvlJc w:val="left"/>
      <w:pPr>
        <w:pStyle w:val="696"/>
        <w:ind w:left="2743" w:hanging="627"/>
      </w:pPr>
      <w:rPr>
        <w:lang w:val="en-US" w:eastAsia="zh-CN" w:bidi="ar-SA"/>
      </w:rPr>
    </w:lvl>
    <w:lvl w:ilvl="4">
      <w:start w:val="0"/>
      <w:numFmt w:val="bullet"/>
      <w:isLgl w:val="false"/>
      <w:suff w:val="tab"/>
      <w:lvlText w:val="•"/>
      <w:lvlJc w:val="left"/>
      <w:pPr>
        <w:pStyle w:val="696"/>
        <w:ind w:left="3618" w:hanging="627"/>
      </w:pPr>
      <w:rPr>
        <w:lang w:val="en-US" w:eastAsia="zh-CN" w:bidi="ar-SA"/>
      </w:rPr>
    </w:lvl>
    <w:lvl w:ilvl="5">
      <w:start w:val="0"/>
      <w:numFmt w:val="bullet"/>
      <w:isLgl w:val="false"/>
      <w:suff w:val="tab"/>
      <w:lvlText w:val="•"/>
      <w:lvlJc w:val="left"/>
      <w:pPr>
        <w:pStyle w:val="696"/>
        <w:ind w:left="4493" w:hanging="627"/>
      </w:pPr>
      <w:rPr>
        <w:lang w:val="en-US" w:eastAsia="zh-CN" w:bidi="ar-SA"/>
      </w:rPr>
    </w:lvl>
    <w:lvl w:ilvl="6">
      <w:start w:val="0"/>
      <w:numFmt w:val="bullet"/>
      <w:isLgl w:val="false"/>
      <w:suff w:val="tab"/>
      <w:lvlText w:val="•"/>
      <w:lvlJc w:val="left"/>
      <w:pPr>
        <w:pStyle w:val="696"/>
        <w:ind w:left="5367" w:hanging="627"/>
      </w:pPr>
      <w:rPr>
        <w:lang w:val="en-US" w:eastAsia="zh-CN" w:bidi="ar-SA"/>
      </w:rPr>
    </w:lvl>
    <w:lvl w:ilvl="7">
      <w:start w:val="0"/>
      <w:numFmt w:val="bullet"/>
      <w:isLgl w:val="false"/>
      <w:suff w:val="tab"/>
      <w:lvlText w:val="•"/>
      <w:lvlJc w:val="left"/>
      <w:pPr>
        <w:pStyle w:val="696"/>
        <w:ind w:left="6242" w:hanging="627"/>
      </w:pPr>
      <w:rPr>
        <w:lang w:val="en-US" w:eastAsia="zh-CN" w:bidi="ar-SA"/>
      </w:rPr>
    </w:lvl>
    <w:lvl w:ilvl="8">
      <w:start w:val="0"/>
      <w:numFmt w:val="bullet"/>
      <w:isLgl w:val="false"/>
      <w:suff w:val="tab"/>
      <w:lvlText w:val="•"/>
      <w:lvlJc w:val="left"/>
      <w:pPr>
        <w:pStyle w:val="696"/>
        <w:ind w:left="7117" w:hanging="627"/>
      </w:pPr>
      <w:rPr>
        <w:lang w:val="en-US" w:eastAsia="zh-CN" w:bidi="ar-SA"/>
      </w:rPr>
    </w:lvl>
  </w:abstractNum>
  <w:abstractNum w:abstractNumId="8">
    <w:multiLevelType w:val="hybridMultilevel"/>
    <w:lvl w:ilvl="0">
      <w:start w:val="1"/>
      <w:numFmt w:val="decimal"/>
      <w:isLgl w:val="false"/>
      <w:suff w:val="tab"/>
      <w:lvlText w:val="（%1）"/>
      <w:lvlJc w:val="left"/>
      <w:pPr>
        <w:pStyle w:val="696"/>
        <w:ind w:left="120" w:hanging="819"/>
      </w:pPr>
      <w:rPr>
        <w:rFonts w:ascii="仿宋" w:hAnsi="仿宋" w:eastAsia="仿宋" w:cs="仿宋"/>
        <w:b w:val="0"/>
        <w:bCs w:val="0"/>
        <w:i w:val="0"/>
        <w:iCs w:val="0"/>
        <w:spacing w:val="6"/>
        <w:sz w:val="30"/>
        <w:szCs w:val="30"/>
        <w:lang w:val="en-US" w:eastAsia="zh-CN" w:bidi="ar-SA"/>
      </w:rPr>
    </w:lvl>
    <w:lvl w:ilvl="1">
      <w:start w:val="0"/>
      <w:numFmt w:val="bullet"/>
      <w:isLgl w:val="false"/>
      <w:suff w:val="tab"/>
      <w:lvlText w:val="•"/>
      <w:lvlJc w:val="left"/>
      <w:pPr>
        <w:pStyle w:val="696"/>
        <w:ind w:left="994" w:hanging="819"/>
      </w:pPr>
      <w:rPr>
        <w:lang w:val="en-US" w:eastAsia="zh-CN" w:bidi="ar-SA"/>
      </w:rPr>
    </w:lvl>
    <w:lvl w:ilvl="2">
      <w:start w:val="0"/>
      <w:numFmt w:val="bullet"/>
      <w:isLgl w:val="false"/>
      <w:suff w:val="tab"/>
      <w:lvlText w:val="•"/>
      <w:lvlJc w:val="left"/>
      <w:pPr>
        <w:pStyle w:val="696"/>
        <w:ind w:left="1869" w:hanging="819"/>
      </w:pPr>
      <w:rPr>
        <w:lang w:val="en-US" w:eastAsia="zh-CN" w:bidi="ar-SA"/>
      </w:rPr>
    </w:lvl>
    <w:lvl w:ilvl="3">
      <w:start w:val="0"/>
      <w:numFmt w:val="bullet"/>
      <w:isLgl w:val="false"/>
      <w:suff w:val="tab"/>
      <w:lvlText w:val="•"/>
      <w:lvlJc w:val="left"/>
      <w:pPr>
        <w:pStyle w:val="696"/>
        <w:ind w:left="2743" w:hanging="819"/>
      </w:pPr>
      <w:rPr>
        <w:lang w:val="en-US" w:eastAsia="zh-CN" w:bidi="ar-SA"/>
      </w:rPr>
    </w:lvl>
    <w:lvl w:ilvl="4">
      <w:start w:val="0"/>
      <w:numFmt w:val="bullet"/>
      <w:isLgl w:val="false"/>
      <w:suff w:val="tab"/>
      <w:lvlText w:val="•"/>
      <w:lvlJc w:val="left"/>
      <w:pPr>
        <w:pStyle w:val="696"/>
        <w:ind w:left="3618" w:hanging="819"/>
      </w:pPr>
      <w:rPr>
        <w:lang w:val="en-US" w:eastAsia="zh-CN" w:bidi="ar-SA"/>
      </w:rPr>
    </w:lvl>
    <w:lvl w:ilvl="5">
      <w:start w:val="0"/>
      <w:numFmt w:val="bullet"/>
      <w:isLgl w:val="false"/>
      <w:suff w:val="tab"/>
      <w:lvlText w:val="•"/>
      <w:lvlJc w:val="left"/>
      <w:pPr>
        <w:pStyle w:val="696"/>
        <w:ind w:left="4493" w:hanging="819"/>
      </w:pPr>
      <w:rPr>
        <w:lang w:val="en-US" w:eastAsia="zh-CN" w:bidi="ar-SA"/>
      </w:rPr>
    </w:lvl>
    <w:lvl w:ilvl="6">
      <w:start w:val="0"/>
      <w:numFmt w:val="bullet"/>
      <w:isLgl w:val="false"/>
      <w:suff w:val="tab"/>
      <w:lvlText w:val="•"/>
      <w:lvlJc w:val="left"/>
      <w:pPr>
        <w:pStyle w:val="696"/>
        <w:ind w:left="5367" w:hanging="819"/>
      </w:pPr>
      <w:rPr>
        <w:lang w:val="en-US" w:eastAsia="zh-CN" w:bidi="ar-SA"/>
      </w:rPr>
    </w:lvl>
    <w:lvl w:ilvl="7">
      <w:start w:val="0"/>
      <w:numFmt w:val="bullet"/>
      <w:isLgl w:val="false"/>
      <w:suff w:val="tab"/>
      <w:lvlText w:val="•"/>
      <w:lvlJc w:val="left"/>
      <w:pPr>
        <w:pStyle w:val="696"/>
        <w:ind w:left="6242" w:hanging="819"/>
      </w:pPr>
      <w:rPr>
        <w:lang w:val="en-US" w:eastAsia="zh-CN" w:bidi="ar-SA"/>
      </w:rPr>
    </w:lvl>
    <w:lvl w:ilvl="8">
      <w:start w:val="0"/>
      <w:numFmt w:val="bullet"/>
      <w:isLgl w:val="false"/>
      <w:suff w:val="tab"/>
      <w:lvlText w:val="•"/>
      <w:lvlJc w:val="left"/>
      <w:pPr>
        <w:pStyle w:val="696"/>
        <w:ind w:left="7117" w:hanging="819"/>
      </w:pPr>
      <w:rPr>
        <w:lang w:val="en-US" w:eastAsia="zh-CN" w:bidi="ar-SA"/>
      </w:rPr>
    </w:lvl>
  </w:abstractNum>
  <w:abstractNum w:abstractNumId="9">
    <w:multiLevelType w:val="hybridMultilevel"/>
    <w:lvl w:ilvl="0">
      <w:start w:val="1"/>
      <w:numFmt w:val="chineseCountingThousand"/>
      <w:pStyle w:val="770"/>
      <w:isLgl w:val="false"/>
      <w:suff w:val="tab"/>
      <w:lvlText w:val="%1、"/>
      <w:lvlJc w:val="left"/>
      <w:pPr>
        <w:pStyle w:val="696"/>
        <w:ind w:left="420" w:hanging="420"/>
        <w:tabs>
          <w:tab w:val="num" w:pos="420" w:leader="none"/>
        </w:tabs>
      </w:pPr>
      <w:rPr>
        <w:rFonts w:hint="eastAsia"/>
        <w:b/>
        <w:i w:val="0"/>
      </w:rPr>
    </w:lvl>
    <w:lvl w:ilvl="1">
      <w:start w:val="1"/>
      <w:numFmt w:val="lowerLetter"/>
      <w:isLgl w:val="false"/>
      <w:suff w:val="tab"/>
      <w:lvlText w:val="%2)"/>
      <w:lvlJc w:val="left"/>
      <w:pPr>
        <w:pStyle w:val="696"/>
        <w:ind w:left="840" w:hanging="420"/>
        <w:tabs>
          <w:tab w:val="num" w:pos="840" w:leader="none"/>
        </w:tabs>
      </w:pPr>
    </w:lvl>
    <w:lvl w:ilvl="2">
      <w:start w:val="1"/>
      <w:numFmt w:val="lowerRoman"/>
      <w:isLgl w:val="false"/>
      <w:suff w:val="tab"/>
      <w:lvlText w:val="%3."/>
      <w:lvlJc w:val="right"/>
      <w:pPr>
        <w:pStyle w:val="696"/>
        <w:ind w:left="1260" w:hanging="420"/>
        <w:tabs>
          <w:tab w:val="num" w:pos="1260" w:leader="none"/>
        </w:tabs>
      </w:pPr>
    </w:lvl>
    <w:lvl w:ilvl="3">
      <w:start w:val="1"/>
      <w:numFmt w:val="decimal"/>
      <w:isLgl w:val="false"/>
      <w:suff w:val="tab"/>
      <w:lvlText w:val="%4."/>
      <w:lvlJc w:val="left"/>
      <w:pPr>
        <w:pStyle w:val="696"/>
        <w:ind w:left="1680" w:hanging="420"/>
        <w:tabs>
          <w:tab w:val="num" w:pos="1680" w:leader="none"/>
        </w:tabs>
      </w:pPr>
    </w:lvl>
    <w:lvl w:ilvl="4">
      <w:start w:val="1"/>
      <w:numFmt w:val="lowerLetter"/>
      <w:isLgl w:val="false"/>
      <w:suff w:val="tab"/>
      <w:lvlText w:val="%5)"/>
      <w:lvlJc w:val="left"/>
      <w:pPr>
        <w:pStyle w:val="696"/>
        <w:ind w:left="2100" w:hanging="420"/>
        <w:tabs>
          <w:tab w:val="num" w:pos="2100" w:leader="none"/>
        </w:tabs>
      </w:pPr>
    </w:lvl>
    <w:lvl w:ilvl="5">
      <w:start w:val="1"/>
      <w:numFmt w:val="lowerRoman"/>
      <w:isLgl w:val="false"/>
      <w:suff w:val="tab"/>
      <w:lvlText w:val="%6."/>
      <w:lvlJc w:val="right"/>
      <w:pPr>
        <w:pStyle w:val="696"/>
        <w:ind w:left="2520" w:hanging="420"/>
        <w:tabs>
          <w:tab w:val="num" w:pos="2520" w:leader="none"/>
        </w:tabs>
      </w:pPr>
    </w:lvl>
    <w:lvl w:ilvl="6">
      <w:start w:val="1"/>
      <w:numFmt w:val="decimal"/>
      <w:isLgl w:val="false"/>
      <w:suff w:val="tab"/>
      <w:lvlText w:val="%7."/>
      <w:lvlJc w:val="left"/>
      <w:pPr>
        <w:pStyle w:val="696"/>
        <w:ind w:left="2940" w:hanging="420"/>
        <w:tabs>
          <w:tab w:val="num" w:pos="2940" w:leader="none"/>
        </w:tabs>
      </w:pPr>
    </w:lvl>
    <w:lvl w:ilvl="7">
      <w:start w:val="1"/>
      <w:numFmt w:val="lowerLetter"/>
      <w:isLgl w:val="false"/>
      <w:suff w:val="tab"/>
      <w:lvlText w:val="%8)"/>
      <w:lvlJc w:val="left"/>
      <w:pPr>
        <w:pStyle w:val="696"/>
        <w:ind w:left="3360" w:hanging="420"/>
        <w:tabs>
          <w:tab w:val="num" w:pos="3360" w:leader="none"/>
        </w:tabs>
      </w:pPr>
    </w:lvl>
    <w:lvl w:ilvl="8">
      <w:start w:val="1"/>
      <w:numFmt w:val="lowerRoman"/>
      <w:isLgl w:val="false"/>
      <w:suff w:val="tab"/>
      <w:lvlText w:val="%9."/>
      <w:lvlJc w:val="right"/>
      <w:pPr>
        <w:pStyle w:val="696"/>
        <w:ind w:left="3780" w:hanging="420"/>
        <w:tabs>
          <w:tab w:val="num" w:pos="3780" w:leader="none"/>
        </w:tabs>
      </w:pPr>
    </w:lvl>
  </w:abstractNum>
  <w:abstractNum w:abstractNumId="10">
    <w:multiLevelType w:val="hybridMultilevel"/>
    <w:lvl w:ilvl="0">
      <w:start w:val="1"/>
      <w:numFmt w:val="decimal"/>
      <w:isLgl w:val="false"/>
      <w:suff w:val="tab"/>
      <w:lvlText w:val="(%1)"/>
      <w:lvlJc w:val="left"/>
      <w:pPr>
        <w:pStyle w:val="696"/>
        <w:ind w:left="120" w:hanging="500"/>
      </w:pPr>
      <w:rPr>
        <w:rFonts w:ascii="仿宋" w:hAnsi="仿宋" w:eastAsia="仿宋" w:cs="仿宋"/>
        <w:b w:val="0"/>
        <w:bCs w:val="0"/>
        <w:i w:val="0"/>
        <w:iCs w:val="0"/>
        <w:spacing w:val="5"/>
        <w:sz w:val="30"/>
        <w:szCs w:val="30"/>
        <w:lang w:val="en-US" w:eastAsia="zh-CN" w:bidi="ar-SA"/>
      </w:rPr>
    </w:lvl>
    <w:lvl w:ilvl="1">
      <w:start w:val="0"/>
      <w:numFmt w:val="bullet"/>
      <w:isLgl w:val="false"/>
      <w:suff w:val="tab"/>
      <w:lvlText w:val="•"/>
      <w:lvlJc w:val="left"/>
      <w:pPr>
        <w:pStyle w:val="696"/>
        <w:ind w:left="994" w:hanging="500"/>
      </w:pPr>
      <w:rPr>
        <w:lang w:val="en-US" w:eastAsia="zh-CN" w:bidi="ar-SA"/>
      </w:rPr>
    </w:lvl>
    <w:lvl w:ilvl="2">
      <w:start w:val="0"/>
      <w:numFmt w:val="bullet"/>
      <w:isLgl w:val="false"/>
      <w:suff w:val="tab"/>
      <w:lvlText w:val="•"/>
      <w:lvlJc w:val="left"/>
      <w:pPr>
        <w:pStyle w:val="696"/>
        <w:ind w:left="1869" w:hanging="500"/>
      </w:pPr>
      <w:rPr>
        <w:lang w:val="en-US" w:eastAsia="zh-CN" w:bidi="ar-SA"/>
      </w:rPr>
    </w:lvl>
    <w:lvl w:ilvl="3">
      <w:start w:val="0"/>
      <w:numFmt w:val="bullet"/>
      <w:isLgl w:val="false"/>
      <w:suff w:val="tab"/>
      <w:lvlText w:val="•"/>
      <w:lvlJc w:val="left"/>
      <w:pPr>
        <w:pStyle w:val="696"/>
        <w:ind w:left="2743" w:hanging="500"/>
      </w:pPr>
      <w:rPr>
        <w:lang w:val="en-US" w:eastAsia="zh-CN" w:bidi="ar-SA"/>
      </w:rPr>
    </w:lvl>
    <w:lvl w:ilvl="4">
      <w:start w:val="0"/>
      <w:numFmt w:val="bullet"/>
      <w:isLgl w:val="false"/>
      <w:suff w:val="tab"/>
      <w:lvlText w:val="•"/>
      <w:lvlJc w:val="left"/>
      <w:pPr>
        <w:pStyle w:val="696"/>
        <w:ind w:left="3618" w:hanging="500"/>
      </w:pPr>
      <w:rPr>
        <w:lang w:val="en-US" w:eastAsia="zh-CN" w:bidi="ar-SA"/>
      </w:rPr>
    </w:lvl>
    <w:lvl w:ilvl="5">
      <w:start w:val="0"/>
      <w:numFmt w:val="bullet"/>
      <w:isLgl w:val="false"/>
      <w:suff w:val="tab"/>
      <w:lvlText w:val="•"/>
      <w:lvlJc w:val="left"/>
      <w:pPr>
        <w:pStyle w:val="696"/>
        <w:ind w:left="4493" w:hanging="500"/>
      </w:pPr>
      <w:rPr>
        <w:lang w:val="en-US" w:eastAsia="zh-CN" w:bidi="ar-SA"/>
      </w:rPr>
    </w:lvl>
    <w:lvl w:ilvl="6">
      <w:start w:val="0"/>
      <w:numFmt w:val="bullet"/>
      <w:isLgl w:val="false"/>
      <w:suff w:val="tab"/>
      <w:lvlText w:val="•"/>
      <w:lvlJc w:val="left"/>
      <w:pPr>
        <w:pStyle w:val="696"/>
        <w:ind w:left="5367" w:hanging="500"/>
      </w:pPr>
      <w:rPr>
        <w:lang w:val="en-US" w:eastAsia="zh-CN" w:bidi="ar-SA"/>
      </w:rPr>
    </w:lvl>
    <w:lvl w:ilvl="7">
      <w:start w:val="0"/>
      <w:numFmt w:val="bullet"/>
      <w:isLgl w:val="false"/>
      <w:suff w:val="tab"/>
      <w:lvlText w:val="•"/>
      <w:lvlJc w:val="left"/>
      <w:pPr>
        <w:pStyle w:val="696"/>
        <w:ind w:left="6242" w:hanging="500"/>
      </w:pPr>
      <w:rPr>
        <w:lang w:val="en-US" w:eastAsia="zh-CN" w:bidi="ar-SA"/>
      </w:rPr>
    </w:lvl>
    <w:lvl w:ilvl="8">
      <w:start w:val="0"/>
      <w:numFmt w:val="bullet"/>
      <w:isLgl w:val="false"/>
      <w:suff w:val="tab"/>
      <w:lvlText w:val="•"/>
      <w:lvlJc w:val="left"/>
      <w:pPr>
        <w:pStyle w:val="696"/>
        <w:ind w:left="7117" w:hanging="500"/>
      </w:pPr>
      <w:rPr>
        <w:lang w:val="en-US" w:eastAsia="zh-CN" w:bidi="ar-SA"/>
      </w:rPr>
    </w:lvl>
  </w:abstractNum>
  <w:abstractNum w:abstractNumId="11">
    <w:multiLevelType w:val="hybridMultilevel"/>
    <w:lvl w:ilvl="0">
      <w:start w:val="7"/>
      <w:numFmt w:val="decimal"/>
      <w:isLgl w:val="false"/>
      <w:suff w:val="tab"/>
      <w:lvlText w:val="%1"/>
      <w:lvlJc w:val="left"/>
      <w:pPr>
        <w:pStyle w:val="696"/>
        <w:ind w:left="1322" w:hanging="562"/>
      </w:pPr>
      <w:rPr>
        <w:lang w:val="en-US" w:eastAsia="zh-CN" w:bidi="ar-SA"/>
      </w:rPr>
    </w:lvl>
    <w:lvl w:ilvl="1">
      <w:start w:val="1"/>
      <w:numFmt w:val="decimal"/>
      <w:isLgl w:val="false"/>
      <w:suff w:val="tab"/>
      <w:lvlText w:val="%1.%2"/>
      <w:lvlJc w:val="left"/>
      <w:pPr>
        <w:pStyle w:val="696"/>
        <w:ind w:left="1322" w:hanging="562"/>
      </w:pPr>
      <w:rPr>
        <w:rFonts w:ascii="仿宋" w:hAnsi="仿宋" w:eastAsia="仿宋" w:cs="仿宋"/>
        <w:b w:val="0"/>
        <w:bCs w:val="0"/>
        <w:i w:val="0"/>
        <w:iCs w:val="0"/>
        <w:spacing w:val="0"/>
        <w:sz w:val="32"/>
        <w:szCs w:val="32"/>
        <w:lang w:val="en-US" w:eastAsia="zh-CN" w:bidi="ar-SA"/>
      </w:rPr>
    </w:lvl>
    <w:lvl w:ilvl="2">
      <w:start w:val="0"/>
      <w:numFmt w:val="bullet"/>
      <w:isLgl w:val="false"/>
      <w:suff w:val="tab"/>
      <w:lvlText w:val="•"/>
      <w:lvlJc w:val="left"/>
      <w:pPr>
        <w:pStyle w:val="696"/>
        <w:ind w:left="2829" w:hanging="562"/>
      </w:pPr>
      <w:rPr>
        <w:lang w:val="en-US" w:eastAsia="zh-CN" w:bidi="ar-SA"/>
      </w:rPr>
    </w:lvl>
    <w:lvl w:ilvl="3">
      <w:start w:val="0"/>
      <w:numFmt w:val="bullet"/>
      <w:isLgl w:val="false"/>
      <w:suff w:val="tab"/>
      <w:lvlText w:val="•"/>
      <w:lvlJc w:val="left"/>
      <w:pPr>
        <w:pStyle w:val="696"/>
        <w:ind w:left="3583" w:hanging="562"/>
      </w:pPr>
      <w:rPr>
        <w:lang w:val="en-US" w:eastAsia="zh-CN" w:bidi="ar-SA"/>
      </w:rPr>
    </w:lvl>
    <w:lvl w:ilvl="4">
      <w:start w:val="0"/>
      <w:numFmt w:val="bullet"/>
      <w:isLgl w:val="false"/>
      <w:suff w:val="tab"/>
      <w:lvlText w:val="•"/>
      <w:lvlJc w:val="left"/>
      <w:pPr>
        <w:pStyle w:val="696"/>
        <w:ind w:left="4338" w:hanging="562"/>
      </w:pPr>
      <w:rPr>
        <w:lang w:val="en-US" w:eastAsia="zh-CN" w:bidi="ar-SA"/>
      </w:rPr>
    </w:lvl>
    <w:lvl w:ilvl="5">
      <w:start w:val="0"/>
      <w:numFmt w:val="bullet"/>
      <w:isLgl w:val="false"/>
      <w:suff w:val="tab"/>
      <w:lvlText w:val="•"/>
      <w:lvlJc w:val="left"/>
      <w:pPr>
        <w:pStyle w:val="696"/>
        <w:ind w:left="5093" w:hanging="562"/>
      </w:pPr>
      <w:rPr>
        <w:lang w:val="en-US" w:eastAsia="zh-CN" w:bidi="ar-SA"/>
      </w:rPr>
    </w:lvl>
    <w:lvl w:ilvl="6">
      <w:start w:val="0"/>
      <w:numFmt w:val="bullet"/>
      <w:isLgl w:val="false"/>
      <w:suff w:val="tab"/>
      <w:lvlText w:val="•"/>
      <w:lvlJc w:val="left"/>
      <w:pPr>
        <w:pStyle w:val="696"/>
        <w:ind w:left="5847" w:hanging="562"/>
      </w:pPr>
      <w:rPr>
        <w:lang w:val="en-US" w:eastAsia="zh-CN" w:bidi="ar-SA"/>
      </w:rPr>
    </w:lvl>
    <w:lvl w:ilvl="7">
      <w:start w:val="0"/>
      <w:numFmt w:val="bullet"/>
      <w:isLgl w:val="false"/>
      <w:suff w:val="tab"/>
      <w:lvlText w:val="•"/>
      <w:lvlJc w:val="left"/>
      <w:pPr>
        <w:pStyle w:val="696"/>
        <w:ind w:left="6602" w:hanging="562"/>
      </w:pPr>
      <w:rPr>
        <w:lang w:val="en-US" w:eastAsia="zh-CN" w:bidi="ar-SA"/>
      </w:rPr>
    </w:lvl>
    <w:lvl w:ilvl="8">
      <w:start w:val="0"/>
      <w:numFmt w:val="bullet"/>
      <w:isLgl w:val="false"/>
      <w:suff w:val="tab"/>
      <w:lvlText w:val="•"/>
      <w:lvlJc w:val="left"/>
      <w:pPr>
        <w:pStyle w:val="696"/>
        <w:ind w:left="7357" w:hanging="562"/>
      </w:pPr>
      <w:rPr>
        <w:lang w:val="en-US" w:eastAsia="zh-CN" w:bidi="ar-SA"/>
      </w:rPr>
    </w:lvl>
  </w:abstractNum>
  <w:abstractNum w:abstractNumId="12">
    <w:multiLevelType w:val="hybridMultilevel"/>
    <w:lvl w:ilvl="0">
      <w:start w:val="2"/>
      <w:numFmt w:val="chineseCountingThousand"/>
      <w:pStyle w:val="776"/>
      <w:isLgl w:val="false"/>
      <w:suff w:val="nothing"/>
      <w:lvlText w:val="第%1部分"/>
      <w:lvlJc w:val="center"/>
      <w:pPr>
        <w:pStyle w:val="696"/>
        <w:ind w:left="432" w:firstLine="288"/>
      </w:pPr>
      <w:rPr>
        <w:rFonts w:hint="eastAsia"/>
        <w:sz w:val="28"/>
        <w:szCs w:val="28"/>
        <w:lang w:val="en-US"/>
      </w:rPr>
    </w:lvl>
    <w:lvl w:ilvl="1">
      <w:start w:val="1"/>
      <w:numFmt w:val="chineseCountingThousand"/>
      <w:isLgl w:val="false"/>
      <w:suff w:val="nothing"/>
      <w:lvlText w:val="%2、"/>
      <w:lvlJc w:val="left"/>
      <w:pPr>
        <w:pStyle w:val="696"/>
        <w:ind w:left="360" w:firstLine="0"/>
      </w:pPr>
      <w:rPr>
        <w:rFonts w:hint="eastAsia"/>
        <w:lang w:val="en-US"/>
      </w:rPr>
    </w:lvl>
    <w:lvl w:ilvl="2">
      <w:start w:val="1"/>
      <w:numFmt w:val="chineseCountingThousand"/>
      <w:isLgl w:val="false"/>
      <w:suff w:val="nothing"/>
      <w:lvlText w:val="(%3)"/>
      <w:lvlJc w:val="left"/>
      <w:pPr>
        <w:pStyle w:val="696"/>
        <w:ind w:left="0" w:firstLine="0"/>
      </w:pPr>
      <w:rPr>
        <w:rFonts w:hint="eastAsia"/>
      </w:rPr>
    </w:lvl>
    <w:lvl w:ilvl="3">
      <w:start w:val="1"/>
      <w:numFmt w:val="decimal"/>
      <w:isLgl w:val="false"/>
      <w:suff w:val="nothing"/>
      <w:lvlText w:val="%4、"/>
      <w:lvlJc w:val="left"/>
      <w:pPr>
        <w:pStyle w:val="696"/>
        <w:ind w:left="0" w:firstLine="0"/>
      </w:pPr>
      <w:rPr>
        <w:rFonts w:hint="eastAsia"/>
      </w:rPr>
    </w:lvl>
    <w:lvl w:ilvl="4">
      <w:start w:val="1"/>
      <w:numFmt w:val="upperLetter"/>
      <w:isLgl w:val="false"/>
      <w:suff w:val="nothing"/>
      <w:lvlText w:val="%5、"/>
      <w:lvlJc w:val="left"/>
      <w:pPr>
        <w:pStyle w:val="696"/>
        <w:ind w:left="0" w:firstLine="0"/>
      </w:pPr>
      <w:rPr>
        <w:rFonts w:hint="eastAsia"/>
      </w:rPr>
    </w:lvl>
    <w:lvl w:ilvl="5">
      <w:start w:val="1"/>
      <w:numFmt w:val="decimal"/>
      <w:isLgl w:val="false"/>
      <w:suff w:val="nothing"/>
      <w:lvlText w:val=""/>
      <w:lvlJc w:val="left"/>
      <w:pPr>
        <w:pStyle w:val="696"/>
        <w:ind w:left="0" w:firstLine="0"/>
      </w:pPr>
      <w:rPr>
        <w:rFonts w:hint="eastAsia"/>
      </w:rPr>
    </w:lvl>
    <w:lvl w:ilvl="6">
      <w:start w:val="1"/>
      <w:numFmt w:val="decimal"/>
      <w:isLgl w:val="false"/>
      <w:suff w:val="nothing"/>
      <w:lvlText w:val=""/>
      <w:lvlJc w:val="left"/>
      <w:pPr>
        <w:pStyle w:val="696"/>
        <w:ind w:left="0" w:firstLine="0"/>
      </w:pPr>
      <w:rPr>
        <w:rFonts w:hint="eastAsia"/>
      </w:rPr>
    </w:lvl>
    <w:lvl w:ilvl="7">
      <w:start w:val="1"/>
      <w:numFmt w:val="decimal"/>
      <w:isLgl w:val="false"/>
      <w:suff w:val="nothing"/>
      <w:lvlText w:val=""/>
      <w:lvlJc w:val="left"/>
      <w:pPr>
        <w:pStyle w:val="696"/>
        <w:ind w:left="0" w:firstLine="0"/>
      </w:pPr>
      <w:rPr>
        <w:rFonts w:hint="eastAsia"/>
      </w:rPr>
    </w:lvl>
    <w:lvl w:ilvl="8">
      <w:start w:val="1"/>
      <w:numFmt w:val="decimal"/>
      <w:isLgl w:val="false"/>
      <w:suff w:val="nothing"/>
      <w:lvlText w:val=""/>
      <w:lvlJc w:val="left"/>
      <w:pPr>
        <w:pStyle w:val="696"/>
        <w:ind w:left="0" w:firstLine="0"/>
      </w:pPr>
      <w:rPr>
        <w:rFonts w:hint="eastAsia"/>
      </w:rPr>
    </w:lvl>
  </w:abstractNum>
  <w:abstractNum w:abstractNumId="13">
    <w:multiLevelType w:val="hybridMultilevel"/>
    <w:lvl w:ilvl="0">
      <w:start w:val="6"/>
      <w:numFmt w:val="decimal"/>
      <w:isLgl w:val="false"/>
      <w:suff w:val="tab"/>
      <w:lvlText w:val="%1"/>
      <w:lvlJc w:val="left"/>
      <w:pPr>
        <w:pStyle w:val="696"/>
        <w:ind w:left="120" w:hanging="627"/>
      </w:pPr>
      <w:rPr>
        <w:lang w:val="en-US" w:eastAsia="zh-CN" w:bidi="ar-SA"/>
      </w:rPr>
    </w:lvl>
    <w:lvl w:ilvl="1">
      <w:start w:val="1"/>
      <w:numFmt w:val="decimal"/>
      <w:isLgl w:val="false"/>
      <w:suff w:val="tab"/>
      <w:lvlText w:val="%1.%2"/>
      <w:lvlJc w:val="left"/>
      <w:pPr>
        <w:pStyle w:val="696"/>
        <w:ind w:left="120" w:hanging="627"/>
      </w:pPr>
      <w:rPr>
        <w:rFonts w:ascii="仿宋" w:hAnsi="仿宋" w:eastAsia="仿宋" w:cs="仿宋"/>
        <w:b w:val="0"/>
        <w:bCs w:val="0"/>
        <w:i w:val="0"/>
        <w:iCs w:val="0"/>
        <w:spacing w:val="0"/>
        <w:sz w:val="32"/>
        <w:szCs w:val="32"/>
        <w:lang w:val="en-US" w:eastAsia="zh-CN" w:bidi="ar-SA"/>
      </w:rPr>
    </w:lvl>
    <w:lvl w:ilvl="2">
      <w:start w:val="0"/>
      <w:numFmt w:val="bullet"/>
      <w:isLgl w:val="false"/>
      <w:suff w:val="tab"/>
      <w:lvlText w:val="•"/>
      <w:lvlJc w:val="left"/>
      <w:pPr>
        <w:pStyle w:val="696"/>
        <w:ind w:left="1869" w:hanging="627"/>
      </w:pPr>
      <w:rPr>
        <w:lang w:val="en-US" w:eastAsia="zh-CN" w:bidi="ar-SA"/>
      </w:rPr>
    </w:lvl>
    <w:lvl w:ilvl="3">
      <w:start w:val="0"/>
      <w:numFmt w:val="bullet"/>
      <w:isLgl w:val="false"/>
      <w:suff w:val="tab"/>
      <w:lvlText w:val="•"/>
      <w:lvlJc w:val="left"/>
      <w:pPr>
        <w:pStyle w:val="696"/>
        <w:ind w:left="2743" w:hanging="627"/>
      </w:pPr>
      <w:rPr>
        <w:lang w:val="en-US" w:eastAsia="zh-CN" w:bidi="ar-SA"/>
      </w:rPr>
    </w:lvl>
    <w:lvl w:ilvl="4">
      <w:start w:val="0"/>
      <w:numFmt w:val="bullet"/>
      <w:isLgl w:val="false"/>
      <w:suff w:val="tab"/>
      <w:lvlText w:val="•"/>
      <w:lvlJc w:val="left"/>
      <w:pPr>
        <w:pStyle w:val="696"/>
        <w:ind w:left="3618" w:hanging="627"/>
      </w:pPr>
      <w:rPr>
        <w:lang w:val="en-US" w:eastAsia="zh-CN" w:bidi="ar-SA"/>
      </w:rPr>
    </w:lvl>
    <w:lvl w:ilvl="5">
      <w:start w:val="0"/>
      <w:numFmt w:val="bullet"/>
      <w:isLgl w:val="false"/>
      <w:suff w:val="tab"/>
      <w:lvlText w:val="•"/>
      <w:lvlJc w:val="left"/>
      <w:pPr>
        <w:pStyle w:val="696"/>
        <w:ind w:left="4493" w:hanging="627"/>
      </w:pPr>
      <w:rPr>
        <w:lang w:val="en-US" w:eastAsia="zh-CN" w:bidi="ar-SA"/>
      </w:rPr>
    </w:lvl>
    <w:lvl w:ilvl="6">
      <w:start w:val="0"/>
      <w:numFmt w:val="bullet"/>
      <w:isLgl w:val="false"/>
      <w:suff w:val="tab"/>
      <w:lvlText w:val="•"/>
      <w:lvlJc w:val="left"/>
      <w:pPr>
        <w:pStyle w:val="696"/>
        <w:ind w:left="5367" w:hanging="627"/>
      </w:pPr>
      <w:rPr>
        <w:lang w:val="en-US" w:eastAsia="zh-CN" w:bidi="ar-SA"/>
      </w:rPr>
    </w:lvl>
    <w:lvl w:ilvl="7">
      <w:start w:val="0"/>
      <w:numFmt w:val="bullet"/>
      <w:isLgl w:val="false"/>
      <w:suff w:val="tab"/>
      <w:lvlText w:val="•"/>
      <w:lvlJc w:val="left"/>
      <w:pPr>
        <w:pStyle w:val="696"/>
        <w:ind w:left="6242" w:hanging="627"/>
      </w:pPr>
      <w:rPr>
        <w:lang w:val="en-US" w:eastAsia="zh-CN" w:bidi="ar-SA"/>
      </w:rPr>
    </w:lvl>
    <w:lvl w:ilvl="8">
      <w:start w:val="0"/>
      <w:numFmt w:val="bullet"/>
      <w:isLgl w:val="false"/>
      <w:suff w:val="tab"/>
      <w:lvlText w:val="•"/>
      <w:lvlJc w:val="left"/>
      <w:pPr>
        <w:pStyle w:val="696"/>
        <w:ind w:left="7117" w:hanging="627"/>
      </w:pPr>
      <w:rPr>
        <w:lang w:val="en-US" w:eastAsia="zh-CN" w:bidi="ar-SA"/>
      </w:rPr>
    </w:lvl>
  </w:abstractNum>
  <w:abstractNum w:abstractNumId="14">
    <w:multiLevelType w:val="hybridMultilevel"/>
    <w:lvl w:ilvl="0">
      <w:start w:val="3"/>
      <w:numFmt w:val="decimal"/>
      <w:isLgl w:val="false"/>
      <w:suff w:val="tab"/>
      <w:lvlText w:val="%1"/>
      <w:lvlJc w:val="left"/>
      <w:pPr>
        <w:pStyle w:val="696"/>
        <w:ind w:left="1322" w:hanging="562"/>
      </w:pPr>
      <w:rPr>
        <w:lang w:val="en-US" w:eastAsia="zh-CN" w:bidi="ar-SA"/>
      </w:rPr>
    </w:lvl>
    <w:lvl w:ilvl="1">
      <w:start w:val="1"/>
      <w:numFmt w:val="decimal"/>
      <w:isLgl w:val="false"/>
      <w:suff w:val="tab"/>
      <w:lvlText w:val="%1.%2"/>
      <w:lvlJc w:val="left"/>
      <w:pPr>
        <w:pStyle w:val="696"/>
        <w:ind w:left="1322" w:hanging="562"/>
      </w:pPr>
      <w:rPr>
        <w:rFonts w:ascii="仿宋" w:hAnsi="仿宋" w:eastAsia="仿宋" w:cs="仿宋"/>
        <w:b w:val="0"/>
        <w:bCs w:val="0"/>
        <w:i w:val="0"/>
        <w:iCs w:val="0"/>
        <w:spacing w:val="0"/>
        <w:sz w:val="32"/>
        <w:szCs w:val="32"/>
        <w:lang w:val="en-US" w:eastAsia="zh-CN" w:bidi="ar-SA"/>
      </w:rPr>
    </w:lvl>
    <w:lvl w:ilvl="2">
      <w:start w:val="1"/>
      <w:numFmt w:val="decimal"/>
      <w:isLgl w:val="false"/>
      <w:suff w:val="tab"/>
      <w:lvlText w:val="%1.%2.%3"/>
      <w:lvlJc w:val="left"/>
      <w:pPr>
        <w:pStyle w:val="696"/>
        <w:ind w:left="120" w:hanging="960"/>
      </w:pPr>
      <w:rPr>
        <w:rFonts w:ascii="仿宋" w:hAnsi="仿宋" w:eastAsia="仿宋" w:cs="仿宋"/>
        <w:b w:val="0"/>
        <w:bCs w:val="0"/>
        <w:i w:val="0"/>
        <w:iCs w:val="0"/>
        <w:spacing w:val="-2"/>
        <w:sz w:val="32"/>
        <w:szCs w:val="32"/>
        <w:lang w:val="en-US" w:eastAsia="zh-CN" w:bidi="ar-SA"/>
      </w:rPr>
    </w:lvl>
    <w:lvl w:ilvl="3">
      <w:start w:val="0"/>
      <w:numFmt w:val="bullet"/>
      <w:isLgl w:val="false"/>
      <w:suff w:val="tab"/>
      <w:lvlText w:val="•"/>
      <w:lvlJc w:val="left"/>
      <w:pPr>
        <w:pStyle w:val="696"/>
        <w:ind w:left="2996" w:hanging="960"/>
      </w:pPr>
      <w:rPr>
        <w:lang w:val="en-US" w:eastAsia="zh-CN" w:bidi="ar-SA"/>
      </w:rPr>
    </w:lvl>
    <w:lvl w:ilvl="4">
      <w:start w:val="0"/>
      <w:numFmt w:val="bullet"/>
      <w:isLgl w:val="false"/>
      <w:suff w:val="tab"/>
      <w:lvlText w:val="•"/>
      <w:lvlJc w:val="left"/>
      <w:pPr>
        <w:pStyle w:val="696"/>
        <w:ind w:left="3835" w:hanging="960"/>
      </w:pPr>
      <w:rPr>
        <w:lang w:val="en-US" w:eastAsia="zh-CN" w:bidi="ar-SA"/>
      </w:rPr>
    </w:lvl>
    <w:lvl w:ilvl="5">
      <w:start w:val="0"/>
      <w:numFmt w:val="bullet"/>
      <w:isLgl w:val="false"/>
      <w:suff w:val="tab"/>
      <w:lvlText w:val="•"/>
      <w:lvlJc w:val="left"/>
      <w:pPr>
        <w:pStyle w:val="696"/>
        <w:ind w:left="4673" w:hanging="960"/>
      </w:pPr>
      <w:rPr>
        <w:lang w:val="en-US" w:eastAsia="zh-CN" w:bidi="ar-SA"/>
      </w:rPr>
    </w:lvl>
    <w:lvl w:ilvl="6">
      <w:start w:val="0"/>
      <w:numFmt w:val="bullet"/>
      <w:isLgl w:val="false"/>
      <w:suff w:val="tab"/>
      <w:lvlText w:val="•"/>
      <w:lvlJc w:val="left"/>
      <w:pPr>
        <w:pStyle w:val="696"/>
        <w:ind w:left="5512" w:hanging="960"/>
      </w:pPr>
      <w:rPr>
        <w:lang w:val="en-US" w:eastAsia="zh-CN" w:bidi="ar-SA"/>
      </w:rPr>
    </w:lvl>
    <w:lvl w:ilvl="7">
      <w:start w:val="0"/>
      <w:numFmt w:val="bullet"/>
      <w:isLgl w:val="false"/>
      <w:suff w:val="tab"/>
      <w:lvlText w:val="•"/>
      <w:lvlJc w:val="left"/>
      <w:pPr>
        <w:pStyle w:val="696"/>
        <w:ind w:left="6350" w:hanging="960"/>
      </w:pPr>
      <w:rPr>
        <w:lang w:val="en-US" w:eastAsia="zh-CN" w:bidi="ar-SA"/>
      </w:rPr>
    </w:lvl>
    <w:lvl w:ilvl="8">
      <w:start w:val="0"/>
      <w:numFmt w:val="bullet"/>
      <w:isLgl w:val="false"/>
      <w:suff w:val="tab"/>
      <w:lvlText w:val="•"/>
      <w:lvlJc w:val="left"/>
      <w:pPr>
        <w:pStyle w:val="696"/>
        <w:ind w:left="7189" w:hanging="960"/>
      </w:pPr>
      <w:rPr>
        <w:lang w:val="en-US" w:eastAsia="zh-CN" w:bidi="ar-SA"/>
      </w:rPr>
    </w:lvl>
  </w:abstractNum>
  <w:num w:numId="1">
    <w:abstractNumId w:val="9"/>
  </w:num>
  <w:num w:numId="2">
    <w:abstractNumId w:val="12"/>
  </w:num>
  <w:num w:numId="3">
    <w:abstractNumId w:val="5"/>
  </w:num>
  <w:num w:numId="4">
    <w:abstractNumId w:val="2"/>
  </w:num>
  <w:num w:numId="5">
    <w:abstractNumId w:val="1"/>
  </w:num>
  <w:num w:numId="6">
    <w:abstractNumId w:val="4"/>
  </w:num>
  <w:num w:numId="7">
    <w:abstractNumId w:val="3"/>
  </w:num>
  <w:num w:numId="8">
    <w:abstractNumId w:val="14"/>
  </w:num>
  <w:num w:numId="9">
    <w:abstractNumId w:val="7"/>
  </w:num>
  <w:num w:numId="10">
    <w:abstractNumId w:val="13"/>
  </w:num>
  <w:num w:numId="11">
    <w:abstractNumId w:val="6"/>
  </w:num>
  <w:num w:numId="12">
    <w:abstractNumId w:val="11"/>
  </w:num>
  <w:num w:numId="13">
    <w:abstractNumId w:val="10"/>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6"/>
    <w:next w:val="6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6"/>
    <w:next w:val="69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6"/>
    <w:next w:val="69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6"/>
    <w:next w:val="6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6"/>
    <w:next w:val="6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6"/>
    <w:next w:val="6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6"/>
    <w:next w:val="6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6"/>
    <w:next w:val="6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6"/>
    <w:next w:val="6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6"/>
    <w:next w:val="69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6"/>
    <w:next w:val="69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6"/>
    <w:next w:val="696"/>
    <w:link w:val="38"/>
    <w:uiPriority w:val="29"/>
    <w:qFormat/>
    <w:pPr>
      <w:ind w:left="720" w:right="720"/>
    </w:pPr>
    <w:rPr>
      <w:i/>
    </w:rPr>
  </w:style>
  <w:style w:type="character" w:styleId="38">
    <w:name w:val="Quote Char"/>
    <w:link w:val="37"/>
    <w:uiPriority w:val="29"/>
    <w:rPr>
      <w:i/>
    </w:rPr>
  </w:style>
  <w:style w:type="paragraph" w:styleId="39">
    <w:name w:val="Intense Quote"/>
    <w:basedOn w:val="696"/>
    <w:next w:val="6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6"/>
    <w:next w:val="69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6"/>
    <w:next w:val="696"/>
    <w:uiPriority w:val="39"/>
    <w:unhideWhenUsed/>
    <w:pPr>
      <w:ind w:left="0" w:right="0" w:firstLine="0"/>
      <w:spacing w:after="57"/>
    </w:pPr>
  </w:style>
  <w:style w:type="paragraph" w:styleId="181">
    <w:name w:val="toc 2"/>
    <w:basedOn w:val="696"/>
    <w:next w:val="696"/>
    <w:uiPriority w:val="39"/>
    <w:unhideWhenUsed/>
    <w:pPr>
      <w:ind w:left="283" w:right="0" w:firstLine="0"/>
      <w:spacing w:after="57"/>
    </w:pPr>
  </w:style>
  <w:style w:type="paragraph" w:styleId="182">
    <w:name w:val="toc 3"/>
    <w:basedOn w:val="696"/>
    <w:next w:val="696"/>
    <w:uiPriority w:val="39"/>
    <w:unhideWhenUsed/>
    <w:pPr>
      <w:ind w:left="567" w:right="0" w:firstLine="0"/>
      <w:spacing w:after="57"/>
    </w:pPr>
  </w:style>
  <w:style w:type="paragraph" w:styleId="183">
    <w:name w:val="toc 4"/>
    <w:basedOn w:val="696"/>
    <w:next w:val="696"/>
    <w:uiPriority w:val="39"/>
    <w:unhideWhenUsed/>
    <w:pPr>
      <w:ind w:left="850" w:right="0" w:firstLine="0"/>
      <w:spacing w:after="57"/>
    </w:pPr>
  </w:style>
  <w:style w:type="paragraph" w:styleId="184">
    <w:name w:val="toc 5"/>
    <w:basedOn w:val="696"/>
    <w:next w:val="696"/>
    <w:uiPriority w:val="39"/>
    <w:unhideWhenUsed/>
    <w:pPr>
      <w:ind w:left="1134" w:right="0" w:firstLine="0"/>
      <w:spacing w:after="57"/>
    </w:pPr>
  </w:style>
  <w:style w:type="paragraph" w:styleId="185">
    <w:name w:val="toc 6"/>
    <w:basedOn w:val="696"/>
    <w:next w:val="696"/>
    <w:uiPriority w:val="39"/>
    <w:unhideWhenUsed/>
    <w:pPr>
      <w:ind w:left="1417" w:right="0" w:firstLine="0"/>
      <w:spacing w:after="57"/>
    </w:pPr>
  </w:style>
  <w:style w:type="paragraph" w:styleId="186">
    <w:name w:val="toc 7"/>
    <w:basedOn w:val="696"/>
    <w:next w:val="696"/>
    <w:uiPriority w:val="39"/>
    <w:unhideWhenUsed/>
    <w:pPr>
      <w:ind w:left="1701" w:right="0" w:firstLine="0"/>
      <w:spacing w:after="57"/>
    </w:pPr>
  </w:style>
  <w:style w:type="paragraph" w:styleId="187">
    <w:name w:val="toc 8"/>
    <w:basedOn w:val="696"/>
    <w:next w:val="696"/>
    <w:uiPriority w:val="39"/>
    <w:unhideWhenUsed/>
    <w:pPr>
      <w:ind w:left="1984" w:right="0" w:firstLine="0"/>
      <w:spacing w:after="57"/>
    </w:pPr>
  </w:style>
  <w:style w:type="paragraph" w:styleId="188">
    <w:name w:val="toc 9"/>
    <w:basedOn w:val="696"/>
    <w:next w:val="6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6"/>
    <w:next w:val="696"/>
    <w:uiPriority w:val="99"/>
    <w:unhideWhenUsed/>
    <w:pPr>
      <w:spacing w:after="0" w:afterAutospacing="0"/>
    </w:pPr>
  </w:style>
  <w:style w:type="paragraph" w:styleId="696" w:default="1">
    <w:name w:val="Normal"/>
    <w:next w:val="696"/>
    <w:link w:val="696"/>
    <w:qFormat/>
    <w:pPr>
      <w:jc w:val="both"/>
      <w:widowControl w:val="off"/>
    </w:pPr>
    <w:rPr>
      <w:sz w:val="21"/>
      <w:szCs w:val="24"/>
      <w:lang w:val="en-US" w:eastAsia="zh-CN" w:bidi="ar-SA"/>
    </w:rPr>
  </w:style>
  <w:style w:type="paragraph" w:styleId="697">
    <w:name w:val="标题 1"/>
    <w:basedOn w:val="696"/>
    <w:next w:val="696"/>
    <w:link w:val="696"/>
    <w:uiPriority w:val="9"/>
    <w:qFormat/>
    <w:pPr>
      <w:keepLines/>
      <w:keepNext/>
      <w:spacing w:before="340" w:after="330" w:line="578" w:lineRule="auto"/>
      <w:outlineLvl w:val="0"/>
    </w:pPr>
    <w:rPr>
      <w:b/>
      <w:bCs/>
      <w:sz w:val="44"/>
      <w:szCs w:val="44"/>
    </w:rPr>
  </w:style>
  <w:style w:type="paragraph" w:styleId="698">
    <w:name w:val="标题 2"/>
    <w:basedOn w:val="696"/>
    <w:next w:val="704"/>
    <w:link w:val="696"/>
    <w:uiPriority w:val="9"/>
    <w:qFormat/>
    <w:pPr>
      <w:keepLines/>
      <w:keepNext/>
      <w:spacing w:before="260" w:after="260" w:line="413" w:lineRule="auto"/>
      <w:outlineLvl w:val="1"/>
    </w:pPr>
    <w:rPr>
      <w:rFonts w:ascii="Arial" w:hAnsi="Arial" w:eastAsia="黑体"/>
      <w:b/>
      <w:sz w:val="32"/>
      <w:szCs w:val="20"/>
    </w:rPr>
  </w:style>
  <w:style w:type="paragraph" w:styleId="699">
    <w:name w:val="标题 3"/>
    <w:basedOn w:val="696"/>
    <w:next w:val="696"/>
    <w:link w:val="696"/>
    <w:uiPriority w:val="9"/>
    <w:qFormat/>
    <w:pPr>
      <w:keepLines/>
      <w:keepNext/>
      <w:spacing w:before="260" w:after="260" w:line="413" w:lineRule="auto"/>
      <w:outlineLvl w:val="2"/>
    </w:pPr>
    <w:rPr>
      <w:rFonts w:ascii="Arial" w:hAnsi="Arial"/>
      <w:b/>
      <w:sz w:val="32"/>
      <w:szCs w:val="20"/>
    </w:rPr>
  </w:style>
  <w:style w:type="paragraph" w:styleId="700">
    <w:name w:val="标题 4"/>
    <w:basedOn w:val="696"/>
    <w:next w:val="696"/>
    <w:link w:val="706"/>
    <w:uiPriority w:val="9"/>
    <w:qFormat/>
    <w:pPr>
      <w:keepLines/>
      <w:keepNext/>
      <w:spacing w:before="280" w:after="290" w:line="376" w:lineRule="auto"/>
      <w:outlineLvl w:val="3"/>
    </w:pPr>
    <w:rPr>
      <w:rFonts w:ascii="Cambria" w:hAnsi="Cambria"/>
      <w:b/>
      <w:bCs/>
      <w:sz w:val="28"/>
      <w:szCs w:val="28"/>
    </w:rPr>
  </w:style>
  <w:style w:type="paragraph" w:styleId="701">
    <w:name w:val="标题 5"/>
    <w:basedOn w:val="696"/>
    <w:next w:val="696"/>
    <w:link w:val="707"/>
    <w:uiPriority w:val="9"/>
    <w:qFormat/>
    <w:pPr>
      <w:keepLines/>
      <w:keepNext/>
      <w:spacing w:before="280" w:after="290" w:line="376" w:lineRule="auto"/>
      <w:outlineLvl w:val="4"/>
    </w:pPr>
    <w:rPr>
      <w:b/>
      <w:bCs/>
      <w:sz w:val="28"/>
      <w:szCs w:val="28"/>
    </w:rPr>
  </w:style>
  <w:style w:type="character" w:styleId="702">
    <w:name w:val="默认段落字体"/>
    <w:next w:val="702"/>
    <w:link w:val="696"/>
    <w:semiHidden/>
  </w:style>
  <w:style w:type="table" w:styleId="703">
    <w:name w:val="普通表格"/>
    <w:next w:val="703"/>
    <w:link w:val="696"/>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704">
    <w:name w:val="正文缩进"/>
    <w:basedOn w:val="696"/>
    <w:next w:val="704"/>
    <w:link w:val="705"/>
    <w:pPr>
      <w:ind w:firstLine="420"/>
    </w:pPr>
    <w:rPr>
      <w:szCs w:val="20"/>
    </w:rPr>
  </w:style>
  <w:style w:type="character" w:styleId="705">
    <w:name w:val="正文缩进 Char"/>
    <w:next w:val="705"/>
    <w:link w:val="704"/>
    <w:rPr>
      <w:sz w:val="21"/>
    </w:rPr>
  </w:style>
  <w:style w:type="character" w:styleId="706">
    <w:name w:val="标题 4 Char"/>
    <w:next w:val="706"/>
    <w:link w:val="700"/>
    <w:uiPriority w:val="9"/>
    <w:rPr>
      <w:rFonts w:ascii="Cambria" w:hAnsi="Cambria"/>
      <w:b/>
      <w:bCs/>
      <w:sz w:val="28"/>
      <w:szCs w:val="28"/>
    </w:rPr>
  </w:style>
  <w:style w:type="character" w:styleId="707">
    <w:name w:val="标题 5 Char"/>
    <w:next w:val="707"/>
    <w:link w:val="701"/>
    <w:uiPriority w:val="9"/>
    <w:rPr>
      <w:b/>
      <w:bCs/>
      <w:sz w:val="28"/>
      <w:szCs w:val="28"/>
    </w:rPr>
  </w:style>
  <w:style w:type="paragraph" w:styleId="708">
    <w:name w:val="题注"/>
    <w:basedOn w:val="696"/>
    <w:next w:val="696"/>
    <w:link w:val="696"/>
    <w:uiPriority w:val="35"/>
    <w:qFormat/>
    <w:pPr>
      <w:jc w:val="center"/>
      <w:spacing w:before="156" w:after="156" w:line="360" w:lineRule="auto"/>
    </w:pPr>
    <w:rPr>
      <w:rFonts w:ascii="Arial" w:hAnsi="Arial" w:cs="Arial"/>
      <w:sz w:val="24"/>
      <w:szCs w:val="20"/>
    </w:rPr>
  </w:style>
  <w:style w:type="paragraph" w:styleId="709">
    <w:name w:val="文档结构图"/>
    <w:basedOn w:val="696"/>
    <w:next w:val="709"/>
    <w:link w:val="696"/>
    <w:semiHidden/>
    <w:pPr>
      <w:shd w:val="clear" w:color="auto" w:fill="000080"/>
    </w:pPr>
  </w:style>
  <w:style w:type="paragraph" w:styleId="710">
    <w:name w:val="批注文字"/>
    <w:basedOn w:val="696"/>
    <w:next w:val="710"/>
    <w:link w:val="711"/>
    <w:uiPriority w:val="99"/>
    <w:unhideWhenUsed/>
    <w:pPr>
      <w:jc w:val="left"/>
    </w:pPr>
  </w:style>
  <w:style w:type="character" w:styleId="711">
    <w:name w:val="批注文字 Char"/>
    <w:next w:val="711"/>
    <w:link w:val="710"/>
    <w:uiPriority w:val="99"/>
    <w:rPr>
      <w:sz w:val="21"/>
      <w:szCs w:val="24"/>
    </w:rPr>
  </w:style>
  <w:style w:type="paragraph" w:styleId="712">
    <w:name w:val="正文文本 3"/>
    <w:basedOn w:val="696"/>
    <w:next w:val="712"/>
    <w:link w:val="696"/>
    <w:rPr>
      <w:rFonts w:ascii="楷体_GB2312" w:hAnsi="Arial" w:eastAsia="楷体_GB2312" w:cs="Arial"/>
      <w:b/>
      <w:bCs/>
      <w:color w:val="000000"/>
      <w:sz w:val="24"/>
    </w:rPr>
  </w:style>
  <w:style w:type="paragraph" w:styleId="713">
    <w:name w:val="正文文本"/>
    <w:basedOn w:val="696"/>
    <w:next w:val="713"/>
    <w:link w:val="696"/>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4">
    <w:name w:val="正文文本缩进"/>
    <w:basedOn w:val="696"/>
    <w:next w:val="714"/>
    <w:link w:val="696"/>
    <w:pPr>
      <w:ind w:firstLine="630"/>
    </w:pPr>
    <w:rPr>
      <w:rFonts w:ascii="楷体_GB2312" w:eastAsia="楷体_GB2312"/>
      <w:sz w:val="32"/>
      <w:szCs w:val="20"/>
    </w:rPr>
  </w:style>
  <w:style w:type="paragraph" w:styleId="715">
    <w:name w:val="文本块"/>
    <w:basedOn w:val="696"/>
    <w:next w:val="715"/>
    <w:link w:val="696"/>
    <w:pPr>
      <w:ind w:left="420" w:right="33"/>
      <w:jc w:val="left"/>
    </w:pPr>
    <w:rPr>
      <w:sz w:val="24"/>
      <w:szCs w:val="20"/>
    </w:rPr>
  </w:style>
  <w:style w:type="paragraph" w:styleId="716">
    <w:name w:val="目录 3"/>
    <w:basedOn w:val="696"/>
    <w:next w:val="696"/>
    <w:link w:val="696"/>
    <w:semiHidden/>
    <w:pPr>
      <w:ind w:left="840"/>
      <w:spacing w:line="300" w:lineRule="auto"/>
      <w:tabs>
        <w:tab w:val="right" w:pos="9344" w:leader="dot"/>
      </w:tabs>
    </w:pPr>
    <w:rPr>
      <w:rFonts w:ascii="Arial" w:hAnsi="Arial" w:cs="Arial"/>
      <w:szCs w:val="21"/>
    </w:rPr>
  </w:style>
  <w:style w:type="paragraph" w:styleId="717">
    <w:name w:val="纯文本"/>
    <w:basedOn w:val="696"/>
    <w:next w:val="719"/>
    <w:link w:val="718"/>
    <w:rPr>
      <w:rFonts w:ascii="宋体" w:hAnsi="Courier New"/>
      <w:szCs w:val="20"/>
    </w:rPr>
  </w:style>
  <w:style w:type="character" w:styleId="718">
    <w:name w:val="纯文本 Char"/>
    <w:next w:val="718"/>
    <w:link w:val="717"/>
    <w:rPr>
      <w:rFonts w:ascii="宋体" w:hAnsi="Courier New" w:eastAsia="宋体"/>
      <w:sz w:val="21"/>
      <w:lang w:val="en-US" w:eastAsia="zh-CN" w:bidi="ar-SA"/>
    </w:rPr>
  </w:style>
  <w:style w:type="paragraph" w:styleId="719">
    <w:name w:val="Char Char Char Char Char Char Char Char Char Char Char Char Char"/>
    <w:basedOn w:val="696"/>
    <w:next w:val="719"/>
    <w:link w:val="696"/>
    <w:qFormat/>
    <w:pPr>
      <w:jc w:val="left"/>
      <w:spacing w:after="160" w:line="240" w:lineRule="exact"/>
      <w:widowControl/>
    </w:pPr>
    <w:rPr>
      <w:rFonts w:ascii="Verdana" w:hAnsi="Verdana"/>
      <w:sz w:val="20"/>
      <w:szCs w:val="20"/>
      <w:lang w:eastAsia="en-US"/>
    </w:rPr>
  </w:style>
  <w:style w:type="paragraph" w:styleId="720">
    <w:name w:val="正文文本缩进 2"/>
    <w:basedOn w:val="696"/>
    <w:next w:val="720"/>
    <w:link w:val="696"/>
    <w:pPr>
      <w:ind w:left="420"/>
      <w:spacing w:after="120" w:line="480" w:lineRule="auto"/>
    </w:pPr>
  </w:style>
  <w:style w:type="paragraph" w:styleId="721">
    <w:name w:val="批注框文本"/>
    <w:basedOn w:val="696"/>
    <w:next w:val="721"/>
    <w:link w:val="722"/>
    <w:rPr>
      <w:sz w:val="18"/>
      <w:szCs w:val="18"/>
    </w:rPr>
  </w:style>
  <w:style w:type="character" w:styleId="722">
    <w:name w:val="批注框文本 Char"/>
    <w:next w:val="722"/>
    <w:link w:val="721"/>
    <w:rPr>
      <w:sz w:val="18"/>
      <w:szCs w:val="18"/>
    </w:rPr>
  </w:style>
  <w:style w:type="paragraph" w:styleId="723">
    <w:name w:val="页脚"/>
    <w:basedOn w:val="696"/>
    <w:next w:val="723"/>
    <w:link w:val="724"/>
    <w:pPr>
      <w:jc w:val="left"/>
      <w:tabs>
        <w:tab w:val="center" w:pos="4153" w:leader="none"/>
        <w:tab w:val="right" w:pos="8306" w:leader="none"/>
      </w:tabs>
    </w:pPr>
    <w:rPr>
      <w:sz w:val="18"/>
      <w:szCs w:val="18"/>
    </w:rPr>
  </w:style>
  <w:style w:type="character" w:styleId="724">
    <w:name w:val="页脚 Char"/>
    <w:next w:val="724"/>
    <w:link w:val="723"/>
    <w:rPr>
      <w:sz w:val="18"/>
      <w:szCs w:val="18"/>
    </w:rPr>
  </w:style>
  <w:style w:type="paragraph" w:styleId="725">
    <w:name w:val="页眉"/>
    <w:basedOn w:val="696"/>
    <w:next w:val="725"/>
    <w:link w:val="726"/>
    <w:pPr>
      <w:jc w:val="center"/>
      <w:tabs>
        <w:tab w:val="center" w:pos="4153" w:leader="none"/>
        <w:tab w:val="right" w:pos="8306" w:leader="none"/>
      </w:tabs>
      <w:pBdr>
        <w:bottom w:val="single" w:color="000000" w:sz="6" w:space="1"/>
      </w:pBdr>
    </w:pPr>
    <w:rPr>
      <w:sz w:val="18"/>
      <w:szCs w:val="18"/>
    </w:rPr>
  </w:style>
  <w:style w:type="character" w:styleId="726">
    <w:name w:val="页眉 Char"/>
    <w:next w:val="726"/>
    <w:link w:val="725"/>
    <w:rPr>
      <w:sz w:val="18"/>
      <w:szCs w:val="18"/>
    </w:rPr>
  </w:style>
  <w:style w:type="paragraph" w:styleId="727">
    <w:name w:val="目录 1"/>
    <w:basedOn w:val="696"/>
    <w:next w:val="696"/>
    <w:link w:val="696"/>
    <w:semiHidden/>
  </w:style>
  <w:style w:type="paragraph" w:styleId="728">
    <w:name w:val="正文文本缩进 3"/>
    <w:basedOn w:val="696"/>
    <w:next w:val="728"/>
    <w:link w:val="696"/>
    <w:uiPriority w:val="99"/>
    <w:pPr>
      <w:ind w:firstLine="420"/>
    </w:pPr>
    <w:rPr>
      <w:rFonts w:eastAsia="楷体_GB2312"/>
    </w:rPr>
  </w:style>
  <w:style w:type="paragraph" w:styleId="729">
    <w:name w:val="目录 2"/>
    <w:basedOn w:val="696"/>
    <w:next w:val="696"/>
    <w:link w:val="696"/>
    <w:semiHidden/>
    <w:pPr>
      <w:ind w:left="420"/>
    </w:pPr>
    <w:rPr>
      <w:szCs w:val="20"/>
    </w:rPr>
  </w:style>
  <w:style w:type="paragraph" w:styleId="730">
    <w:name w:val="正文文本 2"/>
    <w:basedOn w:val="696"/>
    <w:next w:val="730"/>
    <w:link w:val="731"/>
    <w:pPr>
      <w:spacing w:line="440" w:lineRule="exact"/>
    </w:pPr>
    <w:rPr>
      <w:rFonts w:ascii="楷体_GB2312" w:eastAsia="楷体_GB2312"/>
      <w:sz w:val="28"/>
    </w:rPr>
  </w:style>
  <w:style w:type="character" w:styleId="731">
    <w:name w:val="正文文本 2 Char"/>
    <w:next w:val="731"/>
    <w:link w:val="730"/>
    <w:rPr>
      <w:rFonts w:ascii="楷体_GB2312" w:eastAsia="楷体_GB2312"/>
      <w:sz w:val="28"/>
      <w:szCs w:val="24"/>
    </w:rPr>
  </w:style>
  <w:style w:type="paragraph" w:styleId="732">
    <w:name w:val="批注主题"/>
    <w:basedOn w:val="710"/>
    <w:next w:val="710"/>
    <w:link w:val="733"/>
    <w:rPr>
      <w:b/>
      <w:bCs/>
    </w:rPr>
  </w:style>
  <w:style w:type="character" w:styleId="733">
    <w:name w:val="批注主题 Char"/>
    <w:next w:val="733"/>
    <w:link w:val="732"/>
    <w:rPr>
      <w:b/>
      <w:bCs/>
      <w:sz w:val="21"/>
      <w:szCs w:val="24"/>
    </w:rPr>
  </w:style>
  <w:style w:type="paragraph" w:styleId="734">
    <w:name w:val="正文首行缩进 2"/>
    <w:basedOn w:val="714"/>
    <w:next w:val="734"/>
    <w:link w:val="696"/>
    <w:pPr>
      <w:ind w:left="420" w:firstLine="420"/>
      <w:spacing w:after="120"/>
      <w:widowControl/>
    </w:pPr>
    <w:rPr>
      <w:rFonts w:ascii="仿宋_GB2312" w:eastAsia="仿宋_GB2312"/>
      <w:color w:val="ff6600"/>
      <w:sz w:val="21"/>
    </w:rPr>
  </w:style>
  <w:style w:type="table" w:styleId="735">
    <w:name w:val="网格型"/>
    <w:basedOn w:val="703"/>
    <w:next w:val="735"/>
    <w:link w:val="696"/>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36">
    <w:name w:val="要点"/>
    <w:next w:val="736"/>
    <w:link w:val="696"/>
    <w:qFormat/>
    <w:rPr>
      <w:b w:val="0"/>
      <w:i w:val="0"/>
    </w:rPr>
  </w:style>
  <w:style w:type="character" w:styleId="737">
    <w:name w:val="页码"/>
    <w:next w:val="737"/>
    <w:link w:val="696"/>
  </w:style>
  <w:style w:type="character" w:styleId="738">
    <w:name w:val="已访问的超链接"/>
    <w:next w:val="738"/>
    <w:link w:val="696"/>
    <w:rPr>
      <w:color w:val="800080"/>
      <w:u w:val="none"/>
    </w:rPr>
  </w:style>
  <w:style w:type="character" w:styleId="739">
    <w:name w:val="强调"/>
    <w:next w:val="739"/>
    <w:link w:val="696"/>
    <w:qFormat/>
    <w:rPr>
      <w:b w:val="0"/>
      <w:i w:val="0"/>
    </w:rPr>
  </w:style>
  <w:style w:type="character" w:styleId="740">
    <w:name w:val="HTML 定义"/>
    <w:next w:val="740"/>
    <w:link w:val="696"/>
    <w:rPr>
      <w:b w:val="0"/>
      <w:i w:val="0"/>
    </w:rPr>
  </w:style>
  <w:style w:type="character" w:styleId="741">
    <w:name w:val="HTML 打字机"/>
    <w:next w:val="741"/>
    <w:link w:val="696"/>
    <w:rPr>
      <w:rFonts w:ascii="monospace" w:hAnsi="monospace" w:eastAsia="monospace" w:cs="monospace"/>
      <w:sz w:val="20"/>
    </w:rPr>
  </w:style>
  <w:style w:type="character" w:styleId="742">
    <w:name w:val="HTML 缩写"/>
    <w:next w:val="742"/>
    <w:link w:val="696"/>
  </w:style>
  <w:style w:type="character" w:styleId="743">
    <w:name w:val="HTML 变量"/>
    <w:next w:val="743"/>
    <w:link w:val="696"/>
    <w:rPr>
      <w:b w:val="0"/>
      <w:i w:val="0"/>
    </w:rPr>
  </w:style>
  <w:style w:type="character" w:styleId="744">
    <w:name w:val="超链接"/>
    <w:next w:val="744"/>
    <w:link w:val="696"/>
    <w:rPr>
      <w:color w:val="0000ff"/>
      <w:u w:val="none"/>
    </w:rPr>
  </w:style>
  <w:style w:type="character" w:styleId="745">
    <w:name w:val="HTML 代码"/>
    <w:next w:val="745"/>
    <w:link w:val="696"/>
    <w:rPr>
      <w:rFonts w:ascii="monospace" w:hAnsi="monospace" w:eastAsia="monospace" w:cs="monospace"/>
      <w:b w:val="0"/>
      <w:i w:val="0"/>
      <w:sz w:val="20"/>
    </w:rPr>
  </w:style>
  <w:style w:type="character" w:styleId="746">
    <w:name w:val="批注引用"/>
    <w:next w:val="746"/>
    <w:link w:val="696"/>
    <w:rPr>
      <w:sz w:val="21"/>
      <w:szCs w:val="21"/>
    </w:rPr>
  </w:style>
  <w:style w:type="character" w:styleId="747">
    <w:name w:val="HTML 引文"/>
    <w:next w:val="747"/>
    <w:link w:val="696"/>
    <w:rPr>
      <w:b w:val="0"/>
      <w:i w:val="0"/>
    </w:rPr>
  </w:style>
  <w:style w:type="character" w:styleId="748">
    <w:name w:val="HTML 键盘"/>
    <w:next w:val="748"/>
    <w:link w:val="696"/>
    <w:rPr>
      <w:rFonts w:ascii="monospace" w:hAnsi="monospace" w:eastAsia="monospace" w:cs="monospace"/>
      <w:sz w:val="20"/>
    </w:rPr>
  </w:style>
  <w:style w:type="character" w:styleId="749">
    <w:name w:val="HTML 样本"/>
    <w:next w:val="749"/>
    <w:link w:val="696"/>
    <w:rPr>
      <w:rFonts w:ascii="monospace" w:hAnsi="monospace" w:eastAsia="monospace" w:cs="monospace"/>
    </w:rPr>
  </w:style>
  <w:style w:type="character" w:styleId="750">
    <w:name w:val="Font Style30"/>
    <w:next w:val="750"/>
    <w:link w:val="696"/>
    <w:rPr>
      <w:rFonts w:ascii="宋体" w:eastAsia="宋体" w:cs="宋体"/>
      <w:sz w:val="14"/>
      <w:szCs w:val="14"/>
    </w:rPr>
  </w:style>
  <w:style w:type="character" w:styleId="751">
    <w:name w:val="glyphicon"/>
    <w:next w:val="751"/>
    <w:link w:val="696"/>
  </w:style>
  <w:style w:type="character" w:styleId="752">
    <w:name w:val="Font Style36"/>
    <w:next w:val="752"/>
    <w:link w:val="696"/>
    <w:rPr>
      <w:rFonts w:ascii="宋体" w:eastAsia="宋体" w:cs="宋体"/>
      <w:sz w:val="16"/>
      <w:szCs w:val="16"/>
    </w:rPr>
  </w:style>
  <w:style w:type="character" w:styleId="753">
    <w:name w:val="hour_am"/>
    <w:next w:val="753"/>
    <w:link w:val="696"/>
  </w:style>
  <w:style w:type="character" w:styleId="754">
    <w:name w:val="old"/>
    <w:next w:val="754"/>
    <w:link w:val="696"/>
    <w:rPr>
      <w:color w:val="999999"/>
    </w:rPr>
  </w:style>
  <w:style w:type="character" w:styleId="755">
    <w:name w:val="标题 2 Char,节 Char,Heading 2 Hidden Char,Heading 2 CCBS Char,H2 Char,sect 1.2 Char,H21 Char,sect 1.21 Char,H22 Char,sect 1.22 Char,H211 Char,sect 1.211 Char,H23 Char,sect 1.23 Char,H212 Char,sect 1.212 Char,2nd level Char,h2 Char,2 Char,Header 2 Char"/>
    <w:next w:val="755"/>
    <w:link w:val="696"/>
    <w:rPr>
      <w:rFonts w:ascii="Arial" w:hAnsi="Arial" w:eastAsia="黑体"/>
      <w:b/>
      <w:sz w:val="32"/>
      <w:lang w:val="en-US" w:eastAsia="zh-CN"/>
    </w:rPr>
  </w:style>
  <w:style w:type="character" w:styleId="756">
    <w:name w:val="hover"/>
    <w:next w:val="756"/>
    <w:link w:val="696"/>
    <w:rPr>
      <w:shd w:val="clear" w:color="auto" w:fill="eeeeee"/>
    </w:rPr>
  </w:style>
  <w:style w:type="character" w:styleId="757">
    <w:name w:val="hour_pm"/>
    <w:next w:val="757"/>
    <w:link w:val="696"/>
  </w:style>
  <w:style w:type="character" w:styleId="758">
    <w:name w:val="Font Style28"/>
    <w:next w:val="758"/>
    <w:link w:val="696"/>
    <w:rPr>
      <w:rFonts w:ascii="Constantia" w:hAnsi="Constantia" w:cs="Constantia"/>
      <w:sz w:val="28"/>
      <w:szCs w:val="28"/>
    </w:rPr>
  </w:style>
  <w:style w:type="character" w:styleId="759">
    <w:name w:val="Font Style29"/>
    <w:next w:val="759"/>
    <w:link w:val="696"/>
    <w:rPr>
      <w:rFonts w:ascii="Arial" w:hAnsi="Arial" w:cs="Arial"/>
      <w:sz w:val="14"/>
      <w:szCs w:val="14"/>
    </w:rPr>
  </w:style>
  <w:style w:type="character" w:styleId="760">
    <w:name w:val="Font Style37"/>
    <w:next w:val="760"/>
    <w:link w:val="696"/>
    <w:rPr>
      <w:rFonts w:ascii="Arial" w:hAnsi="Arial" w:cs="Arial"/>
      <w:sz w:val="16"/>
      <w:szCs w:val="16"/>
    </w:rPr>
  </w:style>
  <w:style w:type="character" w:styleId="761">
    <w:name w:val="Plain Text Char"/>
    <w:next w:val="761"/>
    <w:link w:val="696"/>
    <w:rPr>
      <w:rFonts w:ascii="宋体" w:hAnsi="Courier New" w:eastAsia="宋体"/>
      <w:sz w:val="21"/>
      <w:lang w:val="en-US" w:eastAsia="zh-CN" w:bidi="ar-SA"/>
    </w:rPr>
  </w:style>
  <w:style w:type="paragraph" w:styleId="762">
    <w:name w:val="Default"/>
    <w:next w:val="762"/>
    <w:link w:val="696"/>
    <w:pPr>
      <w:widowControl w:val="off"/>
    </w:pPr>
    <w:rPr>
      <w:rFonts w:ascii="仿宋" w:eastAsia="仿宋" w:cs="仿宋"/>
      <w:color w:val="000000"/>
      <w:sz w:val="24"/>
      <w:szCs w:val="24"/>
      <w:lang w:val="en-US" w:eastAsia="zh-CN" w:bidi="ar-SA"/>
    </w:rPr>
  </w:style>
  <w:style w:type="paragraph" w:styleId="763">
    <w:name w:val="默认段落字体 Para Char Char Char Char Char Char Char Char Char1 Char Char Char Char Char Char Char"/>
    <w:basedOn w:val="709"/>
    <w:next w:val="763"/>
    <w:link w:val="696"/>
    <w:rPr>
      <w:rFonts w:ascii="Tahoma" w:hAnsi="Tahoma"/>
      <w:sz w:val="24"/>
    </w:rPr>
  </w:style>
  <w:style w:type="paragraph" w:styleId="764">
    <w:name w:val="Style9"/>
    <w:basedOn w:val="696"/>
    <w:next w:val="764"/>
    <w:link w:val="696"/>
    <w:pPr>
      <w:jc w:val="left"/>
    </w:pPr>
    <w:rPr>
      <w:rFonts w:ascii="宋体"/>
      <w:sz w:val="24"/>
    </w:rPr>
  </w:style>
  <w:style w:type="paragraph" w:styleId="765">
    <w:name w:val="Char"/>
    <w:basedOn w:val="696"/>
    <w:next w:val="765"/>
    <w:link w:val="696"/>
    <w:pPr>
      <w:tabs>
        <w:tab w:val="left" w:pos="360" w:leader="none"/>
      </w:tabs>
    </w:pPr>
    <w:rPr>
      <w:sz w:val="24"/>
    </w:rPr>
  </w:style>
  <w:style w:type="paragraph" w:styleId="766">
    <w:name w:val=" Char Char Char1 Char Char Char Char"/>
    <w:basedOn w:val="696"/>
    <w:next w:val="766"/>
    <w:link w:val="696"/>
    <w:pPr>
      <w:jc w:val="left"/>
      <w:spacing w:after="160" w:line="240" w:lineRule="exact"/>
      <w:widowControl/>
    </w:pPr>
    <w:rPr>
      <w:rFonts w:ascii="宋体" w:hAnsi="宋体"/>
      <w:b/>
      <w:sz w:val="28"/>
      <w:szCs w:val="28"/>
    </w:rPr>
  </w:style>
  <w:style w:type="paragraph" w:styleId="767">
    <w:name w:val="Style10"/>
    <w:basedOn w:val="696"/>
    <w:next w:val="767"/>
    <w:link w:val="696"/>
    <w:pPr>
      <w:jc w:val="left"/>
    </w:pPr>
    <w:rPr>
      <w:rFonts w:ascii="宋体"/>
      <w:sz w:val="24"/>
    </w:rPr>
  </w:style>
  <w:style w:type="paragraph" w:styleId="768">
    <w:name w:val="首行缩进"/>
    <w:basedOn w:val="696"/>
    <w:next w:val="768"/>
    <w:link w:val="696"/>
    <w:qFormat/>
    <w:pPr>
      <w:ind w:firstLine="420"/>
      <w:spacing w:line="360" w:lineRule="auto"/>
    </w:pPr>
    <w:rPr>
      <w:sz w:val="20"/>
    </w:rPr>
  </w:style>
  <w:style w:type="paragraph" w:styleId="769">
    <w:name w:val="普通正文"/>
    <w:basedOn w:val="696"/>
    <w:next w:val="769"/>
    <w:link w:val="696"/>
    <w:pPr>
      <w:ind w:firstLine="480"/>
      <w:jc w:val="left"/>
      <w:spacing w:before="120" w:after="120" w:line="360" w:lineRule="auto"/>
    </w:pPr>
    <w:rPr>
      <w:rFonts w:ascii="Arial" w:hAnsi="Arial"/>
      <w:sz w:val="24"/>
    </w:rPr>
  </w:style>
  <w:style w:type="paragraph" w:styleId="770">
    <w:name w:val="要点标题"/>
    <w:basedOn w:val="696"/>
    <w:next w:val="770"/>
    <w:link w:val="696"/>
    <w:pPr>
      <w:numPr>
        <w:ilvl w:val="0"/>
        <w:numId w:val="1"/>
      </w:numPr>
      <w:jc w:val="left"/>
      <w:tabs>
        <w:tab w:val="left" w:pos="420" w:leader="none"/>
      </w:tabs>
    </w:pPr>
    <w:rPr>
      <w:rFonts w:ascii="宋体" w:hAnsi="宋体"/>
      <w:b/>
      <w:sz w:val="24"/>
    </w:rPr>
  </w:style>
  <w:style w:type="paragraph" w:styleId="771">
    <w:name w:val="文档正文"/>
    <w:basedOn w:val="696"/>
    <w:next w:val="771"/>
    <w:link w:val="696"/>
    <w:pPr>
      <w:ind w:firstLine="567"/>
      <w:spacing w:line="480" w:lineRule="atLeast"/>
    </w:pPr>
    <w:rPr>
      <w:rFonts w:ascii="仿宋_GB2312"/>
      <w:szCs w:val="20"/>
    </w:rPr>
  </w:style>
  <w:style w:type="paragraph" w:styleId="772">
    <w:name w:val="Char Char Char Char"/>
    <w:basedOn w:val="709"/>
    <w:next w:val="772"/>
    <w:link w:val="696"/>
    <w:pPr>
      <w:spacing w:line="360" w:lineRule="auto"/>
    </w:pPr>
    <w:rPr>
      <w:rFonts w:ascii="Tahoma" w:hAnsi="Tahoma"/>
      <w:sz w:val="24"/>
    </w:rPr>
  </w:style>
  <w:style w:type="paragraph" w:styleId="773">
    <w:name w:val=" Char"/>
    <w:basedOn w:val="696"/>
    <w:next w:val="773"/>
    <w:link w:val="696"/>
    <w:pPr>
      <w:ind w:left="420" w:hanging="420"/>
      <w:jc w:val="left"/>
      <w:tabs>
        <w:tab w:val="left" w:pos="420" w:leader="none"/>
      </w:tabs>
    </w:pPr>
    <w:rPr>
      <w:szCs w:val="20"/>
    </w:rPr>
  </w:style>
  <w:style w:type="paragraph" w:styleId="774">
    <w:name w:val="正文（无缩进）"/>
    <w:basedOn w:val="696"/>
    <w:next w:val="774"/>
    <w:link w:val="696"/>
    <w:qFormat/>
    <w:pPr>
      <w:spacing w:line="360" w:lineRule="auto"/>
    </w:pPr>
    <w:rPr>
      <w:rFonts w:ascii="Calibri" w:hAnsi="Calibri"/>
      <w:sz w:val="24"/>
      <w:szCs w:val="21"/>
    </w:rPr>
  </w:style>
  <w:style w:type="paragraph" w:styleId="775">
    <w:name w:val="Style11"/>
    <w:basedOn w:val="696"/>
    <w:next w:val="775"/>
    <w:link w:val="696"/>
    <w:pPr>
      <w:jc w:val="left"/>
      <w:spacing w:line="446" w:lineRule="exact"/>
    </w:pPr>
    <w:rPr>
      <w:rFonts w:ascii="宋体"/>
      <w:sz w:val="24"/>
    </w:rPr>
  </w:style>
  <w:style w:type="paragraph" w:styleId="776">
    <w:name w:val="样式1"/>
    <w:basedOn w:val="696"/>
    <w:next w:val="776"/>
    <w:link w:val="696"/>
    <w:pPr>
      <w:numPr>
        <w:ilvl w:val="0"/>
        <w:numId w:val="2"/>
      </w:numPr>
      <w:tabs>
        <w:tab w:val="left" w:pos="1110" w:leader="none"/>
      </w:tabs>
    </w:pPr>
    <w:rPr>
      <w:rFonts w:ascii="宋体" w:hAnsi="宋体"/>
      <w:szCs w:val="21"/>
    </w:rPr>
  </w:style>
  <w:style w:type="paragraph" w:styleId="777">
    <w:name w:val="_Style 56"/>
    <w:basedOn w:val="709"/>
    <w:next w:val="777"/>
    <w:link w:val="696"/>
    <w:pPr>
      <w:spacing w:line="436" w:lineRule="exact"/>
    </w:pPr>
    <w:rPr>
      <w:szCs w:val="20"/>
    </w:rPr>
  </w:style>
  <w:style w:type="paragraph" w:styleId="778">
    <w:name w:val="Char Char1 Char Char Char Char Char Char"/>
    <w:basedOn w:val="696"/>
    <w:next w:val="778"/>
    <w:link w:val="696"/>
    <w:pPr>
      <w:jc w:val="center"/>
      <w:widowControl/>
    </w:pPr>
    <w:rPr>
      <w:rFonts w:ascii="宋体" w:hAnsi="宋体"/>
      <w:b/>
      <w:sz w:val="24"/>
      <w:lang w:eastAsia="en-US"/>
    </w:rPr>
  </w:style>
  <w:style w:type="paragraph" w:styleId="779">
    <w:name w:val="Char1"/>
    <w:basedOn w:val="696"/>
    <w:next w:val="779"/>
    <w:link w:val="696"/>
    <w:pPr>
      <w:ind w:left="840" w:hanging="420"/>
      <w:tabs>
        <w:tab w:val="left" w:pos="840" w:leader="none"/>
      </w:tabs>
    </w:pPr>
    <w:rPr>
      <w:sz w:val="24"/>
    </w:rPr>
  </w:style>
  <w:style w:type="paragraph" w:styleId="780">
    <w:name w:val="我的样式"/>
    <w:basedOn w:val="697"/>
    <w:next w:val="696"/>
    <w:link w:val="696"/>
    <w:pPr>
      <w:numPr>
        <w:ilvl w:val="0"/>
        <w:numId w:val="3"/>
      </w:numPr>
      <w:spacing w:line="360" w:lineRule="auto"/>
    </w:pPr>
    <w:rPr>
      <w:rFonts w:ascii="仿宋_GB2312" w:eastAsia="仿宋_GB2312"/>
      <w:sz w:val="32"/>
      <w:szCs w:val="30"/>
    </w:rPr>
  </w:style>
  <w:style w:type="paragraph" w:styleId="781">
    <w:name w:val="表格正文"/>
    <w:next w:val="781"/>
    <w:link w:val="696"/>
    <w:pPr>
      <w:spacing w:line="0" w:lineRule="atLeast"/>
    </w:pPr>
    <w:rPr>
      <w:sz w:val="24"/>
      <w:szCs w:val="24"/>
      <w:lang w:val="en-US" w:eastAsia="zh-CN" w:bidi="he-IL"/>
    </w:rPr>
  </w:style>
  <w:style w:type="paragraph" w:styleId="782">
    <w:name w:val=" Char Char Char Char Char Char Char Char Char Char Char Char Char"/>
    <w:basedOn w:val="696"/>
    <w:next w:val="782"/>
    <w:link w:val="696"/>
    <w:pPr>
      <w:jc w:val="left"/>
      <w:spacing w:after="160" w:line="240" w:lineRule="exact"/>
      <w:widowControl/>
    </w:pPr>
    <w:rPr>
      <w:rFonts w:ascii="Verdana" w:hAnsi="Verdana"/>
      <w:sz w:val="20"/>
      <w:szCs w:val="20"/>
      <w:lang w:eastAsia="en-US"/>
    </w:rPr>
  </w:style>
  <w:style w:type="paragraph" w:styleId="783">
    <w:name w:val="标题1"/>
    <w:basedOn w:val="697"/>
    <w:next w:val="696"/>
    <w:link w:val="696"/>
    <w:pPr>
      <w:numPr>
        <w:ilvl w:val="0"/>
        <w:numId w:val="2"/>
      </w:numPr>
      <w:jc w:val="left"/>
      <w:spacing w:line="578" w:lineRule="atLeast"/>
    </w:pPr>
  </w:style>
  <w:style w:type="paragraph" w:styleId="784">
    <w:name w:val="正文（缩进） Char1"/>
    <w:basedOn w:val="696"/>
    <w:next w:val="784"/>
    <w:link w:val="696"/>
    <w:pPr>
      <w:ind w:firstLine="480"/>
      <w:spacing w:before="156" w:after="156" w:line="360" w:lineRule="auto"/>
    </w:pPr>
    <w:rPr>
      <w:sz w:val="24"/>
    </w:rPr>
  </w:style>
  <w:style w:type="paragraph" w:styleId="785">
    <w:name w:val="修订"/>
    <w:next w:val="785"/>
    <w:link w:val="696"/>
    <w:uiPriority w:val="99"/>
    <w:semiHidden/>
    <w:rPr>
      <w:sz w:val="21"/>
      <w:szCs w:val="24"/>
      <w:lang w:val="en-US" w:eastAsia="zh-CN" w:bidi="ar-SA"/>
    </w:rPr>
  </w:style>
  <w:style w:type="paragraph" w:styleId="786">
    <w:name w:val="Style12"/>
    <w:basedOn w:val="696"/>
    <w:next w:val="786"/>
    <w:link w:val="696"/>
    <w:pPr>
      <w:jc w:val="left"/>
    </w:pPr>
    <w:rPr>
      <w:rFonts w:ascii="宋体"/>
      <w:sz w:val="24"/>
    </w:rPr>
  </w:style>
  <w:style w:type="character" w:styleId="7249" w:default="1">
    <w:name w:val="Default Paragraph Font"/>
    <w:uiPriority w:val="1"/>
    <w:semiHidden/>
    <w:unhideWhenUsed/>
  </w:style>
  <w:style w:type="numbering" w:styleId="7250" w:default="1">
    <w:name w:val="No List"/>
    <w:uiPriority w:val="99"/>
    <w:semiHidden/>
    <w:unhideWhenUsed/>
  </w:style>
  <w:style w:type="table" w:styleId="72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顾诗仪</cp:lastModifiedBy>
  <cp:revision>3</cp:revision>
  <dcterms:created xsi:type="dcterms:W3CDTF">2024-01-08T08:47:00Z</dcterms:created>
  <dcterms:modified xsi:type="dcterms:W3CDTF">2026-10-15T02:05:53Z</dcterms:modified>
</cp:coreProperties>
</file>