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ind w:firstLine="0"/>
        <w:rPr>
          <w:rFonts w:eastAsia="黑体"/>
          <w:b/>
          <w:bCs/>
          <w:sz w:val="84"/>
        </w:rPr>
      </w:pPr>
      <w:r>
        <w:rPr>
          <w:rFonts w:hint="eastAsia" w:eastAsia="黑体"/>
          <w:b/>
          <w:bCs/>
          <w:sz w:val="84"/>
        </w:rPr>
        <w:t xml:space="preserve"> </w:t>
      </w:r>
      <w:r/>
    </w:p>
    <w:p>
      <w:pPr>
        <w:pStyle w:val="865"/>
        <w:ind w:firstLine="0"/>
        <w:jc w:val="center"/>
        <w:rPr>
          <w:rFonts w:eastAsia="黑体"/>
          <w:b/>
          <w:bCs/>
          <w:sz w:val="84"/>
        </w:rPr>
      </w:pPr>
      <w:r>
        <w:rPr>
          <w:rFonts w:hint="eastAsia" w:eastAsia="黑体"/>
          <w:b/>
          <w:bCs/>
          <w:sz w:val="84"/>
        </w:rPr>
        <w:t xml:space="preserve">招　标　文　件</w:t>
      </w:r>
      <w:r/>
    </w:p>
    <w:p>
      <w:pPr>
        <w:pStyle w:val="865"/>
        <w:ind w:firstLine="0"/>
        <w:rPr>
          <w:b/>
          <w:bCs/>
          <w:sz w:val="32"/>
        </w:rPr>
      </w:pPr>
      <w:r>
        <w:rPr>
          <w:b/>
          <w:bCs/>
          <w:sz w:val="32"/>
        </w:rPr>
      </w:r>
      <w:r/>
    </w:p>
    <w:p>
      <w:pPr>
        <w:pStyle w:val="865"/>
        <w:ind w:firstLine="0"/>
        <w:jc w:val="center"/>
        <w:rPr>
          <w:b/>
          <w:bCs/>
          <w:sz w:val="32"/>
        </w:rPr>
      </w:pPr>
      <w:r>
        <w:rPr>
          <w:rFonts w:hint="eastAsia"/>
          <w:b/>
          <w:bCs/>
          <w:sz w:val="32"/>
        </w:rPr>
        <w:t xml:space="preserve">项目名称：江苏省水利厅及直属单位信息采集电路、互联网宽带租赁服务</w:t>
      </w:r>
      <w:r/>
    </w:p>
    <w:p>
      <w:pPr>
        <w:jc w:val="center"/>
        <w:rPr>
          <w:b/>
          <w:sz w:val="30"/>
          <w:szCs w:val="30"/>
        </w:rPr>
      </w:pPr>
      <w:r>
        <w:rPr>
          <w:rFonts w:hint="eastAsia"/>
          <w:b/>
          <w:bCs/>
          <w:sz w:val="32"/>
        </w:rPr>
        <w:t xml:space="preserve">采购编号：</w:t>
      </w:r>
      <w:r>
        <w:rPr>
          <w:rFonts w:ascii="Arial" w:hAnsi="Arial"/>
          <w:b/>
          <w:bCs/>
          <w:sz w:val="32"/>
          <w:szCs w:val="24"/>
        </w:rPr>
        <w:t xml:space="preserve">JSZC-320000-SCZX-</w:t>
      </w:r>
      <w:r>
        <w:rPr>
          <w:rFonts w:hint="eastAsia" w:ascii="Arial" w:hAnsi="Arial"/>
          <w:b/>
          <w:bCs/>
          <w:sz w:val="32"/>
          <w:szCs w:val="24"/>
        </w:rPr>
        <w:t xml:space="preserve">G2026-0446</w:t>
      </w:r>
      <w:r/>
    </w:p>
    <w:p>
      <w:pPr>
        <w:ind w:left="2811" w:hanging="2811"/>
        <w:jc w:val="center"/>
        <w:rPr>
          <w:b/>
          <w:sz w:val="28"/>
          <w:szCs w:val="28"/>
        </w:rPr>
      </w:pPr>
      <w:r>
        <w:rPr>
          <w:b/>
          <w:sz w:val="28"/>
          <w:szCs w:val="28"/>
        </w:rPr>
      </w:r>
      <w:r/>
    </w:p>
    <w:p>
      <w:pPr>
        <w:pStyle w:val="865"/>
        <w:ind w:firstLine="0"/>
        <w:spacing w:before="0" w:after="0"/>
        <w:rPr>
          <w:rFonts w:hint="eastAsia" w:ascii="宋体" w:hAnsi="宋体"/>
        </w:rPr>
      </w:pPr>
      <w:r>
        <w:rPr>
          <w:rFonts w:hint="eastAsia" w:ascii="宋体" w:hAnsi="宋体"/>
        </w:rPr>
      </w:r>
      <w:r/>
    </w:p>
    <w:p>
      <w:pPr>
        <w:pStyle w:val="865"/>
        <w:ind w:firstLine="0"/>
        <w:spacing w:before="0" w:after="0"/>
        <w:rPr>
          <w:rFonts w:hint="eastAsia" w:ascii="宋体" w:hAnsi="宋体"/>
        </w:rPr>
      </w:pPr>
      <w:r>
        <w:rPr>
          <w:rFonts w:hint="eastAsia" w:ascii="宋体" w:hAnsi="宋体"/>
        </w:rPr>
      </w:r>
      <w:r/>
    </w:p>
    <w:p>
      <w:pPr>
        <w:pStyle w:val="865"/>
        <w:ind w:firstLine="0"/>
        <w:spacing w:before="0" w:after="0"/>
        <w:rPr>
          <w:rFonts w:hint="eastAsia" w:ascii="宋体" w:hAnsi="宋体"/>
        </w:rPr>
      </w:pPr>
      <w:r>
        <w:rPr>
          <w:rFonts w:hint="eastAsia" w:ascii="宋体" w:hAnsi="宋体"/>
        </w:rPr>
      </w:r>
      <w:r/>
    </w:p>
    <w:p>
      <w:pPr>
        <w:pStyle w:val="865"/>
        <w:ind w:firstLine="0"/>
        <w:spacing w:before="0" w:after="0"/>
        <w:rPr>
          <w:rFonts w:hint="eastAsia" w:ascii="宋体" w:hAnsi="宋体"/>
        </w:rPr>
      </w:pPr>
      <w:r>
        <w:rPr>
          <w:rFonts w:hint="eastAsia" w:ascii="宋体" w:hAnsi="宋体"/>
        </w:rPr>
      </w:r>
      <w:r/>
    </w:p>
    <w:p>
      <w:pPr>
        <w:pStyle w:val="865"/>
        <w:ind w:firstLine="0"/>
        <w:spacing w:before="0" w:after="0"/>
        <w:rPr>
          <w:rFonts w:hint="eastAsia" w:ascii="宋体" w:hAnsi="宋体"/>
        </w:rPr>
      </w:pPr>
      <w:r>
        <w:rPr>
          <w:rFonts w:hint="eastAsia" w:ascii="宋体" w:hAnsi="宋体"/>
        </w:rPr>
      </w:r>
      <w:r/>
    </w:p>
    <w:p>
      <w:pPr>
        <w:pStyle w:val="865"/>
        <w:ind w:firstLine="0"/>
        <w:spacing w:before="0" w:after="0"/>
        <w:rPr>
          <w:rFonts w:hint="eastAsia" w:ascii="宋体" w:hAnsi="宋体"/>
        </w:rPr>
      </w:pPr>
      <w:r>
        <w:rPr>
          <w:rFonts w:hint="eastAsia" w:ascii="宋体" w:hAnsi="宋体"/>
        </w:rPr>
      </w:r>
      <w:r/>
    </w:p>
    <w:p>
      <w:pPr>
        <w:pStyle w:val="865"/>
        <w:ind w:firstLine="0"/>
        <w:spacing w:before="0" w:after="0"/>
        <w:rPr>
          <w:rFonts w:hint="eastAsia" w:ascii="宋体" w:hAnsi="宋体"/>
        </w:rPr>
      </w:pPr>
      <w:r>
        <w:rPr>
          <w:rFonts w:hint="eastAsia" w:ascii="宋体" w:hAnsi="宋体"/>
        </w:rPr>
      </w:r>
      <w:r/>
    </w:p>
    <w:p>
      <w:pPr>
        <w:pStyle w:val="865"/>
        <w:ind w:firstLine="0"/>
        <w:jc w:val="center"/>
        <w:rPr>
          <w:b/>
          <w:bCs/>
          <w:sz w:val="32"/>
        </w:rPr>
      </w:pPr>
      <w:r>
        <w:rPr>
          <w:rFonts w:hint="eastAsia"/>
          <w:b/>
          <w:bCs/>
          <w:sz w:val="32"/>
        </w:rPr>
        <w:t xml:space="preserve">江苏省政府采购中心</w:t>
      </w:r>
      <w:r/>
    </w:p>
    <w:p>
      <w:pPr>
        <w:pStyle w:val="865"/>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9</w:t>
      </w:r>
      <w:r>
        <w:rPr>
          <w:rFonts w:hint="eastAsia"/>
          <w:b/>
          <w:bCs/>
          <w:sz w:val="32"/>
        </w:rPr>
        <w:t xml:space="preserve">月</w:t>
      </w:r>
      <w:r/>
    </w:p>
    <w:p>
      <w:pPr>
        <w:pStyle w:val="865"/>
        <w:ind w:firstLine="0"/>
        <w:rPr>
          <w:u w:val="single"/>
        </w:rPr>
      </w:pPr>
      <w:r>
        <w:rPr>
          <w:rFonts w:hint="eastAsia"/>
        </w:rPr>
        <w:t xml:space="preserve">                        </w:t>
      </w:r>
      <w:r/>
    </w:p>
    <w:p>
      <w:pPr>
        <w:pStyle w:val="865"/>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rPr>
        <w:t xml:space="preserve"> </w:t>
      </w:r>
      <w:bookmarkStart w:id="6" w:name="_Toc239690739"/>
      <w:r>
        <w:rPr>
          <w:rFonts w:hint="eastAsia" w:ascii="黑体" w:hAnsi="Arial" w:eastAsia="黑体"/>
          <w:b/>
          <w:sz w:val="44"/>
        </w:rPr>
        <w:t xml:space="preserve">总  目  录</w:t>
      </w:r>
      <w:bookmarkEnd w:id="6"/>
      <w:r/>
      <w:r/>
    </w:p>
    <w:p>
      <w:pPr>
        <w:pStyle w:val="733"/>
        <w:tabs>
          <w:tab w:val="right" w:pos="8943" w:leader="dot"/>
        </w:tabs>
        <w:rPr>
          <w:rFonts w:asciiTheme="minorHAnsi" w:hAnsiTheme="minorHAnsi" w:eastAsiaTheme="minorEastAsia" w:cstheme="minorBidi"/>
          <w:sz w:val="22"/>
          <w:szCs w:val="24"/>
          <w14:ligatures w14:val="standardContextual"/>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_Toc239690739 \h</w:instrText>
      </w:r>
      <w:r>
        <w:rPr>
          <w:rFonts w:hint="eastAsia"/>
        </w:rPr>
        <w:instrText xml:space="preserve"> </w:instrText>
      </w:r>
      <w:r>
        <w:rPr>
          <w:rFonts w:hint="eastAsia"/>
        </w:rPr>
        <w:fldChar w:fldCharType="separate"/>
      </w:r>
      <w:r>
        <w:t xml:space="preserve">2</w:t>
      </w:r>
      <w:r>
        <w:rPr>
          <w:rFonts w:hint="eastAsia"/>
        </w:rPr>
        <w:fldChar w:fldCharType="end"/>
      </w:r>
      <w:r/>
    </w:p>
    <w:p>
      <w:pPr>
        <w:pStyle w:val="733"/>
        <w:tabs>
          <w:tab w:val="right" w:pos="8943" w:leader="dot"/>
        </w:tabs>
        <w:rPr>
          <w:rFonts w:asciiTheme="minorHAnsi" w:hAnsiTheme="minorHAnsi" w:eastAsiaTheme="minorEastAsia" w:cstheme="minorBidi"/>
          <w:sz w:val="22"/>
          <w:szCs w:val="24"/>
          <w14:ligatures w14:val="standardContextual"/>
        </w:rPr>
      </w:pPr>
      <w:r>
        <w:rPr>
          <w:rFonts w:hint="eastAsia" w:ascii="黑体"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_Toc239690740 \h</w:instrText>
      </w:r>
      <w:r>
        <w:rPr>
          <w:rFonts w:hint="eastAsia"/>
        </w:rPr>
        <w:instrText xml:space="preserve"> </w:instrText>
      </w:r>
      <w:r>
        <w:rPr>
          <w:rFonts w:hint="eastAsia"/>
        </w:rPr>
        <w:fldChar w:fldCharType="separate"/>
      </w:r>
      <w:r>
        <w:t xml:space="preserve">3</w:t>
      </w:r>
      <w:r>
        <w:rPr>
          <w:rFonts w:hint="eastAsia"/>
        </w:rPr>
        <w:fldChar w:fldCharType="end"/>
      </w:r>
      <w:r/>
    </w:p>
    <w:p>
      <w:pPr>
        <w:pStyle w:val="733"/>
        <w:tabs>
          <w:tab w:val="right" w:pos="8943" w:leader="dot"/>
        </w:tabs>
        <w:rPr>
          <w:rFonts w:asciiTheme="minorHAnsi" w:hAnsiTheme="minorHAnsi" w:eastAsiaTheme="minorEastAsia" w:cstheme="minorBidi"/>
          <w:sz w:val="22"/>
          <w:szCs w:val="24"/>
          <w14:ligatures w14:val="standardContextual"/>
        </w:rPr>
      </w:pPr>
      <w:r>
        <w:rPr>
          <w:rFonts w:hint="eastAsia" w:ascii="黑体"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_Toc239690741 \h</w:instrText>
      </w:r>
      <w:r>
        <w:rPr>
          <w:rFonts w:hint="eastAsia"/>
        </w:rPr>
        <w:instrText xml:space="preserve"> </w:instrText>
      </w:r>
      <w:r>
        <w:rPr>
          <w:rFonts w:hint="eastAsia"/>
        </w:rPr>
        <w:fldChar w:fldCharType="separate"/>
      </w:r>
      <w:r>
        <w:t xml:space="preserve">6</w:t>
      </w:r>
      <w:r>
        <w:rPr>
          <w:rFonts w:hint="eastAsia"/>
        </w:rPr>
        <w:fldChar w:fldCharType="end"/>
      </w:r>
      <w:r/>
    </w:p>
    <w:p>
      <w:pPr>
        <w:pStyle w:val="733"/>
        <w:tabs>
          <w:tab w:val="right" w:pos="8943" w:leader="dot"/>
        </w:tabs>
        <w:rPr>
          <w:rFonts w:asciiTheme="minorHAnsi" w:hAnsiTheme="minorHAnsi" w:eastAsiaTheme="minorEastAsia" w:cstheme="minorBidi"/>
          <w:sz w:val="22"/>
          <w:szCs w:val="24"/>
          <w14:ligatures w14:val="standardContextual"/>
        </w:rPr>
      </w:pPr>
      <w:r>
        <w:rPr>
          <w:rFonts w:hint="eastAsia" w:ascii="黑体" w:eastAsia="黑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_Toc239690742 \h</w:instrText>
      </w:r>
      <w:r>
        <w:rPr>
          <w:rFonts w:hint="eastAsia"/>
        </w:rPr>
        <w:instrText xml:space="preserve"> </w:instrText>
      </w:r>
      <w:r>
        <w:rPr>
          <w:rFonts w:hint="eastAsia"/>
        </w:rPr>
        <w:fldChar w:fldCharType="separate"/>
      </w:r>
      <w:r>
        <w:t xml:space="preserve">16</w:t>
      </w:r>
      <w:r>
        <w:rPr>
          <w:rFonts w:hint="eastAsia"/>
        </w:rPr>
        <w:fldChar w:fldCharType="end"/>
      </w:r>
      <w:r/>
    </w:p>
    <w:p>
      <w:pPr>
        <w:pStyle w:val="733"/>
        <w:tabs>
          <w:tab w:val="right" w:pos="8943" w:leader="dot"/>
        </w:tabs>
        <w:rPr>
          <w:rFonts w:asciiTheme="minorHAnsi" w:hAnsiTheme="minorHAnsi" w:eastAsiaTheme="minorEastAsia" w:cstheme="minorBidi"/>
          <w:sz w:val="22"/>
          <w:szCs w:val="24"/>
          <w14:ligatures w14:val="standardContextual"/>
        </w:rPr>
      </w:pPr>
      <w:r>
        <w:rPr>
          <w:rFonts w:hint="eastAsia" w:ascii="宋体" w:hAnsi="宋体"/>
          <w:b/>
        </w:rPr>
        <w:t xml:space="preserve">江苏省政府采购合同（服务）（合同编号）</w:t>
      </w:r>
      <w:r>
        <w:rPr>
          <w:rFonts w:hint="eastAsia"/>
        </w:rPr>
        <w:tab/>
      </w:r>
      <w:r>
        <w:rPr>
          <w:rFonts w:hint="eastAsia"/>
        </w:rPr>
        <w:fldChar w:fldCharType="begin"/>
      </w:r>
      <w:r>
        <w:rPr>
          <w:rFonts w:hint="eastAsia"/>
        </w:rPr>
        <w:instrText xml:space="preserve"> </w:instrText>
      </w:r>
      <w:r>
        <w:instrText xml:space="preserve">PAGEREF _Toc239690743 \h</w:instrText>
      </w:r>
      <w:r>
        <w:rPr>
          <w:rFonts w:hint="eastAsia"/>
        </w:rPr>
        <w:instrText xml:space="preserve"> </w:instrText>
      </w:r>
      <w:r>
        <w:rPr>
          <w:rFonts w:hint="eastAsia"/>
        </w:rPr>
        <w:fldChar w:fldCharType="separate"/>
      </w:r>
      <w:r>
        <w:t xml:space="preserve">16</w:t>
      </w:r>
      <w:r>
        <w:rPr>
          <w:rFonts w:hint="eastAsia"/>
        </w:rPr>
        <w:fldChar w:fldCharType="end"/>
      </w:r>
      <w:r/>
    </w:p>
    <w:p>
      <w:pPr>
        <w:pStyle w:val="733"/>
        <w:tabs>
          <w:tab w:val="right" w:pos="8943" w:leader="dot"/>
        </w:tabs>
        <w:rPr>
          <w:rFonts w:asciiTheme="minorHAnsi" w:hAnsiTheme="minorHAnsi" w:eastAsiaTheme="minorEastAsia" w:cstheme="minorBidi"/>
          <w:sz w:val="22"/>
          <w:szCs w:val="24"/>
          <w14:ligatures w14:val="standardContextual"/>
        </w:rPr>
      </w:pPr>
      <w:r>
        <w:rPr>
          <w:rFonts w:hint="eastAsia"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_Toc239690744 \h</w:instrText>
      </w:r>
      <w:r>
        <w:rPr>
          <w:rFonts w:hint="eastAsia"/>
        </w:rPr>
        <w:instrText xml:space="preserve"> </w:instrText>
      </w:r>
      <w:r>
        <w:rPr>
          <w:rFonts w:hint="eastAsia"/>
        </w:rPr>
        <w:fldChar w:fldCharType="separate"/>
      </w:r>
      <w:r>
        <w:t xml:space="preserve">19</w:t>
      </w:r>
      <w:r>
        <w:rPr>
          <w:rFonts w:hint="eastAsia"/>
        </w:rPr>
        <w:fldChar w:fldCharType="end"/>
      </w:r>
      <w:r/>
    </w:p>
    <w:p>
      <w:pPr>
        <w:pStyle w:val="733"/>
        <w:tabs>
          <w:tab w:val="right" w:pos="8943" w:leader="dot"/>
        </w:tabs>
        <w:rPr>
          <w:rFonts w:asciiTheme="minorHAnsi" w:hAnsiTheme="minorHAnsi" w:eastAsiaTheme="minorEastAsia" w:cstheme="minorBidi"/>
          <w:sz w:val="22"/>
          <w:szCs w:val="24"/>
          <w14:ligatures w14:val="standardContextual"/>
        </w:rPr>
      </w:pPr>
      <w:r>
        <w:rPr>
          <w:rFonts w:hint="eastAsia" w:ascii="黑体" w:eastAsia="黑体"/>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_Toc239690745 \h</w:instrText>
      </w:r>
      <w:r>
        <w:rPr>
          <w:rFonts w:hint="eastAsia"/>
        </w:rPr>
        <w:instrText xml:space="preserve"> </w:instrText>
      </w:r>
      <w:r>
        <w:rPr>
          <w:rFonts w:hint="eastAsia"/>
        </w:rPr>
        <w:fldChar w:fldCharType="separate"/>
      </w:r>
      <w:r>
        <w:t xml:space="preserve">43</w:t>
      </w:r>
      <w:r>
        <w:rPr>
          <w:rFonts w:hint="eastAsia"/>
        </w:rPr>
        <w:fldChar w:fldCharType="end"/>
      </w:r>
      <w:r/>
    </w:p>
    <w:p>
      <w:pPr>
        <w:pStyle w:val="733"/>
        <w:tabs>
          <w:tab w:val="right" w:pos="8943" w:leader="dot"/>
        </w:tabs>
        <w:rPr>
          <w:rFonts w:asciiTheme="minorHAnsi" w:hAnsiTheme="minorHAnsi" w:eastAsiaTheme="minorEastAsia" w:cstheme="minorBidi"/>
          <w:sz w:val="22"/>
          <w:szCs w:val="24"/>
          <w14:ligatures w14:val="standardContextual"/>
        </w:rPr>
      </w:pPr>
      <w:r>
        <w:rPr>
          <w:rFonts w:hint="eastAsia" w:ascii="黑体"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_Toc239690746 \h</w:instrText>
      </w:r>
      <w:r>
        <w:rPr>
          <w:rFonts w:hint="eastAsia"/>
        </w:rPr>
        <w:instrText xml:space="preserve"> </w:instrText>
      </w:r>
      <w:r>
        <w:rPr>
          <w:rFonts w:hint="eastAsia"/>
        </w:rPr>
        <w:fldChar w:fldCharType="separate"/>
      </w:r>
      <w:r>
        <w:t xml:space="preserve">48</w:t>
      </w:r>
      <w:r>
        <w:rPr>
          <w:rFonts w:hint="eastAsia"/>
        </w:rPr>
        <w:fldChar w:fldCharType="end"/>
      </w:r>
      <w:r/>
    </w:p>
    <w:p>
      <w:r>
        <w:rPr>
          <w:rFonts w:hAnsi="宋体"/>
          <w:bCs/>
          <w:szCs w:val="36"/>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r w:type="page" w:clear="all"/>
      </w:r>
      <w:r/>
    </w:p>
    <w:p>
      <w:pPr>
        <w:pStyle w:val="701"/>
        <w:rPr>
          <w:rFonts w:ascii="黑体" w:eastAsia="黑体"/>
          <w:bCs/>
          <w:sz w:val="44"/>
          <w:szCs w:val="44"/>
        </w:rPr>
      </w:pPr>
      <w:r/>
      <w:bookmarkStart w:id="7" w:name="_Toc239690740"/>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
    </w:p>
    <w:p>
      <w:pPr>
        <w:ind w:firstLine="480"/>
        <w:spacing w:line="400" w:lineRule="exact"/>
        <w:rPr>
          <w:rFonts w:hint="eastAsia" w:ascii="宋体" w:hAnsi="宋体"/>
          <w:sz w:val="24"/>
          <w:szCs w:val="24"/>
        </w:rPr>
      </w:pPr>
      <w:r>
        <w:rPr>
          <w:rFonts w:hint="eastAsia" w:ascii="宋体" w:hAnsi="宋体"/>
          <w:sz w:val="24"/>
          <w:szCs w:val="24"/>
        </w:rPr>
        <w:t xml:space="preserve">受江苏省水文水资源勘测局委托，江苏省政府采购中心就江苏省水利厅及直属单位信息采集电路、互联网宽带租赁服务(JSZC-320000-SCZX-G2026-0446)项目进行公开招标采购，欢迎符合条件的供应商投标。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江苏省水利厅及直属单位信息采集电路、互联网宽带租赁服务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年10月13日09点30分（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03"/>
        <w:ind w:firstLine="498"/>
        <w:spacing w:before="145" w:after="145" w:line="400" w:lineRule="exact"/>
      </w:pPr>
      <w:r/>
      <w:bookmarkStart w:id="8" w:name="_Toc28359079"/>
      <w:r/>
      <w:bookmarkStart w:id="9" w:name="_Toc35393790"/>
      <w:r/>
      <w:bookmarkStart w:id="10" w:name="_Toc38985263"/>
      <w:r/>
      <w:bookmarkStart w:id="11" w:name="_Toc35393621"/>
      <w:r/>
      <w:bookmarkStart w:id="12" w:name="_Toc28359002"/>
      <w:r/>
      <w:bookmarkStart w:id="13" w:name="_Hlk24379207"/>
      <w:r>
        <w:rPr>
          <w:rFonts w:hint="eastAsia"/>
        </w:rPr>
        <w:t xml:space="preserve">一、项目基本情况</w:t>
      </w:r>
      <w:bookmarkEnd w:id="8"/>
      <w:r/>
      <w:bookmarkEnd w:id="9"/>
      <w:r/>
      <w:bookmarkEnd w:id="10"/>
      <w:r/>
      <w:bookmarkEnd w:id="11"/>
      <w:r/>
      <w:bookmarkEnd w:id="12"/>
      <w:r/>
      <w:r/>
    </w:p>
    <w:p>
      <w:pPr>
        <w:ind w:firstLine="480"/>
        <w:spacing w:line="400" w:lineRule="exact"/>
        <w:rPr>
          <w:rFonts w:hint="eastAsia" w:ascii="宋体" w:hAnsi="宋体"/>
          <w:sz w:val="24"/>
          <w:szCs w:val="24"/>
        </w:rPr>
      </w:pPr>
      <w:r>
        <w:rPr>
          <w:rFonts w:hint="eastAsia" w:ascii="宋体" w:hAnsi="宋体"/>
          <w:sz w:val="24"/>
          <w:szCs w:val="24"/>
        </w:rPr>
        <w:t xml:space="preserve">1.采购编号：JSZC-320000-SCZX-G2026-0446</w:t>
      </w:r>
      <w:r/>
    </w:p>
    <w:p>
      <w:pPr>
        <w:ind w:firstLine="480"/>
        <w:spacing w:line="400" w:lineRule="exact"/>
        <w:rPr>
          <w:rFonts w:hint="eastAsia" w:ascii="宋体" w:hAnsi="宋体"/>
          <w:sz w:val="24"/>
          <w:szCs w:val="24"/>
        </w:rPr>
      </w:pPr>
      <w:r>
        <w:rPr>
          <w:rFonts w:hint="eastAsia" w:ascii="宋体" w:hAnsi="宋体"/>
          <w:sz w:val="24"/>
          <w:szCs w:val="24"/>
        </w:rPr>
        <w:t xml:space="preserve">2.项目名称：江苏省水利厅及直属单位信息采集电路、互联网宽带租赁服务</w:t>
      </w:r>
      <w:bookmarkEnd w:id="13"/>
      <w:r/>
      <w:r/>
    </w:p>
    <w:p>
      <w:pPr>
        <w:ind w:firstLine="480"/>
        <w:spacing w:line="400" w:lineRule="exact"/>
        <w:rPr>
          <w:rFonts w:hint="eastAsia" w:ascii="宋体" w:hAnsi="宋体" w:cs="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采购包号</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rPr>
            </w:pPr>
            <w:r>
              <w:rPr>
                <w:rFonts w:hint="eastAsia" w:ascii="宋体" w:hAnsi="宋体"/>
              </w:rPr>
              <w:t xml:space="preserve">35</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rPr>
            </w:pPr>
            <w:r>
              <w:rPr>
                <w:rFonts w:hint="eastAsia" w:ascii="宋体" w:hAnsi="宋体"/>
              </w:rPr>
              <w:t xml:space="preserve">27</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rPr>
            </w:pPr>
            <w:r>
              <w:rPr>
                <w:rFonts w:hint="eastAsia" w:ascii="宋体" w:hAnsi="宋体"/>
              </w:rPr>
              <w:t xml:space="preserve">191</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052"/>
        <w:gridCol w:w="3883"/>
      </w:tblGrid>
      <w:tr>
        <w:trPr>
          <w:trHeight w:val="549"/>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采购包号</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是否设定最高限价（是/否）</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rPr>
              <w:t xml:space="preserve">35</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rPr>
              <w:t xml:space="preserve">27</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rPr>
              <w:t xml:space="preserve">191</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5.采购需求（简介）：</w:t>
      </w:r>
      <w:r>
        <w:rPr>
          <w:rFonts w:hint="eastAsia" w:ascii="宋体" w:hAnsi="宋体" w:cs="宋体"/>
          <w:sz w:val="24"/>
          <w:szCs w:val="24"/>
        </w:rPr>
        <w:t xml:space="preserve">采购省水利厅2条500M互联网宽带、省水利厅直属单位1000M互联网主备宽带，</w:t>
      </w:r>
      <w:r>
        <w:rPr>
          <w:rFonts w:ascii="宋体" w:hAnsi="宋体" w:cs="宋体"/>
          <w:sz w:val="24"/>
          <w:szCs w:val="24"/>
        </w:rPr>
        <w:t xml:space="preserve">省水利厅</w:t>
      </w:r>
      <w:r>
        <w:rPr>
          <w:rFonts w:hint="eastAsia" w:ascii="宋体" w:hAnsi="宋体" w:cs="宋体"/>
          <w:sz w:val="24"/>
          <w:szCs w:val="24"/>
        </w:rPr>
        <w:t xml:space="preserve">至至省水利勘测设计研究院有限公司、省水利防汛物资储备中心6个分中心等单位100M主备通信电路，省</w:t>
      </w:r>
      <w:r>
        <w:rPr>
          <w:rFonts w:ascii="宋体" w:hAnsi="宋体" w:cs="宋体"/>
          <w:sz w:val="24"/>
          <w:szCs w:val="24"/>
        </w:rPr>
        <w:t xml:space="preserve">水利厅至</w:t>
      </w:r>
      <w:r>
        <w:rPr>
          <w:rFonts w:hint="eastAsia" w:ascii="宋体" w:hAnsi="宋体" w:cs="宋体"/>
          <w:sz w:val="24"/>
          <w:szCs w:val="24"/>
        </w:rPr>
        <w:t xml:space="preserve">备份机房主备通信光缆，省水利厅厅属水利工程管理处至所属闸管所、水文分局至监测中心的455条100M MSTP电路的1年租赁使用权以及线路服务。（详细内容见本招标文件第四章）</w:t>
      </w:r>
      <w:r>
        <w:rPr>
          <w:rFonts w:hint="eastAsia" w:ascii="宋体" w:hAnsi="宋体" w:cs="宋体"/>
          <w:sz w:val="24"/>
          <w:szCs w:val="24"/>
          <w:lang w:bidi="ar"/>
        </w:rPr>
        <w:t xml:space="preserve">。</w:t>
      </w:r>
      <w:r/>
    </w:p>
    <w:p>
      <w:pPr>
        <w:ind w:firstLine="480"/>
        <w:spacing w:line="400" w:lineRule="exact"/>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lang w:bidi="ar"/>
        </w:rPr>
        <w:t xml:space="preserve">2027年1月1日-2027年12月31日</w:t>
      </w:r>
      <w:r>
        <w:rPr>
          <w:rFonts w:hint="eastAsia" w:ascii="宋体" w:hAnsi="宋体" w:cs="Times New Roman"/>
          <w:sz w:val="24"/>
          <w:szCs w:val="24"/>
          <w:lang w:bidi="ar"/>
        </w:rPr>
        <w:t xml:space="preserve">。</w:t>
      </w:r>
      <w:r/>
    </w:p>
    <w:p>
      <w:pPr>
        <w:pStyle w:val="703"/>
        <w:ind w:firstLine="498"/>
        <w:spacing w:before="145" w:after="145" w:line="400" w:lineRule="exact"/>
      </w:pPr>
      <w:r/>
      <w:bookmarkStart w:id="14" w:name="_Toc28359003"/>
      <w:r/>
      <w:bookmarkStart w:id="15" w:name="_Toc35393791"/>
      <w:r/>
      <w:bookmarkStart w:id="16" w:name="_Toc28359080"/>
      <w:r/>
      <w:bookmarkStart w:id="17" w:name="_Toc35393622"/>
      <w:r/>
      <w:bookmarkStart w:id="18" w:name="_Toc38985264"/>
      <w:r>
        <w:rPr>
          <w:rFonts w:hint="eastAsia"/>
        </w:rPr>
        <w:t xml:space="preserve">二、申请人的资格要求</w:t>
      </w:r>
      <w:bookmarkEnd w:id="14"/>
      <w:r/>
      <w:bookmarkEnd w:id="15"/>
      <w:r/>
      <w:bookmarkEnd w:id="16"/>
      <w:r/>
      <w:bookmarkEnd w:id="17"/>
      <w:r/>
      <w:bookmarkEnd w:id="18"/>
      <w:r/>
      <w:r/>
    </w:p>
    <w:p>
      <w:pPr>
        <w:ind w:firstLine="480"/>
        <w:spacing w:line="400" w:lineRule="exact"/>
        <w:rPr>
          <w:rFonts w:hint="eastAsia" w:ascii="宋体" w:hAnsi="宋体"/>
          <w:sz w:val="24"/>
          <w:szCs w:val="24"/>
        </w:rPr>
      </w:pPr>
      <w:r/>
      <w:bookmarkStart w:id="19" w:name="_Toc28359081"/>
      <w:r/>
      <w:bookmarkStart w:id="20" w:name="_Toc35393792"/>
      <w:r/>
      <w:bookmarkStart w:id="21" w:name="_Toc28359004"/>
      <w:r/>
      <w:bookmarkStart w:id="22" w:name="_Toc35393623"/>
      <w:r/>
      <w:bookmarkStart w:id="23"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w:t>
      </w:r>
      <w:r>
        <w:rPr>
          <w:rFonts w:hint="eastAsia" w:ascii="宋体" w:hAnsi="宋体"/>
          <w:sz w:val="24"/>
          <w:szCs w:val="24"/>
        </w:rPr>
        <w:t xml:space="preserve">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numPr>
          <w:ilvl w:val="0"/>
          <w:numId w:val="6"/>
        </w:numPr>
        <w:ind w:firstLine="480"/>
        <w:spacing w:line="400" w:lineRule="exact"/>
        <w:rPr>
          <w:rFonts w:hint="eastAsia" w:ascii="宋体" w:hAnsi="宋体"/>
          <w:sz w:val="24"/>
          <w:szCs w:val="24"/>
        </w:rPr>
      </w:pP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：本项目不接受联合</w:t>
      </w:r>
      <w:r>
        <w:rPr>
          <w:rFonts w:ascii="宋体" w:hAnsi="宋体"/>
          <w:sz w:val="24"/>
          <w:szCs w:val="24"/>
        </w:rPr>
        <w:t xml:space="preserve">体投标</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spacing w:line="400" w:lineRule="exact"/>
        <w:rPr>
          <w:rFonts w:hint="eastAsia" w:ascii="宋体" w:hAnsi="宋体" w:cs="宋体"/>
          <w:sz w:val="24"/>
          <w:szCs w:val="24"/>
        </w:rPr>
      </w:pPr>
      <w:r>
        <w:rPr>
          <w:rFonts w:hint="eastAsia" w:ascii="宋体" w:hAnsi="宋体" w:cs="宋体"/>
          <w:sz w:val="24"/>
          <w:szCs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6785"/>
      </w:tblGrid>
      <w:tr>
        <w:trPr>
          <w:jc w:val="cente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采购包号</w:t>
            </w:r>
            <w:r/>
          </w:p>
        </w:tc>
        <w:tc>
          <w:tcPr>
            <w:tcBorders>
              <w:top w:val="single" w:color="000000" w:sz="4" w:space="0"/>
              <w:left w:val="single" w:color="000000" w:sz="4" w:space="0"/>
              <w:bottom w:val="single" w:color="000000" w:sz="4" w:space="0"/>
              <w:right w:val="single" w:color="000000" w:sz="4" w:space="0"/>
            </w:tcBorders>
            <w:tcW w:w="6785" w:type="dxa"/>
            <w:textDirection w:val="lrTb"/>
            <w:noWrap w:val="false"/>
          </w:tcPr>
          <w:p>
            <w:pPr>
              <w:jc w:val="center"/>
              <w:rPr>
                <w:rFonts w:hint="eastAsia" w:ascii="宋体" w:hAnsi="宋体" w:cs="宋体"/>
              </w:rPr>
            </w:pPr>
            <w:r>
              <w:rPr>
                <w:rFonts w:hint="eastAsia" w:ascii="宋体" w:hAnsi="宋体" w:cs="宋体"/>
                <w:lang w:bidi="ar"/>
              </w:rPr>
              <w:t xml:space="preserve">特定资格要求</w:t>
            </w:r>
            <w:r/>
          </w:p>
        </w:tc>
      </w:tr>
      <w:tr>
        <w:trPr>
          <w:jc w:val="center"/>
          <w:trHeight w:val="884"/>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rPr>
            </w:pPr>
            <w:r>
              <w:rPr>
                <w:rFonts w:hint="eastAsia" w:ascii="宋体" w:hAnsi="宋体" w:cs="宋体"/>
                <w:lang w:bidi="ar"/>
              </w:rPr>
              <w:t xml:space="preserve">1、2、3</w:t>
            </w:r>
            <w:r/>
          </w:p>
        </w:tc>
        <w:tc>
          <w:tcPr>
            <w:tcBorders>
              <w:top w:val="single" w:color="000000" w:sz="4" w:space="0"/>
              <w:left w:val="single" w:color="000000" w:sz="4" w:space="0"/>
              <w:bottom w:val="single" w:color="000000" w:sz="4" w:space="0"/>
              <w:right w:val="single" w:color="000000" w:sz="4" w:space="0"/>
            </w:tcBorders>
            <w:tcW w:w="6785" w:type="dxa"/>
            <w:textDirection w:val="lrTb"/>
            <w:noWrap w:val="false"/>
          </w:tcPr>
          <w:p>
            <w:pPr>
              <w:jc w:val="left"/>
              <w:rPr>
                <w:rFonts w:hint="eastAsia" w:ascii="宋体" w:hAnsi="宋体" w:cs="宋体"/>
              </w:rPr>
            </w:pPr>
            <w:r>
              <w:rPr>
                <w:rFonts w:hint="eastAsia" w:ascii="宋体" w:hAnsi="宋体"/>
              </w:rPr>
              <w:t xml:space="preserve">投标人必须具有相关行政主管部门颁发的《中华人民共和国基础电信业务经营许可证》或开展增值电信业务经营许可证（提供证明材料复印件）。本项目允许分公司投标，需提供总公司授权书。</w:t>
            </w:r>
            <w:r/>
          </w:p>
        </w:tc>
      </w:tr>
    </w:tbl>
    <w:p>
      <w:pPr>
        <w:ind w:firstLine="498"/>
        <w:keepLines/>
        <w:keepNext/>
        <w:spacing w:before="145" w:after="145" w:line="360" w:lineRule="auto"/>
        <w:rPr>
          <w:b/>
          <w:bCs/>
          <w:sz w:val="32"/>
          <w:szCs w:val="32"/>
        </w:rPr>
        <w:outlineLvl w:val="2"/>
      </w:pPr>
      <w:r>
        <w:rPr>
          <w:rFonts w:hint="eastAsia"/>
          <w:b/>
          <w:bCs/>
          <w:sz w:val="32"/>
          <w:szCs w:val="32"/>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703"/>
        <w:ind w:firstLine="498"/>
        <w:spacing w:before="145" w:after="145" w:line="400" w:lineRule="exact"/>
      </w:pPr>
      <w:r/>
      <w:bookmarkStart w:id="24" w:name="_Toc28359082"/>
      <w:r/>
      <w:bookmarkStart w:id="25" w:name="_Toc28359005"/>
      <w:r/>
      <w:bookmarkStart w:id="26" w:name="_Toc35393793"/>
      <w:r/>
      <w:bookmarkStart w:id="27" w:name="_Toc35393624"/>
      <w:r/>
      <w:bookmarkStart w:id="28" w:name="_Toc38985266"/>
      <w:r/>
      <w:bookmarkEnd w:id="19"/>
      <w:r/>
      <w:bookmarkEnd w:id="20"/>
      <w:r/>
      <w:bookmarkEnd w:id="21"/>
      <w:r/>
      <w:bookmarkEnd w:id="22"/>
      <w:r/>
      <w:bookmarkEnd w:id="23"/>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2026年10月13日09点30分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sz w:val="32"/>
          <w:szCs w:val="32"/>
        </w:rPr>
        <w:outlineLvl w:val="2"/>
      </w:pPr>
      <w:r/>
      <w:bookmarkStart w:id="29" w:name="_Toc35393625"/>
      <w:r/>
      <w:bookmarkStart w:id="30" w:name="_Toc28359084"/>
      <w:r/>
      <w:bookmarkStart w:id="31" w:name="_Toc28359007"/>
      <w:r/>
      <w:bookmarkStart w:id="32" w:name="_Toc38985267"/>
      <w:r/>
      <w:bookmarkStart w:id="33" w:name="_Toc35393794"/>
      <w:r>
        <w:rPr>
          <w:rFonts w:hint="eastAsia"/>
          <w:b/>
          <w:bCs/>
          <w:sz w:val="32"/>
          <w:szCs w:val="32"/>
        </w:rPr>
        <w:t xml:space="preserve">五、公告期限</w:t>
      </w:r>
      <w:bookmarkEnd w:id="29"/>
      <w:r/>
      <w:bookmarkEnd w:id="30"/>
      <w:r/>
      <w:bookmarkEnd w:id="31"/>
      <w:r/>
      <w:bookmarkEnd w:id="32"/>
      <w:r/>
      <w:bookmarkEnd w:id="33"/>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703"/>
        <w:ind w:firstLine="498"/>
        <w:spacing w:before="145" w:after="145" w:line="400" w:lineRule="exact"/>
      </w:pPr>
      <w:r/>
      <w:bookmarkStart w:id="34" w:name="_Toc35393626"/>
      <w:r/>
      <w:bookmarkStart w:id="35" w:name="_Toc35393795"/>
      <w:r/>
      <w:bookmarkStart w:id="36" w:name="_Toc38985268"/>
      <w:r>
        <w:rPr>
          <w:rFonts w:hint="eastAsia"/>
        </w:rPr>
        <w:t xml:space="preserve">六、其他补充事宜</w:t>
      </w:r>
      <w:bookmarkEnd w:id="34"/>
      <w:r/>
      <w:bookmarkEnd w:id="35"/>
      <w:r/>
      <w:bookmarkEnd w:id="36"/>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703"/>
        <w:ind w:firstLine="498"/>
        <w:spacing w:before="145" w:after="145" w:line="400" w:lineRule="exact"/>
      </w:pPr>
      <w:r/>
      <w:bookmarkStart w:id="37" w:name="_Toc35393796"/>
      <w:r/>
      <w:bookmarkStart w:id="38" w:name="_Toc28359008"/>
      <w:r/>
      <w:bookmarkStart w:id="39" w:name="_Toc35393627"/>
      <w:r/>
      <w:bookmarkStart w:id="40" w:name="_Toc28359085"/>
      <w:r/>
      <w:bookmarkStart w:id="41" w:name="_Toc38985269"/>
      <w:r>
        <w:rPr>
          <w:rFonts w:hint="eastAsia"/>
        </w:rPr>
        <w:t xml:space="preserve">七、本次招标联系方式</w:t>
      </w:r>
      <w:bookmarkEnd w:id="37"/>
      <w:r/>
      <w:bookmarkEnd w:id="38"/>
      <w:r/>
      <w:bookmarkEnd w:id="39"/>
      <w:r/>
      <w:bookmarkEnd w:id="40"/>
      <w:r/>
      <w:bookmarkEnd w:id="41"/>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ind w:left="210" w:firstLine="480"/>
        <w:spacing w:line="400" w:lineRule="exact"/>
        <w:rPr>
          <w:rFonts w:hint="eastAsia" w:ascii="宋体" w:hAnsi="宋体" w:cs="宋体"/>
          <w:bCs/>
          <w:sz w:val="24"/>
          <w:szCs w:val="24"/>
          <w:u w:val="single"/>
        </w:rPr>
      </w:pPr>
      <w:r/>
      <w:bookmarkStart w:id="42" w:name="_Toc28359009"/>
      <w:r/>
      <w:bookmarkStart w:id="43" w:name="_Toc28359086"/>
      <w:r>
        <w:rPr>
          <w:rFonts w:hint="eastAsia" w:ascii="宋体" w:hAnsi="宋体" w:cs="宋体"/>
          <w:bCs/>
          <w:sz w:val="24"/>
          <w:szCs w:val="24"/>
          <w:u w:val="single"/>
          <w:lang w:bidi="ar"/>
        </w:rPr>
        <w:t xml:space="preserve">名 称：江苏省水文水资源勘测局</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地址：</w:t>
      </w:r>
      <w:r>
        <w:rPr>
          <w:rFonts w:hint="eastAsia" w:ascii="宋体" w:hAnsi="宋体"/>
          <w:sz w:val="24"/>
          <w:szCs w:val="24"/>
          <w:u w:val="single"/>
        </w:rPr>
        <w:t xml:space="preserve">南京市鼓楼区上海路5号</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联系人：</w:t>
      </w:r>
      <w:r>
        <w:rPr>
          <w:rFonts w:hint="eastAsia" w:ascii="宋体" w:hAnsi="宋体"/>
          <w:sz w:val="24"/>
          <w:szCs w:val="24"/>
          <w:u w:val="single"/>
        </w:rPr>
        <w:t xml:space="preserve">朱月</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联系方式：</w:t>
      </w:r>
      <w:r>
        <w:rPr>
          <w:rFonts w:hint="eastAsia" w:ascii="宋体" w:hAnsi="宋体"/>
          <w:sz w:val="24"/>
          <w:szCs w:val="24"/>
          <w:u w:val="single"/>
        </w:rPr>
        <w:t xml:space="preserve">025-86338693</w:t>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2.江苏省政府采购中心信息</w:t>
      </w:r>
      <w:bookmarkStart w:id="44" w:name="_Toc28359087"/>
      <w:r/>
      <w:bookmarkStart w:id="45" w:name="_Toc28359010"/>
      <w:r/>
      <w:bookmarkEnd w:id="42"/>
      <w:r/>
      <w:bookmarkEnd w:id="43"/>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南京市建邺区汉中门大街145号三楼</w:t>
      </w:r>
      <w:bookmarkEnd w:id="44"/>
      <w:r/>
      <w:bookmarkEnd w:id="45"/>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付钢、唐文</w:t>
      </w:r>
      <w:r/>
    </w:p>
    <w:p>
      <w:pPr>
        <w:ind w:left="1079" w:hanging="512"/>
        <w:jc w:val="left"/>
        <w:spacing w:line="400" w:lineRule="exact"/>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25-83668520</w:t>
      </w:r>
      <w:r>
        <w:rPr>
          <w:rFonts w:hint="eastAsia" w:ascii="宋体" w:hAnsi="宋体"/>
          <w:sz w:val="24"/>
          <w:szCs w:val="24"/>
          <w:u w:val="single"/>
        </w:rPr>
        <w:t xml:space="preserve">、83668519</w:t>
      </w:r>
      <w:r/>
    </w:p>
    <w:p>
      <w:pPr>
        <w:pStyle w:val="703"/>
        <w:ind w:firstLine="498"/>
        <w:spacing w:before="145" w:after="145" w:line="400" w:lineRule="exact"/>
      </w:pPr>
      <w:r>
        <w:rPr>
          <w:rFonts w:hint="eastAsia"/>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bCs/>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 </w:t>
      </w:r>
      <w:r/>
    </w:p>
    <w:p>
      <w:pPr>
        <w:ind w:right="840"/>
        <w:rPr>
          <w:rFonts w:hint="eastAsia" w:ascii="宋体" w:hAnsi="宋体"/>
          <w:sz w:val="24"/>
          <w:szCs w:val="24"/>
        </w:rPr>
      </w:pPr>
      <w:r>
        <w:rPr>
          <w:rFonts w:ascii="宋体" w:hAnsi="宋体"/>
          <w:sz w:val="24"/>
          <w:szCs w:val="24"/>
        </w:rPr>
        <w:br w:type="page" w:clear="all"/>
      </w:r>
      <w:r/>
    </w:p>
    <w:p>
      <w:pPr>
        <w:pStyle w:val="701"/>
        <w:rPr>
          <w:rFonts w:ascii="黑体" w:eastAsia="黑体"/>
          <w:sz w:val="44"/>
          <w:szCs w:val="44"/>
        </w:rPr>
      </w:pPr>
      <w:r/>
      <w:bookmarkStart w:id="46" w:name="_Toc120614211"/>
      <w:r/>
      <w:bookmarkStart w:id="47" w:name="_Toc239690741"/>
      <w:r>
        <w:rPr>
          <w:rFonts w:hint="eastAsia" w:ascii="黑体" w:eastAsia="黑体"/>
          <w:sz w:val="44"/>
          <w:szCs w:val="44"/>
        </w:rPr>
        <w:t xml:space="preserve">第二章  </w:t>
      </w:r>
      <w:bookmarkStart w:id="48" w:name="_Toc513029202"/>
      <w:r/>
      <w:bookmarkStart w:id="49" w:name="_Toc120614213"/>
      <w:r/>
      <w:bookmarkStart w:id="50" w:name="_Toc16938518"/>
      <w:r/>
      <w:bookmarkStart w:id="51" w:name="_Toc20823274"/>
      <w:r/>
      <w:bookmarkEnd w:id="1"/>
      <w:r/>
      <w:bookmarkEnd w:id="2"/>
      <w:r/>
      <w:bookmarkEnd w:id="3"/>
      <w:r/>
      <w:bookmarkEnd w:id="4"/>
      <w:r/>
      <w:bookmarkEnd w:id="5"/>
      <w:r/>
      <w:bookmarkEnd w:id="46"/>
      <w:r>
        <w:rPr>
          <w:rFonts w:hint="eastAsia" w:ascii="黑体" w:eastAsia="黑体"/>
          <w:sz w:val="44"/>
          <w:szCs w:val="44"/>
        </w:rPr>
        <w:t xml:space="preserve">投标人须知</w:t>
      </w:r>
      <w:bookmarkEnd w:id="47"/>
      <w:r/>
      <w:bookmarkEnd w:id="48"/>
      <w:r/>
      <w:bookmarkEnd w:id="49"/>
      <w:r/>
      <w:bookmarkEnd w:id="50"/>
      <w:r/>
      <w:bookmarkEnd w:id="51"/>
      <w:r/>
      <w:r/>
    </w:p>
    <w:p>
      <w:pPr>
        <w:pStyle w:val="703"/>
        <w:ind w:firstLine="498"/>
        <w:spacing w:before="145" w:after="145" w:line="400" w:lineRule="exact"/>
      </w:pPr>
      <w:r/>
      <w:bookmarkStart w:id="52" w:name="_Toc120614214"/>
      <w:r/>
      <w:bookmarkStart w:id="53" w:name="_Toc20823275"/>
      <w:r/>
      <w:bookmarkStart w:id="54" w:name="_Toc513029203"/>
      <w:r/>
      <w:bookmarkStart w:id="55" w:name="_Toc16938519"/>
      <w:r/>
      <w:bookmarkStart w:id="56" w:name="OLE_LINK4"/>
      <w:r/>
      <w:bookmarkStart w:id="57" w:name="OLE_LINK6"/>
      <w:r/>
      <w:bookmarkStart w:id="58" w:name="OLE_LINK5"/>
      <w:r>
        <w:rPr>
          <w:rFonts w:hint="eastAsia"/>
        </w:rPr>
        <w:t xml:space="preserve">一、总则</w:t>
      </w:r>
      <w:bookmarkEnd w:id="52"/>
      <w:r/>
      <w:bookmarkEnd w:id="53"/>
      <w:r/>
      <w:bookmarkEnd w:id="54"/>
      <w:r/>
      <w:bookmarkEnd w:id="55"/>
      <w:r/>
      <w:r/>
    </w:p>
    <w:p>
      <w:pPr>
        <w:pStyle w:val="704"/>
        <w:ind w:firstLine="420"/>
        <w:spacing w:before="0" w:after="0" w:line="400" w:lineRule="exact"/>
        <w:rPr>
          <w:b w:val="0"/>
          <w:bCs w:val="0"/>
        </w:rPr>
      </w:pPr>
      <w:r/>
      <w:bookmarkStart w:id="59" w:name="_Hlt16619475"/>
      <w:r/>
      <w:bookmarkStart w:id="60" w:name="_Toc458694821"/>
      <w:r/>
      <w:bookmarkStart w:id="61" w:name="_Toc513029204"/>
      <w:r/>
      <w:bookmarkStart w:id="62" w:name="_Toc20823276"/>
      <w:r/>
      <w:bookmarkStart w:id="63" w:name="_Toc16938520"/>
      <w:r/>
      <w:bookmarkEnd w:id="59"/>
      <w:r>
        <w:rPr>
          <w:rFonts w:hint="eastAsia"/>
          <w:b w:val="0"/>
          <w:bCs w:val="0"/>
        </w:rPr>
        <w:t xml:space="preserve">1</w:t>
      </w:r>
      <w:bookmarkEnd w:id="60"/>
      <w:r>
        <w:rPr>
          <w:rFonts w:hint="eastAsia"/>
          <w:b w:val="0"/>
          <w:bCs w:val="0"/>
        </w:rPr>
        <w:t xml:space="preserve">、招标方式</w:t>
      </w:r>
      <w:bookmarkEnd w:id="61"/>
      <w:r/>
      <w:bookmarkEnd w:id="62"/>
      <w:r/>
      <w:bookmarkEnd w:id="6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4"/>
        <w:ind w:firstLine="420"/>
        <w:spacing w:before="0" w:after="0" w:line="400" w:lineRule="exact"/>
        <w:rPr>
          <w:b w:val="0"/>
          <w:bCs w:val="0"/>
        </w:rPr>
      </w:pPr>
      <w:r/>
      <w:bookmarkStart w:id="64" w:name="_Toc16938521"/>
      <w:r/>
      <w:bookmarkStart w:id="65" w:name="_Toc20823277"/>
      <w:r/>
      <w:bookmarkStart w:id="66" w:name="_Toc513029205"/>
      <w:r>
        <w:rPr>
          <w:rFonts w:hint="eastAsia"/>
          <w:b w:val="0"/>
          <w:bCs w:val="0"/>
        </w:rPr>
        <w:t xml:space="preserve">2</w:t>
      </w:r>
      <w:r>
        <w:rPr>
          <w:rFonts w:hint="eastAsia"/>
          <w:b w:val="0"/>
          <w:bCs w:val="0"/>
        </w:rPr>
        <w:t xml:space="preserve">、合格的投标人</w:t>
      </w:r>
      <w:bookmarkEnd w:id="64"/>
      <w:r/>
      <w:bookmarkEnd w:id="65"/>
      <w:r/>
      <w:bookmarkEnd w:id="66"/>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04"/>
        <w:ind w:firstLine="422"/>
        <w:spacing w:before="0" w:after="0" w:line="400" w:lineRule="exact"/>
      </w:pPr>
      <w:r/>
      <w:bookmarkStart w:id="67" w:name="_Toc513029206"/>
      <w:r/>
      <w:bookmarkStart w:id="68" w:name="_Toc20823278"/>
      <w:r/>
      <w:bookmarkStart w:id="69" w:name="_Toc16938522"/>
      <w:r>
        <w:rPr>
          <w:rFonts w:hint="eastAsia"/>
        </w:rPr>
        <w:t xml:space="preserve">3</w:t>
      </w:r>
      <w:r>
        <w:rPr>
          <w:rFonts w:hint="eastAsia"/>
        </w:rPr>
        <w:t xml:space="preserve">、适用法律</w:t>
      </w:r>
      <w:bookmarkEnd w:id="67"/>
      <w:r/>
      <w:bookmarkEnd w:id="68"/>
      <w:r/>
      <w:bookmarkEnd w:id="69"/>
      <w:r>
        <w:rPr>
          <w:rFonts w:hint="eastAsia"/>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70" w:name="_Toc20823279"/>
      <w:r/>
      <w:bookmarkStart w:id="71" w:name="_Toc513029207"/>
      <w:r/>
      <w:bookmarkStart w:id="72" w:name="_Toc16938523"/>
      <w:r/>
      <w:bookmarkStart w:id="73" w:name="_Toc462564067"/>
      <w:r>
        <w:rPr>
          <w:rFonts w:hint="eastAsia" w:ascii="宋体" w:hAnsi="宋体"/>
          <w:sz w:val="24"/>
        </w:rPr>
        <w:t xml:space="preserve">3.2 在本项目政府采购活动过程中，如果所执行的标准有更新的，按照最新标准执行。</w:t>
      </w:r>
      <w:r/>
    </w:p>
    <w:p>
      <w:pPr>
        <w:pStyle w:val="704"/>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70"/>
      <w:r/>
      <w:bookmarkEnd w:id="71"/>
      <w:r/>
      <w:bookmarkEnd w:id="72"/>
      <w:r/>
      <w:bookmarkEnd w:id="73"/>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04"/>
        <w:ind w:firstLine="426"/>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3"/>
        <w:ind w:firstLine="321"/>
        <w:spacing w:before="145" w:after="145" w:line="400" w:lineRule="exact"/>
      </w:pPr>
      <w:r/>
      <w:bookmarkStart w:id="74" w:name="_Toc513029209"/>
      <w:r/>
      <w:bookmarkStart w:id="75" w:name="_Toc16938525"/>
      <w:r/>
      <w:bookmarkStart w:id="76" w:name="_Toc20823281"/>
      <w:r/>
      <w:bookmarkStart w:id="77" w:name="_Toc120614215"/>
      <w:r>
        <w:rPr>
          <w:rFonts w:hint="eastAsia"/>
        </w:rPr>
        <w:t xml:space="preserve">二、招标文件</w:t>
      </w:r>
      <w:bookmarkEnd w:id="74"/>
      <w:r/>
      <w:bookmarkEnd w:id="75"/>
      <w:r/>
      <w:bookmarkEnd w:id="76"/>
      <w:r/>
      <w:bookmarkEnd w:id="77"/>
      <w:r/>
      <w:r/>
    </w:p>
    <w:p>
      <w:pPr>
        <w:pStyle w:val="704"/>
        <w:ind w:firstLine="420"/>
        <w:spacing w:before="0" w:after="0" w:line="400" w:lineRule="exact"/>
        <w:rPr>
          <w:b w:val="0"/>
          <w:bCs w:val="0"/>
        </w:rPr>
      </w:pPr>
      <w:r/>
      <w:bookmarkStart w:id="78" w:name="_Toc513029210"/>
      <w:r/>
      <w:bookmarkStart w:id="79" w:name="_Toc20823282"/>
      <w:r/>
      <w:bookmarkStart w:id="80" w:name="_Toc16938526"/>
      <w:r>
        <w:rPr>
          <w:rFonts w:hint="eastAsia"/>
          <w:b w:val="0"/>
          <w:bCs w:val="0"/>
        </w:rPr>
        <w:t xml:space="preserve">6</w:t>
      </w:r>
      <w:r>
        <w:rPr>
          <w:rFonts w:hint="eastAsia"/>
          <w:b w:val="0"/>
          <w:bCs w:val="0"/>
        </w:rPr>
        <w:t xml:space="preserve">、招标文件构成</w:t>
      </w:r>
      <w:bookmarkEnd w:id="78"/>
      <w:r/>
      <w:bookmarkEnd w:id="79"/>
      <w:r/>
      <w:bookmarkEnd w:id="8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560"/>
        <w:spacing w:before="0" w:after="0" w:line="400" w:lineRule="exact"/>
        <w:rPr>
          <w:b w:val="0"/>
          <w:bCs w:val="0"/>
        </w:rPr>
      </w:pPr>
      <w:r/>
      <w:bookmarkStart w:id="81" w:name="_Toc462564071"/>
      <w:r/>
      <w:bookmarkStart w:id="82" w:name="_Toc16938528"/>
      <w:r/>
      <w:bookmarkStart w:id="83" w:name="_Toc513029212"/>
      <w:r/>
      <w:bookmarkStart w:id="84" w:name="_Toc20823284"/>
      <w:r>
        <w:rPr>
          <w:b w:val="0"/>
          <w:bCs w:val="0"/>
        </w:rPr>
        <w:t xml:space="preserve">7</w:t>
      </w:r>
      <w:r>
        <w:rPr>
          <w:rFonts w:hint="eastAsia"/>
          <w:b w:val="0"/>
          <w:bCs w:val="0"/>
        </w:rPr>
        <w:t xml:space="preserve">、招标文件的修改</w:t>
      </w:r>
      <w:bookmarkEnd w:id="81"/>
      <w:r/>
      <w:bookmarkEnd w:id="82"/>
      <w:r/>
      <w:bookmarkEnd w:id="83"/>
      <w:r/>
      <w:bookmarkEnd w:id="8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3"/>
        <w:ind w:firstLine="482"/>
        <w:spacing w:before="145" w:after="145" w:line="400" w:lineRule="exact"/>
      </w:pPr>
      <w:r/>
      <w:bookmarkStart w:id="85" w:name="_Toc20823285"/>
      <w:r/>
      <w:bookmarkStart w:id="86" w:name="_Toc120614216"/>
      <w:r/>
      <w:bookmarkStart w:id="87" w:name="_Toc16938529"/>
      <w:r/>
      <w:bookmarkStart w:id="88" w:name="_Toc513029213"/>
      <w:r/>
      <w:bookmarkStart w:id="89" w:name="_Toc462564072"/>
      <w:r>
        <w:rPr>
          <w:rFonts w:hint="eastAsia"/>
        </w:rPr>
        <w:t xml:space="preserve">三、投标文件的编制</w:t>
      </w:r>
      <w:bookmarkEnd w:id="85"/>
      <w:r/>
      <w:bookmarkEnd w:id="86"/>
      <w:r/>
      <w:bookmarkEnd w:id="87"/>
      <w:r/>
      <w:bookmarkEnd w:id="88"/>
      <w:r/>
      <w:bookmarkEnd w:id="89"/>
      <w:r/>
      <w:r/>
    </w:p>
    <w:p>
      <w:pPr>
        <w:pStyle w:val="704"/>
        <w:ind w:firstLine="560"/>
        <w:spacing w:before="0" w:after="0" w:line="400" w:lineRule="exact"/>
        <w:rPr>
          <w:bCs w:val="0"/>
        </w:rPr>
      </w:pPr>
      <w:r/>
      <w:bookmarkStart w:id="90" w:name="_Toc513029214"/>
      <w:r/>
      <w:bookmarkStart w:id="91" w:name="_Toc20823286"/>
      <w:r/>
      <w:bookmarkStart w:id="92" w:name="_Toc462564073"/>
      <w:r/>
      <w:bookmarkStart w:id="93" w:name="_Toc16938530"/>
      <w:r>
        <w:rPr>
          <w:b w:val="0"/>
          <w:bCs w:val="0"/>
        </w:rPr>
        <w:t xml:space="preserve">8</w:t>
      </w:r>
      <w:r>
        <w:rPr>
          <w:rFonts w:hint="eastAsia"/>
          <w:b w:val="0"/>
          <w:bCs w:val="0"/>
        </w:rPr>
        <w:t xml:space="preserve">、投标文件的语言及度量衡单位</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04"/>
        <w:ind w:firstLine="420"/>
        <w:spacing w:before="0" w:after="0" w:line="400" w:lineRule="exact"/>
        <w:rPr>
          <w:b w:val="0"/>
          <w:bCs w:val="0"/>
        </w:rPr>
      </w:pPr>
      <w:r/>
      <w:bookmarkStart w:id="94" w:name="_Toc20823287"/>
      <w:r/>
      <w:bookmarkStart w:id="95" w:name="_Toc513029215"/>
      <w:r/>
      <w:bookmarkStart w:id="96" w:name="_Toc16938531"/>
      <w:r/>
      <w:bookmarkStart w:id="97" w:name="_Toc462564074"/>
      <w:r>
        <w:rPr>
          <w:b w:val="0"/>
          <w:bCs w:val="0"/>
        </w:rPr>
        <w:t xml:space="preserve">9</w:t>
      </w:r>
      <w:r>
        <w:rPr>
          <w:rFonts w:hint="eastAsia"/>
          <w:b w:val="0"/>
          <w:bCs w:val="0"/>
        </w:rPr>
        <w:t xml:space="preserve">、投标文件构成</w:t>
      </w:r>
      <w:bookmarkEnd w:id="94"/>
      <w:r/>
      <w:bookmarkEnd w:id="95"/>
      <w:r/>
      <w:bookmarkEnd w:id="96"/>
      <w:r/>
      <w:bookmarkEnd w:id="9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04"/>
        <w:ind w:firstLine="420"/>
        <w:spacing w:before="0" w:after="0" w:line="400" w:lineRule="exact"/>
        <w:rPr>
          <w:b w:val="0"/>
          <w:bCs w:val="0"/>
        </w:rPr>
      </w:pPr>
      <w:r/>
      <w:bookmarkStart w:id="98" w:name="_Hlt26670360"/>
      <w:r/>
      <w:bookmarkStart w:id="99" w:name="_Hlt26954838"/>
      <w:r/>
      <w:bookmarkStart w:id="100" w:name="_Hlt26668975"/>
      <w:r/>
      <w:bookmarkStart w:id="101" w:name="_Toc49090509"/>
      <w:r/>
      <w:bookmarkStart w:id="102" w:name="_Toc513029219"/>
      <w:r/>
      <w:bookmarkStart w:id="103" w:name="_Toc14577357"/>
      <w:r/>
      <w:bookmarkStart w:id="104" w:name="_Toc49090507"/>
      <w:r/>
      <w:bookmarkStart w:id="105" w:name="_Toc14577354"/>
      <w:r/>
      <w:bookmarkStart w:id="106" w:name="_Toc513029216"/>
      <w:r/>
      <w:bookmarkEnd w:id="98"/>
      <w:r/>
      <w:bookmarkEnd w:id="99"/>
      <w:r/>
      <w:bookmarkEnd w:id="100"/>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1"/>
      <w:r/>
      <w:bookmarkEnd w:id="102"/>
      <w:r/>
      <w:bookmarkEnd w:id="103"/>
      <w:r/>
      <w:r/>
    </w:p>
    <w:p>
      <w:pPr>
        <w:spacing w:line="40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04"/>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0" w:name="_Hlt26954840"/>
      <w:r/>
      <w:bookmarkEnd w:id="110"/>
      <w:r>
        <w:rPr>
          <w:rFonts w:hint="eastAsia" w:ascii="宋体" w:hAnsi="宋体"/>
          <w:sz w:val="24"/>
        </w:rPr>
        <w:t xml:space="preserve">标人按照招标文件规定格式填报投标分项报价表</w:t>
      </w:r>
      <w:bookmarkStart w:id="111" w:name="_Hlt26670399"/>
      <w:r/>
      <w:bookmarkEnd w:id="11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04"/>
        <w:ind w:firstLine="420"/>
        <w:spacing w:before="0" w:after="0" w:line="400" w:lineRule="exact"/>
        <w:rPr>
          <w:b w:val="0"/>
          <w:bCs w:val="0"/>
        </w:rPr>
      </w:pPr>
      <w:r/>
      <w:bookmarkStart w:id="112" w:name="_Hlt26954848"/>
      <w:r/>
      <w:bookmarkStart w:id="113" w:name="_Hlt26670425"/>
      <w:r/>
      <w:bookmarkStart w:id="114" w:name="_Hlt26954844"/>
      <w:r/>
      <w:bookmarkStart w:id="115" w:name="_Hlt26954846"/>
      <w:r/>
      <w:bookmarkStart w:id="116" w:name="_Hlt26954842"/>
      <w:r/>
      <w:bookmarkStart w:id="117" w:name="_Hlt26954731"/>
      <w:r/>
      <w:bookmarkStart w:id="118" w:name="_Hlt26670486"/>
      <w:r/>
      <w:bookmarkStart w:id="119" w:name="_Hlt26670403"/>
      <w:r/>
      <w:bookmarkStart w:id="120" w:name="_Hlt26668983"/>
      <w:r/>
      <w:bookmarkStart w:id="121" w:name="_Hlt26670482"/>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rPr>
      </w:pPr>
      <w:r/>
      <w:bookmarkStart w:id="122" w:name="_Toc14577359"/>
      <w:r/>
      <w:bookmarkStart w:id="123"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04"/>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04"/>
        <w:ind w:firstLine="420"/>
        <w:spacing w:before="0" w:after="0" w:line="400" w:lineRule="exact"/>
        <w:rPr>
          <w:b w:val="0"/>
          <w:bCs w:val="0"/>
        </w:rPr>
      </w:pPr>
      <w:r/>
      <w:bookmarkStart w:id="124" w:name="_Hlt26954734"/>
      <w:r/>
      <w:bookmarkStart w:id="125" w:name="_Hlt26670489"/>
      <w:r/>
      <w:bookmarkStart w:id="126" w:name="_Hlt26954850"/>
      <w:r/>
      <w:bookmarkStart w:id="127" w:name="_Toc49090511"/>
      <w:r/>
      <w:bookmarkStart w:id="128" w:name="_Toc14577360"/>
      <w:r/>
      <w:bookmarkEnd w:id="122"/>
      <w:r/>
      <w:bookmarkEnd w:id="123"/>
      <w:r/>
      <w:bookmarkEnd w:id="124"/>
      <w:r/>
      <w:bookmarkEnd w:id="125"/>
      <w:r/>
      <w:bookmarkEnd w:id="126"/>
      <w:r>
        <w:rPr>
          <w:rFonts w:hint="eastAsia"/>
          <w:b w:val="0"/>
          <w:bCs w:val="0"/>
        </w:rPr>
        <w:t xml:space="preserve">1</w:t>
      </w:r>
      <w:r>
        <w:rPr>
          <w:b w:val="0"/>
          <w:bCs w:val="0"/>
        </w:rPr>
        <w:t xml:space="preserve">4</w:t>
      </w:r>
      <w:r>
        <w:rPr>
          <w:rFonts w:hint="eastAsia"/>
          <w:b w:val="0"/>
          <w:bCs w:val="0"/>
        </w:rPr>
        <w:t xml:space="preserve">、投标有效期</w:t>
      </w:r>
      <w:bookmarkEnd w:id="127"/>
      <w:r/>
      <w:bookmarkEnd w:id="12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4"/>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3"/>
        <w:ind w:firstLine="482"/>
        <w:spacing w:before="145" w:after="145" w:line="400" w:lineRule="exact"/>
      </w:pPr>
      <w:r/>
      <w:bookmarkStart w:id="129" w:name="_Hlt26954739"/>
      <w:r/>
      <w:bookmarkStart w:id="130" w:name="_Hlt26954852"/>
      <w:r/>
      <w:bookmarkStart w:id="131" w:name="_Toc120614217"/>
      <w:r/>
      <w:bookmarkStart w:id="132" w:name="_Toc20823296"/>
      <w:r/>
      <w:bookmarkStart w:id="133" w:name="_Toc16938540"/>
      <w:r/>
      <w:bookmarkStart w:id="134" w:name="_Toc513029224"/>
      <w:r/>
      <w:bookmarkEnd w:id="129"/>
      <w:r/>
      <w:bookmarkEnd w:id="130"/>
      <w:r>
        <w:rPr>
          <w:rFonts w:hint="eastAsia"/>
        </w:rPr>
        <w:t xml:space="preserve">四、投标文件的递交</w:t>
      </w:r>
      <w:bookmarkEnd w:id="131"/>
      <w:r/>
      <w:bookmarkEnd w:id="132"/>
      <w:r/>
      <w:bookmarkEnd w:id="133"/>
      <w:r/>
      <w:bookmarkEnd w:id="134"/>
      <w:r/>
      <w:r/>
    </w:p>
    <w:p>
      <w:pPr>
        <w:pStyle w:val="704"/>
        <w:ind w:firstLine="560"/>
        <w:spacing w:before="0" w:after="0" w:line="400" w:lineRule="exact"/>
        <w:rPr>
          <w:rFonts w:ascii="黑体"/>
          <w:b w:val="0"/>
          <w:bCs w:val="0"/>
        </w:rPr>
      </w:pPr>
      <w:r/>
      <w:bookmarkStart w:id="135" w:name="_Toc16938541"/>
      <w:r/>
      <w:bookmarkStart w:id="136" w:name="_Toc462564084"/>
      <w:r/>
      <w:bookmarkStart w:id="137" w:name="_Toc513029225"/>
      <w:r/>
      <w:bookmarkStart w:id="138"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79"/>
        <w:ind w:firstLine="523"/>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16938542"/>
      <w:r/>
      <w:bookmarkStart w:id="141" w:name="_Toc513029226"/>
      <w:r/>
      <w:r/>
    </w:p>
    <w:p>
      <w:pPr>
        <w:pStyle w:val="704"/>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9"/>
      <w:r/>
      <w:bookmarkEnd w:id="140"/>
      <w:r/>
      <w:bookmarkEnd w:id="141"/>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04"/>
        <w:ind w:firstLine="420"/>
        <w:spacing w:before="0" w:after="0" w:line="400" w:lineRule="exact"/>
        <w:rPr>
          <w:b w:val="0"/>
          <w:bCs w:val="0"/>
        </w:rPr>
      </w:pPr>
      <w:r/>
      <w:bookmarkStart w:id="142" w:name="_Toc16938543"/>
      <w:r/>
      <w:bookmarkStart w:id="143" w:name="_Toc513029227"/>
      <w:r/>
      <w:bookmarkStart w:id="144" w:name="_Toc20823299"/>
      <w:r>
        <w:rPr>
          <w:rFonts w:hint="eastAsia"/>
          <w:b w:val="0"/>
          <w:bCs w:val="0"/>
        </w:rPr>
        <w:t xml:space="preserve">1</w:t>
      </w:r>
      <w:r>
        <w:rPr>
          <w:b w:val="0"/>
          <w:bCs w:val="0"/>
        </w:rPr>
        <w:t xml:space="preserve">8</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04"/>
        <w:ind w:firstLine="420"/>
        <w:spacing w:before="0" w:after="0" w:line="400" w:lineRule="exact"/>
        <w:rPr>
          <w:b w:val="0"/>
          <w:bCs w:val="0"/>
        </w:rPr>
      </w:pPr>
      <w:r/>
      <w:bookmarkStart w:id="145" w:name="_Toc20823300"/>
      <w:r/>
      <w:bookmarkStart w:id="146" w:name="_Toc16938544"/>
      <w:r/>
      <w:bookmarkStart w:id="147" w:name="_Toc513029228"/>
      <w:r>
        <w:rPr>
          <w:b w:val="0"/>
          <w:bCs w:val="0"/>
        </w:rPr>
        <w:t xml:space="preserve">19</w:t>
      </w:r>
      <w:r>
        <w:rPr>
          <w:rFonts w:hint="eastAsia"/>
          <w:b w:val="0"/>
          <w:bCs w:val="0"/>
        </w:rPr>
        <w:t xml:space="preserve">、投标文件的撤回和修改</w:t>
      </w:r>
      <w:bookmarkEnd w:id="145"/>
      <w:r/>
      <w:bookmarkEnd w:id="146"/>
      <w:r/>
      <w:bookmarkEnd w:id="147"/>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03"/>
        <w:ind w:firstLine="482"/>
        <w:spacing w:before="145" w:after="145" w:line="400" w:lineRule="exact"/>
      </w:pPr>
      <w:r/>
      <w:bookmarkStart w:id="148" w:name="_Toc120614218"/>
      <w:r/>
      <w:bookmarkStart w:id="149" w:name="_Toc20823301"/>
      <w:r/>
      <w:bookmarkStart w:id="150" w:name="_Toc513029229"/>
      <w:r/>
      <w:bookmarkStart w:id="151" w:name="_Toc16938545"/>
      <w:r>
        <w:rPr>
          <w:rFonts w:hint="eastAsia"/>
        </w:rPr>
        <w:t xml:space="preserve">五、开标与评标</w:t>
      </w:r>
      <w:bookmarkEnd w:id="148"/>
      <w:r/>
      <w:bookmarkEnd w:id="149"/>
      <w:r/>
      <w:bookmarkEnd w:id="150"/>
      <w:r/>
      <w:bookmarkEnd w:id="151"/>
      <w:r/>
      <w:r/>
    </w:p>
    <w:p>
      <w:pPr>
        <w:pStyle w:val="704"/>
        <w:ind w:firstLine="420"/>
        <w:spacing w:before="0" w:after="0" w:line="400" w:lineRule="exact"/>
        <w:rPr>
          <w:b w:val="0"/>
          <w:bCs w:val="0"/>
        </w:rPr>
      </w:pPr>
      <w:r/>
      <w:bookmarkStart w:id="152" w:name="_Toc16938546"/>
      <w:r/>
      <w:bookmarkStart w:id="153" w:name="_Toc20823302"/>
      <w:r/>
      <w:bookmarkStart w:id="154" w:name="_Toc513029230"/>
      <w:r>
        <w:rPr>
          <w:rFonts w:hint="eastAsia"/>
          <w:b w:val="0"/>
          <w:bCs w:val="0"/>
        </w:rPr>
        <w:t xml:space="preserve">2</w:t>
      </w:r>
      <w:r>
        <w:rPr>
          <w:b w:val="0"/>
          <w:bCs w:val="0"/>
        </w:rPr>
        <w:t xml:space="preserve">0</w:t>
      </w:r>
      <w:r>
        <w:rPr>
          <w:rFonts w:hint="eastAsia"/>
          <w:b w:val="0"/>
          <w:bCs w:val="0"/>
        </w:rPr>
        <w:t xml:space="preserve">、开标</w:t>
      </w:r>
      <w:bookmarkEnd w:id="152"/>
      <w:r/>
      <w:bookmarkEnd w:id="153"/>
      <w:r/>
      <w:bookmarkEnd w:id="154"/>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04"/>
        <w:ind w:firstLine="420"/>
        <w:spacing w:before="0" w:after="0" w:line="400" w:lineRule="exact"/>
        <w:rPr>
          <w:b w:val="0"/>
          <w:bCs w:val="0"/>
        </w:rPr>
      </w:pPr>
      <w:r/>
      <w:bookmarkStart w:id="155" w:name="_Toc16938547"/>
      <w:r/>
      <w:bookmarkStart w:id="156" w:name="_Toc20823303"/>
      <w:r/>
      <w:bookmarkStart w:id="157"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04"/>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04"/>
        <w:ind w:firstLine="420"/>
        <w:spacing w:before="0" w:after="0" w:line="400" w:lineRule="exact"/>
        <w:rPr>
          <w:b w:val="0"/>
          <w:bCs w:val="0"/>
        </w:rPr>
      </w:pPr>
      <w:r/>
      <w:bookmarkStart w:id="158" w:name="_Toc20823304"/>
      <w:r/>
      <w:bookmarkStart w:id="159" w:name="_Toc16938548"/>
      <w:r/>
      <w:bookmarkStart w:id="160" w:name="_Toc513029232"/>
      <w:r>
        <w:rPr>
          <w:rFonts w:hint="eastAsia"/>
          <w:b w:val="0"/>
          <w:bCs w:val="0"/>
        </w:rPr>
        <w:t xml:space="preserve">2</w:t>
      </w:r>
      <w:r>
        <w:rPr>
          <w:b w:val="0"/>
          <w:bCs w:val="0"/>
        </w:rPr>
        <w:t xml:space="preserve">3</w:t>
      </w:r>
      <w:r>
        <w:rPr>
          <w:rFonts w:hint="eastAsia"/>
          <w:b w:val="0"/>
          <w:bCs w:val="0"/>
        </w:rPr>
        <w:t xml:space="preserve">、投标文件的澄清</w:t>
      </w:r>
      <w:bookmarkEnd w:id="158"/>
      <w:r/>
      <w:bookmarkEnd w:id="159"/>
      <w:r/>
      <w:bookmarkEnd w:id="160"/>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w:t>
      </w:r>
      <w:r>
        <w:rPr>
          <w:rFonts w:hint="eastAsia" w:ascii="宋体" w:hAnsi="宋体"/>
          <w:sz w:val="24"/>
          <w:szCs w:val="24"/>
        </w:rPr>
        <w:t xml:space="preserve">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04"/>
        <w:ind w:firstLine="420"/>
        <w:spacing w:before="0" w:after="0" w:line="400" w:lineRule="exact"/>
        <w:rPr>
          <w:b w:val="0"/>
          <w:bCs w:val="0"/>
        </w:rPr>
      </w:pPr>
      <w:r/>
      <w:bookmarkStart w:id="161" w:name="_Toc20823305"/>
      <w:r/>
      <w:bookmarkStart w:id="162" w:name="_Toc16938549"/>
      <w:r/>
      <w:bookmarkStart w:id="163"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61"/>
      <w:r/>
      <w:bookmarkEnd w:id="162"/>
      <w:r/>
      <w:bookmarkEnd w:id="163"/>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64" w:name="_Toc20823306"/>
      <w:r/>
      <w:bookmarkStart w:id="165" w:name="_Toc16938550"/>
      <w:r/>
      <w:bookmarkStart w:id="166"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 异常低价投标审查</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24.7.1 评标过程中出现下列情形之一的，评标委员会应当启动异常低价投标审查程序：</w:t>
      </w:r>
      <w:r/>
    </w:p>
    <w:p>
      <w:pPr>
        <w:ind w:firstLine="420"/>
        <w:spacing w:line="400" w:lineRule="exact"/>
        <w:rPr>
          <w:rFonts w:hint="eastAsia" w:ascii="宋体" w:hAnsi="宋体" w:cs="方正魏碑_GBK"/>
          <w:sz w:val="24"/>
        </w:rPr>
      </w:pPr>
      <w:r>
        <w:rPr>
          <w:rFonts w:hint="eastAsia" w:ascii="宋体" w:hAnsi="宋体" w:cs="方正魏碑_GBK"/>
          <w:sz w:val="24"/>
        </w:rPr>
        <w:t xml:space="preserve">（1）投标报价低于全部通过符合性审查供应商投标报价平均值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的，即投标报价&lt;全部通过符合性审查供应商投标报价平均值×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（2）投标报价低于通过符合性审查的次低报价供应商投标报价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的，即投标报价&lt;通过符合性审查的次低报价供应商投标报价×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（3）投标报价低于采购项目最高限价</w:t>
      </w:r>
      <w:r>
        <w:rPr>
          <w:rFonts w:hint="eastAsia" w:ascii="宋体" w:hAnsi="宋体" w:cs="方正魏碑_GBK"/>
          <w:sz w:val="24"/>
          <w:u w:val="single"/>
        </w:rPr>
        <w:t xml:space="preserve">65%</w:t>
      </w:r>
      <w:r>
        <w:rPr>
          <w:rFonts w:hint="eastAsia" w:ascii="宋体" w:hAnsi="宋体" w:cs="方正魏碑_GBK"/>
          <w:sz w:val="24"/>
        </w:rPr>
        <w:t xml:space="preserve">的，即投标报价&lt;采购项目最高限价×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sz w:val="24"/>
        </w:rPr>
      </w:pPr>
      <w:r>
        <w:rPr>
          <w:rFonts w:hint="eastAsia" w:ascii="宋体" w:hAnsi="宋体"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04"/>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00" w:lineRule="exact"/>
        <w:rPr>
          <w:rFonts w:hint="eastAsia" w:ascii="宋体" w:hAnsi="宋体"/>
          <w:bCs/>
          <w:sz w:val="24"/>
        </w:rPr>
      </w:pPr>
      <w:r/>
      <w:bookmarkStart w:id="167" w:name="_Toc20823307"/>
      <w:r/>
      <w:bookmarkStart w:id="168" w:name="_Toc513029235"/>
      <w:r/>
      <w:bookmarkStart w:id="169"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sz w:val="24"/>
          <w:szCs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03"/>
        <w:ind w:firstLine="482"/>
        <w:spacing w:before="145" w:after="145" w:line="400" w:lineRule="exact"/>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704"/>
        <w:ind w:firstLine="600"/>
        <w:spacing w:before="0" w:after="0" w:line="400" w:lineRule="exact"/>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w:t>
      </w:r>
      <w:r>
        <w:rPr>
          <w:rFonts w:hint="eastAsia" w:ascii="宋体" w:hAnsi="宋体"/>
          <w:sz w:val="24"/>
          <w:szCs w:val="24"/>
        </w:rPr>
        <w:t xml:space="preserve">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74"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0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4"/>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ascii="宋体" w:hAnsi="宋体"/>
          <w:b/>
          <w:bCs/>
          <w:sz w:val="24"/>
          <w:szCs w:val="24"/>
        </w:rPr>
        <w:t xml:space="preserve">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w:t>
      </w:r>
      <w:r>
        <w:rPr>
          <w:rFonts w:hint="eastAsia" w:ascii="宋体" w:hAnsi="宋体"/>
          <w:sz w:val="24"/>
          <w:szCs w:val="24"/>
        </w:rPr>
        <w:t xml:space="preserve">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03"/>
        <w:spacing w:before="145" w:after="145" w:line="400" w:lineRule="exact"/>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
    </w:p>
    <w:p>
      <w:pPr>
        <w:pStyle w:val="704"/>
        <w:ind w:firstLine="600"/>
        <w:spacing w:before="0" w:after="0" w:line="400" w:lineRule="exact"/>
        <w:rPr>
          <w:rFonts w:hint="eastAsia" w:ascii="黑体" w:hAnsi="宋体" w:cs="Times New Roman"/>
          <w:b w:val="0"/>
          <w:sz w:val="30"/>
          <w:szCs w:val="30"/>
        </w:rPr>
      </w:pPr>
      <w:r/>
      <w:bookmarkStart w:id="179" w:name="_Toc20823309"/>
      <w:r/>
      <w:bookmarkStart w:id="180" w:name="_Toc16938553"/>
      <w:r/>
      <w:bookmarkStart w:id="181" w:name="_Toc513029237"/>
      <w:r/>
      <w:bookmarkEnd w:id="176"/>
      <w:r/>
      <w:bookmarkEnd w:id="177"/>
      <w:r/>
      <w:bookmarkEnd w:id="178"/>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0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w:t>
      </w:r>
      <w:r>
        <w:rPr>
          <w:rFonts w:hint="eastAsia" w:ascii="宋体" w:hAnsi="宋体"/>
          <w:sz w:val="24"/>
          <w:szCs w:val="24"/>
        </w:rPr>
        <w:t xml:space="preserve">但所有补充合同的采购金额不超过原合同金额10%。</w:t>
      </w:r>
      <w:r/>
    </w:p>
    <w:p>
      <w:pPr>
        <w:pStyle w:val="704"/>
        <w:ind w:firstLine="600"/>
        <w:spacing w:before="0" w:after="0" w:line="400" w:lineRule="exact"/>
        <w:rPr>
          <w:rFonts w:hint="eastAsia" w:ascii="黑体" w:hAnsi="宋体" w:cs="Times New Roman"/>
          <w:b w:val="0"/>
          <w:sz w:val="30"/>
          <w:szCs w:val="30"/>
        </w:rPr>
      </w:pPr>
      <w:r/>
      <w:bookmarkStart w:id="182" w:name="_Toc120614221"/>
      <w:r/>
      <w:bookmarkStart w:id="183" w:name="_Toc20823314"/>
      <w:r/>
      <w:bookmarkStart w:id="184" w:name="_Toc479757207"/>
      <w:r/>
      <w:bookmarkStart w:id="185" w:name="_Toc513029242"/>
      <w:r/>
      <w:bookmarkStart w:id="186" w:name="_Toc16938558"/>
      <w:r/>
      <w:bookmarkEnd w:id="179"/>
      <w:r/>
      <w:bookmarkEnd w:id="180"/>
      <w:r/>
      <w:bookmarkEnd w:id="18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13"/>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713"/>
        <w:ind w:firstLine="0"/>
        <w:spacing w:line="400" w:lineRule="exact"/>
        <w:rPr>
          <w:rFonts w:hint="eastAsia" w:ascii="宋体" w:hAnsi="宋体"/>
          <w:bCs/>
          <w:sz w:val="24"/>
        </w:rPr>
      </w:pPr>
      <w:r>
        <w:rPr>
          <w:rFonts w:hint="eastAsia" w:ascii="宋体" w:hAnsi="宋体"/>
          <w:bCs/>
          <w:sz w:val="24"/>
        </w:rPr>
        <w:br w:type="page" w:clear="all"/>
      </w:r>
      <w:r/>
    </w:p>
    <w:p>
      <w:pPr>
        <w:pStyle w:val="701"/>
        <w:rPr>
          <w:rFonts w:ascii="黑体" w:eastAsia="黑体"/>
          <w:bCs/>
          <w:sz w:val="44"/>
        </w:rPr>
      </w:pPr>
      <w:r/>
      <w:bookmarkStart w:id="187" w:name="_Toc239690742"/>
      <w:r/>
      <w:bookmarkEnd w:id="56"/>
      <w:r/>
      <w:bookmarkEnd w:id="57"/>
      <w:r/>
      <w:bookmarkEnd w:id="58"/>
      <w:r>
        <w:rPr>
          <w:rFonts w:hint="eastAsia" w:ascii="黑体" w:eastAsia="黑体"/>
          <w:sz w:val="44"/>
          <w:szCs w:val="44"/>
        </w:rPr>
        <w:t xml:space="preserve">第三章  合同</w:t>
      </w:r>
      <w:bookmarkEnd w:id="182"/>
      <w:r/>
      <w:bookmarkEnd w:id="183"/>
      <w:r/>
      <w:bookmarkEnd w:id="184"/>
      <w:r/>
      <w:bookmarkEnd w:id="185"/>
      <w:r/>
      <w:bookmarkEnd w:id="186"/>
      <w:r>
        <w:rPr>
          <w:rFonts w:hint="eastAsia" w:ascii="黑体" w:eastAsia="黑体"/>
          <w:sz w:val="44"/>
          <w:szCs w:val="44"/>
        </w:rPr>
        <w:t xml:space="preserve">文本</w:t>
      </w:r>
      <w:bookmarkEnd w:id="187"/>
      <w:r/>
      <w:r/>
    </w:p>
    <w:p>
      <w:pPr>
        <w:jc w:val="center"/>
        <w:spacing w:before="145" w:after="145"/>
        <w:rPr>
          <w:rFonts w:hint="eastAsia" w:ascii="宋体" w:hAnsi="宋体"/>
          <w:b/>
          <w:bCs/>
          <w:sz w:val="30"/>
          <w:szCs w:val="20"/>
        </w:rPr>
        <w:outlineLvl w:val="0"/>
      </w:pPr>
      <w:r/>
      <w:bookmarkStart w:id="188" w:name="_Hlt16619369"/>
      <w:r/>
      <w:bookmarkStart w:id="189" w:name="_Toc239690743"/>
      <w:r/>
      <w:bookmarkStart w:id="190" w:name="_Toc120614244"/>
      <w:r/>
      <w:bookmarkStart w:id="191" w:name="_Toc16938590"/>
      <w:r/>
      <w:bookmarkStart w:id="192" w:name="_Hlt16619350"/>
      <w:r/>
      <w:bookmarkStart w:id="193" w:name="_Toc20823346"/>
      <w:r/>
      <w:bookmarkStart w:id="194" w:name="_Toc462564139"/>
      <w:r/>
      <w:bookmarkStart w:id="195" w:name="_Toc479757211"/>
      <w:r/>
      <w:bookmarkEnd w:id="188"/>
      <w:r>
        <w:rPr>
          <w:rFonts w:hint="eastAsia" w:ascii="宋体" w:hAnsi="宋体"/>
          <w:b/>
          <w:sz w:val="30"/>
        </w:rPr>
        <w:t xml:space="preserve">江苏省政府采购合同（服务）（合同编号）</w:t>
      </w:r>
      <w:bookmarkEnd w:id="189"/>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1025"/>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102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1025"/>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1025"/>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25"/>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2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25"/>
        <w:spacing w:before="120" w:after="120"/>
        <w:rPr>
          <w:rFonts w:hint="eastAsia" w:hAnsi="宋体"/>
          <w:sz w:val="24"/>
          <w:szCs w:val="24"/>
        </w:rPr>
      </w:pPr>
      <w:r>
        <w:rPr>
          <w:rFonts w:hint="eastAsia" w:hAnsi="宋体"/>
          <w:sz w:val="24"/>
          <w:szCs w:val="24"/>
        </w:rPr>
        <w:t xml:space="preserve">1.3 标的数量（规模）：</w:t>
      </w:r>
      <w:r/>
    </w:p>
    <w:p>
      <w:pPr>
        <w:pStyle w:val="1025"/>
        <w:spacing w:before="120" w:after="120"/>
        <w:rPr>
          <w:rFonts w:hint="eastAsia" w:hAnsi="宋体"/>
          <w:sz w:val="24"/>
          <w:szCs w:val="24"/>
        </w:rPr>
      </w:pPr>
      <w:r>
        <w:rPr>
          <w:rFonts w:hint="eastAsia" w:hAnsi="宋体"/>
          <w:sz w:val="24"/>
          <w:szCs w:val="24"/>
        </w:rPr>
        <w:t xml:space="preserve">1.4 履行时间（期限）：</w:t>
      </w:r>
      <w:r/>
    </w:p>
    <w:p>
      <w:pPr>
        <w:pStyle w:val="1025"/>
        <w:spacing w:before="120" w:after="120"/>
        <w:rPr>
          <w:rFonts w:hint="eastAsia" w:hAnsi="宋体"/>
          <w:sz w:val="24"/>
          <w:szCs w:val="24"/>
        </w:rPr>
      </w:pPr>
      <w:r>
        <w:rPr>
          <w:rFonts w:hint="eastAsia" w:hAnsi="宋体"/>
          <w:sz w:val="24"/>
          <w:szCs w:val="24"/>
        </w:rPr>
        <w:t xml:space="preserve">1.5 履行地点：</w:t>
      </w:r>
      <w:r/>
    </w:p>
    <w:p>
      <w:pPr>
        <w:pStyle w:val="102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1025"/>
        <w:spacing w:before="120" w:after="120"/>
        <w:rPr>
          <w:rFonts w:hint="eastAsia" w:hAnsi="宋体"/>
          <w:b/>
          <w:sz w:val="24"/>
          <w:szCs w:val="24"/>
        </w:rPr>
      </w:pPr>
      <w:r>
        <w:rPr>
          <w:rFonts w:hAnsi="宋体"/>
          <w:b/>
          <w:sz w:val="24"/>
          <w:szCs w:val="24"/>
        </w:rPr>
        <w:t xml:space="preserve">二、合同金额</w:t>
      </w:r>
      <w:r/>
    </w:p>
    <w:p>
      <w:pPr>
        <w:pStyle w:val="1025"/>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1025"/>
        <w:spacing w:before="120" w:after="120"/>
        <w:rPr>
          <w:rFonts w:hint="eastAsia" w:hAnsi="宋体"/>
          <w:b/>
          <w:sz w:val="24"/>
          <w:szCs w:val="24"/>
        </w:rPr>
      </w:pPr>
      <w:r>
        <w:rPr>
          <w:rFonts w:hAnsi="宋体"/>
          <w:b/>
          <w:sz w:val="24"/>
          <w:szCs w:val="24"/>
        </w:rPr>
        <w:t xml:space="preserve">三、技术资料</w:t>
      </w:r>
      <w:r/>
    </w:p>
    <w:p>
      <w:pPr>
        <w:pStyle w:val="102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25"/>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25"/>
        <w:ind w:left="412" w:hanging="412"/>
        <w:spacing w:before="120" w:after="120"/>
        <w:rPr>
          <w:rFonts w:hint="eastAsia" w:hAnsi="宋体"/>
          <w:b/>
          <w:sz w:val="24"/>
          <w:szCs w:val="24"/>
        </w:rPr>
      </w:pPr>
      <w:r>
        <w:rPr>
          <w:rFonts w:hAnsi="宋体"/>
          <w:b/>
          <w:sz w:val="24"/>
          <w:szCs w:val="24"/>
        </w:rPr>
        <w:t xml:space="preserve">四、知识产权</w:t>
      </w:r>
      <w:r/>
    </w:p>
    <w:p>
      <w:pPr>
        <w:pStyle w:val="102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25"/>
        <w:spacing w:before="120" w:after="120"/>
        <w:rPr>
          <w:rFonts w:hint="eastAsia" w:hAnsi="宋体"/>
          <w:sz w:val="24"/>
          <w:szCs w:val="24"/>
          <w:u w:val="single"/>
        </w:rPr>
      </w:pPr>
      <w:r>
        <w:rPr>
          <w:rFonts w:hAnsi="宋体"/>
          <w:b/>
          <w:sz w:val="24"/>
          <w:szCs w:val="24"/>
        </w:rPr>
        <w:t xml:space="preserve">五、产权担保</w:t>
      </w:r>
      <w:r/>
    </w:p>
    <w:p>
      <w:pPr>
        <w:pStyle w:val="1025"/>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025"/>
        <w:ind w:left="410" w:hanging="410"/>
        <w:spacing w:before="120" w:after="120"/>
        <w:rPr>
          <w:rFonts w:hint="eastAsia" w:hAnsi="宋体"/>
          <w:b/>
          <w:sz w:val="24"/>
          <w:szCs w:val="24"/>
        </w:rPr>
      </w:pPr>
      <w:r>
        <w:rPr>
          <w:rFonts w:hAnsi="宋体"/>
          <w:b/>
          <w:sz w:val="24"/>
          <w:szCs w:val="24"/>
        </w:rPr>
        <w:t xml:space="preserve">六、履约保证金</w:t>
      </w:r>
      <w:r/>
    </w:p>
    <w:p>
      <w:pPr>
        <w:pStyle w:val="1025"/>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1025"/>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1025"/>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1025"/>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1025"/>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1025"/>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25"/>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before="145" w:after="145"/>
        <w:rPr>
          <w:rFonts w:hint="eastAsia" w:ascii="宋体" w:hAnsi="宋体" w:eastAsia="仿宋_GB2312"/>
          <w:b/>
          <w:sz w:val="24"/>
          <w:szCs w:val="24"/>
        </w:rPr>
      </w:pPr>
      <w:r>
        <w:rPr>
          <w:rFonts w:hint="eastAsia" w:ascii="宋体" w:hAnsi="宋体"/>
          <w:b/>
          <w:sz w:val="24"/>
          <w:szCs w:val="24"/>
        </w:rPr>
        <w:t xml:space="preserve">九、税费</w:t>
      </w:r>
      <w:r/>
    </w:p>
    <w:p>
      <w:pPr>
        <w:spacing w:before="145" w:after="145"/>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2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2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102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2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2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2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2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2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2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w:t>
      </w:r>
      <w:r>
        <w:rPr>
          <w:rFonts w:hint="eastAsia" w:hAnsi="宋体"/>
          <w:sz w:val="24"/>
          <w:szCs w:val="24"/>
        </w:rPr>
        <w:t xml:space="preserve"> 本合同生效后，任何一方不履行或不完全履行本合同约定义务的，即构成违约，</w:t>
      </w:r>
      <w:r>
        <w:rPr>
          <w:rFonts w:hint="eastAsia" w:hAnsi="宋体"/>
          <w:sz w:val="24"/>
          <w:szCs w:val="24"/>
        </w:rPr>
        <w:t xml:space="preserve">守约方有权要求违约方按照守约方遭受的全部损失承担赔偿责任，该损失包括但不限于，守约方为实现权利救济而支付的律师费、差旅费等。</w:t>
      </w:r>
      <w:r/>
    </w:p>
    <w:p>
      <w:pPr>
        <w:pStyle w:val="1025"/>
        <w:spacing w:before="120" w:after="120"/>
        <w:rPr>
          <w:rFonts w:hint="eastAsia" w:hAnsi="宋体"/>
          <w:sz w:val="24"/>
          <w:szCs w:val="24"/>
        </w:rPr>
      </w:pPr>
      <w:r>
        <w:rPr>
          <w:rFonts w:hint="eastAsia" w:hAnsi="宋体"/>
          <w:sz w:val="24"/>
          <w:szCs w:val="24"/>
        </w:rPr>
        <w:t xml:space="preserve">11.2 由于乙方原因造成其提供的服务不能满足合同中规定的要求，则甲方有权在书面通知乙方后，要求乙方按照以每例情事按合同总额</w:t>
      </w:r>
      <w:r>
        <w:rPr>
          <w:rFonts w:hint="eastAsia" w:hAnsi="宋体"/>
          <w:b/>
          <w:bCs/>
          <w:sz w:val="24"/>
          <w:szCs w:val="24"/>
        </w:rPr>
        <w:t xml:space="preserve">3%</w:t>
      </w:r>
      <w:r>
        <w:rPr>
          <w:rFonts w:hint="eastAsia" w:hAnsi="宋体"/>
          <w:sz w:val="24"/>
          <w:szCs w:val="24"/>
        </w:rPr>
        <w:t xml:space="preserve">的标准支付违约金，甲方有权在向乙方的任何应付款项中直接扣除该等违约金。服务期限内，上述情事累计发生超过3次的（包含3次），或因乙方有任何履行合同不符合约定的情形，经甲方以书面形式通知乙方，乙方在7日内未能予以补正和改进的，甲方有权解除本合同。甲方依法或依本合约约定行使合同解除权的，乙方须向甲方退还甲方已经支付的全部款项，并且乙方须按照合同总额</w:t>
      </w:r>
      <w:r>
        <w:rPr>
          <w:rFonts w:hint="eastAsia" w:hAnsi="宋体"/>
          <w:b/>
          <w:bCs/>
          <w:sz w:val="24"/>
          <w:szCs w:val="24"/>
        </w:rPr>
        <w:t xml:space="preserve">30%</w:t>
      </w:r>
      <w:r>
        <w:rPr>
          <w:rFonts w:hint="eastAsia" w:hAnsi="宋体"/>
          <w:sz w:val="24"/>
          <w:szCs w:val="24"/>
        </w:rPr>
        <w:t xml:space="preserve">的标准向甲方支付违约金，该等违约金不足以弥补甲方损失的，乙方须足额赔偿。</w:t>
      </w:r>
      <w:r/>
    </w:p>
    <w:p>
      <w:pPr>
        <w:pStyle w:val="1025"/>
        <w:spacing w:before="120" w:after="120"/>
        <w:rPr>
          <w:rFonts w:hint="eastAsia" w:hAnsi="宋体"/>
          <w:sz w:val="24"/>
          <w:szCs w:val="24"/>
        </w:rPr>
      </w:pPr>
      <w:r>
        <w:rPr>
          <w:rFonts w:hint="eastAsia" w:hAnsi="宋体"/>
          <w:sz w:val="24"/>
          <w:szCs w:val="24"/>
        </w:rPr>
        <w:t xml:space="preserve">11.3 由于乙方原因造成其不能按时完成服务的，每逾期1个工作日，乙方向甲方支付合同总额的</w:t>
      </w:r>
      <w:r>
        <w:rPr>
          <w:rFonts w:hint="eastAsia" w:hAnsi="宋体"/>
          <w:b/>
          <w:bCs/>
          <w:sz w:val="24"/>
          <w:szCs w:val="24"/>
        </w:rPr>
        <w:t xml:space="preserve">3%</w:t>
      </w:r>
      <w:r>
        <w:rPr>
          <w:rFonts w:hint="eastAsia" w:hAnsi="宋体"/>
          <w:sz w:val="24"/>
          <w:szCs w:val="24"/>
        </w:rPr>
        <w:t xml:space="preserve">的违约金，甲方有权在向乙方的任何应付款项中直接扣除该等违约金。乙方逾期履行超过5个工作日的，甲方有权解除本合同，乙方须向甲方退还甲方已经支付的全部款项，并且乙方须按照合同总额</w:t>
      </w:r>
      <w:r>
        <w:rPr>
          <w:rFonts w:hint="eastAsia" w:hAnsi="宋体"/>
          <w:b/>
          <w:bCs/>
          <w:sz w:val="24"/>
          <w:szCs w:val="24"/>
        </w:rPr>
        <w:t xml:space="preserve">30%</w:t>
      </w:r>
      <w:r>
        <w:rPr>
          <w:rFonts w:hint="eastAsia" w:hAnsi="宋体"/>
          <w:sz w:val="24"/>
          <w:szCs w:val="24"/>
        </w:rPr>
        <w:t xml:space="preserve">的标准向甲方支付违约金，该等违约金不足以弥补甲方损失的，乙方须足额赔偿。 </w:t>
      </w:r>
      <w:r/>
    </w:p>
    <w:p>
      <w:pPr>
        <w:pStyle w:val="1025"/>
        <w:spacing w:before="120" w:after="120"/>
        <w:rPr>
          <w:rFonts w:hint="eastAsia" w:hAnsi="宋体"/>
          <w:sz w:val="24"/>
          <w:szCs w:val="24"/>
        </w:rPr>
      </w:pPr>
      <w:r>
        <w:rPr>
          <w:rFonts w:hint="eastAsia" w:hAnsi="宋体"/>
          <w:sz w:val="24"/>
          <w:szCs w:val="24"/>
        </w:rPr>
        <w:t xml:space="preserve">11.4 乙方所提供服务的标准不符合合同规定及招标文件规定标准的，甲方有权拒绝接受服务，并可单方面解除合同。</w:t>
      </w:r>
      <w:r/>
    </w:p>
    <w:p>
      <w:pPr>
        <w:pStyle w:val="102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2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2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2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2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2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2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2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2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102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25"/>
        <w:ind w:left="480" w:hanging="480"/>
        <w:spacing w:before="120" w:after="120" w:line="0" w:lineRule="atLeast"/>
        <w:rPr>
          <w:rFonts w:hint="eastAsia" w:hAnsi="宋体"/>
          <w:sz w:val="24"/>
          <w:szCs w:val="24"/>
        </w:rPr>
      </w:pPr>
      <w:r>
        <w:rPr>
          <w:rFonts w:hAnsi="宋体"/>
          <w:sz w:val="24"/>
          <w:szCs w:val="24"/>
        </w:rPr>
        <w:t xml:space="preserve">  甲方：                        乙方： </w:t>
      </w:r>
      <w:r/>
    </w:p>
    <w:p>
      <w:pPr>
        <w:pStyle w:val="1025"/>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25"/>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25"/>
        <w:ind w:firstLine="240"/>
        <w:spacing w:before="120" w:after="120" w:line="0" w:lineRule="atLeast"/>
      </w:pPr>
      <w:r>
        <w:rPr>
          <w:rFonts w:hint="eastAsia" w:hAnsi="宋体"/>
          <w:sz w:val="24"/>
          <w:szCs w:val="24"/>
        </w:rPr>
        <w:t xml:space="preserve">联系电话：                    联系电话：          </w:t>
      </w:r>
      <w:r/>
    </w:p>
    <w:p>
      <w:pPr>
        <w:pStyle w:val="1025"/>
        <w:jc w:val="center"/>
        <w:spacing w:before="120" w:after="120" w:line="0" w:lineRule="atLeast"/>
      </w:pPr>
      <w:r>
        <w:rPr>
          <w:rFonts w:hint="eastAsia"/>
        </w:rPr>
        <w:t xml:space="preserve">                                         </w:t>
      </w:r>
      <w:r/>
    </w:p>
    <w:p>
      <w:pPr>
        <w:pStyle w:val="1025"/>
        <w:jc w:val="right"/>
        <w:spacing w:before="120" w:after="120" w:line="0" w:lineRule="atLeast"/>
        <w:rPr>
          <w:sz w:val="24"/>
          <w:szCs w:val="24"/>
        </w:rPr>
      </w:pPr>
      <w:r>
        <w:rPr>
          <w:rFonts w:hint="eastAsia"/>
          <w:sz w:val="24"/>
          <w:szCs w:val="24"/>
        </w:rPr>
        <w:t xml:space="preserve"> </w:t>
      </w:r>
      <w:r/>
    </w:p>
    <w:p>
      <w:pPr>
        <w:pStyle w:val="725"/>
        <w:jc w:val="center"/>
        <w:spacing w:before="120" w:after="120" w:line="0" w:lineRule="atLeast"/>
        <w:rPr>
          <w:rFonts w:ascii="黑体" w:eastAsia="黑体"/>
          <w:bCs/>
          <w:sz w:val="4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rFonts w:ascii="黑体" w:eastAsia="黑体"/>
          <w:bCs/>
          <w:sz w:val="44"/>
        </w:rPr>
        <w:br w:type="page" w:clear="all"/>
      </w:r>
      <w:r/>
    </w:p>
    <w:p>
      <w:pPr>
        <w:pStyle w:val="701"/>
        <w:rPr>
          <w:rFonts w:ascii="黑体" w:eastAsia="黑体"/>
          <w:bCs/>
          <w:sz w:val="44"/>
        </w:rPr>
      </w:pPr>
      <w:r/>
      <w:bookmarkStart w:id="196" w:name="_Toc239690744"/>
      <w:r>
        <w:rPr>
          <w:rFonts w:ascii="黑体" w:eastAsia="黑体"/>
          <w:bCs/>
          <w:sz w:val="44"/>
        </w:rPr>
        <w:t xml:space="preserve">第四章 采购需求</w:t>
      </w:r>
      <w:bookmarkEnd w:id="196"/>
      <w:r/>
      <w:r/>
    </w:p>
    <w:p>
      <w:pPr>
        <w:ind w:firstLine="373"/>
        <w:keepLines/>
        <w:keepNext/>
        <w:spacing w:before="145" w:after="145" w:line="360" w:lineRule="auto"/>
        <w:rPr>
          <w:rFonts w:hint="eastAsia" w:ascii="宋体" w:hAnsi="宋体" w:cs="宋体"/>
          <w:b/>
          <w:bCs/>
          <w:sz w:val="24"/>
          <w:szCs w:val="24"/>
        </w:rPr>
        <w:outlineLvl w:val="2"/>
      </w:pPr>
      <w:r/>
      <w:bookmarkStart w:id="197" w:name="OLE_LINK25"/>
      <w:r/>
      <w:bookmarkStart w:id="198" w:name="OLE_LINK24"/>
      <w:r/>
      <w:bookmarkStart w:id="199" w:name="_Toc26554093"/>
      <w:r/>
      <w:bookmarkStart w:id="200" w:name="_Toc120614281"/>
      <w:r/>
      <w:bookmarkStart w:id="201" w:name="_Toc49090575"/>
      <w:r/>
      <w:bookmarkEnd w:id="190"/>
      <w:r/>
      <w:bookmarkEnd w:id="191"/>
      <w:r/>
      <w:bookmarkEnd w:id="192"/>
      <w:r/>
      <w:bookmarkEnd w:id="193"/>
      <w:r>
        <w:rPr>
          <w:rFonts w:hint="eastAsia" w:ascii="宋体" w:hAnsi="宋体" w:cs="宋体"/>
          <w:b/>
          <w:bCs/>
          <w:sz w:val="24"/>
          <w:szCs w:val="24"/>
        </w:rPr>
        <w:t xml:space="preserve">一</w:t>
      </w:r>
      <w:r>
        <w:rPr>
          <w:rFonts w:ascii="宋体" w:hAnsi="宋体" w:cs="宋体"/>
          <w:b/>
          <w:bCs/>
          <w:sz w:val="24"/>
          <w:szCs w:val="24"/>
        </w:rPr>
        <w:t xml:space="preserve">、</w:t>
      </w:r>
      <w:r>
        <w:rPr>
          <w:rFonts w:hint="eastAsia" w:ascii="宋体" w:hAnsi="宋体" w:cs="宋体"/>
          <w:b/>
          <w:bCs/>
          <w:sz w:val="24"/>
          <w:szCs w:val="24"/>
        </w:rPr>
        <w:t xml:space="preserve">采购</w:t>
      </w:r>
      <w:r>
        <w:rPr>
          <w:rFonts w:ascii="宋体" w:hAnsi="宋体" w:cs="宋体"/>
          <w:b/>
          <w:bCs/>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所属行业</w:t>
            </w:r>
            <w:r/>
          </w:p>
        </w:tc>
      </w:tr>
      <w:tr>
        <w:trPr>
          <w:cantSplit/>
          <w:jc w:val="center"/>
          <w:trHeight w:val="291"/>
        </w:trPr>
        <w:tc>
          <w:tcPr>
            <w:tcW w:w="545"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一</w:t>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91" w:type="dxa"/>
            <w:textDirection w:val="lrTb"/>
            <w:noWrap w:val="false"/>
          </w:tcPr>
          <w:p>
            <w:pPr>
              <w:jc w:val="left"/>
              <w:spacing w:line="0" w:lineRule="atLeast"/>
              <w:tabs>
                <w:tab w:val="left" w:pos="2020" w:leader="none"/>
              </w:tabs>
              <w:rPr>
                <w:rFonts w:hint="eastAsia" w:ascii="宋体" w:hAnsi="宋体"/>
                <w:sz w:val="24"/>
                <w:szCs w:val="24"/>
              </w:rPr>
            </w:pPr>
            <w:r>
              <w:rPr>
                <w:rFonts w:hint="eastAsia" w:ascii="宋体" w:hAnsi="宋体"/>
                <w:sz w:val="24"/>
                <w:szCs w:val="24"/>
              </w:rPr>
              <w:t xml:space="preserve">江苏省水利厅互联网、信息采集网长途电路租赁服务（主）-互联网</w:t>
            </w:r>
            <w:r/>
          </w:p>
        </w:tc>
        <w:tc>
          <w:tcPr>
            <w:tcW w:w="2852"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信息传输业</w:t>
            </w:r>
            <w:r/>
          </w:p>
        </w:tc>
      </w:tr>
      <w:tr>
        <w:trPr>
          <w:cantSplit/>
          <w:jc w:val="center"/>
          <w:trHeight w:val="291"/>
        </w:trPr>
        <w:tc>
          <w:tcPr>
            <w:tcW w:w="545"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3291" w:type="dxa"/>
            <w:textDirection w:val="lrTb"/>
            <w:noWrap w:val="false"/>
          </w:tcPr>
          <w:p>
            <w:pPr>
              <w:jc w:val="left"/>
              <w:spacing w:line="0" w:lineRule="atLeast"/>
              <w:tabs>
                <w:tab w:val="left" w:pos="2020" w:leader="none"/>
              </w:tabs>
              <w:rPr>
                <w:rFonts w:hint="eastAsia" w:ascii="宋体" w:hAnsi="宋体"/>
                <w:sz w:val="24"/>
                <w:szCs w:val="24"/>
              </w:rPr>
            </w:pPr>
            <w:r>
              <w:rPr>
                <w:rFonts w:hint="eastAsia" w:ascii="宋体" w:hAnsi="宋体"/>
                <w:sz w:val="24"/>
                <w:szCs w:val="24"/>
              </w:rPr>
              <w:t xml:space="preserve">江苏省水利厅互联网、信息采集网长途电路租赁服务（主）-数字电路（长途）</w:t>
            </w:r>
            <w:r/>
          </w:p>
        </w:tc>
        <w:tc>
          <w:tcPr>
            <w:tcW w:w="2852"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291"/>
        </w:trPr>
        <w:tc>
          <w:tcPr>
            <w:tcW w:w="545"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3291" w:type="dxa"/>
            <w:textDirection w:val="lrTb"/>
            <w:noWrap w:val="false"/>
          </w:tcPr>
          <w:p>
            <w:pPr>
              <w:jc w:val="left"/>
              <w:spacing w:line="0" w:lineRule="atLeast"/>
              <w:tabs>
                <w:tab w:val="left" w:pos="2020" w:leader="none"/>
              </w:tabs>
              <w:rPr>
                <w:rFonts w:hint="eastAsia" w:ascii="宋体" w:hAnsi="宋体"/>
                <w:sz w:val="24"/>
                <w:szCs w:val="24"/>
              </w:rPr>
            </w:pPr>
            <w:r>
              <w:rPr>
                <w:rFonts w:hint="eastAsia" w:ascii="宋体" w:hAnsi="宋体"/>
                <w:sz w:val="24"/>
                <w:szCs w:val="24"/>
              </w:rPr>
              <w:t xml:space="preserve">江苏省水利厅互联网、信息采集网长途电路租赁服务（主）-裸光纤</w:t>
            </w:r>
            <w:r/>
          </w:p>
        </w:tc>
        <w:tc>
          <w:tcPr>
            <w:tcW w:w="2852"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222"/>
        </w:trPr>
        <w:tc>
          <w:tcPr>
            <w:tcW w:w="545"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二</w:t>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91" w:type="dxa"/>
            <w:textDirection w:val="lrTb"/>
            <w:noWrap w:val="false"/>
          </w:tcPr>
          <w:p>
            <w:pPr>
              <w:jc w:val="left"/>
              <w:spacing w:line="0" w:lineRule="atLeast"/>
              <w:rPr>
                <w:rFonts w:hint="eastAsia" w:ascii="宋体" w:hAnsi="宋体"/>
                <w:sz w:val="24"/>
                <w:szCs w:val="24"/>
              </w:rPr>
            </w:pPr>
            <w:r>
              <w:rPr>
                <w:rFonts w:hint="eastAsia" w:ascii="宋体" w:hAnsi="宋体"/>
                <w:sz w:val="24"/>
                <w:szCs w:val="24"/>
              </w:rPr>
              <w:t xml:space="preserve">江苏省水利厅互联网、信息采集网长途电路租赁服务（备）-互联网</w:t>
            </w:r>
            <w:r/>
          </w:p>
        </w:tc>
        <w:tc>
          <w:tcPr>
            <w:tcW w:w="2852"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信息传输业</w:t>
            </w:r>
            <w:r/>
          </w:p>
        </w:tc>
      </w:tr>
      <w:tr>
        <w:trPr>
          <w:cantSplit/>
          <w:jc w:val="center"/>
          <w:trHeight w:val="222"/>
        </w:trPr>
        <w:tc>
          <w:tcPr>
            <w:tcW w:w="545"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3291" w:type="dxa"/>
            <w:textDirection w:val="lrTb"/>
            <w:noWrap w:val="false"/>
          </w:tcPr>
          <w:p>
            <w:pPr>
              <w:jc w:val="left"/>
              <w:spacing w:line="0" w:lineRule="atLeast"/>
              <w:rPr>
                <w:rFonts w:hint="eastAsia" w:ascii="宋体" w:hAnsi="宋体"/>
                <w:sz w:val="24"/>
                <w:szCs w:val="24"/>
              </w:rPr>
            </w:pPr>
            <w:r>
              <w:rPr>
                <w:rFonts w:hint="eastAsia" w:ascii="宋体" w:hAnsi="宋体"/>
                <w:sz w:val="24"/>
                <w:szCs w:val="24"/>
              </w:rPr>
              <w:t xml:space="preserve">江苏省水利厅互联网、信息采集网长途电路租赁服务（备）-数字电路（长途）</w:t>
            </w:r>
            <w:r/>
          </w:p>
        </w:tc>
        <w:tc>
          <w:tcPr>
            <w:tcW w:w="2852"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222"/>
        </w:trPr>
        <w:tc>
          <w:tcPr>
            <w:tcW w:w="545"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3291" w:type="dxa"/>
            <w:textDirection w:val="lrTb"/>
            <w:noWrap w:val="false"/>
          </w:tcPr>
          <w:p>
            <w:pPr>
              <w:jc w:val="left"/>
              <w:spacing w:line="0" w:lineRule="atLeast"/>
              <w:rPr>
                <w:rFonts w:hint="eastAsia" w:ascii="宋体" w:hAnsi="宋体"/>
                <w:sz w:val="24"/>
                <w:szCs w:val="24"/>
              </w:rPr>
            </w:pPr>
            <w:r>
              <w:rPr>
                <w:rFonts w:hint="eastAsia" w:ascii="宋体" w:hAnsi="宋体"/>
                <w:sz w:val="24"/>
                <w:szCs w:val="24"/>
              </w:rPr>
              <w:t xml:space="preserve">江苏省水利厅互联网、信息采集网长途电路租赁服务（备）-裸光纤</w:t>
            </w:r>
            <w:r/>
          </w:p>
        </w:tc>
        <w:tc>
          <w:tcPr>
            <w:tcW w:w="2852"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222"/>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三</w:t>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91" w:type="dxa"/>
            <w:textDirection w:val="lrTb"/>
            <w:noWrap w:val="false"/>
          </w:tcPr>
          <w:p>
            <w:pPr>
              <w:jc w:val="left"/>
              <w:spacing w:line="0" w:lineRule="atLeast"/>
              <w:rPr>
                <w:rFonts w:hint="eastAsia" w:ascii="宋体" w:hAnsi="宋体"/>
                <w:sz w:val="24"/>
                <w:szCs w:val="24"/>
              </w:rPr>
            </w:pPr>
            <w:r>
              <w:rPr>
                <w:rFonts w:hint="eastAsia" w:ascii="宋体" w:hAnsi="宋体"/>
                <w:sz w:val="24"/>
                <w:szCs w:val="24"/>
              </w:rPr>
              <w:t xml:space="preserve">江苏省水利厅直属单位水利信息采集电路租用服务-数字电路（本地）</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信息传输业</w:t>
            </w:r>
            <w:r/>
          </w:p>
        </w:tc>
      </w:tr>
    </w:tbl>
    <w:p>
      <w:pPr>
        <w:spacing w:line="0" w:lineRule="atLeast"/>
        <w:rPr>
          <w:rFonts w:hint="eastAsia" w:ascii="宋体" w:hAnsi="宋体"/>
          <w:b/>
          <w:sz w:val="24"/>
          <w:szCs w:val="24"/>
        </w:rPr>
      </w:pPr>
      <w:r>
        <w:rPr>
          <w:rFonts w:hint="eastAsia" w:ascii="宋体" w:hAnsi="宋体"/>
          <w:b/>
          <w:sz w:val="24"/>
          <w:szCs w:val="24"/>
        </w:rPr>
      </w:r>
      <w:r/>
    </w:p>
    <w:p>
      <w:pPr>
        <w:pStyle w:val="870"/>
        <w:ind w:left="360" w:hanging="360"/>
        <w:spacing w:line="0" w:lineRule="atLeast"/>
        <w:rPr>
          <w:rFonts w:hint="eastAsia" w:ascii="宋体" w:hAnsi="宋体"/>
          <w:b/>
          <w:lang w:eastAsia="zh-CN"/>
        </w:rPr>
      </w:pPr>
      <w:r>
        <w:rPr>
          <w:rFonts w:ascii="宋体" w:hAnsi="宋体"/>
          <w:b/>
          <w:lang w:eastAsia="zh-CN"/>
        </w:rPr>
        <w:t xml:space="preserve">1.</w:t>
      </w:r>
      <w:r>
        <w:rPr>
          <w:rFonts w:hint="eastAsia" w:ascii="宋体" w:hAnsi="宋体"/>
          <w:b/>
          <w:lang w:eastAsia="zh-CN"/>
        </w:rPr>
        <w:t xml:space="preserve">采购包一具体情况</w:t>
      </w:r>
      <w:r/>
    </w:p>
    <w:p>
      <w:pPr>
        <w:ind w:firstLine="480"/>
        <w:spacing w:line="500" w:lineRule="exact"/>
        <w:rPr>
          <w:rFonts w:hint="eastAsia" w:ascii="宋体" w:hAnsi="宋体"/>
          <w:bCs/>
          <w:sz w:val="24"/>
          <w:szCs w:val="24"/>
        </w:rPr>
      </w:pPr>
      <w:r>
        <w:rPr>
          <w:rFonts w:hint="eastAsia" w:ascii="宋体" w:hAnsi="宋体"/>
          <w:b/>
          <w:sz w:val="24"/>
          <w:szCs w:val="24"/>
        </w:rPr>
        <w:t xml:space="preserve">1</w:t>
      </w:r>
      <w:r>
        <w:rPr>
          <w:rFonts w:ascii="宋体" w:hAnsi="宋体"/>
          <w:b/>
          <w:sz w:val="24"/>
          <w:szCs w:val="24"/>
        </w:rPr>
        <w:t xml:space="preserve">.1</w:t>
      </w:r>
      <w:r>
        <w:rPr>
          <w:rFonts w:hint="eastAsia" w:ascii="宋体" w:hAnsi="宋体" w:cs="宋体"/>
          <w:b/>
          <w:bCs/>
          <w:sz w:val="24"/>
          <w:szCs w:val="24"/>
        </w:rPr>
        <w:t xml:space="preserve">互联网宽带。</w:t>
      </w:r>
      <w:r>
        <w:rPr>
          <w:rFonts w:hint="eastAsia" w:ascii="宋体" w:hAnsi="宋体"/>
          <w:bCs/>
          <w:sz w:val="24"/>
          <w:szCs w:val="24"/>
        </w:rPr>
        <w:t xml:space="preserve">拟对省水利厅2条互联网500M宽带、1条厅直属单位互联网1000M宽带的1年租赁使用权以及线路服务等内容进行采购。</w:t>
      </w:r>
      <w:r/>
    </w:p>
    <w:p>
      <w:pPr>
        <w:ind w:firstLine="480"/>
        <w:spacing w:line="500" w:lineRule="exact"/>
        <w:rPr>
          <w:rFonts w:hint="eastAsia" w:ascii="宋体" w:hAnsi="宋体" w:cs="宋体"/>
          <w:bCs/>
          <w:sz w:val="24"/>
          <w:szCs w:val="24"/>
        </w:rPr>
      </w:pPr>
      <w:r>
        <w:rPr>
          <w:rFonts w:hint="eastAsia" w:ascii="宋体" w:hAnsi="宋体"/>
          <w:b/>
          <w:sz w:val="24"/>
          <w:szCs w:val="24"/>
        </w:rPr>
        <w:t xml:space="preserve">1</w:t>
      </w:r>
      <w:r>
        <w:rPr>
          <w:rFonts w:ascii="宋体" w:hAnsi="宋体"/>
          <w:b/>
          <w:sz w:val="24"/>
          <w:szCs w:val="24"/>
        </w:rPr>
        <w:t xml:space="preserve">.2</w:t>
      </w:r>
      <w:r>
        <w:rPr>
          <w:rFonts w:hint="eastAsia" w:ascii="宋体" w:hAnsi="宋体"/>
          <w:b/>
          <w:sz w:val="24"/>
          <w:szCs w:val="24"/>
        </w:rPr>
        <w:t xml:space="preserve">数字电路。</w:t>
      </w:r>
      <w:r>
        <w:rPr>
          <w:rFonts w:hint="eastAsia" w:ascii="宋体" w:hAnsi="宋体" w:cs="宋体"/>
          <w:bCs/>
          <w:sz w:val="24"/>
          <w:szCs w:val="24"/>
        </w:rPr>
        <w:t xml:space="preserve">拟对江苏省水利厅中心机房至省水利勘测设计研究院有限公司、省水利防汛物资储备中心徐州分中心、苏州分中心、镇江分中心、扬州分中心、南京分中心、</w:t>
      </w:r>
      <w:r>
        <w:rPr>
          <w:rFonts w:ascii="宋体" w:hAnsi="宋体" w:cs="宋体"/>
          <w:bCs/>
          <w:sz w:val="24"/>
          <w:szCs w:val="24"/>
        </w:rPr>
        <w:t xml:space="preserve">盐城分中心</w:t>
      </w:r>
      <w:r>
        <w:rPr>
          <w:rFonts w:hint="eastAsia" w:ascii="宋体" w:hAnsi="宋体" w:cs="宋体"/>
          <w:bCs/>
          <w:sz w:val="24"/>
          <w:szCs w:val="24"/>
        </w:rPr>
        <w:t xml:space="preserve">等单位各1条100M数字电路的1年租赁使用权以及线路集成等内容进行采购。</w:t>
      </w:r>
      <w:r/>
    </w:p>
    <w:p>
      <w:pPr>
        <w:ind w:firstLine="480"/>
        <w:spacing w:line="500" w:lineRule="exact"/>
        <w:rPr>
          <w:rFonts w:hint="eastAsia" w:ascii="宋体" w:hAnsi="宋体" w:cs="宋体"/>
          <w:sz w:val="24"/>
          <w:szCs w:val="32"/>
        </w:rPr>
      </w:pPr>
      <w:r>
        <w:rPr>
          <w:rFonts w:ascii="宋体" w:hAnsi="宋体" w:cs="宋体"/>
          <w:b/>
          <w:sz w:val="24"/>
          <w:szCs w:val="24"/>
        </w:rPr>
        <w:t xml:space="preserve">1.3</w:t>
      </w:r>
      <w:r>
        <w:rPr>
          <w:rFonts w:hint="eastAsia" w:ascii="宋体" w:hAnsi="宋体" w:cs="宋体"/>
          <w:b/>
          <w:sz w:val="24"/>
          <w:szCs w:val="24"/>
        </w:rPr>
        <w:t xml:space="preserve">裸光纤。</w:t>
      </w:r>
      <w:r>
        <w:rPr>
          <w:rFonts w:hint="eastAsia" w:ascii="宋体" w:hAnsi="宋体" w:cs="宋体"/>
          <w:bCs/>
          <w:sz w:val="24"/>
          <w:szCs w:val="24"/>
        </w:rPr>
        <w:t xml:space="preserve">江苏省水利厅主机房</w:t>
      </w:r>
      <w:r>
        <w:rPr>
          <w:rFonts w:hint="eastAsia" w:ascii="宋体" w:hAnsi="宋体" w:cs="宋体"/>
          <w:sz w:val="24"/>
          <w:szCs w:val="24"/>
        </w:rPr>
        <w:t xml:space="preserve">（上海路5号江苏水利大厦22层）至灾备机房（铁心桥</w:t>
      </w:r>
      <w:r>
        <w:rPr>
          <w:rFonts w:hint="eastAsia" w:ascii="宋体" w:hAnsi="宋体" w:cs="宋体"/>
          <w:sz w:val="24"/>
          <w:szCs w:val="32"/>
        </w:rPr>
        <w:t xml:space="preserve">街道龙西路306号江苏省水文发展基地1层</w:t>
      </w:r>
      <w:r>
        <w:rPr>
          <w:rFonts w:hint="eastAsia" w:ascii="宋体" w:hAnsi="宋体" w:cs="宋体"/>
          <w:sz w:val="24"/>
          <w:szCs w:val="24"/>
        </w:rPr>
        <w:t xml:space="preserve">）一条</w:t>
      </w:r>
      <w:r>
        <w:rPr>
          <w:rFonts w:hint="eastAsia" w:ascii="宋体" w:hAnsi="宋体" w:cs="宋体"/>
          <w:sz w:val="24"/>
          <w:szCs w:val="32"/>
        </w:rPr>
        <w:t xml:space="preserve">物理路由通信光缆的使用</w:t>
      </w:r>
      <w:r>
        <w:rPr>
          <w:rFonts w:hint="eastAsia" w:ascii="宋体" w:hAnsi="宋体" w:cs="宋体"/>
          <w:sz w:val="24"/>
          <w:szCs w:val="32"/>
        </w:rPr>
        <w:t xml:space="preserve">权，由冗余接入路由（主机房、灾备机房与该路由中最近的接入端局之间的路由）与主路由（上述接入端局之间的路由）组成。</w:t>
      </w:r>
      <w:r/>
    </w:p>
    <w:p>
      <w:pPr>
        <w:ind w:firstLine="422"/>
        <w:spacing w:line="360" w:lineRule="auto"/>
        <w:rPr>
          <w:rFonts w:ascii="宋体"/>
          <w:b/>
          <w:bCs/>
          <w:sz w:val="24"/>
          <w:szCs w:val="24"/>
          <w:lang w:val="zh-CN"/>
        </w:rPr>
      </w:pPr>
      <w:r>
        <w:rPr>
          <w:rFonts w:hint="eastAsia" w:ascii="宋体"/>
          <w:b/>
          <w:bCs/>
          <w:sz w:val="24"/>
          <w:szCs w:val="24"/>
          <w:lang w:val="zh-CN"/>
        </w:rPr>
        <w:t xml:space="preserve">采购包一具体内容</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涉及线路情况如下：</w:t>
      </w:r>
      <w:r/>
    </w:p>
    <w:tbl>
      <w:tblPr>
        <w:tblpPr w:horzAnchor="page" w:tblpX="1465" w:vertAnchor="text" w:tblpY="103" w:leftFromText="180" w:topFromText="0" w:rightFromText="180" w:bottomFromText="0"/>
        <w:tblW w:w="9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45"/>
        <w:gridCol w:w="2029"/>
        <w:gridCol w:w="2252"/>
        <w:gridCol w:w="1690"/>
      </w:tblGrid>
      <w:tr>
        <w:trPr>
          <w:trHeight w:val="394"/>
        </w:trPr>
        <w:tc>
          <w:tcPr>
            <w:shd w:val="clear" w:color="auto" w:fill="d8d8d8" w:themeFill="background1" w:themeFillShade="D8"/>
            <w:tcW w:w="3145" w:type="dxa"/>
            <w:vAlign w:val="center"/>
            <w:textDirection w:val="lrTb"/>
            <w:noWrap w:val="false"/>
          </w:tcPr>
          <w:p>
            <w:pPr>
              <w:jc w:val="center"/>
            </w:pPr>
            <w:r>
              <w:rPr>
                <w:rFonts w:hint="eastAsia"/>
              </w:rPr>
              <w:t xml:space="preserve">线路需求</w:t>
            </w:r>
            <w:r/>
          </w:p>
        </w:tc>
        <w:tc>
          <w:tcPr>
            <w:shd w:val="clear" w:color="auto" w:fill="d8d8d8" w:themeFill="background1" w:themeFillShade="D8"/>
            <w:tcW w:w="2029" w:type="dxa"/>
            <w:vAlign w:val="center"/>
            <w:textDirection w:val="lrTb"/>
            <w:noWrap w:val="false"/>
          </w:tcPr>
          <w:p>
            <w:pPr>
              <w:jc w:val="center"/>
            </w:pPr>
            <w:r>
              <w:rPr>
                <w:rFonts w:hint="eastAsia"/>
              </w:rPr>
              <w:t xml:space="preserve">带宽</w:t>
            </w:r>
            <w:r/>
          </w:p>
        </w:tc>
        <w:tc>
          <w:tcPr>
            <w:shd w:val="clear" w:color="auto" w:fill="d8d8d8" w:themeFill="background1" w:themeFillShade="D8"/>
            <w:tcW w:w="2252" w:type="dxa"/>
            <w:vAlign w:val="center"/>
            <w:textDirection w:val="lrTb"/>
            <w:noWrap w:val="false"/>
          </w:tcPr>
          <w:p>
            <w:pPr>
              <w:jc w:val="center"/>
            </w:pPr>
            <w:r>
              <w:rPr>
                <w:rFonts w:hint="eastAsia"/>
              </w:rPr>
              <w:t xml:space="preserve">业务类型</w:t>
            </w:r>
            <w:r/>
          </w:p>
        </w:tc>
        <w:tc>
          <w:tcPr>
            <w:shd w:val="clear" w:color="auto" w:fill="d8d8d8" w:themeFill="background1" w:themeFillShade="D8"/>
            <w:tcW w:w="1690" w:type="dxa"/>
            <w:vAlign w:val="center"/>
            <w:textDirection w:val="lrTb"/>
            <w:noWrap w:val="false"/>
          </w:tcPr>
          <w:p>
            <w:pPr>
              <w:jc w:val="center"/>
            </w:pPr>
            <w:r>
              <w:rPr>
                <w:rFonts w:hint="eastAsia"/>
              </w:rPr>
              <w:t xml:space="preserve">数量</w:t>
            </w:r>
            <w:r/>
          </w:p>
        </w:tc>
      </w:tr>
      <w:tr>
        <w:trPr>
          <w:trHeight w:val="394"/>
        </w:trPr>
        <w:tc>
          <w:tcPr>
            <w:tcW w:w="3145" w:type="dxa"/>
            <w:vAlign w:val="center"/>
            <w:textDirection w:val="lrTb"/>
            <w:noWrap w:val="false"/>
          </w:tcPr>
          <w:p>
            <w:pPr>
              <w:jc w:val="center"/>
            </w:pPr>
            <w:r>
              <w:rPr>
                <w:rFonts w:hint="eastAsia"/>
              </w:rPr>
              <w:t xml:space="preserve">省水利厅互联网宽带</w:t>
            </w:r>
            <w:r/>
          </w:p>
        </w:tc>
        <w:tc>
          <w:tcPr>
            <w:tcW w:w="2029" w:type="dxa"/>
            <w:vAlign w:val="center"/>
            <w:textDirection w:val="lrTb"/>
            <w:noWrap w:val="false"/>
          </w:tcPr>
          <w:p>
            <w:pPr>
              <w:jc w:val="center"/>
            </w:pPr>
            <w:r>
              <w:rPr>
                <w:rFonts w:hint="eastAsia"/>
              </w:rPr>
              <w:t xml:space="preserve">500M</w:t>
            </w:r>
            <w:r/>
          </w:p>
        </w:tc>
        <w:tc>
          <w:tcPr>
            <w:tcW w:w="2252" w:type="dxa"/>
            <w:vAlign w:val="center"/>
            <w:textDirection w:val="lrTb"/>
            <w:noWrap w:val="false"/>
          </w:tcPr>
          <w:p>
            <w:pPr>
              <w:jc w:val="center"/>
            </w:pPr>
            <w:r>
              <w:rPr>
                <w:rFonts w:hint="eastAsia"/>
              </w:rPr>
              <w:t xml:space="preserve">光纤宽带</w:t>
            </w:r>
            <w:r/>
          </w:p>
        </w:tc>
        <w:tc>
          <w:tcPr>
            <w:tcW w:w="1690" w:type="dxa"/>
            <w:vAlign w:val="center"/>
            <w:textDirection w:val="lrTb"/>
            <w:noWrap w:val="false"/>
          </w:tcPr>
          <w:p>
            <w:pPr>
              <w:jc w:val="center"/>
            </w:pPr>
            <w:r>
              <w:rPr>
                <w:rFonts w:hint="eastAsia"/>
              </w:rPr>
              <w:t xml:space="preserve">2</w:t>
            </w:r>
            <w:r/>
          </w:p>
        </w:tc>
      </w:tr>
      <w:tr>
        <w:trPr>
          <w:trHeight w:val="195"/>
        </w:trPr>
        <w:tc>
          <w:tcPr>
            <w:tcW w:w="3145" w:type="dxa"/>
            <w:vAlign w:val="center"/>
            <w:textDirection w:val="lrTb"/>
            <w:noWrap w:val="false"/>
          </w:tcPr>
          <w:p>
            <w:pPr>
              <w:jc w:val="center"/>
            </w:pPr>
            <w:r>
              <w:rPr>
                <w:rFonts w:hint="eastAsia"/>
              </w:rPr>
              <w:t xml:space="preserve">省水利厅直属单位互联网宽带</w:t>
            </w:r>
            <w:r/>
          </w:p>
        </w:tc>
        <w:tc>
          <w:tcPr>
            <w:tcW w:w="2029" w:type="dxa"/>
            <w:vAlign w:val="center"/>
            <w:textDirection w:val="lrTb"/>
            <w:noWrap w:val="false"/>
          </w:tcPr>
          <w:p>
            <w:pPr>
              <w:jc w:val="center"/>
            </w:pPr>
            <w:r>
              <w:rPr>
                <w:rFonts w:hint="eastAsia"/>
              </w:rPr>
              <w:t xml:space="preserve">1000M</w:t>
            </w:r>
            <w:r/>
          </w:p>
        </w:tc>
        <w:tc>
          <w:tcPr>
            <w:tcW w:w="2252" w:type="dxa"/>
            <w:vAlign w:val="center"/>
            <w:textDirection w:val="lrTb"/>
            <w:noWrap w:val="false"/>
          </w:tcPr>
          <w:p>
            <w:pPr>
              <w:jc w:val="center"/>
            </w:pPr>
            <w:r>
              <w:rPr>
                <w:rFonts w:hint="eastAsia"/>
              </w:rPr>
              <w:t xml:space="preserve">光纤宽带</w:t>
            </w:r>
            <w:r/>
          </w:p>
        </w:tc>
        <w:tc>
          <w:tcPr>
            <w:tcW w:w="1690" w:type="dxa"/>
            <w:vAlign w:val="center"/>
            <w:textDirection w:val="lrTb"/>
            <w:noWrap w:val="false"/>
          </w:tcPr>
          <w:p>
            <w:pPr>
              <w:jc w:val="center"/>
            </w:pPr>
            <w:r>
              <w:rPr>
                <w:rFonts w:hint="eastAsia"/>
              </w:rPr>
              <w:t xml:space="preserve">1</w:t>
            </w:r>
            <w:r/>
          </w:p>
        </w:tc>
      </w:tr>
      <w:tr>
        <w:trPr>
          <w:trHeight w:val="195"/>
        </w:trPr>
        <w:tc>
          <w:tcPr>
            <w:tcW w:w="3145" w:type="dxa"/>
            <w:vAlign w:val="center"/>
            <w:textDirection w:val="lrTb"/>
            <w:noWrap w:val="false"/>
          </w:tcPr>
          <w:p>
            <w:pPr>
              <w:jc w:val="center"/>
            </w:pPr>
            <w:r>
              <w:rPr>
                <w:rFonts w:hint="eastAsia"/>
              </w:rPr>
              <w:t xml:space="preserve">省水利厅机房核心节点—江苏省水利勘测设计研究院有限公司节点电路</w:t>
            </w:r>
            <w:r/>
          </w:p>
        </w:tc>
        <w:tc>
          <w:tcPr>
            <w:tcW w:w="2029" w:type="dxa"/>
            <w:vAlign w:val="center"/>
            <w:textDirection w:val="lrTb"/>
            <w:noWrap w:val="false"/>
          </w:tcPr>
          <w:p>
            <w:pPr>
              <w:jc w:val="center"/>
            </w:pPr>
            <w:r>
              <w:rPr>
                <w:rFonts w:hint="eastAsia"/>
              </w:rPr>
              <w:t xml:space="preserve">100M</w:t>
            </w:r>
            <w:r/>
          </w:p>
        </w:tc>
        <w:tc>
          <w:tcPr>
            <w:tcW w:w="2252"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通信电路</w:t>
            </w:r>
            <w:r/>
          </w:p>
        </w:tc>
        <w:tc>
          <w:tcPr>
            <w:tcW w:w="1690" w:type="dxa"/>
            <w:vAlign w:val="center"/>
            <w:textDirection w:val="lrTb"/>
            <w:noWrap w:val="false"/>
          </w:tcPr>
          <w:p>
            <w:pPr>
              <w:jc w:val="center"/>
            </w:pPr>
            <w:r>
              <w:rPr>
                <w:rFonts w:hint="eastAsia"/>
              </w:rPr>
              <w:t xml:space="preserve">1</w:t>
            </w:r>
            <w:r/>
          </w:p>
        </w:tc>
      </w:tr>
      <w:tr>
        <w:trPr>
          <w:trHeight w:val="195"/>
        </w:trPr>
        <w:tc>
          <w:tcPr>
            <w:tcW w:w="3145" w:type="dxa"/>
            <w:vAlign w:val="center"/>
            <w:textDirection w:val="lrTb"/>
            <w:noWrap w:val="false"/>
          </w:tcPr>
          <w:p>
            <w:pPr>
              <w:jc w:val="center"/>
            </w:pPr>
            <w:r>
              <w:rPr>
                <w:rFonts w:hint="eastAsia"/>
              </w:rPr>
              <w:t xml:space="preserve">省水利厅机房核心节点—江苏省水利防汛物资储备中心分中心（徐州、苏州、镇江、扬州、南京、盐城）节点电路</w:t>
            </w:r>
            <w:r/>
          </w:p>
        </w:tc>
        <w:tc>
          <w:tcPr>
            <w:tcW w:w="2029" w:type="dxa"/>
            <w:vAlign w:val="center"/>
            <w:textDirection w:val="lrTb"/>
            <w:noWrap w:val="false"/>
          </w:tcPr>
          <w:p>
            <w:pPr>
              <w:jc w:val="center"/>
            </w:pPr>
            <w:r>
              <w:rPr>
                <w:rFonts w:hint="eastAsia"/>
              </w:rPr>
              <w:t xml:space="preserve">100M</w:t>
            </w:r>
            <w:r/>
          </w:p>
        </w:tc>
        <w:tc>
          <w:tcPr>
            <w:tcW w:w="2252"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通信电路</w:t>
            </w:r>
            <w:r/>
          </w:p>
        </w:tc>
        <w:tc>
          <w:tcPr>
            <w:tcW w:w="1690" w:type="dxa"/>
            <w:vAlign w:val="center"/>
            <w:textDirection w:val="lrTb"/>
            <w:noWrap w:val="false"/>
          </w:tcPr>
          <w:p>
            <w:pPr>
              <w:jc w:val="center"/>
            </w:pPr>
            <w:r>
              <w:rPr>
                <w:rFonts w:hint="eastAsia"/>
              </w:rPr>
              <w:t xml:space="preserve">6</w:t>
            </w:r>
            <w:r/>
          </w:p>
        </w:tc>
      </w:tr>
      <w:tr>
        <w:trPr>
          <w:trHeight w:val="195"/>
        </w:trPr>
        <w:tc>
          <w:tcPr>
            <w:tcW w:w="3145" w:type="dxa"/>
            <w:vAlign w:val="center"/>
            <w:textDirection w:val="lrTb"/>
            <w:noWrap w:val="false"/>
          </w:tcPr>
          <w:p>
            <w:pPr>
              <w:jc w:val="center"/>
            </w:pPr>
            <w:r>
              <w:rPr>
                <w:rFonts w:hint="eastAsia"/>
              </w:rPr>
              <w:t xml:space="preserve">省水利厅机房核心节点—灾备机房节点光缆线路</w:t>
            </w:r>
            <w:r/>
          </w:p>
        </w:tc>
        <w:tc>
          <w:tcPr>
            <w:tcW w:w="2029" w:type="dxa"/>
            <w:vAlign w:val="center"/>
            <w:textDirection w:val="lrTb"/>
            <w:noWrap w:val="false"/>
          </w:tcPr>
          <w:p>
            <w:pPr>
              <w:jc w:val="center"/>
            </w:pPr>
            <w:r/>
            <w:r/>
          </w:p>
        </w:tc>
        <w:tc>
          <w:tcPr>
            <w:tcW w:w="2252"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通信光缆</w:t>
            </w:r>
            <w:r/>
          </w:p>
        </w:tc>
        <w:tc>
          <w:tcPr>
            <w:tcW w:w="1690" w:type="dxa"/>
            <w:vAlign w:val="center"/>
            <w:textDirection w:val="lrTb"/>
            <w:noWrap w:val="false"/>
          </w:tcPr>
          <w:p>
            <w:pPr>
              <w:jc w:val="center"/>
            </w:pPr>
            <w:r>
              <w:rPr>
                <w:rFonts w:hint="eastAsia"/>
              </w:rPr>
              <w:t xml:space="preserve">1</w:t>
            </w:r>
            <w:r/>
          </w:p>
        </w:tc>
      </w:tr>
    </w:tbl>
    <w:p>
      <w:pPr>
        <w:pStyle w:val="870"/>
        <w:ind w:left="0"/>
        <w:spacing w:line="0" w:lineRule="atLeast"/>
        <w:rPr>
          <w:rFonts w:hint="eastAsia" w:ascii="宋体" w:hAnsi="宋体"/>
          <w:b/>
        </w:rPr>
      </w:pPr>
      <w:r>
        <w:rPr>
          <w:rFonts w:hint="eastAsia" w:ascii="宋体" w:hAnsi="宋体"/>
          <w:b/>
        </w:rPr>
      </w:r>
      <w:r/>
    </w:p>
    <w:p>
      <w:pPr>
        <w:pStyle w:val="870"/>
        <w:ind w:left="0"/>
        <w:spacing w:line="0" w:lineRule="atLeast"/>
        <w:rPr>
          <w:rFonts w:hint="eastAsia" w:ascii="宋体" w:hAnsi="宋体"/>
          <w:b/>
          <w:lang w:eastAsia="zh-CN"/>
        </w:rPr>
      </w:pPr>
      <w:r>
        <w:rPr>
          <w:rFonts w:hint="eastAsia" w:ascii="宋体" w:hAnsi="宋体"/>
          <w:b/>
          <w:lang w:eastAsia="zh-CN"/>
        </w:rPr>
      </w:r>
      <w:r/>
    </w:p>
    <w:p>
      <w:pPr>
        <w:pStyle w:val="870"/>
        <w:ind w:left="0"/>
        <w:spacing w:line="0" w:lineRule="atLeast"/>
        <w:rPr>
          <w:rFonts w:hint="eastAsia" w:ascii="宋体" w:hAnsi="宋体"/>
          <w:b/>
          <w:lang w:eastAsia="zh-CN"/>
        </w:rPr>
      </w:pPr>
      <w:r>
        <w:rPr>
          <w:rFonts w:hint="eastAsia" w:ascii="宋体" w:hAnsi="宋体"/>
          <w:b/>
          <w:lang w:eastAsia="zh-CN"/>
        </w:rPr>
        <w:t xml:space="preserve">2.采购包二具体情况</w:t>
      </w:r>
      <w:r/>
    </w:p>
    <w:p>
      <w:pPr>
        <w:ind w:firstLine="480"/>
        <w:spacing w:line="500" w:lineRule="exact"/>
        <w:rPr>
          <w:rFonts w:hint="eastAsia" w:ascii="宋体" w:hAnsi="宋体"/>
          <w:bCs/>
          <w:sz w:val="24"/>
          <w:szCs w:val="24"/>
        </w:rPr>
      </w:pPr>
      <w:r>
        <w:rPr>
          <w:rFonts w:ascii="宋体" w:hAnsi="宋体"/>
          <w:b/>
          <w:sz w:val="24"/>
          <w:szCs w:val="24"/>
        </w:rPr>
        <w:t xml:space="preserve">2.1</w:t>
      </w:r>
      <w:r>
        <w:rPr>
          <w:rFonts w:hint="eastAsia" w:ascii="宋体" w:hAnsi="宋体" w:cs="宋体"/>
          <w:b/>
          <w:bCs/>
          <w:sz w:val="24"/>
          <w:szCs w:val="24"/>
        </w:rPr>
        <w:t xml:space="preserve">互联网宽带。</w:t>
      </w:r>
      <w:r>
        <w:rPr>
          <w:rFonts w:hint="eastAsia" w:ascii="宋体" w:hAnsi="宋体"/>
          <w:bCs/>
          <w:sz w:val="24"/>
          <w:szCs w:val="24"/>
        </w:rPr>
        <w:t xml:space="preserve">拟对省水利厅厅直属单位互联网1000M宽带的1年租赁使用权以及线路服务等内容进行采购。</w:t>
      </w:r>
      <w:r/>
    </w:p>
    <w:p>
      <w:pPr>
        <w:ind w:firstLine="480"/>
        <w:spacing w:line="500" w:lineRule="exact"/>
        <w:rPr>
          <w:rFonts w:hint="eastAsia" w:ascii="宋体" w:hAnsi="宋体" w:cs="宋体"/>
          <w:bCs/>
          <w:sz w:val="24"/>
          <w:szCs w:val="24"/>
        </w:rPr>
      </w:pPr>
      <w:r>
        <w:rPr>
          <w:rFonts w:ascii="宋体" w:hAnsi="宋体"/>
          <w:b/>
          <w:sz w:val="24"/>
          <w:szCs w:val="24"/>
        </w:rPr>
        <w:t xml:space="preserve">2.2</w:t>
      </w:r>
      <w:r>
        <w:rPr>
          <w:rFonts w:hint="eastAsia" w:ascii="宋体" w:hAnsi="宋体" w:cs="宋体"/>
          <w:b/>
          <w:bCs/>
          <w:sz w:val="24"/>
          <w:szCs w:val="24"/>
        </w:rPr>
        <w:t xml:space="preserve">数字电路。</w:t>
      </w:r>
      <w:r>
        <w:rPr>
          <w:rFonts w:hint="eastAsia" w:ascii="宋体" w:hAnsi="宋体" w:cs="宋体"/>
          <w:bCs/>
          <w:sz w:val="24"/>
          <w:szCs w:val="24"/>
        </w:rPr>
        <w:t xml:space="preserve">拟对江苏省水利厅中心机房至省水利勘测设计研究院有限公司、省水利防汛物资储备中心徐州分中心、苏州分中心、镇江分中心、扬州分中心、南京分中心、盐城分中心等单位各1条100M数字电路的1年租赁使用权以及线路集成等内容进行采购。</w:t>
      </w:r>
      <w:r/>
    </w:p>
    <w:p>
      <w:pPr>
        <w:ind w:firstLine="480"/>
        <w:spacing w:line="500" w:lineRule="exact"/>
        <w:rPr>
          <w:rFonts w:ascii="宋体"/>
          <w:b/>
          <w:bCs/>
          <w:sz w:val="24"/>
          <w:szCs w:val="24"/>
          <w:lang w:val="zh-CN"/>
        </w:rPr>
      </w:pPr>
      <w:r>
        <w:rPr>
          <w:rFonts w:ascii="宋体" w:hAnsi="宋体"/>
          <w:b/>
          <w:sz w:val="24"/>
          <w:szCs w:val="24"/>
        </w:rPr>
        <w:t xml:space="preserve">2.3</w:t>
      </w:r>
      <w:r>
        <w:rPr>
          <w:rFonts w:hint="eastAsia" w:ascii="宋体" w:hAnsi="宋体"/>
          <w:b/>
          <w:sz w:val="24"/>
          <w:szCs w:val="24"/>
        </w:rPr>
        <w:t xml:space="preserve">裸光纤。</w:t>
      </w:r>
      <w:r>
        <w:rPr>
          <w:rFonts w:hint="eastAsia" w:ascii="宋体" w:hAnsi="宋体"/>
          <w:bCs/>
          <w:sz w:val="24"/>
          <w:szCs w:val="24"/>
        </w:rPr>
        <w:t xml:space="preserve">江苏</w:t>
      </w:r>
      <w:r>
        <w:rPr>
          <w:rFonts w:hint="eastAsia" w:ascii="宋体" w:hAnsi="宋体" w:cs="宋体"/>
          <w:bCs/>
          <w:sz w:val="24"/>
          <w:szCs w:val="32"/>
        </w:rPr>
        <w:t xml:space="preserve">省水利厅</w:t>
      </w:r>
      <w:r>
        <w:rPr>
          <w:rFonts w:hint="eastAsia" w:ascii="宋体" w:hAnsi="宋体" w:cs="宋体"/>
          <w:bCs/>
          <w:sz w:val="24"/>
          <w:szCs w:val="24"/>
        </w:rPr>
        <w:t xml:space="preserve">主</w:t>
      </w:r>
      <w:r>
        <w:rPr>
          <w:rFonts w:hint="eastAsia" w:ascii="宋体" w:hAnsi="宋体" w:cs="宋体"/>
          <w:sz w:val="24"/>
          <w:szCs w:val="24"/>
        </w:rPr>
        <w:t xml:space="preserve">机房（上海路5号江苏水利大厦22层）至灾备机房（铁心桥</w:t>
      </w:r>
      <w:r>
        <w:rPr>
          <w:rFonts w:hint="eastAsia" w:ascii="宋体" w:hAnsi="宋体" w:cs="宋体"/>
          <w:sz w:val="24"/>
          <w:szCs w:val="32"/>
        </w:rPr>
        <w:t xml:space="preserve">街道龙西路306号江苏省水文发展基地1层</w:t>
      </w:r>
      <w:r>
        <w:rPr>
          <w:rFonts w:hint="eastAsia" w:ascii="宋体" w:hAnsi="宋体" w:cs="宋体"/>
          <w:sz w:val="24"/>
          <w:szCs w:val="24"/>
        </w:rPr>
        <w:t xml:space="preserve">）一条</w:t>
      </w:r>
      <w:r>
        <w:rPr>
          <w:rFonts w:hint="eastAsia" w:ascii="宋体" w:hAnsi="宋体" w:cs="宋体"/>
          <w:sz w:val="24"/>
          <w:szCs w:val="32"/>
        </w:rPr>
        <w:t xml:space="preserve">物理路由通信光缆的使用权，由冗余接入路由（主机房、灾备机房与该路由中最近的接入端局之间的路由）与主路由（上述接入端局之间的路由）组成。</w:t>
      </w:r>
      <w:r/>
    </w:p>
    <w:p>
      <w:pPr>
        <w:ind w:firstLine="422"/>
        <w:spacing w:line="360" w:lineRule="auto"/>
        <w:rPr>
          <w:rFonts w:ascii="宋体"/>
          <w:b/>
          <w:bCs/>
          <w:sz w:val="24"/>
          <w:szCs w:val="24"/>
          <w:lang w:val="zh-CN"/>
        </w:rPr>
      </w:pPr>
      <w:r>
        <w:rPr>
          <w:rFonts w:hint="eastAsia" w:ascii="宋体"/>
          <w:b/>
          <w:bCs/>
          <w:sz w:val="24"/>
          <w:szCs w:val="24"/>
          <w:lang w:val="zh-CN"/>
        </w:rPr>
        <w:t xml:space="preserve">采购包</w:t>
      </w:r>
      <w:r>
        <w:rPr>
          <w:rFonts w:hint="eastAsia" w:ascii="宋体"/>
          <w:b/>
          <w:bCs/>
          <w:sz w:val="24"/>
          <w:szCs w:val="24"/>
        </w:rPr>
        <w:t xml:space="preserve">二</w:t>
      </w:r>
      <w:r>
        <w:rPr>
          <w:rFonts w:hint="eastAsia" w:ascii="宋体"/>
          <w:b/>
          <w:bCs/>
          <w:sz w:val="24"/>
          <w:szCs w:val="24"/>
          <w:lang w:val="zh-CN"/>
        </w:rPr>
        <w:t xml:space="preserve">具体内容</w:t>
      </w:r>
      <w:r/>
    </w:p>
    <w:p>
      <w:pPr>
        <w:ind w:firstLine="420"/>
        <w:spacing w:line="360" w:lineRule="auto"/>
        <w:rPr>
          <w:rFonts w:ascii="宋体"/>
          <w:sz w:val="24"/>
          <w:szCs w:val="24"/>
          <w:lang w:val="zh-CN"/>
        </w:rPr>
      </w:pPr>
      <w:r>
        <w:rPr>
          <w:rFonts w:hint="eastAsia" w:ascii="宋体"/>
          <w:sz w:val="24"/>
          <w:szCs w:val="24"/>
          <w:lang w:val="zh-CN"/>
        </w:rPr>
        <w:t xml:space="preserve">涉及线路情况如下：</w:t>
      </w:r>
      <w:r/>
    </w:p>
    <w:tbl>
      <w:tblPr>
        <w:tblpPr w:horzAnchor="page" w:tblpX="1515" w:vertAnchor="text" w:tblpY="692" w:leftFromText="180" w:topFromText="0" w:rightFromText="180" w:bottomFromText="0"/>
        <w:tblW w:w="9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45"/>
        <w:gridCol w:w="2029"/>
        <w:gridCol w:w="2252"/>
        <w:gridCol w:w="1690"/>
      </w:tblGrid>
      <w:tr>
        <w:trPr>
          <w:trHeight w:val="391"/>
          <w:tblHeader/>
        </w:trPr>
        <w:tc>
          <w:tcPr>
            <w:shd w:val="clear" w:color="auto" w:fill="d8d8d8" w:themeFill="background1" w:themeFillShade="D8"/>
            <w:tcW w:w="3145" w:type="dxa"/>
            <w:vAlign w:val="center"/>
            <w:textDirection w:val="lrTb"/>
            <w:noWrap w:val="false"/>
          </w:tcPr>
          <w:p>
            <w:pPr>
              <w:jc w:val="center"/>
            </w:pPr>
            <w:r>
              <w:rPr>
                <w:rFonts w:hint="eastAsia"/>
              </w:rPr>
              <w:t xml:space="preserve">线路需求</w:t>
            </w:r>
            <w:r/>
          </w:p>
        </w:tc>
        <w:tc>
          <w:tcPr>
            <w:shd w:val="clear" w:color="auto" w:fill="d8d8d8" w:themeFill="background1" w:themeFillShade="D8"/>
            <w:tcW w:w="2029" w:type="dxa"/>
            <w:vAlign w:val="center"/>
            <w:textDirection w:val="lrTb"/>
            <w:noWrap w:val="false"/>
          </w:tcPr>
          <w:p>
            <w:pPr>
              <w:jc w:val="center"/>
            </w:pPr>
            <w:r>
              <w:rPr>
                <w:rFonts w:hint="eastAsia"/>
              </w:rPr>
              <w:t xml:space="preserve">带宽</w:t>
            </w:r>
            <w:r/>
          </w:p>
        </w:tc>
        <w:tc>
          <w:tcPr>
            <w:shd w:val="clear" w:color="auto" w:fill="d8d8d8" w:themeFill="background1" w:themeFillShade="D8"/>
            <w:tcW w:w="2252" w:type="dxa"/>
            <w:vAlign w:val="center"/>
            <w:textDirection w:val="lrTb"/>
            <w:noWrap w:val="false"/>
          </w:tcPr>
          <w:p>
            <w:pPr>
              <w:jc w:val="center"/>
            </w:pPr>
            <w:r>
              <w:rPr>
                <w:rFonts w:hint="eastAsia"/>
              </w:rPr>
              <w:t xml:space="preserve">业务类型</w:t>
            </w:r>
            <w:r/>
          </w:p>
        </w:tc>
        <w:tc>
          <w:tcPr>
            <w:shd w:val="clear" w:color="auto" w:fill="d8d8d8" w:themeFill="background1" w:themeFillShade="D8"/>
            <w:tcW w:w="1690" w:type="dxa"/>
            <w:vAlign w:val="center"/>
            <w:textDirection w:val="lrTb"/>
            <w:noWrap w:val="false"/>
          </w:tcPr>
          <w:p>
            <w:pPr>
              <w:jc w:val="center"/>
            </w:pPr>
            <w:r>
              <w:rPr>
                <w:rFonts w:hint="eastAsia"/>
              </w:rPr>
              <w:t xml:space="preserve">数量</w:t>
            </w:r>
            <w:r/>
          </w:p>
        </w:tc>
      </w:tr>
      <w:tr>
        <w:trPr>
          <w:trHeight w:val="195"/>
        </w:trPr>
        <w:tc>
          <w:tcPr>
            <w:tcW w:w="3145" w:type="dxa"/>
            <w:vAlign w:val="center"/>
            <w:textDirection w:val="lrTb"/>
            <w:noWrap w:val="false"/>
          </w:tcPr>
          <w:p>
            <w:pPr>
              <w:jc w:val="center"/>
            </w:pPr>
            <w:r>
              <w:rPr>
                <w:rFonts w:hint="eastAsia"/>
              </w:rPr>
              <w:t xml:space="preserve">省水利厅直属单位互联网宽带</w:t>
            </w:r>
            <w:r/>
          </w:p>
        </w:tc>
        <w:tc>
          <w:tcPr>
            <w:tcW w:w="2029" w:type="dxa"/>
            <w:vAlign w:val="center"/>
            <w:textDirection w:val="lrTb"/>
            <w:noWrap w:val="false"/>
          </w:tcPr>
          <w:p>
            <w:pPr>
              <w:jc w:val="center"/>
            </w:pPr>
            <w:r>
              <w:rPr>
                <w:rFonts w:hint="eastAsia"/>
              </w:rPr>
              <w:t xml:space="preserve">1000M</w:t>
            </w:r>
            <w:r/>
          </w:p>
        </w:tc>
        <w:tc>
          <w:tcPr>
            <w:tcW w:w="2252" w:type="dxa"/>
            <w:vAlign w:val="center"/>
            <w:textDirection w:val="lrTb"/>
            <w:noWrap w:val="false"/>
          </w:tcPr>
          <w:p>
            <w:pPr>
              <w:jc w:val="center"/>
            </w:pPr>
            <w:r>
              <w:rPr>
                <w:rFonts w:hint="eastAsia"/>
              </w:rPr>
              <w:t xml:space="preserve">备用光纤宽带</w:t>
            </w:r>
            <w:r/>
          </w:p>
        </w:tc>
        <w:tc>
          <w:tcPr>
            <w:tcW w:w="1690" w:type="dxa"/>
            <w:vAlign w:val="center"/>
            <w:textDirection w:val="lrTb"/>
            <w:noWrap w:val="false"/>
          </w:tcPr>
          <w:p>
            <w:pPr>
              <w:jc w:val="center"/>
            </w:pPr>
            <w:r>
              <w:rPr>
                <w:rFonts w:hint="eastAsia"/>
              </w:rPr>
              <w:t xml:space="preserve">1</w:t>
            </w:r>
            <w:r/>
          </w:p>
        </w:tc>
      </w:tr>
      <w:tr>
        <w:trPr>
          <w:trHeight w:val="195"/>
        </w:trPr>
        <w:tc>
          <w:tcPr>
            <w:tcW w:w="3145" w:type="dxa"/>
            <w:vAlign w:val="center"/>
            <w:textDirection w:val="lrTb"/>
            <w:noWrap w:val="false"/>
          </w:tcPr>
          <w:p>
            <w:pPr>
              <w:jc w:val="center"/>
            </w:pPr>
            <w:r>
              <w:rPr>
                <w:rFonts w:hint="eastAsia"/>
              </w:rPr>
              <w:t xml:space="preserve">省水利厅机房核心节点—江苏省水利勘测设计研究院有限公司节点电路</w:t>
            </w:r>
            <w:r/>
          </w:p>
        </w:tc>
        <w:tc>
          <w:tcPr>
            <w:tcW w:w="2029" w:type="dxa"/>
            <w:vAlign w:val="center"/>
            <w:textDirection w:val="lrTb"/>
            <w:noWrap w:val="false"/>
          </w:tcPr>
          <w:p>
            <w:pPr>
              <w:jc w:val="center"/>
            </w:pPr>
            <w:r>
              <w:rPr>
                <w:rFonts w:hint="eastAsia"/>
              </w:rPr>
              <w:t xml:space="preserve">100M</w:t>
            </w:r>
            <w:r/>
          </w:p>
        </w:tc>
        <w:tc>
          <w:tcPr>
            <w:tcW w:w="2252" w:type="dxa"/>
            <w:vAlign w:val="center"/>
            <w:textDirection w:val="lrTb"/>
            <w:noWrap w:val="false"/>
          </w:tcPr>
          <w:p>
            <w:pPr>
              <w:jc w:val="center"/>
              <w:rPr>
                <w:rFonts w:hint="eastAsia" w:ascii="宋体" w:hAnsi="宋体" w:cs="宋体"/>
                <w:bCs/>
                <w:sz w:val="24"/>
                <w:szCs w:val="24"/>
              </w:rPr>
            </w:pPr>
            <w:r>
              <w:rPr>
                <w:rFonts w:hint="eastAsia"/>
              </w:rPr>
              <w:t xml:space="preserve">备用</w:t>
            </w:r>
            <w:r>
              <w:rPr>
                <w:rFonts w:hint="eastAsia" w:ascii="宋体" w:hAnsi="宋体" w:cs="宋体"/>
                <w:bCs/>
                <w:sz w:val="24"/>
                <w:szCs w:val="24"/>
              </w:rPr>
              <w:t xml:space="preserve">通信电路</w:t>
            </w:r>
            <w:r/>
          </w:p>
        </w:tc>
        <w:tc>
          <w:tcPr>
            <w:tcW w:w="1690" w:type="dxa"/>
            <w:vAlign w:val="center"/>
            <w:textDirection w:val="lrTb"/>
            <w:noWrap w:val="false"/>
          </w:tcPr>
          <w:p>
            <w:pPr>
              <w:jc w:val="center"/>
            </w:pPr>
            <w:r>
              <w:rPr>
                <w:rFonts w:hint="eastAsia"/>
              </w:rPr>
              <w:t xml:space="preserve">1</w:t>
            </w:r>
            <w:r/>
          </w:p>
        </w:tc>
      </w:tr>
      <w:tr>
        <w:trPr>
          <w:trHeight w:val="195"/>
        </w:trPr>
        <w:tc>
          <w:tcPr>
            <w:tcW w:w="3145" w:type="dxa"/>
            <w:vAlign w:val="center"/>
            <w:textDirection w:val="lrTb"/>
            <w:noWrap w:val="false"/>
          </w:tcPr>
          <w:p>
            <w:pPr>
              <w:jc w:val="center"/>
            </w:pPr>
            <w:r>
              <w:rPr>
                <w:rFonts w:hint="eastAsia"/>
              </w:rPr>
              <w:t xml:space="preserve">省水利厅机房核心节点—江苏省水利防汛物资储备中心分中心（徐州、苏州、镇江、扬州、南京、盐城）节点电路</w:t>
            </w:r>
            <w:r/>
          </w:p>
        </w:tc>
        <w:tc>
          <w:tcPr>
            <w:tcW w:w="2029" w:type="dxa"/>
            <w:vAlign w:val="center"/>
            <w:textDirection w:val="lrTb"/>
            <w:noWrap w:val="false"/>
          </w:tcPr>
          <w:p>
            <w:pPr>
              <w:jc w:val="center"/>
            </w:pPr>
            <w:r>
              <w:rPr>
                <w:rFonts w:hint="eastAsia"/>
              </w:rPr>
              <w:t xml:space="preserve">100M</w:t>
            </w:r>
            <w:r/>
          </w:p>
        </w:tc>
        <w:tc>
          <w:tcPr>
            <w:tcW w:w="2252" w:type="dxa"/>
            <w:vAlign w:val="center"/>
            <w:textDirection w:val="lrTb"/>
            <w:noWrap w:val="false"/>
          </w:tcPr>
          <w:p>
            <w:pPr>
              <w:jc w:val="center"/>
              <w:rPr>
                <w:rFonts w:hint="eastAsia" w:ascii="宋体" w:hAnsi="宋体" w:cs="宋体"/>
                <w:bCs/>
                <w:sz w:val="24"/>
                <w:szCs w:val="24"/>
              </w:rPr>
            </w:pPr>
            <w:r>
              <w:rPr>
                <w:rFonts w:hint="eastAsia"/>
              </w:rPr>
              <w:t xml:space="preserve">备用</w:t>
            </w:r>
            <w:r>
              <w:rPr>
                <w:rFonts w:hint="eastAsia" w:ascii="宋体" w:hAnsi="宋体" w:cs="宋体"/>
                <w:bCs/>
                <w:sz w:val="24"/>
                <w:szCs w:val="24"/>
              </w:rPr>
              <w:t xml:space="preserve">通信电路</w:t>
            </w:r>
            <w:r/>
          </w:p>
        </w:tc>
        <w:tc>
          <w:tcPr>
            <w:tcW w:w="1690" w:type="dxa"/>
            <w:vAlign w:val="center"/>
            <w:textDirection w:val="lrTb"/>
            <w:noWrap w:val="false"/>
          </w:tcPr>
          <w:p>
            <w:pPr>
              <w:jc w:val="center"/>
            </w:pPr>
            <w:r>
              <w:rPr>
                <w:rFonts w:hint="eastAsia"/>
              </w:rPr>
              <w:t xml:space="preserve">6</w:t>
            </w:r>
            <w:r/>
          </w:p>
        </w:tc>
      </w:tr>
      <w:tr>
        <w:trPr>
          <w:trHeight w:val="195"/>
        </w:trPr>
        <w:tc>
          <w:tcPr>
            <w:tcW w:w="3145" w:type="dxa"/>
            <w:vAlign w:val="center"/>
            <w:textDirection w:val="lrTb"/>
            <w:noWrap w:val="false"/>
          </w:tcPr>
          <w:p>
            <w:pPr>
              <w:jc w:val="center"/>
            </w:pPr>
            <w:r>
              <w:rPr>
                <w:rFonts w:hint="eastAsia"/>
              </w:rPr>
              <w:t xml:space="preserve">省水利厅机房核心节点—灾备机房节点光缆线路</w:t>
            </w:r>
            <w:r/>
          </w:p>
        </w:tc>
        <w:tc>
          <w:tcPr>
            <w:tcW w:w="2029" w:type="dxa"/>
            <w:vAlign w:val="center"/>
            <w:textDirection w:val="lrTb"/>
            <w:noWrap w:val="false"/>
          </w:tcPr>
          <w:p>
            <w:pPr>
              <w:jc w:val="center"/>
            </w:pPr>
            <w:r/>
            <w:r/>
          </w:p>
        </w:tc>
        <w:tc>
          <w:tcPr>
            <w:tcW w:w="2252" w:type="dxa"/>
            <w:vAlign w:val="center"/>
            <w:textDirection w:val="lrTb"/>
            <w:noWrap w:val="false"/>
          </w:tcPr>
          <w:p>
            <w:pPr>
              <w:jc w:val="center"/>
              <w:rPr>
                <w:rFonts w:hint="eastAsia" w:ascii="宋体" w:hAnsi="宋体" w:cs="宋体"/>
                <w:bCs/>
                <w:sz w:val="24"/>
                <w:szCs w:val="24"/>
              </w:rPr>
            </w:pPr>
            <w:r>
              <w:rPr>
                <w:rFonts w:hint="eastAsia"/>
              </w:rPr>
              <w:t xml:space="preserve">备用</w:t>
            </w:r>
            <w:r>
              <w:rPr>
                <w:rFonts w:hint="eastAsia" w:ascii="宋体" w:hAnsi="宋体" w:cs="宋体"/>
                <w:bCs/>
                <w:sz w:val="24"/>
                <w:szCs w:val="24"/>
              </w:rPr>
              <w:t xml:space="preserve">通信光缆</w:t>
            </w:r>
            <w:r/>
          </w:p>
        </w:tc>
        <w:tc>
          <w:tcPr>
            <w:tcW w:w="1690" w:type="dxa"/>
            <w:vAlign w:val="center"/>
            <w:textDirection w:val="lrTb"/>
            <w:noWrap w:val="false"/>
          </w:tcPr>
          <w:p>
            <w:pPr>
              <w:jc w:val="center"/>
            </w:pPr>
            <w:r>
              <w:rPr>
                <w:rFonts w:hint="eastAsia"/>
              </w:rPr>
              <w:t xml:space="preserve">1</w:t>
            </w:r>
            <w:r/>
          </w:p>
        </w:tc>
      </w:tr>
    </w:tbl>
    <w:p>
      <w:pPr>
        <w:spacing w:line="500" w:lineRule="exact"/>
        <w:rPr>
          <w:rFonts w:hint="eastAsia" w:ascii="宋体" w:hAnsi="宋体" w:cs="宋体"/>
          <w:bCs/>
          <w:sz w:val="24"/>
          <w:szCs w:val="24"/>
        </w:rPr>
      </w:pPr>
      <w:r>
        <w:rPr>
          <w:rFonts w:hint="eastAsia" w:ascii="宋体" w:hAnsi="宋体" w:cs="宋体"/>
          <w:bCs/>
          <w:sz w:val="24"/>
          <w:szCs w:val="24"/>
        </w:rPr>
      </w:r>
      <w:r/>
    </w:p>
    <w:p>
      <w:pPr>
        <w:pStyle w:val="870"/>
        <w:ind w:left="360" w:hanging="360"/>
        <w:spacing w:line="0" w:lineRule="atLeast"/>
        <w:rPr>
          <w:rFonts w:hint="eastAsia" w:ascii="宋体" w:hAnsi="宋体"/>
          <w:b/>
          <w:lang w:eastAsia="zh-CN"/>
        </w:rPr>
      </w:pPr>
      <w:r>
        <w:rPr>
          <w:rFonts w:hint="eastAsia" w:ascii="宋体" w:hAnsi="宋体"/>
          <w:b/>
          <w:lang w:eastAsia="zh-CN"/>
        </w:rPr>
      </w:r>
      <w:r/>
    </w:p>
    <w:p>
      <w:pPr>
        <w:pStyle w:val="870"/>
        <w:ind w:left="360" w:hanging="360"/>
        <w:spacing w:line="0" w:lineRule="atLeast"/>
        <w:rPr>
          <w:rFonts w:hint="eastAsia" w:ascii="宋体" w:hAnsi="宋体"/>
          <w:b/>
          <w:lang w:eastAsia="zh-CN"/>
        </w:rPr>
      </w:pPr>
      <w:r>
        <w:rPr>
          <w:rFonts w:hint="eastAsia" w:ascii="宋体" w:hAnsi="宋体"/>
          <w:b/>
          <w:lang w:eastAsia="zh-CN"/>
        </w:rPr>
        <w:t xml:space="preserve">3</w:t>
      </w:r>
      <w:r>
        <w:rPr>
          <w:rFonts w:ascii="宋体" w:hAnsi="宋体"/>
          <w:b/>
          <w:lang w:eastAsia="zh-CN"/>
        </w:rPr>
        <w:t xml:space="preserve">.</w:t>
      </w:r>
      <w:r>
        <w:rPr>
          <w:rFonts w:hint="eastAsia" w:ascii="宋体" w:hAnsi="宋体"/>
          <w:b/>
          <w:lang w:eastAsia="zh-CN"/>
        </w:rPr>
        <w:t xml:space="preserve">采购包三具体情况</w:t>
      </w:r>
      <w:r/>
    </w:p>
    <w:p>
      <w:pPr>
        <w:spacing w:line="500" w:lineRule="exact"/>
        <w:rPr>
          <w:rFonts w:hint="eastAsia" w:ascii="宋体" w:hAnsi="宋体" w:cs="宋体"/>
          <w:sz w:val="24"/>
          <w:szCs w:val="32"/>
        </w:rPr>
      </w:pPr>
      <w:r>
        <w:rPr>
          <w:rFonts w:hint="eastAsia" w:ascii="宋体" w:hAnsi="宋体" w:cs="宋体"/>
          <w:b/>
          <w:bCs/>
          <w:sz w:val="24"/>
          <w:szCs w:val="32"/>
        </w:rPr>
        <w:t xml:space="preserve">3</w:t>
      </w:r>
      <w:r>
        <w:rPr>
          <w:rFonts w:ascii="宋体" w:hAnsi="宋体" w:cs="宋体"/>
          <w:b/>
          <w:bCs/>
          <w:sz w:val="24"/>
          <w:szCs w:val="32"/>
        </w:rPr>
        <w:t xml:space="preserve">.1</w:t>
      </w:r>
      <w:r>
        <w:rPr>
          <w:rFonts w:hint="eastAsia" w:ascii="宋体" w:hAnsi="宋体" w:cs="宋体"/>
          <w:b/>
          <w:bCs/>
          <w:sz w:val="24"/>
          <w:szCs w:val="32"/>
        </w:rPr>
        <w:t xml:space="preserve">数字电路。</w:t>
      </w:r>
      <w:r>
        <w:rPr>
          <w:rFonts w:hint="eastAsia" w:ascii="宋体" w:hAnsi="宋体" w:cs="宋体"/>
          <w:sz w:val="24"/>
          <w:szCs w:val="32"/>
        </w:rPr>
        <w:t xml:space="preserve">本次采购拟对江苏省水利厅厅属水利工程管理处至所属闸管所、水文分局至监测中心的455条</w:t>
      </w:r>
      <w:r>
        <w:rPr>
          <w:rFonts w:ascii="宋体" w:hAnsi="宋体" w:cs="宋体"/>
          <w:sz w:val="24"/>
          <w:szCs w:val="32"/>
        </w:rPr>
        <w:t xml:space="preserve">10</w:t>
      </w:r>
      <w:r>
        <w:rPr>
          <w:rFonts w:hint="eastAsia" w:ascii="宋体" w:hAnsi="宋体" w:cs="宋体"/>
          <w:sz w:val="24"/>
          <w:szCs w:val="32"/>
        </w:rPr>
        <w:t xml:space="preserve">0</w:t>
      </w:r>
      <w:r>
        <w:rPr>
          <w:rFonts w:ascii="宋体" w:hAnsi="宋体" w:cs="宋体"/>
          <w:sz w:val="24"/>
          <w:szCs w:val="32"/>
        </w:rPr>
        <w:t xml:space="preserve">M MSTP</w:t>
      </w:r>
      <w:r>
        <w:rPr>
          <w:rFonts w:hint="eastAsia" w:ascii="宋体" w:hAnsi="宋体" w:cs="宋体"/>
          <w:sz w:val="24"/>
          <w:szCs w:val="32"/>
        </w:rPr>
        <w:t xml:space="preserve">电路的</w:t>
      </w:r>
      <w:r>
        <w:rPr>
          <w:rFonts w:ascii="宋体" w:hAnsi="宋体" w:cs="宋体"/>
          <w:sz w:val="24"/>
          <w:szCs w:val="32"/>
        </w:rPr>
        <w:t xml:space="preserve">1</w:t>
      </w:r>
      <w:r>
        <w:rPr>
          <w:rFonts w:hint="eastAsia" w:ascii="宋体" w:hAnsi="宋体" w:cs="宋体"/>
          <w:sz w:val="24"/>
          <w:szCs w:val="32"/>
        </w:rPr>
        <w:t xml:space="preserve">年租赁使用权以及线路集成等内容进行采购。</w:t>
      </w:r>
      <w:r/>
    </w:p>
    <w:p>
      <w:pPr>
        <w:ind w:firstLine="422"/>
        <w:spacing w:line="360" w:lineRule="auto"/>
        <w:rPr>
          <w:rFonts w:ascii="宋体"/>
          <w:b/>
          <w:bCs/>
          <w:sz w:val="24"/>
          <w:szCs w:val="24"/>
          <w:lang w:val="zh-CN"/>
        </w:rPr>
      </w:pPr>
      <w:r>
        <w:rPr>
          <w:rFonts w:hint="eastAsia" w:ascii="宋体"/>
          <w:b/>
          <w:bCs/>
          <w:sz w:val="24"/>
          <w:szCs w:val="24"/>
          <w:lang w:val="zh-CN"/>
        </w:rPr>
        <w:t xml:space="preserve">采购包</w:t>
      </w:r>
      <w:r>
        <w:rPr>
          <w:rFonts w:hint="eastAsia" w:ascii="宋体"/>
          <w:b/>
          <w:bCs/>
          <w:sz w:val="24"/>
          <w:szCs w:val="24"/>
        </w:rPr>
        <w:t xml:space="preserve">三</w:t>
      </w:r>
      <w:r>
        <w:rPr>
          <w:rFonts w:hint="eastAsia" w:ascii="宋体"/>
          <w:b/>
          <w:bCs/>
          <w:sz w:val="24"/>
          <w:szCs w:val="24"/>
          <w:lang w:val="zh-CN"/>
        </w:rPr>
        <w:t xml:space="preserve">具体内容</w:t>
      </w:r>
      <w:r/>
    </w:p>
    <w:p>
      <w:pPr>
        <w:ind w:firstLine="420"/>
        <w:spacing w:line="360" w:lineRule="auto"/>
        <w:rPr>
          <w:rFonts w:ascii="宋体"/>
          <w:sz w:val="24"/>
          <w:szCs w:val="24"/>
          <w:lang w:val="zh-CN"/>
        </w:rPr>
      </w:pPr>
      <w:r>
        <w:rPr>
          <w:rFonts w:hint="eastAsia" w:ascii="宋体"/>
          <w:sz w:val="24"/>
          <w:szCs w:val="24"/>
          <w:lang w:val="zh-CN"/>
        </w:rPr>
        <w:t xml:space="preserve">涉及线路情况如下：</w:t>
      </w:r>
      <w:r/>
    </w:p>
    <w:tbl>
      <w:tblPr>
        <w:tblW w:w="9315" w:type="dxa"/>
        <w:tblInd w:w="91" w:type="dxa"/>
        <w:tblLook w:val="04A0" w:firstRow="1" w:lastRow="0" w:firstColumn="1" w:lastColumn="0" w:noHBand="0" w:noVBand="1"/>
      </w:tblPr>
      <w:tblGrid>
        <w:gridCol w:w="550"/>
        <w:gridCol w:w="1841"/>
        <w:gridCol w:w="2100"/>
        <w:gridCol w:w="437"/>
        <w:gridCol w:w="793"/>
        <w:gridCol w:w="3594"/>
      </w:tblGrid>
      <w:tr>
        <w:trPr>
          <w:trHeight w:val="539"/>
          <w:tblHeader/>
        </w:trPr>
        <w:tc>
          <w:tcPr>
            <w:shd w:val="clear" w:color="auto" w:fill="d9d9d9"/>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单位名称</w:t>
            </w:r>
            <w:r/>
          </w:p>
        </w:tc>
        <w:tc>
          <w:tcPr>
            <w:shd w:val="clear" w:color="auto" w:fill="d9d9d9"/>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业务专线</w:t>
            </w:r>
            <w:r/>
          </w:p>
        </w:tc>
        <w:tc>
          <w:tcPr>
            <w:shd w:val="clear" w:color="auto" w:fill="d9d9d9"/>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条数</w:t>
            </w:r>
            <w:r/>
          </w:p>
        </w:tc>
        <w:tc>
          <w:tcPr>
            <w:shd w:val="clear" w:color="auto" w:fill="d9d9d9"/>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带宽</w:t>
            </w:r>
            <w:r/>
          </w:p>
        </w:tc>
        <w:tc>
          <w:tcPr>
            <w:shd w:val="clear" w:color="auto" w:fill="d9d9d9"/>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详细地址</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省水利厅（南京市上海路5号）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省气象中心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南京市建邺区雨顺路8号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莱斯公司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南京市苜蓿园东街1号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南京中星网通信有限公司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南京市高新开发区高科二路9号B幢二楼</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南京水文局（南京市鼓楼区汉口路81号）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城区监测中心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南京市雨花长虹路222号德盈国际广场3号楼</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江北监测中心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南京市六合区龙池街道璟湖路3号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高淳监测中心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南京市高淳区凯金世家花园1幢1单元302室</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下关潮水位站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南京市鼓楼区江边南路</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东山水位站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南京市江宁区秣陵街道河定桥</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高淳</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南京市高淳区阳江镇襟湖村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晓桥</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南京市浦口区永宁街道晓桥</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红山窑闸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南京市六合区雄州街道红山窑闸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葛塘</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南京市六合区葛塘街道黄马村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划子口闸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南京市六合区龙袍街道划子口闸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前垾村(秦)</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南京市江宁区秣陵街道洋桥村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前垾村(句)</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南京市江宁区秣陵街道前垾村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天生桥闸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南京市溧水区洪蓝镇严家塘村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六合站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南京市六合区雄州街道</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高淳缆道</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南京市高淳区阳江镇襟湖村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金牛山水库</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南京市六合区冶山街道 </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蛇山闸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南京市高淳区砖墙镇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水碧桥</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南京市高淳区古柏镇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大泉水库</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南京市六合区竹镇镇</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江宁水保站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南京市江宁区江宁街道牌坊社区龙坊路</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溧水水保站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南京市溧水区白马镇浮山村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无锡水文局（无锡市运河东路288号）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张泾</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无锡市锡山区锡北镇泾西村</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长寿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江阴市周庄镇长寿村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南新</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宜兴市和桥镇南新社区</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盛家</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宜兴市徐舍镇盛家村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洑溪</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宜兴市丁蜀镇建新村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胡家圩</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宜兴市徐舍镇联星村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杨巷</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宜兴市横山水库</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马镇</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无锡市祝塘镇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犊山闸观测场</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无锡市犊山闸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定波闸上游水文站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江阴市定波闸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新沟河闸水文站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江阴市新沟河江边枢纽</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大河港</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江阴市大河港水利枢纽</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洛社（Ⅱ）地下水</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无锡市惠山区洛社镇洛城排涝站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漕河</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江阴市月城镇朱家村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水质科化验室</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无锡市高凯路39号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甘露大桥站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无锡市锡山区鹅湖镇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犊山闸水质监测站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无锡市滨湖区环湖路小渲</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月亮湾站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无锡市马山镇月亮湾灵湖码头</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乌溪港桥站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宜兴市丁蜀镇渎边公路旁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大浦港桥站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宜兴市大浦镇渎边公路旁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沙塘港桥站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宜兴市周铁镇渎边公路旁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棉堤桥站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宜兴市周铁镇渎边公路旁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浯溪桥站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宜兴市周铁镇渎边公路旁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横涧站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宜兴市西渚镇横山水库上游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张渚水保站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宜兴市张渚镇茗岭村铜锣山</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宜兴中心站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宜兴市市宜城街道巷头东路100号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宜兴南水文站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宜兴市宜城街道荆溪中路133号荆溪桥北</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宜兴西水文站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宜兴市市宜城街道氿滨大道44号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大浦口生产管理用房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宜兴市丁蜀镇浦渚北路131号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大浦口水文站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宜兴市丁蜀镇浦渚北路131号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大港河上游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宜兴市丁蜀镇洑湖路上坝小学附近</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横山水库观测场</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宜兴市西渚镇环湖北路与云湖南路交叉路口往西北约70米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横山水库水位台</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宜兴市西渚镇环湖北路与云湖南路交叉路口往西北约70米</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横山水库缆道房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宜兴市西渚镇香林西街69号附近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茗岭水保站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宜兴市张渚镇岭南路101号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龙寺水保站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无锡市滨湖区雪浪街道盘龙路3号龙寺生态园</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新沟河水保站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江阴市申港街道滨江路592号新沟河江边水利枢纽</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无锡（二）水位站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无锡市滨湖区河埒街道红星路136号（运河外滩中心）附近</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甘露水位站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无锡市锡山区鹅湖镇甘露社区甘东路3号松芝村内甘露水文站</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陈墅水位站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无锡市锡山区东港镇港下社区兴港北路无门牌陈市外居区内陈墅水文站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直湖港闸水文站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无锡市滨湖胡埭镇马山街道闾江村1号直湖港水文站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直湖港闸观测场</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无锡市滨湖区胡埭镇马山街道闾江村1号直湖港水文站观测场</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洛社水文站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无锡市惠山区洛社镇洛社街道雅西社区雅西路19号洛社水文站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犊山闸水文站站房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无锡市滨湖区梅园街道环湖路1069号犊山闸水文站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江阴（肖山）水位站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江阴市城东街道萧山路8号肖山水文站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青旸水位站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江阴市澄江街道世博大桥北侧青阳水文站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青旸观测场</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江阴市澄江街道世博大桥北侧青阳水文站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白屈港水文站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江阴市澄江街道澄张路286号白屈港水文站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定波闸下游水文站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江阴市澄江街道五星路238号附近江阴中心定波闸水文站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新沟河上游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江阴市临港街道新沟河江边水利枢纽新沟河上游</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新沟河下游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江阴市临港街道新沟河江边水利枢纽新沟河下游</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新沟河ADCP</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江阴市临港街道新沟河江边水利枢纽新沟河ADCP</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城区中心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无锡市城南路9号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鹅湖（Ⅱ）</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无锡市锡山区鹅湖镇杜家湾锡太路新杨路交界东南200米</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五牧水位站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无锡市惠山区玉祁街道常玉路和横玉路交界西南侧五牧村退役军人服务站河边</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葑庄（Ⅱ）</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无锡市惠山区玉祁街道锡西大道和常玉路交界西北</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西漳（Ⅱ）</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无锡市惠山区西漳街道天石路88西漳公园88号-8(山和茶文化发展有限公司)</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大浦港水质站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宜兴市新庄街道渎边线育才路交界南侧（晨光耐火材料有限公司旁）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江阴中心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江阴市澄江街道环城北路222号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定波闸（下游）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江阴市澄江街道韭菜港公园(S229北200米)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马镇ADCP</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江阴市祝塘镇祝塘桥东北（就在桥边）景阳华府南区南面河道边</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洛社ADCP</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无锡市惠山区洛社镇东方红人行桥（华诚花苑46栋门口）</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北国大桥ADCP</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江阴市顾山镇老东街（北国大桥桥下）北街27号</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玉祁南闸ADCP</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无锡市惠山区洛社镇梅巷路与锡西大道交叉路口往西北约400米河边排涝站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新安ADCP</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无锡市新吴区新安街道沪霍线无锡行知科技专修学院北侧210米河边</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湖父墒情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宜兴市丁蜀镇上坝村涧南7号古道人家民宿</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澄江（潜）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江阴市城东街道澄张路辅路与萧山路交叉口东180米</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前洲（Ⅱ）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无锡市惠山区前洲经济技术开发区无锡海瑞焊割设备制造有限公司西北(兴洲路西)（兴州路30号）</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东亭（Ⅱ）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无锡市锡山区云林街道春鑫路80号云林生态体育公园(S342南100米)春鑫路走到头</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梅村（Ⅱ）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无锡市新吴区梅村街道泰伯大道176号（伯渎港水利枢纽里）</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徐舍（潜）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宜兴市徐舍镇赵家村35号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和桥（潜）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宜兴市和桥镇周家浜212号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祝塘（Ⅱ）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江阴市祝塘镇云顾路77号（祝塘镇永昌村）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横山水库（潜）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宜兴市西渚镇桑场往西80米左右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横山水库水文站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宜兴市西渚镇环湖北路与云湖南路交叉路口往西北约70米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直湖港闸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无锡市滨湖区马山街道太湖闸站工程管理处直湖港闸站管理所</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101</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徐州水文局（徐州市云龙区中茵广场）</w:t>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新沂监测中心原址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新沂市西四华里十一巷一号对面</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睢宁中心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徐州市徐沙河新天地6号楼</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城区中心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徐州市铜山新区大学路436号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丰县中心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丰县复新河东路25号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邳州中心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邳州市东湖街道中汇汽车城</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新安水文站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新沂市临沭南路星光小学东</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运河水文站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邳州市运河街道青年西路安和苑附近运河水文站</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港上水文站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邳州市港上镇沂河人家北侧港上水文站</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林子水文站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邳州市岔河镇林子村310国道西偏泓桥西侧林子水文站</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刘集闸水文站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邳州市八路镇新一号桥北侧刘集闸水文站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沙集西闸水文站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睢宁县沙集镇四丁村沙集西闸水文站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蔺家坝水文站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徐州市铜山区唐茅路蔺家坝水文站</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解台闸水文站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徐州市贾汪区305县道与黄金路交叉解台闸水文站</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沛城闸水文站(沛县中心)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沛县沛城街道滨河路沛城闸水文站</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textDirection w:val="lrTb"/>
            <w:noWrap w:val="false"/>
          </w:tcPr>
          <w:p>
            <w:pPr>
              <w:jc w:val="left"/>
              <w:widowControl/>
              <w:rPr>
                <w:rFonts w:hint="eastAsia" w:ascii="宋体" w:hAnsi="宋体" w:cs="宋体"/>
              </w:rPr>
            </w:pPr>
            <w:r>
              <w:rPr>
                <w:rFonts w:hint="eastAsia" w:ascii="宋体" w:hAnsi="宋体" w:cs="宋体"/>
                <w:lang w:bidi="ar"/>
              </w:rPr>
              <w:t xml:space="preserve">夹河闸（丰县水保站）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textDirection w:val="lrTb"/>
            <w:noWrap w:val="false"/>
          </w:tcPr>
          <w:p>
            <w:pPr>
              <w:jc w:val="left"/>
              <w:widowControl/>
              <w:rPr>
                <w:rFonts w:hint="eastAsia" w:ascii="宋体" w:hAnsi="宋体" w:cs="宋体"/>
              </w:rPr>
            </w:pPr>
            <w:r>
              <w:rPr>
                <w:rFonts w:hint="eastAsia" w:ascii="宋体" w:hAnsi="宋体" w:cs="宋体"/>
                <w:lang w:bidi="ar"/>
              </w:rPr>
              <w:t xml:space="preserve">丰县大沙河镇夹河闸基地</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刘山闸水位站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邳州市宿羊山镇刘山船闸桥西侧刘山闸水文站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滩上水位站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邳州市赵墩镇滩西村北侧滩上水位站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口头水位站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新沂市邵店镇陈埝子村北口头水位站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华沂水位站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新沂市草桥镇华沂村沂河漫水桥华沂水位站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云龙湖水库站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徐州市泉山区湖东路1号水文阁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窑湾水位站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新沂市沿河路79号窑湾水位站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城区姚庄闸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徐州市泉山区奎河路D线与山环南路交叉口姚庄闸</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新戴村水文站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新沂市徐海西路新墨河桥东北50m新戴村水文站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章苍水位站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新沂市新安街道办章苍村205国道黄墩河桥东北章苍水位站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房庄闸水位站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新沂市房庄闸桥房庄闸水位站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高塘水库站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新沂市高塘水库溢洪道左岸高塘水库站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东方红闸水位站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新沂市东方红大道淋头河东方红闸水位站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大沙河闸水位站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新沂市大沙河闸桥下游200m大沙河闸水位站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神山水位站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新沂市大桥东路黄墩河西北500m神山水位站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徐州水务局（值班室）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徐州市云龙区元和路1号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131</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常州水文局（常州市新北区兴业路1号）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澡港闸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常州市澡港闸枢纽</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丹金闸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常州市金坛区丹金闸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金坛（二）</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常州市金坛区金城镇南墅排涝闸北</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常州（三）</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常州市钟楼区西林街道钟楼闸控制工程</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王母观</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常州市金坛区指前镇王母观村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金坛监测中心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常州市金坛区月河路899号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城区监测中心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常州市新北区兴业路1号4楼-高新广场</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水质科实验室</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常州市工人新村南32-1栋江苏省水环境监测中心常州分中心</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溧阳水文示范中心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常州市新北区兴业路1号4楼-常州市溧阳市溧城镇南大街135号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金坛指前水保观测场</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常州市金坛区指前镇社头村白塔桥</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溧阳市京岚线与平陵东路交叉路口新村枢纽内往西北约220米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溧阳南渡水文站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溧阳市南渡镇大圩村南渡大桥东约200米南渡水文站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溧阳沙河水库</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溧阳市天目湖镇湖里山1号沙河水库水文站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溧阳大溪水库水文站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溧阳市溧阳1号公路大溪水库内环线大溪水库管理处</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溧阳中田舍站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溧阳市天目湖镇吴村村委中田村鲢鱼桥</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溧阳凌峰茶厂径流小区</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溧阳市天目湖镇杨村村杨庄杨黄线西450米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国土专线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常州市新北区兴业路1号4楼-常州市新北区太湖东路103号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武进港水质自动站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常州市武进区新湖路武进港枢纽内</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雅浦港水质自动站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常州市武进区雪马路18号太湖堤闸工程管理处</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大溪水库水质自动站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溧阳市溧阳1号公路大溪水库内环线千松树</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沙河水库水质自动站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常州市新北区兴业路1号4楼-溧阳市天目湖镇天目湖度假区山水园景区沙河水库水文站数字电路</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漕桥站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常州市武进区雪堰镇漕桥木材市场西150米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黄埝桥</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常州市武进区雪堰镇浒庄村新342省道太滆运河桥南100米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澡港闸下游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常州市新北区春江街道东海路大墩桥北200米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钟楼闸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常州市钟楼区河滨东路与宣陈路交叉路口钟楼防洪控制工程</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百渎口</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常州市武进区雪堰镇太湖湾旅游度假区（原武进区城管大队太湖湾中队旁）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罗溪</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常州市新北区罗溪镇东风桥南100米</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大溪水库水位站房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常州市新北区兴业路1号4楼-常州市溧阳市南渡镇腾村村委朱圩村大溪水库管理处中干渠管理所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北干河东站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常州市武进区湟里镇西鲁村新孟河与北干河交汇处以东1000m</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北干河西站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常州市武进区湟里镇西鲁村新孟河与北干河交汇处以西300m</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卜弋桥</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常州市钟楼区邹区镇卜弋村卜弋桥桥北1200米处</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石堰闸站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常州市武进区郑陆镇石堰闸闸南72米处</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魏村下游缆道房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常州市新北区魏村水利枢纽节制闸内</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魏村下游设备间</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常州市新北区魏村水利枢纽节制闸内</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戴溪站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常州市武进区东尖桥旁20米</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横林站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常州市武进区江村东路旁200米</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牛塘站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常州市武进区武南路牛塘水利枢纽</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白塔站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常州市金坛区东城街道诚信化工贸易有限公司旁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169</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苏州水文局（苏州市高新区枫运路188号）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太仓监测中心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太仓市柳州路19号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昆山监测中心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昆山市淀山湖镇石墩路西200米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张家港监测中心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张家港市蒋乘路与东横河交汇处西侧300米</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常熟市李闸路333号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西山水位站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苏州市吴中区西山镇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琳桥水位站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苏州市相城区黄埭镇琳桥闸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平望水文站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苏州市吴江区平望镇平望大桥北</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昆山二水位站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昆山市玉山汛塘北区东50米河边水位站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常熟中心望虞闸水文站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常熟市海虞镇常熟枢纽</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太仓中心浏河闸水文站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太仓市浏河镇浏河闸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平望</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苏州市吴江区平望镇平望大桥</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瓜泾口</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苏州市吴江区松陵镇九龙村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张家港闸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张家港市金港镇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浒浦闸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常熟市浒浦镇浒浦闸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白茆闸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常熟市碧溪镇新闸村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七浦闸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太仓市浮桥镇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杨林闸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太仓市浮桥镇仪桥</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盛泽</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苏州市吴江区盛泽镇红洲村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水环境监测中心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苏州市金山路24号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觅渡桥</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苏州市姑苏区觅渡桥东北角</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苏州（二）</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苏州市河道管理处内</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常熟（二）</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常熟市梦兰南路</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昆山（二）</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昆山市柏庐中路震川桥西南角</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巴城</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昆山市巴城镇费俊龙中学操场南侧</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望亭（太）</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苏州市望亭镇吴门口路/北太湖大道</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胥口上</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苏州市吴中区胥口镇环太湖大道南侧</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相城</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苏州市阳澄湖镇圣堂村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陈墓</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昆山市锦溪镇浦江南路</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东茭嘴水质站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苏州市吴江区七都镇吴溇村</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胥定桥水质站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苏州市吴中区胥口镇东胥香花园西侧</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沙墩港水质站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苏州市望亭镇吴门口路(月成河桥东侧)</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琳桥水质站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苏州市湘城区西塘河路琳桥闸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新师桥水质站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常熟市尚湖镇人民北路</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大义友谊村水质站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常熟市大义友谊村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光福水质站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苏州市吴中区光福镇铜坑村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瓜泾口水质站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苏州市吴江区瓜泾口水利枢纽</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联湖桥水质站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苏州市吴江区吴江大道与松平线路口西南</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衙里水质站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苏州市吴中区西山镇衙里村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石公村水质站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苏州市吴中区西山镇石公山</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吴中水保站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苏州市吴中区木渎凤凰山</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209</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南通水文局（南通市崇川区居乡路20号）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如东监测中心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如东县掘港镇人民北路58号中央广场B区7</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巡测基地</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南通市姚港路附31号楼4楼</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海安分监测中心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南通市海安县黄海大道海安水文巡测基地（海安气象局隔壁）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焦港闸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如皋市石庄镇焦港闸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碾砣港闸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如皋市九华镇碾砣港闸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九圩港闸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南通市港闸区九圩港闸</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天生港</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南通市崇川区沿江路与通燧路交叉口正北方向14米左右（南通天生港发电有限公司）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南通市崇川区南通闸</w:t>
            </w:r>
            <w:r/>
          </w:p>
        </w:tc>
      </w:tr>
      <w:tr>
        <w:trPr>
          <w:trHeight w:val="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营船港闸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南通市经济开发区营船港闸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新江海河闸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海门市新江海河闸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大洋港闸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启东市吕四港镇大洋港新闸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遥望港闸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南通市通州区三余镇遥望港闸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洋口外闸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如东县洋口镇洋口外闸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南通闸水质自动站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南通市崇川区南通闸缆道房</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焦港闸水质自动站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如皋市石庄镇焦港闸缆道房</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九圩港闸水质自动站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南通市港闸区九圩港闸缆道房</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225</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连云港水文局（连云港市海州区学院北路10号）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东海监测中心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东海县徐海中路109号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赣榆监测中心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连云港市赣榆经济开发区永安路16号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石梁河水库</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东海县石梁河水库</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石梁河缆道房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东海县石梁河水库</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至临洪</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连云港市新浦区新圩村</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至临洪（东）</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连云港市海州区临洪水利工程管理处</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至小许庄</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东海县房山镇吴场村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至黑林</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赣榆县黑林镇邵埠地村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至小塔山水库</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赣榆县小塔山水库</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黑林水保站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连云港市黑林镇邵埠地村</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水质化验室</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连云港市海州区秦东门大街兴亿达大厦</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大兴镇水文站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大兴镇水文站新沭河对岸铁塔</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237</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淮安水文局（淮安市深圳路41号）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城区监测中心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淮安市深圳路41号（与分局距离300米）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盱眙监测中心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盱眙县山盱城街道淮河北路淮明园72号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239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涟水监测中心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涟水县朱码镇朱码闸水文站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金湖监测中心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金湖县沿河路金湖水文站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盱眙监测中心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盱眙县盱城街道十里营大道90号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老子山</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淮安市洪泽区老子山水位自己台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溜子河</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盱眙县溜子河水文自己台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龙王山水库</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盱眙县龙王山水库自己台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盱眙水保站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盱眙县水土保持径流场</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淮泗河</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淮安市淮阴区淮泗河水位自己台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跃进河测站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淮安市淮阴区跃进河水位自己台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杨口水位站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涟水县杨口水位自己台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249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二庄水位站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涟水县二庄水位自己台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于沟水位站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金湖县于沟水位自己台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庙沟水位站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金湖县庙沟水位自己台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金湖水位站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金湖县金湖水位自己台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新迁水位站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盱眙县新迁水位自己台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涟水中心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涟水县中联壹城涟水监测中心</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一帆河闸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连云港市灌南县一帆河水位自己台</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256</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盐城水文局（盐城市亭湖新区东亭路21号）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亭湖区监测中心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盐城市开放大道57水文局办公楼6108老机房内</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阜宁县阜城射河西路20号，阜宁水文站院内</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响水监测中心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响水县德路巷12号响水口水位站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259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大丰监测中心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大丰市金丰北路与疏港路交界口向北至疏港航道，向东200米</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东台监测中心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东台市北海大桥北300米水质监测站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滨海监测中心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盐城市滨海大套农业园育才村（S327通榆河桥西南100米）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射阳县城市防洪管理所院内，小洋河船闸东侧</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建湖监测中心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建湖县颜单镇沈杨村境内，建湖县自来水公司西塘河取水口西侧500米</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滨海新闸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响水县中山河闸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黄土沟</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建湖县沿河镇自强村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射阳河闸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射阳县海通镇射阳河闸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阜宁(通)</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阜宁县施庄镇北陈村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运棉河闸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射阳县黄沙港镇运棉河闸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269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上冈</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建湖县上冈镇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黄沙港闸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射阳县黄沙港镇黄沙港闸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利民河闸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射阳县黄沙港镇利民河闸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梁垛河南闸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东台市弶港镇海滨村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梁垛河闸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东台市弶港镇海滨村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川东港闸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大丰市草庙镇联东村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王港新闸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大丰市裕华镇王港新闸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四卯酉闸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大丰市海丰农场四卯酉闸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大丰闸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大丰市三龙镇大丰闸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大团</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大丰市新丰镇大团村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279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斗龙港闸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大丰市三龙镇斗龙港闸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大新河口</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盐城市亭湖区南洋镇新洋村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新洋港闸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盐城市亭湖区黄尖镇新洋港闸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西潮河闸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盐城市亭湖区黄尖镇西潮河闸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东台(泰)</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东台市东台镇长青村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盐城市亭湖区城北大桥</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射阳河闸下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射阳县海通镇通</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串通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射阳县海河镇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陈洋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射阳县陈洋镇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利民河闸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射阳县黄沙港镇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289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东沟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阜宁县东沟镇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裴桥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阜宁县东沟镇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清沟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阜宁县罗桥镇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刘咀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阜宁县东沟镇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余深河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阜宁县沟墩镇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阜宁中心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阜宁县阜城街道</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阜宁AR鹰眼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阜宁县阜城街道</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射阳港潮位站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射阳县射阳港电厂</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滨海水保站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滨海县东坎镇废黄河立交工程管理所内</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298</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扬州水文局（扬州市汶河北路63号）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仪征监测中心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仪征市扬子东路64号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299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高邮监测中心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高邮市嘉禾巷10号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瓜洲水文站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扬州市邗江区瓜洲镇瓜洲水文站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邵伯水文站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扬州市江都区邵伯镇邵伯水文站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泾河水文站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扬州市与淮安市交界处老淮江公路</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三江营水位站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扬州市江都区大桥镇河口</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泗源沟上游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仪征市扬子东路法苑小区东侧泗源沟闸上游</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泗源沟闸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仪征市扬子东路法苑小区东侧泗源沟闸下游缆道房西侧</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宝应水位站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宝应县白田路</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仪征水保站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仪征市刘集镇中利水库旁</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308</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镇江水文局（镇江市丹徒新区谷阳中大道18号）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九曲河闸水文站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镇江市润州区电力路丹阳丹北镇九曲河水利枢纽九曲河闸水文站</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309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旧县水位站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镇江市丹徒区荣炳镇盐府路旧县水位站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丁角桥水文站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镇江市丹徒区宝堰镇丁角村丁角桥</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谏壁抽水站水文站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镇江市镇江新区谏壁镇雩北西路与031乡道交叉口北50米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金山湖水位站(北固山)</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镇江市京口区东吴路3号(北固山公园山上甘露寺)</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谏壁闸水文站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镇江市京口区谏壁闸管理处</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句容监测中心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句容市华阳镇房家坝5号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城区监测中心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镇江市京口区梦溪路40号微夷大厦11楼</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北山水库水文站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句容市北山水库管理处</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赤山新闸水文站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句容市赤山新闸附近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丹阳监测中心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丹阳市兰陵路103号丽都国际</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319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丹阳水位站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丹阳市城北村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新孟河闸水文站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镇江市界牌镇新孟河闸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吴村桥水文站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镇江市丹徒区宝堰镇南宫村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镇江（二）潮位站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镇江市镇扬汽渡</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宝堰蒸发站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镇江市丹徒区徐巷村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镇江雨量站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镇江市南门大街</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句容水保站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句容市白兔镇马里村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326</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泰州水文局（泰州市海陵区鼓楼南路266号）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兴化监测中心(旧)</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兴化市昭阳镇气象路69号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马甸港闸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泰兴市滨江镇马甸港闸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过船港闸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泰兴市滨江镇过船港闸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329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夏仕港闸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靖江市斜桥镇夏仕港闸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黄桥</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泰兴市黄桥镇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泰州（周）</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泰州市海陵区凰路街道</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口岸闸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泰州市高港区口岸闸</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高港水保监控</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泰州市高港区港城西路19号引江河管理处院内</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城区监测中心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泰州市高港区港城西路19号引江河管理处院内</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高港（下）站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泰州市高港区港城西路19号引江河管理处院内</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口岸(下）站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泰州市高港区口岸闸下游100米</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马甸（上）站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泰兴市马甸港闸上游100米</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夏仕（上）站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靖江市斜桥镇夏仕港闸上游500米</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339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夏仕（下）站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靖江市斜桥镇夏仕港闸下游50米</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泰州（通）站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泰州市海陵区美好上郡北</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泰州（泰）站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泰州市海陵区草河与新通扬运河交汇处</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姜堰（通）站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泰州市姜堰区老通扬运河双登大道桥处</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倪浒庄站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泰兴市新街镇倪浒庄</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溱潼站水位自记台</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泰州市姜堰区溱潼镇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溱潼站雨量观测场</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泰州市姜堰区溱潼镇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泰兴站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泰兴市城区</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港口地下水站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泰州市海陵区华港镇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中堡站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兴化市中堡镇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349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安丰站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兴化市安丰镇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沈埨站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兴化市沈埨镇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陶庄站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兴化市陶庄镇</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缸顾</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兴化市千垛镇夏广村缸顾水厂取水口</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周庄</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兴化市周庄镇道须沟周庄水厂取水口</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吴家庄</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兴化市中堡镇吴家庄西侧河边</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安西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兴化市昌荣镇姚家舍东侧河边</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昌荣</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兴化市戴窑镇双星村西河边</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车路</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兴化市戴窑镇南侧河边</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娄庄</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泰州市海陵区S231跨泰东河桥下河东侧</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359</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宿迁水文分局</w:t>
            </w:r>
            <w:r>
              <w:rPr>
                <w:rFonts w:hint="eastAsia" w:ascii="宋体" w:hAnsi="宋体" w:cs="宋体"/>
                <w:sz w:val="22"/>
                <w:szCs w:val="22"/>
                <w:lang w:bidi="ar"/>
              </w:rPr>
              <w:br/>
              <w:t xml:space="preserve">（宿迁市洪泽湖路1588号金鹏国际）</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沭阳监测中心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沭阳县大连西路沭阳水文水资源监测中心</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泗洪监测中心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泗洪县洪桥路21号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桐槐树</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沭阳县新河镇新槐村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泗洪(姚圩)</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泗洪县青阳镇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金锁镇</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泗洪县金锁镇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双沟</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泗洪县双沟镇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下草湾</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泗洪县双沟镇草湾村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沭阳北泓</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沭阳县扎下居委会</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尚咀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泗洪县龙集镇</w:t>
            </w:r>
            <w:r/>
          </w:p>
        </w:tc>
      </w:tr>
      <w:tr>
        <w:trPr>
          <w:trHeight w:val="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四河水质自动监测站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泗洪县四河乡四河水质自动监测站</w:t>
            </w:r>
            <w:r/>
          </w:p>
        </w:tc>
      </w:tr>
      <w:tr>
        <w:trPr>
          <w:trHeight w:val="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369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黄河故道中心（水质）</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宿迁市宿城区花园路66号</w:t>
            </w:r>
            <w:r/>
          </w:p>
        </w:tc>
      </w:tr>
      <w:tr>
        <w:trPr>
          <w:trHeight w:val="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泗洪县星河上城西侧濉堤路泗洪水文水资源监测中心</w:t>
            </w:r>
            <w:r/>
          </w:p>
        </w:tc>
      </w:tr>
      <w:tr>
        <w:trPr>
          <w:trHeight w:val="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宿城刘桥水保站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宿迁市宿城区南长线刘桥渡槽</w:t>
            </w:r>
            <w:r/>
          </w:p>
        </w:tc>
      </w:tr>
      <w:tr>
        <w:trPr>
          <w:trHeight w:val="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局机关办公点（水利局）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宿迁市宿城区人民大道4号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373</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骆运水利工程管理处</w:t>
            </w:r>
            <w:r>
              <w:rPr>
                <w:rFonts w:hint="eastAsia" w:ascii="宋体" w:hAnsi="宋体" w:cs="宋体"/>
                <w:sz w:val="22"/>
                <w:szCs w:val="22"/>
                <w:lang w:bidi="ar"/>
              </w:rPr>
              <w:br/>
              <w:t xml:space="preserve">(宿迁市宿城区幸福街道黄河路4号）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皂河抽水站</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宿迁市湖滨新城开发区皂河镇镇政府北五公里（皂河船闸北2公里）</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泗阳闸站管理所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宿迁市泗阳县众新镇上海南路2号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皂河闸管理所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宿迁市湖滨新城开发区皂河镇镇政府北2.5公里（皂河船闸东700米）</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刘老涧闸站管理所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宿迁市宿豫区仰化镇刘涧村刘老涧船闸北侧</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骆运水利工程管理处抗旱排涝队</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宿迁市宿豫区宿迁闸北首</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沙集闸站管理所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徐州市睢宁县沙集镇沙圩村（睢宁二站）</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379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房亭河地涵管理所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徐州市邳州市新河镇龙化桥旁</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洋河滩闸管理所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宿迁市湖滨新城开发区洋河滩村</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黄墩湖滞洪闸管理所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宿迁市湖滨新城开发区皂河镇镇政府北五公里（皂河船闸北2公里）</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嶂山闸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宿迁市湖滨新区晓店镇嶂山居委会</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宿迁市湖滨新区井头乡井头居委会</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六塘河闸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宿迁市宿豫区井头街道三台山大道无门牌六塘河闸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385</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淮沭新河管理处</w:t>
            </w:r>
            <w:r>
              <w:rPr>
                <w:rFonts w:hint="eastAsia" w:ascii="宋体" w:hAnsi="宋体" w:cs="宋体"/>
                <w:sz w:val="22"/>
                <w:szCs w:val="22"/>
                <w:lang w:bidi="ar"/>
              </w:rPr>
              <w:br/>
              <w:t xml:space="preserve">(淮安市开发区深圳路9号)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淮阴二站管理所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淮安市清浦区城南乡新闸村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二河闸管理所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淮安市洪泽县高良涧镇滨湖路350号</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杨庄闸管理所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淮安市淮海西路295号（西郊活动坝）</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新沂河海口控制工程管理所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连云港市灌云县燕尾镇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389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善后闸管理所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连云港市灌云县圩丰镇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盐河北闸管理所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连云港市灌云县侍庄乡</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盐河北闸管理所至叮当河控制工程管理所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连云港市灌云县侍庄乡盐河北闸管理所至灌云县南岗镇叮当河控制工程管理所</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沭新闸管理所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宿迁市沭阳县扎下镇明庄村</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沭新闸管理所至龙埝控制工程管理所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宿迁市沭阳县扎下镇明庄村沭新闸管理所至宿迁市沭阳县耿圩镇王庙村</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沭新闸管理所至沭阳控制工程管理所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宿迁市沭阳县扎下镇明庄村沭新闸管理所至宿迁市沭阳县扎下镇王庄村</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沭新闸管理所至沭新闸管理所虞姬沟闸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宿迁市沭阳县扎下镇明庄村沭新闸管理所至沭新闸管理所虞姬沟闸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沭阳闸管理所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宿迁市沭阳县沭城镇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蔷薇河地涵管理所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宿迁市沭阳县桑墟镇蔷薇河村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滨海抽水站管理所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盐城市滨海县大套乡洪林村</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399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灌河响水地涵管理所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盐城市响水县黄响河闸旁灌河响水地涵管理所</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灌河响水地涵管理所至响水引水闸(响水县内)</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盐城市响水县黄响河闸旁灌河响水地涵管理所至灌河响水地涵管理所响水引水闸</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至沭新闸（工控）</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宿迁市沭阳县扎下镇明庄村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淮阴闸管理所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淮安市淮阴区王营镇淮闸村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403</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灌溉总渠水利工程管理处</w:t>
            </w:r>
            <w:r>
              <w:rPr>
                <w:rFonts w:hint="eastAsia" w:ascii="宋体" w:hAnsi="宋体" w:cs="宋体"/>
                <w:sz w:val="22"/>
                <w:szCs w:val="22"/>
                <w:lang w:bidi="ar"/>
              </w:rPr>
              <w:br/>
              <w:t xml:space="preserve">(淮安市淮安区三堡乡运东闸院内)</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淮阴站（二河枢纽）</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淮安市清江浦区和平镇越闸村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滨海枢纽</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盐城市滨海县通榆镇</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阜宁腰闸管理所（淮阜控制）</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盐城市阜宁县陈集镇闸东村</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六垛闸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盐城市射阳县临海镇六垛社区</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北运西闸管理所（镇湖闸）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淮安市淮安区南闸镇</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北运西闸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淮安市淮安区南闸镇林南村</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409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南运西闸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扬州市宝应县氾水镇南运西闸管理所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高良涧闸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淮安市洪泽区高涧镇滨湖路85号省高良涧闸管理所</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北运西闸管理所至山阳地涵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淮安市淮安区漕运镇X209 北运西闸管理所至扬州市宝应县山阳镇大东村山阳地涵</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北运西闸管理所至阮桥闸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淮安市淮安区漕运镇X209 北运西闸管理所至淮安市金湖县前锋镇白马湖村阮桥闸</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南运西闸管理所至大汕子闸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扬州市宝应县南运西闸管理所(远西堤路东)至扬州市宝应县氾水镇金宝渔业村大汕子闸</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苏嘴水文台</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淮安市淮安区苏嘴镇苏博线与328省道交叉口东50米（交警四中队对面）</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二河枢纽专线电路（工控）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淮安市清江浦区和平镇越闸村</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北运西闸专线电路（工控）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淮安市淮安区南闸镇林南村</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镇湖闸专线电路（工控）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淮安市淮安区南闸镇</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穿运洞专线电路（工控）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淮安市淮安区平桥镇</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419</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高良涧闸专线电路（工控）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淮安市洪泽区高涧镇滨湖路85号省高良涧闸管理所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420</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洪泽湖水利工程管理处（淮安市</w:t>
            </w:r>
            <w:r>
              <w:rPr>
                <w:rFonts w:hint="eastAsia" w:ascii="宋体" w:hAnsi="宋体" w:cs="宋体"/>
                <w:sz w:val="22"/>
                <w:szCs w:val="22"/>
                <w:lang w:bidi="ar"/>
              </w:rPr>
              <w:t xml:space="preserve">洪泽区洪泽湖大道106号）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三河闸管理所蒋坝水文亭</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淮安市洪泽区蒋坝镇三河闸管理所蒋坝水文亭</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三河闸(中渡)</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淮安市洪泽县蒋坝镇三河闸</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堤防管理所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淮安市洪泽区古堰路3号洪泽湖堤防管理所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三河船闸管理所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淮安市洪泽区蒋坝镇省三河船闸管理所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三河闸管理所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淮安市洪泽区蒋坝镇江苏省三河闸管理所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石港抽水站管理所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淮安市金湖县金北镇刘庄村石港抽水站管理所</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湖泊-盱眙中心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淮安市盱眙县盱城街道象山公园旁</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湖泊-泗洪中心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宿迁市泗洪县半龙线泗洪县水利局濉河闸管理所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码头</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淮安市洪泽区高良涧街道古堰景区执法码头</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429</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江都水利工程管理处</w:t>
            </w:r>
            <w:r>
              <w:rPr>
                <w:rFonts w:hint="eastAsia" w:ascii="宋体" w:hAnsi="宋体" w:cs="宋体"/>
                <w:sz w:val="22"/>
                <w:szCs w:val="22"/>
                <w:lang w:bidi="ar"/>
              </w:rPr>
              <w:br/>
              <w:t xml:space="preserve">（扬州市江都区龙城路133号）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万福闸管理所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扬州市广陵区凤凰路与自在岛路交叉口</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宜陵闸管理所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扬州市江都区宜陵镇新庄公路</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邵仙闸管理所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扬州市广陵区Y703与华泰路交叉口</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万福闸管理所至金湾闸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扬州市广陵区凤凰路与自在岛路交叉口至扬州市江都区仙女镇谢庄路东</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宜陵闸管理所至宜北闸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扬州市江都区宜陵镇新庄公路至扬州市江都区宜陵北闸</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宜陵闸管理所至三里窑闸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扬州市江都区宜陵镇新庄公路至扬州市江都区东进公路船闸管理所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宜陵闸管理所至五里窑闸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扬州市江都区宜陵镇新庄公路至扬州市江都区五里窑中桥</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邵仙闸管理所至邵伯闸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扬州市广陵区Y703与华泰路交叉口至扬州市江都区上河边与棠湖路交叉口</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437</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秦淮河水利工程管理处（南京市秦淮区红花村136号）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武定门闸</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南京市武定门闸</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秦淮新河闸管理所数据专线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南京市雨花区经济开发区天后社区（秦淮新河闸管理所）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439</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太湖水利工程管理处（苏州市吴中区太湖东路24号）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常熟管理所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苏州市常熟市海虞镇花庄常熟水利枢纽</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望亭管理所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无锡市硕放镇南开路1号天山水泥厂南望亭枢纽管理所</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丹金闸管理所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常州市金坛区通闸路219号丹金枢纽</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钟楼管理所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常州市钟楼区西林街道朱夏墅村钟楼防洪控制工程管理所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443</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湖西中心</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常州市武进区孟津路与丰泽路交界处</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太湖基地</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苏州市临湖镇北港闸附近</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张家港所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苏州市常熟市虞山镇大义区常隆村张家港水利枢纽管理所</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446</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新沟河管理所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无锡市江阴市申港街道滨江村新购河江边枢纽管理所</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447</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丹阳水利枢纽管理所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苏州市吴中区太湖东路24号-丹阳所</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448</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奔牛水利枢纽管理所</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苏州市吴中区太湖东路24号-奔牛所</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449</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泰州引江河管理处（泰州市高港区港城西路19号）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灌溉动力管理一处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泰州市海陵区海陵北路668号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450</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拉马河闸管理所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南通市如皋市江安镇黄市新社区</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451</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北箍江泵站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泰州市医药高新区引江社区</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452</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vpdn专线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泰州市医药高新区</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453</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防汛防旱抢险中心（南京市六合区雄州街道马营农商街205号）</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红山窑实训基地（演练区）</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南京市六合区瓜埠镇红山窑村红山窑水利枢纽旁</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454</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红山窑实训基地(训练区)</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南京市六合区瓜埠镇红山窑村红山窑水利枢纽旁</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455</w:t>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left"/>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物联网专线</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100M </w:t>
            </w:r>
            <w:r/>
          </w:p>
        </w:tc>
        <w:tc>
          <w:tcPr>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南京市六合区雄州街道高余社区农商街205号江苏省防汛防旱抢险中心</w:t>
            </w:r>
            <w:r/>
          </w:p>
        </w:tc>
      </w:tr>
    </w:tbl>
    <w:p>
      <w:pPr>
        <w:spacing w:line="500" w:lineRule="exact"/>
        <w:rPr>
          <w:rFonts w:hint="eastAsia" w:ascii="宋体" w:hAnsi="宋体" w:cs="宋体"/>
          <w:sz w:val="24"/>
          <w:szCs w:val="32"/>
        </w:rPr>
      </w:pPr>
      <w:r>
        <w:rPr>
          <w:rFonts w:hint="eastAsia" w:ascii="宋体" w:hAnsi="宋体" w:cs="宋体"/>
          <w:sz w:val="24"/>
          <w:szCs w:val="32"/>
        </w:rPr>
      </w:r>
      <w:r/>
    </w:p>
    <w:p>
      <w:pPr>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二</w:t>
      </w:r>
      <w:r>
        <w:rPr>
          <w:rFonts w:ascii="宋体" w:hAnsi="宋体" w:cs="宋体"/>
          <w:b/>
          <w:bCs/>
          <w:sz w:val="24"/>
          <w:szCs w:val="24"/>
        </w:rPr>
        <w:t xml:space="preserve">、技术要求</w:t>
      </w:r>
      <w:r/>
    </w:p>
    <w:p>
      <w:pPr>
        <w:ind w:firstLine="422"/>
        <w:spacing w:line="360" w:lineRule="auto"/>
        <w:rPr>
          <w:rFonts w:ascii="宋体"/>
          <w:b/>
          <w:bCs/>
          <w:sz w:val="24"/>
          <w:szCs w:val="24"/>
          <w:lang w:val="zh-CN"/>
        </w:rPr>
      </w:pPr>
      <w:r>
        <w:rPr>
          <w:rFonts w:hint="eastAsia" w:ascii="宋体"/>
          <w:b/>
          <w:bCs/>
          <w:sz w:val="24"/>
          <w:szCs w:val="24"/>
          <w:lang w:val="zh-CN"/>
        </w:rPr>
        <w:t xml:space="preserve">1、技术指标、参数要求</w:t>
      </w:r>
      <w:r/>
    </w:p>
    <w:tbl>
      <w:tblPr>
        <w:tblW w:w="8789" w:type="dxa"/>
        <w:tblInd w:w="-17" w:type="dxa"/>
        <w:tblLayout w:type="fixed"/>
        <w:tblLook w:val="04A0" w:firstRow="1" w:lastRow="0" w:firstColumn="1" w:lastColumn="0" w:noHBand="0" w:noVBand="1"/>
      </w:tblPr>
      <w:tblGrid>
        <w:gridCol w:w="868"/>
        <w:gridCol w:w="1416"/>
        <w:gridCol w:w="6505"/>
      </w:tblGrid>
      <w:tr>
        <w:trPr>
          <w:trHeight w:val="272"/>
          <w:tblHeader/>
        </w:trPr>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序号</w:t>
            </w:r>
            <w:r/>
          </w:p>
        </w:tc>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业务种类</w:t>
            </w:r>
            <w:r/>
          </w:p>
        </w:tc>
        <w:tc>
          <w:tcPr>
            <w:shd w:val="clear" w:color="auto" w:fill="d8d8d8" w:themeFill="background1" w:themeFillShade="D8"/>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技术规格、参数要求</w:t>
            </w:r>
            <w:r/>
          </w:p>
        </w:tc>
      </w:tr>
      <w:tr>
        <w:trPr>
          <w:trHeight w:val="81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互联网宽带、数字电路、裸光纤</w:t>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线路接入要符合省水利厅的设备对接要求。供应商必须免费提供用户从光传输设备至用户路由设备所需的光纤跳线及与用户设备线缆相匹配的转换接头等必要的配件。</w:t>
            </w:r>
            <w:r/>
          </w:p>
        </w:tc>
      </w:tr>
      <w:tr>
        <w:trPr>
          <w:trHeight w:val="81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安全性：实现对省水利厅现有互联网地址实时安全防护，能对电路中发生的网络攻击做初步安全防护应对，提供初步安全防护方案。</w:t>
            </w:r>
            <w:r/>
          </w:p>
        </w:tc>
      </w:tr>
      <w:tr>
        <w:trPr>
          <w:trHeight w:val="780"/>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tcPr>
          <w:p>
            <w:pPr>
              <w:jc w:val="center"/>
              <w:widowControl/>
              <w:rPr>
                <w:rFonts w:hint="eastAsia" w:ascii="宋体" w:hAnsi="宋体" w:cs="宋体"/>
              </w:rPr>
            </w:pPr>
            <w:r>
              <w:rPr>
                <w:rFonts w:hint="eastAsia" w:ascii="宋体" w:hAnsi="宋体" w:cs="宋体"/>
                <w:lang w:bidi="ar"/>
              </w:rPr>
              <w:t xml:space="preserve">互联网</w:t>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上下行带宽对等，实际测速结果达到用户签约合同的带宽要求视为测速达标并承诺</w:t>
            </w:r>
            <w:r>
              <w:rPr>
                <w:rFonts w:hint="eastAsia"/>
              </w:rPr>
              <w:t xml:space="preserve">提供测试报告</w:t>
            </w:r>
            <w:r>
              <w:rPr>
                <w:rFonts w:hint="eastAsia" w:ascii="宋体" w:hAnsi="宋体" w:cs="宋体"/>
                <w:sz w:val="22"/>
                <w:szCs w:val="22"/>
                <w:lang w:bidi="ar"/>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丢包率小于等于</w:t>
            </w:r>
            <w:r>
              <w:rPr>
                <w:rFonts w:hint="eastAsia" w:ascii="宋体" w:hAnsi="宋体" w:cs="宋体"/>
                <w:lang w:bidi="ar"/>
              </w:rPr>
              <w:t xml:space="preserve">0.005%。全年可用率平均达到99.9％。</w:t>
            </w:r>
            <w:r/>
          </w:p>
        </w:tc>
      </w:tr>
      <w:tr>
        <w:trPr>
          <w:trHeight w:val="90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水利厅2条互联网宽带共提供</w:t>
            </w:r>
            <w:r>
              <w:rPr>
                <w:rFonts w:hint="eastAsia" w:ascii="宋体" w:hAnsi="宋体" w:cs="宋体"/>
                <w:lang w:bidi="ar"/>
              </w:rPr>
              <w:t xml:space="preserve">16个互联网IP地址，水利厅直属单位主备互联网宽带各提供8个互联网IP地址。费用应含在互联网宽带线路费用中，不需要另外支付。</w:t>
            </w:r>
            <w:r/>
          </w:p>
        </w:tc>
      </w:tr>
      <w:tr>
        <w:trPr>
          <w:trHeight w:val="74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w:t>
            </w:r>
            <w:r/>
          </w:p>
        </w:tc>
        <w:tc>
          <w:tcPr>
            <w:tcBorders>
              <w:top w:val="none" w:color="000000" w:sz="4" w:space="0"/>
              <w:left w:val="single" w:color="000000" w:sz="4" w:space="0"/>
              <w:bottom w:val="single" w:color="000000" w:sz="4" w:space="0"/>
              <w:right w:val="single" w:color="000000" w:sz="4" w:space="0"/>
            </w:tcBorders>
            <w:tcW w:w="1416" w:type="dxa"/>
            <w:vAlign w:val="center"/>
            <w:vMerge w:val="restart"/>
            <w:textDirection w:val="lrTb"/>
            <w:noWrap/>
          </w:tcPr>
          <w:p>
            <w:pPr>
              <w:jc w:val="center"/>
              <w:widowControl/>
              <w:rPr>
                <w:rFonts w:hint="eastAsia" w:ascii="宋体" w:hAnsi="宋体" w:cs="宋体"/>
              </w:rPr>
            </w:pPr>
            <w:r>
              <w:rPr>
                <w:rFonts w:hint="eastAsia" w:ascii="宋体" w:hAnsi="宋体" w:cs="宋体"/>
                <w:lang w:bidi="ar"/>
              </w:rPr>
              <w:t xml:space="preserve">数字电路</w:t>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基于</w:t>
            </w:r>
            <w:r>
              <w:rPr>
                <w:rFonts w:hint="eastAsia" w:ascii="宋体" w:hAnsi="宋体" w:cs="宋体"/>
                <w:lang w:bidi="ar"/>
              </w:rPr>
              <w:t xml:space="preserve">WDM/OTN/MSTP技术，提供安全、稳定、带宽独享的数字电路组网方式，与互联网物理隔离。</w:t>
            </w:r>
            <w:r/>
          </w:p>
        </w:tc>
      </w:tr>
      <w:tr>
        <w:trPr>
          <w:trHeight w:val="120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w:t>
            </w:r>
            <w:r/>
          </w:p>
        </w:tc>
        <w:tc>
          <w:tcPr>
            <w:tcBorders>
              <w:top w:val="non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误码率要求：符合中华人民共和国信息产业部《基于</w:t>
            </w:r>
            <w:r>
              <w:rPr>
                <w:rFonts w:hint="eastAsia" w:ascii="宋体" w:hAnsi="宋体" w:cs="宋体"/>
                <w:lang w:bidi="ar"/>
              </w:rPr>
              <w:t xml:space="preserve">SDH的多业务传送节点（MSTP）本地传输工程设计规范》（YD/T 2397-2012）”标准的要求，误码率≤1×10-7。</w:t>
            </w:r>
            <w:r/>
          </w:p>
        </w:tc>
      </w:tr>
      <w:tr>
        <w:trPr>
          <w:trHeight w:val="98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w:t>
            </w:r>
            <w:r/>
          </w:p>
        </w:tc>
        <w:tc>
          <w:tcPr>
            <w:tcBorders>
              <w:top w:val="non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时延要求：符合中华人民共和国信息产业部《基于</w:t>
            </w:r>
            <w:r>
              <w:rPr>
                <w:rFonts w:hint="eastAsia" w:ascii="宋体" w:hAnsi="宋体" w:cs="宋体"/>
                <w:lang w:bidi="ar"/>
              </w:rPr>
              <w:t xml:space="preserve">SDH的多业务传送节点（MSTP）本地传输工程设计规范》（YD/T 2397-2012）”标准的要求，最高时延≤50ms。</w:t>
            </w:r>
            <w:r/>
          </w:p>
        </w:tc>
      </w:tr>
      <w:tr>
        <w:trPr>
          <w:trHeight w:val="1215"/>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w:t>
            </w:r>
            <w:r/>
          </w:p>
        </w:tc>
        <w:tc>
          <w:tcPr>
            <w:tcBorders>
              <w:top w:val="non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可用率：供应商每月提供的网络或线路的正常服务时间占服务总时间的百分比。本次项目电路端到端电路可用率需达到99.9%以上，业务中断两小时内电路恢复率为100%。</w:t>
            </w:r>
            <w:r/>
          </w:p>
        </w:tc>
      </w:tr>
      <w:tr>
        <w:trPr>
          <w:trHeight w:val="135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w:t>
            </w:r>
            <w:r/>
          </w:p>
        </w:tc>
        <w:tc>
          <w:tcPr>
            <w:tcBorders>
              <w:top w:val="non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数字电路特性：江苏省水利厅至供应商接入机房的电路要求在供应商骨干层、长途层需要承载在不同网络平面上，所有电路基于光纤方式承载，供应商必须提供端到端透明传输通道，必须与互联网完全物理隔离，避免电路干扰、中断等的问题出现。</w:t>
            </w:r>
            <w:r/>
          </w:p>
        </w:tc>
      </w:tr>
      <w:tr>
        <w:trPr>
          <w:trHeight w:val="160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w:t>
            </w:r>
            <w:r/>
          </w:p>
        </w:tc>
        <w:tc>
          <w:tcPr>
            <w:tcBorders>
              <w:top w:val="non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供应商基础传输网要求：要求供应商用于承载内部专网的长途传输一级、二级干线层面采用光缆</w:t>
            </w:r>
            <w:r>
              <w:rPr>
                <w:rFonts w:hint="eastAsia" w:ascii="宋体" w:hAnsi="宋体" w:cs="宋体"/>
                <w:lang w:bidi="ar"/>
              </w:rPr>
              <w:t xml:space="preserve">1+1的保护机制，当主用路由光缆发生故障，电路自动切换到备用路由。两端（各水文局和管理处）机房线路接入提供可靠光缆双路由保护，并保证在主用路由发生障碍时能够自动切换到备用路由，电路保护倒换时间≤50ms。</w:t>
            </w:r>
            <w:r/>
          </w:p>
        </w:tc>
      </w:tr>
      <w:tr>
        <w:trPr>
          <w:trHeight w:val="108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w:t>
            </w:r>
            <w:r/>
          </w:p>
        </w:tc>
        <w:tc>
          <w:tcPr>
            <w:tcBorders>
              <w:top w:val="non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冗余性：本次采购电路与江苏省水利信息采集网另一条电路为冗余机制，当某一条电路故障时，可将流量数据自动切换到另一条电路，保障业务应用的持久通畅，即可实现无缝切换，需提供接入冗余方案。</w:t>
            </w:r>
            <w:r/>
          </w:p>
        </w:tc>
      </w:tr>
      <w:tr>
        <w:trPr>
          <w:trHeight w:val="135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w:t>
            </w:r>
            <w:r/>
          </w:p>
        </w:tc>
        <w:tc>
          <w:tcPr>
            <w:tcBorders>
              <w:top w:val="non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电路监管要求：要求供应商所提供的网络具有对所有节点传输设备的日常运行状态、故障响应、资源分配和调度控制等监测管理功能，提供端到端的客户网络监控等业务，需提供监管截图；供应商对于客户网络监控服务应具备7×24小时的实时服务监控团队，需提供服务团队信息。</w:t>
            </w:r>
            <w:r/>
          </w:p>
        </w:tc>
      </w:tr>
      <w:tr>
        <w:trPr>
          <w:trHeight w:val="108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w:t>
            </w:r>
            <w:r/>
          </w:p>
        </w:tc>
        <w:tc>
          <w:tcPr>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tcPr>
          <w:p>
            <w:pPr>
              <w:jc w:val="center"/>
              <w:widowControl/>
              <w:rPr>
                <w:rFonts w:hint="eastAsia" w:ascii="宋体" w:hAnsi="宋体" w:cs="宋体"/>
              </w:rPr>
            </w:pPr>
            <w:r>
              <w:rPr>
                <w:rFonts w:hint="eastAsia" w:ascii="宋体" w:hAnsi="宋体" w:cs="宋体"/>
                <w:lang w:bidi="ar"/>
              </w:rPr>
              <w:t xml:space="preserve">裸光纤</w:t>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参数要求：路由长度（</w:t>
            </w:r>
            <w:r>
              <w:rPr>
                <w:rFonts w:hint="eastAsia" w:ascii="宋体" w:hAnsi="宋体" w:cs="宋体"/>
                <w:lang w:bidi="ar"/>
              </w:rPr>
              <w:t xml:space="preserve">km）：≤15；光缆衰耗（dB）：≤15；系统容量（DWDM波道数）：≥16。</w:t>
            </w:r>
            <w:r/>
          </w:p>
        </w:tc>
      </w:tr>
      <w:tr>
        <w:trPr>
          <w:trHeight w:val="1035"/>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支持</w:t>
            </w:r>
            <w:r>
              <w:rPr>
                <w:rFonts w:hint="eastAsia" w:ascii="宋体" w:hAnsi="宋体" w:cs="宋体"/>
                <w:lang w:bidi="ar"/>
              </w:rPr>
              <w:t xml:space="preserve">2M～10G主要业务（例如E1/T1、STM-1/4/16/64、OC-3/12/48/192、FE、GE、10GE、FC100/200/400/800/1200、FICON、ESCON、DVB-ASI、HDTV、EPON、GPON等），支持端口速率自适应。</w:t>
            </w:r>
            <w:r/>
          </w:p>
        </w:tc>
      </w:tr>
      <w:tr>
        <w:trPr>
          <w:trHeight w:val="78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支持主流</w:t>
            </w:r>
            <w:r>
              <w:rPr>
                <w:rFonts w:hint="eastAsia" w:ascii="宋体" w:hAnsi="宋体" w:cs="宋体"/>
                <w:lang w:bidi="ar"/>
              </w:rPr>
              <w:t xml:space="preserve">IP、SAN业务并支持混合承载，作为独立FC通道时实际速率不低于4Gbps。</w:t>
            </w:r>
            <w:r/>
          </w:p>
        </w:tc>
      </w:tr>
      <w:tr>
        <w:trPr>
          <w:trHeight w:val="525"/>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支持与波分设备常用接口（例如</w:t>
            </w:r>
            <w:r>
              <w:rPr>
                <w:rFonts w:hint="eastAsia" w:ascii="宋体" w:hAnsi="宋体" w:cs="宋体"/>
                <w:lang w:bidi="ar"/>
              </w:rPr>
              <w:t xml:space="preserve">SFP/SFP+/XFP等）对接，满足通用接口规范。</w:t>
            </w:r>
            <w:r/>
          </w:p>
        </w:tc>
      </w:tr>
      <w:tr>
        <w:trPr>
          <w:trHeight w:val="180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本工程所租赁的不同供应商、不同物理路由的裸纤将接入两侧机房不同波分设备业务卡上；主路由应采用城域网级传输光缆，如对业务类型、频率、波分设备端口等有特殊要求，需明确提出；同一路由两端须实现接入路由冗余（主机房与灾备机房均通过两条不同接入路由接入就近端局），需提供接入冗余方案，在标准地图上示意物理路由具体走向。</w:t>
            </w:r>
            <w:r/>
          </w:p>
        </w:tc>
      </w:tr>
    </w:tbl>
    <w:p>
      <w:pPr>
        <w:ind w:firstLine="422"/>
        <w:rPr>
          <w:rFonts w:ascii="宋体"/>
          <w:b/>
          <w:bCs/>
        </w:rPr>
      </w:pPr>
      <w:r>
        <w:rPr>
          <w:rFonts w:ascii="宋体"/>
          <w:b/>
          <w:bCs/>
        </w:rPr>
      </w:r>
      <w:r/>
    </w:p>
    <w:p>
      <w:pPr>
        <w:ind w:firstLine="422"/>
        <w:rPr>
          <w:rFonts w:ascii="宋体"/>
          <w:b/>
          <w:bCs/>
          <w:sz w:val="24"/>
          <w:szCs w:val="24"/>
          <w:lang w:val="zh-CN"/>
        </w:rPr>
      </w:pPr>
      <w:r>
        <w:rPr>
          <w:rFonts w:ascii="宋体"/>
          <w:b/>
          <w:bCs/>
          <w:sz w:val="24"/>
          <w:szCs w:val="24"/>
          <w:lang w:val="zh-CN"/>
        </w:rPr>
      </w:r>
      <w:r/>
    </w:p>
    <w:p>
      <w:pPr>
        <w:ind w:firstLine="422"/>
        <w:rPr>
          <w:rFonts w:ascii="宋体"/>
          <w:b/>
          <w:bCs/>
          <w:sz w:val="24"/>
          <w:szCs w:val="24"/>
          <w:lang w:val="zh-CN"/>
        </w:rPr>
      </w:pPr>
      <w:r>
        <w:rPr>
          <w:rFonts w:hint="eastAsia" w:ascii="宋体"/>
          <w:b/>
          <w:bCs/>
          <w:sz w:val="24"/>
          <w:szCs w:val="24"/>
          <w:lang w:val="zh-CN"/>
        </w:rPr>
        <w:t xml:space="preserve">2、技术方案</w:t>
      </w:r>
      <w:r/>
    </w:p>
    <w:p>
      <w:pPr>
        <w:ind w:firstLine="482"/>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供应商应根据项目需求提供具体详实的技术方案，包含互联网宽带接入方案、数字电路组网技术方案等，要求方案细致全面、合理、技术可行性强。所提供的线路必须稳定、可靠地满足省水利厅及直属单位互联网的访问、数据传输要求，并考虑后期数据业务的扩展可进行带宽平滑升级。要求各供应商提供接入的技术方案，</w:t>
      </w:r>
      <w:r>
        <w:rPr>
          <w:rFonts w:hint="eastAsia" w:ascii="宋体" w:hAnsi="宋体" w:cs="宋体"/>
          <w:sz w:val="24"/>
          <w:szCs w:val="32"/>
        </w:rPr>
        <w:t xml:space="preserve">租赁期内对所提供租用通信光缆的维护、保养与管理，具体维护要求满足技术要求。</w:t>
      </w:r>
      <w:r/>
    </w:p>
    <w:p>
      <w:pPr>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三、施工要求</w:t>
      </w:r>
      <w:r/>
    </w:p>
    <w:p>
      <w:pPr>
        <w:ind w:firstLine="480"/>
        <w:spacing w:line="500" w:lineRule="exact"/>
        <w:rPr>
          <w:rFonts w:hint="eastAsia" w:ascii="宋体" w:hAnsi="宋体" w:cs="宋体"/>
          <w:b/>
          <w:sz w:val="24"/>
          <w:szCs w:val="24"/>
        </w:rPr>
      </w:pPr>
      <w:r>
        <w:rPr>
          <w:rFonts w:hint="eastAsia" w:ascii="宋体" w:hAnsi="宋体" w:cs="宋体"/>
          <w:b/>
          <w:sz w:val="24"/>
          <w:szCs w:val="24"/>
        </w:rPr>
        <w:t xml:space="preserve">1、项目实施方案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为保障业务平稳过渡，</w:t>
      </w:r>
      <w:r>
        <w:rPr>
          <w:rFonts w:hint="eastAsia" w:ascii="宋体" w:hAnsi="宋体"/>
          <w:bCs/>
          <w:sz w:val="24"/>
          <w:szCs w:val="24"/>
        </w:rPr>
        <w:t xml:space="preserve">供应商</w:t>
      </w:r>
      <w:r>
        <w:rPr>
          <w:rFonts w:hint="eastAsia" w:ascii="宋体" w:hAnsi="宋体" w:cs="宋体"/>
          <w:sz w:val="24"/>
          <w:szCs w:val="24"/>
        </w:rPr>
        <w:t xml:space="preserve">应综合考虑项目总体需求，针对本项目的技术及服务，制定科学、合理、详细的整体项目实施方案。包含不限于项目实施计划、项目实施团队、项目实施进度安排、实施保障措施、验收方案等内容。</w:t>
      </w:r>
      <w:r/>
    </w:p>
    <w:p>
      <w:pPr>
        <w:ind w:firstLine="480"/>
        <w:spacing w:line="500" w:lineRule="exact"/>
        <w:rPr>
          <w:rFonts w:hint="eastAsia" w:ascii="宋体" w:hAnsi="宋体" w:cs="宋体"/>
          <w:b/>
          <w:sz w:val="24"/>
          <w:szCs w:val="24"/>
        </w:rPr>
      </w:pPr>
      <w:r>
        <w:rPr>
          <w:rFonts w:hint="eastAsia" w:ascii="宋体" w:hAnsi="宋体" w:cs="宋体"/>
          <w:b/>
          <w:sz w:val="24"/>
          <w:szCs w:val="24"/>
        </w:rPr>
        <w:t xml:space="preserve">2、项目施工周期</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合同签订后，在服务期前至少15个日历日完成安装调试工作，联网率达到100%。</w:t>
      </w:r>
      <w:r/>
    </w:p>
    <w:p>
      <w:pPr>
        <w:spacing w:line="500" w:lineRule="exact"/>
        <w:rPr>
          <w:rFonts w:hint="eastAsia" w:ascii="宋体" w:hAnsi="宋体" w:cs="宋体"/>
          <w:sz w:val="24"/>
          <w:szCs w:val="24"/>
        </w:rPr>
      </w:pPr>
      <w:r>
        <w:rPr>
          <w:rFonts w:hint="eastAsia" w:ascii="宋体" w:hAnsi="宋体"/>
          <w:bCs/>
          <w:sz w:val="24"/>
          <w:szCs w:val="24"/>
        </w:rPr>
        <w:t xml:space="preserve">供应商</w:t>
      </w:r>
      <w:r>
        <w:rPr>
          <w:rFonts w:hint="eastAsia" w:ascii="宋体" w:hAnsi="宋体" w:cs="宋体"/>
          <w:sz w:val="24"/>
          <w:szCs w:val="24"/>
        </w:rPr>
        <w:t xml:space="preserve">自本项目所服务传输线路全部开通时起（以建设方签字确认为依据），提供不少于15天的免费试运行期。</w:t>
      </w:r>
      <w:r/>
    </w:p>
    <w:p>
      <w:pPr>
        <w:ind w:firstLine="480"/>
        <w:spacing w:line="500" w:lineRule="exact"/>
        <w:rPr>
          <w:rFonts w:hint="eastAsia" w:ascii="宋体" w:hAnsi="宋体" w:cs="宋体"/>
          <w:b/>
          <w:sz w:val="24"/>
          <w:szCs w:val="24"/>
        </w:rPr>
      </w:pPr>
      <w:r>
        <w:rPr>
          <w:rFonts w:hint="eastAsia" w:ascii="宋体" w:hAnsi="宋体" w:cs="宋体"/>
          <w:b/>
          <w:sz w:val="24"/>
          <w:szCs w:val="24"/>
        </w:rPr>
        <w:t xml:space="preserve">3、割接方案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为保障业务平稳过渡，供应商应在充分调研线路方案和运行情况以及各接入点的情况基础上，制定科学、合理、详细的电路割接方案。割接时间不超过0.5小时。</w:t>
      </w:r>
      <w:r>
        <w:rPr>
          <w:rFonts w:hint="eastAsia" w:ascii="宋体" w:hAnsi="宋体"/>
          <w:bCs/>
          <w:sz w:val="24"/>
          <w:szCs w:val="24"/>
        </w:rPr>
        <w:t xml:space="preserve">供应商</w:t>
      </w:r>
      <w:r>
        <w:rPr>
          <w:rFonts w:hint="eastAsia" w:ascii="宋体" w:hAnsi="宋体" w:cs="宋体"/>
          <w:sz w:val="24"/>
          <w:szCs w:val="24"/>
        </w:rPr>
        <w:t xml:space="preserve">线路服务实施过程中须尽量减少采购人业务中断时间，进行割接等可能影响采购人业务的操作时，须提前48小时与采购人进行确认，实施过程中保障采购人业务中断时长在0.5小时以内。供应商须根据相应要求，提供数字电路割接方案。</w:t>
      </w:r>
      <w:r/>
    </w:p>
    <w:p>
      <w:pPr>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四、售后服务</w:t>
      </w:r>
      <w:r/>
    </w:p>
    <w:p>
      <w:pPr>
        <w:ind w:firstLine="480"/>
        <w:spacing w:line="500" w:lineRule="exact"/>
        <w:rPr>
          <w:rFonts w:hint="eastAsia" w:ascii="宋体" w:hAnsi="宋体" w:cs="宋体"/>
          <w:b/>
          <w:sz w:val="24"/>
          <w:szCs w:val="24"/>
        </w:rPr>
      </w:pPr>
      <w:r/>
      <w:bookmarkStart w:id="202" w:name="_Toc421220370"/>
      <w:r>
        <w:rPr>
          <w:rFonts w:hint="eastAsia" w:ascii="宋体" w:hAnsi="宋体" w:cs="宋体"/>
          <w:b/>
          <w:sz w:val="24"/>
          <w:szCs w:val="24"/>
        </w:rPr>
        <w:t xml:space="preserve">1、维护服务方案</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1.1供应商提供维护服务保障体系和完整合理的售后服务方案，售后服务方案中需包含服务机构、服务内容、响应时间、故障处理、恢复时效、人员力量、迁移服务、支撑保障等内容。</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1.2供应商具备省市县三级服务架构，对线路和供应商放在客户端传输设备的</w:t>
      </w:r>
      <w:r>
        <w:rPr>
          <w:rFonts w:hint="eastAsia" w:ascii="宋体" w:hAnsi="宋体" w:cs="宋体"/>
          <w:bCs/>
          <w:sz w:val="24"/>
          <w:szCs w:val="24"/>
        </w:rPr>
        <w:t xml:space="preserve">运行和维护，故障排查和修复、故障配件更换、技术咨询等，并响应客户需求对重要时间节点进行应急保障和巡检。具备经验丰富的专业技术人员负责维护管理，维护人员7*24小时实时响应网络障碍或用户申告，保证网络障碍或用户申告得到快速、有效的处理，确保专网用户业务数据安全通畅。线路和设备发生技术性故障影响使用时，平时应提供7*24小时远程电话技术支持和4小时内上门服务；在汛期（5月1日至9月30日）发生故障，应在1个小时以内到达现场，2个小时以内完成电路和链路的恢复，并须分析事件原因与存在的隐患，完成相关问题的整改工作。</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1.3供应商在进行可能会影响业务的所有维护或更换操作时，应提供完备详尽的操作方案，向用户详细解释潜在风险。所有操作均以保证数据安全和设备完好服务为前提。供应商须提供全面合理可行的故障应急解决方案，并负责整个系统恢复正常。系统恢复后，需出具详细维修服务报告。</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为确保设备发生故障后能尽快修复，供应商应根据实际维护要求自行储备各类常用备品、备件、备机。在服务期内，如发生网络设备故障，由相关工程师现场处理；对于硬件损坏的情况（需与硬件生产厂商技术支持热线确认），并提供备件替换服务。所供设备均为原厂正宗原配产品（包括在标配基础上增加的配件也必须为原厂原配）。不得使用任何拆机件或旧件。</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5</w:t>
      </w:r>
      <w:r>
        <w:rPr>
          <w:rFonts w:hint="eastAsia" w:ascii="宋体" w:hAnsi="宋体" w:cs="宋体"/>
          <w:bCs/>
          <w:sz w:val="24"/>
          <w:szCs w:val="24"/>
        </w:rPr>
        <w:t xml:space="preserve"> 对采购人提出的合理服务要求，成交供应商必须即时进行电话、邮件或远程网络支持，并在4小时内到场服务，如不到场，采购人有权自行处理，相关费用由成交供应商负责。</w:t>
      </w:r>
      <w:r/>
    </w:p>
    <w:p>
      <w:pPr>
        <w:ind w:firstLine="480"/>
        <w:spacing w:line="500" w:lineRule="exact"/>
        <w:rPr>
          <w:rFonts w:hint="eastAsia" w:ascii="宋体" w:hAnsi="宋体" w:cs="宋体"/>
          <w:bCs/>
          <w:sz w:val="24"/>
          <w:szCs w:val="24"/>
          <w:lang w:val="zh-CN"/>
        </w:rPr>
      </w:pPr>
      <w:r>
        <w:rPr>
          <w:rFonts w:hint="eastAsia" w:ascii="宋体" w:hAnsi="宋体" w:cs="宋体"/>
          <w:bCs/>
          <w:sz w:val="24"/>
          <w:szCs w:val="24"/>
        </w:rPr>
        <w:t xml:space="preserve">1.6供应商在服务期内新增需求免收初装费及其他一次性费用，免费提供线路迁移服务，</w:t>
      </w:r>
      <w:r>
        <w:rPr>
          <w:rFonts w:hint="eastAsia" w:ascii="宋体" w:hAnsi="宋体" w:cs="宋体"/>
          <w:bCs/>
          <w:sz w:val="24"/>
          <w:szCs w:val="24"/>
          <w:lang w:val="zh-CN"/>
        </w:rPr>
        <w:t xml:space="preserve">并在10个</w:t>
      </w:r>
      <w:r>
        <w:rPr>
          <w:rFonts w:hint="eastAsia" w:ascii="宋体" w:hAnsi="宋体" w:cs="宋体"/>
          <w:bCs/>
          <w:sz w:val="24"/>
          <w:szCs w:val="24"/>
        </w:rPr>
        <w:t xml:space="preserve">日历天</w:t>
      </w:r>
      <w:r>
        <w:rPr>
          <w:rFonts w:hint="eastAsia" w:ascii="宋体" w:hAnsi="宋体" w:cs="宋体"/>
          <w:bCs/>
          <w:sz w:val="24"/>
          <w:szCs w:val="24"/>
          <w:lang w:val="zh-CN"/>
        </w:rPr>
        <w:t xml:space="preserve">内完成，迁移前应制定详细的线路迁移方案，迁移中线路中断时间应在用户的要求范围内，迁移后保证线路的可用性，确保系统如期正常运行。</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迁移服务包含：</w:t>
      </w:r>
      <w:r/>
    </w:p>
    <w:p>
      <w:pPr>
        <w:ind w:firstLine="480"/>
        <w:spacing w:line="50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用户方办公地点整体迁移。要求线路提供商先开通新办公地点的线路，用户迁移工作完毕后，再拆除原办公地点线路。新老线路在迁移期间不再额外收取任何费用。新旧光传输设备型号、容量不变。</w:t>
      </w:r>
      <w:r/>
    </w:p>
    <w:p>
      <w:pPr>
        <w:ind w:firstLine="480"/>
        <w:spacing w:line="500" w:lineRule="exact"/>
        <w:rPr>
          <w:rFonts w:hint="eastAsia"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用户方办公地点不变，机房位置根据工作需要改变位置。要求线路提供商</w:t>
      </w:r>
      <w:r>
        <w:rPr>
          <w:rFonts w:ascii="宋体" w:hAnsi="宋体"/>
          <w:bCs/>
          <w:sz w:val="24"/>
          <w:szCs w:val="24"/>
        </w:rPr>
        <w:t xml:space="preserve">根据用户需求，免费提供接入光缆或光传输设备的移位服务。</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1.7所有技术支持、服务产生的费用以及涉及的备件费用等均包含在此次报价中，采购人不再额外支付其他任何费用。</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1.8保证所供货物、服务或其任何一部分不受第三方提出侵犯其专利权、商标权、版权和工业设计权的指控。</w:t>
      </w:r>
      <w:r/>
    </w:p>
    <w:p>
      <w:pPr>
        <w:ind w:firstLine="480"/>
        <w:spacing w:line="500" w:lineRule="exact"/>
        <w:rPr>
          <w:rFonts w:hint="eastAsia" w:ascii="宋体" w:hAnsi="宋体" w:cs="宋体"/>
          <w:b/>
          <w:sz w:val="24"/>
          <w:szCs w:val="24"/>
        </w:rPr>
      </w:pPr>
      <w:r>
        <w:rPr>
          <w:rFonts w:ascii="宋体" w:hAnsi="宋体" w:cs="宋体"/>
          <w:b/>
          <w:sz w:val="24"/>
          <w:szCs w:val="24"/>
        </w:rPr>
        <w:t xml:space="preserve">2</w:t>
      </w:r>
      <w:r>
        <w:rPr>
          <w:rFonts w:hint="eastAsia" w:ascii="宋体" w:hAnsi="宋体" w:cs="宋体"/>
          <w:b/>
          <w:sz w:val="24"/>
          <w:szCs w:val="24"/>
        </w:rPr>
        <w:t xml:space="preserve">、巡检方案</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需提供巡检方案，方案中包括线路巡检和客户端接入设备巡检。线路巡检包括每年至少两次（汛前、汛后各一次）对省水利厅互联网、省水利广域网、地市分支节点广域网进行现场巡检服务，每季度至少一次对省水利厅数据中心现场巡检服务。客户端接入设备巡检包括清洁机架、DDF、ODF，检查传输设备运行状态，检查设备告警状态。根据用户要求，定期提供质量运行分析报告。在设备巡检过程中，发现问题进行性能调优，确保业务的稳定运行。</w:t>
      </w:r>
      <w:r/>
    </w:p>
    <w:p>
      <w:pPr>
        <w:ind w:firstLine="480"/>
        <w:spacing w:line="500" w:lineRule="exact"/>
        <w:rPr>
          <w:rFonts w:hint="eastAsia" w:ascii="宋体" w:hAnsi="宋体" w:cs="宋体"/>
          <w:b/>
          <w:sz w:val="24"/>
          <w:szCs w:val="24"/>
        </w:rPr>
      </w:pPr>
      <w:r>
        <w:rPr>
          <w:rFonts w:ascii="宋体" w:hAnsi="宋体" w:cs="宋体"/>
          <w:b/>
          <w:sz w:val="24"/>
          <w:szCs w:val="24"/>
        </w:rPr>
        <w:t xml:space="preserve">3</w:t>
      </w:r>
      <w:r>
        <w:rPr>
          <w:rFonts w:hint="eastAsia" w:ascii="宋体" w:hAnsi="宋体" w:cs="宋体"/>
          <w:b/>
          <w:sz w:val="24"/>
          <w:szCs w:val="24"/>
        </w:rPr>
        <w:t xml:space="preserve">、网络监控方案</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需提供可自主查看的网管监控统一管理的平台，可统一查看各电路的地址、连接状态、实时上下行流量、IP地址、传输应用类型，可对每条电路的质量监测，包括每条链路的流量大小、应用构成、能够提供电路的时延、重传、会话数峰值、异常事件、数据包分布、新建连接、连接失败等网络关键性能指标的查看，方便管理员对网络异常情况作出预判和决策。可定期提供电路使用情况报告，内容包含电路的流量使用情况、带宽占比、时段流速分析、视频会议等应用使用统计等信息。</w:t>
      </w:r>
      <w:r/>
    </w:p>
    <w:p>
      <w:pPr>
        <w:ind w:firstLine="480"/>
        <w:spacing w:line="500" w:lineRule="exact"/>
        <w:rPr>
          <w:rFonts w:hint="eastAsia" w:ascii="宋体" w:hAnsi="宋体" w:cs="宋体"/>
          <w:b/>
          <w:sz w:val="24"/>
          <w:szCs w:val="24"/>
        </w:rPr>
      </w:pPr>
      <w:r>
        <w:rPr>
          <w:rFonts w:ascii="宋体" w:hAnsi="宋体" w:cs="宋体"/>
          <w:b/>
          <w:sz w:val="24"/>
          <w:szCs w:val="24"/>
        </w:rPr>
        <w:t xml:space="preserve">4</w:t>
      </w:r>
      <w:r>
        <w:rPr>
          <w:rFonts w:hint="eastAsia" w:ascii="宋体" w:hAnsi="宋体" w:cs="宋体"/>
          <w:b/>
          <w:sz w:val="24"/>
          <w:szCs w:val="24"/>
        </w:rPr>
        <w:t xml:space="preserve">、综合网管监控技术</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具有综合网管监控技术，提供可自主查看的网管监控统一管理平台，能提供面向客户的专属可视化界面，实现线路主动监控、异常告警通知、线路故障统计、线路可用性统计、故障响应以及调度控制等功能。</w:t>
      </w:r>
      <w:r/>
    </w:p>
    <w:p>
      <w:pPr>
        <w:ind w:firstLine="480"/>
        <w:spacing w:line="500" w:lineRule="exact"/>
        <w:rPr>
          <w:rFonts w:hint="eastAsia" w:ascii="宋体" w:hAnsi="宋体" w:cs="宋体"/>
          <w:b/>
          <w:sz w:val="24"/>
          <w:szCs w:val="24"/>
        </w:rPr>
      </w:pPr>
      <w:r>
        <w:rPr>
          <w:rFonts w:ascii="宋体" w:hAnsi="宋体" w:cs="宋体"/>
          <w:b/>
          <w:sz w:val="24"/>
          <w:szCs w:val="24"/>
        </w:rPr>
        <w:t xml:space="preserve">5</w:t>
      </w:r>
      <w:r>
        <w:rPr>
          <w:rFonts w:hint="eastAsia" w:ascii="宋体" w:hAnsi="宋体" w:cs="宋体"/>
          <w:b/>
          <w:sz w:val="24"/>
          <w:szCs w:val="24"/>
        </w:rPr>
        <w:t xml:space="preserve">、流量分析技术</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具有流量分析技术，可提供查看的流量分析管理平台截图，能提现实时监控客户宽带流量</w:t>
      </w:r>
      <w:bookmarkEnd w:id="202"/>
      <w:r>
        <w:rPr>
          <w:rFonts w:hint="eastAsia" w:ascii="宋体" w:hAnsi="宋体" w:cs="宋体"/>
          <w:bCs/>
          <w:sz w:val="24"/>
          <w:szCs w:val="24"/>
        </w:rPr>
        <w:t xml:space="preserve">，并通过实时分析网上数据流来监测非法入侵活动，并根据监测结果实时报警、响应，达到主动发现入侵活动、确保网络安全目的。</w:t>
      </w:r>
      <w:r/>
    </w:p>
    <w:p>
      <w:pPr>
        <w:ind w:firstLine="480"/>
        <w:spacing w:line="500" w:lineRule="exact"/>
        <w:rPr>
          <w:rFonts w:hint="eastAsia" w:ascii="宋体" w:hAnsi="宋体" w:cs="宋体"/>
          <w:bCs/>
          <w:sz w:val="24"/>
          <w:szCs w:val="24"/>
        </w:rPr>
      </w:pPr>
      <w:r>
        <w:rPr>
          <w:rFonts w:hint="eastAsia" w:ascii="宋体" w:hAnsi="宋体" w:cs="宋体"/>
          <w:bCs/>
          <w:sz w:val="24"/>
          <w:szCs w:val="24"/>
        </w:rPr>
      </w:r>
      <w:r/>
    </w:p>
    <w:p>
      <w:pPr>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五、服务能力</w:t>
      </w:r>
      <w:r/>
    </w:p>
    <w:p>
      <w:pPr>
        <w:ind w:firstLine="480"/>
        <w:spacing w:line="500" w:lineRule="exact"/>
        <w:rPr>
          <w:rFonts w:hint="eastAsia" w:ascii="宋体" w:hAnsi="宋体" w:cs="宋体"/>
          <w:b/>
          <w:sz w:val="24"/>
          <w:szCs w:val="24"/>
        </w:rPr>
      </w:pPr>
      <w:r>
        <w:rPr>
          <w:rFonts w:hint="eastAsia" w:ascii="宋体" w:hAnsi="宋体" w:cs="宋体"/>
          <w:b/>
          <w:sz w:val="24"/>
          <w:szCs w:val="24"/>
        </w:rPr>
        <w:t xml:space="preserve">1、成功案例</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供应商具备承接本项目的服务能力，需提供2023年1月1日（合同签订为准）以来类似项目的成功案例。</w:t>
      </w:r>
      <w:r/>
    </w:p>
    <w:p>
      <w:pPr>
        <w:ind w:firstLine="480"/>
        <w:spacing w:line="500" w:lineRule="exact"/>
        <w:rPr>
          <w:rFonts w:hint="eastAsia" w:ascii="宋体" w:hAnsi="宋体" w:cs="宋体"/>
          <w:b/>
          <w:sz w:val="24"/>
          <w:szCs w:val="24"/>
        </w:rPr>
      </w:pPr>
      <w:r>
        <w:rPr>
          <w:rFonts w:hint="eastAsia" w:ascii="宋体" w:hAnsi="宋体" w:cs="宋体"/>
          <w:b/>
          <w:sz w:val="24"/>
          <w:szCs w:val="24"/>
        </w:rPr>
        <w:t xml:space="preserve">2、项目团队</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本项目需配备不少于6人的项目实施和运维团队，人员需提供供应商为其缴纳的近三个月任意一个月的社保证明材料。其中配备1名项目经理，项目经理至少拥有高级工程师证书、高级信息系统项目管理师证书其中1项；配备1名项目技术负责人，项目技术负责人至少拥有网络工程师证书、通信工程师证书、信息安全保障人员CISAW证书或网络规划设计师证书其中1项；项目组的其他成员，至少具有网络工程师证书、通信工程师、CISP证书、CISSP证书1至2项。</w:t>
      </w:r>
      <w:r/>
    </w:p>
    <w:p>
      <w:pPr>
        <w:pStyle w:val="1027"/>
        <w:rPr>
          <w:rFonts w:hint="eastAsia"/>
        </w:rPr>
      </w:pPr>
      <w:r>
        <w:rPr>
          <w:rFonts w:hint="eastAsia"/>
        </w:rPr>
      </w:r>
      <w:r/>
    </w:p>
    <w:p>
      <w:pPr>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六、验收要求</w:t>
      </w:r>
      <w:r/>
    </w:p>
    <w:p>
      <w:pPr>
        <w:ind w:firstLine="420"/>
        <w:spacing w:line="360" w:lineRule="auto"/>
        <w:rPr>
          <w:rFonts w:ascii="宋体"/>
          <w:sz w:val="24"/>
          <w:szCs w:val="24"/>
          <w:lang w:val="zh-CN"/>
        </w:rPr>
      </w:pPr>
      <w:r>
        <w:rPr>
          <w:rFonts w:hint="eastAsia" w:ascii="宋体"/>
          <w:sz w:val="24"/>
          <w:szCs w:val="24"/>
        </w:rPr>
        <w:t xml:space="preserve">1</w:t>
      </w:r>
      <w:r>
        <w:rPr>
          <w:rFonts w:hint="eastAsia" w:ascii="宋体"/>
          <w:sz w:val="24"/>
          <w:szCs w:val="24"/>
          <w:lang w:val="zh-CN"/>
        </w:rPr>
        <w:t xml:space="preserve">、线路建设完成后，</w:t>
      </w:r>
      <w:r>
        <w:rPr>
          <w:rFonts w:hint="eastAsia" w:ascii="宋体" w:hAnsi="宋体" w:cs="宋体"/>
          <w:bCs/>
          <w:sz w:val="24"/>
          <w:szCs w:val="24"/>
        </w:rPr>
        <w:t xml:space="preserve">供应商应利用技术手段对每条线路进行质量测试，</w:t>
      </w:r>
      <w:r>
        <w:rPr>
          <w:rFonts w:hint="eastAsia" w:ascii="宋体"/>
          <w:sz w:val="24"/>
          <w:szCs w:val="24"/>
          <w:lang w:val="zh-CN"/>
        </w:rPr>
        <w:t xml:space="preserve">测试报告需有双方签字，</w:t>
      </w:r>
      <w:r>
        <w:rPr>
          <w:rFonts w:hint="eastAsia" w:ascii="宋体" w:hAnsi="宋体" w:cs="宋体"/>
          <w:bCs/>
          <w:sz w:val="24"/>
          <w:szCs w:val="24"/>
        </w:rPr>
        <w:t xml:space="preserve">由采购人进行验收。</w:t>
      </w:r>
      <w:r>
        <w:rPr>
          <w:rFonts w:hint="eastAsia" w:ascii="宋体"/>
          <w:sz w:val="24"/>
          <w:szCs w:val="24"/>
          <w:lang w:val="zh-CN"/>
        </w:rPr>
        <w:t xml:space="preserve">验收通过后，甲方正式通知启用之日起开始进入计费周期；若验收不通过，用户有权终止合同。</w:t>
      </w:r>
      <w:r/>
    </w:p>
    <w:p>
      <w:pPr>
        <w:ind w:firstLine="420"/>
        <w:spacing w:line="360" w:lineRule="auto"/>
        <w:rPr>
          <w:rFonts w:ascii="宋体"/>
          <w:sz w:val="24"/>
          <w:szCs w:val="24"/>
          <w:lang w:val="zh-CN"/>
        </w:rPr>
      </w:pPr>
      <w:r>
        <w:rPr>
          <w:rFonts w:hint="eastAsia" w:ascii="宋体"/>
          <w:sz w:val="24"/>
          <w:szCs w:val="24"/>
        </w:rPr>
        <w:t xml:space="preserve">2</w:t>
      </w:r>
      <w:r>
        <w:rPr>
          <w:rFonts w:hint="eastAsia" w:ascii="宋体"/>
          <w:sz w:val="24"/>
          <w:szCs w:val="24"/>
          <w:lang w:val="zh-CN"/>
        </w:rPr>
        <w:t xml:space="preserve">、竣工后，</w:t>
      </w:r>
      <w:r>
        <w:rPr>
          <w:rFonts w:hint="eastAsia" w:ascii="宋体" w:hAnsi="宋体" w:cs="宋体"/>
          <w:bCs/>
          <w:sz w:val="24"/>
          <w:szCs w:val="24"/>
        </w:rPr>
        <w:t xml:space="preserve">供应商应将竣工材料等相关项目资料及时交付采购人。</w:t>
      </w:r>
      <w:r/>
    </w:p>
    <w:p>
      <w:pPr>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七</w:t>
      </w:r>
      <w:r>
        <w:rPr>
          <w:rFonts w:ascii="宋体" w:hAnsi="宋体" w:cs="宋体"/>
          <w:b/>
          <w:bCs/>
          <w:sz w:val="24"/>
          <w:szCs w:val="24"/>
        </w:rPr>
        <w:t xml:space="preserve">、</w:t>
      </w:r>
      <w:r>
        <w:rPr>
          <w:rFonts w:hint="eastAsia" w:ascii="宋体" w:hAnsi="宋体" w:cs="宋体"/>
          <w:b/>
          <w:bCs/>
          <w:sz w:val="24"/>
          <w:szCs w:val="24"/>
        </w:rPr>
        <w:t xml:space="preserve">商务</w:t>
      </w:r>
      <w:r>
        <w:rPr>
          <w:rFonts w:ascii="宋体" w:hAnsi="宋体" w:cs="宋体"/>
          <w:b/>
          <w:bCs/>
          <w:sz w:val="24"/>
          <w:szCs w:val="24"/>
        </w:rPr>
        <w:t xml:space="preserve">要求</w:t>
      </w:r>
      <w:r/>
    </w:p>
    <w:p>
      <w:pPr>
        <w:ind w:firstLine="480"/>
        <w:spacing w:line="0" w:lineRule="atLeast"/>
        <w:rPr>
          <w:rFonts w:hint="eastAsia" w:ascii="宋体" w:hAnsi="宋体"/>
          <w:iCs/>
          <w:sz w:val="24"/>
          <w:szCs w:val="24"/>
        </w:rPr>
      </w:pPr>
      <w:r>
        <w:rPr>
          <w:rFonts w:hint="eastAsia" w:ascii="宋体" w:hAnsi="宋体"/>
          <w:b/>
          <w:bCs/>
          <w:iCs/>
          <w:sz w:val="24"/>
          <w:szCs w:val="24"/>
        </w:rPr>
        <w:t xml:space="preserve">1、项目服务期</w:t>
      </w:r>
      <w:r>
        <w:rPr>
          <w:rFonts w:hint="eastAsia" w:ascii="宋体" w:hAnsi="宋体"/>
          <w:iCs/>
          <w:sz w:val="24"/>
          <w:szCs w:val="24"/>
        </w:rPr>
        <w:t xml:space="preserve">：12个月（2027年1月1日至12月31日）。</w:t>
      </w:r>
      <w:r/>
    </w:p>
    <w:p>
      <w:pPr>
        <w:ind w:firstLine="480"/>
        <w:spacing w:line="0" w:lineRule="atLeast"/>
        <w:rPr>
          <w:rFonts w:hint="eastAsia" w:ascii="宋体" w:hAnsi="宋体"/>
          <w:b/>
          <w:bCs/>
          <w:iCs/>
          <w:sz w:val="24"/>
          <w:szCs w:val="24"/>
        </w:rPr>
      </w:pPr>
      <w:r>
        <w:rPr>
          <w:rFonts w:hint="eastAsia" w:ascii="宋体" w:hAnsi="宋体"/>
          <w:b/>
          <w:bCs/>
          <w:iCs/>
          <w:sz w:val="24"/>
          <w:szCs w:val="24"/>
        </w:rPr>
        <w:t xml:space="preserve">2、交货期、交货方式及交货地点</w:t>
      </w:r>
      <w:r/>
    </w:p>
    <w:p>
      <w:pPr>
        <w:ind w:firstLine="480"/>
        <w:spacing w:line="0" w:lineRule="atLeast"/>
        <w:rPr>
          <w:rFonts w:hint="eastAsia" w:ascii="宋体" w:hAnsi="宋体"/>
          <w:iCs/>
          <w:sz w:val="24"/>
          <w:szCs w:val="24"/>
        </w:rPr>
      </w:pPr>
      <w:r>
        <w:rPr>
          <w:rFonts w:hint="eastAsia" w:ascii="宋体" w:hAnsi="宋体"/>
          <w:iCs/>
          <w:sz w:val="24"/>
          <w:szCs w:val="24"/>
        </w:rPr>
        <w:t xml:space="preserve">2.1交货期：合同签订后，项目服务期前至少15个日历天需完成安装调试工作。</w:t>
      </w:r>
      <w:r/>
    </w:p>
    <w:p>
      <w:pPr>
        <w:ind w:firstLine="480"/>
        <w:spacing w:line="0" w:lineRule="atLeast"/>
        <w:rPr>
          <w:rFonts w:hint="eastAsia" w:ascii="宋体" w:hAnsi="宋体"/>
          <w:iCs/>
          <w:sz w:val="24"/>
          <w:szCs w:val="24"/>
        </w:rPr>
      </w:pPr>
      <w:r>
        <w:rPr>
          <w:rFonts w:hint="eastAsia" w:ascii="宋体" w:hAnsi="宋体"/>
          <w:iCs/>
          <w:sz w:val="24"/>
          <w:szCs w:val="24"/>
        </w:rPr>
        <w:t xml:space="preserve">2.2交货方式：采购人指定。</w:t>
      </w:r>
      <w:r/>
    </w:p>
    <w:p>
      <w:pPr>
        <w:ind w:firstLine="480"/>
        <w:spacing w:line="0" w:lineRule="atLeast"/>
        <w:rPr>
          <w:rFonts w:hint="eastAsia" w:ascii="宋体" w:hAnsi="宋体"/>
          <w:iCs/>
          <w:sz w:val="24"/>
          <w:szCs w:val="24"/>
        </w:rPr>
      </w:pPr>
      <w:r>
        <w:rPr>
          <w:rFonts w:hint="eastAsia" w:ascii="宋体" w:hAnsi="宋体"/>
          <w:iCs/>
          <w:sz w:val="24"/>
          <w:szCs w:val="24"/>
        </w:rPr>
        <w:t xml:space="preserve">2.3交货地点：采购人指定地点。</w:t>
      </w:r>
      <w:r/>
    </w:p>
    <w:p>
      <w:pPr>
        <w:ind w:firstLine="480"/>
        <w:spacing w:line="0" w:lineRule="atLeast"/>
        <w:rPr>
          <w:rFonts w:hint="eastAsia" w:ascii="宋体" w:hAnsi="宋体"/>
          <w:b/>
          <w:bCs/>
          <w:iCs/>
          <w:sz w:val="24"/>
          <w:szCs w:val="24"/>
        </w:rPr>
      </w:pPr>
      <w:r>
        <w:rPr>
          <w:rFonts w:hint="eastAsia" w:ascii="宋体" w:hAnsi="宋体"/>
          <w:b/>
          <w:bCs/>
          <w:iCs/>
          <w:sz w:val="24"/>
          <w:szCs w:val="24"/>
        </w:rPr>
        <w:t xml:space="preserve">3、付款条件</w:t>
      </w:r>
      <w:r/>
    </w:p>
    <w:p>
      <w:pPr>
        <w:ind w:firstLine="480"/>
        <w:spacing w:before="145" w:after="145"/>
        <w:rPr>
          <w:rFonts w:hint="eastAsia" w:ascii="宋体" w:hAnsi="宋体"/>
          <w:sz w:val="24"/>
          <w:szCs w:val="24"/>
        </w:rPr>
      </w:pPr>
      <w:r>
        <w:rPr>
          <w:rFonts w:hint="eastAsia" w:ascii="宋体" w:hAnsi="宋体"/>
          <w:iCs/>
          <w:sz w:val="24"/>
          <w:szCs w:val="24"/>
        </w:rPr>
        <w:t xml:space="preserve">3</w:t>
      </w:r>
      <w:r>
        <w:rPr>
          <w:rFonts w:ascii="宋体" w:hAnsi="宋体"/>
          <w:iCs/>
          <w:sz w:val="24"/>
          <w:szCs w:val="24"/>
        </w:rPr>
        <w:t xml:space="preserve">.</w:t>
      </w:r>
      <w:r>
        <w:rPr>
          <w:rFonts w:hint="eastAsia" w:ascii="宋体" w:hAnsi="宋体"/>
          <w:iCs/>
          <w:sz w:val="24"/>
          <w:szCs w:val="24"/>
        </w:rPr>
        <w:t xml:space="preserve">1采购包一和采购包二付款条件：</w:t>
      </w:r>
      <w:r>
        <w:rPr>
          <w:rFonts w:hint="eastAsia" w:ascii="宋体" w:hAnsi="宋体"/>
          <w:sz w:val="24"/>
          <w:szCs w:val="24"/>
        </w:rPr>
        <w:t xml:space="preserve">合同</w:t>
      </w:r>
      <w:r>
        <w:rPr>
          <w:rFonts w:ascii="宋体" w:hAnsi="宋体"/>
          <w:sz w:val="24"/>
          <w:szCs w:val="24"/>
        </w:rPr>
        <w:t xml:space="preserve">签订后，</w:t>
      </w:r>
      <w:r>
        <w:rPr>
          <w:rFonts w:hint="eastAsia" w:ascii="宋体" w:hAnsi="宋体"/>
          <w:sz w:val="24"/>
          <w:szCs w:val="24"/>
        </w:rPr>
        <w:t xml:space="preserve">甲方</w:t>
      </w:r>
      <w:r>
        <w:rPr>
          <w:rFonts w:ascii="宋体" w:hAnsi="宋体"/>
          <w:sz w:val="24"/>
          <w:szCs w:val="24"/>
        </w:rPr>
        <w:t xml:space="preserve">支付</w:t>
      </w:r>
      <w:r>
        <w:rPr>
          <w:rFonts w:hint="eastAsia" w:ascii="宋体" w:hAnsi="宋体"/>
          <w:sz w:val="24"/>
          <w:szCs w:val="24"/>
        </w:rPr>
        <w:t xml:space="preserve">乙方</w:t>
      </w:r>
      <w:r>
        <w:rPr>
          <w:rFonts w:ascii="宋体" w:hAnsi="宋体"/>
          <w:sz w:val="24"/>
          <w:szCs w:val="24"/>
        </w:rPr>
        <w:t xml:space="preserve">合同</w:t>
      </w:r>
      <w:r>
        <w:rPr>
          <w:rFonts w:hint="eastAsia" w:ascii="宋体" w:hAnsi="宋体"/>
          <w:sz w:val="24"/>
          <w:szCs w:val="24"/>
        </w:rPr>
        <w:t xml:space="preserve">全款。</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3.2 采购包三付款条件：合同签订后甲方支付乙方合同款50%，2027年11月底前，双方根据实际情况签字确认工程量完工清单，甲方支付乙方合同尾款。</w:t>
      </w:r>
      <w:r/>
    </w:p>
    <w:p>
      <w:pPr>
        <w:ind w:firstLine="480"/>
        <w:spacing w:line="0" w:lineRule="atLeast"/>
        <w:rPr>
          <w:rFonts w:hint="eastAsia" w:ascii="宋体" w:hAnsi="宋体"/>
          <w:sz w:val="24"/>
          <w:szCs w:val="24"/>
        </w:rPr>
      </w:pPr>
      <w:r>
        <w:rPr>
          <w:rFonts w:hint="eastAsia" w:ascii="宋体" w:hAnsi="宋体"/>
          <w:b/>
          <w:bCs/>
          <w:iCs/>
          <w:sz w:val="24"/>
          <w:szCs w:val="24"/>
        </w:rPr>
        <w:t xml:space="preserve">4、投标货币：</w:t>
      </w:r>
      <w:r>
        <w:rPr>
          <w:rFonts w:hint="eastAsia" w:ascii="宋体" w:hAnsi="宋体"/>
          <w:iCs/>
          <w:sz w:val="24"/>
          <w:szCs w:val="24"/>
        </w:rPr>
        <w:t xml:space="preserve">人民币。</w:t>
      </w:r>
      <w:r/>
    </w:p>
    <w:p>
      <w:pPr>
        <w:ind w:firstLine="480"/>
        <w:spacing w:line="0" w:lineRule="atLeast"/>
        <w:rPr>
          <w:rFonts w:hint="eastAsia" w:ascii="宋体" w:hAnsi="宋体"/>
          <w:sz w:val="24"/>
          <w:szCs w:val="24"/>
        </w:rPr>
      </w:pPr>
      <w:r>
        <w:rPr>
          <w:rFonts w:hint="eastAsia" w:ascii="宋体" w:hAnsi="宋体"/>
          <w:sz w:val="24"/>
          <w:szCs w:val="24"/>
        </w:rPr>
      </w:r>
      <w:r/>
    </w:p>
    <w:p>
      <w:pPr>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八</w:t>
      </w:r>
      <w:r>
        <w:rPr>
          <w:rFonts w:ascii="宋体" w:hAnsi="宋体" w:cs="宋体"/>
          <w:b/>
          <w:bCs/>
          <w:sz w:val="24"/>
          <w:szCs w:val="24"/>
        </w:rPr>
        <w:t xml:space="preserve">、其他要求</w:t>
      </w:r>
      <w:r/>
    </w:p>
    <w:p>
      <w:pPr>
        <w:spacing w:line="0" w:lineRule="atLeast"/>
        <w:rPr>
          <w:rFonts w:hint="eastAsia" w:ascii="宋体" w:hAnsi="宋体"/>
          <w:sz w:val="24"/>
          <w:szCs w:val="24"/>
        </w:rPr>
      </w:pPr>
      <w:r>
        <w:rPr>
          <w:rFonts w:hint="eastAsia" w:ascii="宋体" w:hAnsi="宋体"/>
          <w:sz w:val="24"/>
          <w:szCs w:val="24"/>
        </w:rPr>
        <w:t xml:space="preserve">1、项目属性:服务类项目。</w:t>
      </w:r>
      <w:r/>
    </w:p>
    <w:p>
      <w:pPr>
        <w:spacing w:line="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094"/>
      </w:tblGrid>
      <w:tr>
        <w:trPr>
          <w:trHeight w:val="458"/>
        </w:trPr>
        <w:tc>
          <w:tcPr>
            <w:tcW w:w="1148" w:type="dxa"/>
            <w:textDirection w:val="lrTb"/>
            <w:noWrap w:val="false"/>
          </w:tcPr>
          <w:p>
            <w:pPr>
              <w:jc w:val="center"/>
              <w:rPr>
                <w:rFonts w:hint="eastAsia" w:ascii="宋体" w:hAnsi="宋体"/>
              </w:rPr>
            </w:pPr>
            <w:r>
              <w:rPr>
                <w:rFonts w:hint="eastAsia" w:ascii="宋体" w:hAnsi="宋体"/>
              </w:rPr>
              <w:t xml:space="preserve">采购包号</w:t>
            </w:r>
            <w:r/>
          </w:p>
        </w:tc>
        <w:tc>
          <w:tcPr>
            <w:tcW w:w="3094" w:type="dxa"/>
            <w:textDirection w:val="lrTb"/>
            <w:noWrap w:val="false"/>
          </w:tcPr>
          <w:p>
            <w:pPr>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textDirection w:val="lrTb"/>
            <w:noWrap w:val="false"/>
          </w:tcPr>
          <w:p>
            <w:pPr>
              <w:jc w:val="center"/>
              <w:rPr>
                <w:rFonts w:hint="eastAsia" w:ascii="宋体" w:hAnsi="宋体"/>
              </w:rPr>
            </w:pPr>
            <w:r>
              <w:rPr>
                <w:rFonts w:hint="eastAsia" w:ascii="宋体" w:hAnsi="宋体"/>
              </w:rPr>
              <w:t xml:space="preserve">1</w:t>
            </w:r>
            <w:r/>
          </w:p>
        </w:tc>
        <w:tc>
          <w:tcPr>
            <w:tcW w:w="3094" w:type="dxa"/>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textDirection w:val="lrTb"/>
            <w:noWrap w:val="false"/>
          </w:tcPr>
          <w:p>
            <w:pPr>
              <w:jc w:val="center"/>
              <w:rPr>
                <w:rFonts w:hint="eastAsia" w:ascii="宋体" w:hAnsi="宋体"/>
              </w:rPr>
            </w:pPr>
            <w:r>
              <w:rPr>
                <w:rFonts w:hint="eastAsia" w:ascii="宋体" w:hAnsi="宋体"/>
              </w:rPr>
              <w:t xml:space="preserve">2</w:t>
            </w:r>
            <w:r/>
          </w:p>
        </w:tc>
        <w:tc>
          <w:tcPr>
            <w:tcW w:w="3094" w:type="dxa"/>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textDirection w:val="lrTb"/>
            <w:noWrap w:val="false"/>
          </w:tcPr>
          <w:p>
            <w:pPr>
              <w:jc w:val="center"/>
              <w:rPr>
                <w:rFonts w:hint="eastAsia" w:ascii="宋体" w:hAnsi="宋体"/>
              </w:rPr>
            </w:pPr>
            <w:r>
              <w:rPr>
                <w:rFonts w:hint="eastAsia" w:ascii="宋体" w:hAnsi="宋体"/>
              </w:rPr>
              <w:t xml:space="preserve">3</w:t>
            </w:r>
            <w:r/>
          </w:p>
        </w:tc>
        <w:tc>
          <w:tcPr>
            <w:tcW w:w="3094" w:type="dxa"/>
            <w:textDirection w:val="lrTb"/>
            <w:noWrap w:val="false"/>
          </w:tcPr>
          <w:p>
            <w:pPr>
              <w:jc w:val="center"/>
              <w:rPr>
                <w:rFonts w:hint="eastAsia" w:ascii="宋体" w:hAnsi="宋体"/>
              </w:rPr>
            </w:pPr>
            <w:r>
              <w:rPr>
                <w:rFonts w:hint="eastAsia" w:ascii="宋体" w:hAnsi="宋体"/>
              </w:rPr>
              <w:t xml:space="preserve">否</w:t>
            </w:r>
            <w:r/>
          </w:p>
        </w:tc>
      </w:tr>
    </w:tbl>
    <w:p>
      <w:pPr>
        <w:rPr>
          <w:rFonts w:ascii="黑体" w:eastAsia="黑体"/>
          <w:bCs/>
          <w:sz w:val="44"/>
        </w:rPr>
      </w:pPr>
      <w:r>
        <w:rPr>
          <w:rFonts w:ascii="黑体" w:eastAsia="黑体"/>
          <w:bCs/>
          <w:sz w:val="44"/>
        </w:rPr>
      </w:r>
      <w:r/>
    </w:p>
    <w:p>
      <w:pPr>
        <w:jc w:val="center"/>
        <w:spacing w:before="60" w:after="60" w:line="590" w:lineRule="exact"/>
        <w:rPr>
          <w:rFonts w:hint="eastAsia" w:ascii="宋体" w:hAnsi="宋体" w:cs="方正小标宋_GBK"/>
          <w:sz w:val="24"/>
          <w:szCs w:val="24"/>
        </w:rPr>
      </w:pPr>
      <w:r>
        <w:rPr>
          <w:rFonts w:hint="eastAsia" w:ascii="宋体" w:hAnsi="宋体" w:cs="方正小标宋_GBK"/>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373"/>
        <w:keepLines/>
        <w:keepNext/>
        <w:spacing w:before="145" w:after="145" w:line="360" w:lineRule="auto"/>
        <w:rPr>
          <w:rFonts w:hint="eastAsia" w:ascii="宋体" w:hAnsi="宋体" w:cs="宋体"/>
          <w:b/>
          <w:bCs/>
          <w:sz w:val="24"/>
          <w:szCs w:val="24"/>
        </w:rPr>
        <w:outlineLvl w:val="2"/>
      </w:pPr>
      <w:r/>
      <w:bookmarkStart w:id="203" w:name="_Toc220489001"/>
      <w:r/>
      <w:bookmarkStart w:id="204" w:name="_Toc227167504"/>
      <w:r>
        <w:rPr>
          <w:rFonts w:hint="eastAsia" w:ascii="宋体" w:hAnsi="宋体" w:cs="宋体"/>
          <w:b/>
          <w:bCs/>
          <w:sz w:val="24"/>
          <w:szCs w:val="24"/>
        </w:rPr>
        <w:t xml:space="preserve">九、政府采购中实施本国产品标准及相关政策</w:t>
      </w:r>
      <w:bookmarkEnd w:id="203"/>
      <w:r/>
      <w:bookmarkEnd w:id="204"/>
      <w:r/>
      <w:r/>
    </w:p>
    <w:p>
      <w:pPr>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2"/>
        <w:spacing w:line="560" w:lineRule="exact"/>
        <w:rPr>
          <w:rFonts w:hint="eastAsia"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宋体" w:hAnsi="宋体"/>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97"/>
      <w:r/>
      <w:bookmarkEnd w:id="198"/>
      <w:r/>
      <w:r/>
    </w:p>
    <w:p>
      <w:pPr>
        <w:jc w:val="left"/>
        <w:widowControl/>
        <w:rPr>
          <w:rFonts w:hint="eastAsia" w:ascii="宋体" w:hAnsi="宋体"/>
          <w:sz w:val="24"/>
          <w:szCs w:val="24"/>
        </w:rPr>
      </w:pPr>
      <w:r>
        <w:rPr>
          <w:rFonts w:hint="eastAsia" w:ascii="宋体" w:hAnsi="宋体"/>
          <w:sz w:val="24"/>
          <w:szCs w:val="24"/>
        </w:rPr>
        <w:br w:type="page" w:clear="all"/>
      </w:r>
      <w:r/>
    </w:p>
    <w:p>
      <w:pPr>
        <w:pStyle w:val="701"/>
        <w:rPr>
          <w:rFonts w:ascii="黑体" w:eastAsia="黑体"/>
          <w:bCs/>
          <w:sz w:val="44"/>
        </w:rPr>
      </w:pPr>
      <w:r/>
      <w:bookmarkStart w:id="205" w:name="_Toc239690745"/>
      <w:r>
        <w:rPr>
          <w:rFonts w:hint="eastAsia" w:ascii="黑体" w:eastAsia="黑体"/>
          <w:bCs/>
          <w:sz w:val="44"/>
        </w:rPr>
        <w:t xml:space="preserve">第五章  评标方法与评标标准</w:t>
      </w:r>
      <w:bookmarkEnd w:id="205"/>
      <w:r/>
      <w:r/>
    </w:p>
    <w:p>
      <w:r/>
      <w:r/>
    </w:p>
    <w:p>
      <w:pPr>
        <w:pStyle w:val="86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93"/>
        <w:gridCol w:w="1701"/>
        <w:gridCol w:w="5656"/>
      </w:tblGrid>
      <w:tr>
        <w:trPr>
          <w:trHeight w:val="571"/>
        </w:trPr>
        <w:tc>
          <w:tcPr>
            <w:tcW w:w="1093" w:type="dxa"/>
            <w:textDirection w:val="lrTb"/>
            <w:noWrap w:val="false"/>
          </w:tcPr>
          <w:p>
            <w:pPr>
              <w:jc w:val="center"/>
              <w:rPr>
                <w:rFonts w:hint="eastAsia" w:ascii="宋体" w:hAnsi="宋体"/>
              </w:rPr>
            </w:pPr>
            <w:r>
              <w:rPr>
                <w:rFonts w:hint="eastAsia" w:ascii="宋体" w:hAnsi="宋体"/>
              </w:rPr>
              <w:t xml:space="preserve">采购包号</w:t>
            </w:r>
            <w:r/>
          </w:p>
        </w:tc>
        <w:tc>
          <w:tcPr>
            <w:tcW w:w="1701" w:type="dxa"/>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5656" w:type="dxa"/>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rHeight w:val="584"/>
        </w:trPr>
        <w:tc>
          <w:tcPr>
            <w:tcW w:w="1093" w:type="dxa"/>
            <w:textDirection w:val="lrTb"/>
            <w:noWrap w:val="false"/>
          </w:tcPr>
          <w:p>
            <w:pPr>
              <w:jc w:val="center"/>
              <w:rPr>
                <w:rFonts w:hint="eastAsia" w:ascii="宋体" w:hAnsi="宋体"/>
              </w:rPr>
            </w:pPr>
            <w:r>
              <w:rPr>
                <w:rFonts w:hint="eastAsia" w:ascii="宋体" w:hAnsi="宋体"/>
              </w:rPr>
              <w:t xml:space="preserve">1</w:t>
            </w:r>
            <w:r/>
          </w:p>
        </w:tc>
        <w:tc>
          <w:tcPr>
            <w:tcW w:w="1701" w:type="dxa"/>
            <w:textDirection w:val="lrTb"/>
            <w:noWrap w:val="false"/>
          </w:tcPr>
          <w:p>
            <w:pPr>
              <w:jc w:val="center"/>
              <w:rPr>
                <w:rFonts w:hint="eastAsia" w:ascii="宋体" w:hAnsi="宋体"/>
              </w:rPr>
            </w:pPr>
            <w:r>
              <w:rPr>
                <w:rFonts w:hint="eastAsia" w:ascii="宋体" w:hAnsi="宋体"/>
              </w:rPr>
              <w:t xml:space="preserve">1</w:t>
            </w:r>
            <w:r/>
          </w:p>
        </w:tc>
        <w:tc>
          <w:tcPr>
            <w:tcW w:w="5656" w:type="dxa"/>
            <w:textDirection w:val="lrTb"/>
            <w:noWrap w:val="false"/>
          </w:tcPr>
          <w:p>
            <w:pPr>
              <w:jc w:val="left"/>
              <w:rPr>
                <w:rFonts w:hint="eastAsia" w:ascii="宋体" w:hAnsi="宋体"/>
                <w:highlight w:val="white"/>
              </w:rPr>
            </w:pPr>
            <w:r>
              <w:rPr>
                <w:rFonts w:hint="eastAsia" w:ascii="宋体" w:hAnsi="宋体"/>
              </w:rPr>
              <w:t xml:space="preserve">满足招标文件全部实质性要求，且按照评审因素的量化指标评审得分最高的投标人为中标候选人。</w:t>
            </w:r>
            <w:r/>
          </w:p>
        </w:tc>
      </w:tr>
      <w:tr>
        <w:trPr>
          <w:trHeight w:val="565"/>
        </w:trPr>
        <w:tc>
          <w:tcPr>
            <w:tcW w:w="1093" w:type="dxa"/>
            <w:textDirection w:val="lrTb"/>
            <w:noWrap w:val="false"/>
          </w:tcPr>
          <w:p>
            <w:pPr>
              <w:jc w:val="center"/>
              <w:rPr>
                <w:rFonts w:hint="eastAsia" w:ascii="宋体" w:hAnsi="宋体"/>
              </w:rPr>
            </w:pPr>
            <w:r>
              <w:rPr>
                <w:rFonts w:hint="eastAsia" w:ascii="宋体" w:hAnsi="宋体"/>
              </w:rPr>
              <w:t xml:space="preserve">2</w:t>
            </w:r>
            <w:r/>
          </w:p>
        </w:tc>
        <w:tc>
          <w:tcPr>
            <w:tcW w:w="1701" w:type="dxa"/>
            <w:textDirection w:val="lrTb"/>
            <w:noWrap w:val="false"/>
          </w:tcPr>
          <w:p>
            <w:pPr>
              <w:jc w:val="center"/>
              <w:rPr>
                <w:rFonts w:hint="eastAsia" w:ascii="宋体" w:hAnsi="宋体"/>
              </w:rPr>
            </w:pPr>
            <w:r>
              <w:rPr>
                <w:rFonts w:hint="eastAsia" w:ascii="宋体" w:hAnsi="宋体"/>
              </w:rPr>
              <w:t xml:space="preserve">1</w:t>
            </w:r>
            <w:r/>
          </w:p>
        </w:tc>
        <w:tc>
          <w:tcPr>
            <w:tcW w:w="5656" w:type="dxa"/>
            <w:textDirection w:val="lrTb"/>
            <w:noWrap w:val="false"/>
          </w:tcPr>
          <w:p>
            <w:pPr>
              <w:jc w:val="left"/>
              <w:rPr>
                <w:rFonts w:hint="eastAsia" w:ascii="宋体" w:hAnsi="宋体"/>
                <w:highlight w:val="white"/>
              </w:rPr>
            </w:pPr>
            <w:r>
              <w:rPr>
                <w:rFonts w:hint="eastAsia" w:ascii="宋体" w:hAnsi="宋体"/>
              </w:rPr>
              <w:t xml:space="preserve">满足招标文件全部实质性要求，且按照评审因素的量化指标评审得分最高的投标人为中标候选人。</w:t>
            </w:r>
            <w:r/>
          </w:p>
        </w:tc>
      </w:tr>
      <w:tr>
        <w:trPr>
          <w:trHeight w:val="285"/>
        </w:trPr>
        <w:tc>
          <w:tcPr>
            <w:tcW w:w="1093" w:type="dxa"/>
            <w:textDirection w:val="lrTb"/>
            <w:noWrap w:val="false"/>
          </w:tcPr>
          <w:p>
            <w:pPr>
              <w:jc w:val="center"/>
              <w:rPr>
                <w:rFonts w:hint="eastAsia" w:ascii="宋体" w:hAnsi="宋体"/>
              </w:rPr>
            </w:pPr>
            <w:r>
              <w:rPr>
                <w:rFonts w:hint="eastAsia" w:ascii="宋体" w:hAnsi="宋体"/>
              </w:rPr>
              <w:t xml:space="preserve">3</w:t>
            </w:r>
            <w:r/>
          </w:p>
        </w:tc>
        <w:tc>
          <w:tcPr>
            <w:tcW w:w="1701" w:type="dxa"/>
            <w:textDirection w:val="lrTb"/>
            <w:noWrap w:val="false"/>
          </w:tcPr>
          <w:p>
            <w:pPr>
              <w:jc w:val="center"/>
              <w:rPr>
                <w:rFonts w:hint="eastAsia" w:ascii="宋体" w:hAnsi="宋体"/>
              </w:rPr>
            </w:pPr>
            <w:r>
              <w:rPr>
                <w:rFonts w:hint="eastAsia" w:ascii="宋体" w:hAnsi="宋体"/>
              </w:rPr>
              <w:t xml:space="preserve">1</w:t>
            </w:r>
            <w:r/>
          </w:p>
        </w:tc>
        <w:tc>
          <w:tcPr>
            <w:tcW w:w="5656" w:type="dxa"/>
            <w:textDirection w:val="lrTb"/>
            <w:noWrap w:val="false"/>
          </w:tcPr>
          <w:p>
            <w:pPr>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865"/>
        <w:ind w:firstLine="420"/>
        <w:spacing w:line="0" w:lineRule="atLeast"/>
        <w:rPr>
          <w:rFonts w:hint="eastAsia" w:ascii="宋体" w:hAnsi="宋体"/>
          <w:b/>
        </w:rPr>
      </w:pPr>
      <w:r>
        <w:rPr>
          <w:rFonts w:hint="eastAsia" w:ascii="宋体" w:hAnsi="宋体"/>
          <w:highlight w:val="white"/>
        </w:rPr>
        <w:t xml:space="preserve">本项目按照采购包各选取1名中标候选人。投标人可参与多个采购包投标，</w:t>
      </w:r>
      <w:r>
        <w:rPr>
          <w:rFonts w:hint="eastAsia" w:ascii="宋体" w:hAnsi="宋体"/>
          <w:b/>
          <w:highlight w:val="white"/>
        </w:rPr>
        <w:t xml:space="preserve">但同一投标人采购包1、</w:t>
      </w:r>
      <w:r>
        <w:rPr>
          <w:rFonts w:ascii="宋体" w:hAnsi="宋体"/>
          <w:b/>
          <w:highlight w:val="white"/>
        </w:rPr>
        <w:t xml:space="preserve">采购包</w:t>
      </w:r>
      <w:r>
        <w:rPr>
          <w:rFonts w:hint="eastAsia" w:ascii="宋体" w:hAnsi="宋体"/>
          <w:b/>
          <w:highlight w:val="white"/>
        </w:rPr>
        <w:t xml:space="preserve">2不能兼中。按采购包1、采购包2的顺序评审并确定中标候选人，采购包1的中标候选人不得参与采购包2的评审。</w:t>
      </w:r>
      <w:r/>
    </w:p>
    <w:p>
      <w:pPr>
        <w:pStyle w:val="865"/>
        <w:ind w:firstLine="441"/>
        <w:spacing w:line="0" w:lineRule="atLeast"/>
        <w:rPr>
          <w:rFonts w:hint="eastAsia" w:ascii="宋体" w:hAnsi="宋体"/>
          <w:b/>
        </w:rPr>
      </w:pPr>
      <w:r>
        <w:rPr>
          <w:rFonts w:hint="eastAsia" w:ascii="宋体" w:hAnsi="宋体"/>
          <w:b/>
        </w:rPr>
        <w:t xml:space="preserve">政府采购政策功能落实</w:t>
      </w:r>
      <w:r/>
    </w:p>
    <w:p>
      <w:pPr>
        <w:pStyle w:val="865"/>
        <w:spacing w:line="0" w:lineRule="atLeast"/>
        <w:rPr>
          <w:rFonts w:hint="eastAsia" w:ascii="宋体" w:hAnsi="宋体"/>
        </w:rPr>
      </w:pPr>
      <w:r>
        <w:rPr>
          <w:rFonts w:hint="eastAsia" w:ascii="宋体" w:hAnsi="宋体"/>
        </w:rPr>
        <w:t xml:space="preserve">1、小微型企业价格扣除</w:t>
      </w:r>
      <w:r/>
    </w:p>
    <w:p>
      <w:pPr>
        <w:pStyle w:val="86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865"/>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865"/>
        <w:ind w:firstLine="360"/>
        <w:spacing w:line="0" w:lineRule="atLeast"/>
        <w:rPr>
          <w:rFonts w:hint="eastAsia" w:ascii="宋体" w:hAnsi="宋体"/>
        </w:rPr>
      </w:pPr>
      <w:r>
        <w:rPr>
          <w:rFonts w:ascii="仿宋" w:hAnsi="仿宋" w:eastAsia="仿宋" w:cs="仿宋"/>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rPr>
        <w:t xml:space="preserve">）</w:t>
      </w:r>
      <w:r>
        <w:rPr>
          <w:rFonts w:ascii="仿宋" w:hAnsi="仿宋" w:eastAsia="仿宋" w:cs="仿宋"/>
        </w:rPr>
        <w:t xml:space="preserve">供应商将不享受《政府采购促进中小企业发展管理办法》规定的价格扣除优惠政策。</w:t>
      </w:r>
      <w:r/>
    </w:p>
    <w:p>
      <w:pPr>
        <w:pStyle w:val="865"/>
        <w:spacing w:line="0" w:lineRule="atLeast"/>
        <w:rPr>
          <w:rFonts w:hint="eastAsia" w:ascii="宋体" w:hAnsi="宋体"/>
        </w:rPr>
      </w:pPr>
      <w:r>
        <w:rPr>
          <w:rFonts w:hint="eastAsia" w:ascii="宋体" w:hAnsi="宋体"/>
        </w:rPr>
        <w:t xml:space="preserve">2、残疾人福利单位价格扣除</w:t>
      </w:r>
      <w:r/>
    </w:p>
    <w:p>
      <w:pPr>
        <w:pStyle w:val="86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6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6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65"/>
        <w:spacing w:line="0" w:lineRule="atLeast"/>
        <w:rPr>
          <w:rFonts w:hint="eastAsia" w:ascii="宋体" w:hAnsi="宋体"/>
        </w:rPr>
      </w:pPr>
      <w:r>
        <w:rPr>
          <w:rFonts w:hint="eastAsia" w:ascii="宋体" w:hAnsi="宋体"/>
        </w:rPr>
        <w:t xml:space="preserve">3、监狱和戒毒企业价格扣除</w:t>
      </w:r>
      <w:r/>
    </w:p>
    <w:p>
      <w:pPr>
        <w:pStyle w:val="86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6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65"/>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65"/>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86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7、采购本国产品的支持政策</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u w:val="single"/>
        </w:rPr>
        <w:t xml:space="preserve">80%</w:t>
      </w:r>
      <w:r>
        <w:rPr>
          <w:rFonts w:hint="eastAsia" w:ascii="宋体" w:hAnsi="宋体" w:cs="方正魏碑_GBK"/>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方正魏碑_GBK"/>
          <w:sz w:val="24"/>
          <w:szCs w:val="24"/>
          <w:u w:val="single"/>
        </w:rPr>
        <w:t xml:space="preserve">20%</w:t>
      </w:r>
      <w:r>
        <w:rPr>
          <w:rFonts w:hint="eastAsia" w:ascii="宋体" w:hAnsi="宋体" w:cs="方正魏碑_GBK"/>
          <w:sz w:val="24"/>
          <w:szCs w:val="24"/>
        </w:rPr>
        <w:t xml:space="preserve">的价格扣除，用扣除后的价格参与评审。供应商未填写比例数值，或比例数值不足</w:t>
      </w:r>
      <w:r>
        <w:rPr>
          <w:rFonts w:hint="eastAsia" w:ascii="宋体" w:hAnsi="宋体" w:cs="方正魏碑_GBK"/>
          <w:sz w:val="24"/>
          <w:szCs w:val="24"/>
          <w:u w:val="single"/>
        </w:rPr>
        <w:t xml:space="preserve">80%</w:t>
      </w:r>
      <w:r>
        <w:rPr>
          <w:rFonts w:hint="eastAsia" w:ascii="宋体" w:hAnsi="宋体" w:cs="方正魏碑_GBK"/>
          <w:sz w:val="24"/>
          <w:szCs w:val="24"/>
        </w:rPr>
        <w:t xml:space="preserve">的，将不享受本国产品价格评审优惠。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7.2 供应商需按照招标文件的要求提供《关于符合本国产品标准的声明函》（以下简称《声明函》），如不提供将不享受本国产品价格评审优惠。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7.3 供应商需在《声明函》中逐一、准确填写产品名称、厂名、生产厂址三项信息（《声明函》中标注</w:t>
      </w:r>
      <w:r>
        <w:rPr>
          <w:rFonts w:hint="eastAsia" w:ascii="宋体" w:hAnsi="宋体" w:cs="方正魏碑_GBK"/>
          <w:sz w:val="24"/>
          <w:szCs w:val="24"/>
          <w:u w:val="single"/>
        </w:rPr>
        <w:t xml:space="preserve">“  /  ”</w:t>
      </w:r>
      <w:r>
        <w:rPr>
          <w:rFonts w:hint="eastAsia" w:ascii="宋体" w:hAnsi="宋体" w:cs="方正魏碑_GBK"/>
          <w:sz w:val="24"/>
          <w:szCs w:val="24"/>
        </w:rPr>
        <w:t xml:space="preserve">的地方无需填写），三项信息中任意一项未填写的视为该项产品不符合本国产品标准，不享受本国产品价格评审优惠。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w:t>
      </w:r>
      <w:r>
        <w:rPr>
          <w:rFonts w:hint="eastAsia" w:ascii="宋体" w:hAnsi="宋体" w:cs="方正魏碑_GBK"/>
          <w:sz w:val="24"/>
          <w:szCs w:val="24"/>
        </w:rPr>
        <w:t xml:space="preserve">产品标准。</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评标方法与评标标准</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本项目采用综合评分法确定中标候选人。评标委员会将按下列评分办法和标准进行评分，总分值为100分。</w:t>
      </w:r>
      <w:r/>
    </w:p>
    <w:tbl>
      <w:tblPr>
        <w:tblW w:w="8460" w:type="dxa"/>
        <w:tblInd w:w="-15" w:type="dxa"/>
        <w:tblLook w:val="04A0" w:firstRow="1" w:lastRow="0" w:firstColumn="1" w:lastColumn="0" w:noHBand="0" w:noVBand="1"/>
      </w:tblPr>
      <w:tblGrid>
        <w:gridCol w:w="1080"/>
        <w:gridCol w:w="600"/>
        <w:gridCol w:w="6122"/>
        <w:gridCol w:w="658"/>
      </w:tblGrid>
      <w:tr>
        <w:trPr>
          <w:trHeight w:val="285"/>
        </w:trPr>
        <w:tc>
          <w:tcPr>
            <w:gridSpan w:val="2"/>
            <w:tcBorders>
              <w:top w:val="single" w:color="000000" w:sz="8" w:space="0"/>
              <w:left w:val="single" w:color="000000" w:sz="8" w:space="0"/>
              <w:bottom w:val="single" w:color="000000" w:sz="4" w:space="0"/>
              <w:right w:val="single" w:color="000000" w:sz="4" w:space="0"/>
            </w:tcBorders>
            <w:tcW w:w="1680" w:type="dxa"/>
            <w:textDirection w:val="lrTb"/>
            <w:noWrap w:val="false"/>
          </w:tcPr>
          <w:p>
            <w:pPr>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4" w:space="0"/>
              <w:bottom w:val="single" w:color="000000" w:sz="4" w:space="0"/>
              <w:right w:val="single" w:color="000000" w:sz="4" w:space="0"/>
            </w:tcBorders>
            <w:tcW w:w="6122" w:type="dxa"/>
            <w:textDirection w:val="lrTb"/>
            <w:noWrap w:val="false"/>
          </w:tcPr>
          <w:p>
            <w:pPr>
              <w:jc w:val="center"/>
              <w:widowControl/>
              <w:rPr>
                <w:rFonts w:hint="eastAsia" w:ascii="宋体" w:hAnsi="宋体" w:cs="宋体"/>
                <w:b/>
                <w:bCs/>
              </w:rPr>
            </w:pPr>
            <w:r>
              <w:rPr>
                <w:rFonts w:hint="eastAsia" w:ascii="宋体" w:hAnsi="宋体" w:cs="宋体"/>
                <w:b/>
                <w:bCs/>
              </w:rPr>
              <w:t xml:space="preserve">打分办法</w:t>
            </w:r>
            <w:r/>
          </w:p>
        </w:tc>
        <w:tc>
          <w:tcPr>
            <w:tcBorders>
              <w:top w:val="single" w:color="000000" w:sz="8"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得分</w:t>
            </w:r>
            <w:r/>
          </w:p>
        </w:tc>
      </w:tr>
      <w:tr>
        <w:trPr>
          <w:trHeight w:val="1120"/>
        </w:trPr>
        <w:tc>
          <w:tcPr>
            <w:gridSpan w:val="2"/>
            <w:tcBorders>
              <w:top w:val="single" w:color="000000" w:sz="4" w:space="0"/>
              <w:left w:val="single" w:color="000000" w:sz="8" w:space="0"/>
              <w:bottom w:val="single" w:color="000000" w:sz="4" w:space="0"/>
              <w:right w:val="single" w:color="000000" w:sz="4" w:space="0"/>
            </w:tcBorders>
            <w:tcW w:w="168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（一）</w:t>
            </w:r>
            <w:r>
              <w:rPr>
                <w:rFonts w:hint="eastAsia" w:ascii="宋体" w:hAnsi="宋体" w:cs="宋体"/>
                <w:b/>
                <w:bCs/>
              </w:rPr>
              <w:br w:type="textWrapping" w:clear="all"/>
              <w:t xml:space="preserve">价格分25分</w:t>
            </w:r>
            <w:r/>
          </w:p>
        </w:tc>
        <w:tc>
          <w:tcPr>
            <w:tcBorders>
              <w:top w:val="single" w:color="000000" w:sz="4" w:space="0"/>
              <w:left w:val="single" w:color="000000" w:sz="4" w:space="0"/>
              <w:bottom w:val="single" w:color="000000" w:sz="4" w:space="0"/>
              <w:right w:val="single" w:color="000000" w:sz="4" w:space="0"/>
            </w:tcBorders>
            <w:tcW w:w="6122" w:type="dxa"/>
            <w:vAlign w:val="bottom"/>
            <w:textDirection w:val="lrTb"/>
            <w:noWrap w:val="false"/>
          </w:tcPr>
          <w:p>
            <w:pPr>
              <w:jc w:val="left"/>
              <w:widowControl/>
              <w:rPr>
                <w:rFonts w:hint="eastAsia" w:ascii="宋体" w:hAnsi="宋体" w:cs="宋体"/>
              </w:rPr>
            </w:pPr>
            <w:r>
              <w:rPr>
                <w:rFonts w:hint="eastAsia" w:ascii="宋体" w:hAnsi="宋体" w:cs="宋体"/>
              </w:rPr>
              <w:t xml:space="preserve">以满足招标文件要求且总报价价格最低的投标报价为评审基准价，其价格分为满分25分，其它投标人的价格分统一按照以下公式计算：投标报价得分=(评标基准价/该投标人的投标报价)×25分，小数点后保留2位。</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25</w:t>
            </w:r>
            <w:r/>
          </w:p>
        </w:tc>
      </w:tr>
      <w:tr>
        <w:trPr>
          <w:cantSplit/>
          <w:trHeight w:val="1262"/>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cs="宋体"/>
                <w:b/>
                <w:bCs/>
              </w:rPr>
            </w:pPr>
            <w:r>
              <w:rPr>
                <w:rFonts w:hint="eastAsia" w:ascii="宋体" w:hAnsi="宋体" w:cs="宋体"/>
                <w:b/>
                <w:bCs/>
              </w:rPr>
              <w:t xml:space="preserve">（二）</w:t>
            </w:r>
            <w:r>
              <w:rPr>
                <w:rFonts w:hint="eastAsia" w:ascii="宋体" w:hAnsi="宋体" w:cs="宋体"/>
                <w:b/>
                <w:bCs/>
              </w:rPr>
              <w:br w:type="textWrapping" w:clear="all"/>
              <w:t xml:space="preserve">技术评价23分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2.1</w:t>
            </w:r>
            <w:r/>
          </w:p>
        </w:tc>
        <w:tc>
          <w:tcPr>
            <w:tcBorders>
              <w:top w:val="single" w:color="000000" w:sz="4" w:space="0"/>
              <w:left w:val="single" w:color="000000" w:sz="4" w:space="0"/>
              <w:bottom w:val="single" w:color="000000" w:sz="4" w:space="0"/>
              <w:right w:val="single" w:color="000000" w:sz="4" w:space="0"/>
            </w:tcBorders>
            <w:tcW w:w="6122" w:type="dxa"/>
            <w:textDirection w:val="lrTb"/>
            <w:noWrap w:val="false"/>
          </w:tcPr>
          <w:p>
            <w:pPr>
              <w:jc w:val="left"/>
              <w:widowControl/>
            </w:pPr>
            <w:r>
              <w:rPr>
                <w:rFonts w:hint="eastAsia"/>
              </w:rPr>
              <w:t xml:space="preserve">技术响应情况（</w:t>
            </w:r>
            <w:r>
              <w:rPr>
                <w:rFonts w:hint="eastAsia"/>
              </w:rPr>
              <w:t xml:space="preserve">18</w:t>
            </w:r>
            <w:r>
              <w:rPr>
                <w:rFonts w:hint="eastAsia"/>
              </w:rPr>
              <w:t xml:space="preserve">分）。</w:t>
            </w:r>
            <w:r/>
          </w:p>
          <w:p>
            <w:pPr>
              <w:jc w:val="left"/>
              <w:widowControl/>
              <w:rPr>
                <w:b/>
                <w:bCs/>
              </w:rPr>
            </w:pPr>
            <w:r>
              <w:rPr>
                <w:rFonts w:hint="eastAsia" w:ascii="宋体" w:hAnsi="宋体" w:cs="宋体"/>
                <w:b/>
                <w:bCs/>
              </w:rPr>
              <w:t xml:space="preserve">采购包一、采购包二：</w:t>
            </w:r>
            <w:r/>
          </w:p>
          <w:p>
            <w:pPr>
              <w:jc w:val="left"/>
              <w:widowControl/>
              <w:rPr>
                <w:sz w:val="18"/>
                <w:szCs w:val="18"/>
              </w:rPr>
            </w:pPr>
            <w:r>
              <w:rPr>
                <w:rFonts w:hint="eastAsia"/>
              </w:rPr>
              <w:t xml:space="preserve">投</w:t>
            </w:r>
            <w:r>
              <w:rPr>
                <w:rFonts w:hint="eastAsia"/>
                <w:sz w:val="18"/>
                <w:szCs w:val="18"/>
              </w:rPr>
              <w:t xml:space="preserve">标人全部满足招标文件第四章“</w:t>
            </w:r>
            <w:r>
              <w:rPr>
                <w:rFonts w:hint="eastAsia"/>
                <w:sz w:val="18"/>
                <w:szCs w:val="18"/>
              </w:rPr>
              <w:t xml:space="preserve">1</w:t>
            </w:r>
            <w:r>
              <w:rPr>
                <w:rFonts w:hint="eastAsia"/>
                <w:sz w:val="18"/>
                <w:szCs w:val="18"/>
              </w:rPr>
              <w:t xml:space="preserve">、技术指标、参数要求”中各项技术指标、参数要求的，得</w:t>
            </w:r>
            <w:r>
              <w:rPr>
                <w:rFonts w:hint="eastAsia"/>
                <w:sz w:val="18"/>
                <w:szCs w:val="18"/>
              </w:rPr>
              <w:t xml:space="preserve">18</w:t>
            </w:r>
            <w:r>
              <w:rPr>
                <w:rFonts w:hint="eastAsia"/>
                <w:sz w:val="18"/>
                <w:szCs w:val="18"/>
              </w:rPr>
              <w:t xml:space="preserve">分。相关指标低于招标文件要求的，每一项减</w:t>
            </w:r>
            <w:r>
              <w:rPr>
                <w:rFonts w:hint="eastAsia"/>
                <w:sz w:val="18"/>
                <w:szCs w:val="18"/>
              </w:rPr>
              <w:t xml:space="preserve">1</w:t>
            </w:r>
            <w:r>
              <w:rPr>
                <w:rFonts w:hint="eastAsia"/>
                <w:sz w:val="18"/>
                <w:szCs w:val="18"/>
              </w:rPr>
              <w:t xml:space="preserve">分。</w:t>
            </w:r>
            <w:r/>
          </w:p>
          <w:p>
            <w:pPr>
              <w:jc w:val="left"/>
              <w:widowControl/>
              <w:rPr>
                <w:b/>
                <w:bCs/>
              </w:rPr>
            </w:pPr>
            <w:r>
              <w:rPr>
                <w:rFonts w:hint="eastAsia"/>
                <w:b/>
                <w:bCs/>
              </w:rPr>
              <w:t xml:space="preserve">采购包三：</w:t>
            </w:r>
            <w:r/>
          </w:p>
          <w:p>
            <w:pPr>
              <w:jc w:val="left"/>
              <w:widowControl/>
            </w:pPr>
            <w:r>
              <w:rPr>
                <w:rFonts w:hint="eastAsia"/>
              </w:rPr>
              <w:t xml:space="preserve">投标人全部满足招标文件第四章“</w:t>
            </w:r>
            <w:r>
              <w:rPr>
                <w:rFonts w:hint="eastAsia"/>
              </w:rPr>
              <w:t xml:space="preserve">1</w:t>
            </w:r>
            <w:r>
              <w:rPr>
                <w:rFonts w:hint="eastAsia"/>
              </w:rPr>
              <w:t xml:space="preserve">、技术指标、参数要求”中序号</w:t>
            </w:r>
            <w:r>
              <w:rPr>
                <w:rFonts w:hint="eastAsia"/>
              </w:rPr>
              <w:t xml:space="preserve">1</w:t>
            </w:r>
            <w:r>
              <w:rPr>
                <w:rFonts w:hint="eastAsia"/>
              </w:rPr>
              <w:t xml:space="preserve">、</w:t>
            </w:r>
            <w:r>
              <w:rPr>
                <w:rFonts w:hint="eastAsia"/>
              </w:rPr>
              <w:t xml:space="preserve">2</w:t>
            </w:r>
            <w:r>
              <w:rPr>
                <w:rFonts w:hint="eastAsia"/>
              </w:rPr>
              <w:t xml:space="preserve">及</w:t>
            </w:r>
            <w:r>
              <w:rPr>
                <w:rFonts w:hint="eastAsia"/>
              </w:rPr>
              <w:t xml:space="preserve">6-13</w:t>
            </w:r>
            <w:r>
              <w:rPr>
                <w:rFonts w:hint="eastAsia"/>
              </w:rPr>
              <w:t xml:space="preserve">共十项技术指标、参数要求的，得</w:t>
            </w:r>
            <w:r>
              <w:rPr>
                <w:rFonts w:hint="eastAsia"/>
              </w:rPr>
              <w:t xml:space="preserve">18</w:t>
            </w:r>
            <w:r>
              <w:rPr>
                <w:rFonts w:hint="eastAsia"/>
              </w:rPr>
              <w:t xml:space="preserve">分。相关指标低于招标文件要求的，每一项减</w:t>
            </w:r>
            <w:r>
              <w:rPr>
                <w:rFonts w:hint="eastAsia"/>
              </w:rPr>
              <w:t xml:space="preserve">1.8</w:t>
            </w:r>
            <w:r>
              <w:rPr>
                <w:rFonts w:hint="eastAsia"/>
              </w:rPr>
              <w:t xml:space="preserve">分。</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18</w:t>
            </w:r>
            <w:r/>
          </w:p>
        </w:tc>
      </w:tr>
      <w:tr>
        <w:trPr>
          <w:cantSplit/>
          <w:trHeight w:val="102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2.2</w:t>
            </w:r>
            <w:r/>
          </w:p>
        </w:tc>
        <w:tc>
          <w:tcPr>
            <w:tcBorders>
              <w:top w:val="single" w:color="000000" w:sz="4" w:space="0"/>
              <w:left w:val="single" w:color="000000" w:sz="4" w:space="0"/>
              <w:bottom w:val="single" w:color="000000" w:sz="4" w:space="0"/>
              <w:right w:val="single" w:color="000000" w:sz="4" w:space="0"/>
            </w:tcBorders>
            <w:tcW w:w="6122" w:type="dxa"/>
            <w:textDirection w:val="lrTb"/>
            <w:noWrap w:val="false"/>
          </w:tcPr>
          <w:p>
            <w:pPr>
              <w:jc w:val="left"/>
              <w:widowControl/>
              <w:rPr>
                <w:rFonts w:hint="eastAsia" w:ascii="宋体" w:hAnsi="宋体" w:cs="宋体"/>
              </w:rPr>
            </w:pPr>
            <w:r>
              <w:rPr>
                <w:rFonts w:hint="eastAsia" w:ascii="宋体" w:hAnsi="宋体" w:cs="宋体"/>
              </w:rPr>
              <w:t xml:space="preserve">技术方案（5分）。</w:t>
            </w:r>
            <w:r/>
          </w:p>
          <w:p>
            <w:pPr>
              <w:jc w:val="left"/>
              <w:widowControl/>
              <w:rPr>
                <w:rFonts w:hint="eastAsia" w:ascii="宋体" w:hAnsi="宋体" w:cs="宋体"/>
              </w:rPr>
            </w:pPr>
            <w:r>
              <w:rPr>
                <w:rFonts w:hint="eastAsia" w:ascii="宋体" w:hAnsi="宋体" w:cs="宋体"/>
              </w:rPr>
              <w:t xml:space="preserve">供应商应根据项目需求提供具体详实的技术方案，包含网络现状、数字电路组网技术、电路性能、光缆维护等内容。</w:t>
            </w:r>
            <w:r/>
          </w:p>
          <w:p>
            <w:pPr>
              <w:jc w:val="left"/>
              <w:widowControl/>
              <w:rPr>
                <w:rFonts w:hint="eastAsia" w:ascii="宋体" w:hAnsi="宋体" w:cs="宋体"/>
              </w:rPr>
            </w:pPr>
            <w:r>
              <w:rPr>
                <w:rFonts w:hint="eastAsia" w:ascii="宋体" w:hAnsi="宋体" w:cs="宋体"/>
              </w:rPr>
              <w:t xml:space="preserve">①</w:t>
            </w:r>
            <w:r>
              <w:rPr>
                <w:rFonts w:ascii="宋体" w:hAnsi="宋体" w:cs="宋体"/>
              </w:rPr>
              <w:t xml:space="preserve">投标文件未符合“</w:t>
            </w:r>
            <w:r>
              <w:rPr>
                <w:rFonts w:hint="eastAsia" w:ascii="宋体" w:hAnsi="宋体" w:cs="宋体"/>
              </w:rPr>
              <w:t xml:space="preserve">技术方案</w:t>
            </w:r>
            <w:r>
              <w:rPr>
                <w:rFonts w:ascii="宋体" w:hAnsi="宋体" w:cs="宋体"/>
              </w:rPr>
              <w:t xml:space="preserve">”中全部条款要求的，视为不符合招标文件，本项得0分</w:t>
            </w:r>
            <w:r>
              <w:rPr>
                <w:rFonts w:hint="eastAsia" w:ascii="宋体" w:hAnsi="宋体" w:cs="宋体"/>
              </w:rPr>
              <w:t xml:space="preserve">；</w:t>
            </w:r>
            <w:r/>
          </w:p>
          <w:p>
            <w:pPr>
              <w:jc w:val="left"/>
              <w:widowControl/>
              <w:rPr>
                <w:rFonts w:hint="eastAsia" w:ascii="宋体" w:hAnsi="宋体" w:cs="宋体"/>
              </w:rPr>
            </w:pPr>
            <w:r>
              <w:rPr>
                <w:rFonts w:hint="eastAsia" w:ascii="宋体" w:hAnsi="宋体" w:cs="宋体"/>
              </w:rPr>
              <w:t xml:space="preserve">②</w:t>
            </w:r>
            <w:r>
              <w:rPr>
                <w:rFonts w:ascii="宋体" w:hAnsi="宋体" w:cs="宋体"/>
              </w:rPr>
              <w:t xml:space="preserve">投标文件符合“</w:t>
            </w:r>
            <w:r>
              <w:rPr>
                <w:rFonts w:hint="eastAsia" w:ascii="宋体" w:hAnsi="宋体" w:cs="宋体"/>
              </w:rPr>
              <w:t xml:space="preserve">技术方案</w:t>
            </w:r>
            <w:r>
              <w:rPr>
                <w:rFonts w:ascii="宋体" w:hAnsi="宋体" w:cs="宋体"/>
              </w:rPr>
              <w:t xml:space="preserve">”中全部条款要求的，视为符合招标文件，本项得3分；</w:t>
            </w:r>
            <w:r/>
          </w:p>
          <w:p>
            <w:pPr>
              <w:jc w:val="left"/>
              <w:widowControl/>
              <w:rPr>
                <w:rFonts w:hint="eastAsia" w:ascii="宋体" w:hAnsi="宋体" w:cs="宋体"/>
              </w:rPr>
            </w:pPr>
            <w:r>
              <w:rPr>
                <w:rFonts w:hint="eastAsia" w:ascii="宋体" w:hAnsi="宋体" w:cs="宋体"/>
              </w:rPr>
              <w:t xml:space="preserve">③</w:t>
            </w:r>
            <w:r>
              <w:rPr>
                <w:rFonts w:ascii="宋体" w:hAnsi="宋体" w:cs="宋体"/>
              </w:rPr>
              <w:t xml:space="preserve">经评委认定，投标文件对“</w:t>
            </w:r>
            <w:r>
              <w:rPr>
                <w:rFonts w:hint="eastAsia" w:ascii="宋体" w:hAnsi="宋体" w:cs="宋体"/>
              </w:rPr>
              <w:t xml:space="preserve">技术方案</w:t>
            </w:r>
            <w:r>
              <w:rPr>
                <w:rFonts w:ascii="宋体" w:hAnsi="宋体" w:cs="宋体"/>
              </w:rPr>
              <w:t xml:space="preserve">”中“</w:t>
            </w:r>
            <w:r>
              <w:rPr>
                <w:rFonts w:hint="eastAsia" w:ascii="宋体" w:hAnsi="宋体" w:cs="宋体"/>
              </w:rPr>
              <w:t xml:space="preserve">数字电路组网技术、光缆维护</w:t>
            </w:r>
            <w:r>
              <w:rPr>
                <w:rFonts w:ascii="宋体" w:hAnsi="宋体" w:cs="宋体"/>
              </w:rPr>
              <w:t xml:space="preserve">”要求的响应内容全部优于招标文件要求的（投标文件对“</w:t>
            </w:r>
            <w:r>
              <w:rPr>
                <w:rFonts w:hint="eastAsia" w:ascii="宋体" w:hAnsi="宋体" w:cs="宋体"/>
              </w:rPr>
              <w:t xml:space="preserve">技术方案</w:t>
            </w:r>
            <w:r>
              <w:rPr>
                <w:rFonts w:ascii="宋体" w:hAnsi="宋体" w:cs="宋体"/>
              </w:rPr>
              <w:t xml:space="preserve">”中除“</w:t>
            </w:r>
            <w:r>
              <w:rPr>
                <w:rFonts w:hint="eastAsia" w:ascii="宋体" w:hAnsi="宋体" w:cs="宋体"/>
              </w:rPr>
              <w:t xml:space="preserve">数字电路组网技术、光缆维护</w:t>
            </w:r>
            <w:r>
              <w:rPr>
                <w:rFonts w:ascii="宋体" w:hAnsi="宋体" w:cs="宋体"/>
              </w:rPr>
              <w:t xml:space="preserve">”外其它要求响应内容符合招标文件要求），本项得5分。</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r>
      <w:tr>
        <w:trPr>
          <w:cantSplit/>
          <w:trHeight w:val="1530"/>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cs="宋体"/>
                <w:b/>
                <w:bCs/>
              </w:rPr>
            </w:pPr>
            <w:r>
              <w:rPr>
                <w:rFonts w:hint="eastAsia" w:ascii="宋体" w:hAnsi="宋体" w:cs="宋体"/>
                <w:b/>
                <w:bCs/>
              </w:rPr>
              <w:t xml:space="preserve">（三）</w:t>
            </w:r>
            <w:r>
              <w:rPr>
                <w:rFonts w:hint="eastAsia" w:ascii="宋体" w:hAnsi="宋体" w:cs="宋体"/>
                <w:b/>
                <w:bCs/>
              </w:rPr>
              <w:br w:type="textWrapping" w:clear="all"/>
              <w:t xml:space="preserve">实施方案</w:t>
            </w:r>
            <w:r>
              <w:rPr>
                <w:rFonts w:hint="eastAsia" w:ascii="宋体" w:hAnsi="宋体" w:cs="宋体"/>
                <w:b/>
                <w:bCs/>
              </w:rPr>
              <w:br w:type="textWrapping" w:clear="all"/>
              <w:t xml:space="preserve">13分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3.1</w:t>
            </w:r>
            <w:r/>
          </w:p>
        </w:tc>
        <w:tc>
          <w:tcPr>
            <w:tcBorders>
              <w:top w:val="single" w:color="000000" w:sz="4" w:space="0"/>
              <w:left w:val="single" w:color="000000" w:sz="4" w:space="0"/>
              <w:bottom w:val="single" w:color="000000" w:sz="4" w:space="0"/>
              <w:right w:val="single" w:color="000000" w:sz="4" w:space="0"/>
            </w:tcBorders>
            <w:tcW w:w="6122" w:type="dxa"/>
            <w:textDirection w:val="lrTb"/>
            <w:noWrap w:val="false"/>
          </w:tcPr>
          <w:p>
            <w:pPr>
              <w:jc w:val="left"/>
              <w:widowControl/>
              <w:rPr>
                <w:rFonts w:hint="eastAsia" w:ascii="宋体" w:hAnsi="宋体" w:cs="宋体"/>
              </w:rPr>
            </w:pPr>
            <w:r>
              <w:rPr>
                <w:rFonts w:hint="eastAsia" w:ascii="宋体" w:hAnsi="宋体" w:cs="宋体"/>
              </w:rPr>
              <w:t xml:space="preserve">项目实施方案（5分）。</w:t>
            </w:r>
            <w:r/>
          </w:p>
          <w:p>
            <w:pPr>
              <w:jc w:val="left"/>
              <w:widowControl/>
              <w:rPr>
                <w:rFonts w:hint="eastAsia" w:ascii="宋体" w:hAnsi="宋体" w:cs="宋体"/>
              </w:rPr>
            </w:pPr>
            <w:r>
              <w:rPr>
                <w:rFonts w:hint="eastAsia" w:ascii="宋体" w:hAnsi="宋体" w:cs="宋体"/>
              </w:rPr>
              <w:t xml:space="preserve">供应商提供项目实施方案，包括项目实施计划、项目实施团队、项目实施进度安排、实施保障措施、验收方案等内容。</w:t>
            </w:r>
            <w:r/>
          </w:p>
          <w:p>
            <w:pPr>
              <w:jc w:val="left"/>
              <w:widowControl/>
              <w:rPr>
                <w:rFonts w:hint="eastAsia" w:ascii="宋体" w:hAnsi="宋体" w:cs="宋体"/>
              </w:rPr>
            </w:pPr>
            <w:r>
              <w:rPr>
                <w:rFonts w:hint="eastAsia" w:ascii="宋体" w:hAnsi="宋体" w:cs="宋体"/>
              </w:rPr>
              <w:t xml:space="preserve">①</w:t>
            </w:r>
            <w:r>
              <w:rPr>
                <w:rFonts w:ascii="宋体" w:hAnsi="宋体" w:cs="宋体"/>
              </w:rPr>
              <w:t xml:space="preserve">投标文件未符合“</w:t>
            </w:r>
            <w:r>
              <w:rPr>
                <w:rFonts w:hint="eastAsia" w:ascii="宋体" w:hAnsi="宋体" w:cs="宋体"/>
              </w:rPr>
              <w:t xml:space="preserve">项目实施方案</w:t>
            </w:r>
            <w:r>
              <w:rPr>
                <w:rFonts w:ascii="宋体" w:hAnsi="宋体" w:cs="宋体"/>
              </w:rPr>
              <w:t xml:space="preserve">”中全部条款要求的，视为不符合招标文件，本项得0分</w:t>
            </w:r>
            <w:r>
              <w:rPr>
                <w:rFonts w:hint="eastAsia" w:ascii="宋体" w:hAnsi="宋体" w:cs="宋体"/>
              </w:rPr>
              <w:t xml:space="preserve">；</w:t>
            </w:r>
            <w:r/>
          </w:p>
          <w:p>
            <w:pPr>
              <w:jc w:val="left"/>
              <w:widowControl/>
              <w:rPr>
                <w:rFonts w:hint="eastAsia" w:ascii="宋体" w:hAnsi="宋体" w:cs="宋体"/>
              </w:rPr>
            </w:pPr>
            <w:r>
              <w:rPr>
                <w:rFonts w:hint="eastAsia" w:ascii="宋体" w:hAnsi="宋体" w:cs="宋体"/>
              </w:rPr>
              <w:t xml:space="preserve">②</w:t>
            </w:r>
            <w:r>
              <w:rPr>
                <w:rFonts w:ascii="宋体" w:hAnsi="宋体" w:cs="宋体"/>
              </w:rPr>
              <w:t xml:space="preserve">投标文件符合“</w:t>
            </w:r>
            <w:r>
              <w:rPr>
                <w:rFonts w:hint="eastAsia" w:ascii="宋体" w:hAnsi="宋体" w:cs="宋体"/>
              </w:rPr>
              <w:t xml:space="preserve">项目实施方案</w:t>
            </w:r>
            <w:r>
              <w:rPr>
                <w:rFonts w:ascii="宋体" w:hAnsi="宋体" w:cs="宋体"/>
              </w:rPr>
              <w:t xml:space="preserve">”中全部条款要求的，视为符合招标文件，本项得3分；</w:t>
            </w:r>
            <w:r/>
          </w:p>
          <w:p>
            <w:pPr>
              <w:jc w:val="left"/>
              <w:widowControl/>
              <w:rPr>
                <w:rFonts w:hint="eastAsia" w:ascii="宋体" w:hAnsi="宋体" w:cs="宋体"/>
              </w:rPr>
            </w:pPr>
            <w:r>
              <w:rPr>
                <w:rFonts w:hint="eastAsia" w:ascii="宋体" w:hAnsi="宋体" w:cs="宋体"/>
              </w:rPr>
              <w:t xml:space="preserve">③</w:t>
            </w:r>
            <w:r>
              <w:rPr>
                <w:rFonts w:ascii="宋体" w:hAnsi="宋体" w:cs="宋体"/>
              </w:rPr>
              <w:t xml:space="preserve">经评委认定，投标文件对“</w:t>
            </w:r>
            <w:r>
              <w:rPr>
                <w:rFonts w:hint="eastAsia" w:ascii="宋体" w:hAnsi="宋体" w:cs="宋体"/>
              </w:rPr>
              <w:t xml:space="preserve">项目实施方案</w:t>
            </w:r>
            <w:r>
              <w:rPr>
                <w:rFonts w:ascii="宋体" w:hAnsi="宋体" w:cs="宋体"/>
              </w:rPr>
              <w:t xml:space="preserve">”中“</w:t>
            </w:r>
            <w:r>
              <w:rPr>
                <w:rFonts w:hint="eastAsia" w:ascii="宋体" w:hAnsi="宋体" w:cs="宋体"/>
              </w:rPr>
              <w:t xml:space="preserve">项目实施计划、项目实施团队</w:t>
            </w:r>
            <w:r>
              <w:rPr>
                <w:rFonts w:ascii="宋体" w:hAnsi="宋体" w:cs="宋体"/>
              </w:rPr>
              <w:t xml:space="preserve">”要求的响应内容全部优于招标文件要求的（投标文件对“</w:t>
            </w:r>
            <w:r>
              <w:rPr>
                <w:rFonts w:hint="eastAsia" w:ascii="宋体" w:hAnsi="宋体" w:cs="宋体"/>
              </w:rPr>
              <w:t xml:space="preserve">项目实施方案</w:t>
            </w:r>
            <w:r>
              <w:rPr>
                <w:rFonts w:ascii="宋体" w:hAnsi="宋体" w:cs="宋体"/>
              </w:rPr>
              <w:t xml:space="preserve">”中除“</w:t>
            </w:r>
            <w:r>
              <w:rPr>
                <w:rFonts w:hint="eastAsia" w:ascii="宋体" w:hAnsi="宋体" w:cs="宋体"/>
              </w:rPr>
              <w:t xml:space="preserve">项目实施计划、项目实施团队</w:t>
            </w:r>
            <w:r>
              <w:rPr>
                <w:rFonts w:ascii="宋体" w:hAnsi="宋体" w:cs="宋体"/>
              </w:rPr>
              <w:t xml:space="preserve">”外其它要求响应内容符合招标文件要求），本项得5分。</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r>
      <w:tr>
        <w:trPr>
          <w:cantSplit/>
          <w:trHeight w:val="102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3.2</w:t>
            </w:r>
            <w:r/>
          </w:p>
        </w:tc>
        <w:tc>
          <w:tcPr>
            <w:tcBorders>
              <w:top w:val="single" w:color="000000" w:sz="4" w:space="0"/>
              <w:left w:val="single" w:color="000000" w:sz="4" w:space="0"/>
              <w:bottom w:val="single" w:color="000000" w:sz="4" w:space="0"/>
              <w:right w:val="single" w:color="000000" w:sz="4" w:space="0"/>
            </w:tcBorders>
            <w:tcW w:w="6122" w:type="dxa"/>
            <w:textDirection w:val="lrTb"/>
            <w:noWrap w:val="false"/>
          </w:tcPr>
          <w:p>
            <w:pPr>
              <w:jc w:val="left"/>
              <w:widowControl/>
              <w:rPr>
                <w:rFonts w:hint="eastAsia" w:ascii="宋体" w:hAnsi="宋体" w:cs="宋体"/>
              </w:rPr>
            </w:pPr>
            <w:r>
              <w:rPr>
                <w:rFonts w:hint="eastAsia" w:ascii="宋体" w:hAnsi="宋体" w:cs="宋体"/>
              </w:rPr>
              <w:t xml:space="preserve">项目施工周期（5分）。</w:t>
            </w:r>
            <w:r/>
          </w:p>
          <w:p>
            <w:pPr>
              <w:jc w:val="left"/>
              <w:widowControl/>
              <w:rPr>
                <w:rFonts w:hint="eastAsia" w:ascii="宋体" w:hAnsi="宋体" w:cs="宋体"/>
              </w:rPr>
            </w:pPr>
            <w:r>
              <w:rPr>
                <w:rFonts w:hint="eastAsia" w:ascii="宋体" w:hAnsi="宋体" w:cs="宋体"/>
              </w:rPr>
              <w:t xml:space="preserve">①投标人承诺项目所有线路按采购人要求，在服务期前15个日历天完成线路联网率100%的基础上，每提前5个日历天加1分，最多加3分。</w:t>
            </w:r>
            <w:r/>
          </w:p>
          <w:p>
            <w:pPr>
              <w:jc w:val="left"/>
              <w:widowControl/>
              <w:rPr>
                <w:rFonts w:hint="eastAsia" w:ascii="宋体" w:hAnsi="宋体" w:cs="宋体"/>
              </w:rPr>
            </w:pPr>
            <w:r>
              <w:rPr>
                <w:rFonts w:hint="eastAsia" w:ascii="宋体" w:hAnsi="宋体" w:cs="宋体"/>
              </w:rPr>
              <w:t xml:space="preserve">②在提供不少于15天的免费试运行期的基础上，每多5个日历天加1分，最多加2分。</w:t>
            </w:r>
            <w:r/>
          </w:p>
          <w:p>
            <w:pPr>
              <w:jc w:val="left"/>
              <w:widowControl/>
              <w:rPr>
                <w:rFonts w:hint="eastAsia" w:ascii="宋体" w:hAnsi="宋体" w:cs="宋体"/>
              </w:rPr>
            </w:pPr>
            <w:r>
              <w:rPr>
                <w:rFonts w:hint="eastAsia" w:ascii="宋体" w:hAnsi="宋体" w:cs="宋体"/>
              </w:rPr>
              <w:t xml:space="preserve">需提供详实可信的说明材料，否则不得分。</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r>
      <w:tr>
        <w:trPr>
          <w:cantSplit/>
          <w:trHeight w:val="1785"/>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3.3</w:t>
            </w:r>
            <w:r/>
          </w:p>
        </w:tc>
        <w:tc>
          <w:tcPr>
            <w:tcBorders>
              <w:top w:val="single" w:color="000000" w:sz="4" w:space="0"/>
              <w:left w:val="single" w:color="000000" w:sz="4" w:space="0"/>
              <w:bottom w:val="single" w:color="000000" w:sz="4" w:space="0"/>
              <w:right w:val="single" w:color="000000" w:sz="4" w:space="0"/>
            </w:tcBorders>
            <w:tcW w:w="6122" w:type="dxa"/>
            <w:textDirection w:val="lrTb"/>
            <w:noWrap w:val="false"/>
          </w:tcPr>
          <w:p>
            <w:pPr>
              <w:jc w:val="left"/>
              <w:widowControl/>
              <w:rPr>
                <w:rFonts w:hint="eastAsia" w:ascii="宋体" w:hAnsi="宋体" w:cs="宋体"/>
              </w:rPr>
            </w:pPr>
            <w:r>
              <w:rPr>
                <w:rFonts w:hint="eastAsia" w:ascii="宋体" w:hAnsi="宋体" w:cs="宋体"/>
              </w:rPr>
              <w:t xml:space="preserve">割接承诺（3分）。</w:t>
            </w:r>
            <w:r/>
          </w:p>
          <w:p>
            <w:pPr>
              <w:jc w:val="left"/>
              <w:widowControl/>
              <w:rPr>
                <w:rFonts w:hint="eastAsia" w:ascii="宋体" w:hAnsi="宋体" w:cs="宋体"/>
              </w:rPr>
            </w:pPr>
            <w:r>
              <w:rPr>
                <w:rFonts w:hint="eastAsia" w:ascii="宋体" w:hAnsi="宋体" w:cs="宋体"/>
              </w:rPr>
              <w:t xml:space="preserve">针对即将到期的线路，为保障业务和电路的平稳过渡，供应商应在充分调研客户组网方案和运行情况以及各接入点的电路接入情况的基础上，制定科学、合理、详细的业务电路割接方案。</w:t>
            </w:r>
            <w:r/>
          </w:p>
          <w:p>
            <w:pPr>
              <w:jc w:val="left"/>
              <w:widowControl/>
              <w:rPr>
                <w:rFonts w:hint="eastAsia" w:ascii="宋体" w:hAnsi="宋体" w:cs="宋体"/>
              </w:rPr>
            </w:pPr>
            <w:r>
              <w:rPr>
                <w:rFonts w:hint="eastAsia" w:ascii="宋体" w:hAnsi="宋体" w:cs="宋体"/>
              </w:rPr>
              <w:t xml:space="preserve">供应商承诺全网影响0.5小时内得3分；</w:t>
            </w:r>
            <w:r/>
          </w:p>
          <w:p>
            <w:pPr>
              <w:jc w:val="left"/>
              <w:widowControl/>
              <w:rPr>
                <w:rFonts w:hint="eastAsia" w:ascii="宋体" w:hAnsi="宋体" w:cs="宋体"/>
              </w:rPr>
            </w:pPr>
            <w:r>
              <w:rPr>
                <w:rFonts w:hint="eastAsia" w:ascii="宋体" w:hAnsi="宋体" w:cs="宋体"/>
              </w:rPr>
              <w:t xml:space="preserve">影响1小时内得2分；</w:t>
            </w:r>
            <w:r/>
          </w:p>
          <w:p>
            <w:pPr>
              <w:jc w:val="left"/>
              <w:widowControl/>
              <w:rPr>
                <w:rFonts w:hint="eastAsia" w:ascii="宋体" w:hAnsi="宋体" w:cs="宋体"/>
              </w:rPr>
            </w:pPr>
            <w:r>
              <w:rPr>
                <w:rFonts w:hint="eastAsia" w:ascii="宋体" w:hAnsi="宋体" w:cs="宋体"/>
              </w:rPr>
              <w:t xml:space="preserve">影响2小时内得1分；</w:t>
            </w:r>
            <w:r/>
          </w:p>
          <w:p>
            <w:pPr>
              <w:jc w:val="left"/>
              <w:widowControl/>
              <w:rPr>
                <w:rFonts w:hint="eastAsia" w:ascii="宋体" w:hAnsi="宋体" w:cs="宋体"/>
              </w:rPr>
            </w:pPr>
            <w:r>
              <w:rPr>
                <w:rFonts w:hint="eastAsia" w:ascii="宋体" w:hAnsi="宋体" w:cs="宋体"/>
              </w:rPr>
              <w:t xml:space="preserve">超过2小时不得分。</w:t>
            </w:r>
            <w:r/>
          </w:p>
          <w:p>
            <w:pPr>
              <w:jc w:val="left"/>
              <w:widowControl/>
              <w:rPr>
                <w:rFonts w:hint="eastAsia" w:ascii="宋体" w:hAnsi="宋体" w:cs="宋体"/>
              </w:rPr>
            </w:pPr>
            <w:r>
              <w:rPr>
                <w:rFonts w:hint="eastAsia" w:ascii="宋体" w:hAnsi="宋体" w:cs="宋体"/>
              </w:rPr>
              <w:t xml:space="preserve">供应商须提供承诺书，割接安排及影响时间估算需真实、可行。</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r>
      <w:tr>
        <w:trPr>
          <w:cantSplit/>
          <w:trHeight w:val="1530"/>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cs="宋体"/>
                <w:b/>
                <w:bCs/>
              </w:rPr>
            </w:pPr>
            <w:r>
              <w:rPr>
                <w:rFonts w:hint="eastAsia" w:ascii="宋体" w:hAnsi="宋体" w:cs="宋体"/>
                <w:b/>
                <w:bCs/>
              </w:rPr>
              <w:t xml:space="preserve">（四）</w:t>
            </w:r>
            <w:r>
              <w:rPr>
                <w:rFonts w:hint="eastAsia" w:ascii="宋体" w:hAnsi="宋体" w:cs="宋体"/>
                <w:b/>
                <w:bCs/>
              </w:rPr>
              <w:br w:type="textWrapping" w:clear="all"/>
              <w:t xml:space="preserve">售后服务方案22分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4.1</w:t>
            </w:r>
            <w:r/>
          </w:p>
        </w:tc>
        <w:tc>
          <w:tcPr>
            <w:tcBorders>
              <w:top w:val="single" w:color="000000" w:sz="4" w:space="0"/>
              <w:left w:val="single" w:color="000000" w:sz="4" w:space="0"/>
              <w:bottom w:val="single" w:color="000000" w:sz="4" w:space="0"/>
              <w:right w:val="single" w:color="000000" w:sz="4" w:space="0"/>
            </w:tcBorders>
            <w:tcW w:w="6122" w:type="dxa"/>
            <w:textDirection w:val="lrTb"/>
            <w:noWrap w:val="false"/>
          </w:tcPr>
          <w:p>
            <w:pPr>
              <w:jc w:val="left"/>
              <w:widowControl/>
              <w:rPr>
                <w:rFonts w:hint="eastAsia" w:ascii="宋体" w:hAnsi="宋体" w:cs="宋体"/>
              </w:rPr>
            </w:pPr>
            <w:r>
              <w:rPr>
                <w:rFonts w:hint="eastAsia" w:ascii="宋体" w:hAnsi="宋体" w:cs="宋体"/>
              </w:rPr>
              <w:t xml:space="preserve">维护服务方案（5分）。</w:t>
            </w:r>
            <w:r/>
          </w:p>
          <w:p>
            <w:pPr>
              <w:jc w:val="left"/>
              <w:widowControl/>
              <w:rPr>
                <w:rFonts w:hint="eastAsia" w:ascii="宋体" w:hAnsi="宋体" w:cs="宋体"/>
              </w:rPr>
            </w:pPr>
            <w:r>
              <w:rPr>
                <w:rFonts w:hint="eastAsia" w:ascii="宋体" w:hAnsi="宋体" w:cs="宋体"/>
              </w:rPr>
              <w:t xml:space="preserve">供应商提供维护服务保障体系和完整合理的售后服务方案，售后服务方案中需包含服务机构、服务内容、响应时间、故障处理、恢复时效、人员力量、迁移服务、支撑保障等内容。</w:t>
            </w:r>
            <w:r/>
          </w:p>
          <w:p>
            <w:pPr>
              <w:jc w:val="left"/>
              <w:widowControl/>
              <w:rPr>
                <w:rFonts w:hint="eastAsia" w:ascii="宋体" w:hAnsi="宋体" w:cs="宋体"/>
              </w:rPr>
            </w:pPr>
            <w:r>
              <w:rPr>
                <w:rFonts w:hint="eastAsia" w:ascii="宋体" w:hAnsi="宋体" w:cs="宋体"/>
              </w:rPr>
              <w:t xml:space="preserve">①</w:t>
            </w:r>
            <w:r>
              <w:rPr>
                <w:rFonts w:ascii="宋体" w:hAnsi="宋体" w:cs="宋体"/>
              </w:rPr>
              <w:t xml:space="preserve">投标文件未符合“</w:t>
            </w:r>
            <w:r>
              <w:rPr>
                <w:rFonts w:hint="eastAsia" w:ascii="宋体" w:hAnsi="宋体" w:cs="宋体"/>
              </w:rPr>
              <w:t xml:space="preserve">维护服务方案</w:t>
            </w:r>
            <w:r>
              <w:rPr>
                <w:rFonts w:ascii="宋体" w:hAnsi="宋体" w:cs="宋体"/>
              </w:rPr>
              <w:t xml:space="preserve">”中全部条款要求的，视为不符合招标文件，本项得0分</w:t>
            </w:r>
            <w:r>
              <w:rPr>
                <w:rFonts w:hint="eastAsia" w:ascii="宋体" w:hAnsi="宋体" w:cs="宋体"/>
              </w:rPr>
              <w:t xml:space="preserve">；</w:t>
            </w:r>
            <w:r/>
          </w:p>
          <w:p>
            <w:pPr>
              <w:jc w:val="left"/>
              <w:widowControl/>
              <w:rPr>
                <w:rFonts w:hint="eastAsia" w:ascii="宋体" w:hAnsi="宋体" w:cs="宋体"/>
              </w:rPr>
            </w:pPr>
            <w:r>
              <w:rPr>
                <w:rFonts w:hint="eastAsia" w:ascii="宋体" w:hAnsi="宋体" w:cs="宋体"/>
              </w:rPr>
              <w:t xml:space="preserve">②</w:t>
            </w:r>
            <w:r>
              <w:rPr>
                <w:rFonts w:ascii="宋体" w:hAnsi="宋体" w:cs="宋体"/>
              </w:rPr>
              <w:t xml:space="preserve">投标文件符合“</w:t>
            </w:r>
            <w:r>
              <w:rPr>
                <w:rFonts w:hint="eastAsia" w:ascii="宋体" w:hAnsi="宋体" w:cs="宋体"/>
              </w:rPr>
              <w:t xml:space="preserve">维护服务方案</w:t>
            </w:r>
            <w:r>
              <w:rPr>
                <w:rFonts w:ascii="宋体" w:hAnsi="宋体" w:cs="宋体"/>
              </w:rPr>
              <w:t xml:space="preserve">”中全部条款要求的，视为符合招标文件，本项得</w:t>
            </w:r>
            <w:r>
              <w:rPr>
                <w:rFonts w:hint="eastAsia" w:ascii="宋体" w:hAnsi="宋体" w:cs="宋体"/>
              </w:rPr>
              <w:t xml:space="preserve">3</w:t>
            </w:r>
            <w:r>
              <w:rPr>
                <w:rFonts w:ascii="宋体" w:hAnsi="宋体" w:cs="宋体"/>
              </w:rPr>
              <w:t xml:space="preserve">分；</w:t>
            </w:r>
            <w:r/>
          </w:p>
          <w:p>
            <w:pPr>
              <w:jc w:val="left"/>
              <w:widowControl/>
              <w:rPr>
                <w:rFonts w:hint="eastAsia" w:ascii="宋体" w:hAnsi="宋体" w:cs="宋体"/>
              </w:rPr>
            </w:pPr>
            <w:r>
              <w:rPr>
                <w:rFonts w:hint="eastAsia" w:ascii="宋体" w:hAnsi="宋体" w:cs="宋体"/>
              </w:rPr>
              <w:t xml:space="preserve">③</w:t>
            </w:r>
            <w:r>
              <w:rPr>
                <w:rFonts w:ascii="宋体" w:hAnsi="宋体" w:cs="宋体"/>
              </w:rPr>
              <w:t xml:space="preserve">经评委认定，投标文件对“</w:t>
            </w:r>
            <w:r>
              <w:rPr>
                <w:rFonts w:hint="eastAsia" w:ascii="宋体" w:hAnsi="宋体" w:cs="宋体"/>
              </w:rPr>
              <w:t xml:space="preserve">维护服务方案</w:t>
            </w:r>
            <w:r>
              <w:rPr>
                <w:rFonts w:ascii="宋体" w:hAnsi="宋体" w:cs="宋体"/>
              </w:rPr>
              <w:t xml:space="preserve">”中“</w:t>
            </w:r>
            <w:r>
              <w:rPr>
                <w:rFonts w:hint="eastAsia" w:ascii="宋体" w:hAnsi="宋体" w:cs="宋体"/>
              </w:rPr>
              <w:t xml:space="preserve">故障处理、人员力量、迁移服务</w:t>
            </w:r>
            <w:r>
              <w:rPr>
                <w:rFonts w:ascii="宋体" w:hAnsi="宋体" w:cs="宋体"/>
              </w:rPr>
              <w:t xml:space="preserve">”要求的响应内容全部优于招标文件要求的（投标文件对“</w:t>
            </w:r>
            <w:r>
              <w:rPr>
                <w:rFonts w:hint="eastAsia" w:ascii="宋体" w:hAnsi="宋体" w:cs="宋体"/>
              </w:rPr>
              <w:t xml:space="preserve">维护服务方案</w:t>
            </w:r>
            <w:r>
              <w:rPr>
                <w:rFonts w:ascii="宋体" w:hAnsi="宋体" w:cs="宋体"/>
              </w:rPr>
              <w:t xml:space="preserve">”中除“</w:t>
            </w:r>
            <w:r>
              <w:rPr>
                <w:rFonts w:hint="eastAsia" w:ascii="宋体" w:hAnsi="宋体" w:cs="宋体"/>
              </w:rPr>
              <w:t xml:space="preserve">故障处理、人员力量、迁移服务</w:t>
            </w:r>
            <w:r>
              <w:rPr>
                <w:rFonts w:ascii="宋体" w:hAnsi="宋体" w:cs="宋体"/>
              </w:rPr>
              <w:t xml:space="preserve">”外其它要求响应内容符合招标文件要求），本项得5分。</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r>
      <w:tr>
        <w:trPr>
          <w:cantSplit/>
          <w:trHeight w:val="80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4.2</w:t>
            </w:r>
            <w:r/>
          </w:p>
        </w:tc>
        <w:tc>
          <w:tcPr>
            <w:tcBorders>
              <w:top w:val="single" w:color="000000" w:sz="4" w:space="0"/>
              <w:left w:val="single" w:color="000000" w:sz="4" w:space="0"/>
              <w:bottom w:val="single" w:color="000000" w:sz="4" w:space="0"/>
              <w:right w:val="single" w:color="000000" w:sz="4" w:space="0"/>
            </w:tcBorders>
            <w:tcW w:w="6122" w:type="dxa"/>
            <w:textDirection w:val="lrTb"/>
            <w:noWrap w:val="false"/>
          </w:tcPr>
          <w:p>
            <w:pPr>
              <w:jc w:val="left"/>
              <w:widowControl/>
              <w:rPr>
                <w:rFonts w:hint="eastAsia" w:ascii="宋体" w:hAnsi="宋体" w:cs="宋体"/>
              </w:rPr>
            </w:pPr>
            <w:r>
              <w:rPr>
                <w:rFonts w:hint="eastAsia" w:ascii="宋体" w:hAnsi="宋体" w:cs="宋体"/>
              </w:rPr>
              <w:t xml:space="preserve">巡检方案（4分）。</w:t>
            </w:r>
            <w:r/>
          </w:p>
          <w:p>
            <w:pPr>
              <w:jc w:val="left"/>
              <w:widowControl/>
              <w:rPr>
                <w:rFonts w:hint="eastAsia" w:ascii="宋体" w:hAnsi="宋体" w:cs="宋体"/>
              </w:rPr>
            </w:pPr>
            <w:r>
              <w:rPr>
                <w:rFonts w:hint="eastAsia" w:ascii="宋体" w:hAnsi="宋体" w:cs="宋体"/>
              </w:rPr>
              <w:t xml:space="preserve">供应商提供巡检服务方案，方案</w:t>
            </w:r>
            <w:r>
              <w:rPr>
                <w:rFonts w:ascii="宋体" w:hAnsi="宋体" w:cs="宋体"/>
              </w:rPr>
              <w:t xml:space="preserve">中需包含</w:t>
            </w:r>
            <w:r>
              <w:rPr>
                <w:rFonts w:hint="eastAsia" w:ascii="宋体" w:hAnsi="宋体" w:cs="宋体"/>
              </w:rPr>
              <w:t xml:space="preserve">巡检</w:t>
            </w:r>
            <w:r>
              <w:rPr>
                <w:rFonts w:ascii="宋体" w:hAnsi="宋体" w:cs="宋体"/>
              </w:rPr>
              <w:t xml:space="preserve">内容、巡检团队、服务承诺等内容</w:t>
            </w:r>
            <w:r>
              <w:rPr>
                <w:rFonts w:hint="eastAsia" w:ascii="宋体" w:hAnsi="宋体" w:cs="宋体"/>
              </w:rPr>
              <w:t xml:space="preserve">。</w:t>
            </w:r>
            <w:r/>
          </w:p>
          <w:p>
            <w:pPr>
              <w:jc w:val="left"/>
              <w:widowControl/>
              <w:rPr>
                <w:rFonts w:hint="eastAsia" w:ascii="宋体" w:hAnsi="宋体" w:cs="宋体"/>
              </w:rPr>
            </w:pPr>
            <w:r>
              <w:rPr>
                <w:rFonts w:hint="eastAsia" w:ascii="宋体" w:hAnsi="宋体" w:cs="宋体"/>
              </w:rPr>
              <w:t xml:space="preserve">①</w:t>
            </w:r>
            <w:r>
              <w:rPr>
                <w:rFonts w:ascii="宋体" w:hAnsi="宋体" w:cs="宋体"/>
              </w:rPr>
              <w:t xml:space="preserve">投标文件未符合“</w:t>
            </w:r>
            <w:r>
              <w:rPr>
                <w:rFonts w:hint="eastAsia" w:ascii="宋体" w:hAnsi="宋体" w:cs="宋体"/>
              </w:rPr>
              <w:t xml:space="preserve">巡检方案</w:t>
            </w:r>
            <w:r>
              <w:rPr>
                <w:rFonts w:ascii="宋体" w:hAnsi="宋体" w:cs="宋体"/>
              </w:rPr>
              <w:t xml:space="preserve">”中全部条款要求的，视为不符合招标文件，本项得0分</w:t>
            </w:r>
            <w:r>
              <w:rPr>
                <w:rFonts w:hint="eastAsia" w:ascii="宋体" w:hAnsi="宋体" w:cs="宋体"/>
              </w:rPr>
              <w:t xml:space="preserve">；</w:t>
            </w:r>
            <w:r/>
          </w:p>
          <w:p>
            <w:pPr>
              <w:jc w:val="left"/>
              <w:widowControl/>
              <w:rPr>
                <w:rFonts w:hint="eastAsia" w:ascii="宋体" w:hAnsi="宋体" w:cs="宋体"/>
              </w:rPr>
            </w:pPr>
            <w:r>
              <w:rPr>
                <w:rFonts w:hint="eastAsia" w:ascii="宋体" w:hAnsi="宋体" w:cs="宋体"/>
              </w:rPr>
              <w:t xml:space="preserve">②</w:t>
            </w:r>
            <w:r>
              <w:rPr>
                <w:rFonts w:ascii="宋体" w:hAnsi="宋体" w:cs="宋体"/>
              </w:rPr>
              <w:t xml:space="preserve">投标文件符合“</w:t>
            </w:r>
            <w:r>
              <w:rPr>
                <w:rFonts w:hint="eastAsia" w:ascii="宋体" w:hAnsi="宋体" w:cs="宋体"/>
              </w:rPr>
              <w:t xml:space="preserve">巡检方案</w:t>
            </w:r>
            <w:r>
              <w:rPr>
                <w:rFonts w:ascii="宋体" w:hAnsi="宋体" w:cs="宋体"/>
              </w:rPr>
              <w:t xml:space="preserve">”中全部条款要求的，视为符合招标文件，本项得</w:t>
            </w:r>
            <w:r>
              <w:rPr>
                <w:rFonts w:hint="eastAsia" w:ascii="宋体" w:hAnsi="宋体" w:cs="宋体"/>
              </w:rPr>
              <w:t xml:space="preserve">2</w:t>
            </w:r>
            <w:r>
              <w:rPr>
                <w:rFonts w:ascii="宋体" w:hAnsi="宋体" w:cs="宋体"/>
              </w:rPr>
              <w:t xml:space="preserve">分；</w:t>
            </w:r>
            <w:r/>
          </w:p>
          <w:p>
            <w:pPr>
              <w:jc w:val="left"/>
              <w:widowControl/>
              <w:rPr>
                <w:rFonts w:hint="eastAsia" w:ascii="宋体" w:hAnsi="宋体" w:cs="宋体"/>
              </w:rPr>
            </w:pPr>
            <w:r>
              <w:rPr>
                <w:rFonts w:hint="eastAsia" w:ascii="宋体" w:hAnsi="宋体" w:cs="宋体"/>
              </w:rPr>
              <w:t xml:space="preserve">③</w:t>
            </w:r>
            <w:r>
              <w:rPr>
                <w:rFonts w:ascii="宋体" w:hAnsi="宋体" w:cs="宋体"/>
              </w:rPr>
              <w:t xml:space="preserve">经评委认定，投标文件对“</w:t>
            </w:r>
            <w:r>
              <w:rPr>
                <w:rFonts w:hint="eastAsia" w:ascii="宋体" w:hAnsi="宋体" w:cs="宋体"/>
              </w:rPr>
              <w:t xml:space="preserve">巡检方案</w:t>
            </w:r>
            <w:r>
              <w:rPr>
                <w:rFonts w:ascii="宋体" w:hAnsi="宋体" w:cs="宋体"/>
              </w:rPr>
              <w:t xml:space="preserve">”中“</w:t>
            </w:r>
            <w:r>
              <w:rPr>
                <w:rFonts w:hint="eastAsia" w:ascii="宋体" w:hAnsi="宋体" w:cs="宋体"/>
              </w:rPr>
              <w:t xml:space="preserve">巡检内容、服务承诺</w:t>
            </w:r>
            <w:r>
              <w:rPr>
                <w:rFonts w:ascii="宋体" w:hAnsi="宋体" w:cs="宋体"/>
              </w:rPr>
              <w:t xml:space="preserve">”要求的响应内容全部优于招标文件要求的（投标文件对“</w:t>
            </w:r>
            <w:r>
              <w:rPr>
                <w:rFonts w:hint="eastAsia" w:ascii="宋体" w:hAnsi="宋体" w:cs="宋体"/>
              </w:rPr>
              <w:t xml:space="preserve">巡检方案</w:t>
            </w:r>
            <w:r>
              <w:rPr>
                <w:rFonts w:ascii="宋体" w:hAnsi="宋体" w:cs="宋体"/>
              </w:rPr>
              <w:t xml:space="preserve">”中除“</w:t>
            </w:r>
            <w:r>
              <w:rPr>
                <w:rFonts w:hint="eastAsia" w:ascii="宋体" w:hAnsi="宋体" w:cs="宋体"/>
              </w:rPr>
              <w:t xml:space="preserve">巡检内容、服务承诺</w:t>
            </w:r>
            <w:r>
              <w:rPr>
                <w:rFonts w:ascii="宋体" w:hAnsi="宋体" w:cs="宋体"/>
              </w:rPr>
              <w:t xml:space="preserve">”外其它要求响应内容符合招标文件要求），本项得</w:t>
            </w:r>
            <w:r>
              <w:rPr>
                <w:rFonts w:hint="eastAsia" w:ascii="宋体" w:hAnsi="宋体" w:cs="宋体"/>
              </w:rPr>
              <w:t xml:space="preserve">4</w:t>
            </w:r>
            <w:r>
              <w:rPr>
                <w:rFonts w:ascii="宋体" w:hAnsi="宋体" w:cs="宋体"/>
              </w:rPr>
              <w:t xml:space="preserve">分。</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r>
      <w:tr>
        <w:trPr>
          <w:cantSplit/>
          <w:trHeight w:val="102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4.3</w:t>
            </w:r>
            <w:r/>
          </w:p>
        </w:tc>
        <w:tc>
          <w:tcPr>
            <w:tcBorders>
              <w:top w:val="single" w:color="000000" w:sz="4" w:space="0"/>
              <w:left w:val="single" w:color="000000" w:sz="4" w:space="0"/>
              <w:bottom w:val="single" w:color="000000" w:sz="4" w:space="0"/>
              <w:right w:val="single" w:color="000000" w:sz="4" w:space="0"/>
            </w:tcBorders>
            <w:tcW w:w="6122" w:type="dxa"/>
            <w:textDirection w:val="lrTb"/>
            <w:noWrap w:val="false"/>
          </w:tcPr>
          <w:p>
            <w:pPr>
              <w:jc w:val="left"/>
              <w:widowControl/>
              <w:rPr>
                <w:rFonts w:hint="eastAsia" w:ascii="宋体" w:hAnsi="宋体" w:cs="宋体"/>
              </w:rPr>
            </w:pPr>
            <w:r>
              <w:rPr>
                <w:rFonts w:hint="eastAsia" w:ascii="宋体" w:hAnsi="宋体" w:cs="宋体"/>
              </w:rPr>
              <w:t xml:space="preserve">网络监控方案（5分）。</w:t>
            </w:r>
            <w:r/>
          </w:p>
          <w:p>
            <w:pPr>
              <w:jc w:val="left"/>
              <w:widowControl/>
              <w:rPr>
                <w:rFonts w:hint="eastAsia" w:ascii="宋体" w:hAnsi="宋体" w:cs="宋体"/>
              </w:rPr>
            </w:pPr>
            <w:r>
              <w:rPr>
                <w:rFonts w:hint="eastAsia" w:ascii="宋体" w:hAnsi="宋体" w:cs="宋体"/>
              </w:rPr>
              <w:t xml:space="preserve">供应商提供网络故障监控方案，包括线路质量监控、异常告警通知、线路故障统计、线路可用性统计的内容。</w:t>
            </w:r>
            <w:r/>
          </w:p>
          <w:p>
            <w:pPr>
              <w:jc w:val="left"/>
              <w:widowControl/>
              <w:rPr>
                <w:rFonts w:hint="eastAsia" w:ascii="宋体" w:hAnsi="宋体" w:cs="宋体"/>
              </w:rPr>
            </w:pPr>
            <w:r>
              <w:rPr>
                <w:rFonts w:hint="eastAsia" w:ascii="宋体" w:hAnsi="宋体" w:cs="宋体"/>
              </w:rPr>
              <w:t xml:space="preserve">①</w:t>
            </w:r>
            <w:r>
              <w:rPr>
                <w:rFonts w:ascii="宋体" w:hAnsi="宋体" w:cs="宋体"/>
              </w:rPr>
              <w:t xml:space="preserve">投标文件未符合“</w:t>
            </w:r>
            <w:r>
              <w:rPr>
                <w:rFonts w:hint="eastAsia" w:ascii="宋体" w:hAnsi="宋体" w:cs="宋体"/>
              </w:rPr>
              <w:t xml:space="preserve">网络监控方案</w:t>
            </w:r>
            <w:r>
              <w:rPr>
                <w:rFonts w:ascii="宋体" w:hAnsi="宋体" w:cs="宋体"/>
              </w:rPr>
              <w:t xml:space="preserve">”中全部条款要求的，视为不符合招标文件，本项得0分</w:t>
            </w:r>
            <w:r>
              <w:rPr>
                <w:rFonts w:hint="eastAsia" w:ascii="宋体" w:hAnsi="宋体" w:cs="宋体"/>
              </w:rPr>
              <w:t xml:space="preserve">；</w:t>
            </w:r>
            <w:r/>
          </w:p>
          <w:p>
            <w:pPr>
              <w:jc w:val="left"/>
              <w:widowControl/>
              <w:rPr>
                <w:rFonts w:hint="eastAsia" w:ascii="宋体" w:hAnsi="宋体" w:cs="宋体"/>
              </w:rPr>
            </w:pPr>
            <w:r>
              <w:rPr>
                <w:rFonts w:hint="eastAsia" w:ascii="宋体" w:hAnsi="宋体" w:cs="宋体"/>
              </w:rPr>
              <w:t xml:space="preserve">②</w:t>
            </w:r>
            <w:r>
              <w:rPr>
                <w:rFonts w:ascii="宋体" w:hAnsi="宋体" w:cs="宋体"/>
              </w:rPr>
              <w:t xml:space="preserve">投标文件符合“</w:t>
            </w:r>
            <w:r>
              <w:rPr>
                <w:rFonts w:hint="eastAsia" w:ascii="宋体" w:hAnsi="宋体" w:cs="宋体"/>
              </w:rPr>
              <w:t xml:space="preserve">网络监控方案</w:t>
            </w:r>
            <w:r>
              <w:rPr>
                <w:rFonts w:ascii="宋体" w:hAnsi="宋体" w:cs="宋体"/>
              </w:rPr>
              <w:t xml:space="preserve">”中全部条款要求的，视为符合招标文件，本项得</w:t>
            </w:r>
            <w:r>
              <w:rPr>
                <w:rFonts w:hint="eastAsia" w:ascii="宋体" w:hAnsi="宋体" w:cs="宋体"/>
              </w:rPr>
              <w:t xml:space="preserve">3</w:t>
            </w:r>
            <w:r>
              <w:rPr>
                <w:rFonts w:ascii="宋体" w:hAnsi="宋体" w:cs="宋体"/>
              </w:rPr>
              <w:t xml:space="preserve">分；</w:t>
            </w:r>
            <w:r/>
          </w:p>
          <w:p>
            <w:pPr>
              <w:jc w:val="left"/>
              <w:widowControl/>
              <w:rPr>
                <w:rFonts w:hint="eastAsia" w:ascii="宋体" w:hAnsi="宋体" w:cs="宋体"/>
              </w:rPr>
            </w:pPr>
            <w:r>
              <w:rPr>
                <w:rFonts w:hint="eastAsia" w:ascii="宋体" w:hAnsi="宋体" w:cs="宋体"/>
              </w:rPr>
              <w:t xml:space="preserve">③</w:t>
            </w:r>
            <w:r>
              <w:rPr>
                <w:rFonts w:ascii="宋体" w:hAnsi="宋体" w:cs="宋体"/>
              </w:rPr>
              <w:t xml:space="preserve">经评委认定，投标文件对“</w:t>
            </w:r>
            <w:r>
              <w:rPr>
                <w:rFonts w:hint="eastAsia" w:ascii="宋体" w:hAnsi="宋体" w:cs="宋体"/>
              </w:rPr>
              <w:t xml:space="preserve">网络监控方案</w:t>
            </w:r>
            <w:r>
              <w:rPr>
                <w:rFonts w:ascii="宋体" w:hAnsi="宋体" w:cs="宋体"/>
              </w:rPr>
              <w:t xml:space="preserve">”中“</w:t>
            </w:r>
            <w:r>
              <w:rPr>
                <w:rFonts w:hint="eastAsia" w:ascii="宋体" w:hAnsi="宋体" w:cs="宋体"/>
              </w:rPr>
              <w:t xml:space="preserve">线路质量监控、线路故障统计</w:t>
            </w:r>
            <w:r>
              <w:rPr>
                <w:rFonts w:ascii="宋体" w:hAnsi="宋体" w:cs="宋体"/>
              </w:rPr>
              <w:t xml:space="preserve">”要求的响应内容全部优于招标文件要求的（投标文件对“</w:t>
            </w:r>
            <w:r>
              <w:rPr>
                <w:rFonts w:hint="eastAsia" w:ascii="宋体" w:hAnsi="宋体" w:cs="宋体"/>
              </w:rPr>
              <w:t xml:space="preserve">网络监控方案</w:t>
            </w:r>
            <w:r>
              <w:rPr>
                <w:rFonts w:ascii="宋体" w:hAnsi="宋体" w:cs="宋体"/>
              </w:rPr>
              <w:t xml:space="preserve">”中除“</w:t>
            </w:r>
            <w:r>
              <w:rPr>
                <w:rFonts w:hint="eastAsia" w:ascii="宋体" w:hAnsi="宋体" w:cs="宋体"/>
              </w:rPr>
              <w:t xml:space="preserve">线路质量监控、线路故障统计</w:t>
            </w:r>
            <w:r>
              <w:rPr>
                <w:rFonts w:ascii="宋体" w:hAnsi="宋体" w:cs="宋体"/>
              </w:rPr>
              <w:t xml:space="preserve">”外其它要求响应内容符合招标文件要求），本项得5分。</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r>
      <w:tr>
        <w:trPr>
          <w:cantSplit/>
          <w:trHeight w:val="153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4.4</w:t>
            </w:r>
            <w:r/>
          </w:p>
        </w:tc>
        <w:tc>
          <w:tcPr>
            <w:tcBorders>
              <w:top w:val="single" w:color="000000" w:sz="4" w:space="0"/>
              <w:left w:val="single" w:color="000000" w:sz="4" w:space="0"/>
              <w:bottom w:val="single" w:color="000000" w:sz="4" w:space="0"/>
              <w:right w:val="single" w:color="000000" w:sz="4" w:space="0"/>
            </w:tcBorders>
            <w:tcW w:w="6122" w:type="dxa"/>
            <w:textDirection w:val="lrTb"/>
            <w:noWrap w:val="false"/>
          </w:tcPr>
          <w:p>
            <w:pPr>
              <w:jc w:val="left"/>
              <w:widowControl/>
              <w:rPr>
                <w:rFonts w:hint="eastAsia" w:ascii="宋体" w:hAnsi="宋体" w:cs="宋体"/>
              </w:rPr>
            </w:pPr>
            <w:r>
              <w:rPr>
                <w:rFonts w:hint="eastAsia" w:ascii="宋体" w:hAnsi="宋体" w:cs="宋体"/>
              </w:rPr>
              <w:t xml:space="preserve">综合网管监控技术（4分）。</w:t>
            </w:r>
            <w:r/>
          </w:p>
          <w:p>
            <w:pPr>
              <w:jc w:val="left"/>
              <w:widowControl/>
              <w:rPr>
                <w:rFonts w:hint="eastAsia" w:ascii="宋体" w:hAnsi="宋体" w:cs="宋体"/>
              </w:rPr>
            </w:pPr>
            <w:r>
              <w:rPr>
                <w:rFonts w:hint="eastAsia" w:ascii="宋体" w:hAnsi="宋体" w:cs="宋体"/>
              </w:rPr>
              <w:t xml:space="preserve">供应商提供可自主查看的网管监控统一管理平台，能提供面向客户提供的专属可视化界面，实现线路主动监控、异常告警通知、线路故障统计、线路可用性统计、故障响应以及调度控制等功能，每提供1项功能得1分，满分4分。（以上要求需提供综合网管平台的功能截图页面)。</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r>
      <w:tr>
        <w:trPr>
          <w:cantSplit/>
          <w:trHeight w:val="765"/>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4.5</w:t>
            </w:r>
            <w:r/>
          </w:p>
        </w:tc>
        <w:tc>
          <w:tcPr>
            <w:tcBorders>
              <w:top w:val="single" w:color="000000" w:sz="4" w:space="0"/>
              <w:left w:val="single" w:color="000000" w:sz="4" w:space="0"/>
              <w:bottom w:val="single" w:color="000000" w:sz="4" w:space="0"/>
              <w:right w:val="single" w:color="000000" w:sz="4" w:space="0"/>
            </w:tcBorders>
            <w:tcW w:w="6122" w:type="dxa"/>
            <w:textDirection w:val="lrTb"/>
            <w:noWrap w:val="false"/>
          </w:tcPr>
          <w:p>
            <w:pPr>
              <w:jc w:val="left"/>
              <w:widowControl/>
              <w:rPr>
                <w:rFonts w:hint="eastAsia" w:ascii="宋体" w:hAnsi="宋体" w:cs="宋体"/>
              </w:rPr>
            </w:pPr>
            <w:r>
              <w:rPr>
                <w:rFonts w:hint="eastAsia" w:ascii="宋体" w:hAnsi="宋体" w:cs="宋体"/>
              </w:rPr>
              <w:t xml:space="preserve">流量分析技术（4分）。</w:t>
            </w:r>
            <w:r/>
          </w:p>
          <w:p>
            <w:pPr>
              <w:jc w:val="left"/>
              <w:widowControl/>
              <w:rPr>
                <w:rFonts w:hint="eastAsia" w:ascii="宋体" w:hAnsi="宋体" w:cs="宋体"/>
              </w:rPr>
            </w:pPr>
            <w:r>
              <w:rPr>
                <w:rFonts w:hint="eastAsia" w:ascii="宋体" w:hAnsi="宋体" w:cs="宋体"/>
              </w:rPr>
              <w:t xml:space="preserve">可提供查看的流量分析管理技术材料，能提供客户宽带流量分析、保障网络安全等功能，每提供1项功能得2分，满分4分。（</w:t>
            </w:r>
            <w:r>
              <w:rPr>
                <w:rFonts w:hint="eastAsia" w:cs="宋体"/>
                <w:bCs/>
              </w:rPr>
              <w:t xml:space="preserve">投标人可提供产品技术资料、公开资料、第三方检测或认证材料、功能截图、样机测试承诺等能够证明响应性的材料</w:t>
            </w: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r>
      <w:tr>
        <w:trPr>
          <w:cantSplit/>
          <w:trHeight w:val="1010"/>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cs="宋体"/>
                <w:b/>
                <w:bCs/>
              </w:rPr>
            </w:pPr>
            <w:r>
              <w:rPr>
                <w:rFonts w:hint="eastAsia" w:ascii="宋体" w:hAnsi="宋体" w:cs="宋体"/>
                <w:b/>
                <w:bCs/>
              </w:rPr>
              <w:t xml:space="preserve">（五）服务能力17分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5.1</w:t>
            </w:r>
            <w:r/>
          </w:p>
        </w:tc>
        <w:tc>
          <w:tcPr>
            <w:tcBorders>
              <w:top w:val="single" w:color="000000" w:sz="4" w:space="0"/>
              <w:left w:val="single" w:color="000000" w:sz="4" w:space="0"/>
              <w:bottom w:val="single" w:color="000000" w:sz="4" w:space="0"/>
              <w:right w:val="single" w:color="000000" w:sz="4" w:space="0"/>
            </w:tcBorders>
            <w:tcW w:w="6122" w:type="dxa"/>
            <w:vAlign w:val="center"/>
            <w:textDirection w:val="lrTb"/>
            <w:noWrap w:val="false"/>
          </w:tcPr>
          <w:p>
            <w:pPr>
              <w:jc w:val="left"/>
              <w:widowControl/>
              <w:rPr>
                <w:rFonts w:hint="eastAsia" w:ascii="宋体" w:hAnsi="宋体" w:cs="宋体"/>
              </w:rPr>
            </w:pPr>
            <w:r>
              <w:rPr>
                <w:rFonts w:hint="eastAsia" w:ascii="宋体" w:hAnsi="宋体" w:cs="宋体"/>
              </w:rPr>
              <w:t xml:space="preserve">成功案例（</w:t>
            </w:r>
            <w:r>
              <w:rPr>
                <w:rStyle w:val="1088"/>
                <w:rFonts w:hint="eastAsia"/>
                <w:color w:val="auto"/>
              </w:rPr>
              <w:t xml:space="preserve">6</w:t>
            </w:r>
            <w:r>
              <w:rPr>
                <w:rFonts w:hint="eastAsia" w:ascii="宋体" w:hAnsi="宋体" w:cs="宋体"/>
              </w:rPr>
              <w:t xml:space="preserve">分）。</w:t>
            </w:r>
            <w:r/>
          </w:p>
          <w:p>
            <w:pPr>
              <w:jc w:val="left"/>
              <w:widowControl/>
              <w:rPr>
                <w:rFonts w:hint="eastAsia" w:ascii="宋体" w:hAnsi="宋体" w:cs="宋体"/>
              </w:rPr>
            </w:pPr>
            <w:r>
              <w:rPr>
                <w:rFonts w:hint="eastAsia" w:ascii="宋体" w:hAnsi="宋体" w:cs="宋体"/>
              </w:rPr>
              <w:t xml:space="preserve">供应商提供2023年1月1日（合同签订为准）以来2个类似项目的租赁合同，提供1个得3分，最高得6分，须提供合同扫描件。</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r>
      <w:tr>
        <w:trPr>
          <w:cantSplit/>
          <w:trHeight w:val="1477"/>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5.2</w:t>
            </w:r>
            <w:r/>
          </w:p>
        </w:tc>
        <w:tc>
          <w:tcPr>
            <w:tcBorders>
              <w:top w:val="single" w:color="000000" w:sz="4" w:space="0"/>
              <w:left w:val="single" w:color="000000" w:sz="4" w:space="0"/>
              <w:bottom w:val="single" w:color="000000" w:sz="4" w:space="0"/>
              <w:right w:val="single" w:color="000000" w:sz="4" w:space="0"/>
            </w:tcBorders>
            <w:tcW w:w="6122" w:type="dxa"/>
            <w:vAlign w:val="bottom"/>
            <w:textDirection w:val="lrTb"/>
            <w:noWrap w:val="false"/>
          </w:tcPr>
          <w:p>
            <w:pPr>
              <w:jc w:val="left"/>
              <w:widowControl/>
              <w:rPr>
                <w:rFonts w:hint="eastAsia" w:ascii="宋体" w:hAnsi="宋体" w:cs="宋体"/>
              </w:rPr>
            </w:pPr>
            <w:r>
              <w:rPr>
                <w:rFonts w:hint="eastAsia" w:ascii="宋体" w:hAnsi="宋体" w:cs="宋体"/>
              </w:rPr>
              <w:t xml:space="preserve">项目团队（11分）。</w:t>
            </w:r>
            <w:r>
              <w:rPr>
                <w:rFonts w:hint="eastAsia" w:ascii="宋体" w:hAnsi="宋体" w:cs="宋体"/>
              </w:rPr>
              <w:br w:type="textWrapping" w:clear="all"/>
            </w:r>
            <w:r>
              <w:rPr>
                <w:rFonts w:hint="eastAsia" w:ascii="宋体" w:hAnsi="宋体" w:cs="宋体"/>
                <w:b/>
                <w:bCs/>
              </w:rPr>
              <w:t xml:space="preserve">5.2.1项目经理证书</w:t>
            </w:r>
            <w:r>
              <w:rPr>
                <w:rFonts w:hint="eastAsia" w:ascii="宋体" w:hAnsi="宋体" w:cs="宋体"/>
              </w:rPr>
              <w:br w:type="textWrapping" w:clear="all"/>
              <w:t xml:space="preserve">供应商服务团队配备1名项目经理，项目经理至少拥有高级工程师证书或高级信息系统项目管理师证书的任意1项，提供1项证书得2分，提供2项证书得4分，最高得4分；</w:t>
            </w:r>
            <w:r>
              <w:rPr>
                <w:rFonts w:hint="eastAsia" w:ascii="宋体" w:hAnsi="宋体" w:cs="宋体"/>
              </w:rPr>
              <w:br w:type="textWrapping" w:clear="all"/>
            </w:r>
            <w:r>
              <w:rPr>
                <w:rFonts w:hint="eastAsia" w:ascii="宋体" w:hAnsi="宋体" w:cs="宋体"/>
                <w:b/>
                <w:bCs/>
              </w:rPr>
              <w:t xml:space="preserve">5.2.2项目技术负责人证书</w:t>
            </w:r>
            <w:r>
              <w:rPr>
                <w:rFonts w:hint="eastAsia" w:ascii="宋体" w:hAnsi="宋体" w:cs="宋体"/>
              </w:rPr>
              <w:br w:type="textWrapping" w:clear="all"/>
              <w:t xml:space="preserve">配备1名项目技术负责人，项目技术负责人至少拥有网络工程师证书、通信工程师证书、信息安全保障人员CISAW证书证书或网络规划设计师证书其中任意1项，提供1项证书得2分，提供2项证书得4分，最高得4分；</w:t>
            </w:r>
            <w:r>
              <w:rPr>
                <w:rFonts w:hint="eastAsia" w:ascii="宋体" w:hAnsi="宋体" w:cs="宋体"/>
              </w:rPr>
              <w:br w:type="textWrapping" w:clear="all"/>
            </w:r>
            <w:r>
              <w:rPr>
                <w:rFonts w:hint="eastAsia" w:ascii="宋体" w:hAnsi="宋体" w:cs="宋体"/>
                <w:b/>
                <w:bCs/>
              </w:rPr>
              <w:t xml:space="preserve">5.2.3项目组其他成员证书</w:t>
            </w:r>
            <w:r>
              <w:rPr>
                <w:rFonts w:hint="eastAsia" w:ascii="宋体" w:hAnsi="宋体" w:cs="宋体"/>
              </w:rPr>
              <w:br w:type="textWrapping" w:clear="all"/>
              <w:t xml:space="preserve">项目组的其他成员，具有网络工程师证书、通信工程师、CISP证书、CISSP证书的任意1项，每提供1项证书得1分，最高得3分。</w:t>
            </w:r>
            <w:r/>
          </w:p>
          <w:p>
            <w:pPr>
              <w:jc w:val="left"/>
              <w:widowControl/>
              <w:rPr>
                <w:rFonts w:hint="eastAsia" w:ascii="宋体" w:hAnsi="宋体" w:cs="宋体"/>
              </w:rPr>
            </w:pPr>
            <w:r>
              <w:rPr>
                <w:rFonts w:hint="eastAsia" w:ascii="宋体" w:hAnsi="宋体" w:cs="宋体"/>
              </w:rPr>
              <w:t xml:space="preserve">以上需提供证书扫描件以及投标人为其缴纳的近三个月任意一个月的社保证明材料，否则不得分，1人多证的只计算1个证书。</w:t>
            </w:r>
            <w:r/>
          </w:p>
        </w:tc>
        <w:tc>
          <w:tcPr>
            <w:tcBorders>
              <w:top w:val="single" w:color="000000" w:sz="4" w:space="0"/>
              <w:left w:val="single" w:color="000000" w:sz="4" w:space="0"/>
              <w:bottom w:val="single" w:color="000000" w:sz="4" w:space="0"/>
              <w:right w:val="single" w:color="000000" w:sz="8" w:space="0"/>
            </w:tcBorders>
            <w:tcW w:w="658" w:type="dxa"/>
            <w:vAlign w:val="center"/>
            <w:textDirection w:val="lrTb"/>
            <w:noWrap w:val="false"/>
          </w:tcPr>
          <w:p>
            <w:pPr>
              <w:jc w:val="center"/>
              <w:widowControl/>
              <w:rPr>
                <w:rFonts w:hint="eastAsia" w:ascii="宋体" w:hAnsi="宋体" w:cs="宋体"/>
              </w:rPr>
            </w:pPr>
            <w:r>
              <w:rPr>
                <w:rFonts w:hint="eastAsia" w:ascii="宋体" w:hAnsi="宋体" w:cs="宋体"/>
              </w:rPr>
              <w:t xml:space="preserve">11</w:t>
            </w:r>
            <w:r/>
          </w:p>
        </w:tc>
      </w:tr>
    </w:tbl>
    <w:p>
      <w:r/>
      <w:r/>
    </w:p>
    <w:p>
      <w:r/>
      <w:r/>
    </w:p>
    <w:p>
      <w:pPr>
        <w:ind w:firstLine="480"/>
        <w:spacing w:line="400" w:lineRule="exact"/>
        <w:rPr>
          <w:rFonts w:hint="eastAsia" w:ascii="宋体" w:hAnsi="宋体"/>
          <w:sz w:val="24"/>
          <w:szCs w:val="24"/>
        </w:rPr>
      </w:pPr>
      <w:r>
        <w:rPr>
          <w:rFonts w:hint="eastAsia" w:ascii="宋体" w:hAnsi="宋体"/>
          <w:sz w:val="24"/>
          <w:szCs w:val="24"/>
        </w:rPr>
        <w:t xml:space="preserve">（以上材料需提供复印件，且均需在有效期内，否则视为无效。）</w:t>
      </w:r>
      <w:r/>
    </w:p>
    <w:p>
      <w:pPr>
        <w:ind w:firstLine="480"/>
        <w:spacing w:line="400" w:lineRule="exact"/>
        <w:rPr>
          <w:rFonts w:hint="eastAsia" w:ascii="宋体" w:hAnsi="宋体"/>
          <w:sz w:val="24"/>
          <w:szCs w:val="24"/>
        </w:rPr>
      </w:pPr>
      <w:r>
        <w:rPr>
          <w:rFonts w:hint="eastAsia" w:ascii="宋体" w:hAnsi="宋体"/>
          <w:sz w:val="24"/>
          <w:szCs w:val="24"/>
        </w:rPr>
        <w:t xml:space="preserve">注：采购人在合同签订前核查以上评分项目中证明材料原件。</w:t>
      </w:r>
      <w:r/>
    </w:p>
    <w:p>
      <w:pPr>
        <w:pStyle w:val="865"/>
        <w:ind w:firstLine="482"/>
        <w:spacing w:line="0" w:lineRule="atLeast"/>
      </w:pPr>
      <w:r/>
      <w:r/>
    </w:p>
    <w:p>
      <w:r/>
      <w:r/>
    </w:p>
    <w:p>
      <w:r>
        <w:br w:type="page" w:clear="all"/>
      </w:r>
      <w:r/>
    </w:p>
    <w:p>
      <w:pPr>
        <w:pStyle w:val="701"/>
        <w:rPr>
          <w:rFonts w:ascii="黑体" w:eastAsia="黑体"/>
          <w:bCs/>
          <w:sz w:val="44"/>
        </w:rPr>
      </w:pPr>
      <w:r/>
      <w:bookmarkStart w:id="206" w:name="_Toc239690746"/>
      <w:r>
        <w:rPr>
          <w:rFonts w:hint="eastAsia" w:ascii="黑体" w:eastAsia="黑体"/>
          <w:bCs/>
          <w:sz w:val="44"/>
        </w:rPr>
        <w:t xml:space="preserve">第六章  投标</w:t>
      </w:r>
      <w:bookmarkEnd w:id="199"/>
      <w:r/>
      <w:bookmarkEnd w:id="200"/>
      <w:r/>
      <w:bookmarkEnd w:id="201"/>
      <w:r>
        <w:rPr>
          <w:rFonts w:hint="eastAsia" w:ascii="黑体" w:eastAsia="黑体"/>
          <w:bCs/>
          <w:sz w:val="44"/>
        </w:rPr>
        <w:t xml:space="preserve">文件格式</w:t>
      </w:r>
      <w:bookmarkEnd w:id="206"/>
      <w:r>
        <w:rPr>
          <w:rFonts w:hint="eastAsia" w:ascii="黑体" w:eastAsia="黑体"/>
          <w:bCs/>
          <w:sz w:val="44"/>
        </w:rPr>
        <w:t xml:space="preserve"> </w:t>
      </w:r>
      <w:r/>
    </w:p>
    <w:p>
      <w:pPr>
        <w:jc w:val="center"/>
        <w:rPr>
          <w:rFonts w:hint="eastAsia" w:ascii="宋体" w:hAnsi="宋体"/>
          <w:b/>
          <w:sz w:val="72"/>
        </w:rPr>
      </w:pPr>
      <w:r/>
      <w:bookmarkStart w:id="207" w:name="_Hlt26671244"/>
      <w:r/>
      <w:bookmarkStart w:id="208" w:name="_Hlt26955039"/>
      <w:r/>
      <w:bookmarkStart w:id="209" w:name="_Toc49090576"/>
      <w:r/>
      <w:bookmarkStart w:id="210" w:name="_Toc120614282"/>
      <w:r/>
      <w:bookmarkStart w:id="211" w:name="_Toc26554094"/>
      <w:r/>
      <w:bookmarkEnd w:id="207"/>
      <w:r/>
      <w:bookmarkEnd w:id="208"/>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hint="eastAsia" w:ascii="宋体" w:hAnsi="宋体"/>
          <w:sz w:val="24"/>
          <w:szCs w:val="24"/>
        </w:rPr>
      </w:pPr>
      <w:r>
        <w:rPr>
          <w:rFonts w:hint="eastAsia" w:ascii="宋体" w:hAnsi="宋体"/>
          <w:sz w:val="24"/>
          <w:szCs w:val="24"/>
        </w:rPr>
        <w:t xml:space="preserve">供相关材料，否则作无效投标处理。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采购编号：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lang w:eastAsia="en-US"/>
              </w:rPr>
              <w:t xml:space="preserve">                      </w:t>
            </w:r>
            <w:r>
              <w:rPr>
                <w:rFonts w:hint="eastAsia" w:ascii="宋体" w:hAnsi="宋体"/>
                <w:sz w:val="24"/>
                <w:szCs w:val="24"/>
                <w:lang w:eastAsia="en-US"/>
              </w:rPr>
              <w:t xml:space="preserve">投标总报价</w:t>
            </w:r>
            <w:r/>
          </w:p>
        </w:tc>
      </w:tr>
      <w:tr>
        <w:trPr>
          <w:cantSplit/>
          <w:trHeight w:val="612"/>
        </w:trPr>
        <w:tc>
          <w:tcPr>
            <w:tcW w:w="8206" w:type="dxa"/>
            <w:vAlign w:val="center"/>
            <w:textDirection w:val="lrTb"/>
            <w:noWrap w:val="false"/>
          </w:tcPr>
          <w:p>
            <w:pPr>
              <w:pStyle w:val="865"/>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序号</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1</w:t>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2</w:t>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3</w:t>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4</w:t>
            </w:r>
            <w:r/>
          </w:p>
        </w:tc>
        <w:tc>
          <w:tcPr>
            <w:tcW w:w="104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5</w:t>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6</w:t>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7</w:t>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8</w:t>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9</w:t>
            </w:r>
            <w:r/>
          </w:p>
        </w:tc>
      </w:tr>
      <w:tr>
        <w:trPr>
          <w:cantSplit/>
          <w:trHeight w:val="294"/>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1</w:t>
            </w:r>
            <w:r/>
          </w:p>
        </w:tc>
        <w:tc>
          <w:tcPr>
            <w:tcW w:w="1106" w:type="dxa"/>
            <w:vAlign w:val="center"/>
            <w:textDirection w:val="lrTb"/>
            <w:noWrap w:val="false"/>
          </w:tcPr>
          <w:p>
            <w:pPr>
              <w:spacing w:line="0" w:lineRule="atLeast"/>
              <w:rPr>
                <w:rFonts w:hint="eastAsia"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品牌</w:t>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规格</w:t>
            </w:r>
            <w:r/>
          </w:p>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型号</w:t>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制造商名称</w:t>
            </w:r>
            <w:r/>
          </w:p>
        </w:tc>
        <w:tc>
          <w:tcPr>
            <w:tcW w:w="104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产地</w:t>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交付期/服务期</w:t>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数量</w:t>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单价</w:t>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总价</w:t>
            </w:r>
            <w:r/>
          </w:p>
        </w:tc>
      </w:tr>
      <w:tr>
        <w:trPr>
          <w:cantSplit/>
          <w:trHeight w:val="696"/>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2</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u w:val="single"/>
              </w:rPr>
            </w:pPr>
            <w:r>
              <w:rPr>
                <w:rFonts w:hint="eastAsia" w:ascii="宋体" w:hAnsi="宋体" w:cs="方正魏碑_GBK"/>
                <w:sz w:val="24"/>
                <w:szCs w:val="24"/>
                <w:lang w:eastAsia="en-US"/>
              </w:rPr>
              <w:t xml:space="preserve">合同签订后</w:t>
            </w:r>
            <w:r>
              <w:rPr>
                <w:rFonts w:hint="eastAsia" w:ascii="宋体" w:hAnsi="宋体" w:cs="方正魏碑_GBK"/>
                <w:sz w:val="24"/>
                <w:szCs w:val="24"/>
                <w:u w:val="single"/>
                <w:lang w:eastAsia="en-US"/>
              </w:rPr>
              <w:t xml:space="preserve">  </w:t>
            </w:r>
            <w:r>
              <w:rPr>
                <w:rFonts w:hint="eastAsia" w:ascii="宋体" w:hAnsi="宋体" w:cs="方正魏碑_GBK"/>
                <w:sz w:val="24"/>
                <w:szCs w:val="24"/>
                <w:lang w:eastAsia="en-US"/>
              </w:rPr>
              <w:t xml:space="preserve">日</w:t>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724"/>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3</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640"/>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4</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580"/>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w:t>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434"/>
        </w:trPr>
        <w:tc>
          <w:tcPr>
            <w:gridSpan w:val="10"/>
            <w:tcW w:w="9861" w:type="dxa"/>
            <w:vAlign w:val="center"/>
            <w:textDirection w:val="lrTb"/>
            <w:noWrap w:val="false"/>
          </w:tcPr>
          <w:p>
            <w:pPr>
              <w:spacing w:line="0" w:lineRule="atLeast"/>
              <w:rPr>
                <w:rFonts w:hint="eastAsia"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pStyle w:val="744"/>
              <w:jc w:val="both"/>
              <w:spacing w:before="0" w:beforeAutospacing="0" w:after="0" w:afterAutospacing="0" w:line="0" w:lineRule="atLeast"/>
              <w:rPr>
                <w:rFonts w:hint="eastAsia" w:cs="方正魏碑_GBK"/>
              </w:rPr>
            </w:pPr>
            <w:r>
              <w:rPr>
                <w:rFonts w:hint="eastAsia" w:cs="方正魏碑_GBK"/>
              </w:rPr>
              <w:t xml:space="preserve">本采购包中提供的符合本国产品标准的货物成本之和占该采购包全部成本之和的比例为</w:t>
            </w:r>
            <w:r>
              <w:rPr>
                <w:rFonts w:hint="eastAsia" w:cs="Times New Roman"/>
                <w:u w:val="single"/>
              </w:rPr>
              <w:t xml:space="preserve">XX</w:t>
            </w:r>
            <w:r>
              <w:rPr>
                <w:rFonts w:hint="eastAsia" w:cs="方正魏碑_GBK"/>
              </w:rPr>
              <w:t xml:space="preserve">%。</w:t>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（被授权人的姓名）为我方就采购编号为</w:t>
      </w:r>
      <w:r>
        <w:rPr>
          <w:rFonts w:hint="eastAsia"/>
          <w:sz w:val="24"/>
          <w:szCs w:val="24"/>
        </w:rPr>
        <w:t xml:space="preserve">JSZC-320000-SCZX-G20**-****</w:t>
      </w:r>
      <w:r>
        <w:rPr>
          <w:rFonts w:hint="eastAsia"/>
          <w:sz w:val="24"/>
          <w:szCs w:val="24"/>
        </w:rPr>
        <w:t xml:space="preserve">，</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pStyle w:val="865"/>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招标文件，正式授权下述签字人______(姓名)代表我方______________（投标人的名称），全权处理本次项目投标的有关事宜。</w:t>
      </w:r>
      <w:r/>
    </w:p>
    <w:p>
      <w:pPr>
        <w:pStyle w:val="86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6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6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6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86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6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6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65"/>
        <w:ind w:left="420"/>
        <w:spacing w:before="0" w:after="0" w:line="420" w:lineRule="exact"/>
        <w:rPr>
          <w:rFonts w:hint="eastAsia" w:ascii="宋体" w:hAnsi="宋体"/>
          <w:szCs w:val="21"/>
        </w:rPr>
      </w:pPr>
      <w:r>
        <w:rPr>
          <w:rFonts w:hint="eastAsia" w:ascii="宋体" w:hAnsi="宋体"/>
          <w:szCs w:val="21"/>
        </w:rPr>
        <w:t xml:space="preserve">地          址：</w:t>
      </w:r>
      <w:r/>
    </w:p>
    <w:p>
      <w:pPr>
        <w:pStyle w:val="865"/>
        <w:ind w:left="420"/>
        <w:spacing w:before="0" w:after="0" w:line="420" w:lineRule="exact"/>
        <w:rPr>
          <w:rFonts w:hint="eastAsia" w:ascii="宋体" w:hAnsi="宋体"/>
          <w:szCs w:val="21"/>
        </w:rPr>
      </w:pPr>
      <w:r>
        <w:rPr>
          <w:rFonts w:hint="eastAsia" w:ascii="宋体" w:hAnsi="宋体"/>
          <w:szCs w:val="21"/>
        </w:rPr>
        <w:t xml:space="preserve">邮          编：</w:t>
      </w:r>
      <w:r/>
    </w:p>
    <w:p>
      <w:pPr>
        <w:pStyle w:val="865"/>
        <w:ind w:left="420"/>
        <w:spacing w:before="0" w:after="0" w:line="420" w:lineRule="exact"/>
        <w:rPr>
          <w:rFonts w:hint="eastAsia" w:ascii="宋体" w:hAnsi="宋体"/>
          <w:szCs w:val="21"/>
        </w:rPr>
      </w:pPr>
      <w:r>
        <w:rPr>
          <w:rFonts w:hint="eastAsia" w:ascii="宋体" w:hAnsi="宋体"/>
          <w:szCs w:val="21"/>
        </w:rPr>
        <w:t xml:space="preserve">电          话：</w:t>
      </w:r>
      <w:r/>
    </w:p>
    <w:p>
      <w:pPr>
        <w:pStyle w:val="865"/>
        <w:ind w:left="420"/>
        <w:spacing w:before="0" w:after="0" w:line="420" w:lineRule="exact"/>
        <w:rPr>
          <w:rFonts w:hint="eastAsia" w:ascii="宋体" w:hAnsi="宋体"/>
          <w:szCs w:val="21"/>
        </w:rPr>
      </w:pPr>
      <w:r>
        <w:rPr>
          <w:rFonts w:hint="eastAsia" w:ascii="宋体" w:hAnsi="宋体"/>
          <w:szCs w:val="21"/>
        </w:rPr>
        <w:t xml:space="preserve">传          真：</w:t>
      </w:r>
      <w:r/>
    </w:p>
    <w:p>
      <w:pPr>
        <w:pStyle w:val="86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65"/>
        <w:ind w:left="420"/>
        <w:spacing w:before="0" w:after="0" w:line="420" w:lineRule="exact"/>
        <w:rPr>
          <w:rFonts w:hint="eastAsia" w:ascii="宋体" w:hAnsi="宋体"/>
          <w:szCs w:val="21"/>
        </w:rPr>
      </w:pPr>
      <w:r>
        <w:rPr>
          <w:rFonts w:hint="eastAsia" w:ascii="宋体" w:hAnsi="宋体"/>
          <w:szCs w:val="21"/>
        </w:rPr>
        <w:t xml:space="preserve">账          号： </w:t>
      </w:r>
      <w:r/>
    </w:p>
    <w:p>
      <w:pPr>
        <w:pStyle w:val="865"/>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865"/>
        <w:jc w:val="right"/>
        <w:spacing w:before="0" w:after="0" w:line="420" w:lineRule="exact"/>
        <w:rPr>
          <w:rFonts w:hint="eastAsia" w:ascii="宋体" w:hAnsi="宋体" w:cs="方正仿宋_GBK"/>
          <w:bCs/>
        </w:rPr>
      </w:pPr>
      <w:r>
        <w:rPr>
          <w:rFonts w:hint="eastAsia" w:ascii="宋体" w:hAnsi="宋体" w:cs="方正仿宋_GBK"/>
        </w:rPr>
        <w:t xml:space="preserve">日      期：___年____月____日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60" w:lineRule="exact"/>
        <w:rPr>
          <w:rFonts w:hint="eastAsia" w:ascii="黑体" w:hAnsi="黑体" w:eastAsia="黑体"/>
          <w:b/>
          <w:sz w:val="32"/>
          <w:szCs w:val="32"/>
        </w:rPr>
      </w:pPr>
      <w:r/>
      <w:bookmarkStart w:id="212" w:name="_Toc120614284"/>
      <w:r/>
      <w:bookmarkEnd w:id="209"/>
      <w:r/>
      <w:bookmarkEnd w:id="210"/>
      <w:r/>
      <w:bookmarkEnd w:id="211"/>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9-1</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附件9-2</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sz w:val="32"/>
        </w:rPr>
        <w:t xml:space="preserve"> </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提供服务的人员均为订立劳动合同的从业人员的书面声明</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（采购包号：XX）</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本企业（本联合体，如项目采购包接受联合体参加的）参加江苏省政府采购中心组织的项目编号为</w:t>
      </w:r>
      <w:r>
        <w:rPr>
          <w:rFonts w:eastAsia="Times New Roman" w:cs="Times New Roman"/>
          <w:sz w:val="32"/>
        </w:rPr>
        <w:t xml:space="preserve">JSZC-320000-SCZX-G</w:t>
      </w:r>
      <w:r>
        <w:rPr>
          <w:rFonts w:ascii="仿宋" w:hAnsi="仿宋" w:eastAsia="仿宋" w:cs="仿宋"/>
          <w:sz w:val="32"/>
        </w:rPr>
        <w:t xml:space="preserve">（</w:t>
      </w:r>
      <w:r>
        <w:rPr>
          <w:rFonts w:eastAsia="Times New Roman" w:cs="Times New Roman"/>
          <w:sz w:val="32"/>
        </w:rPr>
        <w:t xml:space="preserve">C</w:t>
      </w:r>
      <w:r>
        <w:rPr>
          <w:rFonts w:ascii="仿宋" w:hAnsi="仿宋" w:eastAsia="仿宋" w:cs="仿宋"/>
          <w:sz w:val="32"/>
        </w:rPr>
        <w:t xml:space="preserve">、</w:t>
      </w:r>
      <w:r>
        <w:rPr>
          <w:rFonts w:eastAsia="Times New Roman" w:cs="Times New Roman"/>
          <w:sz w:val="32"/>
        </w:rPr>
        <w:t xml:space="preserve">T</w:t>
      </w:r>
      <w:r>
        <w:rPr>
          <w:rFonts w:ascii="仿宋" w:hAnsi="仿宋" w:eastAsia="仿宋" w:cs="仿宋"/>
          <w:sz w:val="32"/>
        </w:rPr>
        <w:t xml:space="preserve">、</w:t>
      </w:r>
      <w:r>
        <w:rPr>
          <w:rFonts w:eastAsia="Times New Roman" w:cs="Times New Roman"/>
          <w:sz w:val="32"/>
        </w:rPr>
        <w:t xml:space="preserve">K</w:t>
      </w:r>
      <w:r>
        <w:rPr>
          <w:rFonts w:ascii="仿宋" w:hAnsi="仿宋" w:eastAsia="仿宋" w:cs="仿宋"/>
          <w:sz w:val="32"/>
        </w:rPr>
        <w:t xml:space="preserve">）</w:t>
      </w:r>
      <w:r>
        <w:rPr>
          <w:rFonts w:eastAsia="Times New Roman" w:cs="Times New Roman"/>
          <w:sz w:val="32"/>
        </w:rPr>
        <w:t xml:space="preserve">20XX-XXXX</w:t>
      </w:r>
      <w:r>
        <w:rPr>
          <w:rFonts w:ascii="仿宋" w:hAnsi="仿宋" w:eastAsia="仿宋" w:cs="仿宋"/>
          <w:sz w:val="32"/>
        </w:rPr>
        <w:t xml:space="preserve">，</w:t>
      </w:r>
      <w:r>
        <w:rPr>
          <w:rFonts w:eastAsia="Times New Roman" w:cs="Times New Roman"/>
          <w:sz w:val="32"/>
        </w:rPr>
        <w:t xml:space="preserve">XXXX</w:t>
      </w:r>
      <w:r>
        <w:rPr>
          <w:rFonts w:ascii="仿宋" w:hAnsi="仿宋" w:eastAsia="仿宋" w:cs="仿宋"/>
          <w:sz w:val="32"/>
        </w:rPr>
        <w:t xml:space="preserve">（项目名称）（采购包号：</w:t>
      </w:r>
      <w:r>
        <w:rPr>
          <w:rFonts w:eastAsia="Times New Roman" w:cs="Times New Roman"/>
          <w:sz w:val="32"/>
        </w:rPr>
        <w:t xml:space="preserve">XX</w:t>
      </w:r>
      <w:r>
        <w:rPr>
          <w:rFonts w:ascii="仿宋" w:hAnsi="仿宋" w:eastAsia="仿宋" w:cs="仿宋"/>
          <w:sz w:val="32"/>
        </w:rPr>
        <w:t xml:space="preserve">）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本企业（联合体）对上述声明的真实性负责。如有虚假，将依法承担相应责任。</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sz w:val="32"/>
        </w:rPr>
        <w:t xml:space="preserve"> </w:t>
      </w:r>
      <w:r/>
    </w:p>
    <w:p>
      <w:pPr>
        <w:ind w:firstLine="624"/>
        <w:spacing w:line="58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注：专门面向中小微型企业采购的采购项目采购包，投标人（供应商）未提供该书面声明的，投标（响应）无效。</w:t>
      </w:r>
      <w:r/>
    </w:p>
    <w:p>
      <w:pPr>
        <w:spacing w:line="400" w:lineRule="exact"/>
        <w:rPr>
          <w:rFonts w:hint="eastAsia" w:ascii="宋体" w:hAnsi="宋体"/>
          <w:b/>
          <w:bCs/>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lang w:eastAsia="en-US"/>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highlight w:val="yellow"/>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left"/>
        <w:widowControl/>
        <w:rPr>
          <w:rFonts w:hint="eastAsia" w:ascii="宋体" w:hAnsi="宋体" w:cs="方正魏碑_GBK"/>
          <w:sz w:val="24"/>
          <w:szCs w:val="24"/>
        </w:rPr>
      </w:pPr>
      <w:r>
        <w:rPr>
          <w:rFonts w:hint="eastAsia" w:ascii="宋体" w:hAnsi="宋体"/>
          <w:sz w:val="24"/>
          <w:szCs w:val="24"/>
        </w:rPr>
        <w:br w:type="page" w:clear="all"/>
      </w:r>
      <w:r>
        <w:rPr>
          <w:rFonts w:hint="eastAsia" w:ascii="宋体" w:hAnsi="宋体" w:cs="方正魏碑_GBK"/>
          <w:sz w:val="24"/>
          <w:szCs w:val="24"/>
        </w:rPr>
        <w:t xml:space="preserve">附件12  关于符合本国产品标准的声明函（采购包号：XX）</w:t>
      </w:r>
      <w:r/>
    </w:p>
    <w:p>
      <w:pPr>
        <w:pStyle w:val="744"/>
        <w:ind w:firstLine="480"/>
        <w:spacing w:before="0" w:beforeAutospacing="0" w:after="0" w:afterAutospacing="0" w:line="4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w:t>
      </w:r>
      <w:r>
        <w:rPr>
          <w:rStyle w:val="753"/>
          <w:rFonts w:hint="eastAsia" w:cs="方正魏碑_GBK"/>
          <w:i w:val="0"/>
          <w:u w:val="single"/>
          <w:shd w:val="clear" w:color="auto" w:fill="ffffff"/>
        </w:rPr>
        <w:t xml:space="preserve">（产品名称1）</w:t>
      </w:r>
      <w:r>
        <w:rPr>
          <w:rStyle w:val="753"/>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53"/>
          <w:rFonts w:hint="eastAsia" w:cs="方正魏碑_GBK"/>
          <w:i w:val="0"/>
          <w:u w:val="single"/>
          <w:shd w:val="clear" w:color="auto" w:fill="ffffff"/>
        </w:rPr>
        <w:t xml:space="preserve">（厂名）</w:t>
      </w:r>
      <w:r>
        <w:rPr>
          <w:rStyle w:val="753"/>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53"/>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Style w:val="753"/>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Style w:val="753"/>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Style w:val="753"/>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74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w:t>
      </w:r>
      <w:r>
        <w:rPr>
          <w:rStyle w:val="753"/>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53"/>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53"/>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Fonts w:hint="eastAsia" w:cs="方正魏碑_GBK"/>
          <w:shd w:val="clear" w:color="auto" w:fill="ffffff"/>
        </w:rPr>
        <w:t xml:space="preserve">在中国境内完成。</w:t>
      </w:r>
      <w:r/>
    </w:p>
    <w:p>
      <w:pPr>
        <w:pStyle w:val="74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w:t>
      </w:r>
      <w:r/>
    </w:p>
    <w:p>
      <w:pPr>
        <w:pStyle w:val="74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744"/>
        <w:ind w:firstLine="480"/>
        <w:spacing w:before="30" w:beforeAutospacing="0" w:after="30" w:afterAutospacing="0" w:line="460" w:lineRule="exact"/>
        <w:rPr>
          <w:rFonts w:hint="eastAsia" w:cs="方正魏碑_GBK"/>
        </w:rPr>
      </w:pPr>
      <w:r>
        <w:rPr>
          <w:rFonts w:hint="eastAsia" w:cs="方正魏碑_GBK"/>
        </w:rPr>
      </w:r>
      <w:r/>
    </w:p>
    <w:p>
      <w:pPr>
        <w:pStyle w:val="744"/>
        <w:ind w:firstLine="480"/>
        <w:jc w:val="right"/>
        <w:spacing w:before="30" w:beforeAutospacing="0" w:after="30" w:afterAutospacing="0" w:line="460" w:lineRule="exact"/>
        <w:rPr>
          <w:rFonts w:hint="eastAsia" w:cs="方正魏碑_GBK"/>
        </w:rPr>
      </w:pPr>
      <w:r>
        <w:rPr>
          <w:rFonts w:hint="eastAsia" w:cs="方正魏碑_GBK"/>
          <w:shd w:val="clear" w:color="auto" w:fill="ffffff"/>
        </w:rPr>
        <w:t xml:space="preserve">    公司（单位）名称（加盖CA电子公章）：　        </w:t>
      </w:r>
      <w:r/>
    </w:p>
    <w:p>
      <w:pPr>
        <w:pStyle w:val="744"/>
        <w:ind w:firstLine="480"/>
        <w:jc w:val="center"/>
        <w:spacing w:before="30" w:beforeAutospacing="0" w:after="30" w:afterAutospacing="0" w:line="4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74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__________________</w:t>
      </w:r>
      <w:r/>
    </w:p>
    <w:p>
      <w:pPr>
        <w:pStyle w:val="74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1.产品如有型号，请在“产品名称”栏一并填写。</w:t>
      </w:r>
      <w:r/>
    </w:p>
    <w:p>
      <w:pPr>
        <w:pStyle w:val="74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74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74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744"/>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44"/>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753"/>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jc w:val="left"/>
        <w:widowControl/>
        <w:rPr>
          <w:rFonts w:hint="eastAsia" w:ascii="宋体" w:hAnsi="宋体"/>
          <w:bCs/>
          <w:sz w:val="24"/>
          <w:szCs w:val="24"/>
        </w:rPr>
      </w:pPr>
      <w:r>
        <w:rPr>
          <w:rFonts w:hint="eastAsia" w:ascii="宋体" w:hAnsi="宋体"/>
          <w:bCs/>
          <w:sz w:val="24"/>
          <w:szCs w:val="24"/>
        </w:rPr>
        <w:br w:type="page" w:clear="all"/>
      </w:r>
      <w:bookmarkEnd w:id="194"/>
      <w:bookmarkEnd w:id="195"/>
      <w:bookmarkEnd w:id="212"/>
      <w:r/>
    </w:p>
    <w:p>
      <w:pPr>
        <w:jc w:val="left"/>
        <w:widowControl/>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13"/>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宋体">
    <w:panose1 w:val="02010600030101010101"/>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751"/>
        <w:rFonts w:hint="eastAsia" w:ascii="宋体" w:hAnsi="宋体"/>
      </w:rPr>
      <w:framePr w:wrap="around" w:vAnchor="text" w:hAnchor="margin" w:xAlign="center" w:y="1"/>
    </w:pPr>
    <w:r>
      <w:rPr>
        <w:rFonts w:ascii="宋体" w:hAnsi="宋体"/>
      </w:rPr>
      <w:fldChar w:fldCharType="begin"/>
    </w:r>
    <w:r>
      <w:rPr>
        <w:rStyle w:val="751"/>
        <w:rFonts w:ascii="宋体" w:hAnsi="宋体"/>
      </w:rPr>
      <w:instrText xml:space="preserve">PAGE  </w:instrText>
    </w:r>
    <w:r>
      <w:rPr>
        <w:rFonts w:ascii="宋体" w:hAnsi="宋体"/>
      </w:rPr>
      <w:fldChar w:fldCharType="separate"/>
    </w:r>
    <w:r>
      <w:rPr>
        <w:rStyle w:val="751"/>
        <w:rFonts w:ascii="宋体" w:hAnsi="宋体"/>
      </w:rPr>
      <w:t xml:space="preserve">25</w:t>
    </w:r>
    <w:r>
      <w:rPr>
        <w:rFonts w:ascii="宋体" w:hAnsi="宋体"/>
      </w:rPr>
      <w:fldChar w:fldCharType="end"/>
    </w:r>
    <w:r/>
  </w:p>
  <w:p>
    <w:pPr>
      <w:pStyle w:val="82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1</w:t>
    </w:r>
    <w:r>
      <w:fldChar w:fldCharType="end"/>
    </w:r>
    <w:r/>
  </w:p>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fldChar w:fldCharType="begin"/>
    </w:r>
    <w:r>
      <w:instrText xml:space="preserve">PAGE   \* MERGEFORMAT</w:instrText>
    </w:r>
    <w:r>
      <w:fldChar w:fldCharType="separate"/>
    </w:r>
    <w:r>
      <w:rPr>
        <w:lang w:val="zh-CN"/>
      </w:rPr>
      <w:t xml:space="preserve">1</w:t>
    </w:r>
    <w: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3"/>
      <w:isLgl w:val="false"/>
      <w:suff w:val="nothing"/>
      <w:lvlText w:val=""/>
      <w:lvlJc w:val="left"/>
      <w:pPr>
        <w:ind w:left="0" w:firstLine="0"/>
      </w:pPr>
      <w:rPr>
        <w:rFonts w:hint="eastAsia"/>
      </w:rPr>
    </w:lvl>
    <w:lvl w:ilvl="6">
      <w:start w:val="1"/>
      <w:numFmt w:val="decimal"/>
      <w:pStyle w:val="1034"/>
      <w:isLgl w:val="false"/>
      <w:suff w:val="nothing"/>
      <w:lvlText w:val=""/>
      <w:lvlJc w:val="left"/>
      <w:pPr>
        <w:ind w:left="0" w:firstLine="0"/>
      </w:pPr>
      <w:rPr>
        <w:rFonts w:hint="eastAsia"/>
      </w:rPr>
    </w:lvl>
    <w:lvl w:ilvl="7">
      <w:start w:val="1"/>
      <w:numFmt w:val="decimal"/>
      <w:pStyle w:val="1035"/>
      <w:isLgl w:val="false"/>
      <w:suff w:val="nothing"/>
      <w:lvlText w:val=""/>
      <w:lvlJc w:val="left"/>
      <w:pPr>
        <w:ind w:left="0" w:firstLine="0"/>
      </w:pPr>
      <w:rPr>
        <w:rFonts w:hint="eastAsia"/>
      </w:rPr>
    </w:lvl>
    <w:lvl w:ilvl="8">
      <w:start w:val="1"/>
      <w:numFmt w:val="decimal"/>
      <w:pStyle w:val="1036"/>
      <w:isLgl w:val="false"/>
      <w:suff w:val="nothing"/>
      <w:lvlText w:val=""/>
      <w:lvlJc w:val="left"/>
      <w:pPr>
        <w:ind w:left="0" w:firstLine="0"/>
      </w:pPr>
      <w:rPr>
        <w:rFonts w:hint="eastAsia"/>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1019"/>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6"/>
      <w:isLgl w:val="false"/>
      <w:suff w:val="nothing"/>
      <w:lvlText w:val=""/>
      <w:lvlJc w:val="left"/>
      <w:pPr>
        <w:ind w:left="0" w:firstLine="0"/>
      </w:pPr>
      <w:rPr>
        <w:rFonts w:hint="eastAsia"/>
      </w:rPr>
    </w:lvl>
    <w:lvl w:ilvl="6">
      <w:start w:val="1"/>
      <w:numFmt w:val="decimal"/>
      <w:pStyle w:val="707"/>
      <w:isLgl w:val="false"/>
      <w:suff w:val="nothing"/>
      <w:lvlText w:val=""/>
      <w:lvlJc w:val="left"/>
      <w:pPr>
        <w:ind w:left="0" w:firstLine="0"/>
      </w:pPr>
      <w:rPr>
        <w:rFonts w:hint="eastAsia"/>
      </w:rPr>
    </w:lvl>
    <w:lvl w:ilvl="7">
      <w:start w:val="1"/>
      <w:numFmt w:val="decimal"/>
      <w:pStyle w:val="708"/>
      <w:isLgl w:val="false"/>
      <w:suff w:val="nothing"/>
      <w:lvlText w:val=""/>
      <w:lvlJc w:val="left"/>
      <w:pPr>
        <w:ind w:left="0" w:firstLine="0"/>
      </w:pPr>
      <w:rPr>
        <w:rFonts w:hint="eastAsia"/>
      </w:rPr>
    </w:lvl>
    <w:lvl w:ilvl="8">
      <w:start w:val="1"/>
      <w:numFmt w:val="decimal"/>
      <w:pStyle w:val="709"/>
      <w:isLgl w:val="false"/>
      <w:suff w:val="nothing"/>
      <w:lvlText w:val=""/>
      <w:lvlJc w:val="left"/>
      <w:pPr>
        <w:ind w:left="0" w:firstLine="0"/>
      </w:pPr>
      <w:rPr>
        <w:rFonts w:hint="eastAsia"/>
      </w:rPr>
    </w:lvl>
  </w:abstractNum>
  <w:abstractNum w:abstractNumId="5">
    <w:multiLevelType w:val="hybridMultilevel"/>
    <w:lvl w:ilvl="0">
      <w:start w:val="1"/>
      <w:numFmt w:val="decimal"/>
      <w:pStyle w:val="8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0" w:default="1">
    <w:name w:val="Normal"/>
    <w:qFormat/>
    <w:pPr>
      <w:jc w:val="both"/>
      <w:widowControl w:val="off"/>
    </w:pPr>
    <w:rPr>
      <w:rFonts w:ascii="Times New Roman" w:hAnsi="Times New Roman"/>
      <w:sz w:val="21"/>
      <w:szCs w:val="21"/>
    </w:rPr>
  </w:style>
  <w:style w:type="paragraph" w:styleId="701">
    <w:name w:val="Heading 1"/>
    <w:basedOn w:val="700"/>
    <w:next w:val="700"/>
    <w:link w:val="801"/>
    <w:uiPriority w:val="9"/>
    <w:qFormat/>
    <w:pPr>
      <w:jc w:val="center"/>
      <w:keepNext/>
      <w:outlineLvl w:val="0"/>
    </w:pPr>
    <w:rPr>
      <w:rFonts w:ascii="楷体_GB2312" w:eastAsia="楷体_GB2312"/>
      <w:sz w:val="28"/>
      <w:szCs w:val="28"/>
    </w:rPr>
  </w:style>
  <w:style w:type="paragraph" w:styleId="702">
    <w:name w:val="Heading 2"/>
    <w:basedOn w:val="700"/>
    <w:next w:val="713"/>
    <w:link w:val="802"/>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03">
    <w:name w:val="Heading 3"/>
    <w:basedOn w:val="700"/>
    <w:next w:val="713"/>
    <w:link w:val="803"/>
    <w:uiPriority w:val="9"/>
    <w:qFormat/>
    <w:pPr>
      <w:keepLines/>
      <w:keepNext/>
      <w:spacing w:before="260" w:after="260" w:line="416" w:lineRule="auto"/>
      <w:outlineLvl w:val="2"/>
    </w:pPr>
    <w:rPr>
      <w:b/>
      <w:bCs/>
      <w:sz w:val="32"/>
      <w:szCs w:val="32"/>
    </w:rPr>
  </w:style>
  <w:style w:type="paragraph" w:styleId="704">
    <w:name w:val="Heading 4"/>
    <w:basedOn w:val="700"/>
    <w:next w:val="713"/>
    <w:link w:val="804"/>
    <w:uiPriority w:val="9"/>
    <w:qFormat/>
    <w:pPr>
      <w:keepLines/>
      <w:keepNext/>
      <w:spacing w:before="280" w:after="290" w:line="376" w:lineRule="auto"/>
      <w:outlineLvl w:val="3"/>
    </w:pPr>
    <w:rPr>
      <w:rFonts w:ascii="Arial" w:hAnsi="Arial" w:eastAsia="黑体" w:cs="Arial"/>
      <w:b/>
      <w:bCs/>
      <w:sz w:val="28"/>
      <w:szCs w:val="28"/>
    </w:rPr>
  </w:style>
  <w:style w:type="paragraph" w:styleId="705">
    <w:name w:val="Heading 5"/>
    <w:basedOn w:val="700"/>
    <w:next w:val="713"/>
    <w:link w:val="805"/>
    <w:uiPriority w:val="9"/>
    <w:qFormat/>
    <w:pPr>
      <w:keepNext/>
      <w:outlineLvl w:val="4"/>
    </w:pPr>
    <w:rPr>
      <w:rFonts w:ascii="宋体"/>
      <w:color w:val="000000"/>
      <w:sz w:val="28"/>
      <w:szCs w:val="28"/>
    </w:rPr>
  </w:style>
  <w:style w:type="paragraph" w:styleId="706">
    <w:name w:val="Heading 6"/>
    <w:basedOn w:val="700"/>
    <w:next w:val="700"/>
    <w:link w:val="806"/>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Heading 7"/>
    <w:basedOn w:val="700"/>
    <w:next w:val="700"/>
    <w:link w:val="807"/>
    <w:uiPriority w:val="9"/>
    <w:qFormat/>
    <w:pPr>
      <w:numPr>
        <w:ilvl w:val="6"/>
        <w:numId w:val="1"/>
      </w:numPr>
      <w:keepLines/>
      <w:keepNext/>
      <w:spacing w:before="240" w:after="64" w:line="320" w:lineRule="auto"/>
      <w:outlineLvl w:val="6"/>
    </w:pPr>
    <w:rPr>
      <w:b/>
      <w:bCs/>
      <w:sz w:val="24"/>
      <w:szCs w:val="24"/>
    </w:rPr>
  </w:style>
  <w:style w:type="paragraph" w:styleId="708">
    <w:name w:val="Heading 8"/>
    <w:basedOn w:val="700"/>
    <w:next w:val="700"/>
    <w:link w:val="808"/>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Heading 9"/>
    <w:basedOn w:val="700"/>
    <w:next w:val="700"/>
    <w:link w:val="809"/>
    <w:uiPriority w:val="9"/>
    <w:qFormat/>
    <w:pPr>
      <w:numPr>
        <w:ilvl w:val="8"/>
        <w:numId w:val="1"/>
      </w:numPr>
      <w:keepLines/>
      <w:keepNext/>
      <w:spacing w:before="240" w:after="64" w:line="320" w:lineRule="auto"/>
      <w:outlineLvl w:val="8"/>
    </w:pPr>
    <w:rPr>
      <w:rFonts w:ascii="Arial" w:hAnsi="Arial" w:eastAsia="黑体"/>
    </w:rPr>
  </w:style>
  <w:style w:type="character" w:styleId="710" w:default="1">
    <w:name w:val="Default Paragraph Font"/>
    <w:uiPriority w:val="1"/>
    <w:semiHidden/>
    <w:unhideWhenUsed/>
  </w:style>
  <w:style w:type="table" w:styleId="711" w:default="1">
    <w:name w:val="Normal Table"/>
    <w:uiPriority w:val="99"/>
    <w:semiHidden/>
    <w:unhideWhenUsed/>
    <w:tblPr>
      <w:tblInd w:w="0" w:type="dxa"/>
      <w:tblCellMar>
        <w:left w:w="108" w:type="dxa"/>
        <w:top w:w="0" w:type="dxa"/>
        <w:right w:w="108" w:type="dxa"/>
        <w:bottom w:w="0" w:type="dxa"/>
      </w:tblCellMar>
    </w:tblPr>
  </w:style>
  <w:style w:type="numbering" w:styleId="712" w:default="1">
    <w:name w:val="No List"/>
    <w:uiPriority w:val="99"/>
    <w:semiHidden/>
    <w:unhideWhenUsed/>
  </w:style>
  <w:style w:type="paragraph" w:styleId="713">
    <w:name w:val="Normal Indent"/>
    <w:basedOn w:val="700"/>
    <w:link w:val="783"/>
    <w:qFormat/>
    <w:pPr>
      <w:ind w:firstLine="420"/>
    </w:pPr>
  </w:style>
  <w:style w:type="paragraph" w:styleId="714">
    <w:name w:val="List 3"/>
    <w:basedOn w:val="700"/>
    <w:qFormat/>
    <w:pPr>
      <w:ind w:left="100" w:hanging="200"/>
    </w:pPr>
  </w:style>
  <w:style w:type="paragraph" w:styleId="715">
    <w:name w:val="toc 7"/>
    <w:basedOn w:val="700"/>
    <w:next w:val="700"/>
    <w:uiPriority w:val="39"/>
    <w:unhideWhenUsed/>
    <w:qFormat/>
    <w:pPr>
      <w:ind w:left="1701"/>
      <w:spacing w:after="57"/>
    </w:pPr>
  </w:style>
  <w:style w:type="paragraph" w:styleId="716">
    <w:name w:val="Caption"/>
    <w:basedOn w:val="700"/>
    <w:next w:val="700"/>
    <w:uiPriority w:val="35"/>
    <w:semiHidden/>
    <w:unhideWhenUsed/>
    <w:qFormat/>
    <w:pPr>
      <w:spacing w:line="276" w:lineRule="auto"/>
    </w:pPr>
    <w:rPr>
      <w:b/>
      <w:bCs/>
      <w:color w:val="4f81bd" w:themeColor="accent1"/>
      <w:sz w:val="18"/>
      <w:szCs w:val="18"/>
    </w:rPr>
  </w:style>
  <w:style w:type="paragraph" w:styleId="717">
    <w:name w:val="Document Map"/>
    <w:basedOn w:val="700"/>
    <w:link w:val="784"/>
    <w:semiHidden/>
    <w:qFormat/>
    <w:pPr>
      <w:shd w:val="clear" w:color="auto" w:fill="000080"/>
    </w:pPr>
  </w:style>
  <w:style w:type="paragraph" w:styleId="718">
    <w:name w:val="annotation text"/>
    <w:basedOn w:val="700"/>
    <w:link w:val="785"/>
    <w:uiPriority w:val="99"/>
    <w:semiHidden/>
    <w:qFormat/>
    <w:pPr>
      <w:jc w:val="left"/>
    </w:pPr>
  </w:style>
  <w:style w:type="paragraph" w:styleId="719">
    <w:name w:val="Body Text 3"/>
    <w:basedOn w:val="700"/>
    <w:link w:val="786"/>
    <w:qFormat/>
    <w:rPr>
      <w:rFonts w:ascii="仿宋_GB2312" w:hAnsi="Arial" w:eastAsia="仿宋_GB2312"/>
      <w:sz w:val="32"/>
      <w:szCs w:val="32"/>
    </w:rPr>
  </w:style>
  <w:style w:type="paragraph" w:styleId="720">
    <w:name w:val="Body Text"/>
    <w:basedOn w:val="700"/>
    <w:link w:val="787"/>
    <w:qFormat/>
    <w:rPr>
      <w:rFonts w:ascii="楷体_GB2312" w:hAnsi="Arial" w:eastAsia="楷体_GB2312"/>
      <w:sz w:val="28"/>
      <w:szCs w:val="28"/>
    </w:rPr>
  </w:style>
  <w:style w:type="paragraph" w:styleId="721">
    <w:name w:val="Body Text Indent"/>
    <w:basedOn w:val="700"/>
    <w:link w:val="788"/>
    <w:qFormat/>
    <w:pPr>
      <w:ind w:firstLine="645"/>
    </w:pPr>
    <w:rPr>
      <w:rFonts w:ascii="楷体_GB2312" w:eastAsia="楷体_GB2312"/>
      <w:sz w:val="32"/>
      <w:szCs w:val="32"/>
    </w:rPr>
  </w:style>
  <w:style w:type="paragraph" w:styleId="722">
    <w:name w:val="List 2"/>
    <w:basedOn w:val="700"/>
    <w:qFormat/>
    <w:pPr>
      <w:ind w:left="100" w:hanging="200"/>
    </w:pPr>
  </w:style>
  <w:style w:type="paragraph" w:styleId="723">
    <w:name w:val="toc 5"/>
    <w:basedOn w:val="700"/>
    <w:next w:val="700"/>
    <w:uiPriority w:val="39"/>
    <w:unhideWhenUsed/>
    <w:qFormat/>
    <w:pPr>
      <w:ind w:left="1134"/>
      <w:spacing w:after="57"/>
    </w:pPr>
  </w:style>
  <w:style w:type="paragraph" w:styleId="724">
    <w:name w:val="toc 3"/>
    <w:basedOn w:val="700"/>
    <w:next w:val="700"/>
    <w:uiPriority w:val="39"/>
    <w:unhideWhenUsed/>
    <w:qFormat/>
    <w:pPr>
      <w:ind w:left="567"/>
      <w:spacing w:after="57"/>
    </w:pPr>
  </w:style>
  <w:style w:type="paragraph" w:styleId="725">
    <w:name w:val="Plain Text"/>
    <w:basedOn w:val="700"/>
    <w:link w:val="789"/>
    <w:qFormat/>
    <w:rPr>
      <w:rFonts w:ascii="宋体" w:hAnsi="Courier New" w:cs="Courier New"/>
    </w:rPr>
  </w:style>
  <w:style w:type="paragraph" w:styleId="726">
    <w:name w:val="toc 8"/>
    <w:basedOn w:val="700"/>
    <w:next w:val="700"/>
    <w:uiPriority w:val="39"/>
    <w:unhideWhenUsed/>
    <w:qFormat/>
    <w:pPr>
      <w:ind w:left="1984"/>
      <w:spacing w:after="57"/>
    </w:pPr>
  </w:style>
  <w:style w:type="paragraph" w:styleId="727">
    <w:name w:val="Date"/>
    <w:basedOn w:val="700"/>
    <w:next w:val="700"/>
    <w:link w:val="790"/>
    <w:qFormat/>
    <w:rPr>
      <w:sz w:val="24"/>
      <w:szCs w:val="24"/>
    </w:rPr>
  </w:style>
  <w:style w:type="paragraph" w:styleId="728">
    <w:name w:val="Body Text Indent 2"/>
    <w:basedOn w:val="700"/>
    <w:link w:val="791"/>
    <w:qFormat/>
    <w:pPr>
      <w:ind w:left="630" w:firstLine="645"/>
    </w:pPr>
    <w:rPr>
      <w:rFonts w:ascii="Arial" w:hAnsi="Arial" w:eastAsia="仿宋_GB2312" w:cs="Arial"/>
      <w:sz w:val="32"/>
      <w:szCs w:val="32"/>
    </w:rPr>
  </w:style>
  <w:style w:type="paragraph" w:styleId="729">
    <w:name w:val="endnote text"/>
    <w:basedOn w:val="700"/>
    <w:link w:val="792"/>
    <w:uiPriority w:val="99"/>
    <w:unhideWhenUsed/>
    <w:qFormat/>
    <w:rPr>
      <w:rFonts w:ascii="等线" w:hAnsi="等线"/>
      <w:sz w:val="20"/>
      <w:szCs w:val="22"/>
    </w:rPr>
  </w:style>
  <w:style w:type="paragraph" w:styleId="730">
    <w:name w:val="Balloon Text"/>
    <w:basedOn w:val="700"/>
    <w:link w:val="793"/>
    <w:uiPriority w:val="99"/>
    <w:semiHidden/>
    <w:qFormat/>
    <w:rPr>
      <w:sz w:val="18"/>
      <w:szCs w:val="18"/>
    </w:rPr>
  </w:style>
  <w:style w:type="paragraph" w:styleId="731">
    <w:name w:val="Footer"/>
    <w:basedOn w:val="700"/>
    <w:link w:val="829"/>
    <w:uiPriority w:val="99"/>
    <w:unhideWhenUsed/>
    <w:qFormat/>
    <w:pPr>
      <w:tabs>
        <w:tab w:val="center" w:pos="7143" w:leader="none"/>
        <w:tab w:val="right" w:pos="14287" w:leader="none"/>
      </w:tabs>
    </w:pPr>
  </w:style>
  <w:style w:type="paragraph" w:styleId="732">
    <w:name w:val="Header"/>
    <w:basedOn w:val="700"/>
    <w:link w:val="79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33">
    <w:name w:val="toc 1"/>
    <w:basedOn w:val="700"/>
    <w:next w:val="700"/>
    <w:uiPriority w:val="39"/>
    <w:unhideWhenUsed/>
    <w:qFormat/>
    <w:pPr>
      <w:spacing w:after="57"/>
    </w:pPr>
  </w:style>
  <w:style w:type="paragraph" w:styleId="734">
    <w:name w:val="toc 4"/>
    <w:basedOn w:val="700"/>
    <w:next w:val="700"/>
    <w:uiPriority w:val="39"/>
    <w:unhideWhenUsed/>
    <w:qFormat/>
    <w:pPr>
      <w:ind w:left="850"/>
      <w:spacing w:after="57"/>
    </w:pPr>
  </w:style>
  <w:style w:type="paragraph" w:styleId="735">
    <w:name w:val="Subtitle"/>
    <w:basedOn w:val="700"/>
    <w:next w:val="700"/>
    <w:link w:val="795"/>
    <w:uiPriority w:val="11"/>
    <w:qFormat/>
    <w:pPr>
      <w:spacing w:before="200" w:after="200"/>
    </w:pPr>
    <w:rPr>
      <w:rFonts w:ascii="等线" w:hAnsi="等线"/>
      <w:sz w:val="24"/>
      <w:szCs w:val="24"/>
    </w:rPr>
  </w:style>
  <w:style w:type="paragraph" w:styleId="736">
    <w:name w:val="List"/>
    <w:basedOn w:val="700"/>
    <w:qFormat/>
    <w:pPr>
      <w:ind w:left="200" w:hanging="200"/>
    </w:pPr>
  </w:style>
  <w:style w:type="paragraph" w:styleId="737">
    <w:name w:val="footnote text"/>
    <w:basedOn w:val="700"/>
    <w:link w:val="796"/>
    <w:uiPriority w:val="99"/>
    <w:unhideWhenUsed/>
    <w:qFormat/>
    <w:pPr>
      <w:spacing w:after="40"/>
    </w:pPr>
    <w:rPr>
      <w:rFonts w:ascii="等线" w:hAnsi="等线"/>
      <w:sz w:val="18"/>
      <w:szCs w:val="22"/>
    </w:rPr>
  </w:style>
  <w:style w:type="paragraph" w:styleId="738">
    <w:name w:val="toc 6"/>
    <w:basedOn w:val="700"/>
    <w:next w:val="700"/>
    <w:uiPriority w:val="39"/>
    <w:unhideWhenUsed/>
    <w:qFormat/>
    <w:pPr>
      <w:ind w:left="1417"/>
      <w:spacing w:after="57"/>
    </w:pPr>
  </w:style>
  <w:style w:type="paragraph" w:styleId="739">
    <w:name w:val="Body Text Indent 3"/>
    <w:basedOn w:val="700"/>
    <w:link w:val="797"/>
    <w:qFormat/>
    <w:pPr>
      <w:ind w:left="645" w:firstLine="645"/>
    </w:pPr>
    <w:rPr>
      <w:rFonts w:ascii="Arial" w:hAnsi="Arial" w:eastAsia="仿宋_GB2312" w:cs="Arial"/>
      <w:color w:val="ffff00"/>
      <w:sz w:val="32"/>
      <w:szCs w:val="32"/>
    </w:rPr>
  </w:style>
  <w:style w:type="paragraph" w:styleId="740">
    <w:name w:val="table of figures"/>
    <w:basedOn w:val="700"/>
    <w:next w:val="700"/>
    <w:uiPriority w:val="99"/>
    <w:qFormat/>
    <w:pPr>
      <w:ind w:left="840" w:hanging="420"/>
    </w:pPr>
  </w:style>
  <w:style w:type="paragraph" w:styleId="741">
    <w:name w:val="toc 2"/>
    <w:basedOn w:val="700"/>
    <w:next w:val="700"/>
    <w:uiPriority w:val="39"/>
    <w:unhideWhenUsed/>
    <w:qFormat/>
    <w:pPr>
      <w:ind w:left="283"/>
      <w:spacing w:after="57"/>
    </w:pPr>
  </w:style>
  <w:style w:type="paragraph" w:styleId="742">
    <w:name w:val="toc 9"/>
    <w:basedOn w:val="700"/>
    <w:next w:val="700"/>
    <w:uiPriority w:val="39"/>
    <w:unhideWhenUsed/>
    <w:qFormat/>
    <w:pPr>
      <w:ind w:left="2268"/>
      <w:spacing w:after="57"/>
    </w:pPr>
  </w:style>
  <w:style w:type="paragraph" w:styleId="743">
    <w:name w:val="Body Text 2"/>
    <w:basedOn w:val="700"/>
    <w:link w:val="798"/>
    <w:qFormat/>
    <w:pPr>
      <w:jc w:val="center"/>
      <w:widowControl/>
    </w:pPr>
    <w:rPr>
      <w:rFonts w:ascii="楷体_GB2312" w:eastAsia="楷体_GB2312"/>
      <w:sz w:val="28"/>
      <w:szCs w:val="28"/>
    </w:rPr>
  </w:style>
  <w:style w:type="paragraph" w:styleId="744">
    <w:name w:val="Normal (Web)"/>
    <w:basedOn w:val="700"/>
    <w:qFormat/>
    <w:pPr>
      <w:jc w:val="left"/>
      <w:spacing w:before="100" w:beforeAutospacing="1" w:after="100" w:afterAutospacing="1"/>
      <w:widowControl/>
    </w:pPr>
    <w:rPr>
      <w:rFonts w:ascii="宋体" w:hAnsi="宋体" w:cs="宋体"/>
      <w:sz w:val="24"/>
      <w:szCs w:val="24"/>
    </w:rPr>
  </w:style>
  <w:style w:type="paragraph" w:styleId="745">
    <w:name w:val="index 1"/>
    <w:basedOn w:val="700"/>
    <w:next w:val="700"/>
    <w:semiHidden/>
    <w:qFormat/>
    <w:pPr>
      <w:spacing w:line="240" w:lineRule="atLeast"/>
    </w:pPr>
    <w:rPr>
      <w:b/>
      <w:bCs/>
    </w:rPr>
  </w:style>
  <w:style w:type="paragraph" w:styleId="746">
    <w:name w:val="Title"/>
    <w:basedOn w:val="700"/>
    <w:next w:val="700"/>
    <w:link w:val="799"/>
    <w:uiPriority w:val="10"/>
    <w:qFormat/>
    <w:pPr>
      <w:contextualSpacing/>
      <w:spacing w:before="300" w:after="200"/>
    </w:pPr>
    <w:rPr>
      <w:rFonts w:ascii="等线" w:hAnsi="等线"/>
      <w:sz w:val="48"/>
      <w:szCs w:val="48"/>
    </w:rPr>
  </w:style>
  <w:style w:type="paragraph" w:styleId="747">
    <w:name w:val="annotation subject"/>
    <w:basedOn w:val="718"/>
    <w:next w:val="718"/>
    <w:link w:val="800"/>
    <w:uiPriority w:val="99"/>
    <w:semiHidden/>
    <w:qFormat/>
    <w:rPr>
      <w:b/>
      <w:bCs/>
    </w:rPr>
  </w:style>
  <w:style w:type="table" w:styleId="748">
    <w:name w:val="Table Grid"/>
    <w:basedOn w:val="711"/>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qFormat/>
    <w:rPr>
      <w:b/>
      <w:bCs/>
    </w:rPr>
  </w:style>
  <w:style w:type="character" w:styleId="750">
    <w:name w:val="endnote reference"/>
    <w:uiPriority w:val="99"/>
    <w:unhideWhenUsed/>
    <w:qFormat/>
    <w:rPr>
      <w:vertAlign w:val="superscript"/>
    </w:rPr>
  </w:style>
  <w:style w:type="character" w:styleId="751">
    <w:name w:val="page number"/>
    <w:qFormat/>
  </w:style>
  <w:style w:type="character" w:styleId="752">
    <w:name w:val="FollowedHyperlink"/>
    <w:uiPriority w:val="99"/>
    <w:qFormat/>
    <w:rPr>
      <w:color w:val="800080"/>
      <w:u w:val="single"/>
    </w:rPr>
  </w:style>
  <w:style w:type="character" w:styleId="753">
    <w:name w:val="Emphasis"/>
    <w:qFormat/>
    <w:rPr>
      <w:i/>
    </w:rPr>
  </w:style>
  <w:style w:type="character" w:styleId="754">
    <w:name w:val="Hyperlink"/>
    <w:uiPriority w:val="99"/>
    <w:qFormat/>
    <w:rPr>
      <w:color w:val="0000ff"/>
      <w:u w:val="single"/>
    </w:rPr>
  </w:style>
  <w:style w:type="character" w:styleId="755">
    <w:name w:val="annotation reference"/>
    <w:uiPriority w:val="99"/>
    <w:semiHidden/>
    <w:qFormat/>
    <w:rPr>
      <w:sz w:val="21"/>
      <w:szCs w:val="21"/>
    </w:rPr>
  </w:style>
  <w:style w:type="character" w:styleId="756">
    <w:name w:val="footnote reference"/>
    <w:uiPriority w:val="99"/>
    <w:unhideWhenUsed/>
    <w:qFormat/>
    <w:rPr>
      <w:vertAlign w:val="superscript"/>
    </w:rPr>
  </w:style>
  <w:style w:type="character" w:styleId="757" w:customStyle="1">
    <w:name w:val="Caption Char"/>
    <w:uiPriority w:val="99"/>
    <w:qFormat/>
  </w:style>
  <w:style w:type="table" w:styleId="758" w:customStyle="1">
    <w:name w:val="无格式表格 11"/>
    <w:basedOn w:val="711"/>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basedOn w:val="711"/>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basedOn w:val="71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basedOn w:val="71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basedOn w:val="71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basedOn w:val="711"/>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4" w:customStyle="1">
    <w:name w:val="网格表 21"/>
    <w:basedOn w:val="711"/>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customStyle="1">
    <w:name w:val="网格表 31"/>
    <w:basedOn w:val="711"/>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basedOn w:val="711"/>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网格表 5 深色1"/>
    <w:basedOn w:val="711"/>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网格表 6 彩色1"/>
    <w:basedOn w:val="711"/>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9" w:customStyle="1">
    <w:name w:val="网格表 7 彩色1"/>
    <w:basedOn w:val="711"/>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0" w:customStyle="1">
    <w:name w:val="清单表 1 浅色1"/>
    <w:basedOn w:val="71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清单表 21"/>
    <w:basedOn w:val="711"/>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2" w:customStyle="1">
    <w:name w:val="清单表 31"/>
    <w:basedOn w:val="711"/>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41"/>
    <w:basedOn w:val="711"/>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5 深色1"/>
    <w:basedOn w:val="711"/>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5" w:customStyle="1">
    <w:name w:val="清单表 6 彩色1"/>
    <w:basedOn w:val="711"/>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6" w:customStyle="1">
    <w:name w:val="清单表 7 彩色1"/>
    <w:basedOn w:val="711"/>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7" w:customStyle="1">
    <w:name w:val="TOC 标题1"/>
    <w:uiPriority w:val="39"/>
    <w:unhideWhenUsed/>
    <w:qFormat/>
  </w:style>
  <w:style w:type="paragraph" w:styleId="778">
    <w:name w:val="List Paragraph"/>
    <w:basedOn w:val="700"/>
    <w:uiPriority w:val="34"/>
    <w:qFormat/>
    <w:pPr>
      <w:contextualSpacing/>
      <w:ind w:left="720"/>
    </w:pPr>
  </w:style>
  <w:style w:type="paragraph" w:styleId="779">
    <w:name w:val="No Spacing"/>
    <w:uiPriority w:val="1"/>
    <w:qFormat/>
    <w:pPr>
      <w:jc w:val="both"/>
      <w:widowControl w:val="off"/>
    </w:pPr>
    <w:rPr>
      <w:rFonts w:ascii="Times New Roman" w:hAnsi="Times New Roman"/>
      <w:sz w:val="21"/>
      <w:szCs w:val="21"/>
    </w:rPr>
  </w:style>
  <w:style w:type="paragraph" w:styleId="780">
    <w:name w:val="Quote"/>
    <w:basedOn w:val="700"/>
    <w:next w:val="700"/>
    <w:link w:val="819"/>
    <w:uiPriority w:val="29"/>
    <w:qFormat/>
    <w:pPr>
      <w:ind w:left="720" w:right="720"/>
    </w:pPr>
    <w:rPr>
      <w:rFonts w:ascii="等线" w:hAnsi="等线"/>
      <w:i/>
      <w:szCs w:val="22"/>
    </w:rPr>
  </w:style>
  <w:style w:type="paragraph" w:styleId="781">
    <w:name w:val="Intense Quote"/>
    <w:basedOn w:val="700"/>
    <w:next w:val="700"/>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paragraph" w:styleId="782" w:customStyle="1">
    <w:name w:val="TOC 标题11"/>
    <w:uiPriority w:val="39"/>
    <w:qFormat/>
    <w:rPr>
      <w:rFonts w:ascii="Times New Roman" w:hAnsi="Times New Roman"/>
    </w:rPr>
  </w:style>
  <w:style w:type="character" w:styleId="783" w:customStyle="1">
    <w:name w:val="正文缩进 字符"/>
    <w:link w:val="713"/>
    <w:qFormat/>
    <w:rPr>
      <w:rFonts w:ascii="Times New Roman" w:hAnsi="Times New Roman" w:eastAsia="宋体" w:cs="Times New Roman"/>
      <w:szCs w:val="21"/>
    </w:rPr>
  </w:style>
  <w:style w:type="character" w:styleId="784" w:customStyle="1">
    <w:name w:val="文档结构图 字符"/>
    <w:link w:val="717"/>
    <w:semiHidden/>
    <w:qFormat/>
    <w:rPr>
      <w:rFonts w:ascii="Times New Roman" w:hAnsi="Times New Roman" w:eastAsia="宋体" w:cs="Times New Roman"/>
      <w:szCs w:val="21"/>
      <w:shd w:val="clear" w:color="auto" w:fill="000080"/>
    </w:rPr>
  </w:style>
  <w:style w:type="character" w:styleId="785" w:customStyle="1">
    <w:name w:val="批注文字 字符"/>
    <w:link w:val="718"/>
    <w:uiPriority w:val="99"/>
    <w:semiHidden/>
    <w:qFormat/>
    <w:rPr>
      <w:rFonts w:ascii="Times New Roman" w:hAnsi="Times New Roman" w:eastAsia="宋体" w:cs="Times New Roman"/>
      <w:szCs w:val="21"/>
    </w:rPr>
  </w:style>
  <w:style w:type="character" w:styleId="786" w:customStyle="1">
    <w:name w:val="正文文本 3 字符"/>
    <w:link w:val="719"/>
    <w:qFormat/>
    <w:rPr>
      <w:rFonts w:ascii="仿宋_GB2312" w:hAnsi="Arial" w:eastAsia="仿宋_GB2312" w:cs="Times New Roman"/>
      <w:sz w:val="32"/>
      <w:szCs w:val="32"/>
    </w:rPr>
  </w:style>
  <w:style w:type="character" w:styleId="787" w:customStyle="1">
    <w:name w:val="正文文本 字符"/>
    <w:link w:val="720"/>
    <w:qFormat/>
    <w:rPr>
      <w:rFonts w:ascii="楷体_GB2312" w:hAnsi="Arial" w:eastAsia="楷体_GB2312" w:cs="Times New Roman"/>
      <w:sz w:val="28"/>
      <w:szCs w:val="28"/>
    </w:rPr>
  </w:style>
  <w:style w:type="character" w:styleId="788" w:customStyle="1">
    <w:name w:val="正文文本缩进 字符"/>
    <w:link w:val="721"/>
    <w:qFormat/>
    <w:rPr>
      <w:rFonts w:ascii="楷体_GB2312" w:hAnsi="Times New Roman" w:eastAsia="楷体_GB2312" w:cs="Times New Roman"/>
      <w:sz w:val="32"/>
      <w:szCs w:val="32"/>
    </w:rPr>
  </w:style>
  <w:style w:type="character" w:styleId="789" w:customStyle="1">
    <w:name w:val="纯文本 字符1"/>
    <w:link w:val="725"/>
    <w:qFormat/>
    <w:rPr>
      <w:rFonts w:ascii="宋体" w:hAnsi="Courier New" w:eastAsia="宋体" w:cs="Courier New"/>
      <w:szCs w:val="21"/>
    </w:rPr>
  </w:style>
  <w:style w:type="character" w:styleId="790" w:customStyle="1">
    <w:name w:val="日期 字符"/>
    <w:link w:val="727"/>
    <w:qFormat/>
    <w:rPr>
      <w:rFonts w:ascii="Times New Roman" w:hAnsi="Times New Roman" w:eastAsia="宋体" w:cs="Times New Roman"/>
      <w:sz w:val="24"/>
      <w:szCs w:val="24"/>
    </w:rPr>
  </w:style>
  <w:style w:type="character" w:styleId="791" w:customStyle="1">
    <w:name w:val="正文文本缩进 2 字符"/>
    <w:link w:val="728"/>
    <w:qFormat/>
    <w:rPr>
      <w:rFonts w:ascii="Arial" w:hAnsi="Arial" w:eastAsia="仿宋_GB2312" w:cs="Arial"/>
      <w:sz w:val="32"/>
      <w:szCs w:val="32"/>
    </w:rPr>
  </w:style>
  <w:style w:type="character" w:styleId="792" w:customStyle="1">
    <w:name w:val="尾注文本 字符"/>
    <w:link w:val="729"/>
    <w:uiPriority w:val="99"/>
    <w:qFormat/>
    <w:rPr>
      <w:rFonts w:ascii="等线" w:hAnsi="等线"/>
      <w:szCs w:val="22"/>
    </w:rPr>
  </w:style>
  <w:style w:type="character" w:styleId="793" w:customStyle="1">
    <w:name w:val="批注框文本 字符"/>
    <w:link w:val="730"/>
    <w:uiPriority w:val="99"/>
    <w:semiHidden/>
    <w:qFormat/>
    <w:rPr>
      <w:rFonts w:ascii="Times New Roman" w:hAnsi="Times New Roman" w:eastAsia="宋体" w:cs="Times New Roman"/>
      <w:sz w:val="18"/>
      <w:szCs w:val="18"/>
    </w:rPr>
  </w:style>
  <w:style w:type="character" w:styleId="794" w:customStyle="1">
    <w:name w:val="页眉 字符1"/>
    <w:link w:val="732"/>
    <w:uiPriority w:val="99"/>
    <w:qFormat/>
    <w:rPr>
      <w:rFonts w:ascii="Times New Roman" w:hAnsi="Times New Roman"/>
      <w:sz w:val="18"/>
      <w:szCs w:val="18"/>
    </w:rPr>
  </w:style>
  <w:style w:type="character" w:styleId="795" w:customStyle="1">
    <w:name w:val="副标题 字符"/>
    <w:link w:val="735"/>
    <w:uiPriority w:val="11"/>
    <w:qFormat/>
    <w:rPr>
      <w:rFonts w:ascii="等线" w:hAnsi="等线"/>
      <w:sz w:val="24"/>
      <w:szCs w:val="24"/>
    </w:rPr>
  </w:style>
  <w:style w:type="character" w:styleId="796" w:customStyle="1">
    <w:name w:val="脚注文本 字符"/>
    <w:link w:val="737"/>
    <w:uiPriority w:val="99"/>
    <w:qFormat/>
    <w:rPr>
      <w:rFonts w:ascii="等线" w:hAnsi="等线"/>
      <w:sz w:val="18"/>
      <w:szCs w:val="22"/>
    </w:rPr>
  </w:style>
  <w:style w:type="character" w:styleId="797" w:customStyle="1">
    <w:name w:val="正文文本缩进 3 字符"/>
    <w:link w:val="739"/>
    <w:qFormat/>
    <w:rPr>
      <w:rFonts w:ascii="Arial" w:hAnsi="Arial" w:eastAsia="仿宋_GB2312" w:cs="Arial"/>
      <w:color w:val="ffff00"/>
      <w:sz w:val="32"/>
      <w:szCs w:val="32"/>
    </w:rPr>
  </w:style>
  <w:style w:type="character" w:styleId="798" w:customStyle="1">
    <w:name w:val="正文文本 2 字符"/>
    <w:link w:val="743"/>
    <w:qFormat/>
    <w:rPr>
      <w:rFonts w:ascii="楷体_GB2312" w:hAnsi="Times New Roman" w:eastAsia="楷体_GB2312" w:cs="Times New Roman"/>
      <w:sz w:val="28"/>
      <w:szCs w:val="28"/>
    </w:rPr>
  </w:style>
  <w:style w:type="character" w:styleId="799" w:customStyle="1">
    <w:name w:val="标题 字符"/>
    <w:link w:val="746"/>
    <w:uiPriority w:val="10"/>
    <w:qFormat/>
    <w:rPr>
      <w:rFonts w:ascii="等线" w:hAnsi="等线"/>
      <w:sz w:val="48"/>
      <w:szCs w:val="48"/>
    </w:rPr>
  </w:style>
  <w:style w:type="character" w:styleId="800" w:customStyle="1">
    <w:name w:val="批注主题 字符"/>
    <w:link w:val="747"/>
    <w:uiPriority w:val="99"/>
    <w:semiHidden/>
    <w:qFormat/>
    <w:rPr>
      <w:rFonts w:ascii="Times New Roman" w:hAnsi="Times New Roman" w:eastAsia="宋体" w:cs="Times New Roman"/>
      <w:b/>
      <w:bCs/>
      <w:szCs w:val="21"/>
    </w:rPr>
  </w:style>
  <w:style w:type="character" w:styleId="801" w:customStyle="1">
    <w:name w:val="标题 1 字符"/>
    <w:link w:val="701"/>
    <w:uiPriority w:val="9"/>
    <w:qFormat/>
    <w:rPr>
      <w:rFonts w:ascii="楷体_GB2312" w:hAnsi="Times New Roman" w:eastAsia="楷体_GB2312" w:cs="Times New Roman"/>
      <w:sz w:val="28"/>
      <w:szCs w:val="28"/>
    </w:rPr>
  </w:style>
  <w:style w:type="character" w:styleId="802" w:customStyle="1">
    <w:name w:val="标题 2 字符"/>
    <w:link w:val="702"/>
    <w:uiPriority w:val="9"/>
    <w:qFormat/>
    <w:rPr>
      <w:rFonts w:ascii="Arial" w:hAnsi="Arial" w:eastAsia="幼圆" w:cs="Arial"/>
      <w:b/>
      <w:bCs/>
      <w:sz w:val="44"/>
      <w:szCs w:val="44"/>
    </w:rPr>
  </w:style>
  <w:style w:type="character" w:styleId="803" w:customStyle="1">
    <w:name w:val="标题 3 字符"/>
    <w:link w:val="703"/>
    <w:uiPriority w:val="9"/>
    <w:qFormat/>
    <w:rPr>
      <w:rFonts w:ascii="Times New Roman" w:hAnsi="Times New Roman" w:eastAsia="宋体" w:cs="Times New Roman"/>
      <w:b/>
      <w:bCs/>
      <w:sz w:val="32"/>
      <w:szCs w:val="32"/>
    </w:rPr>
  </w:style>
  <w:style w:type="character" w:styleId="804" w:customStyle="1">
    <w:name w:val="标题 4 字符"/>
    <w:link w:val="704"/>
    <w:uiPriority w:val="9"/>
    <w:qFormat/>
    <w:rPr>
      <w:rFonts w:ascii="Arial" w:hAnsi="Arial" w:eastAsia="黑体" w:cs="Arial"/>
      <w:b/>
      <w:bCs/>
      <w:sz w:val="28"/>
      <w:szCs w:val="28"/>
    </w:rPr>
  </w:style>
  <w:style w:type="character" w:styleId="805" w:customStyle="1">
    <w:name w:val="标题 5 字符"/>
    <w:link w:val="705"/>
    <w:uiPriority w:val="9"/>
    <w:qFormat/>
    <w:rPr>
      <w:rFonts w:ascii="宋体" w:hAnsi="Times New Roman" w:eastAsia="宋体" w:cs="Times New Roman"/>
      <w:color w:val="000000"/>
      <w:sz w:val="28"/>
      <w:szCs w:val="28"/>
    </w:rPr>
  </w:style>
  <w:style w:type="character" w:styleId="806" w:customStyle="1">
    <w:name w:val="标题 6 字符"/>
    <w:link w:val="706"/>
    <w:uiPriority w:val="9"/>
    <w:qFormat/>
    <w:rPr>
      <w:rFonts w:ascii="Arial" w:hAnsi="Arial" w:eastAsia="黑体"/>
      <w:b/>
      <w:bCs/>
      <w:sz w:val="24"/>
      <w:szCs w:val="24"/>
    </w:rPr>
  </w:style>
  <w:style w:type="character" w:styleId="807" w:customStyle="1">
    <w:name w:val="标题 7 字符"/>
    <w:link w:val="707"/>
    <w:uiPriority w:val="9"/>
    <w:qFormat/>
    <w:rPr>
      <w:rFonts w:ascii="Times New Roman" w:hAnsi="Times New Roman"/>
      <w:b/>
      <w:bCs/>
      <w:sz w:val="24"/>
      <w:szCs w:val="24"/>
    </w:rPr>
  </w:style>
  <w:style w:type="character" w:styleId="808" w:customStyle="1">
    <w:name w:val="标题 8 字符"/>
    <w:link w:val="708"/>
    <w:uiPriority w:val="9"/>
    <w:qFormat/>
    <w:rPr>
      <w:rFonts w:ascii="Arial" w:hAnsi="Arial" w:eastAsia="黑体"/>
      <w:sz w:val="24"/>
      <w:szCs w:val="24"/>
    </w:rPr>
  </w:style>
  <w:style w:type="character" w:styleId="809" w:customStyle="1">
    <w:name w:val="标题 9 字符"/>
    <w:link w:val="709"/>
    <w:uiPriority w:val="9"/>
    <w:qFormat/>
    <w:rPr>
      <w:rFonts w:ascii="Arial" w:hAnsi="Arial" w:eastAsia="黑体"/>
      <w:sz w:val="21"/>
      <w:szCs w:val="21"/>
    </w:rPr>
  </w:style>
  <w:style w:type="character" w:styleId="810" w:customStyle="1">
    <w:name w:val="Heading 1 Char"/>
    <w:uiPriority w:val="9"/>
    <w:qFormat/>
    <w:rPr>
      <w:rFonts w:ascii="Arial" w:hAnsi="Arial" w:eastAsia="Arial" w:cs="Arial"/>
      <w:sz w:val="40"/>
      <w:szCs w:val="40"/>
    </w:rPr>
  </w:style>
  <w:style w:type="character" w:styleId="811" w:customStyle="1">
    <w:name w:val="Heading 4 Char"/>
    <w:uiPriority w:val="9"/>
    <w:qFormat/>
    <w:rPr>
      <w:rFonts w:ascii="Arial" w:hAnsi="Arial" w:eastAsia="Arial" w:cs="Arial"/>
      <w:b/>
      <w:bCs/>
      <w:sz w:val="26"/>
      <w:szCs w:val="26"/>
    </w:rPr>
  </w:style>
  <w:style w:type="character" w:styleId="812" w:customStyle="1">
    <w:name w:val="Heading 5 Char"/>
    <w:uiPriority w:val="9"/>
    <w:qFormat/>
    <w:rPr>
      <w:rFonts w:ascii="Arial" w:hAnsi="Arial" w:eastAsia="Arial" w:cs="Arial"/>
      <w:b/>
      <w:bCs/>
      <w:sz w:val="24"/>
      <w:szCs w:val="24"/>
    </w:rPr>
  </w:style>
  <w:style w:type="character" w:styleId="813" w:customStyle="1">
    <w:name w:val="Heading 6 Char"/>
    <w:uiPriority w:val="9"/>
    <w:qFormat/>
    <w:rPr>
      <w:rFonts w:ascii="Arial" w:hAnsi="Arial" w:eastAsia="Arial" w:cs="Arial"/>
      <w:b/>
      <w:bCs/>
      <w:sz w:val="22"/>
      <w:szCs w:val="22"/>
    </w:rPr>
  </w:style>
  <w:style w:type="character" w:styleId="814" w:customStyle="1">
    <w:name w:val="Heading 7 Char"/>
    <w:uiPriority w:val="9"/>
    <w:qFormat/>
    <w:rPr>
      <w:rFonts w:ascii="Arial" w:hAnsi="Arial" w:eastAsia="Arial" w:cs="Arial"/>
      <w:b/>
      <w:bCs/>
      <w:i/>
      <w:iCs/>
      <w:sz w:val="22"/>
      <w:szCs w:val="22"/>
    </w:rPr>
  </w:style>
  <w:style w:type="character" w:styleId="815" w:customStyle="1">
    <w:name w:val="Heading 8 Char"/>
    <w:uiPriority w:val="9"/>
    <w:qFormat/>
    <w:rPr>
      <w:rFonts w:ascii="Arial" w:hAnsi="Arial" w:eastAsia="Arial" w:cs="Arial"/>
      <w:i/>
      <w:iCs/>
      <w:sz w:val="22"/>
      <w:szCs w:val="22"/>
    </w:rPr>
  </w:style>
  <w:style w:type="character" w:styleId="816" w:customStyle="1">
    <w:name w:val="Heading 9 Char"/>
    <w:uiPriority w:val="9"/>
    <w:qFormat/>
    <w:rPr>
      <w:rFonts w:ascii="Arial" w:hAnsi="Arial" w:eastAsia="Arial" w:cs="Arial"/>
      <w:i/>
      <w:iCs/>
      <w:sz w:val="21"/>
      <w:szCs w:val="21"/>
    </w:rPr>
  </w:style>
  <w:style w:type="character" w:styleId="817" w:customStyle="1">
    <w:name w:val="Title Char"/>
    <w:uiPriority w:val="10"/>
    <w:qFormat/>
    <w:rPr>
      <w:sz w:val="48"/>
      <w:szCs w:val="48"/>
    </w:rPr>
  </w:style>
  <w:style w:type="character" w:styleId="818" w:customStyle="1">
    <w:name w:val="Subtitle Char"/>
    <w:uiPriority w:val="11"/>
    <w:qFormat/>
    <w:rPr>
      <w:sz w:val="24"/>
      <w:szCs w:val="24"/>
    </w:rPr>
  </w:style>
  <w:style w:type="character" w:styleId="819" w:customStyle="1">
    <w:name w:val="引用 字符"/>
    <w:link w:val="780"/>
    <w:uiPriority w:val="29"/>
    <w:qFormat/>
    <w:rPr>
      <w:rFonts w:ascii="等线" w:hAnsi="等线"/>
      <w:i/>
      <w:sz w:val="21"/>
      <w:szCs w:val="22"/>
    </w:rPr>
  </w:style>
  <w:style w:type="character" w:styleId="820" w:customStyle="1">
    <w:name w:val="Quote Char"/>
    <w:uiPriority w:val="29"/>
    <w:qFormat/>
    <w:rPr>
      <w:i/>
    </w:rPr>
  </w:style>
  <w:style w:type="character" w:styleId="821" w:customStyle="1">
    <w:name w:val="明显引用 字符"/>
    <w:link w:val="781"/>
    <w:uiPriority w:val="30"/>
    <w:qFormat/>
    <w:rPr>
      <w:rFonts w:ascii="等线" w:hAnsi="等线"/>
      <w:i/>
      <w:sz w:val="21"/>
      <w:szCs w:val="22"/>
      <w:shd w:val="clear" w:color="auto" w:fill="f2f2f2"/>
    </w:rPr>
  </w:style>
  <w:style w:type="character" w:styleId="822" w:customStyle="1">
    <w:name w:val="Intense Quote Char"/>
    <w:uiPriority w:val="30"/>
    <w:qFormat/>
    <w:rPr>
      <w:i/>
    </w:rPr>
  </w:style>
  <w:style w:type="paragraph" w:styleId="823" w:customStyle="1">
    <w:name w:val="Header1"/>
    <w:basedOn w:val="700"/>
    <w:link w:val="824"/>
    <w:uiPriority w:val="99"/>
    <w:qFormat/>
    <w:pPr>
      <w:jc w:val="center"/>
      <w:tabs>
        <w:tab w:val="center" w:pos="4153" w:leader="none"/>
        <w:tab w:val="right" w:pos="8306" w:leader="none"/>
      </w:tabs>
      <w:pBdr>
        <w:bottom w:val="single" w:color="000000" w:sz="6" w:space="1"/>
      </w:pBdr>
    </w:pPr>
    <w:rPr>
      <w:sz w:val="18"/>
      <w:szCs w:val="18"/>
    </w:rPr>
  </w:style>
  <w:style w:type="character" w:styleId="824" w:customStyle="1">
    <w:name w:val="页眉 字符"/>
    <w:link w:val="823"/>
    <w:uiPriority w:val="99"/>
    <w:qFormat/>
    <w:rPr>
      <w:rFonts w:ascii="Times New Roman" w:hAnsi="Times New Roman" w:eastAsia="宋体" w:cs="Times New Roman"/>
      <w:sz w:val="18"/>
      <w:szCs w:val="18"/>
    </w:rPr>
  </w:style>
  <w:style w:type="character" w:styleId="825" w:customStyle="1">
    <w:name w:val="Header Char"/>
    <w:uiPriority w:val="99"/>
    <w:qFormat/>
  </w:style>
  <w:style w:type="paragraph" w:styleId="826" w:customStyle="1">
    <w:name w:val="Footer1"/>
    <w:basedOn w:val="700"/>
    <w:link w:val="827"/>
    <w:uiPriority w:val="99"/>
    <w:qFormat/>
    <w:pPr>
      <w:jc w:val="left"/>
      <w:tabs>
        <w:tab w:val="center" w:pos="4153" w:leader="none"/>
        <w:tab w:val="right" w:pos="8306" w:leader="none"/>
      </w:tabs>
    </w:pPr>
    <w:rPr>
      <w:sz w:val="18"/>
      <w:szCs w:val="18"/>
    </w:rPr>
  </w:style>
  <w:style w:type="character" w:styleId="827" w:customStyle="1">
    <w:name w:val="页脚 字符"/>
    <w:link w:val="826"/>
    <w:uiPriority w:val="99"/>
    <w:qFormat/>
    <w:rPr>
      <w:rFonts w:ascii="Times New Roman" w:hAnsi="Times New Roman" w:eastAsia="宋体" w:cs="Times New Roman"/>
      <w:sz w:val="18"/>
      <w:szCs w:val="18"/>
    </w:rPr>
  </w:style>
  <w:style w:type="paragraph" w:styleId="828" w:customStyle="1">
    <w:name w:val="Caption1"/>
    <w:basedOn w:val="700"/>
    <w:next w:val="700"/>
    <w:uiPriority w:val="35"/>
    <w:unhideWhenUsed/>
    <w:qFormat/>
    <w:pPr>
      <w:spacing w:line="276" w:lineRule="auto"/>
    </w:pPr>
    <w:rPr>
      <w:b/>
      <w:bCs/>
      <w:color w:val="4f81bd"/>
      <w:sz w:val="18"/>
      <w:szCs w:val="18"/>
    </w:rPr>
  </w:style>
  <w:style w:type="character" w:styleId="829" w:customStyle="1">
    <w:name w:val="页脚 字符1"/>
    <w:link w:val="731"/>
    <w:uiPriority w:val="99"/>
    <w:qFormat/>
  </w:style>
  <w:style w:type="character" w:styleId="830" w:customStyle="1">
    <w:name w:val="Footnote Text Char"/>
    <w:uiPriority w:val="99"/>
    <w:qFormat/>
    <w:rPr>
      <w:sz w:val="18"/>
    </w:rPr>
  </w:style>
  <w:style w:type="character" w:styleId="831" w:customStyle="1">
    <w:name w:val="Endnote Text Char"/>
    <w:uiPriority w:val="99"/>
    <w:qFormat/>
    <w:rPr>
      <w:sz w:val="20"/>
    </w:rPr>
  </w:style>
  <w:style w:type="character" w:styleId="832" w:customStyle="1">
    <w:name w:val="Footer Char"/>
    <w:uiPriority w:val="99"/>
    <w:qFormat/>
  </w:style>
  <w:style w:type="character" w:styleId="833" w:customStyle="1">
    <w:name w:val="Heading 2 Char"/>
    <w:uiPriority w:val="9"/>
    <w:qFormat/>
    <w:rPr>
      <w:rFonts w:ascii="Arial" w:hAnsi="Arial" w:eastAsia="Arial" w:cs="Arial"/>
      <w:sz w:val="34"/>
    </w:rPr>
  </w:style>
  <w:style w:type="character" w:styleId="834" w:customStyle="1">
    <w:name w:val="正文首行缩进 Char"/>
    <w:link w:val="835"/>
    <w:qFormat/>
    <w:rPr>
      <w:rFonts w:ascii="仿宋_GB2312" w:hAnsi="Times New Roman" w:eastAsia="仿宋_GB2312" w:cs="Times New Roman"/>
      <w:sz w:val="30"/>
      <w:szCs w:val="30"/>
    </w:rPr>
  </w:style>
  <w:style w:type="paragraph" w:styleId="835" w:customStyle="1">
    <w:name w:val="正文首行缩进1"/>
    <w:basedOn w:val="700"/>
    <w:link w:val="834"/>
    <w:qFormat/>
    <w:pPr>
      <w:ind w:firstLine="200"/>
      <w:spacing w:line="360" w:lineRule="auto"/>
    </w:pPr>
    <w:rPr>
      <w:rFonts w:ascii="仿宋_GB2312" w:eastAsia="仿宋_GB2312"/>
      <w:sz w:val="30"/>
      <w:szCs w:val="30"/>
    </w:rPr>
  </w:style>
  <w:style w:type="character" w:styleId="836" w:customStyle="1">
    <w:name w:val="二级目录 Char"/>
    <w:link w:val="837"/>
    <w:qFormat/>
    <w:rPr>
      <w:b/>
      <w:sz w:val="30"/>
      <w:szCs w:val="28"/>
    </w:rPr>
  </w:style>
  <w:style w:type="paragraph" w:styleId="837" w:customStyle="1">
    <w:name w:val="二级目录"/>
    <w:next w:val="700"/>
    <w:link w:val="836"/>
    <w:qFormat/>
    <w:pPr>
      <w:numPr>
        <w:numId w:val="2"/>
      </w:numPr>
      <w:tabs>
        <w:tab w:val="left" w:pos="1145" w:leader="none"/>
      </w:tabs>
      <w:outlineLvl w:val="1"/>
    </w:pPr>
    <w:rPr>
      <w:b/>
      <w:sz w:val="30"/>
      <w:szCs w:val="28"/>
    </w:rPr>
  </w:style>
  <w:style w:type="character" w:styleId="838" w:customStyle="1">
    <w:name w:val="Heading 3 Char"/>
    <w:uiPriority w:val="9"/>
    <w:rPr>
      <w:rFonts w:ascii="Arial" w:hAnsi="Arial" w:eastAsia="Arial" w:cs="Arial"/>
      <w:sz w:val="30"/>
      <w:szCs w:val="30"/>
    </w:rPr>
  </w:style>
  <w:style w:type="character" w:styleId="839" w:customStyle="1">
    <w:name w:val="正文首行缩进 2 Char"/>
    <w:link w:val="840"/>
    <w:qFormat/>
    <w:rPr>
      <w:rFonts w:ascii="宋体" w:hAnsi="宋体" w:eastAsia="宋体" w:cs="Times New Roman"/>
      <w:sz w:val="32"/>
      <w:szCs w:val="20"/>
    </w:rPr>
  </w:style>
  <w:style w:type="paragraph" w:styleId="840" w:customStyle="1">
    <w:name w:val="正文首行缩进 21"/>
    <w:basedOn w:val="721"/>
    <w:link w:val="839"/>
    <w:qFormat/>
    <w:pPr>
      <w:ind w:firstLine="420"/>
      <w:spacing w:line="360" w:lineRule="auto"/>
    </w:pPr>
    <w:rPr>
      <w:rFonts w:ascii="宋体" w:hAnsi="宋体" w:eastAsia="宋体"/>
      <w:sz w:val="21"/>
      <w:szCs w:val="20"/>
    </w:rPr>
  </w:style>
  <w:style w:type="character" w:styleId="841" w:customStyle="1">
    <w:name w:val="font5 Char"/>
    <w:qFormat/>
    <w:rPr>
      <w:rFonts w:ascii="宋体" w:hAnsi="宋体" w:eastAsia="宋体"/>
      <w:sz w:val="28"/>
      <w:szCs w:val="28"/>
      <w:lang w:val="en-US" w:eastAsia="zh-CN" w:bidi="ar-SA"/>
    </w:rPr>
  </w:style>
  <w:style w:type="character" w:styleId="842" w:customStyle="1">
    <w:name w:val="列出段落 Char"/>
    <w:link w:val="843"/>
    <w:qFormat/>
    <w:rPr>
      <w:rFonts w:ascii="Calibri" w:hAnsi="Calibri"/>
      <w:sz w:val="24"/>
      <w:szCs w:val="24"/>
      <w:lang w:eastAsia="en-US" w:bidi="en-US"/>
    </w:rPr>
  </w:style>
  <w:style w:type="paragraph" w:styleId="843" w:customStyle="1">
    <w:name w:val="列出段落1"/>
    <w:basedOn w:val="700"/>
    <w:link w:val="842"/>
    <w:qFormat/>
    <w:pPr>
      <w:contextualSpacing/>
      <w:ind w:left="720"/>
      <w:jc w:val="left"/>
      <w:widowControl/>
    </w:pPr>
    <w:rPr>
      <w:rFonts w:ascii="Calibri" w:hAnsi="Calibri"/>
      <w:sz w:val="24"/>
      <w:szCs w:val="24"/>
      <w:lang w:eastAsia="en-US" w:bidi="en-US"/>
    </w:rPr>
  </w:style>
  <w:style w:type="character" w:styleId="844" w:customStyle="1">
    <w:name w:val="标题5 Char"/>
    <w:link w:val="845"/>
    <w:qFormat/>
    <w:rPr>
      <w:szCs w:val="24"/>
    </w:rPr>
  </w:style>
  <w:style w:type="paragraph" w:styleId="845" w:customStyle="1">
    <w:name w:val="标题5"/>
    <w:basedOn w:val="700"/>
    <w:link w:val="844"/>
    <w:qFormat/>
    <w:pPr>
      <w:ind w:left="990" w:hanging="990"/>
      <w:spacing w:before="100" w:beforeAutospacing="1" w:after="100" w:afterAutospacing="1"/>
      <w:outlineLvl w:val="4"/>
    </w:pPr>
    <w:rPr>
      <w:rFonts w:ascii="Calibri" w:hAnsi="Calibri"/>
      <w:sz w:val="20"/>
      <w:szCs w:val="24"/>
    </w:rPr>
  </w:style>
  <w:style w:type="character" w:styleId="846" w:customStyle="1">
    <w:name w:val="纯文本 字符"/>
    <w:rPr>
      <w:rFonts w:ascii="宋体" w:hAnsi="Courier New" w:eastAsia="宋体" w:cs="Courier New"/>
      <w:szCs w:val="21"/>
    </w:rPr>
  </w:style>
  <w:style w:type="paragraph" w:styleId="847" w:customStyle="1">
    <w:name w:val="目录 31"/>
    <w:basedOn w:val="700"/>
    <w:next w:val="700"/>
    <w:semiHidden/>
    <w:qFormat/>
    <w:pPr>
      <w:ind w:left="420"/>
      <w:jc w:val="left"/>
    </w:pPr>
    <w:rPr>
      <w:i/>
      <w:iCs/>
      <w:szCs w:val="24"/>
    </w:rPr>
  </w:style>
  <w:style w:type="paragraph" w:styleId="848" w:customStyle="1">
    <w:name w:val="目录 21"/>
    <w:basedOn w:val="700"/>
    <w:next w:val="700"/>
    <w:semiHidden/>
    <w:qFormat/>
    <w:pPr>
      <w:ind w:left="210"/>
      <w:jc w:val="left"/>
    </w:pPr>
    <w:rPr>
      <w:smallCaps/>
      <w:szCs w:val="24"/>
    </w:rPr>
  </w:style>
  <w:style w:type="paragraph" w:styleId="849" w:customStyle="1">
    <w:name w:val="目录 81"/>
    <w:basedOn w:val="700"/>
    <w:next w:val="700"/>
    <w:semiHidden/>
    <w:qFormat/>
    <w:pPr>
      <w:ind w:left="1470"/>
      <w:jc w:val="left"/>
    </w:pPr>
  </w:style>
  <w:style w:type="paragraph" w:styleId="850" w:customStyle="1">
    <w:name w:val="目录 91"/>
    <w:basedOn w:val="700"/>
    <w:next w:val="700"/>
    <w:semiHidden/>
    <w:qFormat/>
    <w:pPr>
      <w:ind w:left="1680"/>
      <w:jc w:val="left"/>
    </w:pPr>
  </w:style>
  <w:style w:type="paragraph" w:styleId="851" w:customStyle="1">
    <w:name w:val="目录 71"/>
    <w:basedOn w:val="700"/>
    <w:next w:val="700"/>
    <w:semiHidden/>
    <w:qFormat/>
    <w:pPr>
      <w:ind w:left="1260"/>
      <w:jc w:val="left"/>
    </w:pPr>
  </w:style>
  <w:style w:type="paragraph" w:styleId="852" w:customStyle="1">
    <w:name w:val="标题3"/>
    <w:basedOn w:val="700"/>
    <w:next w:val="700"/>
    <w:qFormat/>
    <w:pPr>
      <w:ind w:firstLine="624"/>
      <w:spacing w:line="590" w:lineRule="atLeast"/>
    </w:pPr>
    <w:rPr>
      <w:rFonts w:ascii="方正黑体_GBK" w:eastAsia="方正黑体_GBK"/>
      <w:sz w:val="32"/>
      <w:szCs w:val="32"/>
    </w:rPr>
  </w:style>
  <w:style w:type="paragraph" w:styleId="853" w:customStyle="1">
    <w:name w:val="标题1"/>
    <w:basedOn w:val="700"/>
    <w:next w:val="70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54" w:customStyle="1">
    <w:name w:val="目录 11"/>
    <w:basedOn w:val="700"/>
    <w:next w:val="700"/>
    <w:semiHidden/>
    <w:qFormat/>
    <w:pPr>
      <w:jc w:val="left"/>
      <w:spacing w:before="120" w:after="120" w:line="400" w:lineRule="exact"/>
      <w:tabs>
        <w:tab w:val="right" w:pos="8720" w:leader="dot"/>
      </w:tabs>
    </w:pPr>
    <w:rPr>
      <w:rFonts w:ascii="宋体" w:hAnsi="宋体"/>
      <w:caps/>
      <w:sz w:val="24"/>
      <w:szCs w:val="24"/>
    </w:rPr>
  </w:style>
  <w:style w:type="paragraph" w:styleId="855" w:customStyle="1">
    <w:name w:val="目录 41"/>
    <w:basedOn w:val="700"/>
    <w:next w:val="700"/>
    <w:semiHidden/>
    <w:qFormat/>
    <w:pPr>
      <w:ind w:left="630"/>
      <w:jc w:val="left"/>
    </w:pPr>
  </w:style>
  <w:style w:type="paragraph" w:styleId="856" w:customStyle="1">
    <w:name w:val="目录 61"/>
    <w:basedOn w:val="700"/>
    <w:next w:val="700"/>
    <w:semiHidden/>
    <w:qFormat/>
    <w:pPr>
      <w:ind w:left="1050"/>
      <w:jc w:val="left"/>
    </w:pPr>
  </w:style>
  <w:style w:type="paragraph" w:styleId="857" w:customStyle="1">
    <w:name w:val="目录 51"/>
    <w:basedOn w:val="700"/>
    <w:next w:val="700"/>
    <w:semiHidden/>
    <w:qFormat/>
    <w:pPr>
      <w:ind w:left="840"/>
      <w:jc w:val="left"/>
    </w:pPr>
  </w:style>
  <w:style w:type="paragraph" w:styleId="858" w:customStyle="1">
    <w:name w:val="Char"/>
    <w:basedOn w:val="700"/>
    <w:qFormat/>
    <w:pPr>
      <w:ind w:firstLine="200"/>
      <w:tabs>
        <w:tab w:val="left" w:pos="360" w:leader="none"/>
      </w:tabs>
    </w:pPr>
    <w:rPr>
      <w:sz w:val="28"/>
      <w:szCs w:val="30"/>
    </w:rPr>
  </w:style>
  <w:style w:type="paragraph" w:styleId="859" w:customStyle="1">
    <w:name w:val="xl30"/>
    <w:basedOn w:val="700"/>
    <w:qFormat/>
    <w:pPr>
      <w:jc w:val="center"/>
      <w:spacing w:before="100" w:beforeAutospacing="1" w:after="100" w:afterAutospacing="1"/>
      <w:widowControl/>
    </w:pPr>
    <w:rPr>
      <w:rFonts w:ascii="宋体" w:hAnsi="宋体"/>
      <w:b/>
      <w:bCs/>
      <w:sz w:val="36"/>
      <w:szCs w:val="36"/>
    </w:rPr>
  </w:style>
  <w:style w:type="paragraph" w:styleId="860" w:customStyle="1">
    <w:name w:val="Body Text(ch)"/>
    <w:basedOn w:val="700"/>
    <w:next w:val="720"/>
    <w:qFormat/>
    <w:pPr>
      <w:spacing w:after="120"/>
    </w:pPr>
    <w:rPr>
      <w:rFonts w:ascii="宋体" w:hAnsi="Arial"/>
      <w:bCs/>
      <w:iCs/>
      <w:szCs w:val="24"/>
    </w:rPr>
  </w:style>
  <w:style w:type="paragraph" w:styleId="861" w:customStyle="1">
    <w:name w:val="xl28"/>
    <w:basedOn w:val="70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62" w:customStyle="1">
    <w:name w:val="xl27"/>
    <w:basedOn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3" w:customStyle="1">
    <w:name w:val="xl26"/>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4" w:customStyle="1">
    <w:name w:val="Char_0"/>
    <w:basedOn w:val="717"/>
    <w:qFormat/>
    <w:rPr>
      <w:rFonts w:ascii="Tahoma" w:hAnsi="Tahoma"/>
      <w:sz w:val="24"/>
      <w:szCs w:val="24"/>
    </w:rPr>
  </w:style>
  <w:style w:type="paragraph" w:styleId="865" w:customStyle="1">
    <w:name w:val="普通正文"/>
    <w:basedOn w:val="700"/>
    <w:qFormat/>
    <w:pPr>
      <w:ind w:firstLine="480"/>
      <w:jc w:val="left"/>
      <w:spacing w:before="120" w:after="120" w:line="360" w:lineRule="auto"/>
    </w:pPr>
    <w:rPr>
      <w:rFonts w:ascii="Arial" w:hAnsi="Arial"/>
      <w:sz w:val="24"/>
      <w:szCs w:val="24"/>
    </w:rPr>
  </w:style>
  <w:style w:type="paragraph" w:styleId="866" w:customStyle="1">
    <w:name w:val="table_lines"/>
    <w:basedOn w:val="700"/>
    <w:qFormat/>
    <w:pPr>
      <w:jc w:val="left"/>
      <w:widowControl/>
    </w:pPr>
    <w:rPr>
      <w:sz w:val="20"/>
      <w:szCs w:val="20"/>
      <w:lang w:val="de-DE" w:eastAsia="de-DE"/>
    </w:rPr>
  </w:style>
  <w:style w:type="paragraph" w:styleId="867"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868" w:customStyle="1">
    <w:name w:val="font7"/>
    <w:basedOn w:val="700"/>
    <w:qFormat/>
    <w:pPr>
      <w:jc w:val="left"/>
      <w:spacing w:before="100" w:beforeAutospacing="1" w:after="100" w:afterAutospacing="1"/>
      <w:widowControl/>
    </w:pPr>
    <w:rPr>
      <w:rFonts w:hint="eastAsia" w:ascii="宋体" w:hAnsi="宋体"/>
      <w:sz w:val="18"/>
      <w:szCs w:val="18"/>
    </w:rPr>
  </w:style>
  <w:style w:type="paragraph" w:styleId="869" w:customStyle="1">
    <w:name w:val="Char Char Char Char"/>
    <w:basedOn w:val="717"/>
    <w:qFormat/>
    <w:pPr>
      <w:spacing w:line="360" w:lineRule="auto"/>
    </w:pPr>
    <w:rPr>
      <w:rFonts w:ascii="Tahoma" w:hAnsi="Tahoma"/>
      <w:sz w:val="24"/>
      <w:szCs w:val="24"/>
    </w:rPr>
  </w:style>
  <w:style w:type="paragraph" w:styleId="870" w:customStyle="1">
    <w:name w:val="列出段落2"/>
    <w:basedOn w:val="700"/>
    <w:qFormat/>
    <w:pPr>
      <w:contextualSpacing/>
      <w:ind w:left="720"/>
      <w:jc w:val="left"/>
      <w:widowControl/>
    </w:pPr>
    <w:rPr>
      <w:rFonts w:ascii="Calibri" w:hAnsi="Calibri"/>
      <w:sz w:val="24"/>
      <w:szCs w:val="24"/>
      <w:lang w:eastAsia="en-US" w:bidi="en-US"/>
    </w:rPr>
  </w:style>
  <w:style w:type="paragraph" w:styleId="871" w:customStyle="1">
    <w:name w:val="4"/>
    <w:basedOn w:val="700"/>
    <w:next w:val="739"/>
    <w:qFormat/>
    <w:pPr>
      <w:ind w:firstLine="420"/>
      <w:spacing w:line="360" w:lineRule="auto"/>
    </w:pPr>
    <w:rPr>
      <w:color w:val="ff0000"/>
      <w:sz w:val="24"/>
      <w:szCs w:val="24"/>
    </w:rPr>
  </w:style>
  <w:style w:type="paragraph" w:styleId="872" w:customStyle="1">
    <w:name w:val="普通 (Web)"/>
    <w:basedOn w:val="700"/>
    <w:qFormat/>
    <w:pPr>
      <w:jc w:val="left"/>
      <w:spacing w:before="100" w:beforeAutospacing="1" w:after="100" w:afterAutospacing="1"/>
      <w:widowControl/>
    </w:pPr>
    <w:rPr>
      <w:rFonts w:ascii="宋体" w:hAnsi="宋体"/>
      <w:sz w:val="24"/>
      <w:szCs w:val="24"/>
    </w:rPr>
  </w:style>
  <w:style w:type="paragraph" w:styleId="873" w:customStyle="1">
    <w:name w:val="Char Char Char Char Char Char Char Char Char Char"/>
    <w:basedOn w:val="700"/>
    <w:qFormat/>
    <w:pPr>
      <w:spacing w:line="360" w:lineRule="auto"/>
    </w:pPr>
    <w:rPr>
      <w:sz w:val="24"/>
      <w:szCs w:val="20"/>
    </w:rPr>
  </w:style>
  <w:style w:type="paragraph" w:styleId="874" w:customStyle="1">
    <w:name w:val="样式1"/>
    <w:basedOn w:val="700"/>
    <w:qFormat/>
    <w:pPr>
      <w:numPr>
        <w:numId w:val="3"/>
      </w:numPr>
    </w:pPr>
    <w:rPr>
      <w:rFonts w:ascii="宋体" w:hAnsi="宋体"/>
    </w:rPr>
  </w:style>
  <w:style w:type="paragraph" w:styleId="875" w:customStyle="1">
    <w:name w:val="font6"/>
    <w:basedOn w:val="700"/>
    <w:qFormat/>
    <w:pPr>
      <w:jc w:val="left"/>
      <w:spacing w:before="100" w:beforeAutospacing="1" w:after="100" w:afterAutospacing="1"/>
      <w:widowControl/>
    </w:pPr>
    <w:rPr>
      <w:rFonts w:hint="eastAsia" w:ascii="宋体" w:hAnsi="宋体"/>
      <w:sz w:val="28"/>
      <w:szCs w:val="28"/>
      <w:u w:val="single"/>
    </w:rPr>
  </w:style>
  <w:style w:type="paragraph" w:styleId="876" w:customStyle="1">
    <w:name w:val="xl25"/>
    <w:basedOn w:val="70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7" w:customStyle="1">
    <w:name w:val="图标"/>
    <w:basedOn w:val="700"/>
    <w:next w:val="70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78" w:customStyle="1">
    <w:name w:val="xl24"/>
    <w:basedOn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9" w:customStyle="1">
    <w:name w:val="xl29"/>
    <w:basedOn w:val="70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0" w:customStyle="1">
    <w:name w:val="Char Char Char Char Char Char Char Char"/>
    <w:basedOn w:val="700"/>
    <w:qFormat/>
    <w:pPr>
      <w:jc w:val="left"/>
      <w:spacing w:after="160" w:line="240" w:lineRule="exact"/>
      <w:widowControl/>
    </w:pPr>
    <w:rPr>
      <w:rFonts w:ascii="Verdana" w:hAnsi="Verdana"/>
      <w:sz w:val="20"/>
      <w:szCs w:val="20"/>
      <w:lang w:eastAsia="en-US"/>
    </w:rPr>
  </w:style>
  <w:style w:type="paragraph" w:styleId="881" w:customStyle="1">
    <w:name w:val="Char Char Char Char Char Char Char Char_0"/>
    <w:basedOn w:val="700"/>
    <w:qFormat/>
    <w:pPr>
      <w:jc w:val="left"/>
      <w:spacing w:after="160" w:line="240" w:lineRule="exact"/>
      <w:widowControl/>
    </w:pPr>
    <w:rPr>
      <w:rFonts w:ascii="Verdana" w:hAnsi="Verdana"/>
      <w:sz w:val="20"/>
      <w:szCs w:val="20"/>
      <w:lang w:eastAsia="en-US"/>
    </w:rPr>
  </w:style>
  <w:style w:type="paragraph" w:styleId="882" w:customStyle="1">
    <w:name w:val="Char Char Char Char_0"/>
    <w:basedOn w:val="717"/>
    <w:qFormat/>
    <w:pPr>
      <w:spacing w:line="360" w:lineRule="auto"/>
    </w:pPr>
    <w:rPr>
      <w:rFonts w:ascii="Tahoma" w:hAnsi="Tahoma"/>
      <w:sz w:val="24"/>
      <w:szCs w:val="24"/>
    </w:rPr>
  </w:style>
  <w:style w:type="paragraph" w:styleId="883" w:customStyle="1">
    <w:name w:val="table_1stline"/>
    <w:basedOn w:val="700"/>
    <w:qFormat/>
    <w:pPr>
      <w:jc w:val="left"/>
      <w:spacing w:before="120"/>
      <w:widowControl/>
    </w:pPr>
    <w:rPr>
      <w:bCs/>
      <w:sz w:val="20"/>
      <w:szCs w:val="20"/>
      <w:lang w:val="de-DE" w:eastAsia="de-DE"/>
    </w:rPr>
  </w:style>
  <w:style w:type="paragraph" w:styleId="884" w:customStyle="1">
    <w:name w:val="font5"/>
    <w:basedOn w:val="700"/>
    <w:qFormat/>
    <w:pPr>
      <w:jc w:val="left"/>
      <w:spacing w:before="100" w:beforeAutospacing="1" w:after="100" w:afterAutospacing="1"/>
      <w:widowControl/>
    </w:pPr>
    <w:rPr>
      <w:rFonts w:hint="eastAsia" w:ascii="宋体" w:hAnsi="宋体"/>
      <w:sz w:val="28"/>
      <w:szCs w:val="28"/>
    </w:rPr>
  </w:style>
  <w:style w:type="paragraph" w:styleId="885" w:customStyle="1">
    <w:name w:val="修订1"/>
    <w:uiPriority w:val="99"/>
    <w:semiHidden/>
    <w:qFormat/>
    <w:rPr>
      <w:rFonts w:ascii="Times New Roman" w:hAnsi="Times New Roman"/>
      <w:sz w:val="21"/>
      <w:szCs w:val="21"/>
    </w:rPr>
  </w:style>
  <w:style w:type="paragraph" w:styleId="886" w:customStyle="1">
    <w:name w:val="题注1"/>
    <w:basedOn w:val="700"/>
    <w:next w:val="700"/>
    <w:uiPriority w:val="35"/>
    <w:unhideWhenUsed/>
    <w:qFormat/>
    <w:pPr>
      <w:spacing w:line="276" w:lineRule="auto"/>
    </w:pPr>
    <w:rPr>
      <w:rFonts w:ascii="等线" w:hAnsi="等线"/>
      <w:b/>
      <w:bCs/>
      <w:color w:val="4472c4"/>
      <w:sz w:val="18"/>
      <w:szCs w:val="18"/>
    </w:rPr>
  </w:style>
  <w:style w:type="paragraph" w:styleId="887" w:customStyle="1">
    <w:name w:val="列表段落1"/>
    <w:basedOn w:val="700"/>
    <w:uiPriority w:val="34"/>
    <w:qFormat/>
    <w:pPr>
      <w:ind w:firstLine="420"/>
    </w:pPr>
    <w:rPr>
      <w:rFonts w:ascii="等线" w:hAnsi="等线"/>
      <w:szCs w:val="22"/>
    </w:rPr>
  </w:style>
  <w:style w:type="table" w:styleId="888" w:customStyle="1">
    <w:name w:val="Bordered - Accent 3"/>
    <w:basedOn w:val="711"/>
    <w:uiPriority w:val="99"/>
    <w:qFormat/>
    <w:rPr>
      <w:rFonts w:ascii="Times New Roman" w:hAnsi="Times New Roman"/>
    </w:rPr>
    <w:tblPr/>
  </w:style>
  <w:style w:type="table" w:styleId="889" w:customStyle="1">
    <w:name w:val="清单表 5 深色1_0"/>
    <w:basedOn w:val="711"/>
    <w:uiPriority w:val="99"/>
    <w:qFormat/>
    <w:rPr>
      <w:rFonts w:ascii="Times New Roman" w:hAnsi="Times New Roman"/>
    </w:rPr>
    <w:tblPr/>
  </w:style>
  <w:style w:type="table" w:styleId="890" w:customStyle="1">
    <w:name w:val="清单表 1 浅色1_0"/>
    <w:basedOn w:val="711"/>
    <w:uiPriority w:val="99"/>
    <w:qFormat/>
    <w:rPr>
      <w:rFonts w:ascii="Times New Roman" w:hAnsi="Times New Roman"/>
    </w:rPr>
    <w:tblPr/>
  </w:style>
  <w:style w:type="table" w:styleId="891" w:customStyle="1">
    <w:name w:val="Grid Table 2 - Accent 6"/>
    <w:basedOn w:val="711"/>
    <w:uiPriority w:val="99"/>
    <w:qFormat/>
    <w:rPr>
      <w:rFonts w:ascii="Times New Roman" w:hAnsi="Times New Roman"/>
    </w:rPr>
    <w:tblPr/>
  </w:style>
  <w:style w:type="table" w:styleId="892" w:customStyle="1">
    <w:name w:val="网格型1"/>
    <w:basedOn w:val="711"/>
    <w:qFormat/>
    <w:rPr>
      <w:rFonts w:ascii="Times New Roman" w:hAnsi="Times New Roman"/>
    </w:rPr>
    <w:tblPr/>
  </w:style>
  <w:style w:type="table" w:styleId="893" w:customStyle="1">
    <w:name w:val="Bordered &amp; Lined - Accent 1"/>
    <w:basedOn w:val="711"/>
    <w:uiPriority w:val="99"/>
    <w:qFormat/>
    <w:rPr>
      <w:rFonts w:ascii="Times New Roman" w:hAnsi="Times New Roman"/>
      <w:color w:val="404040"/>
    </w:rPr>
    <w:tblPr/>
  </w:style>
  <w:style w:type="table" w:styleId="894" w:customStyle="1">
    <w:name w:val="List Table 4 - Accent 2"/>
    <w:basedOn w:val="711"/>
    <w:uiPriority w:val="99"/>
    <w:qFormat/>
    <w:rPr>
      <w:rFonts w:ascii="Times New Roman" w:hAnsi="Times New Roman"/>
    </w:rPr>
    <w:tblPr/>
  </w:style>
  <w:style w:type="table" w:styleId="895" w:customStyle="1">
    <w:name w:val="网格表 7 彩色1_0"/>
    <w:basedOn w:val="711"/>
    <w:uiPriority w:val="99"/>
    <w:qFormat/>
    <w:rPr>
      <w:rFonts w:ascii="Times New Roman" w:hAnsi="Times New Roman"/>
    </w:rPr>
    <w:tblPr/>
  </w:style>
  <w:style w:type="table" w:styleId="896" w:customStyle="1">
    <w:name w:val="Grid Table 4 - Accent 3"/>
    <w:basedOn w:val="711"/>
    <w:uiPriority w:val="59"/>
    <w:qFormat/>
    <w:rPr>
      <w:rFonts w:ascii="Times New Roman" w:hAnsi="Times New Roman"/>
    </w:rPr>
    <w:tblPr/>
  </w:style>
  <w:style w:type="table" w:styleId="897" w:customStyle="1">
    <w:name w:val="Table Grid Light"/>
    <w:basedOn w:val="711"/>
    <w:uiPriority w:val="59"/>
    <w:qFormat/>
    <w:rPr>
      <w:rFonts w:ascii="Times New Roman" w:hAnsi="Times New Roman"/>
    </w:rPr>
    <w:tblPr/>
  </w:style>
  <w:style w:type="table" w:styleId="898" w:customStyle="1">
    <w:name w:val="Lined - Accent"/>
    <w:basedOn w:val="711"/>
    <w:uiPriority w:val="99"/>
    <w:qFormat/>
    <w:rPr>
      <w:rFonts w:ascii="Times New Roman" w:hAnsi="Times New Roman"/>
      <w:color w:val="404040"/>
    </w:rPr>
    <w:tblPr/>
  </w:style>
  <w:style w:type="table" w:styleId="899" w:customStyle="1">
    <w:name w:val="Grid Table 7 Colorful - Accent 5"/>
    <w:basedOn w:val="711"/>
    <w:uiPriority w:val="99"/>
    <w:qFormat/>
    <w:rPr>
      <w:rFonts w:ascii="Times New Roman" w:hAnsi="Times New Roman"/>
    </w:rPr>
    <w:tblPr/>
  </w:style>
  <w:style w:type="table" w:styleId="900" w:customStyle="1">
    <w:name w:val="Grid Table 5 Dark - Accent 3"/>
    <w:basedOn w:val="711"/>
    <w:uiPriority w:val="99"/>
    <w:qFormat/>
    <w:rPr>
      <w:rFonts w:ascii="Times New Roman" w:hAnsi="Times New Roman"/>
    </w:rPr>
    <w:tblPr/>
  </w:style>
  <w:style w:type="table" w:styleId="901" w:customStyle="1">
    <w:name w:val="无格式表格 11_0"/>
    <w:basedOn w:val="711"/>
    <w:uiPriority w:val="59"/>
    <w:qFormat/>
    <w:rPr>
      <w:rFonts w:ascii="Times New Roman" w:hAnsi="Times New Roman"/>
    </w:rPr>
    <w:tblPr/>
  </w:style>
  <w:style w:type="table" w:styleId="902" w:customStyle="1">
    <w:name w:val="Bordered - Accent 4"/>
    <w:basedOn w:val="711"/>
    <w:uiPriority w:val="99"/>
    <w:qFormat/>
    <w:rPr>
      <w:rFonts w:ascii="Times New Roman" w:hAnsi="Times New Roman"/>
    </w:rPr>
    <w:tblPr/>
  </w:style>
  <w:style w:type="table" w:styleId="903" w:customStyle="1">
    <w:name w:val="List Table 5 Dark - Accent 2"/>
    <w:basedOn w:val="711"/>
    <w:uiPriority w:val="99"/>
    <w:qFormat/>
    <w:rPr>
      <w:rFonts w:ascii="Times New Roman" w:hAnsi="Times New Roman"/>
    </w:rPr>
    <w:tblPr/>
  </w:style>
  <w:style w:type="table" w:styleId="904" w:customStyle="1">
    <w:name w:val="Grid Table 7 Colorful - Accent 1"/>
    <w:basedOn w:val="711"/>
    <w:uiPriority w:val="99"/>
    <w:qFormat/>
    <w:rPr>
      <w:rFonts w:ascii="Times New Roman" w:hAnsi="Times New Roman"/>
    </w:rPr>
    <w:tblPr/>
  </w:style>
  <w:style w:type="table" w:styleId="905" w:customStyle="1">
    <w:name w:val="Grid Table 2 - Accent 3"/>
    <w:basedOn w:val="711"/>
    <w:uiPriority w:val="99"/>
    <w:qFormat/>
    <w:rPr>
      <w:rFonts w:ascii="Times New Roman" w:hAnsi="Times New Roman"/>
    </w:rPr>
    <w:tblPr/>
  </w:style>
  <w:style w:type="table" w:styleId="906" w:customStyle="1">
    <w:name w:val="无格式表格 21_0"/>
    <w:basedOn w:val="711"/>
    <w:uiPriority w:val="59"/>
    <w:qFormat/>
    <w:rPr>
      <w:rFonts w:ascii="Times New Roman" w:hAnsi="Times New Roman"/>
    </w:rPr>
    <w:tblPr/>
  </w:style>
  <w:style w:type="table" w:styleId="907" w:customStyle="1">
    <w:name w:val="List Table 5 Dark - Accent 5"/>
    <w:basedOn w:val="711"/>
    <w:uiPriority w:val="99"/>
    <w:qFormat/>
    <w:rPr>
      <w:rFonts w:ascii="Times New Roman" w:hAnsi="Times New Roman"/>
    </w:rPr>
    <w:tblPr/>
  </w:style>
  <w:style w:type="table" w:styleId="908" w:customStyle="1">
    <w:name w:val="List Table 1 Light - Accent 1"/>
    <w:basedOn w:val="711"/>
    <w:uiPriority w:val="99"/>
    <w:qFormat/>
    <w:rPr>
      <w:rFonts w:ascii="Times New Roman" w:hAnsi="Times New Roman"/>
    </w:rPr>
    <w:tblPr/>
  </w:style>
  <w:style w:type="table" w:styleId="909" w:customStyle="1">
    <w:name w:val="Grid Table 5 Dark - Accent 2"/>
    <w:basedOn w:val="711"/>
    <w:uiPriority w:val="99"/>
    <w:qFormat/>
    <w:rPr>
      <w:rFonts w:ascii="Times New Roman" w:hAnsi="Times New Roman"/>
    </w:rPr>
    <w:tblPr/>
  </w:style>
  <w:style w:type="table" w:styleId="910" w:customStyle="1">
    <w:name w:val="无格式表格 31_0"/>
    <w:basedOn w:val="711"/>
    <w:uiPriority w:val="99"/>
    <w:qFormat/>
    <w:rPr>
      <w:rFonts w:ascii="Times New Roman" w:hAnsi="Times New Roman"/>
    </w:rPr>
    <w:tblPr/>
  </w:style>
  <w:style w:type="table" w:styleId="911" w:customStyle="1">
    <w:name w:val="清单表 41_0"/>
    <w:basedOn w:val="711"/>
    <w:uiPriority w:val="99"/>
    <w:qFormat/>
    <w:rPr>
      <w:rFonts w:ascii="Times New Roman" w:hAnsi="Times New Roman"/>
    </w:rPr>
    <w:tblPr/>
  </w:style>
  <w:style w:type="table" w:styleId="912" w:customStyle="1">
    <w:name w:val="List Table 2 - Accent 2"/>
    <w:basedOn w:val="711"/>
    <w:uiPriority w:val="99"/>
    <w:qFormat/>
    <w:rPr>
      <w:rFonts w:ascii="Times New Roman" w:hAnsi="Times New Roman"/>
    </w:rPr>
    <w:tblPr/>
  </w:style>
  <w:style w:type="table" w:styleId="913" w:customStyle="1">
    <w:name w:val="网格表 5 深色1_0"/>
    <w:basedOn w:val="711"/>
    <w:uiPriority w:val="99"/>
    <w:qFormat/>
    <w:rPr>
      <w:rFonts w:ascii="Times New Roman" w:hAnsi="Times New Roman"/>
    </w:rPr>
    <w:tblPr/>
  </w:style>
  <w:style w:type="table" w:styleId="914" w:customStyle="1">
    <w:name w:val="无格式表格 41_0"/>
    <w:basedOn w:val="711"/>
    <w:uiPriority w:val="99"/>
    <w:qFormat/>
    <w:rPr>
      <w:rFonts w:ascii="Times New Roman" w:hAnsi="Times New Roman"/>
    </w:rPr>
    <w:tblPr/>
  </w:style>
  <w:style w:type="table" w:styleId="915" w:customStyle="1">
    <w:name w:val="Bordered - Accent 6"/>
    <w:basedOn w:val="711"/>
    <w:uiPriority w:val="99"/>
    <w:qFormat/>
    <w:rPr>
      <w:rFonts w:ascii="Times New Roman" w:hAnsi="Times New Roman"/>
    </w:rPr>
    <w:tblPr/>
  </w:style>
  <w:style w:type="table" w:styleId="916" w:customStyle="1">
    <w:name w:val="List Table 7 Colorful - Accent 3"/>
    <w:basedOn w:val="711"/>
    <w:uiPriority w:val="99"/>
    <w:qFormat/>
    <w:rPr>
      <w:rFonts w:ascii="Times New Roman" w:hAnsi="Times New Roman"/>
    </w:rPr>
    <w:tblPr/>
  </w:style>
  <w:style w:type="table" w:styleId="917" w:customStyle="1">
    <w:name w:val="List Table 1 Light - Accent 2"/>
    <w:basedOn w:val="711"/>
    <w:uiPriority w:val="99"/>
    <w:qFormat/>
    <w:rPr>
      <w:rFonts w:ascii="Times New Roman" w:hAnsi="Times New Roman"/>
    </w:rPr>
    <w:tblPr/>
  </w:style>
  <w:style w:type="table" w:styleId="918" w:customStyle="1">
    <w:name w:val="Grid Table 5 Dark - Accent 5"/>
    <w:basedOn w:val="711"/>
    <w:uiPriority w:val="99"/>
    <w:qFormat/>
    <w:rPr>
      <w:rFonts w:ascii="Times New Roman" w:hAnsi="Times New Roman"/>
    </w:rPr>
    <w:tblPr/>
  </w:style>
  <w:style w:type="table" w:styleId="919" w:customStyle="1">
    <w:name w:val="无格式表格 51_0"/>
    <w:basedOn w:val="711"/>
    <w:uiPriority w:val="99"/>
    <w:qFormat/>
    <w:rPr>
      <w:rFonts w:ascii="Times New Roman" w:hAnsi="Times New Roman"/>
    </w:rPr>
    <w:tblPr/>
  </w:style>
  <w:style w:type="table" w:styleId="920" w:customStyle="1">
    <w:name w:val="List Table 7 Colorful - Accent 4"/>
    <w:basedOn w:val="711"/>
    <w:uiPriority w:val="99"/>
    <w:qFormat/>
    <w:rPr>
      <w:rFonts w:ascii="Times New Roman" w:hAnsi="Times New Roman"/>
    </w:rPr>
    <w:tblPr/>
  </w:style>
  <w:style w:type="table" w:styleId="921" w:customStyle="1">
    <w:name w:val="List Table 2 - Accent 1"/>
    <w:basedOn w:val="711"/>
    <w:uiPriority w:val="99"/>
    <w:qFormat/>
    <w:rPr>
      <w:rFonts w:ascii="Times New Roman" w:hAnsi="Times New Roman"/>
    </w:rPr>
    <w:tblPr/>
  </w:style>
  <w:style w:type="table" w:styleId="922" w:customStyle="1">
    <w:name w:val="Grid Table 5 Dark- Accent 1"/>
    <w:basedOn w:val="711"/>
    <w:uiPriority w:val="99"/>
    <w:qFormat/>
    <w:rPr>
      <w:rFonts w:ascii="Times New Roman" w:hAnsi="Times New Roman"/>
    </w:rPr>
    <w:tblPr/>
  </w:style>
  <w:style w:type="table" w:styleId="923" w:customStyle="1">
    <w:name w:val="网格表 1 浅色1_0"/>
    <w:basedOn w:val="711"/>
    <w:uiPriority w:val="99"/>
    <w:qFormat/>
    <w:rPr>
      <w:rFonts w:ascii="Times New Roman" w:hAnsi="Times New Roman"/>
    </w:rPr>
    <w:tblPr/>
  </w:style>
  <w:style w:type="table" w:styleId="924" w:customStyle="1">
    <w:name w:val="Bordered - Accent 1"/>
    <w:basedOn w:val="711"/>
    <w:uiPriority w:val="99"/>
    <w:qFormat/>
    <w:rPr>
      <w:rFonts w:ascii="Times New Roman" w:hAnsi="Times New Roman"/>
    </w:rPr>
    <w:tblPr/>
  </w:style>
  <w:style w:type="table" w:styleId="925" w:customStyle="1">
    <w:name w:val="List Table 6 Colorful - Accent 1"/>
    <w:basedOn w:val="711"/>
    <w:uiPriority w:val="99"/>
    <w:qFormat/>
    <w:rPr>
      <w:rFonts w:ascii="Times New Roman" w:hAnsi="Times New Roman"/>
    </w:rPr>
    <w:tblPr/>
  </w:style>
  <w:style w:type="table" w:styleId="926" w:customStyle="1">
    <w:name w:val="List Table 1 Light - Accent 6"/>
    <w:basedOn w:val="711"/>
    <w:uiPriority w:val="99"/>
    <w:qFormat/>
    <w:rPr>
      <w:rFonts w:ascii="Times New Roman" w:hAnsi="Times New Roman"/>
    </w:rPr>
    <w:tblPr/>
  </w:style>
  <w:style w:type="table" w:styleId="927" w:customStyle="1">
    <w:name w:val="Grid Table 2 - Accent 1"/>
    <w:basedOn w:val="711"/>
    <w:uiPriority w:val="99"/>
    <w:qFormat/>
    <w:rPr>
      <w:rFonts w:ascii="Times New Roman" w:hAnsi="Times New Roman"/>
    </w:rPr>
    <w:tblPr/>
  </w:style>
  <w:style w:type="table" w:styleId="928" w:customStyle="1">
    <w:name w:val="Grid Table 1 Light - Accent 1"/>
    <w:basedOn w:val="711"/>
    <w:uiPriority w:val="99"/>
    <w:qFormat/>
    <w:rPr>
      <w:rFonts w:ascii="Times New Roman" w:hAnsi="Times New Roman"/>
    </w:rPr>
    <w:tblPr/>
  </w:style>
  <w:style w:type="table" w:styleId="929" w:customStyle="1">
    <w:name w:val="List Table 7 Colorful - Accent 1"/>
    <w:basedOn w:val="711"/>
    <w:uiPriority w:val="99"/>
    <w:qFormat/>
    <w:rPr>
      <w:rFonts w:ascii="Times New Roman" w:hAnsi="Times New Roman"/>
    </w:rPr>
    <w:tblPr/>
  </w:style>
  <w:style w:type="table" w:styleId="930" w:customStyle="1">
    <w:name w:val="List Table 2 - Accent 5"/>
    <w:basedOn w:val="711"/>
    <w:uiPriority w:val="99"/>
    <w:qFormat/>
    <w:rPr>
      <w:rFonts w:ascii="Times New Roman" w:hAnsi="Times New Roman"/>
    </w:rPr>
    <w:tblPr/>
  </w:style>
  <w:style w:type="table" w:styleId="931" w:customStyle="1">
    <w:name w:val="Grid Table 5 Dark- Accent 4"/>
    <w:basedOn w:val="711"/>
    <w:uiPriority w:val="99"/>
    <w:qFormat/>
    <w:rPr>
      <w:rFonts w:ascii="Times New Roman" w:hAnsi="Times New Roman"/>
    </w:rPr>
    <w:tblPr/>
  </w:style>
  <w:style w:type="table" w:styleId="932" w:customStyle="1">
    <w:name w:val="Grid Table 1 Light - Accent 2"/>
    <w:basedOn w:val="711"/>
    <w:uiPriority w:val="99"/>
    <w:qFormat/>
    <w:rPr>
      <w:rFonts w:ascii="Times New Roman" w:hAnsi="Times New Roman"/>
    </w:rPr>
    <w:tblPr/>
  </w:style>
  <w:style w:type="table" w:styleId="933" w:customStyle="1">
    <w:name w:val="Bordered - Accent 5"/>
    <w:basedOn w:val="711"/>
    <w:uiPriority w:val="99"/>
    <w:qFormat/>
    <w:rPr>
      <w:rFonts w:ascii="Times New Roman" w:hAnsi="Times New Roman"/>
    </w:rPr>
    <w:tblPr/>
  </w:style>
  <w:style w:type="table" w:styleId="934" w:customStyle="1">
    <w:name w:val="List Table 7 Colorful - Accent 2"/>
    <w:basedOn w:val="711"/>
    <w:uiPriority w:val="99"/>
    <w:qFormat/>
    <w:rPr>
      <w:rFonts w:ascii="Times New Roman" w:hAnsi="Times New Roman"/>
    </w:rPr>
    <w:tblPr/>
  </w:style>
  <w:style w:type="table" w:styleId="935" w:customStyle="1">
    <w:name w:val="List Table 3 - Accent 1"/>
    <w:basedOn w:val="711"/>
    <w:uiPriority w:val="99"/>
    <w:qFormat/>
    <w:rPr>
      <w:rFonts w:ascii="Times New Roman" w:hAnsi="Times New Roman"/>
    </w:rPr>
    <w:tblPr/>
  </w:style>
  <w:style w:type="table" w:styleId="936" w:customStyle="1">
    <w:name w:val="Grid Table 1 Light - Accent 6"/>
    <w:basedOn w:val="711"/>
    <w:uiPriority w:val="99"/>
    <w:qFormat/>
    <w:rPr>
      <w:rFonts w:ascii="Times New Roman" w:hAnsi="Times New Roman"/>
    </w:rPr>
    <w:tblPr/>
  </w:style>
  <w:style w:type="table" w:styleId="937" w:customStyle="1">
    <w:name w:val="Grid Table 1 Light - Accent 3"/>
    <w:basedOn w:val="711"/>
    <w:uiPriority w:val="99"/>
    <w:qFormat/>
    <w:rPr>
      <w:rFonts w:ascii="Times New Roman" w:hAnsi="Times New Roman"/>
    </w:rPr>
    <w:tblPr/>
  </w:style>
  <w:style w:type="table" w:styleId="938" w:customStyle="1">
    <w:name w:val="Bordered &amp; Lined - Accent 2"/>
    <w:basedOn w:val="711"/>
    <w:uiPriority w:val="99"/>
    <w:qFormat/>
    <w:rPr>
      <w:rFonts w:ascii="Times New Roman" w:hAnsi="Times New Roman"/>
      <w:color w:val="404040"/>
    </w:rPr>
    <w:tblPr/>
  </w:style>
  <w:style w:type="table" w:styleId="939" w:customStyle="1">
    <w:name w:val="List Table 6 Colorful - Accent 6"/>
    <w:basedOn w:val="711"/>
    <w:uiPriority w:val="99"/>
    <w:qFormat/>
    <w:rPr>
      <w:rFonts w:ascii="Times New Roman" w:hAnsi="Times New Roman"/>
    </w:rPr>
    <w:tblPr/>
  </w:style>
  <w:style w:type="table" w:styleId="940" w:customStyle="1">
    <w:name w:val="List Table 3 - Accent 4"/>
    <w:basedOn w:val="711"/>
    <w:uiPriority w:val="99"/>
    <w:qFormat/>
    <w:rPr>
      <w:rFonts w:ascii="Times New Roman" w:hAnsi="Times New Roman"/>
    </w:rPr>
    <w:tblPr/>
  </w:style>
  <w:style w:type="table" w:styleId="941" w:customStyle="1">
    <w:name w:val="Grid Table 1 Light - Accent 4"/>
    <w:basedOn w:val="711"/>
    <w:uiPriority w:val="99"/>
    <w:qFormat/>
    <w:rPr>
      <w:rFonts w:ascii="Times New Roman" w:hAnsi="Times New Roman"/>
    </w:rPr>
    <w:tblPr/>
  </w:style>
  <w:style w:type="table" w:styleId="942" w:customStyle="1">
    <w:name w:val="Lined - Accent 2"/>
    <w:basedOn w:val="711"/>
    <w:uiPriority w:val="99"/>
    <w:qFormat/>
    <w:rPr>
      <w:rFonts w:ascii="Times New Roman" w:hAnsi="Times New Roman"/>
      <w:color w:val="404040"/>
    </w:rPr>
    <w:tblPr/>
  </w:style>
  <w:style w:type="table" w:styleId="943" w:customStyle="1">
    <w:name w:val="List Table 5 Dark - Accent 1"/>
    <w:basedOn w:val="711"/>
    <w:uiPriority w:val="99"/>
    <w:qFormat/>
    <w:rPr>
      <w:rFonts w:ascii="Times New Roman" w:hAnsi="Times New Roman"/>
    </w:rPr>
    <w:tblPr/>
  </w:style>
  <w:style w:type="table" w:styleId="944" w:customStyle="1">
    <w:name w:val="Grid Table 7 Colorful - Accent 3"/>
    <w:basedOn w:val="711"/>
    <w:uiPriority w:val="99"/>
    <w:qFormat/>
    <w:rPr>
      <w:rFonts w:ascii="Times New Roman" w:hAnsi="Times New Roman"/>
    </w:rPr>
    <w:tblPr/>
  </w:style>
  <w:style w:type="table" w:styleId="945" w:customStyle="1">
    <w:name w:val="Grid Table 1 Light - Accent 5"/>
    <w:basedOn w:val="711"/>
    <w:uiPriority w:val="99"/>
    <w:qFormat/>
    <w:rPr>
      <w:rFonts w:ascii="Times New Roman" w:hAnsi="Times New Roman"/>
    </w:rPr>
    <w:tblPr/>
  </w:style>
  <w:style w:type="table" w:styleId="946" w:customStyle="1">
    <w:name w:val="Lined - Accent 5"/>
    <w:basedOn w:val="711"/>
    <w:uiPriority w:val="99"/>
    <w:qFormat/>
    <w:rPr>
      <w:rFonts w:ascii="Times New Roman" w:hAnsi="Times New Roman"/>
      <w:color w:val="404040"/>
    </w:rPr>
    <w:tblPr/>
  </w:style>
  <w:style w:type="table" w:styleId="947" w:customStyle="1">
    <w:name w:val="List Table 4 - Accent 3"/>
    <w:basedOn w:val="711"/>
    <w:uiPriority w:val="99"/>
    <w:qFormat/>
    <w:rPr>
      <w:rFonts w:ascii="Times New Roman" w:hAnsi="Times New Roman"/>
    </w:rPr>
    <w:tblPr/>
  </w:style>
  <w:style w:type="table" w:styleId="948" w:customStyle="1">
    <w:name w:val="Grid Table 7 Colorful - Accent 4"/>
    <w:basedOn w:val="711"/>
    <w:uiPriority w:val="99"/>
    <w:qFormat/>
    <w:rPr>
      <w:rFonts w:ascii="Times New Roman" w:hAnsi="Times New Roman"/>
    </w:rPr>
    <w:tblPr/>
  </w:style>
  <w:style w:type="table" w:styleId="949" w:customStyle="1">
    <w:name w:val="网格表 21_0"/>
    <w:basedOn w:val="711"/>
    <w:uiPriority w:val="99"/>
    <w:qFormat/>
    <w:rPr>
      <w:rFonts w:ascii="Times New Roman" w:hAnsi="Times New Roman"/>
    </w:rPr>
    <w:tblPr/>
  </w:style>
  <w:style w:type="table" w:styleId="950" w:customStyle="1">
    <w:name w:val="清单表 7 彩色1_0"/>
    <w:basedOn w:val="711"/>
    <w:uiPriority w:val="99"/>
    <w:qFormat/>
    <w:rPr>
      <w:rFonts w:ascii="Times New Roman" w:hAnsi="Times New Roman"/>
    </w:rPr>
    <w:tblPr/>
  </w:style>
  <w:style w:type="table" w:styleId="951" w:customStyle="1">
    <w:name w:val="Grid Table 6 Colorful - Accent 3"/>
    <w:basedOn w:val="711"/>
    <w:uiPriority w:val="99"/>
    <w:qFormat/>
    <w:rPr>
      <w:rFonts w:ascii="Times New Roman" w:hAnsi="Times New Roman"/>
    </w:rPr>
    <w:tblPr/>
  </w:style>
  <w:style w:type="table" w:styleId="952" w:customStyle="1">
    <w:name w:val="Grid Table 2 - Accent 2"/>
    <w:basedOn w:val="711"/>
    <w:uiPriority w:val="99"/>
    <w:qFormat/>
    <w:rPr>
      <w:rFonts w:ascii="Times New Roman" w:hAnsi="Times New Roman"/>
    </w:rPr>
    <w:tblPr/>
  </w:style>
  <w:style w:type="table" w:styleId="953" w:customStyle="1">
    <w:name w:val="List Table 4 - Accent 1"/>
    <w:basedOn w:val="711"/>
    <w:uiPriority w:val="99"/>
    <w:qFormat/>
    <w:rPr>
      <w:rFonts w:ascii="Times New Roman" w:hAnsi="Times New Roman"/>
    </w:rPr>
    <w:tblPr/>
  </w:style>
  <w:style w:type="table" w:styleId="954" w:customStyle="1">
    <w:name w:val="Grid Table 6 Colorful - Accent 6"/>
    <w:basedOn w:val="711"/>
    <w:uiPriority w:val="99"/>
    <w:qFormat/>
    <w:rPr>
      <w:rFonts w:ascii="Times New Roman" w:hAnsi="Times New Roman"/>
    </w:rPr>
    <w:tblPr/>
  </w:style>
  <w:style w:type="table" w:styleId="955" w:customStyle="1">
    <w:name w:val="Grid Table 2 - Accent 4"/>
    <w:basedOn w:val="711"/>
    <w:uiPriority w:val="99"/>
    <w:qFormat/>
    <w:rPr>
      <w:rFonts w:ascii="Times New Roman" w:hAnsi="Times New Roman"/>
    </w:rPr>
    <w:tblPr/>
  </w:style>
  <w:style w:type="table" w:styleId="956" w:customStyle="1">
    <w:name w:val="Bordered &amp; Lined - Accent 5"/>
    <w:basedOn w:val="711"/>
    <w:uiPriority w:val="99"/>
    <w:qFormat/>
    <w:rPr>
      <w:rFonts w:ascii="Times New Roman" w:hAnsi="Times New Roman"/>
      <w:color w:val="404040"/>
    </w:rPr>
    <w:tblPr/>
  </w:style>
  <w:style w:type="table" w:styleId="957" w:customStyle="1">
    <w:name w:val="List Table 7 Colorful - Accent 6"/>
    <w:basedOn w:val="711"/>
    <w:uiPriority w:val="99"/>
    <w:qFormat/>
    <w:rPr>
      <w:rFonts w:ascii="Times New Roman" w:hAnsi="Times New Roman"/>
    </w:rPr>
    <w:tblPr/>
  </w:style>
  <w:style w:type="table" w:styleId="958" w:customStyle="1">
    <w:name w:val="Grid Table 6 Colorful - Accent 5"/>
    <w:basedOn w:val="711"/>
    <w:uiPriority w:val="99"/>
    <w:qFormat/>
    <w:rPr>
      <w:rFonts w:ascii="Times New Roman" w:hAnsi="Times New Roman"/>
    </w:rPr>
    <w:tblPr/>
  </w:style>
  <w:style w:type="table" w:styleId="959" w:customStyle="1">
    <w:name w:val="Grid Table 2 - Accent 5"/>
    <w:basedOn w:val="711"/>
    <w:uiPriority w:val="99"/>
    <w:qFormat/>
    <w:rPr>
      <w:rFonts w:ascii="Times New Roman" w:hAnsi="Times New Roman"/>
    </w:rPr>
    <w:tblPr/>
  </w:style>
  <w:style w:type="table" w:styleId="960" w:customStyle="1">
    <w:name w:val="Lined - Accent 4"/>
    <w:basedOn w:val="711"/>
    <w:uiPriority w:val="99"/>
    <w:qFormat/>
    <w:rPr>
      <w:rFonts w:ascii="Times New Roman" w:hAnsi="Times New Roman"/>
      <w:color w:val="404040"/>
    </w:rPr>
    <w:tblPr/>
  </w:style>
  <w:style w:type="table" w:styleId="961" w:customStyle="1">
    <w:name w:val="List Table 4 - Accent 5"/>
    <w:basedOn w:val="711"/>
    <w:uiPriority w:val="99"/>
    <w:qFormat/>
    <w:rPr>
      <w:rFonts w:ascii="Times New Roman" w:hAnsi="Times New Roman"/>
    </w:rPr>
    <w:tblPr/>
  </w:style>
  <w:style w:type="table" w:styleId="962" w:customStyle="1">
    <w:name w:val="Grid Table 6 Colorful - Accent 1"/>
    <w:basedOn w:val="711"/>
    <w:uiPriority w:val="99"/>
    <w:qFormat/>
    <w:rPr>
      <w:rFonts w:ascii="Times New Roman" w:hAnsi="Times New Roman"/>
    </w:rPr>
    <w:tblPr/>
  </w:style>
  <w:style w:type="table" w:styleId="963" w:customStyle="1">
    <w:name w:val="网格表 31_0"/>
    <w:basedOn w:val="711"/>
    <w:uiPriority w:val="99"/>
    <w:qFormat/>
    <w:rPr>
      <w:rFonts w:ascii="Times New Roman" w:hAnsi="Times New Roman"/>
    </w:rPr>
    <w:tblPr/>
  </w:style>
  <w:style w:type="table" w:styleId="964" w:customStyle="1">
    <w:name w:val="List Table 5 Dark - Accent 6"/>
    <w:basedOn w:val="711"/>
    <w:uiPriority w:val="99"/>
    <w:qFormat/>
    <w:rPr>
      <w:rFonts w:ascii="Times New Roman" w:hAnsi="Times New Roman"/>
    </w:rPr>
    <w:tblPr/>
  </w:style>
  <w:style w:type="table" w:styleId="965" w:customStyle="1">
    <w:name w:val="List Table 2 - Accent 6"/>
    <w:basedOn w:val="711"/>
    <w:uiPriority w:val="99"/>
    <w:qFormat/>
    <w:rPr>
      <w:rFonts w:ascii="Times New Roman" w:hAnsi="Times New Roman"/>
    </w:rPr>
    <w:tblPr/>
  </w:style>
  <w:style w:type="table" w:styleId="966" w:customStyle="1">
    <w:name w:val="Grid Table 3 - Accent 1"/>
    <w:basedOn w:val="711"/>
    <w:uiPriority w:val="99"/>
    <w:qFormat/>
    <w:rPr>
      <w:rFonts w:ascii="Times New Roman" w:hAnsi="Times New Roman"/>
    </w:rPr>
    <w:tblPr/>
  </w:style>
  <w:style w:type="table" w:styleId="967" w:customStyle="1">
    <w:name w:val="List Table 3 - Accent 6"/>
    <w:basedOn w:val="711"/>
    <w:uiPriority w:val="99"/>
    <w:qFormat/>
    <w:rPr>
      <w:rFonts w:ascii="Times New Roman" w:hAnsi="Times New Roman"/>
    </w:rPr>
    <w:tblPr/>
  </w:style>
  <w:style w:type="table" w:styleId="968" w:customStyle="1">
    <w:name w:val="清单表 21_0"/>
    <w:basedOn w:val="711"/>
    <w:uiPriority w:val="99"/>
    <w:qFormat/>
    <w:rPr>
      <w:rFonts w:ascii="Times New Roman" w:hAnsi="Times New Roman"/>
    </w:rPr>
    <w:tblPr/>
  </w:style>
  <w:style w:type="table" w:styleId="969" w:customStyle="1">
    <w:name w:val="Grid Table 3 - Accent 2"/>
    <w:basedOn w:val="711"/>
    <w:uiPriority w:val="99"/>
    <w:qFormat/>
    <w:rPr>
      <w:rFonts w:ascii="Times New Roman" w:hAnsi="Times New Roman"/>
    </w:rPr>
    <w:tblPr/>
  </w:style>
  <w:style w:type="table" w:styleId="970" w:customStyle="1">
    <w:name w:val="Bordered &amp; Lined - Accent 6"/>
    <w:basedOn w:val="711"/>
    <w:uiPriority w:val="99"/>
    <w:qFormat/>
    <w:rPr>
      <w:rFonts w:ascii="Times New Roman" w:hAnsi="Times New Roman"/>
      <w:color w:val="404040"/>
    </w:rPr>
    <w:tblPr/>
  </w:style>
  <w:style w:type="table" w:styleId="971" w:customStyle="1">
    <w:name w:val="List Table 5 Dark - Accent 3"/>
    <w:basedOn w:val="711"/>
    <w:uiPriority w:val="99"/>
    <w:qFormat/>
    <w:rPr>
      <w:rFonts w:ascii="Times New Roman" w:hAnsi="Times New Roman"/>
    </w:rPr>
    <w:tblPr/>
  </w:style>
  <w:style w:type="table" w:styleId="972" w:customStyle="1">
    <w:name w:val="List Table 1 Light - Accent 5"/>
    <w:basedOn w:val="711"/>
    <w:uiPriority w:val="99"/>
    <w:qFormat/>
    <w:rPr>
      <w:rFonts w:ascii="Times New Roman" w:hAnsi="Times New Roman"/>
    </w:rPr>
    <w:tblPr/>
  </w:style>
  <w:style w:type="table" w:styleId="973" w:customStyle="1">
    <w:name w:val="Grid Table 3 - Accent 3"/>
    <w:basedOn w:val="711"/>
    <w:uiPriority w:val="99"/>
    <w:qFormat/>
    <w:rPr>
      <w:rFonts w:ascii="Times New Roman" w:hAnsi="Times New Roman"/>
    </w:rPr>
    <w:tblPr/>
  </w:style>
  <w:style w:type="table" w:styleId="974" w:customStyle="1">
    <w:name w:val="Bordered &amp; Lined - Accent"/>
    <w:basedOn w:val="711"/>
    <w:uiPriority w:val="99"/>
    <w:qFormat/>
    <w:rPr>
      <w:rFonts w:ascii="Times New Roman" w:hAnsi="Times New Roman"/>
      <w:color w:val="404040"/>
    </w:rPr>
    <w:tblPr/>
  </w:style>
  <w:style w:type="table" w:styleId="975" w:customStyle="1">
    <w:name w:val="List Table 4 - Accent 6"/>
    <w:basedOn w:val="711"/>
    <w:uiPriority w:val="99"/>
    <w:qFormat/>
    <w:rPr>
      <w:rFonts w:ascii="Times New Roman" w:hAnsi="Times New Roman"/>
    </w:rPr>
    <w:tblPr/>
  </w:style>
  <w:style w:type="table" w:styleId="976" w:customStyle="1">
    <w:name w:val="List Table 3 - Accent 2"/>
    <w:basedOn w:val="711"/>
    <w:uiPriority w:val="99"/>
    <w:qFormat/>
    <w:rPr>
      <w:rFonts w:ascii="Times New Roman" w:hAnsi="Times New Roman"/>
    </w:rPr>
    <w:tblPr/>
  </w:style>
  <w:style w:type="table" w:styleId="977" w:customStyle="1">
    <w:name w:val="Grid Table 3 - Accent 4"/>
    <w:basedOn w:val="711"/>
    <w:uiPriority w:val="99"/>
    <w:qFormat/>
    <w:rPr>
      <w:rFonts w:ascii="Times New Roman" w:hAnsi="Times New Roman"/>
    </w:rPr>
    <w:tblPr/>
  </w:style>
  <w:style w:type="table" w:styleId="978" w:customStyle="1">
    <w:name w:val="Bordered - Accent 2"/>
    <w:basedOn w:val="711"/>
    <w:uiPriority w:val="99"/>
    <w:qFormat/>
    <w:rPr>
      <w:rFonts w:ascii="Times New Roman" w:hAnsi="Times New Roman"/>
    </w:rPr>
    <w:tblPr/>
  </w:style>
  <w:style w:type="table" w:styleId="979" w:customStyle="1">
    <w:name w:val="Lined - Accent 1"/>
    <w:basedOn w:val="711"/>
    <w:uiPriority w:val="99"/>
    <w:qFormat/>
    <w:rPr>
      <w:rFonts w:ascii="Times New Roman" w:hAnsi="Times New Roman"/>
      <w:color w:val="404040"/>
    </w:rPr>
    <w:tblPr/>
  </w:style>
  <w:style w:type="table" w:styleId="980" w:customStyle="1">
    <w:name w:val="List Table 2 - Accent 4"/>
    <w:basedOn w:val="711"/>
    <w:uiPriority w:val="99"/>
    <w:qFormat/>
    <w:rPr>
      <w:rFonts w:ascii="Times New Roman" w:hAnsi="Times New Roman"/>
    </w:rPr>
    <w:tblPr/>
  </w:style>
  <w:style w:type="table" w:styleId="981" w:customStyle="1">
    <w:name w:val="Grid Table 3 - Accent 5"/>
    <w:basedOn w:val="711"/>
    <w:uiPriority w:val="99"/>
    <w:qFormat/>
    <w:rPr>
      <w:rFonts w:ascii="Times New Roman" w:hAnsi="Times New Roman"/>
    </w:rPr>
    <w:tblPr/>
  </w:style>
  <w:style w:type="table" w:styleId="982" w:customStyle="1">
    <w:name w:val="List Table 6 Colorful - Accent 3"/>
    <w:basedOn w:val="711"/>
    <w:uiPriority w:val="99"/>
    <w:qFormat/>
    <w:rPr>
      <w:rFonts w:ascii="Times New Roman" w:hAnsi="Times New Roman"/>
    </w:rPr>
    <w:tblPr/>
  </w:style>
  <w:style w:type="table" w:styleId="983" w:customStyle="1">
    <w:name w:val="Grid Table 6 Colorful - Accent 4"/>
    <w:basedOn w:val="711"/>
    <w:uiPriority w:val="99"/>
    <w:qFormat/>
    <w:rPr>
      <w:rFonts w:ascii="Times New Roman" w:hAnsi="Times New Roman"/>
    </w:rPr>
    <w:tblPr/>
  </w:style>
  <w:style w:type="table" w:styleId="984" w:customStyle="1">
    <w:name w:val="Grid Table 3 - Accent 6"/>
    <w:basedOn w:val="711"/>
    <w:uiPriority w:val="99"/>
    <w:qFormat/>
    <w:rPr>
      <w:rFonts w:ascii="Times New Roman" w:hAnsi="Times New Roman"/>
    </w:rPr>
    <w:tblPr/>
  </w:style>
  <w:style w:type="table" w:styleId="985" w:customStyle="1">
    <w:name w:val="Bordered &amp; Lined - Accent 4"/>
    <w:basedOn w:val="711"/>
    <w:uiPriority w:val="99"/>
    <w:qFormat/>
    <w:rPr>
      <w:rFonts w:ascii="Times New Roman" w:hAnsi="Times New Roman"/>
      <w:color w:val="404040"/>
    </w:rPr>
    <w:tblPr/>
  </w:style>
  <w:style w:type="table" w:styleId="986" w:customStyle="1">
    <w:name w:val="List Table 3 - Accent 5"/>
    <w:basedOn w:val="711"/>
    <w:uiPriority w:val="99"/>
    <w:qFormat/>
    <w:rPr>
      <w:rFonts w:ascii="Times New Roman" w:hAnsi="Times New Roman"/>
    </w:rPr>
    <w:tblPr/>
  </w:style>
  <w:style w:type="table" w:styleId="987" w:customStyle="1">
    <w:name w:val="List Table 1 Light - Accent 4"/>
    <w:basedOn w:val="711"/>
    <w:uiPriority w:val="99"/>
    <w:qFormat/>
    <w:rPr>
      <w:rFonts w:ascii="Times New Roman" w:hAnsi="Times New Roman"/>
    </w:rPr>
    <w:tblPr/>
  </w:style>
  <w:style w:type="table" w:styleId="988" w:customStyle="1">
    <w:name w:val="网格表 41_0"/>
    <w:basedOn w:val="711"/>
    <w:uiPriority w:val="59"/>
    <w:qFormat/>
    <w:rPr>
      <w:rFonts w:ascii="Times New Roman" w:hAnsi="Times New Roman"/>
    </w:rPr>
    <w:tblPr/>
  </w:style>
  <w:style w:type="table" w:styleId="989" w:customStyle="1">
    <w:name w:val="Lined - Accent 6"/>
    <w:basedOn w:val="711"/>
    <w:uiPriority w:val="99"/>
    <w:qFormat/>
    <w:rPr>
      <w:rFonts w:ascii="Times New Roman" w:hAnsi="Times New Roman"/>
      <w:color w:val="404040"/>
    </w:rPr>
    <w:tblPr/>
  </w:style>
  <w:style w:type="table" w:styleId="990" w:customStyle="1">
    <w:name w:val="List Table 6 Colorful - Accent 2"/>
    <w:basedOn w:val="711"/>
    <w:uiPriority w:val="99"/>
    <w:qFormat/>
    <w:rPr>
      <w:rFonts w:ascii="Times New Roman" w:hAnsi="Times New Roman"/>
    </w:rPr>
    <w:tblPr/>
  </w:style>
  <w:style w:type="table" w:styleId="991" w:customStyle="1">
    <w:name w:val="Grid Table 7 Colorful - Accent 6"/>
    <w:basedOn w:val="711"/>
    <w:uiPriority w:val="99"/>
    <w:qFormat/>
    <w:rPr>
      <w:rFonts w:ascii="Times New Roman" w:hAnsi="Times New Roman"/>
    </w:rPr>
    <w:tblPr/>
  </w:style>
  <w:style w:type="table" w:styleId="992" w:customStyle="1">
    <w:name w:val="Grid Table 4 - Accent 1"/>
    <w:basedOn w:val="711"/>
    <w:uiPriority w:val="59"/>
    <w:qFormat/>
    <w:rPr>
      <w:rFonts w:ascii="Times New Roman" w:hAnsi="Times New Roman"/>
    </w:rPr>
    <w:tblPr/>
  </w:style>
  <w:style w:type="table" w:styleId="993" w:customStyle="1">
    <w:name w:val="Lined - Accent 3"/>
    <w:basedOn w:val="711"/>
    <w:uiPriority w:val="99"/>
    <w:qFormat/>
    <w:rPr>
      <w:rFonts w:ascii="Times New Roman" w:hAnsi="Times New Roman"/>
      <w:color w:val="404040"/>
    </w:rPr>
    <w:tblPr/>
  </w:style>
  <w:style w:type="table" w:styleId="994" w:customStyle="1">
    <w:name w:val="List Table 4 - Accent 4"/>
    <w:basedOn w:val="711"/>
    <w:uiPriority w:val="99"/>
    <w:qFormat/>
    <w:rPr>
      <w:rFonts w:ascii="Times New Roman" w:hAnsi="Times New Roman"/>
    </w:rPr>
    <w:tblPr/>
  </w:style>
  <w:style w:type="table" w:styleId="995" w:customStyle="1">
    <w:name w:val="清单表 31_0"/>
    <w:basedOn w:val="711"/>
    <w:uiPriority w:val="99"/>
    <w:qFormat/>
    <w:rPr>
      <w:rFonts w:ascii="Times New Roman" w:hAnsi="Times New Roman"/>
    </w:rPr>
    <w:tblPr/>
  </w:style>
  <w:style w:type="table" w:styleId="996" w:customStyle="1">
    <w:name w:val="Grid Table 4 - Accent 2"/>
    <w:basedOn w:val="711"/>
    <w:uiPriority w:val="59"/>
    <w:qFormat/>
    <w:rPr>
      <w:rFonts w:ascii="Times New Roman" w:hAnsi="Times New Roman"/>
    </w:rPr>
    <w:tblPr/>
  </w:style>
  <w:style w:type="table" w:styleId="997" w:customStyle="1">
    <w:name w:val="Bordered"/>
    <w:basedOn w:val="711"/>
    <w:uiPriority w:val="99"/>
    <w:qFormat/>
    <w:rPr>
      <w:rFonts w:ascii="Times New Roman" w:hAnsi="Times New Roman"/>
    </w:rPr>
    <w:tblPr/>
  </w:style>
  <w:style w:type="table" w:styleId="998" w:customStyle="1">
    <w:name w:val="List Table 5 Dark - Accent 4"/>
    <w:basedOn w:val="711"/>
    <w:uiPriority w:val="99"/>
    <w:qFormat/>
    <w:rPr>
      <w:rFonts w:ascii="Times New Roman" w:hAnsi="Times New Roman"/>
    </w:rPr>
    <w:tblPr/>
  </w:style>
  <w:style w:type="table" w:styleId="999" w:customStyle="1">
    <w:name w:val="List Table 3 - Accent 3"/>
    <w:basedOn w:val="711"/>
    <w:uiPriority w:val="99"/>
    <w:qFormat/>
    <w:rPr>
      <w:rFonts w:ascii="Times New Roman" w:hAnsi="Times New Roman"/>
    </w:rPr>
    <w:tblPr/>
  </w:style>
  <w:style w:type="table" w:styleId="1000" w:customStyle="1">
    <w:name w:val="Grid Table 4 - Accent 4"/>
    <w:basedOn w:val="711"/>
    <w:uiPriority w:val="59"/>
    <w:qFormat/>
    <w:rPr>
      <w:rFonts w:ascii="Times New Roman" w:hAnsi="Times New Roman"/>
    </w:rPr>
    <w:tblPr/>
  </w:style>
  <w:style w:type="table" w:styleId="1001" w:customStyle="1">
    <w:name w:val="List Table 6 Colorful - Accent 4"/>
    <w:basedOn w:val="711"/>
    <w:uiPriority w:val="99"/>
    <w:qFormat/>
    <w:rPr>
      <w:rFonts w:ascii="Times New Roman" w:hAnsi="Times New Roman"/>
    </w:rPr>
    <w:tblPr/>
  </w:style>
  <w:style w:type="table" w:styleId="1002" w:customStyle="1">
    <w:name w:val="Grid Table 7 Colorful - Accent 2"/>
    <w:basedOn w:val="711"/>
    <w:uiPriority w:val="99"/>
    <w:qFormat/>
    <w:rPr>
      <w:rFonts w:ascii="Times New Roman" w:hAnsi="Times New Roman"/>
    </w:rPr>
    <w:tblPr/>
  </w:style>
  <w:style w:type="table" w:styleId="1003" w:customStyle="1">
    <w:name w:val="Grid Table 4 - Accent 5"/>
    <w:basedOn w:val="711"/>
    <w:uiPriority w:val="59"/>
    <w:qFormat/>
    <w:rPr>
      <w:rFonts w:ascii="Times New Roman" w:hAnsi="Times New Roman"/>
    </w:rPr>
    <w:tblPr/>
  </w:style>
  <w:style w:type="table" w:styleId="1004" w:customStyle="1">
    <w:name w:val="List Table 6 Colorful - Accent 5"/>
    <w:basedOn w:val="711"/>
    <w:uiPriority w:val="99"/>
    <w:qFormat/>
    <w:rPr>
      <w:rFonts w:ascii="Times New Roman" w:hAnsi="Times New Roman"/>
    </w:rPr>
    <w:tblPr/>
  </w:style>
  <w:style w:type="table" w:styleId="1005" w:customStyle="1">
    <w:name w:val="List Table 1 Light - Accent 3"/>
    <w:basedOn w:val="711"/>
    <w:uiPriority w:val="99"/>
    <w:qFormat/>
    <w:rPr>
      <w:rFonts w:ascii="Times New Roman" w:hAnsi="Times New Roman"/>
    </w:rPr>
    <w:tblPr/>
  </w:style>
  <w:style w:type="table" w:styleId="1006" w:customStyle="1">
    <w:name w:val="Grid Table 4 - Accent 6"/>
    <w:basedOn w:val="711"/>
    <w:uiPriority w:val="59"/>
    <w:qFormat/>
    <w:rPr>
      <w:rFonts w:ascii="Times New Roman" w:hAnsi="Times New Roman"/>
    </w:rPr>
    <w:tblPr/>
  </w:style>
  <w:style w:type="table" w:styleId="1007" w:customStyle="1">
    <w:name w:val="List Table 7 Colorful - Accent 5"/>
    <w:basedOn w:val="711"/>
    <w:uiPriority w:val="99"/>
    <w:qFormat/>
    <w:rPr>
      <w:rFonts w:ascii="Times New Roman" w:hAnsi="Times New Roman"/>
    </w:rPr>
    <w:tblPr/>
  </w:style>
  <w:style w:type="table" w:styleId="1008" w:customStyle="1">
    <w:name w:val="List Table 2 - Accent 3"/>
    <w:basedOn w:val="711"/>
    <w:uiPriority w:val="99"/>
    <w:qFormat/>
    <w:rPr>
      <w:rFonts w:ascii="Times New Roman" w:hAnsi="Times New Roman"/>
    </w:rPr>
    <w:tblPr/>
  </w:style>
  <w:style w:type="table" w:styleId="1009" w:customStyle="1">
    <w:name w:val="Grid Table 5 Dark - Accent 6"/>
    <w:basedOn w:val="711"/>
    <w:uiPriority w:val="99"/>
    <w:qFormat/>
    <w:rPr>
      <w:rFonts w:ascii="Times New Roman" w:hAnsi="Times New Roman"/>
    </w:rPr>
    <w:tblPr/>
  </w:style>
  <w:style w:type="table" w:styleId="1010" w:customStyle="1">
    <w:name w:val="Bordered &amp; Lined - Accent 3"/>
    <w:basedOn w:val="711"/>
    <w:uiPriority w:val="99"/>
    <w:qFormat/>
    <w:rPr>
      <w:rFonts w:ascii="Times New Roman" w:hAnsi="Times New Roman"/>
      <w:color w:val="404040"/>
    </w:rPr>
    <w:tblPr/>
  </w:style>
  <w:style w:type="table" w:styleId="1011" w:customStyle="1">
    <w:name w:val="清单表 6 彩色1_0"/>
    <w:basedOn w:val="711"/>
    <w:uiPriority w:val="99"/>
    <w:qFormat/>
    <w:rPr>
      <w:rFonts w:ascii="Times New Roman" w:hAnsi="Times New Roman"/>
    </w:rPr>
    <w:tblPr/>
  </w:style>
  <w:style w:type="table" w:styleId="1012" w:customStyle="1">
    <w:name w:val="Grid Table 6 Colorful - Accent 2"/>
    <w:basedOn w:val="711"/>
    <w:uiPriority w:val="99"/>
    <w:qFormat/>
    <w:rPr>
      <w:rFonts w:ascii="Times New Roman" w:hAnsi="Times New Roman"/>
    </w:rPr>
    <w:tblPr/>
  </w:style>
  <w:style w:type="table" w:styleId="1013" w:customStyle="1">
    <w:name w:val="网格表 6 彩色1_0"/>
    <w:basedOn w:val="711"/>
    <w:uiPriority w:val="99"/>
    <w:qFormat/>
    <w:rPr>
      <w:rFonts w:ascii="Times New Roman" w:hAnsi="Times New Roman"/>
    </w:rPr>
    <w:tblPr/>
  </w:style>
  <w:style w:type="paragraph" w:styleId="1014" w:customStyle="1">
    <w:name w:val="标题 11"/>
    <w:basedOn w:val="700"/>
    <w:link w:val="1015"/>
    <w:qFormat/>
    <w:pPr>
      <w:ind w:firstLine="640"/>
      <w:jc w:val="center"/>
      <w:keepNext/>
      <w:spacing w:before="60" w:after="60" w:line="360" w:lineRule="auto"/>
      <w:outlineLvl w:val="0"/>
    </w:pPr>
    <w:rPr>
      <w:rFonts w:ascii="楷体_GB2312" w:eastAsia="楷体_GB2312"/>
      <w:color w:val="333333"/>
      <w:sz w:val="28"/>
      <w:szCs w:val="28"/>
    </w:rPr>
  </w:style>
  <w:style w:type="character" w:styleId="1015" w:customStyle="1">
    <w:name w:val="标题 1 Char"/>
    <w:link w:val="1014"/>
    <w:qFormat/>
    <w:rPr>
      <w:rFonts w:ascii="楷体_GB2312" w:hAnsi="Times New Roman" w:eastAsia="楷体_GB2312"/>
      <w:color w:val="333333"/>
      <w:sz w:val="28"/>
      <w:szCs w:val="28"/>
    </w:rPr>
  </w:style>
  <w:style w:type="paragraph" w:styleId="1016" w:customStyle="1">
    <w:name w:val="首行缩进"/>
    <w:basedOn w:val="700"/>
    <w:uiPriority w:val="99"/>
    <w:qFormat/>
    <w:pPr>
      <w:ind w:firstLine="480"/>
      <w:spacing w:line="360" w:lineRule="auto"/>
    </w:pPr>
    <w:rPr>
      <w:rFonts w:ascii="Calibri" w:hAnsi="Calibri" w:eastAsia="微软雅黑"/>
      <w:sz w:val="24"/>
      <w:szCs w:val="22"/>
      <w:lang w:val="zh-CN"/>
    </w:rPr>
  </w:style>
  <w:style w:type="paragraph" w:styleId="1017" w:customStyle="1">
    <w:name w:val="索引 411"/>
    <w:basedOn w:val="700"/>
    <w:next w:val="700"/>
    <w:uiPriority w:val="99"/>
    <w:semiHidden/>
    <w:qFormat/>
    <w:pPr>
      <w:ind w:left="1260"/>
    </w:pPr>
    <w:rPr>
      <w:szCs w:val="22"/>
    </w:rPr>
  </w:style>
  <w:style w:type="paragraph" w:styleId="1018" w:customStyle="1">
    <w:name w:val="标题 31"/>
    <w:basedOn w:val="700"/>
    <w:next w:val="700"/>
    <w:link w:val="1041"/>
    <w:qFormat/>
    <w:pPr>
      <w:keepLines/>
      <w:keepNext/>
      <w:spacing w:before="260" w:after="260" w:line="416" w:lineRule="auto"/>
      <w:outlineLvl w:val="2"/>
    </w:pPr>
    <w:rPr>
      <w:b/>
      <w:bCs/>
      <w:sz w:val="32"/>
      <w:szCs w:val="32"/>
    </w:rPr>
  </w:style>
  <w:style w:type="paragraph" w:styleId="1019" w:customStyle="1">
    <w:name w:val="标题 5（有编号）（绿盟科技）"/>
    <w:basedOn w:val="700"/>
    <w:next w:val="700"/>
    <w:qFormat/>
    <w:pPr>
      <w:numPr>
        <w:ilvl w:val="4"/>
        <w:numId w:val="4"/>
      </w:numPr>
      <w:jc w:val="left"/>
      <w:keepLines/>
      <w:keepNext/>
      <w:spacing w:before="280" w:after="156" w:line="377" w:lineRule="auto"/>
      <w:outlineLvl w:val="4"/>
    </w:pPr>
    <w:rPr>
      <w:rFonts w:ascii="Arial" w:hAnsi="Arial" w:eastAsia="黑体"/>
      <w:b/>
      <w:sz w:val="24"/>
      <w:szCs w:val="28"/>
    </w:rPr>
  </w:style>
  <w:style w:type="paragraph" w:styleId="1020" w:customStyle="1">
    <w:name w:val="正文缩进1"/>
    <w:basedOn w:val="700"/>
    <w:link w:val="1040"/>
    <w:qFormat/>
    <w:pPr>
      <w:ind w:firstLine="420"/>
    </w:pPr>
  </w:style>
  <w:style w:type="paragraph" w:styleId="1021" w:customStyle="1">
    <w:name w:val="正文文本1"/>
    <w:basedOn w:val="700"/>
    <w:link w:val="1055"/>
    <w:qFormat/>
    <w:rPr>
      <w:rFonts w:ascii="楷体_GB2312" w:hAnsi="Arial" w:eastAsia="楷体_GB2312"/>
      <w:sz w:val="28"/>
      <w:szCs w:val="28"/>
    </w:rPr>
  </w:style>
  <w:style w:type="paragraph" w:styleId="1022" w:customStyle="1">
    <w:name w:val="4.1标准文件_字母编号列项（一级）"/>
    <w:next w:val="700"/>
    <w:qFormat/>
    <w:pPr>
      <w:jc w:val="both"/>
      <w:spacing w:line="360" w:lineRule="exact"/>
      <w:tabs>
        <w:tab w:val="left" w:pos="568" w:leader="none"/>
      </w:tabs>
    </w:pPr>
    <w:rPr>
      <w:rFonts w:ascii="Times New Roman" w:hAnsi="Times New Roman" w:cs="Times New Roman"/>
      <w:sz w:val="24"/>
      <w:szCs w:val="21"/>
    </w:rPr>
  </w:style>
  <w:style w:type="paragraph" w:styleId="1023" w:customStyle="1">
    <w:name w:val="修订2"/>
    <w:hidden/>
    <w:uiPriority w:val="99"/>
    <w:unhideWhenUsed/>
    <w:qFormat/>
    <w:rPr>
      <w:rFonts w:ascii="Times New Roman" w:hAnsi="Times New Roman"/>
      <w:sz w:val="21"/>
      <w:szCs w:val="21"/>
    </w:rPr>
  </w:style>
  <w:style w:type="paragraph" w:styleId="1024" w:customStyle="1">
    <w:name w:val="修订3"/>
    <w:hidden/>
    <w:uiPriority w:val="99"/>
    <w:unhideWhenUsed/>
    <w:qFormat/>
    <w:rPr>
      <w:rFonts w:ascii="Times New Roman" w:hAnsi="Times New Roman"/>
      <w:sz w:val="21"/>
      <w:szCs w:val="21"/>
    </w:rPr>
  </w:style>
  <w:style w:type="paragraph" w:styleId="1025" w:customStyle="1">
    <w:name w:val="纯文本1"/>
    <w:basedOn w:val="700"/>
    <w:link w:val="1026"/>
    <w:qFormat/>
    <w:rPr>
      <w:rFonts w:ascii="宋体" w:hAnsi="Courier New" w:cs="Courier New"/>
    </w:rPr>
  </w:style>
  <w:style w:type="character" w:styleId="1026" w:customStyle="1">
    <w:name w:val="纯文本 Char"/>
    <w:link w:val="1025"/>
    <w:qFormat/>
    <w:rPr>
      <w:rFonts w:ascii="宋体" w:hAnsi="Courier New" w:cs="Courier New"/>
      <w:sz w:val="21"/>
      <w:szCs w:val="21"/>
    </w:rPr>
  </w:style>
  <w:style w:type="paragraph" w:styleId="1027" w:customStyle="1">
    <w:name w:val="正文首行缩进 211"/>
    <w:basedOn w:val="1028"/>
    <w:next w:val="700"/>
    <w:qFormat/>
    <w:pPr>
      <w:ind w:left="0" w:firstLine="420"/>
      <w:spacing w:after="0" w:line="360" w:lineRule="auto"/>
    </w:pPr>
    <w:rPr>
      <w:rFonts w:ascii="宋体" w:hAnsi="宋体"/>
      <w:szCs w:val="20"/>
    </w:rPr>
  </w:style>
  <w:style w:type="paragraph" w:styleId="1028" w:customStyle="1">
    <w:name w:val="正文文本缩进11"/>
    <w:basedOn w:val="700"/>
    <w:next w:val="1029"/>
    <w:unhideWhenUsed/>
    <w:qFormat/>
    <w:pPr>
      <w:ind w:left="420"/>
      <w:spacing w:after="120"/>
    </w:pPr>
    <w:rPr>
      <w:rFonts w:cs="Times New Roman"/>
    </w:rPr>
  </w:style>
  <w:style w:type="paragraph" w:styleId="1029" w:customStyle="1">
    <w:name w:val="寄信人地址1"/>
    <w:basedOn w:val="700"/>
    <w:qFormat/>
    <w:rPr>
      <w:rFonts w:ascii="Arial" w:hAnsi="Arial" w:cs="宋体"/>
    </w:rPr>
  </w:style>
  <w:style w:type="paragraph" w:styleId="1030" w:customStyle="1">
    <w:name w:val="标题 21"/>
    <w:basedOn w:val="700"/>
    <w:next w:val="1020"/>
    <w:link w:val="1039"/>
    <w:qFormat/>
    <w:pPr>
      <w:jc w:val="center"/>
      <w:keepLines/>
      <w:keepNext/>
      <w:spacing w:before="260" w:after="260" w:line="416" w:lineRule="auto"/>
      <w:outlineLvl w:val="1"/>
    </w:pPr>
    <w:rPr>
      <w:rFonts w:ascii="Arial" w:hAnsi="Arial" w:eastAsia="幼圆" w:cs="Arial"/>
      <w:b/>
      <w:bCs/>
      <w:sz w:val="44"/>
      <w:szCs w:val="44"/>
    </w:rPr>
  </w:style>
  <w:style w:type="paragraph" w:styleId="1031" w:customStyle="1">
    <w:name w:val="标题 41"/>
    <w:basedOn w:val="700"/>
    <w:next w:val="1020"/>
    <w:link w:val="1042"/>
    <w:qFormat/>
    <w:pPr>
      <w:keepLines/>
      <w:keepNext/>
      <w:spacing w:before="280" w:after="290" w:line="376" w:lineRule="auto"/>
      <w:outlineLvl w:val="3"/>
    </w:pPr>
    <w:rPr>
      <w:rFonts w:ascii="Arial" w:hAnsi="Arial" w:eastAsia="黑体" w:cs="Arial"/>
      <w:b/>
      <w:bCs/>
      <w:sz w:val="28"/>
      <w:szCs w:val="28"/>
    </w:rPr>
  </w:style>
  <w:style w:type="paragraph" w:styleId="1032" w:customStyle="1">
    <w:name w:val="标题 51"/>
    <w:basedOn w:val="700"/>
    <w:next w:val="1020"/>
    <w:link w:val="1043"/>
    <w:qFormat/>
    <w:pPr>
      <w:keepNext/>
      <w:outlineLvl w:val="4"/>
    </w:pPr>
    <w:rPr>
      <w:rFonts w:ascii="宋体" w:cs="Times New Roman"/>
      <w:color w:val="000000"/>
      <w:sz w:val="28"/>
      <w:szCs w:val="28"/>
    </w:rPr>
  </w:style>
  <w:style w:type="paragraph" w:styleId="1033" w:customStyle="1">
    <w:name w:val="标题 61"/>
    <w:basedOn w:val="700"/>
    <w:next w:val="700"/>
    <w:link w:val="1044"/>
    <w:qFormat/>
    <w:pPr>
      <w:numPr>
        <w:ilvl w:val="5"/>
        <w:numId w:val="5"/>
      </w:numPr>
      <w:keepLines/>
      <w:keepNext/>
      <w:spacing w:before="240" w:after="64" w:line="320" w:lineRule="auto"/>
      <w:outlineLvl w:val="5"/>
    </w:pPr>
    <w:rPr>
      <w:rFonts w:ascii="Arial" w:hAnsi="Arial" w:eastAsia="黑体" w:cs="Times New Roman"/>
      <w:b/>
      <w:bCs/>
      <w:sz w:val="24"/>
      <w:szCs w:val="24"/>
    </w:rPr>
  </w:style>
  <w:style w:type="paragraph" w:styleId="1034" w:customStyle="1">
    <w:name w:val="标题 71"/>
    <w:basedOn w:val="700"/>
    <w:next w:val="700"/>
    <w:link w:val="1045"/>
    <w:qFormat/>
    <w:pPr>
      <w:numPr>
        <w:ilvl w:val="6"/>
        <w:numId w:val="5"/>
      </w:numPr>
      <w:keepLines/>
      <w:keepNext/>
      <w:spacing w:before="240" w:after="64" w:line="320" w:lineRule="auto"/>
      <w:outlineLvl w:val="6"/>
    </w:pPr>
    <w:rPr>
      <w:rFonts w:cs="Times New Roman"/>
      <w:b/>
      <w:bCs/>
      <w:sz w:val="24"/>
      <w:szCs w:val="24"/>
    </w:rPr>
  </w:style>
  <w:style w:type="paragraph" w:styleId="1035" w:customStyle="1">
    <w:name w:val="标题 81"/>
    <w:basedOn w:val="700"/>
    <w:next w:val="700"/>
    <w:link w:val="1046"/>
    <w:qFormat/>
    <w:pPr>
      <w:numPr>
        <w:ilvl w:val="7"/>
        <w:numId w:val="5"/>
      </w:numPr>
      <w:keepLines/>
      <w:keepNext/>
      <w:spacing w:before="240" w:after="64" w:line="320" w:lineRule="auto"/>
      <w:outlineLvl w:val="7"/>
    </w:pPr>
    <w:rPr>
      <w:rFonts w:ascii="Arial" w:hAnsi="Arial" w:eastAsia="黑体" w:cs="Times New Roman"/>
      <w:sz w:val="24"/>
      <w:szCs w:val="24"/>
    </w:rPr>
  </w:style>
  <w:style w:type="paragraph" w:styleId="1036" w:customStyle="1">
    <w:name w:val="标题 91"/>
    <w:basedOn w:val="700"/>
    <w:next w:val="700"/>
    <w:link w:val="1047"/>
    <w:qFormat/>
    <w:pPr>
      <w:numPr>
        <w:ilvl w:val="8"/>
        <w:numId w:val="5"/>
      </w:numPr>
      <w:keepLines/>
      <w:keepNext/>
      <w:spacing w:before="240" w:after="64" w:line="320" w:lineRule="auto"/>
      <w:outlineLvl w:val="8"/>
    </w:pPr>
    <w:rPr>
      <w:rFonts w:ascii="Arial" w:hAnsi="Arial" w:eastAsia="黑体" w:cs="Times New Roman"/>
    </w:rPr>
  </w:style>
  <w:style w:type="character" w:styleId="1037" w:customStyle="1">
    <w:name w:val="默认段落字体1"/>
    <w:uiPriority w:val="1"/>
    <w:unhideWhenUsed/>
    <w:qFormat/>
  </w:style>
  <w:style w:type="table" w:styleId="1038" w:customStyle="1">
    <w:name w:val="普通表格1"/>
    <w:uiPriority w:val="99"/>
    <w:unhideWhenUsed/>
    <w:qFormat/>
    <w:rPr>
      <w:rFonts w:ascii="Times New Roman" w:hAnsi="Times New Roman" w:cs="Times New Roman"/>
    </w:rPr>
    <w:tblPr>
      <w:tblCellMar>
        <w:left w:w="0" w:type="dxa"/>
        <w:top w:w="0" w:type="dxa"/>
        <w:right w:w="0" w:type="dxa"/>
        <w:bottom w:w="0" w:type="dxa"/>
      </w:tblCellMar>
    </w:tblPr>
  </w:style>
  <w:style w:type="character" w:styleId="1039" w:customStyle="1">
    <w:name w:val="标题 2 Char"/>
    <w:link w:val="1030"/>
    <w:qFormat/>
    <w:rPr>
      <w:rFonts w:ascii="Arial" w:hAnsi="Arial" w:eastAsia="幼圆" w:cs="Arial"/>
      <w:b/>
      <w:bCs/>
      <w:sz w:val="44"/>
      <w:szCs w:val="44"/>
    </w:rPr>
  </w:style>
  <w:style w:type="character" w:styleId="1040" w:customStyle="1">
    <w:name w:val="正文缩进 Char"/>
    <w:link w:val="1020"/>
    <w:qFormat/>
    <w:rPr>
      <w:rFonts w:ascii="Times New Roman" w:hAnsi="Times New Roman"/>
      <w:sz w:val="21"/>
      <w:szCs w:val="21"/>
    </w:rPr>
  </w:style>
  <w:style w:type="character" w:styleId="1041" w:customStyle="1">
    <w:name w:val="标题 3 Char"/>
    <w:link w:val="1018"/>
    <w:qFormat/>
    <w:rPr>
      <w:rFonts w:ascii="Times New Roman" w:hAnsi="Times New Roman"/>
      <w:b/>
      <w:bCs/>
      <w:sz w:val="32"/>
      <w:szCs w:val="32"/>
    </w:rPr>
  </w:style>
  <w:style w:type="character" w:styleId="1042" w:customStyle="1">
    <w:name w:val="标题 4 Char"/>
    <w:link w:val="1031"/>
    <w:qFormat/>
    <w:rPr>
      <w:rFonts w:ascii="Arial" w:hAnsi="Arial" w:eastAsia="黑体" w:cs="Arial"/>
      <w:b/>
      <w:bCs/>
      <w:sz w:val="28"/>
      <w:szCs w:val="28"/>
    </w:rPr>
  </w:style>
  <w:style w:type="character" w:styleId="1043" w:customStyle="1">
    <w:name w:val="标题 5 Char"/>
    <w:link w:val="1032"/>
    <w:qFormat/>
    <w:rPr>
      <w:rFonts w:ascii="宋体" w:hAnsi="Times New Roman" w:cs="Times New Roman"/>
      <w:color w:val="000000"/>
      <w:sz w:val="28"/>
      <w:szCs w:val="28"/>
    </w:rPr>
  </w:style>
  <w:style w:type="character" w:styleId="1044" w:customStyle="1">
    <w:name w:val="标题 6 Char"/>
    <w:link w:val="1033"/>
    <w:qFormat/>
    <w:rPr>
      <w:rFonts w:ascii="Arial" w:hAnsi="Arial" w:eastAsia="黑体" w:cs="Times New Roman"/>
      <w:b/>
      <w:bCs/>
      <w:sz w:val="24"/>
      <w:szCs w:val="24"/>
    </w:rPr>
  </w:style>
  <w:style w:type="character" w:styleId="1045" w:customStyle="1">
    <w:name w:val="标题 7 Char"/>
    <w:link w:val="1034"/>
    <w:qFormat/>
    <w:rPr>
      <w:rFonts w:ascii="Times New Roman" w:hAnsi="Times New Roman" w:cs="Times New Roman"/>
      <w:b/>
      <w:bCs/>
      <w:sz w:val="24"/>
      <w:szCs w:val="24"/>
    </w:rPr>
  </w:style>
  <w:style w:type="character" w:styleId="1046" w:customStyle="1">
    <w:name w:val="标题 8 Char"/>
    <w:link w:val="1035"/>
    <w:qFormat/>
    <w:rPr>
      <w:rFonts w:ascii="Arial" w:hAnsi="Arial" w:eastAsia="黑体" w:cs="Times New Roman"/>
      <w:sz w:val="24"/>
      <w:szCs w:val="24"/>
    </w:rPr>
  </w:style>
  <w:style w:type="character" w:styleId="1047" w:customStyle="1">
    <w:name w:val="标题 9 Char"/>
    <w:link w:val="1036"/>
    <w:qFormat/>
    <w:rPr>
      <w:rFonts w:ascii="Arial" w:hAnsi="Arial" w:eastAsia="黑体" w:cs="Times New Roman"/>
      <w:sz w:val="21"/>
      <w:szCs w:val="21"/>
    </w:rPr>
  </w:style>
  <w:style w:type="paragraph" w:styleId="1048" w:customStyle="1">
    <w:name w:val="列表 31"/>
    <w:basedOn w:val="700"/>
    <w:qFormat/>
    <w:pPr>
      <w:ind w:left="100" w:hanging="200"/>
    </w:pPr>
    <w:rPr>
      <w:rFonts w:cs="Times New Roman"/>
    </w:rPr>
  </w:style>
  <w:style w:type="paragraph" w:styleId="1049" w:customStyle="1">
    <w:name w:val="文档结构图1"/>
    <w:basedOn w:val="700"/>
    <w:link w:val="1050"/>
    <w:semiHidden/>
    <w:qFormat/>
    <w:pPr>
      <w:shd w:val="clear" w:color="auto" w:fill="000080"/>
    </w:pPr>
    <w:rPr>
      <w:rFonts w:cs="Times New Roman"/>
    </w:rPr>
  </w:style>
  <w:style w:type="character" w:styleId="1050" w:customStyle="1">
    <w:name w:val="文档结构图 Char"/>
    <w:link w:val="1049"/>
    <w:semiHidden/>
    <w:qFormat/>
    <w:rPr>
      <w:rFonts w:ascii="Times New Roman" w:hAnsi="Times New Roman" w:cs="Times New Roman"/>
      <w:sz w:val="21"/>
      <w:szCs w:val="21"/>
      <w:shd w:val="clear" w:color="auto" w:fill="000080"/>
    </w:rPr>
  </w:style>
  <w:style w:type="paragraph" w:styleId="1051" w:customStyle="1">
    <w:name w:val="批注文字1"/>
    <w:basedOn w:val="700"/>
    <w:link w:val="1052"/>
    <w:semiHidden/>
    <w:qFormat/>
    <w:pPr>
      <w:jc w:val="left"/>
    </w:pPr>
    <w:rPr>
      <w:rFonts w:cs="Times New Roman"/>
    </w:rPr>
  </w:style>
  <w:style w:type="character" w:styleId="1052" w:customStyle="1">
    <w:name w:val="批注文字 Char"/>
    <w:link w:val="1051"/>
    <w:semiHidden/>
    <w:qFormat/>
    <w:rPr>
      <w:rFonts w:ascii="Times New Roman" w:hAnsi="Times New Roman" w:cs="Times New Roman"/>
      <w:sz w:val="21"/>
      <w:szCs w:val="21"/>
    </w:rPr>
  </w:style>
  <w:style w:type="paragraph" w:styleId="1053" w:customStyle="1">
    <w:name w:val="正文文本 31"/>
    <w:basedOn w:val="700"/>
    <w:link w:val="1054"/>
    <w:qFormat/>
    <w:rPr>
      <w:rFonts w:ascii="仿宋_GB2312" w:hAnsi="Arial" w:eastAsia="仿宋_GB2312" w:cs="Times New Roman"/>
      <w:sz w:val="32"/>
      <w:szCs w:val="32"/>
    </w:rPr>
  </w:style>
  <w:style w:type="character" w:styleId="1054" w:customStyle="1">
    <w:name w:val="正文文本 3 Char"/>
    <w:link w:val="1053"/>
    <w:qFormat/>
    <w:rPr>
      <w:rFonts w:ascii="仿宋_GB2312" w:hAnsi="Arial" w:eastAsia="仿宋_GB2312" w:cs="Times New Roman"/>
      <w:sz w:val="32"/>
      <w:szCs w:val="32"/>
    </w:rPr>
  </w:style>
  <w:style w:type="character" w:styleId="1055" w:customStyle="1">
    <w:name w:val="正文文本 Char"/>
    <w:link w:val="1021"/>
    <w:qFormat/>
    <w:rPr>
      <w:rFonts w:ascii="楷体_GB2312" w:hAnsi="Arial" w:eastAsia="楷体_GB2312"/>
      <w:sz w:val="28"/>
      <w:szCs w:val="28"/>
    </w:rPr>
  </w:style>
  <w:style w:type="paragraph" w:styleId="1056" w:customStyle="1">
    <w:name w:val="正文文本缩进1"/>
    <w:basedOn w:val="700"/>
    <w:link w:val="1057"/>
    <w:qFormat/>
    <w:pPr>
      <w:ind w:firstLine="645"/>
    </w:pPr>
    <w:rPr>
      <w:rFonts w:ascii="楷体_GB2312" w:eastAsia="楷体_GB2312" w:cs="Times New Roman"/>
      <w:sz w:val="32"/>
      <w:szCs w:val="32"/>
    </w:rPr>
  </w:style>
  <w:style w:type="character" w:styleId="1057" w:customStyle="1">
    <w:name w:val="正文文本缩进 Char"/>
    <w:link w:val="1056"/>
    <w:qFormat/>
    <w:rPr>
      <w:rFonts w:ascii="楷体_GB2312" w:hAnsi="Times New Roman" w:eastAsia="楷体_GB2312" w:cs="Times New Roman"/>
      <w:sz w:val="32"/>
      <w:szCs w:val="32"/>
    </w:rPr>
  </w:style>
  <w:style w:type="paragraph" w:styleId="1058" w:customStyle="1">
    <w:name w:val="列表 21"/>
    <w:basedOn w:val="700"/>
    <w:qFormat/>
    <w:pPr>
      <w:ind w:left="100" w:hanging="200"/>
    </w:pPr>
    <w:rPr>
      <w:rFonts w:cs="Times New Roman"/>
    </w:rPr>
  </w:style>
  <w:style w:type="paragraph" w:styleId="1059" w:customStyle="1">
    <w:name w:val="日期1"/>
    <w:basedOn w:val="700"/>
    <w:next w:val="700"/>
    <w:link w:val="1060"/>
    <w:qFormat/>
    <w:rPr>
      <w:rFonts w:cs="Times New Roman"/>
      <w:sz w:val="24"/>
      <w:szCs w:val="24"/>
    </w:rPr>
  </w:style>
  <w:style w:type="character" w:styleId="1060" w:customStyle="1">
    <w:name w:val="日期 Char"/>
    <w:link w:val="1059"/>
    <w:qFormat/>
    <w:rPr>
      <w:rFonts w:ascii="Times New Roman" w:hAnsi="Times New Roman" w:cs="Times New Roman"/>
      <w:sz w:val="24"/>
      <w:szCs w:val="24"/>
    </w:rPr>
  </w:style>
  <w:style w:type="paragraph" w:styleId="1061" w:customStyle="1">
    <w:name w:val="正文文本缩进 21"/>
    <w:basedOn w:val="700"/>
    <w:link w:val="1062"/>
    <w:qFormat/>
    <w:pPr>
      <w:ind w:left="630" w:firstLine="645"/>
    </w:pPr>
    <w:rPr>
      <w:rFonts w:ascii="Arial" w:hAnsi="Arial" w:eastAsia="仿宋_GB2312" w:cs="Arial"/>
      <w:sz w:val="32"/>
      <w:szCs w:val="32"/>
    </w:rPr>
  </w:style>
  <w:style w:type="character" w:styleId="1062" w:customStyle="1">
    <w:name w:val="正文文本缩进 2 Char"/>
    <w:link w:val="1061"/>
    <w:qFormat/>
    <w:rPr>
      <w:rFonts w:ascii="Arial" w:hAnsi="Arial" w:eastAsia="仿宋_GB2312" w:cs="Arial"/>
      <w:sz w:val="32"/>
      <w:szCs w:val="32"/>
    </w:rPr>
  </w:style>
  <w:style w:type="paragraph" w:styleId="1063" w:customStyle="1">
    <w:name w:val="批注框文本1"/>
    <w:basedOn w:val="700"/>
    <w:link w:val="1064"/>
    <w:semiHidden/>
    <w:qFormat/>
    <w:rPr>
      <w:rFonts w:cs="Times New Roman"/>
      <w:sz w:val="18"/>
      <w:szCs w:val="18"/>
    </w:rPr>
  </w:style>
  <w:style w:type="character" w:styleId="1064" w:customStyle="1">
    <w:name w:val="批注框文本 Char"/>
    <w:link w:val="1063"/>
    <w:semiHidden/>
    <w:qFormat/>
    <w:rPr>
      <w:rFonts w:ascii="Times New Roman" w:hAnsi="Times New Roman" w:cs="Times New Roman"/>
      <w:sz w:val="18"/>
      <w:szCs w:val="18"/>
    </w:rPr>
  </w:style>
  <w:style w:type="paragraph" w:styleId="1065" w:customStyle="1">
    <w:name w:val="页脚1"/>
    <w:basedOn w:val="700"/>
    <w:link w:val="1066"/>
    <w:uiPriority w:val="99"/>
    <w:qFormat/>
    <w:pPr>
      <w:jc w:val="left"/>
      <w:tabs>
        <w:tab w:val="center" w:pos="4153" w:leader="none"/>
        <w:tab w:val="right" w:pos="8306" w:leader="none"/>
      </w:tabs>
    </w:pPr>
    <w:rPr>
      <w:rFonts w:cs="Times New Roman"/>
      <w:sz w:val="18"/>
      <w:szCs w:val="18"/>
    </w:rPr>
  </w:style>
  <w:style w:type="character" w:styleId="1066" w:customStyle="1">
    <w:name w:val="页脚 Char"/>
    <w:link w:val="1065"/>
    <w:uiPriority w:val="99"/>
    <w:qFormat/>
    <w:rPr>
      <w:rFonts w:ascii="Times New Roman" w:hAnsi="Times New Roman" w:cs="Times New Roman"/>
      <w:sz w:val="18"/>
      <w:szCs w:val="18"/>
    </w:rPr>
  </w:style>
  <w:style w:type="paragraph" w:styleId="1067" w:customStyle="1">
    <w:name w:val="页眉1"/>
    <w:basedOn w:val="700"/>
    <w:link w:val="1068"/>
    <w:qFormat/>
    <w:pPr>
      <w:jc w:val="center"/>
      <w:tabs>
        <w:tab w:val="center" w:pos="4153" w:leader="none"/>
        <w:tab w:val="right" w:pos="8306" w:leader="none"/>
      </w:tabs>
      <w:pBdr>
        <w:bottom w:val="single" w:color="000000" w:sz="6" w:space="1"/>
      </w:pBdr>
    </w:pPr>
    <w:rPr>
      <w:rFonts w:cs="Times New Roman"/>
      <w:sz w:val="18"/>
      <w:szCs w:val="18"/>
    </w:rPr>
  </w:style>
  <w:style w:type="character" w:styleId="1068" w:customStyle="1">
    <w:name w:val="页眉 Char"/>
    <w:link w:val="1067"/>
    <w:qFormat/>
    <w:rPr>
      <w:rFonts w:ascii="Times New Roman" w:hAnsi="Times New Roman" w:cs="Times New Roman"/>
      <w:sz w:val="18"/>
      <w:szCs w:val="18"/>
    </w:rPr>
  </w:style>
  <w:style w:type="paragraph" w:styleId="1069" w:customStyle="1">
    <w:name w:val="列表1"/>
    <w:basedOn w:val="700"/>
    <w:qFormat/>
    <w:pPr>
      <w:ind w:left="200" w:hanging="200"/>
    </w:pPr>
    <w:rPr>
      <w:rFonts w:cs="Times New Roman"/>
    </w:rPr>
  </w:style>
  <w:style w:type="paragraph" w:styleId="1070" w:customStyle="1">
    <w:name w:val="正文文本缩进 31"/>
    <w:basedOn w:val="700"/>
    <w:link w:val="1071"/>
    <w:qFormat/>
    <w:pPr>
      <w:ind w:left="645" w:firstLine="645"/>
    </w:pPr>
    <w:rPr>
      <w:rFonts w:ascii="Arial" w:hAnsi="Arial" w:eastAsia="仿宋_GB2312" w:cs="Arial"/>
      <w:color w:val="ffff00"/>
      <w:sz w:val="32"/>
      <w:szCs w:val="32"/>
    </w:rPr>
  </w:style>
  <w:style w:type="character" w:styleId="1071" w:customStyle="1">
    <w:name w:val="正文文本缩进 3 Char"/>
    <w:link w:val="1070"/>
    <w:qFormat/>
    <w:rPr>
      <w:rFonts w:ascii="Arial" w:hAnsi="Arial" w:eastAsia="仿宋_GB2312" w:cs="Arial"/>
      <w:color w:val="ffff00"/>
      <w:sz w:val="32"/>
      <w:szCs w:val="32"/>
    </w:rPr>
  </w:style>
  <w:style w:type="paragraph" w:styleId="1072" w:customStyle="1">
    <w:name w:val="图表目录1"/>
    <w:basedOn w:val="700"/>
    <w:next w:val="700"/>
    <w:semiHidden/>
    <w:qFormat/>
    <w:pPr>
      <w:ind w:left="840" w:hanging="420"/>
    </w:pPr>
    <w:rPr>
      <w:rFonts w:cs="Times New Roman"/>
    </w:rPr>
  </w:style>
  <w:style w:type="paragraph" w:styleId="1073" w:customStyle="1">
    <w:name w:val="正文文本 21"/>
    <w:basedOn w:val="700"/>
    <w:link w:val="1074"/>
    <w:qFormat/>
    <w:pPr>
      <w:jc w:val="center"/>
      <w:widowControl/>
    </w:pPr>
    <w:rPr>
      <w:rFonts w:ascii="楷体_GB2312" w:eastAsia="楷体_GB2312" w:cs="Times New Roman"/>
      <w:sz w:val="28"/>
      <w:szCs w:val="28"/>
    </w:rPr>
  </w:style>
  <w:style w:type="character" w:styleId="1074" w:customStyle="1">
    <w:name w:val="正文文本 2 Char"/>
    <w:link w:val="1073"/>
    <w:qFormat/>
    <w:rPr>
      <w:rFonts w:ascii="楷体_GB2312" w:hAnsi="Times New Roman" w:eastAsia="楷体_GB2312" w:cs="Times New Roman"/>
      <w:sz w:val="28"/>
      <w:szCs w:val="28"/>
    </w:rPr>
  </w:style>
  <w:style w:type="paragraph" w:styleId="1075" w:customStyle="1">
    <w:name w:val="普通(网站)1"/>
    <w:basedOn w:val="700"/>
    <w:uiPriority w:val="99"/>
    <w:qFormat/>
    <w:pPr>
      <w:jc w:val="left"/>
      <w:spacing w:before="100" w:beforeAutospacing="1" w:after="100" w:afterAutospacing="1"/>
      <w:widowControl/>
    </w:pPr>
    <w:rPr>
      <w:rFonts w:ascii="宋体" w:hAnsi="宋体" w:cs="宋体"/>
      <w:sz w:val="24"/>
      <w:szCs w:val="24"/>
    </w:rPr>
  </w:style>
  <w:style w:type="paragraph" w:styleId="1076" w:customStyle="1">
    <w:name w:val="索引 11"/>
    <w:basedOn w:val="700"/>
    <w:next w:val="700"/>
    <w:semiHidden/>
    <w:qFormat/>
    <w:pPr>
      <w:spacing w:line="240" w:lineRule="atLeast"/>
    </w:pPr>
    <w:rPr>
      <w:rFonts w:cs="Times New Roman"/>
      <w:b/>
      <w:bCs/>
    </w:rPr>
  </w:style>
  <w:style w:type="paragraph" w:styleId="1077" w:customStyle="1">
    <w:name w:val="批注主题1"/>
    <w:basedOn w:val="1051"/>
    <w:next w:val="1051"/>
    <w:link w:val="1078"/>
    <w:semiHidden/>
    <w:qFormat/>
    <w:rPr>
      <w:b/>
      <w:bCs/>
    </w:rPr>
  </w:style>
  <w:style w:type="character" w:styleId="1078" w:customStyle="1">
    <w:name w:val="批注主题 Char"/>
    <w:link w:val="1077"/>
    <w:semiHidden/>
    <w:qFormat/>
    <w:rPr>
      <w:rFonts w:ascii="Times New Roman" w:hAnsi="Times New Roman" w:cs="Times New Roman"/>
      <w:b/>
      <w:bCs/>
      <w:sz w:val="21"/>
      <w:szCs w:val="21"/>
    </w:rPr>
  </w:style>
  <w:style w:type="character" w:styleId="1079" w:customStyle="1">
    <w:name w:val="要点1"/>
    <w:qFormat/>
    <w:rPr>
      <w:b/>
      <w:bCs/>
    </w:rPr>
  </w:style>
  <w:style w:type="character" w:styleId="1080" w:customStyle="1">
    <w:name w:val="页码1"/>
    <w:qFormat/>
  </w:style>
  <w:style w:type="character" w:styleId="1081" w:customStyle="1">
    <w:name w:val="已访问的超链接1"/>
    <w:qFormat/>
    <w:rPr>
      <w:color w:val="800080"/>
      <w:u w:val="single"/>
    </w:rPr>
  </w:style>
  <w:style w:type="character" w:styleId="1082" w:customStyle="1">
    <w:name w:val="超链接1"/>
    <w:qFormat/>
    <w:rPr>
      <w:color w:val="0000ff"/>
      <w:u w:val="single"/>
    </w:rPr>
  </w:style>
  <w:style w:type="character" w:styleId="1083" w:customStyle="1">
    <w:name w:val="批注引用1"/>
    <w:semiHidden/>
    <w:qFormat/>
    <w:rPr>
      <w:sz w:val="21"/>
      <w:szCs w:val="21"/>
    </w:rPr>
  </w:style>
  <w:style w:type="paragraph" w:styleId="1084" w:customStyle="1">
    <w:name w:val="Char1"/>
    <w:basedOn w:val="1049"/>
    <w:qFormat/>
    <w:rPr>
      <w:rFonts w:ascii="Tahoma" w:hAnsi="Tahoma"/>
      <w:sz w:val="24"/>
      <w:szCs w:val="24"/>
    </w:rPr>
  </w:style>
  <w:style w:type="paragraph" w:styleId="1085" w:customStyle="1">
    <w:name w:val="Char Char Char Char Char Char Char Char1"/>
    <w:basedOn w:val="700"/>
    <w:qFormat/>
    <w:pPr>
      <w:jc w:val="left"/>
      <w:spacing w:after="160" w:line="240" w:lineRule="exact"/>
      <w:widowControl/>
    </w:pPr>
    <w:rPr>
      <w:rFonts w:ascii="Verdana" w:hAnsi="Verdana" w:cs="Times New Roman"/>
      <w:sz w:val="20"/>
      <w:szCs w:val="20"/>
      <w:lang w:eastAsia="en-US"/>
    </w:rPr>
  </w:style>
  <w:style w:type="paragraph" w:styleId="1086" w:customStyle="1">
    <w:name w:val="Char Char Char Char1"/>
    <w:basedOn w:val="1049"/>
    <w:qFormat/>
    <w:pPr>
      <w:spacing w:line="360" w:lineRule="auto"/>
    </w:pPr>
    <w:rPr>
      <w:rFonts w:ascii="Tahoma" w:hAnsi="Tahoma"/>
      <w:sz w:val="24"/>
      <w:szCs w:val="24"/>
    </w:rPr>
  </w:style>
  <w:style w:type="paragraph" w:styleId="1087" w:customStyle="1">
    <w:name w:val="无间隔1"/>
    <w:uiPriority w:val="99"/>
    <w:qFormat/>
    <w:pPr>
      <w:jc w:val="both"/>
      <w:widowControl w:val="off"/>
    </w:pPr>
    <w:rPr>
      <w:rFonts w:ascii="Times New Roman" w:hAnsi="Times New Roman" w:cs="Times New Roman"/>
      <w:sz w:val="21"/>
      <w:szCs w:val="21"/>
    </w:rPr>
  </w:style>
  <w:style w:type="character" w:styleId="1088" w:customStyle="1">
    <w:name w:val="font31"/>
    <w:qFormat/>
    <w:rPr>
      <w:rFonts w:ascii="Times New Roman" w:hAnsi="Times New Roman" w:cs="Times New Roman"/>
      <w:color w:val="000000"/>
      <w:sz w:val="21"/>
      <w:szCs w:val="21"/>
      <w:u w:val="none"/>
    </w:rPr>
  </w:style>
  <w:style w:type="paragraph" w:styleId="1089" w:customStyle="1">
    <w:name w:val="xl71"/>
    <w:basedOn w:val="700"/>
    <w:qFormat/>
    <w:pPr>
      <w:jc w:val="center"/>
      <w:spacing w:before="100" w:beforeAutospacing="1" w:after="100" w:afterAutospacing="1"/>
      <w:widowControl/>
    </w:pPr>
    <w:rPr>
      <w:rFonts w:ascii="宋体" w:hAnsi="宋体" w:cs="宋体"/>
      <w:sz w:val="24"/>
      <w:szCs w:val="24"/>
    </w:rPr>
  </w:style>
  <w:style w:type="paragraph" w:styleId="1090" w:customStyle="1">
    <w:name w:val="xl72"/>
    <w:basedOn w:val="700"/>
    <w:qFormat/>
    <w:pPr>
      <w:jc w:val="left"/>
      <w:spacing w:before="100" w:beforeAutospacing="1" w:after="100" w:afterAutospacing="1"/>
      <w:widowControl/>
    </w:pPr>
    <w:rPr>
      <w:rFonts w:ascii="宋体" w:hAnsi="宋体" w:cs="宋体"/>
      <w:sz w:val="24"/>
      <w:szCs w:val="24"/>
    </w:rPr>
  </w:style>
  <w:style w:type="paragraph" w:styleId="1091" w:customStyle="1">
    <w:name w:val="xl73"/>
    <w:basedOn w:val="700"/>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92" w:customStyle="1">
    <w:name w:val="xl74"/>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3" w:customStyle="1">
    <w:name w:val="xl75"/>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4" w:customStyle="1">
    <w:name w:val="xl76"/>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5" w:customStyle="1">
    <w:name w:val="xl77"/>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6" w:customStyle="1">
    <w:name w:val="xl78"/>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7" w:customStyle="1">
    <w:name w:val="xl79"/>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98" w:customStyle="1">
    <w:name w:val="xl80"/>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99" w:customStyle="1">
    <w:name w:val="xl81"/>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0" w:customStyle="1">
    <w:name w:val="xl82"/>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1" w:customStyle="1">
    <w:name w:val="xl83"/>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2" w:customStyle="1">
    <w:name w:val="xl84"/>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3" w:customStyle="1">
    <w:name w:val="修订4"/>
    <w:hidden/>
    <w:uiPriority w:val="99"/>
    <w:unhideWhenUsed/>
    <w:qFormat/>
    <w:rPr>
      <w:rFonts w:ascii="Times New Roman" w:hAnsi="Times New Roman"/>
      <w:sz w:val="21"/>
      <w:szCs w:val="21"/>
    </w:rPr>
  </w:style>
  <w:style w:type="paragraph" w:styleId="1104">
    <w:name w:val="Revision"/>
    <w:hidden/>
    <w:uiPriority w:val="99"/>
    <w:unhideWhenUsed/>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38</cp:revision>
  <dcterms:created xsi:type="dcterms:W3CDTF">2026-06-08T01:12:00Z</dcterms:created>
  <dcterms:modified xsi:type="dcterms:W3CDTF">2026-09-11T09:38:22Z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eyJoZGlkIjoiYThkZmQ5Y2UzYTE4OWNiY2RlNzU1NjQ4ZGQxY2YzNTIiLCJ1c2VySWQiOiIxNzk0NDEyMjkyIn0=</vt:lpwstr>
  </property>
  <property fmtid="{D5CDD505-2E9C-101B-9397-08002B2CF9AE}" pid="3" name="KSOProductBuildVer">
    <vt:lpwstr>2052-12.1.0.28505</vt:lpwstr>
  </property>
  <property fmtid="{D5CDD505-2E9C-101B-9397-08002B2CF9AE}" pid="4" name="ICV">
    <vt:lpwstr>8DD70824A5C2443885F016CF9417AE8D_13</vt:lpwstr>
  </property>
</Properties>
</file>