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spacing w:before="120" w:beforeAutospacing="0" w:after="120" w:afterAutospacing="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pStyle w:val="871"/>
        <w:jc w:val="center"/>
        <w:spacing w:before="120" w:beforeAutospacing="0" w:after="120" w:afterAutospacing="0" w:line="360" w:lineRule="auto"/>
        <w:rPr>
          <w:rFonts w:hint="eastAsia" w:ascii="宋体" w:hAnsi="宋体" w:eastAsia="宋体" w:cs="宋体"/>
          <w:b/>
          <w:color w:val="auto"/>
          <w:sz w:val="84"/>
          <w:szCs w:val="84"/>
          <w:highlight w:val="none"/>
        </w:rPr>
        <w:outlineLvl w:val="9"/>
      </w:pPr>
      <w:r>
        <w:rPr>
          <w:rFonts w:hint="eastAsia" w:ascii="宋体" w:hAnsi="宋体" w:eastAsia="宋体" w:cs="宋体"/>
          <w:b/>
          <w:color w:val="auto"/>
          <w:sz w:val="84"/>
          <w:szCs w:val="84"/>
          <w:highlight w:val="none"/>
        </w:rPr>
      </w:r>
      <w:r/>
    </w:p>
    <w:p>
      <w:pPr>
        <w:pStyle w:val="871"/>
        <w:jc w:val="center"/>
        <w:spacing w:before="120" w:beforeAutospacing="0" w:after="120" w:afterAutospacing="0" w:line="360" w:lineRule="auto"/>
        <w:rPr>
          <w:rFonts w:hint="eastAsia" w:ascii="宋体" w:hAnsi="宋体" w:eastAsia="宋体" w:cs="宋体"/>
          <w:color w:val="auto"/>
          <w:highlight w:val="none"/>
        </w:rPr>
        <w:outlineLvl w:val="9"/>
      </w:pPr>
      <w:r>
        <w:rPr>
          <w:rFonts w:hint="eastAsia" w:ascii="宋体" w:hAnsi="宋体" w:eastAsia="宋体" w:cs="宋体"/>
          <w:b/>
          <w:color w:val="auto"/>
          <w:sz w:val="84"/>
          <w:szCs w:val="84"/>
          <w:highlight w:val="none"/>
        </w:rPr>
        <w:t xml:space="preserve">招 标 文 件</w:t>
      </w:r>
      <w:r/>
    </w:p>
    <w:p>
      <w:pPr>
        <w:pStyle w:val="871"/>
        <w:ind w:firstLine="2249"/>
        <w:spacing w:before="120" w:beforeAutospacing="0" w:after="120" w:afterAutospacing="0" w:line="360" w:lineRule="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pStyle w:val="871"/>
        <w:ind w:firstLine="2249"/>
        <w:spacing w:before="120" w:beforeAutospacing="0" w:after="120" w:afterAutospacing="0" w:line="360" w:lineRule="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pStyle w:val="871"/>
        <w:ind w:firstLine="2249"/>
        <w:spacing w:before="120" w:beforeAutospacing="0" w:after="120" w:afterAutospacing="0" w:line="360" w:lineRule="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pStyle w:val="871"/>
        <w:jc w:val="center"/>
        <w:spacing w:before="120" w:beforeAutospacing="0" w:after="120" w:afterAutospacing="0" w:line="360" w:lineRule="auto"/>
        <w:rPr>
          <w:rFonts w:hint="eastAsia" w:ascii="宋体" w:hAnsi="宋体" w:eastAsia="宋体" w:cs="宋体"/>
          <w:b/>
          <w:color w:val="auto"/>
          <w:sz w:val="32"/>
          <w:szCs w:val="32"/>
          <w:highlight w:val="none"/>
          <w:lang w:eastAsia="zh-CN"/>
        </w:rPr>
        <w:outlineLvl w:val="9"/>
      </w:pPr>
      <w:r>
        <w:rPr>
          <w:rFonts w:hint="eastAsia" w:ascii="宋体" w:hAnsi="宋体" w:eastAsia="宋体" w:cs="宋体"/>
          <w:b/>
          <w:color w:val="auto"/>
          <w:sz w:val="32"/>
          <w:szCs w:val="32"/>
          <w:highlight w:val="none"/>
          <w:lang w:eastAsia="zh-CN"/>
        </w:rPr>
        <w:t xml:space="preserve">项目名称：盐城市综合档案馆物业服务项目</w:t>
      </w:r>
      <w:r/>
    </w:p>
    <w:p>
      <w:pPr>
        <w:pStyle w:val="871"/>
        <w:jc w:val="center"/>
        <w:spacing w:before="120" w:beforeAutospacing="0" w:after="120" w:afterAutospacing="0" w:line="360" w:lineRule="auto"/>
        <w:rPr>
          <w:rFonts w:hint="eastAsia" w:ascii="宋体" w:hAnsi="宋体" w:eastAsia="宋体" w:cs="宋体"/>
          <w:b/>
          <w:color w:val="auto"/>
          <w:sz w:val="32"/>
          <w:szCs w:val="32"/>
          <w:highlight w:val="none"/>
          <w:lang w:eastAsia="zh-CN"/>
        </w:rPr>
        <w:outlineLvl w:val="9"/>
      </w:pPr>
      <w:r>
        <w:rPr>
          <w:rFonts w:hint="eastAsia" w:ascii="宋体" w:hAnsi="宋体" w:eastAsia="宋体" w:cs="宋体"/>
          <w:b/>
          <w:color w:val="auto"/>
          <w:sz w:val="32"/>
          <w:szCs w:val="32"/>
          <w:highlight w:val="none"/>
          <w:lang w:eastAsia="zh-CN"/>
        </w:rPr>
      </w:r>
      <w:r/>
    </w:p>
    <w:p>
      <w:pPr>
        <w:pStyle w:val="871"/>
        <w:jc w:val="center"/>
        <w:spacing w:before="120" w:beforeAutospacing="0" w:after="120" w:afterAutospacing="0" w:line="360" w:lineRule="auto"/>
        <w:rPr>
          <w:rFonts w:hint="eastAsia" w:ascii="宋体" w:hAnsi="宋体" w:eastAsia="宋体" w:cs="宋体"/>
          <w:b/>
          <w:color w:val="auto"/>
          <w:sz w:val="32"/>
          <w:szCs w:val="32"/>
          <w:highlight w:val="none"/>
          <w:lang w:eastAsia="zh-CN"/>
        </w:rPr>
        <w:outlineLvl w:val="9"/>
      </w:pPr>
      <w:r>
        <w:rPr>
          <w:rFonts w:hint="eastAsia" w:ascii="宋体" w:hAnsi="宋体" w:eastAsia="宋体" w:cs="宋体"/>
          <w:b/>
          <w:color w:val="auto"/>
          <w:sz w:val="32"/>
          <w:szCs w:val="32"/>
          <w:highlight w:val="none"/>
          <w:lang w:eastAsia="zh-CN"/>
        </w:rPr>
        <w:t xml:space="preserve">项目编号：JSZC-320900-JZCG-G2026-0067</w:t>
      </w:r>
      <w:r/>
    </w:p>
    <w:p>
      <w:pPr>
        <w:pStyle w:val="871"/>
        <w:spacing w:beforeAutospacing="0" w:afterAutospacing="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pStyle w:val="871"/>
        <w:spacing w:beforeAutospacing="0" w:afterAutospacing="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pStyle w:val="871"/>
        <w:spacing w:beforeAutospacing="0" w:afterAutospacing="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pStyle w:val="871"/>
        <w:spacing w:beforeAutospacing="0" w:afterAutospacing="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pStyle w:val="871"/>
        <w:spacing w:beforeAutospacing="0" w:afterAutospacing="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pStyle w:val="871"/>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t xml:space="preserve">盐城市档案馆</w:t>
      </w:r>
      <w:r/>
    </w:p>
    <w:p>
      <w:pPr>
        <w:pStyle w:val="871"/>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t xml:space="preserve">2026年9月</w:t>
      </w:r>
      <w:r/>
    </w:p>
    <w:p>
      <w:pPr>
        <w:pStyle w:val="871"/>
        <w:jc w:val="center"/>
        <w:spacing w:before="120" w:beforeAutospacing="0" w:after="120" w:afterAutospacing="0" w:line="360" w:lineRule="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pStyle w:val="871"/>
        <w:jc w:val="both"/>
        <w:spacing w:beforeAutospacing="0" w:afterAutospacing="0" w:line="48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jc w:val="center"/>
        <w:spacing w:line="560" w:lineRule="exact"/>
        <w:rPr>
          <w:rFonts w:hint="eastAsia" w:ascii="黑体" w:hAnsi="Showcard Gothic" w:eastAsia="黑体"/>
          <w:sz w:val="40"/>
          <w:szCs w:val="28"/>
        </w:rPr>
        <w:outlineLvl w:val="0"/>
      </w:pPr>
      <w:r>
        <w:rPr>
          <w:rFonts w:hint="eastAsia" w:ascii="黑体" w:hAnsi="Showcard Gothic" w:eastAsia="黑体"/>
          <w:sz w:val="40"/>
          <w:szCs w:val="28"/>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第一章  招标公告………………………………</w:t>
      </w:r>
      <w:r>
        <w:rPr>
          <w:rFonts w:hint="eastAsia" w:ascii="黑体" w:hAnsi="Showcard Gothic" w:eastAsia="黑体"/>
          <w:sz w:val="36"/>
          <w:lang w:val="en-US" w:eastAsia="zh-CN"/>
        </w:rPr>
        <w:t xml:space="preserve">3</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投标人须知……………………………7</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合同文本………………………………28</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 第四章  采购需求………………………………4</w:t>
      </w:r>
      <w:r>
        <w:rPr>
          <w:rFonts w:hint="eastAsia" w:ascii="黑体" w:hAnsi="Showcard Gothic" w:eastAsia="黑体"/>
          <w:sz w:val="36"/>
          <w:lang w:val="en-US" w:eastAsia="zh-CN"/>
        </w:rPr>
        <w:t xml:space="preserve">3</w:t>
      </w:r>
      <w:r/>
    </w:p>
    <w:p>
      <w:pPr>
        <w:jc w:val="center"/>
        <w:spacing w:line="560" w:lineRule="exact"/>
        <w:rPr>
          <w:rFonts w:hint="default" w:ascii="黑体" w:hAnsi="Showcard Gothic" w:eastAsia="黑体"/>
          <w:sz w:val="36"/>
          <w:lang w:val="en-US" w:eastAsia="zh-CN"/>
        </w:rPr>
        <w:outlineLvl w:val="0"/>
      </w:pPr>
      <w:r>
        <w:rPr>
          <w:rFonts w:hint="eastAsia" w:ascii="黑体" w:hAnsi="Showcard Gothic" w:eastAsia="黑体"/>
          <w:sz w:val="36"/>
        </w:rPr>
        <w:t xml:space="preserve"> 第五章  评标方法与评标标准…………………69</w:t>
      </w:r>
      <w:r>
        <w:rPr>
          <w:rFonts w:hint="eastAsia" w:ascii="黑体" w:hAnsi="Showcard Gothic" w:eastAsia="黑体"/>
          <w:sz w:val="36"/>
          <w:lang w:val="en-US" w:eastAsia="zh-CN"/>
        </w:rPr>
      </w:r>
      <w:r/>
    </w:p>
    <w:p>
      <w:pPr>
        <w:jc w:val="center"/>
        <w:spacing w:line="560" w:lineRule="exact"/>
        <w:rPr>
          <w:rFonts w:hint="default" w:ascii="黑体" w:hAnsi="Showcard Gothic" w:eastAsia="黑体"/>
          <w:sz w:val="36"/>
          <w:lang w:val="en-US" w:eastAsia="zh-CN"/>
        </w:rPr>
        <w:outlineLvl w:val="0"/>
      </w:pPr>
      <w:r>
        <w:rPr>
          <w:rFonts w:hint="eastAsia" w:ascii="黑体" w:hAnsi="Showcard Gothic" w:eastAsia="黑体"/>
          <w:sz w:val="36"/>
        </w:rPr>
        <w:t xml:space="preserve"> 第六章  投标文件格式…………………………7</w:t>
      </w:r>
      <w:r>
        <w:rPr>
          <w:rFonts w:hint="eastAsia" w:ascii="黑体" w:hAnsi="Showcard Gothic" w:eastAsia="黑体"/>
          <w:sz w:val="36"/>
          <w:lang w:val="en-US" w:eastAsia="zh-CN"/>
        </w:rPr>
        <w:t xml:space="preserve">5</w:t>
      </w:r>
      <w:r/>
    </w:p>
    <w:p>
      <w:pPr>
        <w:pStyle w:val="871"/>
        <w:jc w:val="both"/>
        <w:spacing w:beforeAutospacing="0" w:afterAutospacing="0" w:line="48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71"/>
        <w:jc w:val="both"/>
        <w:spacing w:beforeAutospacing="0" w:afterAutospacing="0" w:line="48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71"/>
        <w:jc w:val="both"/>
        <w:spacing w:beforeAutospacing="0" w:afterAutospacing="0" w:line="48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71"/>
        <w:jc w:val="both"/>
        <w:spacing w:beforeAutospacing="0" w:afterAutospacing="0" w:line="48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71"/>
        <w:jc w:val="both"/>
        <w:spacing w:beforeAutospacing="0" w:afterAutospacing="0" w:line="48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71"/>
        <w:jc w:val="both"/>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pStyle w:val="871"/>
        <w:jc w:val="both"/>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pStyle w:val="871"/>
        <w:jc w:val="both"/>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pStyle w:val="871"/>
        <w:jc w:val="both"/>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pStyle w:val="871"/>
        <w:jc w:val="both"/>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pStyle w:val="871"/>
        <w:jc w:val="both"/>
        <w:spacing w:beforeAutospacing="0" w:afterAutospacing="0"/>
        <w:rPr>
          <w:rFonts w:hint="eastAsia" w:ascii="宋体" w:hAnsi="宋体" w:eastAsia="宋体" w:cs="宋体"/>
          <w:color w:val="auto"/>
          <w:sz w:val="44"/>
          <w:szCs w:val="44"/>
          <w:highlight w:val="none"/>
        </w:rPr>
        <w:outlineLvl w:val="9"/>
      </w:pPr>
      <w:r>
        <w:rPr>
          <w:rFonts w:hint="eastAsia" w:ascii="宋体" w:hAnsi="宋体" w:eastAsia="宋体" w:cs="宋体"/>
          <w:color w:val="auto"/>
          <w:highlight w:val="none"/>
        </w:rPr>
        <w:t xml:space="preserve"> </w:t>
      </w:r>
      <w:bookmarkStart w:id="0" w:name="_Toc25329"/>
      <w:r/>
      <w:bookmarkStart w:id="1" w:name="_Toc28359009"/>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bookmarkEnd w:id="0"/>
      <w:r/>
      <w:r/>
    </w:p>
    <w:p>
      <w:pPr>
        <w:pStyle w:val="887"/>
        <w:jc w:val="center"/>
        <w:spacing w:beforeAutospacing="0" w:afterAutospacing="0"/>
        <w:rPr>
          <w:rFonts w:ascii="黑体" w:hAnsi="黑体" w:eastAsia="黑体" w:cs="黑体"/>
          <w:sz w:val="44"/>
          <w:szCs w:val="20"/>
        </w:rPr>
        <w:outlineLvl w:val="0"/>
      </w:pPr>
      <w:r/>
      <w:bookmarkStart w:id="2" w:name="_Toc31388"/>
      <w:r>
        <w:rPr>
          <w:rFonts w:hint="eastAsia" w:ascii="黑体" w:hAnsi="黑体" w:eastAsia="黑体" w:cs="黑体"/>
          <w:sz w:val="44"/>
          <w:szCs w:val="20"/>
        </w:rPr>
        <w:t xml:space="preserve">第一章 招标公告</w:t>
      </w:r>
      <w:r/>
    </w:p>
    <w:p>
      <w:pPr>
        <w:ind w:firstLine="482"/>
        <w:jc w:val="left"/>
        <w:spacing w:line="556" w:lineRule="exact"/>
        <w:widowControl/>
        <w:rPr>
          <w:rFonts w:hint="eastAsia" w:ascii="宋体" w:hAnsi="宋体" w:cs="宋体" w:eastAsiaTheme="minorEastAsia"/>
          <w:sz w:val="24"/>
          <w:szCs w:val="20"/>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sz w:val="24"/>
          <w:szCs w:val="20"/>
        </w:rPr>
        <w:t xml:space="preserve">项目概况</w:t>
      </w:r>
      <w:bookmarkEnd w:id="2"/>
      <w:r/>
      <w:r/>
    </w:p>
    <w:p>
      <w:pPr>
        <w:ind w:firstLine="482"/>
        <w:jc w:val="left"/>
        <w:spacing w:line="556" w:lineRule="exact"/>
        <w:widowControl/>
        <w:rPr>
          <w:rFonts w:hint="eastAsia" w:ascii="宋体" w:hAnsi="宋体" w:cs="宋体" w:eastAsiaTheme="minorEastAsia"/>
          <w:sz w:val="24"/>
          <w:szCs w:val="20"/>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sz w:val="24"/>
          <w:szCs w:val="20"/>
          <w:lang w:val="en-US" w:eastAsia="zh-CN"/>
        </w:rPr>
        <w:t xml:space="preserve">盐城市综合档案馆物业服务项目</w:t>
      </w:r>
      <w:r>
        <w:rPr>
          <w:rFonts w:hint="eastAsia" w:ascii="宋体" w:hAnsi="宋体" w:cs="宋体" w:eastAsiaTheme="minorEastAsia"/>
          <w:sz w:val="24"/>
          <w:szCs w:val="20"/>
          <w:lang w:eastAsia="zh-CN"/>
        </w:rPr>
        <w:t xml:space="preserve">JSZC-320900-JZCG-G2026-006</w:t>
      </w:r>
      <w:r>
        <w:rPr>
          <w:rFonts w:hint="eastAsia" w:ascii="宋体" w:hAnsi="宋体" w:cs="宋体"/>
          <w:sz w:val="24"/>
          <w:szCs w:val="20"/>
          <w:lang w:val="en-US" w:eastAsia="zh-CN"/>
        </w:rPr>
        <w:t xml:space="preserve">7</w:t>
      </w:r>
      <w:r>
        <w:rPr>
          <w:rFonts w:hint="eastAsia" w:ascii="宋体" w:hAnsi="宋体" w:cs="宋体" w:eastAsiaTheme="minorEastAsia"/>
          <w:sz w:val="24"/>
          <w:szCs w:val="20"/>
        </w:rPr>
        <w:t xml:space="preserve">的潜在投标人</w:t>
      </w:r>
      <w:r>
        <w:rPr>
          <w:rFonts w:hint="eastAsia" w:ascii="宋体" w:hAnsi="宋体" w:cs="宋体"/>
          <w:sz w:val="24"/>
          <w:szCs w:val="20"/>
          <w:lang w:val="en-US" w:eastAsia="zh-CN"/>
        </w:rPr>
        <w:t xml:space="preserve">应</w:t>
      </w:r>
      <w:r>
        <w:rPr>
          <w:rFonts w:hint="eastAsia" w:ascii="宋体" w:hAnsi="宋体" w:cs="宋体" w:eastAsiaTheme="minorEastAsia"/>
          <w:sz w:val="24"/>
          <w:szCs w:val="20"/>
        </w:rPr>
        <w:t xml:space="preserve">在“苏采云”系统内免费下载（投标人必须在苏采云系统中获取采购文件，方能参与政府采购项目），</w:t>
      </w:r>
      <w:r>
        <w:rPr>
          <w:rFonts w:hint="eastAsia" w:ascii="宋体" w:hAnsi="宋体" w:cs="宋体" w:eastAsiaTheme="minorEastAsia"/>
          <w:sz w:val="24"/>
          <w:szCs w:val="20"/>
        </w:rPr>
        <w:t xml:space="preserve">并于2026年10月22日9点30分（北京时间）前递交投标文件。</w:t>
      </w:r>
      <w:r/>
    </w:p>
    <w:p>
      <w:pPr>
        <w:ind w:firstLine="482"/>
        <w:jc w:val="left"/>
        <w:spacing w:line="556" w:lineRule="exact"/>
        <w:widowControl/>
        <w:rPr>
          <w:rFonts w:hint="eastAsia" w:ascii="宋体" w:hAnsi="宋体" w:cs="宋体" w:eastAsiaTheme="minorEastAsia"/>
          <w:b/>
          <w:bCs/>
          <w:sz w:val="24"/>
          <w:szCs w:val="20"/>
        </w:rPr>
      </w:pPr>
      <w:r/>
      <w:bookmarkStart w:id="3" w:name="_Toc35393621"/>
      <w:r/>
      <w:bookmarkStart w:id="4" w:name="_Toc28359079"/>
      <w:r/>
      <w:bookmarkStart w:id="5" w:name="_Hlk24379207"/>
      <w:r/>
      <w:bookmarkStart w:id="6" w:name="_Toc35393790"/>
      <w:r/>
      <w:bookmarkStart w:id="7" w:name="_Toc38985263"/>
      <w:r/>
      <w:bookmarkStart w:id="8" w:name="_Toc28359002"/>
      <w:r>
        <w:rPr>
          <w:rFonts w:hint="eastAsia" w:ascii="宋体" w:hAnsi="宋体" w:cs="宋体" w:eastAsiaTheme="minorEastAsia"/>
          <w:b/>
          <w:bCs/>
          <w:sz w:val="24"/>
          <w:szCs w:val="20"/>
        </w:rPr>
        <w:t xml:space="preserve">一、项目基本情况</w:t>
      </w:r>
      <w:bookmarkEnd w:id="3"/>
      <w:r/>
      <w:bookmarkEnd w:id="4"/>
      <w:r/>
      <w:bookmarkEnd w:id="5"/>
      <w:r/>
      <w:bookmarkEnd w:id="6"/>
      <w:r/>
      <w:bookmarkEnd w:id="7"/>
      <w:r/>
      <w:bookmarkEnd w:id="8"/>
      <w:r/>
      <w:r/>
    </w:p>
    <w:p>
      <w:pPr>
        <w:ind w:firstLine="482"/>
        <w:jc w:val="left"/>
        <w:spacing w:line="556" w:lineRule="exact"/>
        <w:widowControl/>
        <w:rPr>
          <w:rFonts w:hint="eastAsia" w:ascii="宋体" w:hAnsi="宋体" w:cs="宋体"/>
          <w:sz w:val="24"/>
          <w:szCs w:val="20"/>
          <w:lang w:val="en-US" w:eastAsia="zh-CN"/>
        </w:rPr>
      </w:pPr>
      <w:r>
        <w:rPr>
          <w:rFonts w:hint="eastAsia" w:ascii="宋体" w:hAnsi="宋体" w:cs="宋体" w:eastAsiaTheme="minorEastAsia"/>
          <w:sz w:val="24"/>
          <w:szCs w:val="20"/>
        </w:rPr>
        <w:t xml:space="preserve">1.项目编号：</w:t>
      </w:r>
      <w:r>
        <w:rPr>
          <w:rFonts w:hint="eastAsia" w:ascii="宋体" w:hAnsi="宋体" w:cs="宋体" w:eastAsiaTheme="minorEastAsia"/>
          <w:sz w:val="24"/>
          <w:szCs w:val="20"/>
          <w:lang w:eastAsia="zh-CN"/>
        </w:rPr>
        <w:t xml:space="preserve">JSZC-320900-JZCG-G2026-006</w:t>
      </w:r>
      <w:r>
        <w:rPr>
          <w:rFonts w:hint="eastAsia" w:ascii="宋体" w:hAnsi="宋体" w:cs="宋体"/>
          <w:sz w:val="24"/>
          <w:szCs w:val="20"/>
          <w:lang w:val="en-US" w:eastAsia="zh-CN"/>
        </w:rPr>
        <w:t xml:space="preserve">7</w:t>
      </w:r>
      <w:r/>
    </w:p>
    <w:p>
      <w:pPr>
        <w:ind w:firstLine="482"/>
        <w:jc w:val="left"/>
        <w:spacing w:line="556" w:lineRule="exact"/>
        <w:widowControl/>
        <w:rPr>
          <w:rFonts w:hint="eastAsia" w:ascii="宋体" w:hAnsi="宋体" w:cs="宋体" w:eastAsiaTheme="minorEastAsia"/>
          <w:sz w:val="24"/>
          <w:szCs w:val="20"/>
          <w:lang w:eastAsia="zh-CN"/>
        </w:rPr>
      </w:pPr>
      <w:r>
        <w:rPr>
          <w:rFonts w:hint="eastAsia" w:ascii="宋体" w:hAnsi="宋体" w:cs="宋体" w:eastAsiaTheme="minorEastAsia"/>
          <w:sz w:val="24"/>
          <w:szCs w:val="20"/>
        </w:rPr>
        <w:t xml:space="preserve">2.项目名称：</w:t>
      </w:r>
      <w:r>
        <w:rPr>
          <w:rFonts w:hint="eastAsia" w:ascii="宋体" w:hAnsi="宋体" w:cs="宋体" w:eastAsiaTheme="minorEastAsia"/>
          <w:sz w:val="24"/>
          <w:szCs w:val="20"/>
          <w:lang w:eastAsia="zh-CN"/>
        </w:rPr>
        <w:t xml:space="preserve">盐城市综合档案馆物业服务项目</w:t>
      </w:r>
      <w:r/>
    </w:p>
    <w:p>
      <w:pPr>
        <w:ind w:firstLine="482"/>
        <w:jc w:val="left"/>
        <w:spacing w:line="556" w:lineRule="exact"/>
        <w:widowControl/>
        <w:rPr>
          <w:rFonts w:hint="eastAsia" w:ascii="宋体" w:hAnsi="宋体" w:cs="宋体" w:eastAsiaTheme="minorEastAsia"/>
          <w:sz w:val="24"/>
          <w:szCs w:val="20"/>
          <w:lang w:val="en-US" w:eastAsia="zh-CN"/>
        </w:rPr>
      </w:pPr>
      <w:r>
        <w:rPr>
          <w:rFonts w:hint="eastAsia" w:ascii="宋体" w:hAnsi="宋体" w:cs="宋体" w:eastAsiaTheme="minorEastAsia"/>
          <w:sz w:val="24"/>
          <w:szCs w:val="20"/>
          <w:lang w:val="en-US" w:eastAsia="zh-CN"/>
        </w:rPr>
        <w:t xml:space="preserve">3.</w:t>
      </w:r>
      <w:r>
        <w:rPr>
          <w:rFonts w:hint="eastAsia" w:ascii="宋体" w:hAnsi="宋体" w:cs="宋体" w:eastAsiaTheme="minorEastAsia"/>
          <w:sz w:val="24"/>
          <w:szCs w:val="20"/>
        </w:rPr>
        <w:t xml:space="preserve">采购方式：</w:t>
      </w:r>
      <w:r>
        <w:rPr>
          <w:rFonts w:hint="eastAsia" w:ascii="宋体" w:hAnsi="宋体" w:cs="宋体" w:eastAsiaTheme="minorEastAsia"/>
          <w:sz w:val="24"/>
          <w:szCs w:val="20"/>
          <w:lang w:val="en-US" w:eastAsia="zh-CN"/>
        </w:rPr>
        <w:t xml:space="preserve">公开招标</w:t>
      </w:r>
      <w:r/>
    </w:p>
    <w:p>
      <w:pPr>
        <w:ind w:firstLine="482"/>
        <w:jc w:val="left"/>
        <w:spacing w:line="556" w:lineRule="exact"/>
        <w:widowControl/>
        <w:rPr>
          <w:rFonts w:hint="eastAsia" w:ascii="宋体" w:hAnsi="宋体" w:cs="宋体" w:eastAsiaTheme="minorEastAsia"/>
          <w:sz w:val="24"/>
          <w:szCs w:val="20"/>
        </w:rPr>
      </w:pPr>
      <w:r>
        <w:rPr>
          <w:rFonts w:hint="eastAsia" w:ascii="宋体" w:hAnsi="宋体" w:cs="宋体" w:eastAsiaTheme="minorEastAsia"/>
          <w:sz w:val="24"/>
          <w:szCs w:val="20"/>
          <w:lang w:val="en-US" w:eastAsia="zh-CN"/>
        </w:rPr>
        <w:t xml:space="preserve">4.预算金额：105万元</w:t>
      </w:r>
      <w:r/>
    </w:p>
    <w:p>
      <w:pPr>
        <w:ind w:firstLine="482"/>
        <w:jc w:val="left"/>
        <w:spacing w:line="556" w:lineRule="exact"/>
        <w:widowControl/>
        <w:rPr>
          <w:rFonts w:hint="eastAsia" w:ascii="宋体" w:hAnsi="宋体" w:cs="宋体" w:eastAsiaTheme="minorEastAsia"/>
          <w:sz w:val="24"/>
          <w:szCs w:val="20"/>
        </w:rPr>
      </w:pPr>
      <w:r>
        <w:rPr>
          <w:rFonts w:hint="eastAsia" w:ascii="宋体" w:hAnsi="宋体" w:cs="宋体" w:eastAsiaTheme="minorEastAsia"/>
          <w:sz w:val="24"/>
          <w:szCs w:val="20"/>
          <w:lang w:val="en-US" w:eastAsia="zh-CN"/>
        </w:rPr>
        <w:t xml:space="preserve">5.最高限价：105万元</w:t>
      </w:r>
      <w:r/>
    </w:p>
    <w:p>
      <w:pPr>
        <w:ind w:firstLine="482"/>
        <w:jc w:val="left"/>
        <w:spacing w:line="556" w:lineRule="exact"/>
        <w:widowControl/>
        <w:rPr>
          <w:rFonts w:hint="eastAsia" w:ascii="宋体" w:hAnsi="宋体" w:cs="宋体" w:eastAsiaTheme="minorEastAsia"/>
          <w:sz w:val="24"/>
          <w:szCs w:val="20"/>
        </w:rPr>
      </w:pPr>
      <w:r>
        <w:rPr>
          <w:rFonts w:hint="eastAsia" w:ascii="宋体" w:hAnsi="宋体" w:cs="宋体" w:eastAsiaTheme="minorEastAsia"/>
          <w:sz w:val="24"/>
          <w:szCs w:val="20"/>
          <w:lang w:val="en-US" w:eastAsia="zh-CN"/>
        </w:rPr>
        <w:t xml:space="preserve">6.采购需求（简介）：本项目为盐城市综合档案馆物业管理服务采购，服务范围涵盖档案馆办公区及公共区域的综合物业管理，主要包括安全保卫服务、环境保洁服务、消防监控值班服务、会议接待服务、房屋及水电等设施设备维护服务、绿化养护服务等（详细内容见本招标文件第四章）。</w:t>
      </w:r>
      <w:r/>
    </w:p>
    <w:p>
      <w:pPr>
        <w:ind w:firstLine="482"/>
        <w:jc w:val="left"/>
        <w:spacing w:line="556" w:lineRule="exact"/>
        <w:widowControl/>
        <w:rPr>
          <w:rFonts w:hint="eastAsia" w:ascii="宋体" w:hAnsi="宋体" w:cs="宋体" w:eastAsiaTheme="minorEastAsia"/>
          <w:sz w:val="24"/>
          <w:szCs w:val="20"/>
        </w:rPr>
      </w:pPr>
      <w:r>
        <w:rPr>
          <w:rFonts w:hint="eastAsia" w:ascii="宋体" w:hAnsi="宋体" w:cs="宋体" w:eastAsiaTheme="minorEastAsia"/>
          <w:sz w:val="24"/>
          <w:szCs w:val="20"/>
          <w:lang w:val="en-US" w:eastAsia="zh-CN"/>
        </w:rPr>
        <w:t xml:space="preserve">7.合同履行期限：一年</w:t>
      </w:r>
      <w:r>
        <w:rPr>
          <w:rFonts w:hint="eastAsia" w:ascii="宋体" w:hAnsi="宋体" w:cs="宋体"/>
          <w:sz w:val="24"/>
          <w:szCs w:val="20"/>
          <w:lang w:val="en-US" w:eastAsia="zh-CN"/>
        </w:rPr>
        <w:t xml:space="preserve">。</w:t>
      </w:r>
      <w:r/>
    </w:p>
    <w:p>
      <w:pPr>
        <w:ind w:firstLine="482"/>
        <w:jc w:val="left"/>
        <w:spacing w:line="556" w:lineRule="exact"/>
        <w:widowControl/>
        <w:rPr>
          <w:rFonts w:hint="eastAsia" w:ascii="宋体" w:hAnsi="宋体" w:cs="宋体" w:eastAsiaTheme="minorEastAsia"/>
          <w:sz w:val="24"/>
          <w:szCs w:val="20"/>
          <w:lang w:val="en-US" w:eastAsia="zh-CN"/>
        </w:rPr>
      </w:pPr>
      <w:r/>
      <w:bookmarkStart w:id="9" w:name="_Toc28359018"/>
      <w:r>
        <w:rPr>
          <w:rFonts w:hint="eastAsia" w:ascii="宋体" w:hAnsi="宋体" w:cs="宋体" w:eastAsiaTheme="minorEastAsia"/>
          <w:sz w:val="24"/>
          <w:szCs w:val="20"/>
          <w:lang w:val="en-US" w:eastAsia="zh-CN"/>
        </w:rPr>
        <w:t xml:space="preserve">8.本项目（是/否）接受联合体投标：否。</w:t>
      </w:r>
      <w:r/>
    </w:p>
    <w:p>
      <w:pPr>
        <w:ind w:firstLine="482"/>
        <w:jc w:val="left"/>
        <w:spacing w:line="556" w:lineRule="exact"/>
        <w:widowControl/>
        <w:rPr>
          <w:rFonts w:hint="eastAsia" w:ascii="宋体" w:hAnsi="宋体" w:cs="宋体" w:eastAsiaTheme="minorEastAsia"/>
          <w:b/>
          <w:bCs/>
          <w:sz w:val="24"/>
          <w:szCs w:val="20"/>
          <w:lang w:val="en-US" w:eastAsia="zh-CN"/>
        </w:rPr>
      </w:pPr>
      <w:r>
        <w:rPr>
          <w:rFonts w:hint="eastAsia" w:ascii="宋体" w:hAnsi="宋体" w:cs="宋体" w:eastAsiaTheme="minorEastAsia"/>
          <w:b/>
          <w:bCs/>
          <w:sz w:val="24"/>
          <w:szCs w:val="20"/>
          <w:lang w:val="en-US" w:eastAsia="zh-CN"/>
        </w:rPr>
        <w:t xml:space="preserve">二、申请人的资格要求</w:t>
      </w:r>
      <w:r/>
    </w:p>
    <w:p>
      <w:pPr>
        <w:ind w:firstLine="482"/>
        <w:jc w:val="left"/>
        <w:spacing w:line="556" w:lineRule="exact"/>
        <w:widowControl/>
        <w:rPr>
          <w:rFonts w:hint="eastAsia" w:ascii="宋体" w:hAnsi="宋体" w:cs="宋体" w:eastAsiaTheme="minorEastAsia"/>
          <w:sz w:val="24"/>
          <w:szCs w:val="20"/>
          <w:lang w:val="en-US" w:eastAsia="zh-CN"/>
        </w:rPr>
      </w:pPr>
      <w:r>
        <w:rPr>
          <w:rFonts w:hint="eastAsia" w:ascii="宋体" w:hAnsi="宋体" w:cs="宋体" w:eastAsiaTheme="minorEastAsia"/>
          <w:sz w:val="24"/>
          <w:szCs w:val="20"/>
          <w:lang w:val="en-US" w:eastAsia="zh-CN"/>
        </w:rPr>
        <w:t xml:space="preserve">1.满足《中华人民共和国政府采购法》第二十二条规定，并提供下列材料：</w:t>
      </w:r>
      <w:r/>
    </w:p>
    <w:p>
      <w:pPr>
        <w:ind w:firstLine="482"/>
        <w:jc w:val="left"/>
        <w:spacing w:line="556" w:lineRule="exact"/>
        <w:widowControl/>
        <w:rPr>
          <w:rFonts w:hint="eastAsia" w:ascii="宋体" w:hAnsi="宋体" w:cs="宋体" w:eastAsiaTheme="minorEastAsia"/>
          <w:sz w:val="24"/>
          <w:szCs w:val="20"/>
          <w:lang w:val="en-US" w:eastAsia="zh-CN"/>
        </w:rPr>
      </w:pPr>
      <w:r>
        <w:rPr>
          <w:rFonts w:hint="eastAsia" w:ascii="宋体" w:hAnsi="宋体" w:cs="宋体" w:eastAsiaTheme="minorEastAsia"/>
          <w:sz w:val="24"/>
          <w:szCs w:val="20"/>
          <w:lang w:val="en-US" w:eastAsia="zh-CN"/>
        </w:rPr>
        <w:t xml:space="preserve">1.1 法人或者其他组织的营业执照等证明文件，自然人的身份证明；</w:t>
      </w:r>
      <w:r/>
    </w:p>
    <w:p>
      <w:pPr>
        <w:ind w:firstLine="482"/>
        <w:jc w:val="left"/>
        <w:spacing w:line="556" w:lineRule="exact"/>
        <w:widowControl/>
        <w:rPr>
          <w:rFonts w:hint="eastAsia" w:ascii="宋体" w:hAnsi="宋体" w:cs="宋体" w:eastAsiaTheme="minorEastAsia"/>
          <w:sz w:val="24"/>
          <w:szCs w:val="20"/>
          <w:lang w:val="en-US" w:eastAsia="zh-CN"/>
        </w:rPr>
      </w:pPr>
      <w:r>
        <w:rPr>
          <w:rFonts w:hint="eastAsia" w:ascii="宋体" w:hAnsi="宋体" w:cs="宋体" w:eastAsiaTheme="minorEastAsia"/>
          <w:sz w:val="24"/>
          <w:szCs w:val="20"/>
          <w:lang w:val="en-US" w:eastAsia="zh-CN"/>
        </w:rPr>
        <w:t xml:space="preserve">1.2 上一年度的财务状况报告（成立不满一年无需提供）</w:t>
      </w:r>
      <w:r/>
    </w:p>
    <w:p>
      <w:pPr>
        <w:ind w:firstLine="482"/>
        <w:jc w:val="left"/>
        <w:keepLines w:val="0"/>
        <w:keepNext w:val="0"/>
        <w:pageBreakBefore w:val="0"/>
        <w:spacing w:line="556" w:lineRule="exact"/>
        <w:widowControl w:val="off"/>
        <w:rPr>
          <w:rFonts w:hint="eastAsia" w:ascii="宋体" w:hAnsi="宋体" w:cs="宋体" w:eastAsiaTheme="minorEastAsia"/>
          <w:sz w:val="24"/>
          <w:szCs w:val="20"/>
          <w:lang w:val="en-US" w:eastAsia="zh-CN"/>
        </w:rPr>
      </w:pPr>
      <w:r>
        <w:rPr>
          <w:rFonts w:hint="eastAsia" w:ascii="宋体" w:hAnsi="宋体" w:cs="宋体" w:eastAsiaTheme="minorEastAsia"/>
          <w:sz w:val="24"/>
          <w:szCs w:val="20"/>
          <w:lang w:val="en-US" w:eastAsia="zh-CN"/>
        </w:rPr>
        <w:t xml:space="preserve">1.3具备履行合同所必需的设备和专业技术能力的书面声明；</w:t>
      </w:r>
      <w:r/>
    </w:p>
    <w:p>
      <w:pPr>
        <w:ind w:firstLine="482"/>
        <w:jc w:val="left"/>
        <w:keepLines w:val="0"/>
        <w:keepNext w:val="0"/>
        <w:pageBreakBefore w:val="0"/>
        <w:spacing w:line="556"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1.4依法缴纳税收和社会保障资金的相关材料（提供提交投标文件截止时间前一年内至少一个月依法缴纳税收及缴纳社会保障资金的证明材料。</w:t>
      </w:r>
      <w:r>
        <w:rPr>
          <w:rFonts w:hint="eastAsia" w:ascii="宋体" w:hAnsi="宋体" w:eastAsia="宋体" w:cs="宋体"/>
          <w:color w:val="auto"/>
          <w:sz w:val="24"/>
          <w:szCs w:val="20"/>
          <w:highlight w:val="none"/>
          <w:lang w:val="en-US" w:eastAsia="zh-CN"/>
        </w:rPr>
        <w:t xml:space="preserve">供应商</w:t>
      </w:r>
      <w:r>
        <w:rPr>
          <w:rFonts w:hint="eastAsia" w:ascii="宋体" w:hAnsi="宋体" w:eastAsia="宋体" w:cs="宋体"/>
          <w:color w:val="auto"/>
          <w:sz w:val="24"/>
          <w:szCs w:val="20"/>
          <w:highlight w:val="none"/>
        </w:rPr>
        <w:t xml:space="preserve">依法享受缓缴、免缴税收、社会保障资金的提供证明材料。）</w:t>
      </w:r>
      <w:r/>
    </w:p>
    <w:p>
      <w:pPr>
        <w:ind w:firstLine="48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1.5参加政府采购活动前3年内在经营活动中没有重大违法记录的书面声明。</w:t>
      </w:r>
      <w:r/>
    </w:p>
    <w:p>
      <w:pPr>
        <w:ind w:firstLine="48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1.6法律、行政法规规定的其他条件。</w:t>
      </w:r>
      <w:r/>
    </w:p>
    <w:p>
      <w:pPr>
        <w:ind w:firstLine="48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1.8单位负责人为同一人或者存在直接控股、管理关系的不同</w:t>
      </w:r>
      <w:r>
        <w:rPr>
          <w:rFonts w:hint="eastAsia" w:ascii="宋体" w:hAnsi="宋体" w:eastAsia="宋体" w:cs="宋体"/>
          <w:color w:val="auto"/>
          <w:sz w:val="24"/>
          <w:szCs w:val="20"/>
          <w:highlight w:val="none"/>
          <w:lang w:val="en-US" w:eastAsia="zh-CN"/>
        </w:rPr>
        <w:t xml:space="preserve">供应商</w:t>
      </w:r>
      <w:r>
        <w:rPr>
          <w:rFonts w:hint="eastAsia" w:ascii="宋体" w:hAnsi="宋体" w:eastAsia="宋体" w:cs="宋体"/>
          <w:color w:val="auto"/>
          <w:sz w:val="24"/>
          <w:szCs w:val="20"/>
          <w:highlight w:val="none"/>
        </w:rPr>
        <w:t xml:space="preserve">，不得参加同一合同项下的政府采购活动。</w:t>
      </w:r>
      <w:r>
        <w:rPr>
          <w:rFonts w:hint="eastAsia" w:ascii="宋体" w:hAnsi="宋体" w:eastAsia="宋体" w:cs="宋体"/>
          <w:color w:val="auto"/>
          <w:sz w:val="24"/>
          <w:szCs w:val="20"/>
          <w:highlight w:val="none"/>
          <w:lang w:bidi="ar-SA"/>
        </w:rPr>
        <w:t xml:space="preserve">（投标文件中需提供声明）</w:t>
      </w:r>
      <w:r/>
    </w:p>
    <w:p>
      <w:pPr>
        <w:ind w:firstLine="480"/>
        <w:spacing w:line="560" w:lineRule="exact"/>
        <w:widowControl/>
        <w:rPr>
          <w:rFonts w:hint="eastAsia" w:ascii="宋体" w:hAnsi="宋体" w:eastAsia="宋体" w:cs="宋体"/>
          <w:b/>
          <w:bCs/>
          <w:color w:val="auto"/>
          <w:sz w:val="24"/>
          <w:szCs w:val="20"/>
          <w:highlight w:val="none"/>
        </w:rPr>
        <w:outlineLvl w:val="9"/>
      </w:pPr>
      <w:r>
        <w:rPr>
          <w:rFonts w:hint="eastAsia" w:ascii="宋体" w:hAnsi="宋体" w:eastAsia="宋体" w:cs="宋体"/>
          <w:color w:val="auto"/>
          <w:sz w:val="24"/>
          <w:szCs w:val="20"/>
          <w:highlight w:val="none"/>
        </w:rPr>
        <w:t xml:space="preserve">2.落实政府采购政策需满足的资格要求：</w:t>
      </w:r>
      <w:r>
        <w:rPr>
          <w:rFonts w:hint="eastAsia" w:ascii="宋体" w:hAnsi="宋体" w:eastAsia="宋体" w:cs="宋体"/>
          <w:b/>
          <w:bCs/>
          <w:color w:val="auto"/>
          <w:sz w:val="24"/>
          <w:szCs w:val="20"/>
          <w:highlight w:val="none"/>
        </w:rPr>
        <w:t xml:space="preserve">本项目专门面向中小企业采购。采购标的的所属行业为</w:t>
      </w:r>
      <w:r>
        <w:rPr>
          <w:rFonts w:hint="eastAsia" w:ascii="宋体" w:hAnsi="宋体" w:eastAsia="宋体" w:cs="宋体"/>
          <w:b/>
          <w:bCs/>
          <w:color w:val="auto"/>
          <w:sz w:val="24"/>
          <w:szCs w:val="20"/>
          <w:highlight w:val="none"/>
          <w:lang w:val="en-US" w:eastAsia="zh-CN"/>
        </w:rPr>
        <w:t xml:space="preserve">物业管理</w:t>
      </w:r>
      <w:r>
        <w:rPr>
          <w:rFonts w:hint="eastAsia" w:ascii="宋体" w:hAnsi="宋体" w:eastAsia="宋体" w:cs="宋体"/>
          <w:b/>
          <w:bCs/>
          <w:color w:val="auto"/>
          <w:sz w:val="24"/>
          <w:szCs w:val="20"/>
          <w:highlight w:val="none"/>
        </w:rPr>
        <w:t xml:space="preserve">，投标人需按照采购文件的要求提供相应的《中小企业声明函》。企业标准请参照《关于印发中小企业划型标准规定的通知》（工信部联企业</w:t>
      </w:r>
      <w:r>
        <w:rPr>
          <w:rFonts w:hint="eastAsia" w:ascii="宋体" w:hAnsi="宋体" w:eastAsia="宋体" w:cs="宋体"/>
          <w:b/>
          <w:bCs/>
          <w:color w:val="auto"/>
          <w:sz w:val="24"/>
          <w:szCs w:val="20"/>
          <w:highlight w:val="none"/>
          <w:lang w:eastAsia="zh-CN"/>
        </w:rPr>
        <w:t xml:space="preserve">〔2011〕300号</w:t>
      </w:r>
      <w:r>
        <w:rPr>
          <w:rFonts w:hint="eastAsia" w:ascii="宋体" w:hAnsi="宋体" w:eastAsia="宋体" w:cs="宋体"/>
          <w:b/>
          <w:bCs/>
          <w:color w:val="auto"/>
          <w:sz w:val="24"/>
          <w:szCs w:val="20"/>
          <w:highlight w:val="none"/>
        </w:rPr>
        <w:t xml:space="preserve">）文件规定自行填写。</w:t>
      </w:r>
      <w:r/>
    </w:p>
    <w:p>
      <w:pPr>
        <w:ind w:firstLine="480"/>
        <w:spacing w:line="560" w:lineRule="exact"/>
        <w:widowControl/>
        <w:rPr>
          <w:rFonts w:hint="eastAsia" w:ascii="宋体" w:hAnsi="宋体" w:eastAsia="宋体" w:cs="宋体"/>
          <w:strike/>
          <w:color w:val="auto"/>
          <w:sz w:val="24"/>
          <w:szCs w:val="20"/>
          <w:highlight w:val="none"/>
        </w:rPr>
        <w:outlineLvl w:val="9"/>
      </w:pPr>
      <w:r>
        <w:rPr>
          <w:rFonts w:hint="eastAsia" w:ascii="宋体" w:hAnsi="宋体" w:eastAsia="宋体" w:cs="宋体"/>
          <w:color w:val="auto"/>
          <w:sz w:val="24"/>
          <w:szCs w:val="20"/>
          <w:highlight w:val="none"/>
        </w:rPr>
        <w:t xml:space="preserve">3.本项目的特定资格要求：</w:t>
      </w:r>
      <w:r>
        <w:rPr>
          <w:rFonts w:hint="eastAsia" w:ascii="宋体" w:hAnsi="宋体" w:eastAsia="宋体" w:cs="宋体"/>
          <w:color w:val="auto"/>
          <w:sz w:val="24"/>
          <w:szCs w:val="20"/>
          <w:highlight w:val="none"/>
          <w:u w:val="none"/>
        </w:rPr>
        <w:t xml:space="preserve">无</w:t>
      </w:r>
      <w:r/>
    </w:p>
    <w:p>
      <w:pPr>
        <w:ind w:firstLine="480"/>
        <w:spacing w:line="560" w:lineRule="exact"/>
        <w:widowControl/>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三、获取招标文件</w:t>
      </w:r>
      <w:r/>
    </w:p>
    <w:p>
      <w:pPr>
        <w:ind w:firstLine="480"/>
        <w:spacing w:line="560" w:lineRule="exact"/>
        <w:widowControl/>
        <w:rPr>
          <w:rFonts w:hint="eastAsia" w:ascii="宋体" w:hAnsi="宋体" w:eastAsia="宋体" w:cs="宋体"/>
          <w:color w:val="auto"/>
          <w:sz w:val="24"/>
          <w:szCs w:val="20"/>
          <w:highlight w:val="none"/>
        </w:rPr>
        <w:outlineLvl w:val="9"/>
      </w:pPr>
      <w:r/>
      <w:bookmarkStart w:id="10" w:name="_Toc28359082"/>
      <w:r/>
      <w:bookmarkStart w:id="11" w:name="_Toc35393793"/>
      <w:r/>
      <w:bookmarkStart w:id="12" w:name="_Toc35393624"/>
      <w:r/>
      <w:bookmarkStart w:id="13" w:name="_Toc38985266"/>
      <w:r/>
      <w:bookmarkStart w:id="14" w:name="_Toc28359005"/>
      <w:r>
        <w:rPr>
          <w:rFonts w:hint="eastAsia" w:ascii="宋体" w:hAnsi="宋体" w:eastAsia="宋体" w:cs="宋体"/>
          <w:color w:val="auto"/>
          <w:sz w:val="24"/>
          <w:szCs w:val="20"/>
          <w:highlight w:val="none"/>
        </w:rPr>
        <w:t xml:space="preserve">1.时间：</w:t>
      </w:r>
      <w:bookmarkEnd w:id="10"/>
      <w:r/>
      <w:bookmarkEnd w:id="11"/>
      <w:r/>
      <w:bookmarkEnd w:id="12"/>
      <w:r/>
      <w:bookmarkEnd w:id="13"/>
      <w:r/>
      <w:bookmarkEnd w:id="14"/>
      <w:r>
        <w:rPr>
          <w:rFonts w:hint="eastAsia" w:ascii="宋体" w:hAnsi="宋体" w:eastAsia="宋体" w:cs="宋体"/>
          <w:color w:val="auto"/>
          <w:sz w:val="24"/>
          <w:szCs w:val="20"/>
          <w:highlight w:val="none"/>
        </w:rPr>
        <w:t xml:space="preserve">自招标文件公告发布之日起5个工作日 </w:t>
      </w:r>
      <w:r/>
    </w:p>
    <w:p>
      <w:pPr>
        <w:ind w:firstLine="48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2.地点：“苏采云”系统内免费下载（</w:t>
      </w:r>
      <w:r>
        <w:rPr>
          <w:rFonts w:hint="eastAsia" w:ascii="宋体" w:hAnsi="宋体" w:eastAsia="宋体" w:cs="宋体"/>
          <w:color w:val="auto"/>
          <w:sz w:val="24"/>
          <w:szCs w:val="20"/>
          <w:highlight w:val="none"/>
          <w:lang w:val="en-US" w:eastAsia="zh-CN"/>
        </w:rPr>
        <w:t xml:space="preserve">供应商</w:t>
      </w:r>
      <w:r>
        <w:rPr>
          <w:rFonts w:hint="eastAsia" w:ascii="宋体" w:hAnsi="宋体" w:eastAsia="宋体" w:cs="宋体"/>
          <w:color w:val="auto"/>
          <w:sz w:val="24"/>
          <w:szCs w:val="20"/>
          <w:highlight w:val="none"/>
        </w:rPr>
        <w:t xml:space="preserve">必须在苏采云系统中获取</w:t>
      </w:r>
      <w:r>
        <w:rPr>
          <w:rFonts w:hint="eastAsia" w:ascii="宋体" w:hAnsi="宋体" w:eastAsia="宋体" w:cs="宋体"/>
          <w:color w:val="auto"/>
          <w:sz w:val="24"/>
          <w:szCs w:val="20"/>
          <w:highlight w:val="none"/>
          <w:lang w:val="en-US" w:eastAsia="zh-CN"/>
        </w:rPr>
        <w:t xml:space="preserve">采购</w:t>
      </w:r>
      <w:r>
        <w:rPr>
          <w:rFonts w:hint="eastAsia" w:ascii="宋体" w:hAnsi="宋体" w:eastAsia="宋体" w:cs="宋体"/>
          <w:color w:val="auto"/>
          <w:sz w:val="24"/>
          <w:szCs w:val="20"/>
          <w:highlight w:val="none"/>
        </w:rPr>
        <w:t xml:space="preserve">文件，方能参与政府采购项目）； </w:t>
      </w:r>
      <w:r/>
    </w:p>
    <w:p>
      <w:pPr>
        <w:ind w:firstLine="48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3.方式：本项目采用网上注册登记方式。 </w:t>
      </w:r>
      <w:r/>
    </w:p>
    <w:p>
      <w:pPr>
        <w:ind w:firstLine="48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4.售价：0元</w:t>
      </w:r>
      <w:r/>
    </w:p>
    <w:p>
      <w:pPr>
        <w:ind w:firstLine="480"/>
        <w:spacing w:line="560" w:lineRule="exact"/>
        <w:widowControl/>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四、提交投标文件截止时间、开标时间和地点</w:t>
      </w:r>
      <w:r/>
    </w:p>
    <w:p>
      <w:pPr>
        <w:ind w:firstLine="48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1.时间：2026年</w:t>
      </w:r>
      <w:r>
        <w:rPr>
          <w:rFonts w:hint="eastAsia" w:ascii="宋体" w:hAnsi="宋体" w:eastAsia="宋体" w:cs="宋体"/>
          <w:color w:val="auto"/>
          <w:sz w:val="24"/>
          <w:szCs w:val="20"/>
          <w:highlight w:val="none"/>
          <w:lang w:val="en-US" w:eastAsia="zh-CN"/>
        </w:rPr>
        <w:t xml:space="preserve">10</w:t>
      </w:r>
      <w:r>
        <w:rPr>
          <w:rFonts w:hint="eastAsia" w:ascii="宋体" w:hAnsi="宋体" w:eastAsia="宋体" w:cs="宋体"/>
          <w:color w:val="auto"/>
          <w:sz w:val="24"/>
          <w:szCs w:val="20"/>
          <w:highlight w:val="none"/>
        </w:rPr>
        <w:t xml:space="preserve">月22日</w:t>
      </w:r>
      <w:r>
        <w:rPr>
          <w:rFonts w:hint="eastAsia" w:ascii="宋体" w:hAnsi="宋体" w:eastAsia="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rPr>
        <w:t xml:space="preserve">点</w:t>
      </w:r>
      <w:r>
        <w:rPr>
          <w:rFonts w:hint="eastAsia" w:ascii="宋体" w:hAnsi="宋体" w:eastAsia="宋体" w:cs="宋体"/>
          <w:color w:val="auto"/>
          <w:sz w:val="24"/>
          <w:szCs w:val="20"/>
          <w:highlight w:val="none"/>
          <w:lang w:val="en-US" w:eastAsia="zh-CN"/>
        </w:rPr>
        <w:t xml:space="preserve">30</w:t>
      </w:r>
      <w:r>
        <w:rPr>
          <w:rFonts w:hint="eastAsia" w:ascii="宋体" w:hAnsi="宋体" w:eastAsia="宋体" w:cs="宋体"/>
          <w:color w:val="auto"/>
          <w:sz w:val="24"/>
          <w:szCs w:val="20"/>
          <w:highlight w:val="none"/>
        </w:rPr>
        <w:t xml:space="preserve">分（北京时间）</w:t>
      </w:r>
      <w:r/>
    </w:p>
    <w:p>
      <w:pPr>
        <w:ind w:firstLine="48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2.地点：苏采云“不见面”开标大厅。</w:t>
      </w:r>
      <w:r/>
    </w:p>
    <w:p>
      <w:pPr>
        <w:ind w:firstLine="480"/>
        <w:spacing w:line="560" w:lineRule="exact"/>
        <w:widowControl/>
        <w:rPr>
          <w:rFonts w:hint="eastAsia" w:ascii="宋体" w:hAnsi="宋体" w:eastAsia="宋体" w:cs="宋体"/>
          <w:b/>
          <w:bCs/>
          <w:color w:val="auto"/>
          <w:sz w:val="24"/>
          <w:szCs w:val="20"/>
          <w:highlight w:val="none"/>
        </w:rPr>
        <w:outlineLvl w:val="9"/>
      </w:pPr>
      <w:r/>
      <w:bookmarkStart w:id="15" w:name="_Toc38985267"/>
      <w:r/>
      <w:bookmarkStart w:id="16" w:name="_Toc35393625"/>
      <w:r/>
      <w:bookmarkStart w:id="17" w:name="_Toc35393794"/>
      <w:r/>
      <w:bookmarkStart w:id="18" w:name="_Toc28359007"/>
      <w:r/>
      <w:bookmarkStart w:id="19" w:name="_Toc28359084"/>
      <w:r>
        <w:rPr>
          <w:rFonts w:hint="eastAsia" w:ascii="宋体" w:hAnsi="宋体" w:eastAsia="宋体" w:cs="宋体"/>
          <w:b/>
          <w:bCs/>
          <w:color w:val="auto"/>
          <w:sz w:val="24"/>
          <w:szCs w:val="20"/>
          <w:highlight w:val="none"/>
        </w:rPr>
        <w:t xml:space="preserve">五、公告期限</w:t>
      </w:r>
      <w:bookmarkEnd w:id="15"/>
      <w:r/>
      <w:bookmarkEnd w:id="16"/>
      <w:r/>
      <w:bookmarkEnd w:id="17"/>
      <w:r/>
      <w:bookmarkEnd w:id="18"/>
      <w:r/>
      <w:bookmarkEnd w:id="19"/>
      <w:r/>
      <w:r/>
    </w:p>
    <w:p>
      <w:pPr>
        <w:ind w:firstLine="480"/>
        <w:spacing w:line="560" w:lineRule="exact"/>
        <w:widowControl/>
        <w:rPr>
          <w:rFonts w:hint="eastAsia" w:ascii="宋体" w:hAnsi="宋体" w:eastAsia="宋体" w:cs="宋体"/>
          <w:color w:val="auto"/>
          <w:sz w:val="24"/>
          <w:szCs w:val="20"/>
          <w:highlight w:val="none"/>
        </w:rPr>
        <w:outlineLvl w:val="9"/>
      </w:pPr>
      <w:r/>
      <w:bookmarkStart w:id="20" w:name="_Toc38985268"/>
      <w:r/>
      <w:bookmarkStart w:id="21" w:name="_Toc35393626"/>
      <w:r/>
      <w:bookmarkStart w:id="22" w:name="_Toc35393795"/>
      <w:r>
        <w:rPr>
          <w:rFonts w:hint="eastAsia" w:ascii="宋体" w:hAnsi="宋体" w:eastAsia="宋体" w:cs="宋体"/>
          <w:color w:val="auto"/>
          <w:sz w:val="24"/>
          <w:szCs w:val="20"/>
          <w:highlight w:val="none"/>
        </w:rPr>
        <w:t xml:space="preserve">自本公告发布之日起5个工作日。</w:t>
      </w:r>
      <w:bookmarkEnd w:id="20"/>
      <w:r/>
      <w:bookmarkEnd w:id="21"/>
      <w:r/>
      <w:bookmarkEnd w:id="22"/>
      <w:r/>
      <w:r/>
    </w:p>
    <w:p>
      <w:pPr>
        <w:ind w:firstLine="480"/>
        <w:spacing w:line="560" w:lineRule="exact"/>
        <w:widowControl/>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六、其他补充事宜</w:t>
      </w:r>
      <w:r/>
    </w:p>
    <w:p>
      <w:pPr>
        <w:ind w:firstLine="480"/>
        <w:spacing w:line="560" w:lineRule="exact"/>
        <w:widowControl/>
        <w:rPr>
          <w:rFonts w:hint="eastAsia"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560" w:lineRule="exact"/>
        <w:widowControl/>
        <w:rPr>
          <w:rFonts w:hint="eastAsia"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spacing w:line="560" w:lineRule="exact"/>
        <w:widowControl/>
        <w:rPr>
          <w:rFonts w:hint="eastAsia"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2.潜在供应商访问电子招标响应交易平台的网络地址和方法：</w:t>
      </w:r>
      <w:r/>
    </w:p>
    <w:p>
      <w:pPr>
        <w:ind w:firstLine="480"/>
        <w:spacing w:line="560" w:lineRule="exact"/>
        <w:widowControl/>
        <w:rPr>
          <w:rFonts w:hint="eastAsia"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spacing w:line="560" w:lineRule="exact"/>
        <w:widowControl/>
        <w:rPr>
          <w:rFonts w:hint="eastAsia"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2.2 潜在投标人访问“苏采云”系统方法：江苏省政府采购网首页-“苏采云”链接。</w:t>
      </w:r>
      <w:r/>
    </w:p>
    <w:p>
      <w:pPr>
        <w:ind w:firstLine="480"/>
        <w:spacing w:line="560" w:lineRule="exact"/>
        <w:widowControl/>
        <w:rPr>
          <w:rFonts w:hint="eastAsia"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2.3 采购文件（后缀名为“.kedt”）、供应商操作手册及政府采购客户端 工具可通过“苏采云”系统相应链接进行下载。</w:t>
      </w:r>
      <w:r/>
    </w:p>
    <w:p>
      <w:pPr>
        <w:ind w:firstLine="480"/>
        <w:spacing w:line="560" w:lineRule="exact"/>
        <w:widowControl/>
        <w:rPr>
          <w:rFonts w:hint="eastAsia"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2.4 采购代理机构将数据电文形式的采购文件加载至“苏采云”系统，供潜在供应商下载或者查阅。</w:t>
      </w:r>
      <w:r/>
    </w:p>
    <w:p>
      <w:pPr>
        <w:ind w:firstLine="480"/>
        <w:spacing w:line="560" w:lineRule="exact"/>
        <w:widowControl/>
        <w:rPr>
          <w:rFonts w:hint="eastAsia"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2.5 请潜在投标单位提前安装相应的控件（详见《“苏采云”系统供应商操作手册》）并使用谷歌浏览器登录“苏采云”系统参与不见面开评标。</w:t>
      </w:r>
      <w:r/>
    </w:p>
    <w:p>
      <w:pPr>
        <w:ind w:firstLine="480"/>
        <w:spacing w:line="560" w:lineRule="exact"/>
        <w:widowControl/>
        <w:rPr>
          <w:rFonts w:hint="eastAsia"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如潜在投标人未按上述要求操作，将自行承担所产生的风险。</w:t>
      </w:r>
      <w:r/>
    </w:p>
    <w:p>
      <w:pPr>
        <w:ind w:firstLine="480"/>
        <w:spacing w:line="560" w:lineRule="exact"/>
        <w:widowControl/>
        <w:rPr>
          <w:rFonts w:hint="eastAsia"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3.有关本次招标的事项若存在变动或修改，敬请及时关注盐城市政府采购中心在“中国政府采购网”、“江苏政府采购网”“盐城市政府采购网”发布的更正公告。</w:t>
      </w:r>
      <w:r/>
    </w:p>
    <w:p>
      <w:pPr>
        <w:ind w:firstLine="480"/>
        <w:spacing w:line="560" w:lineRule="exact"/>
        <w:widowControl/>
        <w:rPr>
          <w:rFonts w:hint="eastAsia"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4.本次招标不收取投标保证金，不收取质量保证金。</w:t>
      </w:r>
      <w:r/>
    </w:p>
    <w:p>
      <w:pPr>
        <w:ind w:firstLine="480"/>
        <w:spacing w:line="560" w:lineRule="exact"/>
        <w:widowControl/>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七、对本次招标提出询问，请按以下方式联系。</w:t>
      </w:r>
      <w:bookmarkEnd w:id="9"/>
      <w:r/>
      <w:r/>
    </w:p>
    <w:p>
      <w:pPr>
        <w:ind w:firstLine="480"/>
        <w:spacing w:line="560" w:lineRule="exact"/>
        <w:widowControl/>
        <w:rPr>
          <w:rFonts w:hint="eastAsia" w:ascii="宋体" w:hAnsi="宋体" w:eastAsia="宋体" w:cs="宋体"/>
          <w:b/>
          <w:bCs/>
          <w:color w:val="auto"/>
          <w:sz w:val="24"/>
          <w:szCs w:val="20"/>
          <w:highlight w:val="none"/>
          <w:lang w:val="en-US" w:eastAsia="zh-CN"/>
        </w:rPr>
        <w:outlineLvl w:val="9"/>
      </w:pPr>
      <w:r>
        <w:rPr>
          <w:rFonts w:hint="eastAsia" w:ascii="宋体" w:hAnsi="宋体" w:eastAsia="宋体" w:cs="宋体"/>
          <w:b/>
          <w:bCs/>
          <w:color w:val="auto"/>
          <w:sz w:val="24"/>
          <w:szCs w:val="20"/>
          <w:highlight w:val="none"/>
          <w:lang w:val="en-US" w:eastAsia="zh-CN"/>
        </w:rPr>
        <w:t xml:space="preserve">1.采购人信息</w:t>
      </w:r>
      <w:r/>
    </w:p>
    <w:p>
      <w:pPr>
        <w:ind w:firstLine="480"/>
        <w:spacing w:line="560" w:lineRule="exact"/>
        <w:widowControl/>
        <w:rPr>
          <w:rFonts w:hint="eastAsia"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名    称：盐城市档案馆</w:t>
      </w:r>
      <w:r/>
    </w:p>
    <w:p>
      <w:pPr>
        <w:ind w:firstLine="480"/>
        <w:spacing w:line="560" w:lineRule="exact"/>
        <w:widowControl/>
        <w:rPr>
          <w:rFonts w:hint="eastAsia"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地    址：盐城市毓龙东路22号</w:t>
      </w:r>
      <w:r/>
    </w:p>
    <w:p>
      <w:pPr>
        <w:ind w:firstLine="480"/>
        <w:spacing w:line="560" w:lineRule="exact"/>
        <w:widowControl/>
        <w:rPr>
          <w:rFonts w:hint="eastAsia"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联 系 人：黄先生</w:t>
      </w:r>
      <w:r/>
    </w:p>
    <w:p>
      <w:pPr>
        <w:ind w:firstLine="480"/>
        <w:spacing w:line="560" w:lineRule="exact"/>
        <w:widowControl/>
        <w:rPr>
          <w:rFonts w:hint="eastAsia"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en-US" w:eastAsia="zh-CN"/>
        </w:rPr>
        <w:t xml:space="preserve">联系方式：13485247782            </w:t>
      </w:r>
      <w:r/>
    </w:p>
    <w:p>
      <w:pPr>
        <w:ind w:firstLine="482"/>
        <w:jc w:val="left"/>
        <w:spacing w:line="556" w:lineRule="exact"/>
        <w:widowControl/>
        <w:rPr>
          <w:rFonts w:ascii="宋体" w:hAnsi="宋体" w:cs="宋体" w:eastAsiaTheme="minorEastAsia"/>
          <w:b/>
          <w:bCs/>
          <w:sz w:val="24"/>
          <w:szCs w:val="20"/>
        </w:rPr>
      </w:pPr>
      <w:r/>
      <w:bookmarkStart w:id="23" w:name="_Toc120614211"/>
      <w:r>
        <w:rPr>
          <w:rFonts w:hint="eastAsia" w:ascii="宋体" w:hAnsi="宋体" w:cs="宋体" w:eastAsiaTheme="minorEastAsia"/>
          <w:b/>
          <w:bCs/>
          <w:sz w:val="24"/>
          <w:szCs w:val="20"/>
        </w:rPr>
        <w:t xml:space="preserve">2.采购代理机构信息</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名    称：盐城市政府采购中心</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地    址：盐城市府西路1号市公共资源交易中心5楼</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联 系 人：顾女士</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联系方式：0515-86665092</w:t>
      </w:r>
      <w:r/>
    </w:p>
    <w:p>
      <w:pPr>
        <w:ind w:firstLine="482"/>
        <w:jc w:val="left"/>
        <w:spacing w:line="556" w:lineRule="exact"/>
        <w:widowControl/>
        <w:rPr>
          <w:rFonts w:ascii="宋体" w:hAnsi="宋体" w:cs="宋体" w:eastAsiaTheme="minorEastAsia"/>
          <w:b/>
          <w:bCs/>
          <w:sz w:val="24"/>
          <w:szCs w:val="20"/>
        </w:rPr>
      </w:pPr>
      <w:r>
        <w:rPr>
          <w:rFonts w:hint="eastAsia" w:ascii="宋体" w:hAnsi="宋体" w:cs="宋体" w:eastAsiaTheme="minorEastAsia"/>
          <w:b/>
          <w:bCs/>
          <w:sz w:val="24"/>
          <w:szCs w:val="20"/>
        </w:rPr>
        <w:t xml:space="preserve"> 3.项目联系方式</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项目联系人：顾女士</w:t>
      </w:r>
      <w:r/>
    </w:p>
    <w:p>
      <w:pPr>
        <w:ind w:firstLine="482"/>
        <w:jc w:val="left"/>
        <w:spacing w:line="556" w:lineRule="exact"/>
        <w:widowControl/>
        <w:rPr>
          <w:rFonts w:ascii="宋体" w:hAnsi="宋体" w:cs="宋体" w:eastAsiaTheme="minorEastAsia"/>
          <w:sz w:val="24"/>
          <w:szCs w:val="20"/>
        </w:rPr>
      </w:pPr>
      <w:r>
        <w:rPr>
          <w:rFonts w:hint="eastAsia" w:ascii="宋体" w:hAnsi="宋体" w:cs="宋体" w:eastAsiaTheme="minorEastAsia"/>
          <w:sz w:val="24"/>
          <w:szCs w:val="20"/>
        </w:rPr>
        <w:t xml:space="preserve">电      话：0515-86665092</w:t>
      </w:r>
      <w:r/>
    </w:p>
    <w:p>
      <w:pPr>
        <w:ind w:firstLine="480"/>
        <w:jc w:val="left"/>
        <w:keepLines w:val="0"/>
        <w:keepNext w:val="0"/>
        <w:spacing w:line="560" w:lineRule="exact"/>
        <w:widowControl/>
        <w:rPr>
          <w:rFonts w:hint="eastAsia" w:ascii="宋体" w:hAnsi="宋体" w:eastAsia="宋体" w:cs="宋体"/>
          <w:color w:val="auto"/>
          <w:sz w:val="24"/>
          <w:szCs w:val="20"/>
          <w:highlight w:val="none"/>
          <w:lang w:val="en-US" w:eastAsia="zh-CN" w:bidi="ar-SA"/>
        </w:rPr>
        <w:outlineLvl w:val="9"/>
        <w:suppressLineNumbers w:val="0"/>
      </w:pPr>
      <w:r>
        <w:rPr>
          <w:rFonts w:hint="eastAsia" w:ascii="宋体" w:hAnsi="宋体" w:eastAsia="宋体" w:cs="宋体"/>
          <w:color w:val="auto"/>
          <w:sz w:val="24"/>
          <w:szCs w:val="20"/>
          <w:highlight w:val="none"/>
          <w:lang w:val="en-US" w:eastAsia="zh-CN" w:bidi="ar-SA"/>
        </w:rPr>
        <w:br w:type="page" w:clear="all"/>
      </w:r>
      <w:bookmarkEnd w:id="23"/>
      <w:r/>
      <w:r/>
    </w:p>
    <w:p>
      <w:pPr>
        <w:pStyle w:val="887"/>
        <w:jc w:val="center"/>
        <w:spacing w:beforeAutospacing="0" w:afterAutospacing="0"/>
        <w:rPr>
          <w:rFonts w:ascii="黑体" w:hAnsi="黑体" w:eastAsia="黑体" w:cs="黑体"/>
          <w:sz w:val="44"/>
          <w:szCs w:val="44"/>
        </w:rPr>
        <w:outlineLvl w:val="0"/>
      </w:pPr>
      <w:r/>
      <w:bookmarkStart w:id="24" w:name="_Toc23635"/>
      <w:r/>
      <w:bookmarkStart w:id="25" w:name="_Toc16938519"/>
      <w:r/>
      <w:bookmarkStart w:id="26" w:name="_Toc20823275"/>
      <w:r/>
      <w:bookmarkStart w:id="27" w:name="_Toc513029203"/>
      <w:r/>
      <w:bookmarkStart w:id="28" w:name="_Toc120614214"/>
      <w:r/>
      <w:bookmarkStart w:id="29" w:name="_Hlt26670360"/>
      <w:r/>
      <w:bookmarkStart w:id="30" w:name="_Hlt26954842"/>
      <w:r/>
      <w:bookmarkStart w:id="31" w:name="_Hlt26670482"/>
      <w:r/>
      <w:bookmarkStart w:id="32" w:name="_Hlt16619475"/>
      <w:r/>
      <w:bookmarkStart w:id="33" w:name="_Hlt26954846"/>
      <w:r/>
      <w:bookmarkStart w:id="34" w:name="_Hlt26670486"/>
      <w:r/>
      <w:bookmarkStart w:id="35" w:name="_Hlt26954840"/>
      <w:r/>
      <w:bookmarkStart w:id="36" w:name="_Hlt26670403"/>
      <w:r/>
      <w:bookmarkStart w:id="37" w:name="_Hlt26954838"/>
      <w:r/>
      <w:bookmarkStart w:id="38" w:name="_Hlt26670373"/>
      <w:r/>
      <w:bookmarkStart w:id="39" w:name="_Hlt26954844"/>
      <w:r/>
      <w:bookmarkStart w:id="40" w:name="_Hlt26668983"/>
      <w:r/>
      <w:bookmarkStart w:id="41" w:name="_Hlt26670399"/>
      <w:r/>
      <w:bookmarkStart w:id="42" w:name="_Hlt26668975"/>
      <w:r/>
      <w:bookmarkStart w:id="43" w:name="_Hlt26954731"/>
      <w:r/>
      <w:bookmarkStart w:id="44" w:name="_Hlt26670425"/>
      <w:r/>
      <w:bookmarkStart w:id="45" w:name="_Hlt26954848"/>
      <w:r>
        <w:rPr>
          <w:rFonts w:hint="eastAsia" w:ascii="黑体" w:hAnsi="黑体" w:eastAsia="黑体" w:cs="黑体"/>
          <w:sz w:val="44"/>
          <w:szCs w:val="44"/>
        </w:rPr>
        <w:t xml:space="preserve">第二章 投标人须知</w:t>
      </w:r>
      <w:bookmarkEnd w:id="24"/>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rPr>
          <w:rFonts w:hint="eastAsia" w:ascii="宋体" w:hAnsi="宋体" w:eastAsia="宋体" w:cs="宋体"/>
          <w:b/>
          <w:bCs/>
          <w:color w:val="auto"/>
          <w:sz w:val="24"/>
          <w:szCs w:val="20"/>
          <w:highlight w:val="none"/>
          <w:lang w:val="zh-CN" w:eastAsia="zh-CN"/>
        </w:rPr>
        <w:t xml:space="preserve">一、总则</w:t>
      </w:r>
      <w:bookmarkEnd w:id="25"/>
      <w:r/>
      <w:bookmarkEnd w:id="26"/>
      <w:r/>
      <w:bookmarkEnd w:id="27"/>
      <w:r/>
      <w:bookmarkEnd w:id="28"/>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46" w:name="_Toc458694821"/>
      <w:r/>
      <w:bookmarkStart w:id="47" w:name="_Toc20823276"/>
      <w:r/>
      <w:bookmarkStart w:id="48" w:name="_Toc513029204"/>
      <w:r>
        <w:rPr>
          <w:rFonts w:hint="eastAsia" w:ascii="宋体" w:hAnsi="宋体" w:eastAsia="宋体" w:cs="宋体"/>
          <w:b/>
          <w:bCs/>
          <w:color w:val="auto"/>
          <w:sz w:val="24"/>
          <w:szCs w:val="20"/>
          <w:highlight w:val="none"/>
          <w:lang w:val="en-US" w:eastAsia="zh-CN"/>
        </w:rPr>
        <w:t xml:space="preserve">1. </w:t>
      </w:r>
      <w:r>
        <w:rPr>
          <w:rFonts w:hint="eastAsia" w:ascii="宋体" w:hAnsi="宋体" w:eastAsia="宋体" w:cs="宋体"/>
          <w:b/>
          <w:bCs/>
          <w:color w:val="auto"/>
          <w:sz w:val="24"/>
          <w:szCs w:val="20"/>
          <w:highlight w:val="none"/>
          <w:lang w:val="zh-CN" w:eastAsia="zh-CN"/>
        </w:rPr>
        <w:t xml:space="preserve">招标方式</w:t>
      </w:r>
      <w:bookmarkEnd w:id="46"/>
      <w:r/>
      <w:bookmarkEnd w:id="47"/>
      <w:r/>
      <w:bookmarkEnd w:id="48"/>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1.1本次招标采取公开招标方式，本招标文件仅适用于招标公告中所述项目。</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49" w:name="_Toc20823277"/>
      <w:r/>
      <w:bookmarkStart w:id="50" w:name="_Toc16938521"/>
      <w:r/>
      <w:bookmarkStart w:id="51" w:name="_Toc513029205"/>
      <w:r>
        <w:rPr>
          <w:rFonts w:hint="eastAsia" w:ascii="宋体" w:hAnsi="宋体" w:eastAsia="宋体" w:cs="宋体"/>
          <w:b/>
          <w:bCs/>
          <w:color w:val="auto"/>
          <w:sz w:val="24"/>
          <w:szCs w:val="20"/>
          <w:highlight w:val="none"/>
          <w:lang w:val="en-US" w:eastAsia="zh-CN"/>
        </w:rPr>
        <w:t xml:space="preserve">2. </w:t>
      </w:r>
      <w:r>
        <w:rPr>
          <w:rFonts w:hint="eastAsia" w:ascii="宋体" w:hAnsi="宋体" w:eastAsia="宋体" w:cs="宋体"/>
          <w:b/>
          <w:bCs/>
          <w:color w:val="auto"/>
          <w:sz w:val="24"/>
          <w:szCs w:val="20"/>
          <w:highlight w:val="none"/>
          <w:lang w:val="zh-CN" w:eastAsia="zh-CN"/>
        </w:rPr>
        <w:t xml:space="preserve">合格的投标人</w:t>
      </w:r>
      <w:bookmarkEnd w:id="49"/>
      <w:r/>
      <w:bookmarkEnd w:id="50"/>
      <w:r/>
      <w:bookmarkEnd w:id="51"/>
      <w:r/>
      <w:r/>
    </w:p>
    <w:p>
      <w:pPr>
        <w:ind w:firstLine="482"/>
        <w:jc w:val="left"/>
        <w:keepLines w:val="0"/>
        <w:keepNext w:val="0"/>
        <w:pageBreakBefore w:val="0"/>
        <w:spacing w:line="560" w:lineRule="exact"/>
        <w:widowControl/>
        <w:rPr>
          <w:rFonts w:hint="eastAsia" w:ascii="宋体" w:hAnsi="宋体" w:cs="宋体" w:eastAsiaTheme="minorEastAsia"/>
          <w:sz w:val="24"/>
          <w:szCs w:val="20"/>
        </w:rPr>
      </w:pPr>
      <w:r>
        <w:rPr>
          <w:rFonts w:hint="eastAsia" w:ascii="宋体" w:hAnsi="宋体" w:cs="宋体" w:eastAsiaTheme="minorEastAsia"/>
          <w:sz w:val="24"/>
          <w:szCs w:val="20"/>
        </w:rPr>
        <w:t xml:space="preserve">2.1满足招标公告中</w:t>
      </w:r>
      <w:r>
        <w:rPr>
          <w:rFonts w:hint="eastAsia" w:ascii="宋体" w:hAnsi="宋体" w:cs="宋体" w:eastAsiaTheme="minorEastAsia"/>
          <w:sz w:val="24"/>
          <w:szCs w:val="20"/>
          <w:lang w:val="en-US" w:eastAsia="zh-CN"/>
        </w:rPr>
        <w:t xml:space="preserve">供应商</w:t>
      </w:r>
      <w:r>
        <w:rPr>
          <w:rFonts w:hint="eastAsia" w:ascii="宋体" w:hAnsi="宋体" w:cs="宋体" w:eastAsiaTheme="minorEastAsia"/>
          <w:sz w:val="24"/>
          <w:szCs w:val="20"/>
        </w:rPr>
        <w:t xml:space="preserve">的资格要求的规定。</w:t>
      </w:r>
      <w:r/>
    </w:p>
    <w:p>
      <w:pPr>
        <w:ind w:firstLine="482"/>
        <w:jc w:val="left"/>
        <w:keepLines w:val="0"/>
        <w:keepNext w:val="0"/>
        <w:pageBreakBefore w:val="0"/>
        <w:spacing w:line="560" w:lineRule="exact"/>
        <w:widowControl/>
        <w:rPr>
          <w:rFonts w:hint="eastAsia" w:ascii="宋体" w:hAnsi="宋体" w:cs="宋体" w:eastAsiaTheme="minorEastAsia"/>
          <w:sz w:val="24"/>
          <w:szCs w:val="20"/>
        </w:rPr>
      </w:pPr>
      <w:r>
        <w:rPr>
          <w:rFonts w:hint="eastAsia" w:ascii="宋体" w:hAnsi="宋体" w:cs="宋体" w:eastAsiaTheme="minorEastAsia"/>
          <w:sz w:val="24"/>
          <w:szCs w:val="20"/>
        </w:rPr>
        <w:t xml:space="preserve">2.2满足本文件实质性要求和条件的规定。</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rPr>
        <w:outlineLvl w:val="9"/>
      </w:pPr>
      <w:r/>
      <w:bookmarkStart w:id="52" w:name="_Toc16938522"/>
      <w:r/>
      <w:bookmarkStart w:id="53" w:name="_Toc20823278"/>
      <w:r/>
      <w:bookmarkStart w:id="54" w:name="_Toc513029206"/>
      <w:r>
        <w:rPr>
          <w:rFonts w:hint="eastAsia" w:ascii="宋体" w:hAnsi="宋体" w:eastAsia="宋体" w:cs="宋体"/>
          <w:b/>
          <w:bCs/>
          <w:color w:val="auto"/>
          <w:sz w:val="24"/>
          <w:szCs w:val="20"/>
          <w:highlight w:val="none"/>
          <w:lang w:val="en-US" w:eastAsia="zh-CN"/>
        </w:rPr>
        <w:t xml:space="preserve">3. </w:t>
      </w:r>
      <w:r>
        <w:rPr>
          <w:rFonts w:hint="eastAsia" w:ascii="宋体" w:hAnsi="宋体" w:eastAsia="宋体" w:cs="宋体"/>
          <w:b/>
          <w:bCs/>
          <w:color w:val="auto"/>
          <w:sz w:val="24"/>
          <w:szCs w:val="20"/>
          <w:highlight w:val="none"/>
        </w:rPr>
        <w:t xml:space="preserve">适用法律</w:t>
      </w:r>
      <w:bookmarkEnd w:id="52"/>
      <w:r/>
      <w:bookmarkEnd w:id="53"/>
      <w:r/>
      <w:bookmarkEnd w:id="54"/>
      <w:r>
        <w:rPr>
          <w:rFonts w:hint="eastAsia" w:ascii="宋体" w:hAnsi="宋体" w:eastAsia="宋体" w:cs="宋体"/>
          <w:b/>
          <w:bCs/>
          <w:color w:val="auto"/>
          <w:sz w:val="24"/>
          <w:szCs w:val="20"/>
          <w:highlight w:val="none"/>
        </w:rPr>
        <w:t xml:space="preserve">和标准</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3.1本次招标及由此产生的合同受中华人民共和国有关的法律法规制约和保护。</w:t>
      </w:r>
      <w:r/>
    </w:p>
    <w:p>
      <w:pPr>
        <w:ind w:firstLine="420"/>
        <w:keepLines w:val="0"/>
        <w:keepNext w:val="0"/>
        <w:pageBreakBefore w:val="0"/>
        <w:spacing w:line="560" w:lineRule="exact"/>
        <w:rPr>
          <w:rFonts w:hint="eastAsia" w:ascii="宋体" w:hAnsi="宋体" w:eastAsia="宋体" w:cs="宋体"/>
          <w:color w:val="auto"/>
          <w:sz w:val="24"/>
          <w:szCs w:val="24"/>
          <w:highlight w:val="none"/>
          <w:lang w:bidi="ar-SA"/>
        </w:rPr>
        <w:outlineLvl w:val="9"/>
      </w:pPr>
      <w:r>
        <w:rPr>
          <w:rFonts w:hint="eastAsia" w:ascii="宋体" w:hAnsi="宋体" w:eastAsia="宋体" w:cs="宋体"/>
          <w:color w:val="auto"/>
          <w:sz w:val="24"/>
          <w:szCs w:val="21"/>
          <w:highlight w:val="none"/>
          <w:lang w:bidi="ar-SA"/>
        </w:rPr>
        <w:t xml:space="preserve">3.2 在本项目政府采购活动过程中，如果所执行的标准有更新的，按照最新标准执行。</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55" w:name="_Toc462564067"/>
      <w:r/>
      <w:bookmarkStart w:id="56" w:name="_Toc16938523"/>
      <w:r/>
      <w:bookmarkStart w:id="57" w:name="_Toc513029207"/>
      <w:r/>
      <w:bookmarkStart w:id="58" w:name="_Toc20823279"/>
      <w:r>
        <w:rPr>
          <w:rFonts w:hint="eastAsia" w:ascii="宋体" w:hAnsi="宋体" w:eastAsia="宋体" w:cs="宋体"/>
          <w:b/>
          <w:bCs/>
          <w:color w:val="auto"/>
          <w:sz w:val="24"/>
          <w:szCs w:val="20"/>
          <w:highlight w:val="none"/>
          <w:lang w:val="en-US" w:eastAsia="zh-CN"/>
        </w:rPr>
        <w:t xml:space="preserve">4. </w:t>
      </w:r>
      <w:r>
        <w:rPr>
          <w:rFonts w:hint="eastAsia" w:ascii="宋体" w:hAnsi="宋体" w:eastAsia="宋体" w:cs="宋体"/>
          <w:b/>
          <w:bCs/>
          <w:color w:val="auto"/>
          <w:sz w:val="24"/>
          <w:szCs w:val="20"/>
          <w:highlight w:val="none"/>
          <w:lang w:val="zh-CN" w:eastAsia="zh-CN"/>
        </w:rPr>
        <w:t xml:space="preserve">投标费用</w:t>
      </w:r>
      <w:bookmarkEnd w:id="55"/>
      <w:r/>
      <w:bookmarkEnd w:id="56"/>
      <w:r/>
      <w:bookmarkEnd w:id="57"/>
      <w:r/>
      <w:bookmarkEnd w:id="58"/>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4.2本次招标采购中心和采购人不收取标书工本费与中标服务费。</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rPr>
          <w:rFonts w:hint="eastAsia" w:ascii="宋体" w:hAnsi="宋体" w:eastAsia="宋体" w:cs="宋体"/>
          <w:b/>
          <w:bCs/>
          <w:color w:val="auto"/>
          <w:sz w:val="24"/>
          <w:szCs w:val="20"/>
          <w:highlight w:val="none"/>
          <w:lang w:val="en-US" w:eastAsia="zh-CN"/>
        </w:rPr>
        <w:t xml:space="preserve">5. </w:t>
      </w:r>
      <w:r>
        <w:rPr>
          <w:rFonts w:hint="eastAsia" w:ascii="宋体" w:hAnsi="宋体" w:eastAsia="宋体" w:cs="宋体"/>
          <w:b/>
          <w:bCs/>
          <w:color w:val="auto"/>
          <w:sz w:val="24"/>
          <w:szCs w:val="20"/>
          <w:highlight w:val="none"/>
          <w:lang w:val="zh-CN" w:eastAsia="zh-CN"/>
        </w:rPr>
        <w:t xml:space="preserve">招标文件的约束力</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5.1投标人一旦参加本项目采购活动，即被认为接受了本招标文件的规定和约束。</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59" w:name="_Toc20823281"/>
      <w:r/>
      <w:bookmarkStart w:id="60" w:name="_Toc120614215"/>
      <w:r/>
      <w:bookmarkStart w:id="61" w:name="_Toc16938525"/>
      <w:r>
        <w:rPr>
          <w:rFonts w:hint="eastAsia" w:ascii="宋体" w:hAnsi="宋体" w:eastAsia="宋体" w:cs="宋体"/>
          <w:b/>
          <w:bCs/>
          <w:color w:val="auto"/>
          <w:sz w:val="24"/>
          <w:szCs w:val="20"/>
          <w:highlight w:val="none"/>
          <w:lang w:val="zh-CN" w:eastAsia="zh-CN"/>
        </w:rPr>
        <w:t xml:space="preserve">二、招标文件</w:t>
      </w:r>
      <w:bookmarkEnd w:id="59"/>
      <w:r/>
      <w:bookmarkEnd w:id="60"/>
      <w:r/>
      <w:bookmarkEnd w:id="61"/>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62" w:name="_Toc16938526"/>
      <w:r/>
      <w:bookmarkStart w:id="63" w:name="_Toc513029210"/>
      <w:r/>
      <w:bookmarkStart w:id="64" w:name="_Toc20823282"/>
      <w:r>
        <w:rPr>
          <w:rFonts w:hint="eastAsia" w:ascii="宋体" w:hAnsi="宋体" w:eastAsia="宋体" w:cs="宋体"/>
          <w:b/>
          <w:bCs/>
          <w:color w:val="auto"/>
          <w:sz w:val="24"/>
          <w:szCs w:val="20"/>
          <w:highlight w:val="none"/>
          <w:lang w:val="en-US" w:eastAsia="zh-CN"/>
        </w:rPr>
        <w:t xml:space="preserve">6. </w:t>
      </w:r>
      <w:r>
        <w:rPr>
          <w:rFonts w:hint="eastAsia" w:ascii="宋体" w:hAnsi="宋体" w:eastAsia="宋体" w:cs="宋体"/>
          <w:b/>
          <w:bCs/>
          <w:color w:val="auto"/>
          <w:sz w:val="24"/>
          <w:szCs w:val="20"/>
          <w:highlight w:val="none"/>
          <w:lang w:val="zh-CN" w:eastAsia="zh-CN"/>
        </w:rPr>
        <w:t xml:space="preserve">招标文件构成</w:t>
      </w:r>
      <w:bookmarkEnd w:id="62"/>
      <w:r/>
      <w:bookmarkEnd w:id="63"/>
      <w:r/>
      <w:bookmarkEnd w:id="64"/>
      <w:r/>
      <w:r/>
    </w:p>
    <w:p>
      <w:pPr>
        <w:ind w:firstLine="482"/>
        <w:keepLines w:val="0"/>
        <w:keepNext w:val="0"/>
        <w:pageBreakBefore w:val="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6.1 招标文件由以下部分组成：</w:t>
      </w:r>
      <w:r/>
    </w:p>
    <w:p>
      <w:pPr>
        <w:ind w:firstLine="482"/>
        <w:keepLines w:val="0"/>
        <w:keepNext w:val="0"/>
        <w:pageBreakBefore w:val="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（1）招标公告</w:t>
      </w:r>
      <w:r/>
    </w:p>
    <w:p>
      <w:pPr>
        <w:ind w:firstLine="482"/>
        <w:keepLines w:val="0"/>
        <w:keepNext w:val="0"/>
        <w:pageBreakBefore w:val="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（2）投标人须知</w:t>
      </w:r>
      <w:r/>
    </w:p>
    <w:p>
      <w:pPr>
        <w:ind w:firstLine="482"/>
        <w:keepLines w:val="0"/>
        <w:keepNext w:val="0"/>
        <w:pageBreakBefore w:val="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（3）合同文本</w:t>
      </w:r>
      <w:r/>
    </w:p>
    <w:p>
      <w:pPr>
        <w:ind w:firstLine="482"/>
        <w:keepLines w:val="0"/>
        <w:keepNext w:val="0"/>
        <w:pageBreakBefore w:val="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（4）采购需求</w:t>
      </w:r>
      <w:r/>
    </w:p>
    <w:p>
      <w:pPr>
        <w:ind w:firstLine="482"/>
        <w:keepLines w:val="0"/>
        <w:keepNext w:val="0"/>
        <w:pageBreakBefore w:val="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（5）评标方法与评标标准</w:t>
      </w:r>
      <w:r/>
    </w:p>
    <w:p>
      <w:pPr>
        <w:ind w:firstLine="482"/>
        <w:keepLines w:val="0"/>
        <w:keepNext w:val="0"/>
        <w:pageBreakBefore w:val="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（6）投标文件格式</w:t>
      </w:r>
      <w:r/>
    </w:p>
    <w:p>
      <w:pPr>
        <w:ind w:firstLine="482"/>
        <w:keepLines w:val="0"/>
        <w:keepNext w:val="0"/>
        <w:pageBreakBefore w:val="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请仔细检查招标文件是否齐全，如有缺漏请立即与采购中心联系解决。</w:t>
      </w:r>
      <w:r/>
    </w:p>
    <w:p>
      <w:pPr>
        <w:ind w:firstLine="482"/>
        <w:keepLines w:val="0"/>
        <w:keepNext w:val="0"/>
        <w:pageBreakBefore w:val="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65" w:name="_Toc20823283"/>
      <w:r/>
      <w:bookmarkStart w:id="66" w:name="_Toc513029211"/>
      <w:r/>
      <w:bookmarkStart w:id="67" w:name="_Toc462564070"/>
      <w:r/>
      <w:bookmarkStart w:id="68" w:name="_Toc16938527"/>
      <w:r>
        <w:rPr>
          <w:rFonts w:hint="eastAsia" w:ascii="宋体" w:hAnsi="宋体" w:eastAsia="宋体" w:cs="宋体"/>
          <w:b/>
          <w:bCs/>
          <w:color w:val="auto"/>
          <w:sz w:val="24"/>
          <w:szCs w:val="20"/>
          <w:highlight w:val="none"/>
          <w:lang w:val="en-US" w:eastAsia="zh-CN"/>
        </w:rPr>
        <w:t xml:space="preserve">7. </w:t>
      </w:r>
      <w:r>
        <w:rPr>
          <w:rFonts w:hint="eastAsia" w:ascii="宋体" w:hAnsi="宋体" w:eastAsia="宋体" w:cs="宋体"/>
          <w:b/>
          <w:bCs/>
          <w:color w:val="auto"/>
          <w:sz w:val="24"/>
          <w:szCs w:val="20"/>
          <w:highlight w:val="none"/>
          <w:lang w:val="zh-CN" w:eastAsia="zh-CN"/>
        </w:rPr>
        <w:t xml:space="preserve">招标文件的澄清</w:t>
      </w:r>
      <w:bookmarkEnd w:id="65"/>
      <w:r/>
      <w:bookmarkEnd w:id="66"/>
      <w:r/>
      <w:bookmarkEnd w:id="67"/>
      <w:r/>
      <w:bookmarkEnd w:id="68"/>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7.1任何要求对招标文件进行澄清的投标人，应在投标截止期</w:t>
      </w:r>
      <w:r>
        <w:rPr>
          <w:rFonts w:hint="eastAsia" w:ascii="宋体" w:hAnsi="宋体" w:eastAsia="宋体" w:cs="宋体"/>
          <w:b/>
          <w:bCs/>
          <w:color w:val="auto"/>
          <w:sz w:val="24"/>
          <w:szCs w:val="20"/>
          <w:highlight w:val="none"/>
        </w:rPr>
        <w:t xml:space="preserve">十日</w:t>
      </w:r>
      <w:r>
        <w:rPr>
          <w:rFonts w:hint="eastAsia" w:ascii="宋体" w:hAnsi="宋体" w:eastAsia="宋体" w:cs="宋体"/>
          <w:color w:val="auto"/>
          <w:sz w:val="24"/>
          <w:szCs w:val="20"/>
          <w:highlight w:val="none"/>
        </w:rPr>
        <w:t xml:space="preserve">前按招标公告中的通讯地址，以书面形式通知采购中心。</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69" w:name="_Toc16938528"/>
      <w:r/>
      <w:bookmarkStart w:id="70" w:name="_Toc20823284"/>
      <w:r/>
      <w:bookmarkStart w:id="71" w:name="_Toc513029212"/>
      <w:r/>
      <w:bookmarkStart w:id="72" w:name="_Toc462564071"/>
      <w:r>
        <w:rPr>
          <w:rFonts w:hint="eastAsia" w:ascii="宋体" w:hAnsi="宋体" w:eastAsia="宋体" w:cs="宋体"/>
          <w:b/>
          <w:bCs/>
          <w:color w:val="auto"/>
          <w:sz w:val="24"/>
          <w:szCs w:val="20"/>
          <w:highlight w:val="none"/>
          <w:lang w:val="en-US" w:eastAsia="zh-CN"/>
        </w:rPr>
        <w:t xml:space="preserve">8. </w:t>
      </w:r>
      <w:r>
        <w:rPr>
          <w:rFonts w:hint="eastAsia" w:ascii="宋体" w:hAnsi="宋体" w:eastAsia="宋体" w:cs="宋体"/>
          <w:b/>
          <w:bCs/>
          <w:color w:val="auto"/>
          <w:sz w:val="24"/>
          <w:szCs w:val="20"/>
          <w:highlight w:val="none"/>
          <w:lang w:val="zh-CN" w:eastAsia="zh-CN"/>
        </w:rPr>
        <w:t xml:space="preserve">招标文件的修改</w:t>
      </w:r>
      <w:bookmarkEnd w:id="69"/>
      <w:r/>
      <w:bookmarkEnd w:id="70"/>
      <w:r/>
      <w:bookmarkEnd w:id="71"/>
      <w:r/>
      <w:bookmarkEnd w:id="72"/>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8.1在投标截止时间前，采购中心可以对招标文件进行修改。</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8.2采购中心有权按照法定的要求推迟投标截止日期和开标日期。</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8.3招标文件的修改将在“中国政府采购网”、“江苏政府采购网”、“盐城市政府采购网”公布，补充文件将作为招标文件的组成部分，并对</w:t>
      </w:r>
      <w:r>
        <w:rPr>
          <w:rFonts w:hint="eastAsia" w:ascii="宋体" w:hAnsi="宋体" w:eastAsia="宋体" w:cs="宋体"/>
          <w:color w:val="auto"/>
          <w:sz w:val="24"/>
          <w:highlight w:val="none"/>
          <w:lang w:val="en-US" w:eastAsia="zh-CN" w:bidi="ar-SA"/>
        </w:rPr>
        <w:t xml:space="preserve">供应商</w:t>
      </w:r>
      <w:r>
        <w:rPr>
          <w:rFonts w:hint="eastAsia" w:ascii="宋体" w:hAnsi="宋体" w:eastAsia="宋体" w:cs="宋体"/>
          <w:color w:val="auto"/>
          <w:sz w:val="24"/>
          <w:szCs w:val="20"/>
          <w:highlight w:val="none"/>
        </w:rPr>
        <w:t xml:space="preserve">具有约束力。</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73" w:name="_Toc462564072"/>
      <w:r/>
      <w:bookmarkStart w:id="74" w:name="_Toc120614216"/>
      <w:r/>
      <w:bookmarkStart w:id="75" w:name="_Toc513029213"/>
      <w:r/>
      <w:bookmarkStart w:id="76" w:name="_Toc16938529"/>
      <w:r/>
      <w:bookmarkStart w:id="77" w:name="_Toc20823285"/>
      <w:r>
        <w:rPr>
          <w:rFonts w:hint="eastAsia" w:ascii="宋体" w:hAnsi="宋体" w:eastAsia="宋体" w:cs="宋体"/>
          <w:b/>
          <w:bCs/>
          <w:color w:val="auto"/>
          <w:sz w:val="24"/>
          <w:szCs w:val="20"/>
          <w:highlight w:val="none"/>
          <w:lang w:val="zh-CN" w:eastAsia="zh-CN"/>
        </w:rPr>
        <w:t xml:space="preserve">三、投标文件的编制</w:t>
      </w:r>
      <w:bookmarkEnd w:id="73"/>
      <w:r/>
      <w:bookmarkEnd w:id="74"/>
      <w:r/>
      <w:bookmarkEnd w:id="75"/>
      <w:r/>
      <w:bookmarkEnd w:id="76"/>
      <w:r/>
      <w:bookmarkEnd w:id="77"/>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78" w:name="_Toc462564073"/>
      <w:r/>
      <w:bookmarkStart w:id="79" w:name="_Toc513029214"/>
      <w:r/>
      <w:bookmarkStart w:id="80" w:name="_Toc20823286"/>
      <w:r/>
      <w:bookmarkStart w:id="81" w:name="_Toc16938530"/>
      <w:r>
        <w:rPr>
          <w:rFonts w:hint="eastAsia" w:ascii="宋体" w:hAnsi="宋体" w:eastAsia="宋体" w:cs="宋体"/>
          <w:b/>
          <w:bCs/>
          <w:color w:val="auto"/>
          <w:sz w:val="24"/>
          <w:szCs w:val="20"/>
          <w:highlight w:val="none"/>
          <w:lang w:val="en-US" w:eastAsia="zh-CN"/>
        </w:rPr>
        <w:t xml:space="preserve">9. </w:t>
      </w:r>
      <w:r>
        <w:rPr>
          <w:rFonts w:hint="eastAsia" w:ascii="宋体" w:hAnsi="宋体" w:eastAsia="宋体" w:cs="宋体"/>
          <w:b/>
          <w:bCs/>
          <w:color w:val="auto"/>
          <w:sz w:val="24"/>
          <w:szCs w:val="20"/>
          <w:highlight w:val="none"/>
          <w:lang w:val="zh-CN" w:eastAsia="zh-CN"/>
        </w:rPr>
        <w:t xml:space="preserve">投标文件的语言及度量衡单位</w:t>
      </w:r>
      <w:bookmarkEnd w:id="78"/>
      <w:r/>
      <w:bookmarkEnd w:id="79"/>
      <w:r/>
      <w:bookmarkEnd w:id="80"/>
      <w:r/>
      <w:bookmarkEnd w:id="81"/>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9.1投标人提交的投标文件以及投标人与采购中心就有关投标的所有来往通知、函件和文件均应使用</w:t>
      </w:r>
      <w:r>
        <w:rPr>
          <w:rFonts w:hint="eastAsia" w:ascii="宋体" w:hAnsi="宋体" w:eastAsia="宋体" w:cs="宋体"/>
          <w:b/>
          <w:bCs/>
          <w:color w:val="auto"/>
          <w:sz w:val="24"/>
          <w:szCs w:val="20"/>
          <w:highlight w:val="none"/>
        </w:rPr>
        <w:t xml:space="preserve">简体中文</w:t>
      </w:r>
      <w:r>
        <w:rPr>
          <w:rFonts w:hint="eastAsia" w:ascii="宋体" w:hAnsi="宋体" w:eastAsia="宋体" w:cs="宋体"/>
          <w:color w:val="auto"/>
          <w:sz w:val="24"/>
          <w:szCs w:val="20"/>
          <w:highlight w:val="none"/>
        </w:rPr>
        <w:t xml:space="preserve">。</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9.2除技术性能另有规定外，投标文件所使用的度量衡单位，均须采用国家法定计量单位。</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82" w:name="_Toc16938531"/>
      <w:r/>
      <w:bookmarkStart w:id="83" w:name="_Toc20823287"/>
      <w:r/>
      <w:bookmarkStart w:id="84" w:name="_Toc462564074"/>
      <w:r/>
      <w:bookmarkStart w:id="85" w:name="_Toc513029215"/>
      <w:r>
        <w:rPr>
          <w:rFonts w:hint="eastAsia" w:ascii="宋体" w:hAnsi="宋体" w:eastAsia="宋体" w:cs="宋体"/>
          <w:b/>
          <w:bCs/>
          <w:color w:val="auto"/>
          <w:sz w:val="24"/>
          <w:szCs w:val="20"/>
          <w:highlight w:val="none"/>
          <w:lang w:val="en-US" w:eastAsia="zh-CN"/>
        </w:rPr>
        <w:t xml:space="preserve">10. </w:t>
      </w:r>
      <w:r>
        <w:rPr>
          <w:rFonts w:hint="eastAsia" w:ascii="宋体" w:hAnsi="宋体" w:eastAsia="宋体" w:cs="宋体"/>
          <w:b/>
          <w:bCs/>
          <w:color w:val="auto"/>
          <w:sz w:val="24"/>
          <w:szCs w:val="20"/>
          <w:highlight w:val="none"/>
          <w:lang w:val="zh-CN" w:eastAsia="zh-CN"/>
        </w:rPr>
        <w:t xml:space="preserve">投标文件构成</w:t>
      </w:r>
      <w:bookmarkEnd w:id="82"/>
      <w:r/>
      <w:bookmarkEnd w:id="83"/>
      <w:r/>
      <w:bookmarkEnd w:id="84"/>
      <w:r/>
      <w:bookmarkEnd w:id="85"/>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rPr>
        <w:outlineLvl w:val="9"/>
      </w:pPr>
      <w:r/>
      <w:bookmarkStart w:id="86" w:name="_Toc49090509"/>
      <w:r/>
      <w:bookmarkStart w:id="87" w:name="_Toc513029219"/>
      <w:r/>
      <w:bookmarkStart w:id="88" w:name="_Toc14577357"/>
      <w:r/>
      <w:bookmarkStart w:id="89" w:name="_Toc513029216"/>
      <w:r/>
      <w:bookmarkStart w:id="90" w:name="_Toc49090507"/>
      <w:r/>
      <w:bookmarkStart w:id="91" w:name="_Toc14577354"/>
      <w:r>
        <w:rPr>
          <w:rFonts w:hint="eastAsia" w:ascii="宋体" w:hAnsi="宋体" w:eastAsia="宋体" w:cs="宋体"/>
          <w:color w:val="auto"/>
          <w:sz w:val="24"/>
          <w:szCs w:val="20"/>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rPr>
          <w:rFonts w:hint="eastAsia" w:ascii="宋体" w:hAnsi="宋体" w:eastAsia="宋体" w:cs="宋体"/>
          <w:b/>
          <w:bCs/>
          <w:color w:val="auto"/>
          <w:sz w:val="24"/>
          <w:szCs w:val="20"/>
          <w:highlight w:val="none"/>
          <w:lang w:val="en-US" w:eastAsia="zh-CN"/>
        </w:rPr>
        <w:t xml:space="preserve">11. </w:t>
      </w:r>
      <w:r>
        <w:rPr>
          <w:rFonts w:hint="eastAsia" w:ascii="宋体" w:hAnsi="宋体" w:eastAsia="宋体" w:cs="宋体"/>
          <w:b/>
          <w:bCs/>
          <w:color w:val="auto"/>
          <w:sz w:val="24"/>
          <w:szCs w:val="20"/>
          <w:highlight w:val="none"/>
          <w:lang w:val="zh-CN" w:eastAsia="zh-CN"/>
        </w:rPr>
        <w:t xml:space="preserve">证明投标人及投标标的符合招标文件规定的文件</w:t>
      </w:r>
      <w:bookmarkEnd w:id="86"/>
      <w:r/>
      <w:bookmarkEnd w:id="87"/>
      <w:r/>
      <w:bookmarkEnd w:id="88"/>
      <w:r/>
      <w:bookmarkEnd w:id="89"/>
      <w:r/>
      <w:bookmarkEnd w:id="90"/>
      <w:r/>
      <w:bookmarkEnd w:id="91"/>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rPr>
        <w:outlineLvl w:val="9"/>
      </w:pPr>
      <w:r/>
      <w:bookmarkStart w:id="92" w:name="_Toc49090508"/>
      <w:r/>
      <w:bookmarkStart w:id="93" w:name="_Toc14577355"/>
      <w:r>
        <w:rPr>
          <w:rFonts w:hint="eastAsia" w:ascii="宋体" w:hAnsi="宋体" w:eastAsia="宋体" w:cs="宋体"/>
          <w:color w:val="auto"/>
          <w:sz w:val="24"/>
          <w:szCs w:val="20"/>
          <w:highlight w:val="none"/>
        </w:rPr>
        <w:t xml:space="preserve">11.1投标人应按照法律法规、规章和规范性文件以及招标文件要求提交证明文件，证明其及投标标的符合招标文件规定。</w:t>
      </w:r>
      <w:bookmarkEnd w:id="92"/>
      <w:r/>
      <w:bookmarkEnd w:id="93"/>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11.2招标文件对证明文件无明确形式要求的，证明文件可以以文字资料、图纸和数据等形式提交。</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rPr>
          <w:rFonts w:hint="eastAsia" w:ascii="宋体" w:hAnsi="宋体" w:eastAsia="宋体" w:cs="宋体"/>
          <w:b/>
          <w:bCs/>
          <w:color w:val="auto"/>
          <w:sz w:val="24"/>
          <w:szCs w:val="20"/>
          <w:highlight w:val="none"/>
          <w:lang w:val="en-US" w:eastAsia="zh-CN"/>
        </w:rPr>
        <w:t xml:space="preserve">12. </w:t>
      </w:r>
      <w:r>
        <w:rPr>
          <w:rFonts w:hint="eastAsia" w:ascii="宋体" w:hAnsi="宋体" w:eastAsia="宋体" w:cs="宋体"/>
          <w:b/>
          <w:bCs/>
          <w:color w:val="auto"/>
          <w:sz w:val="24"/>
          <w:szCs w:val="20"/>
          <w:highlight w:val="none"/>
          <w:lang w:val="zh-CN" w:eastAsia="zh-CN"/>
        </w:rPr>
        <w:t xml:space="preserve">投标分项报价表</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12.1</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投标人应按照招标文件规定格式填报投标分项报价表。</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12.2</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投标货币。投标文件中的单价和总价无特殊规定的采用人民币报价，以元为单位标注。招标文件中另有规定的按规定执行。</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12.3</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投标分项报价表，不仅应包括所有人员的工资、法定节假日加班费、社保、公积金、福利费</w:t>
      </w:r>
      <w:r>
        <w:rPr>
          <w:rFonts w:hint="eastAsia" w:ascii="宋体" w:hAnsi="宋体" w:eastAsia="宋体" w:cs="宋体"/>
          <w:color w:val="auto"/>
          <w:sz w:val="24"/>
          <w:szCs w:val="20"/>
          <w:highlight w:val="none"/>
          <w:lang w:val="en-US" w:eastAsia="zh-CN"/>
        </w:rPr>
        <w:t xml:space="preserve">等</w:t>
      </w:r>
      <w:r>
        <w:rPr>
          <w:rFonts w:hint="eastAsia" w:ascii="宋体" w:hAnsi="宋体" w:eastAsia="宋体" w:cs="宋体"/>
          <w:color w:val="auto"/>
          <w:sz w:val="24"/>
          <w:szCs w:val="20"/>
          <w:highlight w:val="none"/>
        </w:rPr>
        <w:t xml:space="preserve">，还应包括：管理、劳务、培训、风险、税金、合理利润及政策性文件规定等各项应有费用，以及为完成招标文件规定的物业管理服务工作所涉及的一切相关费用。</w:t>
      </w:r>
      <w:r/>
    </w:p>
    <w:p>
      <w:pPr>
        <w:ind w:firstLine="480"/>
        <w:jc w:val="left"/>
        <w:spacing w:line="560" w:lineRule="exact"/>
        <w:rPr>
          <w:rFonts w:ascii="宋体" w:hAnsi="宋体" w:cs="宋体"/>
          <w:b/>
          <w:bCs/>
          <w:sz w:val="24"/>
          <w:lang w:val="zh-CN"/>
        </w:rPr>
      </w:pPr>
      <w:r>
        <w:rPr>
          <w:rFonts w:hint="eastAsia" w:ascii="宋体" w:hAnsi="宋体" w:eastAsia="宋体" w:cs="宋体"/>
          <w:b/>
          <w:bCs/>
          <w:color w:val="auto"/>
          <w:sz w:val="24"/>
          <w:szCs w:val="20"/>
          <w:highlight w:val="none"/>
        </w:rPr>
        <w:t xml:space="preserve">12.4所有人员工资不低于盐城市最新公布的最低工资标准2430元/人/月，所有人员必须足额缴纳社保费用，社保（企业部分）不得低于1292.47元/人/月，住房公积金不得低</w:t>
      </w:r>
      <w:r>
        <w:rPr>
          <w:rFonts w:hint="eastAsia" w:ascii="宋体" w:hAnsi="宋体" w:eastAsia="宋体" w:cs="宋体"/>
          <w:b/>
          <w:bCs/>
          <w:color w:val="auto"/>
          <w:sz w:val="24"/>
          <w:szCs w:val="20"/>
          <w:highlight w:val="none"/>
        </w:rPr>
        <w:t xml:space="preserve">1</w:t>
      </w:r>
      <w:r>
        <w:rPr>
          <w:rFonts w:hint="eastAsia" w:ascii="宋体" w:hAnsi="宋体" w:eastAsia="宋体" w:cs="宋体"/>
          <w:b/>
          <w:bCs/>
          <w:color w:val="auto"/>
          <w:sz w:val="24"/>
          <w:szCs w:val="20"/>
          <w:highlight w:val="none"/>
        </w:rPr>
        <w:t xml:space="preserve">1</w:t>
      </w:r>
      <w:r>
        <w:rPr>
          <w:rFonts w:hint="eastAsia" w:ascii="宋体" w:hAnsi="宋体" w:eastAsia="宋体" w:cs="宋体"/>
          <w:b/>
          <w:bCs/>
          <w:color w:val="auto"/>
          <w:sz w:val="24"/>
          <w:szCs w:val="20"/>
          <w:highlight w:val="none"/>
        </w:rPr>
        <w:t xml:space="preserve">4</w:t>
      </w:r>
      <w:r>
        <w:rPr>
          <w:rFonts w:hint="eastAsia" w:ascii="宋体" w:hAnsi="宋体" w:eastAsia="宋体" w:cs="宋体"/>
          <w:b/>
          <w:bCs/>
          <w:color w:val="auto"/>
          <w:sz w:val="24"/>
          <w:szCs w:val="20"/>
          <w:highlight w:val="none"/>
        </w:rPr>
        <w:t xml:space="preserve">元/人/月，法定节假日加班费（加班人数不少于12人）不得低于4357.25元/人/年，夏季高温费（发放人数不少于12人）不得低于1200元/人/年，</w:t>
      </w:r>
      <w:r>
        <w:rPr>
          <w:rFonts w:hint="eastAsia" w:ascii="宋体" w:hAnsi="宋体" w:cs="宋体"/>
          <w:b/>
          <w:bCs/>
          <w:sz w:val="24"/>
          <w:lang w:val="zh-CN"/>
        </w:rPr>
        <w:t xml:space="preserve">税金费率统一按6.72%进行报价。</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rPr>
        <w:outlineLvl w:val="9"/>
      </w:pPr>
      <w:r/>
      <w:bookmarkStart w:id="94" w:name="_Toc513029226"/>
      <w:r/>
      <w:bookmarkStart w:id="95" w:name="_Hlt26954850"/>
      <w:r/>
      <w:bookmarkStart w:id="96" w:name="_Hlt26954734"/>
      <w:r/>
      <w:bookmarkStart w:id="97" w:name="_Hlt26954739"/>
      <w:r/>
      <w:bookmarkStart w:id="98" w:name="_Hlt26670489"/>
      <w:r/>
      <w:bookmarkStart w:id="99" w:name="_Hlt26954852"/>
      <w:r>
        <w:rPr>
          <w:rFonts w:hint="eastAsia" w:ascii="宋体" w:hAnsi="宋体" w:eastAsia="宋体" w:cs="宋体"/>
          <w:b/>
          <w:bCs/>
          <w:color w:val="auto"/>
          <w:sz w:val="24"/>
          <w:szCs w:val="20"/>
          <w:highlight w:val="none"/>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lang w:val="zh-CN" w:eastAsia="zh-CN"/>
        </w:rPr>
        <w:t xml:space="preserve">服务期内，</w:t>
      </w:r>
      <w:r>
        <w:rPr>
          <w:rFonts w:hint="eastAsia" w:ascii="宋体" w:hAnsi="宋体" w:eastAsia="宋体" w:cs="宋体"/>
          <w:b/>
          <w:bCs/>
          <w:color w:val="auto"/>
          <w:sz w:val="24"/>
          <w:szCs w:val="20"/>
          <w:highlight w:val="none"/>
        </w:rPr>
        <w:t xml:space="preserve">如政府出台文件对盐城市最低工资标准、社保费率或基数、住房公积金费率或基数、税金费率等进行政策性调整的，中标人应按相关规定执行，</w:t>
      </w:r>
      <w:r>
        <w:rPr>
          <w:rFonts w:hint="eastAsia" w:ascii="宋体" w:hAnsi="宋体" w:eastAsia="宋体" w:cs="宋体"/>
          <w:b/>
          <w:bCs/>
          <w:color w:val="auto"/>
          <w:sz w:val="24"/>
          <w:szCs w:val="20"/>
          <w:highlight w:val="none"/>
          <w:lang w:val="en-US" w:eastAsia="zh-CN"/>
        </w:rPr>
        <w:t xml:space="preserve">但中标价（合同价）不变；如采购人有增减人员的，结算时可以按相同的报价按实结算</w:t>
      </w:r>
      <w:r>
        <w:rPr>
          <w:rFonts w:hint="eastAsia" w:ascii="宋体" w:hAnsi="宋体" w:eastAsia="宋体" w:cs="宋体"/>
          <w:color w:val="auto"/>
          <w:sz w:val="24"/>
          <w:szCs w:val="20"/>
          <w:highlight w:val="none"/>
          <w:lang w:val="zh-CN" w:eastAsia="zh-CN"/>
        </w:rPr>
        <w:t xml:space="preserve">。</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12.</w:t>
      </w: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lang w:val="zh-CN" w:eastAsia="zh-CN"/>
        </w:rPr>
        <w:t xml:space="preserve"> 投标人根据招标内容的要求准确报价，一经报出，不得更改。</w:t>
      </w:r>
      <w:r/>
    </w:p>
    <w:p>
      <w:pPr>
        <w:ind w:firstLine="480"/>
        <w:jc w:val="left"/>
        <w:spacing w:line="560" w:lineRule="exact"/>
        <w:rPr>
          <w:rFonts w:ascii="宋体" w:hAnsi="宋体" w:cs="宋体"/>
          <w:sz w:val="24"/>
          <w:lang w:val="zh-CN"/>
        </w:rPr>
      </w:pPr>
      <w:r>
        <w:rPr>
          <w:rFonts w:hint="eastAsia" w:ascii="宋体" w:hAnsi="宋体" w:eastAsia="宋体" w:cs="宋体"/>
          <w:color w:val="auto"/>
          <w:sz w:val="24"/>
          <w:szCs w:val="20"/>
          <w:highlight w:val="none"/>
          <w:lang w:val="zh-CN" w:eastAsia="zh-CN"/>
        </w:rPr>
        <w:t xml:space="preserve">12.</w:t>
      </w:r>
      <w:r>
        <w:rPr>
          <w:rFonts w:hint="eastAsia" w:ascii="宋体" w:hAnsi="宋体" w:eastAsia="宋体" w:cs="宋体"/>
          <w:color w:val="auto"/>
          <w:sz w:val="24"/>
          <w:szCs w:val="20"/>
          <w:highlight w:val="none"/>
          <w:lang w:val="en-US" w:eastAsia="zh-CN"/>
        </w:rPr>
        <w:t xml:space="preserve">6 </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w:t>
      </w:r>
      <w:r>
        <w:rPr>
          <w:rFonts w:hint="eastAsia" w:ascii="宋体" w:hAnsi="宋体" w:cs="宋体"/>
          <w:sz w:val="24"/>
          <w:lang w:val="zh-CN"/>
        </w:rPr>
        <w:t xml:space="preserve">权终止合同，履约保证金不予退还，并不支付服务期间的物业服务费用。采购人终止合同的，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12.</w:t>
      </w:r>
      <w:r>
        <w:rPr>
          <w:rFonts w:hint="eastAsia" w:ascii="宋体" w:hAnsi="宋体" w:eastAsia="宋体" w:cs="宋体"/>
          <w:color w:val="auto"/>
          <w:sz w:val="24"/>
          <w:szCs w:val="20"/>
          <w:highlight w:val="none"/>
          <w:lang w:val="en-US" w:eastAsia="zh-CN"/>
        </w:rPr>
        <w:t xml:space="preserve">7 </w:t>
      </w:r>
      <w:r>
        <w:rPr>
          <w:rFonts w:hint="eastAsia" w:ascii="宋体" w:hAnsi="宋体" w:eastAsia="宋体" w:cs="宋体"/>
          <w:color w:val="auto"/>
          <w:sz w:val="24"/>
          <w:szCs w:val="20"/>
          <w:highlight w:val="none"/>
          <w:lang w:val="zh-CN" w:eastAsia="zh-CN"/>
        </w:rPr>
        <w:t xml:space="preserve">对于超出招标文件的其他临时性服务项目，由甲乙双方协商解决。</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rPr>
          <w:rFonts w:hint="eastAsia" w:ascii="宋体" w:hAnsi="宋体" w:eastAsia="宋体" w:cs="宋体"/>
          <w:b/>
          <w:bCs/>
          <w:color w:val="auto"/>
          <w:sz w:val="24"/>
          <w:szCs w:val="20"/>
          <w:highlight w:val="none"/>
          <w:lang w:val="en-US" w:eastAsia="zh-CN"/>
        </w:rPr>
        <w:t xml:space="preserve">13. </w:t>
      </w:r>
      <w:r>
        <w:rPr>
          <w:rFonts w:hint="eastAsia" w:ascii="宋体" w:hAnsi="宋体" w:eastAsia="宋体" w:cs="宋体"/>
          <w:b/>
          <w:bCs/>
          <w:color w:val="auto"/>
          <w:sz w:val="24"/>
          <w:szCs w:val="20"/>
          <w:highlight w:val="none"/>
          <w:lang w:val="zh-CN" w:eastAsia="zh-CN"/>
        </w:rPr>
        <w:t xml:space="preserve">技术要求响应及偏离表、商务要求响应及偏离表</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13.1</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投标人需对招标文件中的技术要求与商务要求逐项作出响应或偏离，并说明原因。</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13.2</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投标人可在投标文件中提供认为需要的其他技术文件或说明。</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100" w:name="_Toc14577359"/>
      <w:r/>
      <w:bookmarkStart w:id="101" w:name="_Toc49090510"/>
      <w:r>
        <w:rPr>
          <w:rFonts w:hint="eastAsia" w:ascii="宋体" w:hAnsi="宋体" w:eastAsia="宋体" w:cs="宋体"/>
          <w:b/>
          <w:bCs/>
          <w:color w:val="auto"/>
          <w:sz w:val="24"/>
          <w:szCs w:val="20"/>
          <w:highlight w:val="none"/>
          <w:lang w:val="en-US" w:eastAsia="zh-CN"/>
        </w:rPr>
        <w:t xml:space="preserve">14. </w:t>
      </w:r>
      <w:r>
        <w:rPr>
          <w:rFonts w:hint="eastAsia" w:ascii="宋体" w:hAnsi="宋体" w:eastAsia="宋体" w:cs="宋体"/>
          <w:b/>
          <w:bCs/>
          <w:color w:val="auto"/>
          <w:sz w:val="24"/>
          <w:szCs w:val="20"/>
          <w:highlight w:val="none"/>
          <w:lang w:val="zh-CN" w:eastAsia="zh-CN"/>
        </w:rPr>
        <w:t xml:space="preserve">投标函和开标一览表</w:t>
      </w:r>
      <w:bookmarkEnd w:id="100"/>
      <w:r/>
      <w:bookmarkEnd w:id="101"/>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14.1</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投标人应按照招标文件中提供的格式完整、正确填写投标函、开标一览表。</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zh-CN" w:eastAsia="zh-CN"/>
        </w:rPr>
        <w:t xml:space="preserve">14.2</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对于采用货币报价的项目，开标一览表中的投标总报价应与投标分项报价表中的投标总报价一致，如不一致，不作为无效投标处理，但评标时按开标一览表中</w:t>
      </w:r>
      <w:r>
        <w:rPr>
          <w:rFonts w:hint="eastAsia" w:ascii="宋体" w:hAnsi="宋体" w:eastAsia="宋体" w:cs="宋体"/>
          <w:color w:val="auto"/>
          <w:sz w:val="24"/>
          <w:szCs w:val="20"/>
          <w:highlight w:val="none"/>
          <w:lang w:val="en-US" w:eastAsia="zh-CN"/>
        </w:rPr>
        <w:t xml:space="preserve">的</w:t>
      </w:r>
      <w:r>
        <w:rPr>
          <w:rFonts w:hint="eastAsia" w:ascii="宋体" w:hAnsi="宋体" w:eastAsia="宋体" w:cs="宋体"/>
          <w:color w:val="auto"/>
          <w:sz w:val="24"/>
          <w:szCs w:val="20"/>
          <w:highlight w:val="none"/>
          <w:lang w:val="zh-CN" w:eastAsia="zh-CN"/>
        </w:rPr>
        <w:t xml:space="preserve">价格为准。</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en-US" w:eastAsia="zh-CN"/>
        </w:rPr>
        <w:outlineLvl w:val="9"/>
      </w:pPr>
      <w:r>
        <w:rPr>
          <w:rFonts w:hint="eastAsia" w:ascii="宋体" w:hAnsi="宋体" w:eastAsia="宋体" w:cs="宋体"/>
          <w:color w:val="auto"/>
          <w:sz w:val="24"/>
          <w:szCs w:val="20"/>
          <w:highlight w:val="none"/>
          <w:lang w:val="zh-CN" w:eastAsia="zh-CN"/>
        </w:rPr>
        <w:t xml:space="preserve">14.3</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投标文件的大写金额和小写金额不一致的，以大写金额为准；对不同文字文本投标的解释发生异议的，以中文文本为准。</w:t>
      </w:r>
      <w:r/>
    </w:p>
    <w:p>
      <w:pPr>
        <w:ind w:firstLine="482"/>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102" w:name="_Toc14577360"/>
      <w:r/>
      <w:bookmarkStart w:id="103" w:name="_Toc49090511"/>
      <w:r>
        <w:rPr>
          <w:rFonts w:hint="eastAsia" w:ascii="宋体" w:hAnsi="宋体" w:eastAsia="宋体" w:cs="宋体"/>
          <w:b/>
          <w:bCs/>
          <w:color w:val="auto"/>
          <w:sz w:val="24"/>
          <w:szCs w:val="20"/>
          <w:highlight w:val="none"/>
          <w:lang w:val="en-US" w:eastAsia="zh-CN"/>
        </w:rPr>
        <w:t xml:space="preserve">15. </w:t>
      </w:r>
      <w:r>
        <w:rPr>
          <w:rFonts w:hint="eastAsia" w:ascii="宋体" w:hAnsi="宋体" w:eastAsia="宋体" w:cs="宋体"/>
          <w:b/>
          <w:bCs/>
          <w:color w:val="auto"/>
          <w:sz w:val="24"/>
          <w:szCs w:val="20"/>
          <w:highlight w:val="none"/>
          <w:lang w:val="zh-CN" w:eastAsia="zh-CN"/>
        </w:rPr>
        <w:t xml:space="preserve">投标有效期</w:t>
      </w:r>
      <w:bookmarkEnd w:id="102"/>
      <w:r/>
      <w:bookmarkEnd w:id="103"/>
      <w:r/>
      <w:r/>
    </w:p>
    <w:p>
      <w:pPr>
        <w:ind w:firstLine="482"/>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15.1投标有效期为采购中心规定的开标之日后</w:t>
      </w:r>
      <w:r>
        <w:rPr>
          <w:rFonts w:hint="eastAsia" w:ascii="宋体" w:hAnsi="宋体" w:eastAsia="宋体" w:cs="宋体"/>
          <w:b/>
          <w:bCs/>
          <w:color w:val="auto"/>
          <w:sz w:val="24"/>
          <w:szCs w:val="24"/>
          <w:highlight w:val="none"/>
          <w:u w:val="single"/>
          <w:lang w:val="en-US" w:eastAsia="zh-CN"/>
        </w:rPr>
        <w:t xml:space="preserve">九</w:t>
      </w:r>
      <w:r>
        <w:rPr>
          <w:rFonts w:hint="eastAsia" w:ascii="宋体" w:hAnsi="宋体" w:eastAsia="宋体" w:cs="宋体"/>
          <w:b/>
          <w:bCs/>
          <w:color w:val="auto"/>
          <w:sz w:val="24"/>
          <w:szCs w:val="24"/>
          <w:highlight w:val="none"/>
          <w:u w:val="single"/>
        </w:rPr>
        <w:t xml:space="preserve">十（</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w:t>
      </w:r>
      <w:r>
        <w:rPr>
          <w:rFonts w:hint="eastAsia" w:ascii="宋体" w:hAnsi="宋体" w:eastAsia="宋体" w:cs="宋体"/>
          <w:color w:val="auto"/>
          <w:sz w:val="24"/>
          <w:szCs w:val="20"/>
          <w:highlight w:val="none"/>
          <w:lang w:val="zh-CN" w:eastAsia="zh-CN"/>
        </w:rPr>
        <w:t xml:space="preserve">短的将被视为未实质性响应招标文件而予以拒绝。</w:t>
      </w:r>
      <w:r/>
    </w:p>
    <w:p>
      <w:pPr>
        <w:ind w:firstLine="482"/>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rPr>
          <w:rFonts w:hint="eastAsia" w:ascii="宋体" w:hAnsi="宋体" w:eastAsia="宋体" w:cs="宋体"/>
          <w:b/>
          <w:bCs/>
          <w:color w:val="auto"/>
          <w:sz w:val="24"/>
          <w:szCs w:val="20"/>
          <w:highlight w:val="none"/>
          <w:lang w:val="en-US" w:eastAsia="zh-CN"/>
        </w:rPr>
        <w:t xml:space="preserve">16. </w:t>
      </w:r>
      <w:r>
        <w:rPr>
          <w:rFonts w:hint="eastAsia" w:ascii="宋体" w:hAnsi="宋体" w:eastAsia="宋体" w:cs="宋体"/>
          <w:b/>
          <w:bCs/>
          <w:color w:val="auto"/>
          <w:sz w:val="24"/>
          <w:szCs w:val="20"/>
          <w:highlight w:val="none"/>
          <w:lang w:val="zh-CN" w:eastAsia="zh-CN"/>
        </w:rPr>
        <w:t xml:space="preserve">投标有效期的延长</w:t>
      </w:r>
      <w:r/>
    </w:p>
    <w:p>
      <w:pPr>
        <w:ind w:firstLine="482"/>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2"/>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104" w:name="_Toc16938540"/>
      <w:r/>
      <w:bookmarkStart w:id="105" w:name="_Toc513029224"/>
      <w:r/>
      <w:bookmarkStart w:id="106" w:name="_Toc120614217"/>
      <w:r/>
      <w:bookmarkStart w:id="107" w:name="_Toc20823296"/>
      <w:r>
        <w:rPr>
          <w:rFonts w:hint="eastAsia" w:ascii="宋体" w:hAnsi="宋体" w:eastAsia="宋体" w:cs="宋体"/>
          <w:b/>
          <w:bCs/>
          <w:color w:val="auto"/>
          <w:sz w:val="24"/>
          <w:szCs w:val="20"/>
          <w:highlight w:val="none"/>
          <w:lang w:val="zh-CN" w:eastAsia="zh-CN"/>
        </w:rPr>
        <w:t xml:space="preserve">四、投标文件的递交</w:t>
      </w:r>
      <w:bookmarkEnd w:id="104"/>
      <w:r/>
      <w:bookmarkEnd w:id="105"/>
      <w:r/>
      <w:bookmarkEnd w:id="106"/>
      <w:r/>
      <w:bookmarkEnd w:id="107"/>
      <w:r/>
      <w:r/>
    </w:p>
    <w:p>
      <w:pPr>
        <w:ind w:firstLine="482"/>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108" w:name="_Toc16938541"/>
      <w:r/>
      <w:bookmarkStart w:id="109" w:name="_Toc462564084"/>
      <w:r/>
      <w:bookmarkStart w:id="110" w:name="_Toc513029225"/>
      <w:r/>
      <w:bookmarkStart w:id="111" w:name="_Toc20823297"/>
      <w:r>
        <w:rPr>
          <w:rFonts w:hint="eastAsia" w:ascii="宋体" w:hAnsi="宋体" w:eastAsia="宋体" w:cs="宋体"/>
          <w:b/>
          <w:bCs/>
          <w:color w:val="auto"/>
          <w:sz w:val="24"/>
          <w:szCs w:val="20"/>
          <w:highlight w:val="none"/>
          <w:lang w:val="en-US" w:eastAsia="zh-CN"/>
        </w:rPr>
        <w:t xml:space="preserve">17. </w:t>
      </w:r>
      <w:r>
        <w:rPr>
          <w:rFonts w:hint="eastAsia" w:ascii="宋体" w:hAnsi="宋体" w:eastAsia="宋体" w:cs="宋体"/>
          <w:b/>
          <w:bCs/>
          <w:color w:val="auto"/>
          <w:sz w:val="24"/>
          <w:szCs w:val="20"/>
          <w:highlight w:val="none"/>
          <w:lang w:val="zh-CN" w:eastAsia="zh-CN"/>
        </w:rPr>
        <w:t xml:space="preserve">投标文件</w:t>
      </w:r>
      <w:bookmarkEnd w:id="108"/>
      <w:r/>
      <w:bookmarkEnd w:id="109"/>
      <w:r/>
      <w:bookmarkEnd w:id="110"/>
      <w:r/>
      <w:bookmarkEnd w:id="111"/>
      <w:r>
        <w:rPr>
          <w:rFonts w:hint="eastAsia" w:ascii="宋体" w:hAnsi="宋体" w:eastAsia="宋体" w:cs="宋体"/>
          <w:b/>
          <w:bCs/>
          <w:color w:val="auto"/>
          <w:sz w:val="24"/>
          <w:szCs w:val="20"/>
          <w:highlight w:val="none"/>
          <w:lang w:val="zh-CN" w:eastAsia="zh-CN"/>
        </w:rPr>
        <w:t xml:space="preserve">的递交</w:t>
      </w:r>
      <w:r/>
    </w:p>
    <w:p>
      <w:pPr>
        <w:ind w:firstLine="482"/>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17.1 电子投标文件的递交</w:t>
      </w:r>
      <w:r/>
    </w:p>
    <w:p>
      <w:pPr>
        <w:ind w:firstLine="482"/>
        <w:keepLines w:val="0"/>
        <w:keepNext w:val="0"/>
        <w:pageBreakBefore w:val="0"/>
        <w:spacing w:line="56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lang w:val="zh-CN" w:eastAsia="zh-CN"/>
        </w:rPr>
        <w:t xml:space="preserve">投标人应当按照《操作手册》规定，在投标截止时间前制作并上传电子投标</w:t>
      </w:r>
      <w:bookmarkStart w:id="112" w:name="_Toc20823298"/>
      <w:r/>
      <w:bookmarkEnd w:id="112"/>
      <w:r/>
      <w:bookmarkStart w:id="113" w:name="_Toc16938542"/>
      <w:r/>
      <w:bookmarkEnd w:id="113"/>
      <w:r>
        <w:rPr>
          <w:rFonts w:hint="eastAsia" w:ascii="宋体" w:hAnsi="宋体" w:eastAsia="宋体" w:cs="宋体"/>
          <w:color w:val="auto"/>
          <w:sz w:val="24"/>
          <w:szCs w:val="20"/>
          <w:highlight w:val="none"/>
        </w:rPr>
        <w:t xml:space="preserve">文件。</w:t>
      </w:r>
      <w:r/>
    </w:p>
    <w:p>
      <w:pPr>
        <w:ind w:firstLine="482"/>
        <w:keepLines w:val="0"/>
        <w:keepNext w:val="0"/>
        <w:pageBreakBefore w:val="0"/>
        <w:spacing w:line="560" w:lineRule="exact"/>
        <w:widowControl/>
        <w:rPr>
          <w:rFonts w:hint="eastAsia" w:ascii="宋体" w:hAnsi="宋体" w:eastAsia="宋体" w:cs="宋体"/>
          <w:b/>
          <w:bCs/>
          <w:i/>
          <w:iCs/>
          <w:color w:val="auto"/>
          <w:sz w:val="24"/>
          <w:szCs w:val="20"/>
          <w:highlight w:val="none"/>
          <w:u w:val="single"/>
        </w:rPr>
        <w:outlineLvl w:val="9"/>
      </w:pPr>
      <w:r>
        <w:rPr>
          <w:rFonts w:hint="eastAsia" w:ascii="宋体" w:hAnsi="宋体" w:eastAsia="宋体" w:cs="宋体"/>
          <w:b/>
          <w:bCs/>
          <w:i/>
          <w:iCs/>
          <w:color w:val="auto"/>
          <w:sz w:val="24"/>
          <w:szCs w:val="20"/>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得0分。上传的“明标”材料中不得出现与服务方案相关的内容，否则作无效标书处理。</w:t>
      </w:r>
      <w:r/>
    </w:p>
    <w:p>
      <w:pPr>
        <w:ind w:firstLine="482"/>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rPr>
          <w:rFonts w:hint="eastAsia" w:ascii="宋体" w:hAnsi="宋体" w:eastAsia="宋体" w:cs="宋体"/>
          <w:b/>
          <w:bCs/>
          <w:color w:val="auto"/>
          <w:sz w:val="24"/>
          <w:szCs w:val="20"/>
          <w:highlight w:val="none"/>
          <w:lang w:val="en-US" w:eastAsia="zh-CN"/>
        </w:rPr>
        <w:t xml:space="preserve">18. </w:t>
      </w:r>
      <w:r>
        <w:rPr>
          <w:rFonts w:hint="eastAsia" w:ascii="宋体" w:hAnsi="宋体" w:eastAsia="宋体" w:cs="宋体"/>
          <w:b/>
          <w:bCs/>
          <w:color w:val="auto"/>
          <w:sz w:val="24"/>
          <w:szCs w:val="20"/>
          <w:highlight w:val="none"/>
          <w:lang w:val="zh-CN" w:eastAsia="zh-CN"/>
        </w:rPr>
        <w:t xml:space="preserve">投标截止时间</w:t>
      </w:r>
      <w:r/>
    </w:p>
    <w:p>
      <w:pPr>
        <w:ind w:firstLine="482"/>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i/>
          <w:iCs/>
          <w:color w:val="auto"/>
          <w:sz w:val="24"/>
          <w:szCs w:val="20"/>
          <w:highlight w:val="none"/>
          <w:u w:val="single"/>
          <w:lang w:val="zh-CN" w:eastAsia="zh-CN"/>
        </w:rPr>
        <w:t xml:space="preserve">18.1投标人上传电子投标文件的时间不得迟于招标公告中规定的投标截止时间</w:t>
      </w:r>
      <w:r>
        <w:rPr>
          <w:rFonts w:hint="eastAsia" w:ascii="宋体" w:hAnsi="宋体" w:eastAsia="宋体" w:cs="宋体"/>
          <w:color w:val="auto"/>
          <w:sz w:val="24"/>
          <w:szCs w:val="20"/>
          <w:highlight w:val="none"/>
          <w:lang w:val="zh-CN" w:eastAsia="zh-CN"/>
        </w:rPr>
        <w:t xml:space="preserve">。</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投标人应充分考虑到网络环境、网络带宽等风险因素，如因投标人自身原因造成的电子投标文件上传不成功的按照本招标文件第二章第26.1.2条规定做无效投标处理。</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18.2采购中心可以按照规定，通过修改招标文件酌情延长投标截止时间，在此情况下，投标人的所有权利和义务以及投标人受制的截止时间均应以延长后新的截止时间为准。</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114" w:name="_Toc16938543"/>
      <w:r/>
      <w:bookmarkStart w:id="115" w:name="_Toc20823299"/>
      <w:r/>
      <w:bookmarkStart w:id="116" w:name="_Toc513029227"/>
      <w:r>
        <w:rPr>
          <w:rFonts w:hint="eastAsia" w:ascii="宋体" w:hAnsi="宋体" w:eastAsia="宋体" w:cs="宋体"/>
          <w:b/>
          <w:bCs/>
          <w:color w:val="auto"/>
          <w:sz w:val="24"/>
          <w:szCs w:val="20"/>
          <w:highlight w:val="none"/>
          <w:lang w:val="en-US" w:eastAsia="zh-CN"/>
        </w:rPr>
        <w:t xml:space="preserve">19. </w:t>
      </w:r>
      <w:r>
        <w:rPr>
          <w:rFonts w:hint="eastAsia" w:ascii="宋体" w:hAnsi="宋体" w:eastAsia="宋体" w:cs="宋体"/>
          <w:b/>
          <w:bCs/>
          <w:color w:val="auto"/>
          <w:sz w:val="24"/>
          <w:szCs w:val="20"/>
          <w:highlight w:val="none"/>
          <w:lang w:val="zh-CN" w:eastAsia="zh-CN"/>
        </w:rPr>
        <w:t xml:space="preserve">投标文件</w:t>
      </w:r>
      <w:bookmarkEnd w:id="114"/>
      <w:r/>
      <w:bookmarkEnd w:id="115"/>
      <w:r/>
      <w:bookmarkEnd w:id="116"/>
      <w:r>
        <w:rPr>
          <w:rFonts w:hint="eastAsia" w:ascii="宋体" w:hAnsi="宋体" w:eastAsia="宋体" w:cs="宋体"/>
          <w:b/>
          <w:bCs/>
          <w:color w:val="auto"/>
          <w:sz w:val="24"/>
          <w:szCs w:val="20"/>
          <w:highlight w:val="none"/>
          <w:lang w:val="zh-CN" w:eastAsia="zh-CN"/>
        </w:rPr>
        <w:t xml:space="preserve">的拒收</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19.1采购中心拒绝接收在其规定的投标截止时间后上传的任何投标文件。</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117" w:name="_Toc513029228"/>
      <w:r/>
      <w:bookmarkStart w:id="118" w:name="_Toc20823300"/>
      <w:r/>
      <w:bookmarkStart w:id="119" w:name="_Toc16938544"/>
      <w:r>
        <w:rPr>
          <w:rFonts w:hint="eastAsia" w:ascii="宋体" w:hAnsi="宋体" w:eastAsia="宋体" w:cs="宋体"/>
          <w:b/>
          <w:bCs/>
          <w:color w:val="auto"/>
          <w:sz w:val="24"/>
          <w:szCs w:val="20"/>
          <w:highlight w:val="none"/>
          <w:lang w:val="en-US" w:eastAsia="zh-CN"/>
        </w:rPr>
        <w:t xml:space="preserve">20. </w:t>
      </w:r>
      <w:r>
        <w:rPr>
          <w:rFonts w:hint="eastAsia" w:ascii="宋体" w:hAnsi="宋体" w:eastAsia="宋体" w:cs="宋体"/>
          <w:b/>
          <w:bCs/>
          <w:color w:val="auto"/>
          <w:sz w:val="24"/>
          <w:szCs w:val="20"/>
          <w:highlight w:val="none"/>
          <w:lang w:val="zh-CN" w:eastAsia="zh-CN"/>
        </w:rPr>
        <w:t xml:space="preserve">投标文件的撤回和修改</w:t>
      </w:r>
      <w:bookmarkEnd w:id="117"/>
      <w:r/>
      <w:bookmarkEnd w:id="118"/>
      <w:r/>
      <w:bookmarkEnd w:id="119"/>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20.1投标文件的撤回</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20.1.1</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电子投标文件的撤回</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投标人可在投标截止时间前，撤回其电子投标文件，具体操作方法见《操作手册》。</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w:t>
      </w:r>
      <w:r>
        <w:rPr>
          <w:rFonts w:hint="eastAsia" w:ascii="宋体" w:hAnsi="宋体" w:eastAsia="宋体" w:cs="宋体"/>
          <w:color w:val="auto"/>
          <w:sz w:val="24"/>
          <w:szCs w:val="20"/>
          <w:highlight w:val="none"/>
          <w:lang w:val="en-US" w:eastAsia="zh-CN"/>
        </w:rPr>
        <w:t xml:space="preserve">0</w:t>
      </w:r>
      <w:r>
        <w:rPr>
          <w:rFonts w:hint="eastAsia" w:ascii="宋体" w:hAnsi="宋体" w:eastAsia="宋体" w:cs="宋体"/>
          <w:color w:val="auto"/>
          <w:sz w:val="24"/>
          <w:szCs w:val="20"/>
          <w:highlight w:val="none"/>
          <w:lang w:val="zh-CN" w:eastAsia="zh-CN"/>
        </w:rPr>
        <w:t xml:space="preserve">.1.2</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投标人撤回电子投标文件，则认为其不再参与本项目投标活动。</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20.2 投标文件的修改</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20.2.1投标人可在投标截止时间前，对其电子投标文件进行修改，具体操作方法见《操作手册》。</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20.2.2在投标截止时间之后，投标人不得对其电子投标文件作任何修改。</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20.3在投标截止时间至招标文件中规定的投标有效期满之间的这段时间内，投标人不得撤回其投标。</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120" w:name="_Toc20823301"/>
      <w:r/>
      <w:bookmarkStart w:id="121" w:name="_Toc120614218"/>
      <w:r/>
      <w:bookmarkStart w:id="122" w:name="_Toc513029229"/>
      <w:r/>
      <w:bookmarkStart w:id="123" w:name="_Toc16938545"/>
      <w:r>
        <w:rPr>
          <w:rFonts w:hint="eastAsia" w:ascii="宋体" w:hAnsi="宋体" w:eastAsia="宋体" w:cs="宋体"/>
          <w:b/>
          <w:bCs/>
          <w:color w:val="auto"/>
          <w:sz w:val="24"/>
          <w:szCs w:val="20"/>
          <w:highlight w:val="none"/>
          <w:lang w:val="zh-CN" w:eastAsia="zh-CN"/>
        </w:rPr>
        <w:t xml:space="preserve">五、开标与评标</w:t>
      </w:r>
      <w:bookmarkEnd w:id="120"/>
      <w:r/>
      <w:bookmarkEnd w:id="121"/>
      <w:r/>
      <w:bookmarkEnd w:id="122"/>
      <w:r/>
      <w:bookmarkEnd w:id="123"/>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124" w:name="_Toc513029230"/>
      <w:r/>
      <w:bookmarkStart w:id="125" w:name="_Toc20823302"/>
      <w:r/>
      <w:bookmarkStart w:id="126" w:name="_Toc16938546"/>
      <w:r>
        <w:rPr>
          <w:rFonts w:hint="eastAsia" w:ascii="宋体" w:hAnsi="宋体" w:eastAsia="宋体" w:cs="宋体"/>
          <w:b/>
          <w:bCs/>
          <w:color w:val="auto"/>
          <w:sz w:val="24"/>
          <w:szCs w:val="20"/>
          <w:highlight w:val="none"/>
          <w:lang w:val="en-US" w:eastAsia="zh-CN"/>
        </w:rPr>
        <w:t xml:space="preserve">21. </w:t>
      </w:r>
      <w:r>
        <w:rPr>
          <w:rFonts w:hint="eastAsia" w:ascii="宋体" w:hAnsi="宋体" w:eastAsia="宋体" w:cs="宋体"/>
          <w:b/>
          <w:bCs/>
          <w:color w:val="auto"/>
          <w:sz w:val="24"/>
          <w:szCs w:val="20"/>
          <w:highlight w:val="none"/>
          <w:lang w:val="zh-CN" w:eastAsia="zh-CN"/>
        </w:rPr>
        <w:t xml:space="preserve">开标</w:t>
      </w:r>
      <w:bookmarkEnd w:id="124"/>
      <w:r/>
      <w:bookmarkEnd w:id="125"/>
      <w:r/>
      <w:bookmarkEnd w:id="126"/>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21.1采购中心将在招标公告中规定的时间和地点组织公开开标。投标人应当按照《操作手册》规定，参加开标活动和在“苏采云”系统规定的时间内对投标文件进行解密。</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21.2开标仪式由采购中心组织。“苏采云”系统将自动对项目进行开标，并宣布各投标人名称和投标价格。</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21.3投标人在开标过程中涉及的投标文件解密、开标结果确认等工作，应按照《操作手册》规定执行。</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21.4投标人如果对开标过程和开标记录有疑义，应当根据《操作手册》规定提出，如“苏采云”系统中《开标记录表》宣布后5分钟内未提出的，视同认可开标结果。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127" w:name="_Toc16938547"/>
      <w:r/>
      <w:bookmarkStart w:id="128" w:name="_Toc20823303"/>
      <w:r/>
      <w:bookmarkStart w:id="129" w:name="_Toc513029231"/>
      <w:r>
        <w:rPr>
          <w:rFonts w:hint="eastAsia" w:ascii="宋体" w:hAnsi="宋体" w:eastAsia="宋体" w:cs="宋体"/>
          <w:b/>
          <w:bCs/>
          <w:color w:val="auto"/>
          <w:sz w:val="24"/>
          <w:szCs w:val="20"/>
          <w:highlight w:val="none"/>
          <w:lang w:val="en-US" w:eastAsia="zh-CN"/>
        </w:rPr>
        <w:t xml:space="preserve">22. </w:t>
      </w:r>
      <w:r>
        <w:rPr>
          <w:rFonts w:hint="eastAsia" w:ascii="宋体" w:hAnsi="宋体" w:eastAsia="宋体" w:cs="宋体"/>
          <w:b/>
          <w:bCs/>
          <w:color w:val="auto"/>
          <w:sz w:val="24"/>
          <w:szCs w:val="20"/>
          <w:highlight w:val="none"/>
          <w:lang w:val="zh-CN" w:eastAsia="zh-CN"/>
        </w:rPr>
        <w:t xml:space="preserve">评标委员会</w:t>
      </w:r>
      <w:bookmarkEnd w:id="127"/>
      <w:r/>
      <w:bookmarkEnd w:id="128"/>
      <w:r/>
      <w:bookmarkEnd w:id="129"/>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22.1开标后，采购中心将立即组织评标委员会（以下简称评委会）进行评标。</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22.2评委会由采购人代表和有关技术、经济等方面的专家组成，且人员构成符合政府采购有关规定。</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22.3评委会独立工作，负责评审所有投标文件并确定中标</w:t>
      </w:r>
      <w:r>
        <w:rPr>
          <w:rFonts w:hint="eastAsia" w:ascii="宋体" w:hAnsi="宋体" w:eastAsia="宋体" w:cs="宋体"/>
          <w:color w:val="auto"/>
          <w:sz w:val="24"/>
          <w:szCs w:val="20"/>
          <w:highlight w:val="none"/>
          <w:lang w:val="en-US" w:eastAsia="zh-CN"/>
        </w:rPr>
        <w:t xml:space="preserve">候</w:t>
      </w:r>
      <w:r>
        <w:rPr>
          <w:rFonts w:hint="eastAsia" w:ascii="宋体" w:hAnsi="宋体" w:eastAsia="宋体" w:cs="宋体"/>
          <w:color w:val="auto"/>
          <w:sz w:val="24"/>
          <w:szCs w:val="20"/>
          <w:highlight w:val="none"/>
          <w:lang w:val="zh-CN" w:eastAsia="zh-CN"/>
        </w:rPr>
        <w:t xml:space="preserve">选人。</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rPr>
          <w:rFonts w:hint="eastAsia" w:ascii="宋体" w:hAnsi="宋体" w:eastAsia="宋体" w:cs="宋体"/>
          <w:b/>
          <w:bCs/>
          <w:color w:val="auto"/>
          <w:sz w:val="24"/>
          <w:szCs w:val="20"/>
          <w:highlight w:val="none"/>
          <w:lang w:val="en-US" w:eastAsia="zh-CN"/>
        </w:rPr>
        <w:t xml:space="preserve">23. </w:t>
      </w:r>
      <w:r>
        <w:rPr>
          <w:rFonts w:hint="eastAsia" w:ascii="宋体" w:hAnsi="宋体" w:eastAsia="宋体" w:cs="宋体"/>
          <w:b/>
          <w:bCs/>
          <w:color w:val="auto"/>
          <w:sz w:val="24"/>
          <w:szCs w:val="20"/>
          <w:highlight w:val="none"/>
          <w:lang w:val="zh-CN" w:eastAsia="zh-CN"/>
        </w:rPr>
        <w:t xml:space="preserve">评标过程的保密与公正</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23.1凡是与审查、澄清、评价和比较投标的有关资料以及授标建议等，采购人、评委、采购中心均不得向投标人或与评标无关的其他人员透露。</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23.2在评标过程中，投标人不得以任何行为影响评标过程，否则其投标文件将被作为无效投标文件。</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23.3采购中心和评标委员会不向未中标的投标人解释未中标原因，也不公布评标过程中的相关细节。</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23.4采用综合评分法的项目，未中标的投标人可于中标结果公告期限届满之日起通过苏采云系统查看自己的评审得分及排序情况。</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130" w:name="_Toc16938548"/>
      <w:r/>
      <w:bookmarkStart w:id="131" w:name="_Toc513029232"/>
      <w:r/>
      <w:bookmarkStart w:id="132" w:name="_Toc20823304"/>
      <w:r>
        <w:rPr>
          <w:rFonts w:hint="eastAsia" w:ascii="宋体" w:hAnsi="宋体" w:eastAsia="宋体" w:cs="宋体"/>
          <w:b/>
          <w:bCs/>
          <w:color w:val="auto"/>
          <w:sz w:val="24"/>
          <w:szCs w:val="20"/>
          <w:highlight w:val="none"/>
          <w:lang w:val="en-US" w:eastAsia="zh-CN"/>
        </w:rPr>
        <w:t xml:space="preserve">24. </w:t>
      </w:r>
      <w:r>
        <w:rPr>
          <w:rFonts w:hint="eastAsia" w:ascii="宋体" w:hAnsi="宋体" w:eastAsia="宋体" w:cs="宋体"/>
          <w:b/>
          <w:bCs/>
          <w:color w:val="auto"/>
          <w:sz w:val="24"/>
          <w:szCs w:val="20"/>
          <w:highlight w:val="none"/>
          <w:lang w:val="zh-CN" w:eastAsia="zh-CN"/>
        </w:rPr>
        <w:t xml:space="preserve">投标文件的澄清</w:t>
      </w:r>
      <w:bookmarkEnd w:id="130"/>
      <w:r/>
      <w:bookmarkEnd w:id="131"/>
      <w:r/>
      <w:bookmarkEnd w:id="132"/>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24.1评标期间，评委会对投标文件中含义不明确、同类问题表述不一致或者有明显文字和计算错误的内容，有权要求投标人作出必要的澄清、说明或者补正。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560" w:lineRule="exact"/>
        <w:rPr>
          <w:rFonts w:hint="eastAsia" w:ascii="宋体" w:hAnsi="宋体" w:eastAsia="宋体" w:cs="宋体"/>
          <w:color w:val="auto"/>
          <w:sz w:val="24"/>
          <w:highlight w:val="none"/>
          <w:lang w:bidi="ar-SA"/>
        </w:rPr>
        <w:outlineLvl w:val="9"/>
      </w:pPr>
      <w:r>
        <w:rPr>
          <w:rFonts w:hint="eastAsia" w:ascii="宋体" w:hAnsi="宋体" w:eastAsia="宋体" w:cs="宋体"/>
          <w:color w:val="auto"/>
          <w:sz w:val="24"/>
          <w:highlight w:val="none"/>
          <w:lang w:bidi="ar-SA"/>
        </w:rPr>
        <w:t xml:space="preserve">投标人的澄清、说明或者补正不得超出投标文件的范围或者改变投标文件的实质性内容。评标委员会并非对每个投标人都做澄清要求。</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24.2需要</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进行澄清、说明和补正的，评委会将通过苏采云系统向</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24.3接到评委会澄清、说明和补正要求的投标人如未按规定</w:t>
      </w:r>
      <w:r>
        <w:rPr>
          <w:rFonts w:hint="eastAsia" w:ascii="宋体" w:hAnsi="宋体" w:eastAsia="宋体" w:cs="宋体"/>
          <w:color w:val="auto"/>
          <w:sz w:val="24"/>
          <w:szCs w:val="20"/>
          <w:highlight w:val="none"/>
          <w:lang w:val="en-US" w:eastAsia="zh-CN"/>
        </w:rPr>
        <w:t xml:space="preserve">作出</w:t>
      </w:r>
      <w:r>
        <w:rPr>
          <w:rFonts w:hint="eastAsia" w:ascii="宋体" w:hAnsi="宋体" w:eastAsia="宋体" w:cs="宋体"/>
          <w:color w:val="auto"/>
          <w:sz w:val="24"/>
          <w:szCs w:val="20"/>
          <w:highlight w:val="none"/>
          <w:lang w:val="zh-CN" w:eastAsia="zh-CN"/>
        </w:rPr>
        <w:t xml:space="preserve">澄清、说明和补正，其风险由投标人自行承担。</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133" w:name="_Toc16938549"/>
      <w:r/>
      <w:bookmarkStart w:id="134" w:name="_Toc513029233"/>
      <w:r/>
      <w:bookmarkStart w:id="135" w:name="_Toc20823305"/>
      <w:r>
        <w:rPr>
          <w:rFonts w:hint="eastAsia" w:ascii="宋体" w:hAnsi="宋体" w:eastAsia="宋体" w:cs="宋体"/>
          <w:b/>
          <w:bCs/>
          <w:color w:val="auto"/>
          <w:sz w:val="24"/>
          <w:szCs w:val="20"/>
          <w:highlight w:val="none"/>
          <w:lang w:val="en-US" w:eastAsia="zh-CN"/>
        </w:rPr>
        <w:t xml:space="preserve">25. </w:t>
      </w:r>
      <w:r>
        <w:rPr>
          <w:rFonts w:hint="eastAsia" w:ascii="宋体" w:hAnsi="宋体" w:eastAsia="宋体" w:cs="宋体"/>
          <w:b/>
          <w:bCs/>
          <w:color w:val="auto"/>
          <w:sz w:val="24"/>
          <w:szCs w:val="20"/>
          <w:highlight w:val="none"/>
          <w:lang w:val="zh-CN" w:eastAsia="zh-CN"/>
        </w:rPr>
        <w:t xml:space="preserve">对投标文件的初审</w:t>
      </w:r>
      <w:bookmarkEnd w:id="133"/>
      <w:r/>
      <w:bookmarkEnd w:id="134"/>
      <w:r/>
      <w:bookmarkEnd w:id="135"/>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25.1投标文件初审分为资格审查和符合性审查。</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25.1.1资格审查：依据法律法规和招标文件的规定，由采购人对投标文件中的资格证明文件进行审查。资格审查的结论，采购人以书面形式向评委会进行反馈。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采购人在进行资格性审查的同时，将在“信用中国”网站（www.creditchina.gov.cn）查询投标人的信用记录，以确定投标人是否具备投标资格，查询结果留存并归档。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接受联合体的项目，两个以上的自然人、法人或者其他组织组成一个联合体，以一个</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的身份共同参加政府采购活动。联合体成员存在不良信用记录的，视同联合体存在不良</w:t>
      </w:r>
      <w:r>
        <w:rPr>
          <w:rFonts w:hint="eastAsia" w:ascii="宋体" w:hAnsi="宋体" w:eastAsia="宋体" w:cs="宋体"/>
          <w:color w:val="auto"/>
          <w:sz w:val="24"/>
          <w:szCs w:val="20"/>
          <w:highlight w:val="none"/>
          <w:lang w:val="en-US" w:eastAsia="zh-CN"/>
        </w:rPr>
        <w:t xml:space="preserve">信</w:t>
      </w:r>
      <w:r>
        <w:rPr>
          <w:rFonts w:hint="eastAsia" w:ascii="宋体" w:hAnsi="宋体" w:eastAsia="宋体" w:cs="宋体"/>
          <w:color w:val="auto"/>
          <w:sz w:val="24"/>
          <w:szCs w:val="20"/>
          <w:highlight w:val="none"/>
          <w:lang w:val="zh-CN" w:eastAsia="zh-CN"/>
        </w:rPr>
        <w:t xml:space="preserve">用记录。</w:t>
      </w:r>
      <w:r/>
    </w:p>
    <w:p>
      <w:pPr>
        <w:ind w:firstLine="480"/>
        <w:keepLines w:val="0"/>
        <w:keepNext w:val="0"/>
        <w:pageBreakBefore w:val="0"/>
        <w:spacing w:line="560" w:lineRule="exact"/>
        <w:widowControl/>
        <w:rPr>
          <w:rFonts w:hint="eastAsia" w:ascii="宋体" w:hAnsi="宋体" w:eastAsia="宋体" w:cs="宋体"/>
          <w:color w:val="auto"/>
          <w:sz w:val="24"/>
          <w:szCs w:val="24"/>
          <w:highlight w:val="none"/>
          <w:lang w:val="zh-CN" w:eastAsia="zh-CN"/>
        </w:rPr>
        <w:outlineLvl w:val="9"/>
      </w:pPr>
      <w:r>
        <w:rPr>
          <w:rFonts w:hint="eastAsia" w:ascii="宋体" w:hAnsi="宋体" w:eastAsia="宋体" w:cs="宋体"/>
          <w:color w:val="auto"/>
          <w:sz w:val="24"/>
          <w:szCs w:val="20"/>
          <w:highlight w:val="none"/>
          <w:lang w:val="zh-CN" w:eastAsia="zh-CN"/>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25.3如果投标文件实质上没有响应招标文件的要求，评委会将予以拒绝，投标人不得通过修改或撤销</w:t>
      </w:r>
      <w:r>
        <w:rPr>
          <w:rFonts w:hint="eastAsia" w:ascii="宋体" w:hAnsi="宋体" w:eastAsia="宋体" w:cs="宋体"/>
          <w:color w:val="auto"/>
          <w:sz w:val="24"/>
          <w:szCs w:val="20"/>
          <w:highlight w:val="none"/>
          <w:lang w:val="en-US" w:eastAsia="zh-CN"/>
        </w:rPr>
        <w:t xml:space="preserve">不符</w:t>
      </w:r>
      <w:r>
        <w:rPr>
          <w:rFonts w:hint="eastAsia" w:ascii="宋体" w:hAnsi="宋体" w:eastAsia="宋体" w:cs="宋体"/>
          <w:color w:val="auto"/>
          <w:sz w:val="24"/>
          <w:szCs w:val="20"/>
          <w:highlight w:val="none"/>
          <w:lang w:val="zh-CN" w:eastAsia="zh-CN"/>
        </w:rPr>
        <w:t xml:space="preserve">合要求的偏离或保留而使其投标成为实质性响应的投标。</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25.4评委会将对确定为实质性响应的投标进行进一步审核，确定其是否有计算上或累加上的算术错误，修正错误的原则如下：</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（1）投标文件中开标一览表内容与投标文件中相应内容不一致的，以开标一览表为准。</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（2）大写金额和小写金额不一致的，以大写金额为准。</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（3）单价金额小数点或者百分比有明显错位的，以开标一览表的总价为准，并修改单价。</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（4）总价金额与按单价汇总金额不一致的，以单价金额计算结果为准。</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同时出现两种以上错误的，按照前款规定的顺序修正。</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bookmarkStart w:id="136" w:name="_Toc513029234"/>
      <w:r/>
      <w:bookmarkStart w:id="137" w:name="_Toc20823306"/>
      <w:r/>
      <w:bookmarkStart w:id="138" w:name="_Toc16938550"/>
      <w:r>
        <w:rPr>
          <w:rFonts w:hint="eastAsia" w:ascii="宋体" w:hAnsi="宋体" w:eastAsia="宋体" w:cs="宋体"/>
          <w:color w:val="auto"/>
          <w:sz w:val="24"/>
          <w:szCs w:val="20"/>
          <w:highlight w:val="none"/>
          <w:lang w:val="zh-CN" w:eastAsia="zh-CN"/>
        </w:rPr>
        <w:t xml:space="preserve">25.6投标人在开、评标全过程中应保持通讯畅通，及时登录苏采云系统查阅、答复相关信息，并安排专人与采购中心及评标委员会联系。</w:t>
      </w:r>
      <w:bookmarkEnd w:id="136"/>
      <w:r/>
      <w:bookmarkEnd w:id="137"/>
      <w:r/>
      <w:bookmarkEnd w:id="138"/>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rPr>
          <w:rFonts w:hint="eastAsia" w:ascii="宋体" w:hAnsi="宋体" w:eastAsia="宋体" w:cs="宋体"/>
          <w:b/>
          <w:bCs/>
          <w:color w:val="auto"/>
          <w:sz w:val="24"/>
          <w:szCs w:val="20"/>
          <w:highlight w:val="none"/>
          <w:lang w:val="en-US" w:eastAsia="zh-CN"/>
        </w:rPr>
        <w:t xml:space="preserve">26. </w:t>
      </w:r>
      <w:r>
        <w:rPr>
          <w:rFonts w:hint="eastAsia" w:ascii="宋体" w:hAnsi="宋体" w:eastAsia="宋体" w:cs="宋体"/>
          <w:b/>
          <w:bCs/>
          <w:color w:val="auto"/>
          <w:sz w:val="24"/>
          <w:szCs w:val="20"/>
          <w:highlight w:val="none"/>
          <w:lang w:val="zh-CN" w:eastAsia="zh-CN"/>
        </w:rPr>
        <w:t xml:space="preserve">无效投标条款和废标条款</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bookmarkStart w:id="139" w:name="_Toc16938551"/>
      <w:r/>
      <w:bookmarkStart w:id="140" w:name="_Toc20823307"/>
      <w:r/>
      <w:bookmarkStart w:id="141" w:name="_Toc513029235"/>
      <w:r>
        <w:rPr>
          <w:rFonts w:hint="eastAsia" w:ascii="宋体" w:hAnsi="宋体" w:eastAsia="宋体" w:cs="宋体"/>
          <w:color w:val="auto"/>
          <w:sz w:val="24"/>
          <w:szCs w:val="20"/>
          <w:highlight w:val="none"/>
          <w:lang w:val="zh-CN" w:eastAsia="zh-CN"/>
        </w:rPr>
        <w:t xml:space="preserve">26.1无效投标条款</w:t>
      </w:r>
      <w:bookmarkEnd w:id="139"/>
      <w:r/>
      <w:bookmarkEnd w:id="140"/>
      <w:r/>
      <w:bookmarkEnd w:id="141"/>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26.1.1投标人在苏采云系统规定的时间内未成功解密电子投标文件的。</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26.1.2投标人未按照招标文件要求上传电子投标文件的。</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26.1.3同一投标人提交两个（含两个）以上不同的投标报价的。</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26.1.4投标人不具备招标文件中规定资格要求的。</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26.1.5投标人的报价超过了采购预算或最高限价的。</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26.1.6未通过符合性审查的。</w:t>
      </w:r>
      <w:r/>
    </w:p>
    <w:p>
      <w:pPr>
        <w:ind w:firstLine="480"/>
        <w:keepLines w:val="0"/>
        <w:keepNext w:val="0"/>
        <w:pageBreakBefore w:val="0"/>
        <w:spacing w:line="5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0"/>
          <w:highlight w:val="none"/>
          <w:lang w:val="zh-CN" w:eastAsia="zh-CN"/>
        </w:rPr>
        <w:t xml:space="preserve">26.1.7不符合招标文件中规定的实质性要求和条件的</w:t>
      </w:r>
      <w:r>
        <w:rPr>
          <w:rFonts w:hint="eastAsia" w:ascii="宋体" w:hAnsi="宋体" w:eastAsia="宋体" w:cs="宋体"/>
          <w:i/>
          <w:iCs/>
          <w:color w:val="auto"/>
          <w:sz w:val="24"/>
          <w:szCs w:val="24"/>
          <w:highlight w:val="none"/>
          <w:u w:val="single"/>
        </w:rPr>
        <w:t xml:space="preserve">（本招标文件中斜体且有下划线部分为实质性要求和条件）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rPr>
        <w:t xml:space="preserve">26.1.8</w:t>
      </w:r>
      <w:r>
        <w:rPr>
          <w:rFonts w:hint="eastAsia" w:ascii="宋体" w:hAnsi="宋体" w:eastAsia="宋体" w:cs="宋体"/>
          <w:color w:val="auto"/>
          <w:sz w:val="24"/>
          <w:szCs w:val="20"/>
          <w:highlight w:val="none"/>
          <w:lang w:val="zh-CN" w:eastAsia="zh-CN"/>
        </w:rPr>
        <w:t xml:space="preserve">投标人被</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zh-CN" w:eastAsia="zh-CN"/>
        </w:rPr>
        <w:t xml:space="preserve">信用中国</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zh-CN" w:eastAsia="zh-CN"/>
        </w:rPr>
        <w:t xml:space="preserve">网站</w:t>
      </w:r>
      <w:r>
        <w:rPr>
          <w:rFonts w:hint="eastAsia" w:ascii="宋体" w:hAnsi="宋体" w:eastAsia="宋体" w:cs="宋体"/>
          <w:color w:val="auto"/>
          <w:sz w:val="24"/>
          <w:szCs w:val="20"/>
          <w:highlight w:val="none"/>
        </w:rPr>
        <w:t xml:space="preserve">（www.creditchina.gov.cn）</w:t>
      </w:r>
      <w:r>
        <w:rPr>
          <w:rFonts w:hint="eastAsia" w:ascii="宋体" w:hAnsi="宋体" w:eastAsia="宋体" w:cs="宋体"/>
          <w:color w:val="auto"/>
          <w:sz w:val="24"/>
          <w:szCs w:val="20"/>
          <w:highlight w:val="none"/>
          <w:lang w:val="zh-CN"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26.1.9投标文件含有采购人不能接受的附加条件的。</w:t>
      </w:r>
      <w:r/>
    </w:p>
    <w:p>
      <w:pPr>
        <w:ind w:firstLine="482"/>
        <w:jc w:val="left"/>
        <w:keepLines w:val="0"/>
        <w:keepNext w:val="0"/>
        <w:pageBreakBefore w:val="0"/>
        <w:spacing w:line="560" w:lineRule="exact"/>
        <w:widowControl/>
        <w:rPr>
          <w:rFonts w:hint="eastAsia" w:ascii="宋体" w:hAnsi="宋体" w:eastAsia="宋体" w:cs="宋体"/>
          <w:b/>
          <w:bCs/>
          <w:color w:val="auto"/>
          <w:sz w:val="24"/>
          <w:szCs w:val="20"/>
          <w:highlight w:val="none"/>
          <w:lang w:bidi="ar-SA"/>
        </w:rPr>
        <w:outlineLvl w:val="9"/>
      </w:pPr>
      <w:r>
        <w:rPr>
          <w:rFonts w:hint="eastAsia" w:ascii="宋体" w:hAnsi="宋体" w:eastAsia="宋体" w:cs="宋体"/>
          <w:b/>
          <w:bCs/>
          <w:color w:val="auto"/>
          <w:sz w:val="24"/>
          <w:szCs w:val="20"/>
          <w:highlight w:val="none"/>
          <w:lang w:bidi="ar-SA"/>
        </w:rPr>
        <w:t xml:space="preserve">26.1.10投标人不能证明其报价合理性的，评标委员会应当将其作为无效投标处理。</w:t>
      </w:r>
      <w:r/>
    </w:p>
    <w:p>
      <w:pPr>
        <w:ind w:firstLine="482"/>
        <w:jc w:val="left"/>
        <w:keepLines w:val="0"/>
        <w:keepNext w:val="0"/>
        <w:pageBreakBefore w:val="0"/>
        <w:spacing w:line="560" w:lineRule="exact"/>
        <w:widowControl/>
        <w:rPr>
          <w:rFonts w:hint="eastAsia" w:ascii="宋体" w:hAnsi="宋体" w:eastAsia="宋体" w:cs="宋体"/>
          <w:b/>
          <w:bCs/>
          <w:color w:val="auto"/>
          <w:sz w:val="24"/>
          <w:szCs w:val="20"/>
          <w:highlight w:val="none"/>
          <w:lang w:bidi="ar-SA"/>
        </w:rPr>
        <w:outlineLvl w:val="9"/>
      </w:pPr>
      <w:r>
        <w:rPr>
          <w:rFonts w:hint="eastAsia" w:ascii="宋体" w:hAnsi="宋体" w:eastAsia="宋体" w:cs="宋体"/>
          <w:b/>
          <w:bCs/>
          <w:color w:val="auto"/>
          <w:sz w:val="24"/>
          <w:szCs w:val="20"/>
          <w:highlight w:val="none"/>
          <w:lang w:bidi="ar-SA"/>
        </w:rPr>
        <w:t xml:space="preserve">（一）评审过程中出现下列情形之一的，评标委员会应当启动异常低价投标审查程序：</w:t>
      </w:r>
      <w:r/>
    </w:p>
    <w:p>
      <w:pPr>
        <w:ind w:firstLine="482"/>
        <w:jc w:val="left"/>
        <w:keepLines w:val="0"/>
        <w:keepNext w:val="0"/>
        <w:pageBreakBefore w:val="0"/>
        <w:spacing w:line="560" w:lineRule="exact"/>
        <w:widowControl/>
        <w:rPr>
          <w:rFonts w:hint="eastAsia" w:ascii="宋体" w:hAnsi="宋体" w:eastAsia="宋体" w:cs="宋体"/>
          <w:b/>
          <w:bCs/>
          <w:color w:val="auto"/>
          <w:highlight w:val="none"/>
          <w:lang w:bidi="ar-SA"/>
        </w:rPr>
        <w:outlineLvl w:val="9"/>
      </w:pPr>
      <w:r>
        <w:rPr>
          <w:rFonts w:hint="eastAsia" w:ascii="宋体" w:hAnsi="宋体" w:eastAsia="宋体" w:cs="宋体"/>
          <w:b/>
          <w:bCs/>
          <w:color w:val="auto"/>
          <w:sz w:val="24"/>
          <w:szCs w:val="20"/>
          <w:highlight w:val="none"/>
          <w:lang w:bidi="ar-SA"/>
        </w:rPr>
        <w:t xml:space="preserve">1.投标（响应）报价低于全部通过符合性审查供应商投标（响应）报价平均值50%的，即投标（响应）报价&lt;全部通过符合性审查供应商投标（响应）报价平均值×50%；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560" w:lineRule="exact"/>
        <w:widowControl/>
        <w:rPr>
          <w:rFonts w:hint="eastAsia" w:ascii="宋体" w:hAnsi="宋体" w:eastAsia="宋体" w:cs="宋体"/>
          <w:b/>
          <w:bCs/>
          <w:color w:val="auto"/>
          <w:highlight w:val="none"/>
          <w:lang w:bidi="ar-SA"/>
        </w:rPr>
        <w:outlineLvl w:val="9"/>
      </w:pPr>
      <w:r>
        <w:rPr>
          <w:rFonts w:hint="eastAsia" w:ascii="宋体" w:hAnsi="宋体" w:eastAsia="宋体" w:cs="宋体"/>
          <w:b/>
          <w:bCs/>
          <w:color w:val="auto"/>
          <w:sz w:val="24"/>
          <w:szCs w:val="20"/>
          <w:highlight w:val="none"/>
          <w:lang w:bidi="ar-SA"/>
        </w:rPr>
        <w:t xml:space="preserve">2.投标（响应）报价低于通过符合性审查的次低报价供应商投标（响应）报价50%的，即投标（响应）报价&lt;通过符合性审查的次低报价供应商投标（响应）报价×50%；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560" w:lineRule="exact"/>
        <w:widowControl/>
        <w:rPr>
          <w:rFonts w:hint="eastAsia" w:ascii="宋体" w:hAnsi="宋体" w:eastAsia="宋体" w:cs="宋体"/>
          <w:b/>
          <w:bCs/>
          <w:color w:val="auto"/>
          <w:highlight w:val="none"/>
          <w:lang w:bidi="ar-SA"/>
        </w:rPr>
        <w:outlineLvl w:val="9"/>
      </w:pPr>
      <w:r>
        <w:rPr>
          <w:rFonts w:hint="eastAsia" w:ascii="宋体" w:hAnsi="宋体" w:eastAsia="宋体" w:cs="宋体"/>
          <w:b/>
          <w:bCs/>
          <w:color w:val="auto"/>
          <w:sz w:val="24"/>
          <w:szCs w:val="20"/>
          <w:highlight w:val="none"/>
          <w:lang w:bidi="ar-SA"/>
        </w:rPr>
        <w:t xml:space="preserve">3.投标（响应）报价低于采购项目最高限价45%的，即投标（响应）报价&lt;采购项目最高限</w:t>
      </w:r>
      <w:r>
        <w:rPr>
          <w:rFonts w:hint="eastAsia" w:ascii="宋体" w:hAnsi="宋体" w:eastAsia="宋体" w:cs="宋体"/>
          <w:b/>
          <w:bCs/>
          <w:color w:val="auto"/>
          <w:sz w:val="24"/>
          <w:szCs w:val="24"/>
          <w:highlight w:val="none"/>
          <w:lang w:bidi="ar-SA"/>
        </w:rPr>
        <w:t xml:space="preserve">价×45%</w:t>
      </w:r>
      <w:r>
        <w:rPr>
          <w:rFonts w:hint="eastAsia" w:ascii="宋体" w:hAnsi="宋体" w:eastAsia="宋体" w:cs="宋体"/>
          <w:b/>
          <w:bCs/>
          <w:color w:val="auto"/>
          <w:sz w:val="24"/>
          <w:szCs w:val="20"/>
          <w:highlight w:val="none"/>
          <w:lang w:bidi="ar-SA"/>
        </w:rPr>
        <w:t xml:space="preserve">；</w:t>
      </w:r>
      <w:r/>
    </w:p>
    <w:p>
      <w:pPr>
        <w:ind w:firstLine="482"/>
        <w:jc w:val="left"/>
        <w:keepLines w:val="0"/>
        <w:keepNext w:val="0"/>
        <w:pageBreakBefore w:val="0"/>
        <w:spacing w:line="560" w:lineRule="exact"/>
        <w:widowControl/>
        <w:rPr>
          <w:rFonts w:hint="eastAsia" w:ascii="宋体" w:hAnsi="宋体" w:eastAsia="宋体" w:cs="宋体"/>
          <w:b/>
          <w:bCs/>
          <w:color w:val="auto"/>
          <w:highlight w:val="none"/>
          <w:lang w:bidi="ar-SA"/>
        </w:rPr>
        <w:outlineLvl w:val="9"/>
      </w:pPr>
      <w:r>
        <w:rPr>
          <w:rFonts w:hint="eastAsia" w:ascii="宋体" w:hAnsi="宋体" w:eastAsia="宋体" w:cs="宋体"/>
          <w:b/>
          <w:bCs/>
          <w:color w:val="auto"/>
          <w:sz w:val="24"/>
          <w:szCs w:val="20"/>
          <w:highlight w:val="none"/>
          <w:lang w:bidi="ar-SA"/>
        </w:rPr>
        <w:t xml:space="preserve">4.评审委员会基于专业判断，认为供应商报价过低，有可能影响产品质量或者不能诚信履约的其他情形。</w:t>
      </w:r>
      <w:r/>
    </w:p>
    <w:p>
      <w:pPr>
        <w:ind w:firstLine="482"/>
        <w:jc w:val="left"/>
        <w:keepLines w:val="0"/>
        <w:keepNext w:val="0"/>
        <w:pageBreakBefore w:val="0"/>
        <w:spacing w:line="560" w:lineRule="exact"/>
        <w:widowControl/>
        <w:rPr>
          <w:rFonts w:hint="eastAsia" w:ascii="宋体" w:hAnsi="宋体" w:eastAsia="宋体" w:cs="宋体"/>
          <w:b/>
          <w:bCs/>
          <w:color w:val="auto"/>
          <w:highlight w:val="none"/>
        </w:rPr>
        <w:outlineLvl w:val="9"/>
      </w:pPr>
      <w:r>
        <w:rPr>
          <w:rFonts w:hint="eastAsia" w:ascii="宋体" w:hAnsi="宋体" w:eastAsia="宋体" w:cs="宋体"/>
          <w:b/>
          <w:bCs/>
          <w:color w:val="auto"/>
          <w:sz w:val="24"/>
          <w:szCs w:val="20"/>
          <w:highlight w:val="none"/>
          <w:lang w:bidi="ar-SA"/>
        </w:rPr>
        <w:t xml:space="preserve">采购人可以结合具体项目实际情况，提高上述第1项至第3项中启动异常低价投标（响应）审查的数值标准，但是最高不得超过65%。</w:t>
      </w:r>
      <w:r/>
    </w:p>
    <w:p>
      <w:pPr>
        <w:ind w:firstLine="482"/>
        <w:jc w:val="left"/>
        <w:keepLines w:val="0"/>
        <w:keepNext w:val="0"/>
        <w:pageBreakBefore w:val="0"/>
        <w:spacing w:line="560" w:lineRule="exact"/>
        <w:widowControl/>
        <w:rPr>
          <w:rFonts w:hint="eastAsia" w:ascii="宋体" w:hAnsi="宋体" w:eastAsia="宋体" w:cs="宋体"/>
          <w:b/>
          <w:bCs/>
          <w:color w:val="auto"/>
          <w:highlight w:val="none"/>
        </w:rPr>
        <w:outlineLvl w:val="9"/>
      </w:pPr>
      <w:r>
        <w:rPr>
          <w:rFonts w:hint="eastAsia" w:ascii="宋体" w:hAnsi="宋体" w:eastAsia="宋体" w:cs="宋体"/>
          <w:b/>
          <w:bCs/>
          <w:color w:val="auto"/>
          <w:sz w:val="24"/>
          <w:szCs w:val="20"/>
          <w:highlight w:val="none"/>
          <w:lang w:bidi="ar-SA"/>
        </w:rPr>
        <w:t xml:space="preserve">相关法律法规对供应商报价有规定的，从其规定。</w:t>
      </w:r>
      <w:r/>
    </w:p>
    <w:p>
      <w:pPr>
        <w:ind w:firstLine="482"/>
        <w:jc w:val="left"/>
        <w:keepLines w:val="0"/>
        <w:keepNext w:val="0"/>
        <w:pageBreakBefore w:val="0"/>
        <w:spacing w:line="560" w:lineRule="exact"/>
        <w:widowControl/>
        <w:rPr>
          <w:rFonts w:hint="eastAsia" w:ascii="宋体" w:hAnsi="宋体" w:eastAsia="宋体" w:cs="宋体"/>
          <w:b/>
          <w:bCs/>
          <w:color w:val="auto"/>
          <w:highlight w:val="none"/>
          <w:lang w:bidi="ar-SA"/>
        </w:rPr>
        <w:outlineLvl w:val="9"/>
      </w:pPr>
      <w:r>
        <w:rPr>
          <w:rFonts w:hint="eastAsia" w:ascii="宋体" w:hAnsi="宋体" w:eastAsia="宋体" w:cs="宋体"/>
          <w:b/>
          <w:bCs/>
          <w:color w:val="auto"/>
          <w:sz w:val="24"/>
          <w:szCs w:val="20"/>
          <w:highlight w:val="none"/>
          <w:lang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keepLines w:val="0"/>
        <w:keepNext w:val="0"/>
        <w:pageBreakBefore w:val="0"/>
        <w:spacing w:line="560" w:lineRule="exact"/>
        <w:widowControl/>
        <w:rPr>
          <w:rFonts w:hint="eastAsia" w:ascii="宋体" w:hAnsi="宋体" w:eastAsia="宋体" w:cs="宋体"/>
          <w:b/>
          <w:bCs/>
          <w:color w:val="auto"/>
          <w:sz w:val="24"/>
          <w:szCs w:val="24"/>
          <w:highlight w:val="none"/>
          <w:lang w:bidi="ar-SA"/>
        </w:rPr>
        <w:outlineLvl w:val="9"/>
      </w:pPr>
      <w:r>
        <w:rPr>
          <w:rFonts w:hint="eastAsia" w:ascii="宋体" w:hAnsi="宋体" w:eastAsia="宋体" w:cs="宋体"/>
          <w:b/>
          <w:bCs/>
          <w:color w:val="auto"/>
          <w:sz w:val="24"/>
          <w:szCs w:val="20"/>
          <w:highlight w:val="none"/>
          <w:lang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keepLines w:val="0"/>
        <w:keepNext w:val="0"/>
        <w:pageBreakBefore w:val="0"/>
        <w:spacing w:line="560" w:lineRule="exact"/>
        <w:widowControl/>
        <w:rPr>
          <w:rFonts w:hint="eastAsia" w:ascii="宋体" w:hAnsi="宋体" w:eastAsia="宋体" w:cs="宋体"/>
          <w:b/>
          <w:bCs/>
          <w:color w:val="auto"/>
          <w:sz w:val="24"/>
          <w:szCs w:val="24"/>
          <w:highlight w:val="none"/>
          <w:lang w:bidi="ar-SA"/>
        </w:rPr>
        <w:outlineLvl w:val="9"/>
      </w:pPr>
      <w:r>
        <w:rPr>
          <w:rFonts w:hint="eastAsia" w:ascii="宋体" w:hAnsi="宋体" w:eastAsia="宋体" w:cs="宋体"/>
          <w:b/>
          <w:bCs/>
          <w:color w:val="auto"/>
          <w:sz w:val="24"/>
          <w:szCs w:val="20"/>
          <w:highlight w:val="none"/>
          <w:lang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keepLines w:val="0"/>
        <w:keepNext w:val="0"/>
        <w:pageBreakBefore w:val="0"/>
        <w:spacing w:line="560" w:lineRule="exact"/>
        <w:widowControl/>
        <w:rPr>
          <w:rFonts w:hint="eastAsia" w:ascii="宋体" w:hAnsi="宋体" w:eastAsia="宋体" w:cs="宋体"/>
          <w:b/>
          <w:bCs/>
          <w:color w:val="auto"/>
          <w:sz w:val="24"/>
          <w:szCs w:val="24"/>
          <w:highlight w:val="none"/>
          <w:lang w:bidi="ar-SA"/>
        </w:rPr>
        <w:outlineLvl w:val="9"/>
      </w:pPr>
      <w:r>
        <w:rPr>
          <w:rFonts w:hint="eastAsia" w:ascii="宋体" w:hAnsi="宋体" w:eastAsia="宋体" w:cs="宋体"/>
          <w:b/>
          <w:bCs/>
          <w:color w:val="auto"/>
          <w:sz w:val="24"/>
          <w:szCs w:val="20"/>
          <w:highlight w:val="none"/>
          <w:lang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26.1.11投标文件未按照招标文件要求加盖CA电子公章的。</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26.1.12其他法律法规及本招标文件规定的属</w:t>
      </w:r>
      <w:r>
        <w:rPr>
          <w:rFonts w:hint="eastAsia" w:ascii="宋体" w:hAnsi="宋体" w:eastAsia="宋体" w:cs="宋体"/>
          <w:color w:val="auto"/>
          <w:sz w:val="24"/>
          <w:szCs w:val="20"/>
          <w:highlight w:val="none"/>
          <w:lang w:val="en-US" w:eastAsia="zh-CN"/>
        </w:rPr>
        <w:t xml:space="preserve">于</w:t>
      </w:r>
      <w:r>
        <w:rPr>
          <w:rFonts w:hint="eastAsia" w:ascii="宋体" w:hAnsi="宋体" w:eastAsia="宋体" w:cs="宋体"/>
          <w:color w:val="auto"/>
          <w:sz w:val="24"/>
          <w:szCs w:val="20"/>
          <w:highlight w:val="none"/>
          <w:lang w:val="zh-CN" w:eastAsia="zh-CN"/>
        </w:rPr>
        <w:t xml:space="preserve">无效投标的情形。</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26.2废标条款</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26.2.1符合专业条件的</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或者对招标文件作实质响应的</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不足三家的。</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26.2.2出现影响采购公正的违法、违规行为的。</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26.2.3因重大变故，采购任务取消的。</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26.2.4评标委员会认定招标文件存在歧义、重大缺陷导致评审工作无法进行。</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26.2.5因“苏采云”系统故障原因造成开标不成功的。</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26.3 投标截止时间结束后参加投标的</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不足三家的处理：</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26.3.1如出现投标截止时间结束后参加投标的</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或者在评标期间对招标文件</w:t>
      </w:r>
      <w:r>
        <w:rPr>
          <w:rFonts w:hint="eastAsia" w:ascii="宋体" w:hAnsi="宋体" w:eastAsia="宋体" w:cs="宋体"/>
          <w:color w:val="auto"/>
          <w:sz w:val="24"/>
          <w:szCs w:val="20"/>
          <w:highlight w:val="none"/>
          <w:lang w:val="en-US" w:eastAsia="zh-CN"/>
        </w:rPr>
        <w:t xml:space="preserve">作出</w:t>
      </w:r>
      <w:r>
        <w:rPr>
          <w:rFonts w:hint="eastAsia" w:ascii="宋体" w:hAnsi="宋体" w:eastAsia="宋体" w:cs="宋体"/>
          <w:color w:val="auto"/>
          <w:sz w:val="24"/>
          <w:szCs w:val="20"/>
          <w:highlight w:val="none"/>
          <w:lang w:val="zh-CN" w:eastAsia="zh-CN"/>
        </w:rPr>
        <w:t xml:space="preserve">实质响应的</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不足三家</w:t>
      </w:r>
      <w:r>
        <w:rPr>
          <w:rFonts w:hint="eastAsia" w:ascii="宋体" w:hAnsi="宋体" w:eastAsia="宋体" w:cs="宋体"/>
          <w:color w:val="auto"/>
          <w:sz w:val="24"/>
          <w:szCs w:val="20"/>
          <w:highlight w:val="none"/>
          <w:lang w:val="en-US" w:eastAsia="zh-CN"/>
        </w:rPr>
        <w:t xml:space="preserve">的</w:t>
      </w:r>
      <w:r>
        <w:rPr>
          <w:rFonts w:hint="eastAsia" w:ascii="宋体" w:hAnsi="宋体" w:eastAsia="宋体" w:cs="宋体"/>
          <w:color w:val="auto"/>
          <w:sz w:val="24"/>
          <w:szCs w:val="20"/>
          <w:highlight w:val="none"/>
          <w:lang w:val="zh-CN" w:eastAsia="zh-CN"/>
        </w:rPr>
        <w:t xml:space="preserve">情况，按政府采购相关规定执行。</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142" w:name="_Toc120614219"/>
      <w:r>
        <w:rPr>
          <w:rFonts w:hint="eastAsia" w:ascii="宋体" w:hAnsi="宋体" w:eastAsia="宋体" w:cs="宋体"/>
          <w:b/>
          <w:bCs/>
          <w:color w:val="auto"/>
          <w:sz w:val="24"/>
          <w:szCs w:val="20"/>
          <w:highlight w:val="none"/>
          <w:lang w:val="zh-CN" w:eastAsia="zh-CN"/>
        </w:rPr>
        <w:t xml:space="preserve">六、定标</w:t>
      </w:r>
      <w:bookmarkEnd w:id="142"/>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143" w:name="_Toc513029238"/>
      <w:r/>
      <w:bookmarkStart w:id="144" w:name="_Toc16938554"/>
      <w:r>
        <w:rPr>
          <w:rFonts w:hint="eastAsia" w:ascii="宋体" w:hAnsi="宋体" w:eastAsia="宋体" w:cs="宋体"/>
          <w:b/>
          <w:bCs/>
          <w:color w:val="auto"/>
          <w:sz w:val="24"/>
          <w:szCs w:val="20"/>
          <w:highlight w:val="none"/>
          <w:lang w:val="en-US" w:eastAsia="zh-CN"/>
        </w:rPr>
        <w:t xml:space="preserve">27. </w:t>
      </w:r>
      <w:r>
        <w:rPr>
          <w:rFonts w:hint="eastAsia" w:ascii="宋体" w:hAnsi="宋体" w:eastAsia="宋体" w:cs="宋体"/>
          <w:b/>
          <w:bCs/>
          <w:color w:val="auto"/>
          <w:sz w:val="24"/>
          <w:szCs w:val="20"/>
          <w:highlight w:val="none"/>
          <w:lang w:val="zh-CN" w:eastAsia="zh-CN"/>
        </w:rPr>
        <w:t xml:space="preserve">确定</w:t>
      </w:r>
      <w:bookmarkEnd w:id="143"/>
      <w:r/>
      <w:bookmarkEnd w:id="144"/>
      <w:r>
        <w:rPr>
          <w:rFonts w:hint="eastAsia" w:ascii="宋体" w:hAnsi="宋体" w:eastAsia="宋体" w:cs="宋体"/>
          <w:b/>
          <w:bCs/>
          <w:color w:val="auto"/>
          <w:sz w:val="24"/>
          <w:szCs w:val="20"/>
          <w:highlight w:val="none"/>
          <w:lang w:val="zh-CN" w:eastAsia="zh-CN"/>
        </w:rPr>
        <w:t xml:space="preserve">中标单位</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27.1中标候选人的选取原则和数量见招标文件第五章</w:t>
      </w:r>
      <w:r>
        <w:rPr>
          <w:rFonts w:hint="eastAsia" w:ascii="宋体" w:hAnsi="宋体" w:eastAsia="宋体" w:cs="宋体"/>
          <w:color w:val="auto"/>
          <w:sz w:val="24"/>
          <w:szCs w:val="20"/>
          <w:highlight w:val="none"/>
          <w:lang w:val="en-US" w:eastAsia="zh-CN"/>
        </w:rPr>
        <w:t xml:space="preserve">的</w:t>
      </w:r>
      <w:r>
        <w:rPr>
          <w:rFonts w:hint="eastAsia" w:ascii="宋体" w:hAnsi="宋体" w:eastAsia="宋体" w:cs="宋体"/>
          <w:color w:val="auto"/>
          <w:sz w:val="24"/>
          <w:szCs w:val="20"/>
          <w:highlight w:val="none"/>
          <w:lang w:val="zh-CN" w:eastAsia="zh-CN"/>
        </w:rPr>
        <w:t xml:space="preserve">规定。 </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27.2采购人应根据评委会推荐的中标候选人确定中标人。</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27.3采购中心将在</w:t>
      </w:r>
      <w:r>
        <w:rPr>
          <w:rFonts w:hint="eastAsia" w:ascii="宋体" w:hAnsi="宋体" w:eastAsia="宋体" w:cs="宋体"/>
          <w:color w:val="auto"/>
          <w:sz w:val="24"/>
          <w:szCs w:val="20"/>
          <w:highlight w:val="none"/>
        </w:rPr>
        <w:t xml:space="preserve">“中国政府采购网”、“江苏政府采购网”、“盐城市政府采购网”</w:t>
      </w:r>
      <w:r>
        <w:rPr>
          <w:rFonts w:hint="eastAsia" w:ascii="宋体" w:hAnsi="宋体" w:eastAsia="宋体" w:cs="宋体"/>
          <w:color w:val="auto"/>
          <w:sz w:val="24"/>
          <w:szCs w:val="20"/>
          <w:highlight w:val="none"/>
          <w:lang w:val="zh-CN" w:eastAsia="zh-CN"/>
        </w:rPr>
        <w:t xml:space="preserve">发布中标公告，公告期限为1个工作日。</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27.4若有充分证据证明，中标人出现下列情况之一的，一经查实，将被取消中标资格：</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27.4.1提供虚假材料谋取中标的。</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27.4.2向采购人、采购中心行贿或者提供其他不正当利益的。</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27.4.3属于本文件规定的无效条件，但在评标过程中又未被评委会发现的。</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27.4.4与采购人或者其他</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恶意串通的。</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27.4.5采取不正当手段诋毁、排挤其他</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的。</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bookmarkStart w:id="145" w:name="_Toc200451960"/>
      <w:r>
        <w:rPr>
          <w:rFonts w:hint="eastAsia" w:ascii="宋体" w:hAnsi="宋体" w:eastAsia="宋体" w:cs="宋体"/>
          <w:color w:val="auto"/>
          <w:sz w:val="24"/>
          <w:szCs w:val="20"/>
          <w:highlight w:val="none"/>
          <w:lang w:val="zh-CN" w:eastAsia="zh-CN"/>
        </w:rPr>
        <w:t xml:space="preserve">27.5 有下列情形之一的，视为投标人串通投标，投标无效：</w:t>
      </w:r>
      <w:bookmarkEnd w:id="145"/>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27.5.1不同投标人的投标文件由同一单位或者个人编制。</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27.5.2不同投标人委托同一单位或者个人办理投标事宜。</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27.5.3不同投标人的投标文件载明的项目管理成员或者联系人员为同一人。</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27.5.4不同投标人的投标文件异常一致或者投标报价呈规律性差异。</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rPr>
          <w:rFonts w:hint="eastAsia" w:ascii="宋体" w:hAnsi="宋体" w:eastAsia="宋体" w:cs="宋体"/>
          <w:b/>
          <w:bCs/>
          <w:color w:val="auto"/>
          <w:sz w:val="24"/>
          <w:szCs w:val="20"/>
          <w:highlight w:val="none"/>
          <w:lang w:val="en-US" w:eastAsia="zh-CN"/>
        </w:rPr>
        <w:t xml:space="preserve">28. </w:t>
      </w:r>
      <w:r>
        <w:rPr>
          <w:rFonts w:hint="eastAsia" w:ascii="宋体" w:hAnsi="宋体" w:eastAsia="宋体" w:cs="宋体"/>
          <w:b/>
          <w:bCs/>
          <w:color w:val="auto"/>
          <w:sz w:val="24"/>
          <w:szCs w:val="20"/>
          <w:highlight w:val="none"/>
          <w:lang w:val="zh-CN" w:eastAsia="zh-CN"/>
        </w:rPr>
        <w:t xml:space="preserve">质疑处理</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28.1提出质疑的</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应当是参与所质疑项目采购活动的</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。潜在</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依法获取其可质疑的</w:t>
      </w:r>
      <w:r>
        <w:rPr>
          <w:rFonts w:hint="eastAsia" w:ascii="宋体" w:hAnsi="宋体" w:eastAsia="宋体" w:cs="宋体"/>
          <w:color w:val="auto"/>
          <w:sz w:val="24"/>
          <w:szCs w:val="20"/>
          <w:highlight w:val="none"/>
          <w:lang w:val="en-US" w:eastAsia="zh-CN"/>
        </w:rPr>
        <w:t xml:space="preserve">招标文件</w:t>
      </w:r>
      <w:r>
        <w:rPr>
          <w:rFonts w:hint="eastAsia" w:ascii="宋体" w:hAnsi="宋体" w:eastAsia="宋体" w:cs="宋体"/>
          <w:color w:val="auto"/>
          <w:sz w:val="24"/>
          <w:szCs w:val="20"/>
          <w:highlight w:val="none"/>
          <w:lang w:val="zh-CN" w:eastAsia="zh-CN"/>
        </w:rPr>
        <w:t xml:space="preserve">的，可以对</w:t>
      </w:r>
      <w:r>
        <w:rPr>
          <w:rFonts w:hint="eastAsia" w:ascii="宋体" w:hAnsi="宋体" w:eastAsia="宋体" w:cs="宋体"/>
          <w:color w:val="auto"/>
          <w:sz w:val="24"/>
          <w:szCs w:val="20"/>
          <w:highlight w:val="none"/>
          <w:lang w:val="en-US" w:eastAsia="zh-CN"/>
        </w:rPr>
        <w:t xml:space="preserve">招标文件</w:t>
      </w:r>
      <w:r>
        <w:rPr>
          <w:rFonts w:hint="eastAsia" w:ascii="宋体" w:hAnsi="宋体" w:eastAsia="宋体" w:cs="宋体"/>
          <w:color w:val="auto"/>
          <w:sz w:val="24"/>
          <w:szCs w:val="20"/>
          <w:highlight w:val="none"/>
          <w:lang w:val="zh-CN" w:eastAsia="zh-CN"/>
        </w:rPr>
        <w:t xml:space="preserve">提出质疑。</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28.2</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认为</w:t>
      </w:r>
      <w:r>
        <w:rPr>
          <w:rFonts w:hint="eastAsia" w:ascii="宋体" w:hAnsi="宋体" w:eastAsia="宋体" w:cs="宋体"/>
          <w:color w:val="auto"/>
          <w:sz w:val="24"/>
          <w:szCs w:val="20"/>
          <w:highlight w:val="none"/>
          <w:lang w:val="en-US" w:eastAsia="zh-CN"/>
        </w:rPr>
        <w:t xml:space="preserve">招标文件</w:t>
      </w:r>
      <w:r>
        <w:rPr>
          <w:rFonts w:hint="eastAsia" w:ascii="宋体" w:hAnsi="宋体" w:eastAsia="宋体" w:cs="宋体"/>
          <w:color w:val="auto"/>
          <w:sz w:val="24"/>
          <w:szCs w:val="20"/>
          <w:highlight w:val="none"/>
          <w:lang w:val="zh-CN" w:eastAsia="zh-CN"/>
        </w:rPr>
        <w:t xml:space="preserve">、采购过程和采购结果使自己的权益受到损害的，可以在知道或应知其权益受到损害之日起七个工作日内，以书面形式根据下述条款的规定向采购中心或采购人提出质疑。上述应知其权益受到损害之日，是指：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28.2.1对可以质疑的</w:t>
      </w:r>
      <w:r>
        <w:rPr>
          <w:rFonts w:hint="eastAsia" w:ascii="宋体" w:hAnsi="宋体" w:eastAsia="宋体" w:cs="宋体"/>
          <w:color w:val="auto"/>
          <w:sz w:val="24"/>
          <w:szCs w:val="20"/>
          <w:highlight w:val="none"/>
          <w:lang w:val="en-US" w:eastAsia="zh-CN"/>
        </w:rPr>
        <w:t xml:space="preserve">招标文件</w:t>
      </w:r>
      <w:r>
        <w:rPr>
          <w:rFonts w:hint="eastAsia" w:ascii="宋体" w:hAnsi="宋体" w:eastAsia="宋体" w:cs="宋体"/>
          <w:color w:val="auto"/>
          <w:sz w:val="24"/>
          <w:szCs w:val="20"/>
          <w:highlight w:val="none"/>
          <w:lang w:val="zh-CN" w:eastAsia="zh-CN"/>
        </w:rPr>
        <w:t xml:space="preserve">提出质疑的，为收到</w:t>
      </w:r>
      <w:r>
        <w:rPr>
          <w:rFonts w:hint="eastAsia" w:ascii="宋体" w:hAnsi="宋体" w:eastAsia="宋体" w:cs="宋体"/>
          <w:color w:val="auto"/>
          <w:sz w:val="24"/>
          <w:szCs w:val="20"/>
          <w:highlight w:val="none"/>
          <w:lang w:val="en-US" w:eastAsia="zh-CN"/>
        </w:rPr>
        <w:t xml:space="preserve">招标文件</w:t>
      </w:r>
      <w:r>
        <w:rPr>
          <w:rFonts w:hint="eastAsia" w:ascii="宋体" w:hAnsi="宋体" w:eastAsia="宋体" w:cs="宋体"/>
          <w:color w:val="auto"/>
          <w:sz w:val="24"/>
          <w:szCs w:val="20"/>
          <w:highlight w:val="none"/>
          <w:lang w:val="zh-CN" w:eastAsia="zh-CN"/>
        </w:rPr>
        <w:t xml:space="preserve">之日或者</w:t>
      </w:r>
      <w:r>
        <w:rPr>
          <w:rFonts w:hint="eastAsia" w:ascii="宋体" w:hAnsi="宋体" w:eastAsia="宋体" w:cs="宋体"/>
          <w:color w:val="auto"/>
          <w:sz w:val="24"/>
          <w:szCs w:val="20"/>
          <w:highlight w:val="none"/>
          <w:lang w:val="en-US" w:eastAsia="zh-CN"/>
        </w:rPr>
        <w:t xml:space="preserve">招标文件</w:t>
      </w:r>
      <w:r>
        <w:rPr>
          <w:rFonts w:hint="eastAsia" w:ascii="宋体" w:hAnsi="宋体" w:eastAsia="宋体" w:cs="宋体"/>
          <w:color w:val="auto"/>
          <w:sz w:val="24"/>
          <w:szCs w:val="20"/>
          <w:highlight w:val="none"/>
          <w:lang w:val="zh-CN" w:eastAsia="zh-CN"/>
        </w:rPr>
        <w:t xml:space="preserve">公告期限届满之日；</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28.2.2对采购过程提出质疑的，为各采购程序环节结束之日；</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28.2.3对中标或者成交结果提出质疑的，为中标或者成交结果公告期限届满之日。</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应当在法定质疑期内一次性提出针对同一采购程序环节的质疑。</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如在法定期限内对同一采购程序环节提出多次质疑的，采购中心、采购人将只对</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第一次质疑作出答复。</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28.3质疑函必须按照本招标文件中《质疑函范本》要求的格式和内容填写。</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如组成联合体参加投标，则《质疑函范本》中要求签字、盖章、加盖公章之处，联合体各方均须按要求签字、盖章、加盖公章。</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rPr>
          <w:rFonts w:hint="eastAsia" w:ascii="宋体" w:hAnsi="宋体" w:eastAsia="宋体" w:cs="宋体"/>
          <w:b/>
          <w:bCs/>
          <w:color w:val="auto"/>
          <w:sz w:val="24"/>
          <w:szCs w:val="20"/>
          <w:highlight w:val="none"/>
          <w:lang w:val="zh-CN" w:eastAsia="zh-CN"/>
        </w:rPr>
        <w:t xml:space="preserve">28.4</w:t>
      </w:r>
      <w:r>
        <w:rPr>
          <w:rFonts w:hint="eastAsia" w:ascii="宋体" w:hAnsi="宋体" w:eastAsia="宋体" w:cs="宋体"/>
          <w:b/>
          <w:bCs/>
          <w:color w:val="auto"/>
          <w:sz w:val="24"/>
          <w:highlight w:val="none"/>
          <w:lang w:bidi="ar-SA"/>
        </w:rPr>
        <w:t xml:space="preserve">供应商（含潜在供应商）</w:t>
      </w:r>
      <w:r>
        <w:rPr>
          <w:rFonts w:hint="eastAsia" w:ascii="宋体" w:hAnsi="宋体" w:eastAsia="宋体" w:cs="宋体"/>
          <w:b/>
          <w:bCs/>
          <w:color w:val="auto"/>
          <w:sz w:val="24"/>
          <w:szCs w:val="20"/>
          <w:highlight w:val="none"/>
          <w:lang w:val="zh-CN" w:eastAsia="zh-CN"/>
        </w:rPr>
        <w:t xml:space="preserve">对采购方式、采购需求、</w:t>
      </w:r>
      <w:r>
        <w:rPr>
          <w:rFonts w:hint="eastAsia" w:ascii="宋体" w:hAnsi="宋体" w:eastAsia="宋体" w:cs="宋体"/>
          <w:b/>
          <w:bCs/>
          <w:color w:val="auto"/>
          <w:sz w:val="24"/>
          <w:highlight w:val="none"/>
          <w:lang w:bidi="ar-SA"/>
        </w:rPr>
        <w:t xml:space="preserve">投标人</w:t>
      </w:r>
      <w:r>
        <w:rPr>
          <w:rFonts w:hint="eastAsia" w:ascii="宋体" w:hAnsi="宋体" w:eastAsia="宋体" w:cs="宋体"/>
          <w:b/>
          <w:bCs/>
          <w:color w:val="auto"/>
          <w:sz w:val="24"/>
          <w:szCs w:val="20"/>
          <w:highlight w:val="none"/>
          <w:lang w:val="zh-CN" w:eastAsia="zh-CN"/>
        </w:rPr>
        <w:t xml:space="preserve">资格条件及审查结果、评标方法和评标标准、合同文本的询问、质疑，请向采购人提出，由采购人负责答复。</w:t>
      </w:r>
      <w:r>
        <w:rPr>
          <w:rFonts w:hint="eastAsia" w:ascii="宋体" w:hAnsi="宋体" w:eastAsia="宋体" w:cs="宋体"/>
          <w:b/>
          <w:bCs/>
          <w:color w:val="auto"/>
          <w:sz w:val="24"/>
          <w:highlight w:val="none"/>
          <w:lang w:bidi="ar-SA"/>
        </w:rPr>
        <w:t xml:space="preserve">投标人</w:t>
      </w:r>
      <w:r>
        <w:rPr>
          <w:rFonts w:hint="eastAsia" w:ascii="宋体" w:hAnsi="宋体" w:eastAsia="宋体" w:cs="宋体"/>
          <w:b/>
          <w:bCs/>
          <w:color w:val="auto"/>
          <w:sz w:val="24"/>
          <w:szCs w:val="20"/>
          <w:highlight w:val="none"/>
          <w:lang w:val="zh-CN" w:eastAsia="zh-CN"/>
        </w:rPr>
        <w:t xml:space="preserve">对除上述事项以外其他事项的询问、质疑，请向采购中心提出，由采购中心负责答复。</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highlight w:val="none"/>
          <w:lang w:bidi="ar-SA"/>
        </w:rPr>
        <w:t xml:space="preserve">采购中心及采购人只接收以纸质原件形式送达的质疑，采购人和采购中心不接受未填写快递运单的快件。质疑接收部门为公共资源交易中心业务受理处，联系地址：盐城市府西路1号市公共资源交易中心</w:t>
      </w:r>
      <w:r>
        <w:rPr>
          <w:rFonts w:hint="eastAsia" w:ascii="宋体" w:hAnsi="宋体" w:eastAsia="宋体" w:cs="宋体"/>
          <w:color w:val="auto"/>
          <w:sz w:val="24"/>
          <w:highlight w:val="none"/>
          <w:lang w:val="en-US" w:eastAsia="zh-CN" w:bidi="ar-SA"/>
        </w:rPr>
        <w:t xml:space="preserve">412室</w:t>
      </w:r>
      <w:r>
        <w:rPr>
          <w:rFonts w:hint="eastAsia" w:ascii="宋体" w:hAnsi="宋体" w:eastAsia="宋体" w:cs="宋体"/>
          <w:color w:val="auto"/>
          <w:sz w:val="24"/>
          <w:highlight w:val="none"/>
          <w:lang w:bidi="ar-SA"/>
        </w:rPr>
        <w:t xml:space="preserve">，联系电话：0515-86665052。</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28.5 以下情形的质疑不予受理：</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28.5.1内容不符合《政府采购质疑和投诉办法》第十二条规定的质疑；</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28.5.2超出政府采购法定期限的质疑；</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28.5.3以传真、电子邮件等方式递交的非原件形式的质疑；</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28.5.4未参加投标活动的</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或在投标活动中自身权益未受到损害的</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所提出的质疑；</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28.5.5</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组成联合体参加投标，联合体中任何一方或多方未按要求签字、盖章、加盖公章的质疑。</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28.6</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提出书面质疑必须有理、有据，不得捏造事实、提供虚假材料进行恶意质疑。否则，一经查实，采购中心有权依据政府采购的有关规定，报请政府采购监管部门对该</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进行相应的行政处罚和记录该</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0"/>
          <w:highlight w:val="none"/>
          <w:lang w:val="zh-CN" w:eastAsia="zh-CN"/>
        </w:rPr>
        <w:t xml:space="preserve">的失信信息。</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rPr>
          <w:rFonts w:hint="eastAsia" w:ascii="宋体" w:hAnsi="宋体" w:eastAsia="宋体" w:cs="宋体"/>
          <w:b/>
          <w:bCs/>
          <w:color w:val="auto"/>
          <w:sz w:val="24"/>
          <w:szCs w:val="20"/>
          <w:highlight w:val="none"/>
          <w:lang w:val="en-US" w:eastAsia="zh-CN"/>
        </w:rPr>
        <w:t xml:space="preserve">29. </w:t>
      </w:r>
      <w:r>
        <w:rPr>
          <w:rFonts w:hint="eastAsia" w:ascii="宋体" w:hAnsi="宋体" w:eastAsia="宋体" w:cs="宋体"/>
          <w:b/>
          <w:bCs/>
          <w:color w:val="auto"/>
          <w:sz w:val="24"/>
          <w:szCs w:val="20"/>
          <w:highlight w:val="none"/>
          <w:lang w:val="zh-CN" w:eastAsia="zh-CN"/>
        </w:rPr>
        <w:t xml:space="preserve">中标通知书</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29.</w:t>
      </w:r>
      <w:r>
        <w:rPr>
          <w:rFonts w:hint="eastAsia" w:ascii="宋体" w:hAnsi="宋体" w:eastAsia="宋体" w:cs="宋体"/>
          <w:color w:val="auto"/>
          <w:sz w:val="24"/>
          <w:szCs w:val="20"/>
          <w:highlight w:val="none"/>
          <w:lang w:val="en-US" w:eastAsia="zh-CN"/>
        </w:rPr>
        <w:t xml:space="preserve">1 </w:t>
      </w:r>
      <w:r>
        <w:rPr>
          <w:rFonts w:hint="eastAsia" w:ascii="宋体" w:hAnsi="宋体" w:eastAsia="宋体" w:cs="宋体"/>
          <w:color w:val="auto"/>
          <w:sz w:val="24"/>
          <w:szCs w:val="20"/>
          <w:highlight w:val="none"/>
          <w:lang w:val="zh-CN" w:eastAsia="zh-CN"/>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146" w:name="_Toc16938552"/>
      <w:r/>
      <w:bookmarkStart w:id="147" w:name="_Toc120614220"/>
      <w:r/>
      <w:bookmarkStart w:id="148" w:name="_Toc513029236"/>
      <w:r/>
      <w:bookmarkStart w:id="149" w:name="_Toc20823308"/>
      <w:r>
        <w:rPr>
          <w:rFonts w:hint="eastAsia" w:ascii="宋体" w:hAnsi="宋体" w:eastAsia="宋体" w:cs="宋体"/>
          <w:b/>
          <w:bCs/>
          <w:color w:val="auto"/>
          <w:sz w:val="24"/>
          <w:szCs w:val="20"/>
          <w:highlight w:val="none"/>
          <w:lang w:val="zh-CN" w:eastAsia="zh-CN"/>
        </w:rPr>
        <w:t xml:space="preserve">七、授予合同</w:t>
      </w:r>
      <w:bookmarkEnd w:id="146"/>
      <w:r/>
      <w:bookmarkEnd w:id="147"/>
      <w:r/>
      <w:bookmarkEnd w:id="148"/>
      <w:r/>
      <w:bookmarkEnd w:id="149"/>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bookmarkStart w:id="150" w:name="_Toc513029237"/>
      <w:r/>
      <w:bookmarkStart w:id="151" w:name="_Toc16938553"/>
      <w:r/>
      <w:bookmarkStart w:id="152" w:name="_Toc20823309"/>
      <w:r>
        <w:rPr>
          <w:rFonts w:hint="eastAsia" w:ascii="宋体" w:hAnsi="宋体" w:eastAsia="宋体" w:cs="宋体"/>
          <w:b/>
          <w:bCs/>
          <w:color w:val="auto"/>
          <w:sz w:val="24"/>
          <w:szCs w:val="20"/>
          <w:highlight w:val="none"/>
          <w:lang w:val="en-US" w:eastAsia="zh-CN"/>
        </w:rPr>
        <w:t xml:space="preserve">30. </w:t>
      </w:r>
      <w:r>
        <w:rPr>
          <w:rFonts w:hint="eastAsia" w:ascii="宋体" w:hAnsi="宋体" w:eastAsia="宋体" w:cs="宋体"/>
          <w:b/>
          <w:bCs/>
          <w:color w:val="auto"/>
          <w:sz w:val="24"/>
          <w:szCs w:val="20"/>
          <w:highlight w:val="none"/>
          <w:lang w:val="zh-CN" w:eastAsia="zh-CN"/>
        </w:rPr>
        <w:t xml:space="preserve">签订合同</w:t>
      </w:r>
      <w:bookmarkEnd w:id="150"/>
      <w:r/>
      <w:bookmarkEnd w:id="151"/>
      <w:r/>
      <w:bookmarkEnd w:id="152"/>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30.</w:t>
      </w:r>
      <w:r>
        <w:rPr>
          <w:rFonts w:hint="eastAsia" w:ascii="宋体" w:hAnsi="宋体" w:eastAsia="宋体" w:cs="宋体"/>
          <w:color w:val="auto"/>
          <w:sz w:val="24"/>
          <w:szCs w:val="20"/>
          <w:highlight w:val="none"/>
          <w:lang w:val="en-US" w:eastAsia="zh-CN"/>
        </w:rPr>
        <w:t xml:space="preserve">1 </w:t>
      </w:r>
      <w:r>
        <w:rPr>
          <w:rFonts w:hint="eastAsia" w:ascii="宋体" w:hAnsi="宋体" w:eastAsia="宋体" w:cs="宋体"/>
          <w:color w:val="auto"/>
          <w:sz w:val="24"/>
          <w:szCs w:val="20"/>
          <w:highlight w:val="none"/>
          <w:lang w:val="zh-CN" w:eastAsia="zh-CN"/>
        </w:rPr>
        <w:t xml:space="preserve">中标人应当在中标通知书发出之日起三十日内，按照招标文件确定的事项与采购人签订政府采购合同。</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30.2招标文件、中标人的投标文件及招标过程中有关澄清、承诺文件均应作为合同附件。</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30.3签订合同后，</w:t>
      </w:r>
      <w:r>
        <w:rPr>
          <w:rFonts w:hint="eastAsia" w:ascii="宋体" w:hAnsi="宋体" w:eastAsia="宋体" w:cs="宋体"/>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0"/>
          <w:highlight w:val="none"/>
          <w:lang w:val="zh-CN" w:eastAsia="zh-CN"/>
        </w:rPr>
        <w:t xml:space="preserve">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60" w:lineRule="exact"/>
        <w:widowControl/>
        <w:rPr>
          <w:rFonts w:hint="eastAsia" w:ascii="宋体" w:hAnsi="宋体" w:eastAsia="宋体" w:cs="宋体"/>
          <w:b/>
          <w:bCs/>
          <w:color w:val="auto"/>
          <w:sz w:val="24"/>
          <w:szCs w:val="20"/>
          <w:highlight w:val="none"/>
          <w:lang w:val="zh-CN" w:eastAsia="zh-CN"/>
        </w:rPr>
        <w:outlineLvl w:val="9"/>
      </w:pPr>
      <w:r>
        <w:rPr>
          <w:rFonts w:hint="eastAsia" w:ascii="宋体" w:hAnsi="宋体" w:eastAsia="宋体" w:cs="宋体"/>
          <w:b/>
          <w:bCs/>
          <w:color w:val="auto"/>
          <w:sz w:val="24"/>
          <w:szCs w:val="20"/>
          <w:highlight w:val="none"/>
          <w:lang w:val="en-US" w:eastAsia="zh-CN"/>
        </w:rPr>
        <w:t xml:space="preserve">31. </w:t>
      </w:r>
      <w:r>
        <w:rPr>
          <w:rFonts w:hint="eastAsia" w:ascii="宋体" w:hAnsi="宋体" w:eastAsia="宋体" w:cs="宋体"/>
          <w:b/>
          <w:bCs/>
          <w:color w:val="auto"/>
          <w:sz w:val="24"/>
          <w:szCs w:val="20"/>
          <w:highlight w:val="none"/>
          <w:lang w:val="zh-CN" w:eastAsia="zh-CN"/>
        </w:rPr>
        <w:t xml:space="preserve">服务（包含与服务相关的货物）的追加</w:t>
      </w:r>
      <w:r/>
    </w:p>
    <w:p>
      <w:pPr>
        <w:ind w:firstLine="480"/>
        <w:keepLines w:val="0"/>
        <w:keepNext w:val="0"/>
        <w:pageBreakBefore w:val="0"/>
        <w:spacing w:line="560" w:lineRule="exact"/>
        <w:widowControl/>
        <w:rPr>
          <w:rFonts w:hint="eastAsia" w:ascii="宋体" w:hAnsi="宋体" w:eastAsia="宋体" w:cs="宋体"/>
          <w:color w:val="auto"/>
          <w:sz w:val="24"/>
          <w:szCs w:val="20"/>
          <w:highlight w:val="none"/>
          <w:lang w:val="zh-CN" w:eastAsia="zh-CN"/>
        </w:rPr>
        <w:outlineLvl w:val="9"/>
      </w:pPr>
      <w:r>
        <w:rPr>
          <w:rFonts w:hint="eastAsia" w:ascii="宋体" w:hAnsi="宋体" w:eastAsia="宋体" w:cs="宋体"/>
          <w:color w:val="auto"/>
          <w:sz w:val="24"/>
          <w:szCs w:val="20"/>
          <w:highlight w:val="none"/>
          <w:lang w:val="zh-CN" w:eastAsia="zh-CN"/>
        </w:rPr>
        <w:t xml:space="preserve">31.1</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zh-CN"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bookmarkStart w:id="153" w:name="_Toc513029242"/>
      <w:r/>
      <w:bookmarkEnd w:id="153"/>
      <w:r/>
      <w:bookmarkStart w:id="154" w:name="_Toc479757207"/>
      <w:r/>
      <w:bookmarkEnd w:id="154"/>
      <w:r/>
      <w:bookmarkStart w:id="155" w:name="_Toc20823314"/>
      <w:r/>
      <w:bookmarkEnd w:id="155"/>
      <w:r/>
      <w:bookmarkStart w:id="156" w:name="_Toc120614221"/>
      <w:r/>
      <w:bookmarkEnd w:id="156"/>
      <w:r/>
      <w:bookmarkStart w:id="157" w:name="_Toc16938558"/>
      <w:r/>
      <w:bookmarkEnd w:id="157"/>
      <w:r/>
      <w:r/>
    </w:p>
    <w:p>
      <w:pPr>
        <w:ind w:firstLine="480"/>
        <w:jc w:val="left"/>
        <w:keepLines w:val="0"/>
        <w:keepNext w:val="0"/>
        <w:pageBreakBefore w:val="0"/>
        <w:spacing w:line="560" w:lineRule="exact"/>
        <w:widowControl w:val="off"/>
        <w:rPr>
          <w:rFonts w:hint="eastAsia" w:ascii="宋体" w:hAnsi="宋体" w:eastAsia="宋体" w:cs="宋体"/>
          <w:b/>
          <w:bCs/>
          <w:color w:val="auto"/>
          <w:sz w:val="24"/>
          <w:szCs w:val="24"/>
          <w:highlight w:val="none"/>
          <w:lang w:bidi="ar-SA"/>
        </w:rPr>
        <w:outlineLvl w:val="9"/>
      </w:pPr>
      <w:r>
        <w:rPr>
          <w:rFonts w:hint="eastAsia" w:ascii="宋体" w:hAnsi="宋体" w:eastAsia="宋体" w:cs="宋体"/>
          <w:b/>
          <w:bCs/>
          <w:color w:val="auto"/>
          <w:sz w:val="24"/>
          <w:szCs w:val="24"/>
          <w:highlight w:val="none"/>
          <w:lang w:val="en-US" w:eastAsia="zh-CN" w:bidi="ar-SA"/>
        </w:rPr>
        <w:t xml:space="preserve">32. </w:t>
      </w:r>
      <w:r>
        <w:rPr>
          <w:rFonts w:hint="eastAsia" w:ascii="宋体" w:hAnsi="宋体" w:eastAsia="宋体" w:cs="宋体"/>
          <w:b/>
          <w:bCs/>
          <w:color w:val="auto"/>
          <w:sz w:val="24"/>
          <w:szCs w:val="24"/>
          <w:highlight w:val="none"/>
          <w:lang w:bidi="ar-SA"/>
        </w:rPr>
        <w:t xml:space="preserve">政府采购政策功能落实</w:t>
      </w:r>
      <w:r/>
    </w:p>
    <w:p>
      <w:pPr>
        <w:ind w:firstLine="480"/>
        <w:keepLines w:val="0"/>
        <w:keepNext w:val="0"/>
        <w:pageBreakBefore w:val="0"/>
        <w:spacing w:line="560" w:lineRule="exact"/>
        <w:widowControl w:val="off"/>
        <w:rPr>
          <w:rFonts w:hint="eastAsia" w:ascii="宋体" w:hAnsi="宋体" w:eastAsia="宋体" w:cs="宋体"/>
          <w:b/>
          <w:bCs/>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lang w:bidi="ar-SA"/>
        </w:rPr>
        <w:t xml:space="preserve">32.1政府采购线上合同信用融资政策</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根据《转发江苏省财政厅 中国人民银行南京分行</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关于深入推进政府采购线上合同信用融资工作的通知</w:t>
      </w:r>
      <w:r>
        <w:rPr>
          <w:rFonts w:hint="eastAsia" w:ascii="宋体" w:hAnsi="宋体" w:eastAsia="宋体" w:cs="宋体"/>
          <w:color w:val="auto"/>
          <w:sz w:val="24"/>
          <w:szCs w:val="24"/>
          <w:highlight w:val="none"/>
          <w:lang w:eastAsia="zh-CN" w:bidi="ar-SA"/>
        </w:rPr>
        <w:t xml:space="preserve">〉的通知》</w:t>
      </w:r>
      <w:r>
        <w:rPr>
          <w:rFonts w:hint="eastAsia" w:ascii="宋体" w:hAnsi="宋体" w:eastAsia="宋体" w:cs="宋体"/>
          <w:color w:val="auto"/>
          <w:sz w:val="24"/>
          <w:szCs w:val="24"/>
          <w:highlight w:val="none"/>
          <w:lang w:bidi="ar-SA"/>
        </w:rPr>
        <w:t xml:space="preserve">（盐财购〔2021〕20号）规定，中标</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4"/>
          <w:highlight w:val="none"/>
          <w:lang w:bidi="ar-SA"/>
        </w:rPr>
        <w:t xml:space="preserve">如有融资需求，可持政府采购合同在线向相关金融机构（具体信息详见江苏省政府采购网“政采贷”栏目）申请贷款，相关金融机构按照双方自愿的原则提供便捷、优惠的贷款服务；具体操作流程请参考</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苏采云</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系统操作手册。 </w:t>
      </w:r>
      <w:r/>
    </w:p>
    <w:p>
      <w:pPr>
        <w:ind w:firstLine="482"/>
        <w:keepLines w:val="0"/>
        <w:keepNext w:val="0"/>
        <w:pageBreakBefore w:val="0"/>
        <w:spacing w:line="560" w:lineRule="exact"/>
        <w:widowControl w:val="off"/>
        <w:rPr>
          <w:rFonts w:hint="eastAsia" w:ascii="宋体" w:hAnsi="宋体" w:eastAsia="宋体" w:cs="宋体"/>
          <w:b/>
          <w:bCs/>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lang w:bidi="ar-SA"/>
        </w:rPr>
        <w:t xml:space="preserve">32.2进口产品</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keepLines w:val="0"/>
        <w:keepNext w:val="0"/>
        <w:pageBreakBefore w:val="0"/>
        <w:spacing w:line="560" w:lineRule="exact"/>
        <w:widowControl w:val="off"/>
        <w:rPr>
          <w:rFonts w:hint="eastAsia" w:ascii="宋体" w:hAnsi="宋体" w:eastAsia="宋体" w:cs="宋体"/>
          <w:b/>
          <w:bCs/>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lang w:bidi="ar-SA"/>
        </w:rPr>
        <w:t xml:space="preserve">32.3中小企业、监狱企业及残疾人福利性单位</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32.3.1中小企业定义：</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中小企</w:t>
      </w:r>
      <w:r>
        <w:rPr>
          <w:rFonts w:hint="eastAsia" w:ascii="宋体" w:hAnsi="宋体" w:eastAsia="宋体" w:cs="宋体"/>
          <w:color w:val="auto"/>
          <w:sz w:val="24"/>
          <w:szCs w:val="24"/>
          <w:highlight w:val="none"/>
          <w:lang w:bidi="ar-SA"/>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32.3.2</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4"/>
          <w:highlight w:val="none"/>
          <w:lang w:bidi="ar-SA"/>
        </w:rPr>
        <w:t xml:space="preserve">提供的货物、工程或者服务符合下列情形的，享受中小企业扶持政策：</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32.3.2.1在货物采购项目中，货物由中小企业制造，即货物由中小企业生产且使用该中小企业商号或者注册商标；</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32.3.2.2在工程采购项目中，工程由中小企业承建，即工程施工单位为中小企业；</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32.3.2.3在服务采购项目中，服务由中小企业承接，即提供服务的人员为中小企业依照《中华人民共和国劳动合同法》订立劳动合同的从业人员。</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32.3.3在货物采购项目中，</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4"/>
          <w:highlight w:val="none"/>
          <w:lang w:bidi="ar-SA"/>
        </w:rPr>
        <w:t xml:space="preserve">提供的货物既有中小企业制造货物，也有大型企业制造货物的，不享受中小企业扶持政策。</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32.3.6残疾人福利单位定义：享受政府采购支持政策的残疾人福利性单位应当同时满足以下条件：</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32.3.6.1安置的残疾人占本单位在职职工人数的比例不低于25%（含25%），并且安置的残疾人人数不少于10人（含10人）；</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32.3.6.2依法与安置的每位残疾人签订了一年以上（含一年）的劳动合同或服务协议；</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32.3.6.3为安置的每位残疾人按月足额缴纳了基本养老保险、基本医疗保险、失业保险、工伤保险和生育保险等社会保险费；</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32.3.6.4通过银行等金融机构向安置的每位残疾人，按月支付了不低于单位所在区县适用的经省级人民政府批准的月最低工资标准的工资；</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32.3.6.6前款所称残疾人是指法定劳动年龄内，持有《中华人民共和国残疾人证》或者《中华人民共和国残疾军人证》</w:t>
      </w:r>
      <w:r>
        <w:rPr>
          <w:rFonts w:hint="eastAsia" w:ascii="宋体" w:hAnsi="宋体" w:eastAsia="宋体" w:cs="宋体"/>
          <w:color w:val="auto"/>
          <w:sz w:val="24"/>
          <w:highlight w:val="none"/>
          <w:lang w:bidi="ar-SA"/>
        </w:rPr>
        <w:t xml:space="preserve">（1 至8 级）</w:t>
      </w:r>
      <w:r>
        <w:rPr>
          <w:rFonts w:hint="eastAsia" w:ascii="宋体" w:hAnsi="宋体" w:eastAsia="宋体" w:cs="宋体"/>
          <w:color w:val="auto"/>
          <w:sz w:val="24"/>
          <w:szCs w:val="24"/>
          <w:highlight w:val="none"/>
          <w:lang w:bidi="ar-SA"/>
        </w:rPr>
        <w:t xml:space="preserve">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32.3.7本项目是否专门面向中小企业预留采购份额见第一章《招标公告》。</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32.3.8采购标的对应的中小企业划分标准所属行业见第四章《采购需求》。</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32.3.9小微企业价格评审优惠的政策：见第五章《评标方法和评标标准》。</w:t>
      </w:r>
      <w:r/>
    </w:p>
    <w:p>
      <w:pPr>
        <w:ind w:firstLine="482"/>
        <w:keepLines w:val="0"/>
        <w:keepNext w:val="0"/>
        <w:pageBreakBefore w:val="0"/>
        <w:spacing w:line="560" w:lineRule="exact"/>
        <w:widowControl w:val="off"/>
        <w:rPr>
          <w:rFonts w:hint="eastAsia" w:ascii="宋体" w:hAnsi="宋体" w:eastAsia="宋体" w:cs="宋体"/>
          <w:b/>
          <w:bCs/>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lang w:bidi="ar-SA"/>
        </w:rPr>
        <w:t xml:space="preserve">32.4政府采购节能产品、环境标志产品</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4"/>
          <w:highlight w:val="none"/>
          <w:lang w:bidi="ar-SA"/>
        </w:rPr>
        <w:t xml:space="preserve">必须在响应文件中提供所投产品的相关证书</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由国家确定的认证机构出具的、处于有效期之内的节能产品、环境标志产品认证证书</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。节能产品、环境标志产品品目清单以递交响应文件截止时已正式公布的最近一期信息为准，</w:t>
      </w:r>
      <w:r>
        <w:rPr>
          <w:rFonts w:hint="eastAsia" w:ascii="宋体" w:hAnsi="宋体" w:eastAsia="宋体" w:cs="宋体"/>
          <w:b/>
          <w:i/>
          <w:color w:val="auto"/>
          <w:sz w:val="24"/>
          <w:szCs w:val="24"/>
          <w:highlight w:val="none"/>
          <w:lang w:bidi="ar-SA"/>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lang w:bidi="ar-SA"/>
        </w:rPr>
        <w:t xml:space="preserve">。</w:t>
      </w:r>
      <w:r>
        <w:rPr>
          <w:rFonts w:hint="eastAsia" w:ascii="宋体" w:hAnsi="宋体" w:eastAsia="宋体" w:cs="宋体"/>
          <w:color w:val="auto"/>
          <w:sz w:val="24"/>
          <w:szCs w:val="24"/>
          <w:highlight w:val="none"/>
          <w:lang w:bidi="ar-SA"/>
        </w:rPr>
        <w:t xml:space="preserve">其他条件相同情况下，应当优先采购节能产品、环境标志产品。</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560" w:lineRule="exact"/>
        <w:widowControl w:val="off"/>
        <w:rPr>
          <w:rFonts w:hint="eastAsia" w:ascii="宋体" w:hAnsi="宋体" w:eastAsia="宋体" w:cs="宋体"/>
          <w:b/>
          <w:bCs/>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lang w:bidi="ar-SA"/>
        </w:rPr>
        <w:t xml:space="preserve">32.5绿色包装</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本项目中涉及商品的包装应按照“财办库〔2020〕123号《关于印发《商品包装政府采购需求标准（试行）》、《快递包装政府采购需求标准（试行）》的通知》”执行</w:t>
      </w:r>
      <w:r>
        <w:rPr>
          <w:rFonts w:hint="eastAsia" w:ascii="宋体" w:hAnsi="宋体" w:eastAsia="宋体" w:cs="宋体"/>
          <w:color w:val="auto"/>
          <w:sz w:val="24"/>
          <w:szCs w:val="24"/>
          <w:highlight w:val="none"/>
          <w:lang w:eastAsia="zh-CN" w:bidi="ar-SA"/>
        </w:rPr>
        <w:t xml:space="preserve">，</w:t>
      </w:r>
      <w:r>
        <w:rPr>
          <w:rFonts w:hint="eastAsia" w:ascii="宋体" w:hAnsi="宋体" w:eastAsia="宋体" w:cs="宋体"/>
          <w:color w:val="auto"/>
          <w:sz w:val="24"/>
          <w:szCs w:val="24"/>
          <w:highlight w:val="none"/>
          <w:lang w:bidi="ar-SA"/>
        </w:rPr>
        <w:t xml:space="preserve">在供货、安装过程中能做到低碳物流、环保节约、提高资源利用率。</w:t>
      </w:r>
      <w:r/>
    </w:p>
    <w:p>
      <w:pPr>
        <w:ind w:firstLine="482"/>
        <w:keepLines w:val="0"/>
        <w:keepNext w:val="0"/>
        <w:pageBreakBefore w:val="0"/>
        <w:spacing w:line="560" w:lineRule="exact"/>
        <w:widowControl w:val="off"/>
        <w:rPr>
          <w:rFonts w:hint="eastAsia" w:ascii="宋体" w:hAnsi="宋体" w:eastAsia="宋体" w:cs="宋体"/>
          <w:b/>
          <w:bCs/>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lang w:bidi="ar-SA"/>
        </w:rPr>
        <w:t xml:space="preserve">32.6政府采购创新产品</w:t>
      </w:r>
      <w:r/>
    </w:p>
    <w:p>
      <w:pPr>
        <w:ind w:firstLine="478"/>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采购人优先采购各级政府部门公开发布的有效期内的创新产品、创新服务、首台套、首购首用等《目录》的创新产品。</w:t>
      </w:r>
      <w:r/>
    </w:p>
    <w:p>
      <w:pPr>
        <w:ind w:firstLine="482"/>
        <w:keepLines w:val="0"/>
        <w:keepNext w:val="0"/>
        <w:pageBreakBefore w:val="0"/>
        <w:spacing w:line="560" w:lineRule="exact"/>
        <w:widowControl w:val="off"/>
        <w:rPr>
          <w:rFonts w:hint="eastAsia" w:ascii="宋体" w:hAnsi="宋体" w:eastAsia="宋体" w:cs="宋体"/>
          <w:b/>
          <w:bCs/>
          <w:color w:val="auto"/>
          <w:sz w:val="24"/>
          <w:szCs w:val="24"/>
          <w:highlight w:val="none"/>
          <w:lang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highlight w:val="none"/>
          <w:lang w:bidi="ar-SA"/>
        </w:rPr>
        <w:t xml:space="preserve">32.7绿色数据中心政策</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lang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bidi="ar-SA"/>
        </w:rPr>
        <w:t xml:space="preserve">本文件中若涉及数据中心采购，采购人应依据《绿色数据中心政府采购需求标准（试行）》（财办库〔2023〕7号）文件精神，在采购数据中心相关设备、运维服务</w:t>
      </w:r>
      <w:r>
        <w:rPr>
          <w:rFonts w:hint="eastAsia" w:ascii="宋体" w:hAnsi="宋体" w:eastAsia="宋体" w:cs="宋体"/>
          <w:color w:val="auto"/>
          <w:sz w:val="24"/>
          <w:szCs w:val="24"/>
          <w:highlight w:val="none"/>
          <w:lang w:val="en-US" w:eastAsia="zh-CN" w:bidi="ar-SA"/>
        </w:rPr>
        <w:t xml:space="preserve">时</w:t>
      </w:r>
      <w:r>
        <w:rPr>
          <w:rFonts w:hint="eastAsia" w:ascii="宋体" w:hAnsi="宋体" w:eastAsia="宋体" w:cs="宋体"/>
          <w:color w:val="auto"/>
          <w:sz w:val="24"/>
          <w:szCs w:val="24"/>
          <w:highlight w:val="none"/>
          <w:lang w:bidi="ar-SA"/>
        </w:rPr>
        <w:t xml:space="preserve">，应当有利于节约能源、环境保护和资源循环利用，按照《需求标准》实施相关采购活动。采购人应当加强采购需求管理，根据《需求标准》提出的指标编制数据中心相关设备、运维服务政府采购项目的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0"/>
          <w:highlight w:val="none"/>
          <w:lang w:val="en-US" w:eastAsia="zh-CN"/>
        </w:rPr>
        <w:t xml:space="preserve">招标文件</w:t>
      </w:r>
      <w:r>
        <w:rPr>
          <w:rFonts w:hint="eastAsia" w:ascii="宋体" w:hAnsi="宋体" w:eastAsia="宋体" w:cs="宋体"/>
          <w:color w:val="auto"/>
          <w:sz w:val="24"/>
          <w:szCs w:val="24"/>
          <w:highlight w:val="none"/>
          <w:lang w:bidi="ar-SA"/>
        </w:rPr>
        <w:t xml:space="preserve">，并在合同中明确对相关指标的验收方式和违约责任。采购人应当在履约验收中对</w:t>
      </w:r>
      <w:r>
        <w:rPr>
          <w:rFonts w:hint="eastAsia" w:ascii="宋体" w:hAnsi="宋体" w:eastAsia="宋体" w:cs="宋体"/>
          <w:color w:val="auto"/>
          <w:sz w:val="24"/>
          <w:highlight w:val="none"/>
          <w:lang w:bidi="ar-SA"/>
        </w:rPr>
        <w:t xml:space="preserve">投标人</w:t>
      </w:r>
      <w:r>
        <w:rPr>
          <w:rFonts w:hint="eastAsia" w:ascii="宋体" w:hAnsi="宋体" w:eastAsia="宋体" w:cs="宋体"/>
          <w:color w:val="auto"/>
          <w:sz w:val="24"/>
          <w:szCs w:val="24"/>
          <w:highlight w:val="none"/>
          <w:lang w:bidi="ar-SA"/>
        </w:rPr>
        <w:t xml:space="preserve">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32.8实施本国产品标准及相关政策</w:t>
      </w:r>
      <w:r/>
    </w:p>
    <w:p>
      <w:pPr>
        <w:ind w:firstLine="480"/>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1.本项目对采购本国产品给予政策支持。</w:t>
      </w:r>
      <w:r/>
    </w:p>
    <w:p>
      <w:pPr>
        <w:ind w:firstLine="480"/>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sz w:val="24"/>
          <w:szCs w:val="20"/>
        </w:rPr>
        <w:t xml:space="preserve">。</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hint="eastAsia" w:ascii="宋体" w:hAnsi="宋体" w:cs="宋体" w:eastAsiaTheme="minorEastAsia"/>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sz w:val="24"/>
          <w:szCs w:val="24"/>
          <w:lang w:val="en-US" w:eastAsia="zh-CN" w:bidi="ar-SA"/>
        </w:rPr>
        <w:t xml:space="preserve">如以履约保函（保险）形式缴纳履约保证金，供应商可通过政府采购电子履约保函（保险）平台（</w:t>
      </w:r>
      <w:r>
        <w:rPr>
          <w:rFonts w:hint="default" w:ascii="宋体" w:hAnsi="宋体" w:cs="宋体" w:eastAsiaTheme="minorEastAsia"/>
          <w:sz w:val="24"/>
          <w:szCs w:val="24"/>
          <w:lang w:val="en-US" w:eastAsia="zh-CN" w:bidi="ar-SA"/>
        </w:rPr>
        <w:t xml:space="preserve">www.jsdzbh.com</w:t>
      </w:r>
      <w:r>
        <w:rPr>
          <w:rFonts w:hint="eastAsia" w:ascii="宋体" w:hAnsi="宋体" w:cs="宋体" w:eastAsiaTheme="minorEastAsia"/>
          <w:sz w:val="24"/>
          <w:szCs w:val="24"/>
          <w:lang w:val="en-US" w:eastAsia="zh-CN" w:bidi="ar-SA"/>
        </w:rPr>
        <w:t xml:space="preserve">）在线申请履约保函（保险）。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sz w:val="24"/>
          <w:szCs w:val="24"/>
          <w:lang w:val="en-US" w:eastAsia="zh-CN" w:bidi="ar-SA"/>
        </w:rPr>
        <w:t xml:space="preserve">履约保证金金额</w:t>
      </w:r>
      <w:r>
        <w:rPr>
          <w:rFonts w:hint="eastAsia" w:ascii="宋体" w:hAnsi="宋体" w:cs="宋体"/>
          <w:sz w:val="24"/>
          <w:szCs w:val="24"/>
          <w:lang w:val="en-US" w:eastAsia="zh-CN" w:bidi="ar-SA"/>
        </w:rPr>
        <w:t xml:space="preserve">为</w:t>
      </w:r>
      <w:r>
        <w:rPr>
          <w:rFonts w:hint="eastAsia" w:ascii="宋体" w:hAnsi="宋体" w:cs="宋体" w:eastAsiaTheme="minorEastAsia"/>
          <w:sz w:val="24"/>
          <w:szCs w:val="24"/>
          <w:lang w:val="en-US" w:eastAsia="zh-CN" w:bidi="ar-SA"/>
        </w:rPr>
        <w:t xml:space="preserve">合同金额的10%，采购人对第三方信用服务机构依据标准规范评定为AA级及以上</w:t>
      </w:r>
      <w:r>
        <w:rPr>
          <w:rFonts w:hint="eastAsia" w:ascii="宋体" w:hAnsi="宋体" w:cs="宋体"/>
          <w:sz w:val="24"/>
        </w:rPr>
        <w:t xml:space="preserve">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pStyle w:val="876"/>
        <w:ind w:left="0" w:firstLine="560"/>
        <w:keepLines w:val="0"/>
        <w:keepNext w:val="0"/>
        <w:pageBreakBefore w:val="0"/>
        <w:spacing w:after="0" w:line="56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pStyle w:val="871"/>
        <w:jc w:val="both"/>
        <w:keepLines w:val="0"/>
        <w:keepNext w:val="0"/>
        <w:pageBreakBefore w:val="0"/>
        <w:spacing w:beforeAutospacing="0" w:afterAutospacing="0"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p>
      <w:pPr>
        <w:shd w:val="nil" w:color="auto"/>
        <w:rPr>
          <w:rFonts w:hint="eastAsia" w:ascii="黑体" w:hAnsi="黑体" w:eastAsia="黑体" w:cs="黑体"/>
          <w:color w:val="auto"/>
          <w:highlight w:val="none"/>
        </w:rPr>
        <w:outlineLvl w:val="0"/>
      </w:pPr>
      <w:r>
        <w:rPr>
          <w:highlight w:val="none"/>
        </w:rPr>
        <w:br w:type="page" w:clear="all"/>
      </w:r>
      <w:r>
        <w:rPr>
          <w:highlight w:val="none"/>
        </w:rPr>
      </w:r>
      <w:r/>
    </w:p>
    <w:p>
      <w:pPr>
        <w:pStyle w:val="871"/>
        <w:jc w:val="center"/>
        <w:keepNext/>
        <w:spacing w:beforeAutospacing="0" w:afterAutospacing="0"/>
        <w:rPr>
          <w:highlight w:val="none"/>
        </w:rPr>
        <w:outlineLvl w:val="0"/>
      </w:pPr>
      <w:r/>
      <w:bookmarkStart w:id="158" w:name="_Toc22253"/>
      <w:r>
        <w:rPr>
          <w:rFonts w:hint="eastAsia" w:ascii="黑体" w:hAnsi="黑体" w:eastAsia="黑体" w:cs="黑体"/>
          <w:color w:val="auto"/>
          <w:sz w:val="44"/>
          <w:szCs w:val="44"/>
          <w:highlight w:val="none"/>
        </w:rPr>
        <w:t xml:space="preserve">第三章  合同文本</w:t>
      </w:r>
      <w:bookmarkEnd w:id="158"/>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以下为中标后签定本项目合同的通用条款，中标供应商不得提出实质性的修改，关于专用条款将由采购人与中标供应商结合本项目具体情况协商后签订。</w:t>
      </w:r>
      <w:r/>
    </w:p>
    <w:p>
      <w:pPr>
        <w:ind w:firstLine="480"/>
        <w:spacing w:line="56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w:t>
      </w:r>
      <w:r>
        <w:rPr>
          <w:rFonts w:hint="eastAsia" w:ascii="宋体" w:hAnsi="宋体" w:eastAsia="宋体" w:cs="宋体"/>
          <w:sz w:val="24"/>
          <w:lang w:eastAsia="zh-CN"/>
        </w:rPr>
        <w:t xml:space="preserve">盐城市综合档案馆物业服务项目</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甲　　方：盐城市档案馆</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乙　　方：　　　　　　　　　　　　</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根据《中华人民共和国民法典》、《中华人民共和国政府采购法》等相关法律法规和有关规定，为明确甲、乙双方在</w:t>
      </w:r>
      <w:r>
        <w:rPr>
          <w:rFonts w:hint="eastAsia" w:ascii="宋体" w:hAnsi="宋体" w:eastAsia="宋体" w:cs="宋体"/>
          <w:sz w:val="24"/>
          <w:lang w:eastAsia="zh-CN"/>
        </w:rPr>
        <w:t xml:space="preserve">盐城市综合档案馆物业服务项目</w:t>
      </w:r>
      <w:r>
        <w:rPr>
          <w:rFonts w:hint="eastAsia" w:ascii="宋体" w:hAnsi="宋体" w:eastAsia="宋体" w:cs="宋体"/>
          <w:sz w:val="24"/>
        </w:rPr>
        <w:t xml:space="preserve">中的权利、义务和经济责任，经甲、乙双方协商同意签订本合同。</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color w:val="auto"/>
          <w:sz w:val="24"/>
          <w:highlight w:val="none"/>
        </w:rPr>
        <w:t xml:space="preserve">一、项目名称</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lang w:eastAsia="zh-CN"/>
        </w:rPr>
        <w:t xml:space="preserve">盐城市综合档案馆物业服务项目</w:t>
      </w:r>
      <w:r>
        <w:rPr>
          <w:rFonts w:hint="eastAsia" w:ascii="宋体" w:hAnsi="宋体" w:eastAsia="宋体" w:cs="宋体"/>
          <w:b w:val="0"/>
          <w:color w:val="auto"/>
          <w:sz w:val="24"/>
          <w:highlight w:val="none"/>
        </w:rPr>
        <w:t xml:space="preserve">。</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color w:val="auto"/>
          <w:sz w:val="24"/>
          <w:highlight w:val="none"/>
        </w:rPr>
        <w:t xml:space="preserve">二、项目地点</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盐城经济技术开发区天山中路1号（世纪大道以北、天山路以西）。</w:t>
      </w:r>
      <w:r/>
    </w:p>
    <w:p>
      <w:pPr>
        <w:ind w:firstLine="480"/>
        <w:spacing w:line="560" w:lineRule="exac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三、委托服务范围及内容</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盐城市</w:t>
      </w:r>
      <w:r>
        <w:rPr>
          <w:rFonts w:hint="eastAsia" w:ascii="宋体" w:hAnsi="宋体" w:eastAsia="宋体" w:cs="宋体"/>
          <w:sz w:val="24"/>
          <w:lang w:eastAsia="zh-CN"/>
        </w:rPr>
        <w:t xml:space="preserve">综合</w:t>
      </w:r>
      <w:r>
        <w:rPr>
          <w:rFonts w:hint="eastAsia" w:ascii="宋体" w:hAnsi="宋体" w:eastAsia="宋体" w:cs="宋体"/>
          <w:sz w:val="24"/>
        </w:rPr>
        <w:t xml:space="preserve">档案馆物业服</w:t>
      </w:r>
      <w:r>
        <w:rPr>
          <w:rFonts w:hint="eastAsia" w:ascii="宋体" w:hAnsi="宋体" w:eastAsia="宋体" w:cs="宋体"/>
          <w:sz w:val="24"/>
        </w:rPr>
        <w:t xml:space="preserve">务，包含但不限于：①安全保卫服务（馆区门岗值守、访客登记、安全巡逻、车辆管理及突发事件应急处置，维护馆内正常办公秩序）；②环境保洁服务（馆区公共区域、办公区域、展厅、会议室及室外指定区域的日常清洁、垃圾清运及环境卫生维护）；③消防监控值班服务（严格执行消控室24小时持证上岗值班制度，负责消防设施设备运行状态监控、预警信息处理及消防系统日常巡查与记录）；④会议接待服务（各类会议、活动的会前准备、会中茶水服务及会后场地清理，保障会议设备正常使用及接待环境整洁有序）；⑤房屋及设施设备维护服务（馆区建筑物日常检查、</w:t>
      </w:r>
      <w:r>
        <w:rPr>
          <w:rFonts w:hint="eastAsia" w:ascii="宋体" w:hAnsi="宋体" w:eastAsia="宋体" w:cs="宋体"/>
          <w:sz w:val="24"/>
          <w:lang w:val="en-US" w:eastAsia="zh-CN"/>
        </w:rPr>
        <w:t xml:space="preserve">水电、</w:t>
      </w:r>
      <w:r>
        <w:rPr>
          <w:rFonts w:hint="eastAsia" w:ascii="宋体" w:hAnsi="宋体" w:eastAsia="宋体" w:cs="宋体"/>
          <w:sz w:val="24"/>
        </w:rPr>
        <w:t xml:space="preserve">零星</w:t>
      </w:r>
      <w:r>
        <w:rPr>
          <w:rFonts w:hint="eastAsia" w:ascii="宋体" w:hAnsi="宋体" w:eastAsia="宋体" w:cs="宋体"/>
          <w:sz w:val="24"/>
          <w:lang w:val="en-US" w:eastAsia="zh-CN"/>
        </w:rPr>
        <w:t xml:space="preserve">工程</w:t>
      </w:r>
      <w:r>
        <w:rPr>
          <w:rFonts w:hint="eastAsia" w:ascii="宋体" w:hAnsi="宋体" w:eastAsia="宋体" w:cs="宋体"/>
          <w:sz w:val="24"/>
        </w:rPr>
        <w:t xml:space="preserve">维修和保养管理）；⑥绿化养护服务（馆区绿地、花木、盆栽及景观植物的日常养护，包括浇水、施肥、修剪整形、病虫害防治及杂草清理等）。具体服务内容、标准及人员安排以《</w:t>
      </w:r>
      <w:r>
        <w:rPr>
          <w:rFonts w:hint="eastAsia" w:ascii="宋体" w:hAnsi="宋体" w:eastAsia="宋体" w:cs="宋体"/>
          <w:sz w:val="24"/>
          <w:lang w:eastAsia="zh-CN"/>
        </w:rPr>
        <w:t xml:space="preserve">盐城市综合档案馆物业服务项目</w:t>
      </w:r>
      <w:r>
        <w:rPr>
          <w:rFonts w:hint="eastAsia" w:ascii="宋体" w:hAnsi="宋体" w:eastAsia="宋体" w:cs="宋体"/>
          <w:sz w:val="24"/>
        </w:rPr>
        <w:t xml:space="preserve">采购需求》及甲方要求为准。</w:t>
      </w:r>
      <w:r/>
    </w:p>
    <w:p>
      <w:pPr>
        <w:ind w:firstLine="480"/>
        <w:spacing w:line="560" w:lineRule="exac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四、合同金额</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4.1合同总价为人民币</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元），合同价款包括（但不限于）人员工资、社会保险费、意外伤害险、材料费、假日加班费、高温补贴、服装费、福利费、保洁用具费、消杀耗材费、绿化养护耗材费、现场管理费、税金、利润、不可预见费及其它一切相关费用等所需的全部费用的价格体现，凡漏项或少计均视为优惠，甲方不另行增加费用。各类风险和政策性调整等风险已包括在投标报价中，最终结算时除合同约定调整外一律不予结算。合同期间如有政策性调整，甲、乙双方按相关政策文件执行。</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4.2除本合同规定的应收费项目外，未经甲方同意，乙方不得收取其他任何费用。</w:t>
      </w:r>
      <w:r/>
    </w:p>
    <w:p>
      <w:pPr>
        <w:ind w:firstLine="480"/>
        <w:spacing w:line="560" w:lineRule="exac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五、服务期限</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合同履行期限：一年，自</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年</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月</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日起至</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年</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月</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日止。</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六、履约保证金</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6.1乙方交纳人民币</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元）作为本合同的履约保证金。履约保证金金额为合同金额的10%；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b/>
          <w:bCs/>
          <w:sz w:val="24"/>
        </w:rPr>
        <w:t xml:space="preserve">降低履约保证金至合同价的5%</w:t>
      </w:r>
      <w:r>
        <w:rPr>
          <w:rFonts w:hint="eastAsia" w:ascii="宋体" w:hAnsi="宋体" w:eastAsia="宋体" w:cs="宋体"/>
          <w:sz w:val="24"/>
        </w:rPr>
        <w:t xml:space="preserve">。</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6.2确需收取履约保证金的，履约保证金的缴纳形式：</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6.2.2如以履约保函（保险）形式缴纳履约保证金，供应商可通过政府采购电子履约保函（保险）平台（www.jsdzbh.com）在线申请履约保函（保险）。</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6.3合同履行结束后，甲方应及时退还交纳的履约保证金。</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6.4履约保证金的退还：</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6.4.1方式：退还至投标人缴纳履约保证金的账户。如为保函，在到期时自行失效。</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6.4.2时间：验收合格且甲方收到发票后30日内。</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6.4.3条件：按合同要求全部履约完成并经甲方验收合格，且甲方收到中标人出具的发票。</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6.4.4不予退还情形：除不可抗力情况外，乙方出现下列情形之一的，其履约保证金，甲方将视情节决定不予退还或部分不予退还：（1）中标人无正当理由拒绝签订合同的，或者在签订合同时向甲方提出附加条件或者更改合同实质性内容要求的；（2）中标人不履行与甲方订立的合同的；（3）中标人所供货物或服务不符合招标文件规定要求的；（4）中标人采取欺骗、弄虚作假方式投标的或与其它投标人串通投标的；（5）中标人将合同内容转包、违法分包的；（6）中标人故意捏造事实或伪造证明材料，进行虚假恶意投诉或反映的。</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6.4.5逾期退还的违约责任：甲方逾期无故未退还履约保证金的，按中国人民银行同期贷款基准利率上浮20%后的利率支付超期资金占用费，但因供应商自身原因导致无法及时退还的除外。</w:t>
      </w:r>
      <w:r/>
    </w:p>
    <w:p>
      <w:pPr>
        <w:ind w:firstLine="480"/>
        <w:spacing w:line="560" w:lineRule="exac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七、付款方式</w:t>
      </w:r>
      <w:r/>
    </w:p>
    <w:p>
      <w:pPr>
        <w:ind w:firstLine="480"/>
        <w:spacing w:line="560" w:lineRule="exact"/>
        <w:rPr>
          <w:rFonts w:hint="eastAsia" w:ascii="宋体" w:hAnsi="宋体" w:eastAsia="宋体" w:cs="宋体"/>
          <w:sz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7</w:t>
      </w:r>
      <w:r>
        <w:rPr>
          <w:rFonts w:hint="eastAsia" w:ascii="宋体" w:hAnsi="宋体" w:eastAsia="宋体" w:cs="宋体"/>
          <w:sz w:val="24"/>
          <w:lang w:val="en-US"/>
        </w:rPr>
        <w:t xml:space="preserve">.1预付款支付时间：合同签订后，甲方收到等额增值税发票后1</w:t>
      </w:r>
      <w:r>
        <w:rPr>
          <w:rFonts w:hint="eastAsia" w:ascii="宋体" w:hAnsi="宋体" w:eastAsia="宋体" w:cs="宋体"/>
          <w:sz w:val="24"/>
          <w:lang w:val="en-US" w:eastAsia="zh-CN"/>
        </w:rPr>
        <w:t xml:space="preserve">0</w:t>
      </w:r>
      <w:r>
        <w:rPr>
          <w:rFonts w:hint="eastAsia" w:ascii="宋体" w:hAnsi="宋体" w:eastAsia="宋体" w:cs="宋体"/>
          <w:sz w:val="24"/>
          <w:lang w:val="en-US"/>
        </w:rPr>
        <w:t xml:space="preserve">个工作日内支付合同金额的30%。</w:t>
      </w:r>
      <w:r/>
    </w:p>
    <w:p>
      <w:pPr>
        <w:ind w:firstLine="480"/>
        <w:spacing w:line="560" w:lineRule="exact"/>
        <w:rPr>
          <w:rFonts w:hint="eastAsia" w:ascii="宋体" w:hAnsi="宋体" w:eastAsia="宋体" w:cs="宋体"/>
          <w:sz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7</w:t>
      </w:r>
      <w:r>
        <w:rPr>
          <w:rFonts w:hint="eastAsia" w:ascii="宋体" w:hAnsi="宋体" w:eastAsia="宋体" w:cs="宋体"/>
          <w:sz w:val="24"/>
          <w:lang w:val="en-US"/>
        </w:rPr>
        <w:t xml:space="preserve">.2剩余款项支付时间：</w:t>
      </w:r>
      <w:r>
        <w:rPr>
          <w:rFonts w:hint="eastAsia" w:ascii="宋体" w:hAnsi="宋体" w:eastAsia="宋体" w:cs="宋体"/>
          <w:sz w:val="24"/>
          <w:lang w:val="zh-CN" w:eastAsia="zh-CN"/>
        </w:rPr>
        <w:t xml:space="preserve">物业管理服务费实行“月度考核、每三个月支付一次”的方式，即甲方于每月对上月度的物业管理服务工作进行考核，考核结果作为支付依据；自合同生效之日起每连续三个月为一个支付周期，乙方在每个支付周期结束后向甲方提供等额合规发票，甲方在收到发票后10个工作日内，根据该周期内各月的考核结果，向乙方支付经考核合格的上一个支付周期的物业管理服务费，每次支付时扣除预付款总额的四分之一。</w:t>
      </w:r>
      <w:r/>
    </w:p>
    <w:p>
      <w:pPr>
        <w:ind w:firstLine="480"/>
        <w:spacing w:line="560" w:lineRule="exact"/>
        <w:rPr>
          <w:rFonts w:hint="eastAsia" w:ascii="宋体" w:hAnsi="宋体" w:eastAsia="宋体" w:cs="宋体"/>
          <w:b/>
          <w:bCs/>
          <w:sz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lang w:val="zh-CN" w:eastAsia="zh-CN"/>
        </w:rPr>
        <w:t xml:space="preserve">八、合同转包或分包</w:t>
      </w:r>
      <w:r/>
    </w:p>
    <w:p>
      <w:pPr>
        <w:ind w:firstLine="480"/>
        <w:spacing w:line="560" w:lineRule="exact"/>
        <w:rPr>
          <w:rFonts w:hint="eastAsia" w:ascii="宋体" w:hAnsi="宋体" w:eastAsia="宋体" w:cs="宋体"/>
          <w:sz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zh-CN" w:eastAsia="zh-CN"/>
        </w:rPr>
        <w:t xml:space="preserve">8.1乙方不得将合同标的转包给他人履行。</w:t>
      </w:r>
      <w:r/>
    </w:p>
    <w:p>
      <w:pPr>
        <w:ind w:firstLine="480"/>
        <w:spacing w:line="560" w:lineRule="exact"/>
        <w:rPr>
          <w:rFonts w:hint="eastAsia" w:ascii="宋体" w:hAnsi="宋体" w:eastAsia="宋体" w:cs="宋体"/>
          <w:sz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zh-CN" w:eastAsia="zh-CN"/>
        </w:rPr>
        <w:t xml:space="preserve">8.2乙方不得将合同标的分包给他人履行。</w:t>
      </w:r>
      <w:r/>
    </w:p>
    <w:p>
      <w:pPr>
        <w:ind w:firstLine="480"/>
        <w:spacing w:line="560" w:lineRule="exact"/>
        <w:rPr>
          <w:rFonts w:hint="eastAsia" w:ascii="宋体" w:hAnsi="宋体" w:eastAsia="宋体" w:cs="宋体"/>
          <w:sz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zh-CN" w:eastAsia="zh-CN"/>
        </w:rPr>
        <w:t xml:space="preserve">8.3乙方如有转包或未经甲方同意的分包行为，甲方有权解除合同。</w:t>
      </w:r>
      <w:r/>
    </w:p>
    <w:p>
      <w:pPr>
        <w:ind w:firstLine="480"/>
        <w:spacing w:line="560" w:lineRule="exact"/>
        <w:rPr>
          <w:rFonts w:hint="eastAsia" w:ascii="宋体" w:hAnsi="宋体" w:eastAsia="宋体" w:cs="宋体"/>
          <w:b/>
          <w:bCs/>
          <w:sz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lang w:val="zh-CN" w:eastAsia="zh-CN"/>
        </w:rPr>
        <w:t xml:space="preserve">九、违约赔偿</w:t>
      </w:r>
      <w:r/>
    </w:p>
    <w:p>
      <w:pPr>
        <w:ind w:firstLine="480"/>
        <w:spacing w:line="560" w:lineRule="exact"/>
        <w:rPr>
          <w:rFonts w:hint="eastAsia" w:ascii="宋体" w:hAnsi="宋体" w:eastAsia="宋体" w:cs="宋体"/>
          <w:sz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zh-CN" w:eastAsia="zh-CN"/>
        </w:rPr>
        <w:t xml:space="preserve">9.1乙方不服从甲方管理，甲方有权终止合同，乙方所交的履约保证金作违约金不予退还。</w:t>
      </w:r>
      <w:r/>
    </w:p>
    <w:p>
      <w:pPr>
        <w:ind w:firstLine="480"/>
        <w:spacing w:line="560" w:lineRule="exact"/>
        <w:rPr>
          <w:rFonts w:hint="eastAsia" w:ascii="宋体" w:hAnsi="宋体" w:eastAsia="宋体" w:cs="宋体"/>
          <w:sz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zh-CN" w:eastAsia="zh-CN"/>
        </w:rPr>
        <w:t xml:space="preserve">9.2乙方擅自转包和分包的，甲方有权终止合同。同时乙方交的履约保证金作合同违约金不予退还。</w:t>
      </w:r>
      <w:r/>
    </w:p>
    <w:p>
      <w:pPr>
        <w:ind w:firstLine="480"/>
        <w:spacing w:line="560" w:lineRule="exact"/>
        <w:rPr>
          <w:rFonts w:hint="eastAsia" w:ascii="宋体" w:hAnsi="宋体" w:eastAsia="宋体" w:cs="宋体"/>
          <w:sz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zh-CN" w:eastAsia="zh-CN"/>
        </w:rPr>
        <w:t xml:space="preserve">9.3乙方在用工等方面如违反《中华人民共和国民法典》等相关规定，乙方承担由此造成的后果，甲方有权终止本合同。同时视乙方为违约，所交履约保证金作违约金不予退回。</w:t>
      </w:r>
      <w:r/>
    </w:p>
    <w:p>
      <w:pPr>
        <w:pStyle w:val="865"/>
        <w:ind w:firstLine="482"/>
        <w:spacing w:line="560" w:lineRule="exact"/>
        <w:widowControl/>
        <w:rPr>
          <w:rFonts w:ascii="Times New Roman" w:hAnsi="Times New Roman" w:eastAsia="宋体"/>
          <w:b/>
          <w:bCs/>
          <w:sz w:val="24"/>
          <w:szCs w:val="24"/>
        </w:rPr>
      </w:pPr>
      <w:r>
        <w:rPr>
          <w:rFonts w:hint="eastAsia" w:ascii="Times New Roman" w:hAnsi="Times New Roman" w:eastAsia="宋体"/>
          <w:b/>
          <w:bCs/>
          <w:sz w:val="24"/>
          <w:szCs w:val="24"/>
          <w:lang w:val="en-US" w:eastAsia="zh-CN"/>
        </w:rPr>
        <w:t xml:space="preserve">十</w:t>
      </w:r>
      <w:r>
        <w:rPr>
          <w:rFonts w:hint="eastAsia" w:ascii="Times New Roman" w:hAnsi="Times New Roman" w:eastAsia="宋体"/>
          <w:b/>
          <w:bCs/>
          <w:sz w:val="24"/>
          <w:szCs w:val="24"/>
          <w:lang w:val="zh-CN"/>
        </w:rPr>
        <w:t xml:space="preserve">、</w:t>
      </w:r>
      <w:r>
        <w:rPr>
          <w:rFonts w:hint="eastAsia" w:ascii="Times New Roman" w:hAnsi="Times New Roman" w:eastAsia="宋体"/>
          <w:b/>
          <w:bCs/>
          <w:sz w:val="24"/>
          <w:szCs w:val="24"/>
        </w:rPr>
        <w:t xml:space="preserve">验收</w:t>
      </w:r>
      <w:r/>
    </w:p>
    <w:p>
      <w:pPr>
        <w:pStyle w:val="865"/>
        <w:ind w:firstLine="480"/>
        <w:spacing w:line="560" w:lineRule="exact"/>
        <w:widowControl/>
        <w:rPr>
          <w:rFonts w:ascii="Times New Roman" w:hAnsi="Times New Roman" w:eastAsia="宋体"/>
          <w:sz w:val="24"/>
          <w:szCs w:val="24"/>
        </w:rPr>
      </w:pPr>
      <w:r>
        <w:rPr>
          <w:rFonts w:hint="eastAsia" w:ascii="Times New Roman" w:hAnsi="Times New Roman" w:eastAsia="宋体"/>
          <w:sz w:val="24"/>
          <w:szCs w:val="24"/>
          <w:lang w:val="en-US" w:eastAsia="zh-CN"/>
        </w:rPr>
        <w:t xml:space="preserve">10.1</w:t>
      </w:r>
      <w:r>
        <w:rPr>
          <w:rFonts w:hint="eastAsia" w:ascii="Times New Roman" w:hAnsi="Times New Roman" w:eastAsia="宋体"/>
          <w:sz w:val="24"/>
          <w:szCs w:val="24"/>
        </w:rPr>
        <w:t xml:space="preserve">验收依据：以采购文件、投标文件、合同及补充协议、国家及行业相关标准、采购人制定的考核细则等为依据。</w:t>
      </w:r>
      <w:r/>
    </w:p>
    <w:p>
      <w:pPr>
        <w:pStyle w:val="865"/>
        <w:ind w:firstLine="480"/>
        <w:spacing w:line="560" w:lineRule="exact"/>
        <w:widowControl/>
        <w:rPr>
          <w:rFonts w:ascii="Times New Roman" w:hAnsi="Times New Roman" w:eastAsia="宋体"/>
          <w:sz w:val="24"/>
          <w:szCs w:val="24"/>
        </w:rPr>
      </w:pPr>
      <w:r>
        <w:rPr>
          <w:rFonts w:hint="eastAsia" w:ascii="Times New Roman" w:hAnsi="Times New Roman" w:eastAsia="宋体"/>
          <w:sz w:val="24"/>
          <w:szCs w:val="24"/>
          <w:lang w:val="en-US" w:eastAsia="zh-CN"/>
        </w:rPr>
        <w:t xml:space="preserve">10.2</w:t>
      </w:r>
      <w:r>
        <w:rPr>
          <w:rFonts w:hint="eastAsia" w:ascii="Times New Roman" w:hAnsi="Times New Roman" w:eastAsia="宋体"/>
          <w:sz w:val="24"/>
          <w:szCs w:val="24"/>
        </w:rPr>
        <w:t xml:space="preserve">日常考核：甲方按照合同附件《</w:t>
      </w:r>
      <w:r>
        <w:rPr>
          <w:rFonts w:hint="eastAsia" w:ascii="Times New Roman" w:hAnsi="Times New Roman" w:eastAsia="宋体"/>
          <w:sz w:val="24"/>
          <w:szCs w:val="24"/>
          <w:lang w:val="en-US" w:eastAsia="zh-CN"/>
        </w:rPr>
        <w:t xml:space="preserve">盐城市综合档案馆物业服务项目</w:t>
      </w:r>
      <w:r>
        <w:rPr>
          <w:rFonts w:hint="eastAsia" w:ascii="Times New Roman" w:hAnsi="Times New Roman" w:eastAsia="宋体"/>
          <w:sz w:val="24"/>
          <w:szCs w:val="24"/>
        </w:rPr>
        <w:t xml:space="preserve">考核办法》每季度对乙方服务进行考核，考核结果作为支付物业服务费的依据，但不免除乙方在合同期满时的最终验收责任。</w:t>
      </w:r>
      <w:r/>
    </w:p>
    <w:p>
      <w:pPr>
        <w:pStyle w:val="865"/>
        <w:ind w:firstLine="480"/>
        <w:spacing w:line="560" w:lineRule="exact"/>
        <w:widowControl/>
        <w:rPr>
          <w:rFonts w:ascii="Times New Roman" w:hAnsi="Times New Roman" w:eastAsia="宋体"/>
          <w:sz w:val="24"/>
          <w:szCs w:val="24"/>
        </w:rPr>
      </w:pPr>
      <w:r>
        <w:rPr>
          <w:rFonts w:hint="eastAsia" w:ascii="Times New Roman" w:hAnsi="Times New Roman" w:eastAsia="宋体"/>
          <w:sz w:val="24"/>
          <w:szCs w:val="24"/>
          <w:lang w:val="en-US" w:eastAsia="zh-CN"/>
        </w:rPr>
        <w:t xml:space="preserve">10.</w:t>
      </w:r>
      <w:r>
        <w:rPr>
          <w:rFonts w:hint="eastAsia" w:ascii="Times New Roman" w:hAnsi="Times New Roman" w:eastAsia="宋体"/>
          <w:sz w:val="24"/>
          <w:szCs w:val="24"/>
        </w:rPr>
        <w:t xml:space="preserve">最终验收：</w:t>
      </w:r>
      <w:r/>
    </w:p>
    <w:p>
      <w:pPr>
        <w:pStyle w:val="865"/>
        <w:ind w:firstLine="480"/>
        <w:spacing w:line="560" w:lineRule="exact"/>
        <w:widowControl/>
        <w:rPr>
          <w:rFonts w:ascii="Times New Roman" w:hAnsi="Times New Roman" w:eastAsia="宋体"/>
          <w:sz w:val="24"/>
          <w:szCs w:val="24"/>
        </w:rPr>
      </w:pPr>
      <w:r>
        <w:rPr>
          <w:rFonts w:hint="eastAsia" w:ascii="Times New Roman" w:hAnsi="Times New Roman" w:eastAsia="宋体"/>
          <w:sz w:val="24"/>
          <w:szCs w:val="24"/>
          <w:lang w:val="en-US" w:eastAsia="zh-CN"/>
        </w:rPr>
        <w:t xml:space="preserve">10.</w:t>
      </w:r>
      <w:r>
        <w:rPr>
          <w:rFonts w:hint="eastAsia" w:ascii="Times New Roman" w:hAnsi="Times New Roman" w:eastAsia="宋体"/>
          <w:sz w:val="24"/>
          <w:szCs w:val="24"/>
        </w:rPr>
        <w:t xml:space="preserve">3.1 合同期满或提前终止后15个工作日内，乙方应向甲方提交完整的服务档案资料（包括但不限于日常巡查记录、维修记录、培训记录、考核记录等），并书面申请最终验收。</w:t>
      </w:r>
      <w:r/>
    </w:p>
    <w:p>
      <w:pPr>
        <w:pStyle w:val="865"/>
        <w:ind w:firstLine="480"/>
        <w:spacing w:line="560" w:lineRule="exact"/>
        <w:widowControl/>
        <w:rPr>
          <w:rFonts w:ascii="Times New Roman" w:hAnsi="Times New Roman" w:eastAsia="宋体"/>
          <w:sz w:val="24"/>
          <w:szCs w:val="24"/>
        </w:rPr>
      </w:pPr>
      <w:r>
        <w:rPr>
          <w:rFonts w:hint="eastAsia" w:ascii="Times New Roman" w:hAnsi="Times New Roman" w:eastAsia="宋体"/>
          <w:sz w:val="24"/>
          <w:szCs w:val="24"/>
          <w:lang w:val="en-US" w:eastAsia="zh-CN"/>
        </w:rPr>
        <w:t xml:space="preserve">10.</w:t>
      </w:r>
      <w:r>
        <w:rPr>
          <w:rFonts w:hint="eastAsia" w:ascii="Times New Roman" w:hAnsi="Times New Roman" w:eastAsia="宋体"/>
          <w:sz w:val="24"/>
          <w:szCs w:val="24"/>
        </w:rPr>
        <w:t xml:space="preserve">3.2 甲方在收到申请后10个工作日内组织验收，验收内容包括：服务完成情况、档案资料完整性、设施设备运行状态、履约情况等。</w:t>
      </w:r>
      <w:r/>
    </w:p>
    <w:p>
      <w:pPr>
        <w:pStyle w:val="865"/>
        <w:ind w:firstLine="480"/>
        <w:spacing w:line="560" w:lineRule="exact"/>
        <w:widowControl/>
        <w:rPr>
          <w:rFonts w:ascii="Times New Roman" w:hAnsi="Times New Roman" w:eastAsia="宋体"/>
          <w:sz w:val="24"/>
          <w:szCs w:val="24"/>
        </w:rPr>
      </w:pPr>
      <w:r>
        <w:rPr>
          <w:rFonts w:hint="eastAsia" w:ascii="Times New Roman" w:hAnsi="Times New Roman" w:eastAsia="宋体"/>
          <w:sz w:val="24"/>
          <w:szCs w:val="24"/>
          <w:lang w:val="en-US" w:eastAsia="zh-CN"/>
        </w:rPr>
        <w:t xml:space="preserve">10.</w:t>
      </w:r>
      <w:r>
        <w:rPr>
          <w:rFonts w:hint="eastAsia" w:ascii="Times New Roman" w:hAnsi="Times New Roman" w:eastAsia="宋体"/>
          <w:sz w:val="24"/>
          <w:szCs w:val="24"/>
        </w:rPr>
        <w:t xml:space="preserve">3.3 验收合格的，甲方出具《最终验收合格证明》，作为退还履约保证金和结清合同尾款的条件之一。</w:t>
      </w:r>
      <w:r/>
    </w:p>
    <w:p>
      <w:pPr>
        <w:pStyle w:val="865"/>
        <w:ind w:firstLine="480"/>
        <w:spacing w:line="560" w:lineRule="exact"/>
        <w:widowControl/>
        <w:rPr>
          <w:rFonts w:ascii="Times New Roman" w:hAnsi="Times New Roman" w:eastAsia="宋体"/>
          <w:sz w:val="24"/>
          <w:szCs w:val="24"/>
        </w:rPr>
      </w:pPr>
      <w:r>
        <w:rPr>
          <w:rFonts w:hint="eastAsia" w:ascii="Times New Roman" w:hAnsi="Times New Roman" w:eastAsia="宋体"/>
          <w:sz w:val="24"/>
          <w:szCs w:val="24"/>
          <w:lang w:val="en-US" w:eastAsia="zh-CN"/>
        </w:rPr>
        <w:t xml:space="preserve">10.</w:t>
      </w:r>
      <w:r>
        <w:rPr>
          <w:rFonts w:hint="eastAsia" w:ascii="Times New Roman" w:hAnsi="Times New Roman" w:eastAsia="宋体"/>
          <w:sz w:val="24"/>
          <w:szCs w:val="24"/>
        </w:rPr>
        <w:t xml:space="preserve">3.4 验收不合格的，乙方应在甲方要求的期限内整改完毕，整改后重新验收；逾期未整改或整改后仍不合格的，甲方有权按《</w:t>
      </w:r>
      <w:r>
        <w:rPr>
          <w:rFonts w:hint="eastAsia" w:ascii="Times New Roman" w:hAnsi="Times New Roman" w:eastAsia="宋体"/>
          <w:sz w:val="24"/>
          <w:szCs w:val="24"/>
          <w:lang w:val="en-US" w:eastAsia="zh-CN"/>
        </w:rPr>
        <w:t xml:space="preserve">盐城市综合档案馆物业服务项目</w:t>
      </w:r>
      <w:r>
        <w:rPr>
          <w:rFonts w:hint="eastAsia" w:ascii="Times New Roman" w:hAnsi="Times New Roman" w:eastAsia="宋体"/>
          <w:sz w:val="24"/>
          <w:szCs w:val="24"/>
        </w:rPr>
        <w:t xml:space="preserve">考核办法》追究违约责任。</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、各方当事人的义务或协作事项及承担的责任</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.1甲方权利和义务</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甲方有权审定乙方制定的物业管理制度，并监督、检查制度实施情况；对物业服务人员的工作与乙方共同进行监督、检查、管理和指导，对违规违纪的服务人员有权进行批评和教育，有权要求乙方调换不适合的人员。</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（2）在合同履行期间，如乙方中途退出或发生责任事故，给甲方带来不良影响的，或者因乙方工作不力，影响甲方正常工作秩序的，甲方有权终止本合同，并要求乙方给予经济赔偿。</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（3）甲方有权根据工作需要，对物业服务人员数量和服务岗位进行适当调整，人员中标单价服务费用不变。</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（4）甲方应为乙方派驻的服务人员提供值班室、办公桌椅、物业办公室、器材间等必要的工作条件。</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（5）甲方制订馆区内部安全防范及管理规章制度，明确乙方派驻人员的工作职责，并教育馆内工作人员和来访人员配合和支持乙方人员的工作，尊重和保障服务人员的合法权益。</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（6）甲方须按约定的时间和方式向乙方支付物业服务费。</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（7）甲方有责任及时、认真研究解决乙方提出的安全问题和服务改进建议，采取必要的改进和防范措施。</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（8）甲方协助调解服务人员在执勤中与甲方人员及进入执勤区域的外来人员发生的争议。</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（9）甲方对乙方服务人员不得自行聘用，如果乙方服务人员提出辞职并得到批准，甲方在本合同期内不得聘用该人员。</w:t>
      </w:r>
      <w:r/>
    </w:p>
    <w:p>
      <w:pPr>
        <w:ind w:firstLine="480"/>
        <w:jc w:val="both"/>
        <w:spacing w:before="60" w:after="60" w:line="460" w:lineRule="exact"/>
        <w:rPr>
          <w:color w:val="auto"/>
          <w:highlight w:val="none"/>
        </w:rPr>
      </w:pPr>
      <w:r>
        <w:rPr>
          <w:rFonts w:ascii="宋体" w:hAnsi="宋体" w:eastAsia="宋体"/>
          <w:color w:val="auto"/>
          <w:sz w:val="24"/>
          <w:highlight w:val="none"/>
        </w:rPr>
        <w:t xml:space="preserve">（10）甲方应将本项目物业管理所需的设施设备（含机械设备）及时移交乙方使用，双方共同清点、登记并签署移交清单，作为本合同的组成部分。</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.2乙方权利和义务</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（1）乙方对发生在服务区域内的治安案件、火灾事故和灾害事故等，应及时处理并报告甲方和公安机关，采取措施保护现场，协助公安机关侦查各类治安刑事案件，依法妥善处理责任范围内的突发事件。</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（2）落实防火、防盗、防破坏等安全防范措施，发现责任区域内的安全隐患，及时报告甲方并协助予以处理。</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（3）全面贯彻执行国家有关物业服务的法规、政策，全面遵守采购文件的要求，执行投标文件的承诺，接受甲方的检查、考核和监督，接受相关行政主管部门的监督和指导。</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（4）及时向甲方通告本区域内有关物业服务管理的重大事项，及时处理投诉，接受甲方的监督管理。</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（5）制止服务区域内违反有关治安、消防、卫生、绿化等方面规章制度的行为，对违反法律法规规定的行为及时向甲方报告。</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（6）做好服务区域内的安全防范和消防监控值班工作，发生安全事故时，在采取应急措施的同时，及时向甲方和有关行政管理部门报告，保护好现场，协助做好救助工作。</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（7）乙方的员工要遵纪守法，服从甲方的统一管理，乙方人员在工作期间给甲方造成的一切损失由乙方承担赔偿责任。</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8）本合同终止时，乙方应当将物业管理用房、物业管理相关资料、物件、设施（含甲方移交的设施设备及机械设备）及时如数地移交给甲方，不得以任何理由拒绝或拖延。移交的设备如有缺失或因保管不善造成损坏的，乙方应承担相应赔偿责任；但因甲方原因造成移交设备、设施的正常使用消耗或损毁的，乙方不承担责任。</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（9）乙方负责服务人员的勤务指挥、人员调整和休假安排，保证岗位不缺人，并能为甲方提供24小时不间断服务保障。</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10）乙方负责支付服务人员的工资福利费用，提供统一制式服装及必要的劳动防护用品（费用均由乙方承担）。乙方负责为服务人员发放工资及办理社会保险事宜，并与服务人员签订劳动合同。服务人员因公造成死亡或伤残时，全部由乙方负责处理，甲方不承担连带关系和责任。</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（11）乙方负责服务人员的思想教育、业务培训等日常管理和违纪问题的处理，严格执行各项规章制度，服从甲方的工作安排和管理，切实维护甲方正常的工作秩序。</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（12）乙方保证所派服务人员具备任职岗位职业资格，被派驻的所有服务人员，必须严格履行岗位职责，严格执行甲方的各项规章制度，服从甲方的工作安排和管理。</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（13）对于不服从管理、不称职且经教育不改者，或因过失造成甲方损失的，经甲方书面提出的，乙方应在甲方书面通知之日起7日内无条件调换不适合在甲方工作的服务人员。</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（14）开展经常性的安全检查，对发现的安全隐患应做好记录，及时向甲方反映，并在甲方的领导下做好防范工作。</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（15）乙方对因服务人员失职失责造成甲方财产受到损失的应及时赔付；因乙方人员工作处置不当引起的矛盾由乙方负责协调，造成的损失由乙方承担。</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（16）乙方应定期举行安全应急模拟测试，并接受甲方的监督和指导，建立相应的台账。</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（17）服务期内，乙方自有人员及设备发生的一切安全事故责任由乙方自行承担并处理，与甲方无关。</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（18）乙方服务人员工作期间的食宿、交通等费用由乙方自理。</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（19）乙方应严格遵守甲方档案保密管理规定，服务人员上岗前应签订保密协议；未经甲方许可，不得将馆区图纸、档案信息等资料转作其他用途或向其他单位、个人提供。</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、物业服务的主要内容及标准</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乙方提供的物业服务应当符合《</w:t>
      </w:r>
      <w:r>
        <w:rPr>
          <w:rFonts w:hint="eastAsia" w:ascii="宋体" w:hAnsi="宋体" w:eastAsia="宋体" w:cs="宋体"/>
          <w:b w:val="0"/>
          <w:color w:val="auto"/>
          <w:sz w:val="24"/>
          <w:highlight w:val="none"/>
          <w:lang w:eastAsia="zh-CN"/>
        </w:rPr>
        <w:t xml:space="preserve">盐城市综合档案馆物业服务项目</w:t>
      </w:r>
      <w:r>
        <w:rPr>
          <w:rFonts w:hint="eastAsia" w:ascii="宋体" w:hAnsi="宋体" w:eastAsia="宋体" w:cs="宋体"/>
          <w:b w:val="0"/>
          <w:color w:val="auto"/>
          <w:sz w:val="24"/>
          <w:highlight w:val="none"/>
        </w:rPr>
        <w:t xml:space="preserve">采购需求》规定的服务内容及标准，以及国家、行业有关标准和规范；本合同附件《</w:t>
      </w:r>
      <w:r>
        <w:rPr>
          <w:rFonts w:hint="eastAsia" w:ascii="宋体" w:hAnsi="宋体" w:eastAsia="宋体" w:cs="宋体"/>
          <w:b w:val="0"/>
          <w:color w:val="auto"/>
          <w:sz w:val="24"/>
          <w:highlight w:val="none"/>
          <w:lang w:eastAsia="zh-CN"/>
        </w:rPr>
        <w:t xml:space="preserve">盐城市综合档案馆物业服务项目</w:t>
      </w:r>
      <w:r>
        <w:rPr>
          <w:rFonts w:hint="eastAsia" w:ascii="宋体" w:hAnsi="宋体" w:eastAsia="宋体" w:cs="宋体"/>
          <w:b w:val="0"/>
          <w:color w:val="auto"/>
          <w:sz w:val="24"/>
          <w:highlight w:val="none"/>
        </w:rPr>
        <w:t xml:space="preserve">服务质量考核表》是甲方对乙方服务质量进行考核和付款的依据。</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、违约责任</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3</w:t>
      </w:r>
      <w:r>
        <w:rPr>
          <w:rFonts w:hint="eastAsia" w:ascii="宋体" w:hAnsi="宋体" w:eastAsia="宋体" w:cs="宋体"/>
          <w:b w:val="0"/>
          <w:color w:val="auto"/>
          <w:sz w:val="24"/>
          <w:highlight w:val="none"/>
        </w:rPr>
        <w:t xml:space="preserve">.1甲方无正当理由拒绝接受乙方提供服务的，甲方向乙方偿付拒绝接受服务合同价款总值</w:t>
      </w:r>
      <w:r>
        <w:rPr>
          <w:rFonts w:hint="eastAsia" w:ascii="宋体" w:hAnsi="宋体" w:eastAsia="宋体" w:cs="宋体"/>
          <w:b w:val="0"/>
          <w:color w:val="auto"/>
          <w:sz w:val="24"/>
          <w:highlight w:val="none"/>
          <w:lang w:val="en-US" w:eastAsia="zh-CN"/>
        </w:rPr>
        <w:t xml:space="preserve">5</w:t>
      </w:r>
      <w:r>
        <w:rPr>
          <w:rFonts w:hint="eastAsia" w:ascii="宋体" w:hAnsi="宋体" w:eastAsia="宋体" w:cs="宋体"/>
          <w:b w:val="0"/>
          <w:color w:val="auto"/>
          <w:sz w:val="24"/>
          <w:highlight w:val="none"/>
        </w:rPr>
        <w:t xml:space="preserve">％的违约金。</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3</w:t>
      </w:r>
      <w:r>
        <w:rPr>
          <w:rFonts w:hint="eastAsia" w:ascii="宋体" w:hAnsi="宋体" w:eastAsia="宋体" w:cs="宋体"/>
          <w:b w:val="0"/>
          <w:color w:val="auto"/>
          <w:sz w:val="24"/>
          <w:highlight w:val="none"/>
        </w:rPr>
        <w:t xml:space="preserve">.2甲方无故逾期验收和办理合同款项支付手续的，甲方应按逾期付款总额</w:t>
      </w:r>
      <w:r>
        <w:rPr>
          <w:rFonts w:hint="eastAsia" w:ascii="宋体" w:hAnsi="宋体" w:eastAsia="宋体" w:cs="宋体"/>
          <w:b w:val="0"/>
          <w:color w:val="auto"/>
          <w:sz w:val="24"/>
          <w:highlight w:val="none"/>
          <w:lang w:val="en-US" w:eastAsia="zh-CN"/>
        </w:rPr>
        <w:t xml:space="preserve">5</w:t>
      </w:r>
      <w:r>
        <w:rPr>
          <w:rFonts w:hint="eastAsia" w:ascii="宋体" w:hAnsi="宋体" w:eastAsia="宋体" w:cs="宋体"/>
          <w:b w:val="0"/>
          <w:color w:val="auto"/>
          <w:sz w:val="24"/>
          <w:highlight w:val="none"/>
        </w:rPr>
        <w:t xml:space="preserve">‰每日向乙方支付违约金。</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3</w:t>
      </w:r>
      <w:r>
        <w:rPr>
          <w:rFonts w:hint="eastAsia" w:ascii="宋体" w:hAnsi="宋体" w:eastAsia="宋体" w:cs="宋体"/>
          <w:b w:val="0"/>
          <w:color w:val="auto"/>
          <w:sz w:val="24"/>
          <w:highlight w:val="none"/>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b w:val="0"/>
          <w:color w:val="auto"/>
          <w:sz w:val="24"/>
          <w:highlight w:val="none"/>
          <w:lang w:val="en-US" w:eastAsia="zh-CN"/>
        </w:rPr>
        <w:t xml:space="preserve">5</w:t>
      </w:r>
      <w:r>
        <w:rPr>
          <w:rFonts w:hint="eastAsia" w:ascii="宋体" w:hAnsi="宋体" w:eastAsia="宋体" w:cs="宋体"/>
          <w:b w:val="0"/>
          <w:color w:val="auto"/>
          <w:sz w:val="24"/>
          <w:highlight w:val="none"/>
        </w:rPr>
        <w:t xml:space="preserve">％的违约金，如造成甲方损失超过违约金的，超出部分由乙方继续承担赔偿责任。</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3</w:t>
      </w:r>
      <w:r>
        <w:rPr>
          <w:rFonts w:hint="eastAsia" w:ascii="宋体" w:hAnsi="宋体" w:eastAsia="宋体" w:cs="宋体"/>
          <w:b w:val="0"/>
          <w:color w:val="auto"/>
          <w:sz w:val="24"/>
          <w:highlight w:val="none"/>
        </w:rPr>
        <w:t xml:space="preserve">.4乙方所提供服务的标准不符合合同规定及招标文件规定标准的，甲方有权拒绝接受服务，并可单方面解除合同。</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、不可抗力事件处理</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.1在合同有效期内，任何一方因不可抗力事件导致不能履行合同，则合同履行期可延长，其延长期与不可抗力影响期相同。</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.2不可抗力事件发生后，应立即通知对方，并寄送有关权威机构出具的证明。</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.3不可抗力事件延续120天以上，双方应通过友好协商，确定是否继续履行合同。</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、解决争议的方法</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5</w:t>
      </w:r>
      <w:r>
        <w:rPr>
          <w:rFonts w:hint="eastAsia" w:ascii="宋体" w:hAnsi="宋体" w:eastAsia="宋体" w:cs="宋体"/>
          <w:b w:val="0"/>
          <w:color w:val="auto"/>
          <w:sz w:val="24"/>
          <w:highlight w:val="none"/>
        </w:rPr>
        <w:t xml:space="preserve">.1双方在签订、履行合同中所发生的一切争议，应通过友好协商解决。如协商不成，由甲方住所地人民法院管辖。</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、合同生效及其他</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6</w:t>
      </w:r>
      <w:r>
        <w:rPr>
          <w:rFonts w:hint="eastAsia" w:ascii="宋体" w:hAnsi="宋体" w:eastAsia="宋体" w:cs="宋体"/>
          <w:b w:val="0"/>
          <w:color w:val="auto"/>
          <w:sz w:val="24"/>
          <w:highlight w:val="none"/>
        </w:rPr>
        <w:t xml:space="preserve">.1合同经双方法定代表人或授权委托代表人签字并加盖单位公章后生效。</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6</w:t>
      </w:r>
      <w:r>
        <w:rPr>
          <w:rFonts w:hint="eastAsia" w:ascii="宋体" w:hAnsi="宋体" w:eastAsia="宋体" w:cs="宋体"/>
          <w:b w:val="0"/>
          <w:color w:val="auto"/>
          <w:sz w:val="24"/>
          <w:highlight w:val="none"/>
        </w:rPr>
        <w:t xml:space="preserve">.2本合同未尽事宜，遵照《中华人民共和国民法典》、《中华人民共和国政府采购法》有关条文执行。</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6</w:t>
      </w:r>
      <w:r>
        <w:rPr>
          <w:rFonts w:hint="eastAsia" w:ascii="宋体" w:hAnsi="宋体" w:eastAsia="宋体" w:cs="宋体"/>
          <w:b w:val="0"/>
          <w:color w:val="auto"/>
          <w:sz w:val="24"/>
          <w:highlight w:val="none"/>
        </w:rPr>
        <w:t xml:space="preserve">.3本项目采购文件、采购需求和乙方的投标文件中（以及投标时承诺）被甲方认可的部分为本合同的不可分割的组成部分，与本合同具有同样效力。</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6</w:t>
      </w:r>
      <w:r>
        <w:rPr>
          <w:rFonts w:hint="eastAsia" w:ascii="宋体" w:hAnsi="宋体" w:eastAsia="宋体" w:cs="宋体"/>
          <w:b w:val="0"/>
          <w:color w:val="auto"/>
          <w:sz w:val="24"/>
          <w:highlight w:val="none"/>
        </w:rPr>
        <w:t xml:space="preserve">.4本合同正本一式</w:t>
      </w:r>
      <w:r>
        <w:rPr>
          <w:rFonts w:hint="eastAsia" w:ascii="宋体" w:hAnsi="宋体" w:eastAsia="宋体" w:cs="宋体"/>
          <w:b w:val="0"/>
          <w:color w:val="auto"/>
          <w:sz w:val="24"/>
          <w:highlight w:val="none"/>
          <w:lang w:val="en-US" w:eastAsia="zh-CN"/>
        </w:rPr>
        <w:t xml:space="preserve">陆</w:t>
      </w:r>
      <w:r>
        <w:rPr>
          <w:rFonts w:hint="eastAsia" w:ascii="宋体" w:hAnsi="宋体" w:eastAsia="宋体" w:cs="宋体"/>
          <w:b w:val="0"/>
          <w:color w:val="auto"/>
          <w:sz w:val="24"/>
          <w:highlight w:val="none"/>
        </w:rPr>
        <w:t xml:space="preserve">份，具有同等法律效力，甲方执</w:t>
      </w:r>
      <w:r>
        <w:rPr>
          <w:rFonts w:hint="eastAsia" w:ascii="宋体" w:hAnsi="宋体" w:eastAsia="宋体" w:cs="宋体"/>
          <w:b w:val="0"/>
          <w:color w:val="auto"/>
          <w:sz w:val="24"/>
          <w:highlight w:val="none"/>
          <w:lang w:val="en-US" w:eastAsia="zh-CN"/>
        </w:rPr>
        <w:t xml:space="preserve">叁</w:t>
      </w:r>
      <w:r>
        <w:rPr>
          <w:rFonts w:hint="eastAsia" w:ascii="宋体" w:hAnsi="宋体" w:eastAsia="宋体" w:cs="宋体"/>
          <w:b w:val="0"/>
          <w:color w:val="auto"/>
          <w:sz w:val="24"/>
          <w:highlight w:val="none"/>
        </w:rPr>
        <w:t xml:space="preserve">份，乙方执</w:t>
      </w:r>
      <w:r>
        <w:rPr>
          <w:rFonts w:hint="eastAsia" w:ascii="宋体" w:hAnsi="宋体" w:eastAsia="宋体" w:cs="宋体"/>
          <w:b w:val="0"/>
          <w:color w:val="auto"/>
          <w:sz w:val="24"/>
          <w:highlight w:val="none"/>
          <w:lang w:val="en-US" w:eastAsia="zh-CN"/>
        </w:rPr>
        <w:t xml:space="preserve">叁</w:t>
      </w:r>
      <w:r>
        <w:rPr>
          <w:rFonts w:hint="eastAsia" w:ascii="宋体" w:hAnsi="宋体" w:eastAsia="宋体" w:cs="宋体"/>
          <w:b w:val="0"/>
          <w:color w:val="auto"/>
          <w:sz w:val="24"/>
          <w:highlight w:val="none"/>
        </w:rPr>
        <w:t xml:space="preserve">份。</w:t>
      </w:r>
      <w:r/>
    </w:p>
    <w:p>
      <w:pPr>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甲　方（盖章）：　　　　　　　　　　　　乙　方（盖章）：</w:t>
      </w:r>
      <w:r/>
    </w:p>
    <w:p>
      <w:pPr>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地　址：盐城市毓龙东路22号　　　　　　　地　址：</w:t>
      </w:r>
      <w:r/>
    </w:p>
    <w:p>
      <w:pPr>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法定代表人或授权代表：　　　　　　　　　法定代表人或授权代表：</w:t>
      </w:r>
      <w:r/>
    </w:p>
    <w:p>
      <w:pPr>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联系电话：　　　　　　　　　　　　　　　联系电话：</w:t>
      </w:r>
      <w:r/>
    </w:p>
    <w:p>
      <w:pPr>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签订日期：　　年　　月　　日　　　　　　签订日期：　　年　　月　　日</w:t>
      </w:r>
      <w:r/>
    </w:p>
    <w:p>
      <w:pPr>
        <w:keepLines w:val="0"/>
        <w:keepNext w:val="0"/>
        <w:pageBreakBefore w:val="0"/>
        <w:spacing w:line="560" w:lineRule="exact"/>
        <w:rPr>
          <w:rFonts w:hint="eastAsia" w:ascii="宋体" w:hAnsi="宋体" w:eastAsia="宋体" w:cs="宋体"/>
          <w:b/>
          <w:color w:val="auto"/>
          <w:sz w:val="32"/>
          <w:highlight w:val="none"/>
        </w:rPr>
        <w:outlineLvl w:val="9"/>
      </w:pPr>
      <w:r>
        <w:rPr>
          <w:rFonts w:hint="eastAsia" w:ascii="宋体" w:hAnsi="宋体" w:eastAsia="宋体" w:cs="宋体"/>
          <w:b/>
          <w:color w:val="auto"/>
          <w:sz w:val="32"/>
          <w:highlight w:val="none"/>
        </w:rPr>
        <w:br w:type="page" w:clear="all"/>
      </w:r>
      <w:r/>
    </w:p>
    <w:p>
      <w:pPr>
        <w:jc w:val="both"/>
        <w:spacing w:before="60" w:after="60" w:line="460" w:lineRule="exact"/>
        <w:rPr>
          <w:rFonts w:hint="eastAsia" w:ascii="宋体" w:hAnsi="宋体" w:eastAsia="宋体" w:cs="宋体"/>
          <w:color w:val="auto"/>
          <w:sz w:val="18"/>
          <w:szCs w:val="21"/>
          <w:highlight w:val="none"/>
          <w:lang w:val="en-US" w:eastAsia="zh-CN"/>
        </w:rPr>
        <w:outlineLvl w:val="9"/>
      </w:pPr>
      <w:r>
        <w:rPr>
          <w:rFonts w:hint="eastAsia" w:ascii="宋体" w:hAnsi="宋体" w:eastAsia="宋体" w:cs="宋体"/>
          <w:b/>
          <w:color w:val="auto"/>
          <w:sz w:val="24"/>
          <w:szCs w:val="21"/>
          <w:highlight w:val="none"/>
        </w:rPr>
        <w:t xml:space="preserve">附件</w:t>
      </w:r>
      <w:r>
        <w:rPr>
          <w:rFonts w:hint="eastAsia" w:ascii="宋体" w:hAnsi="宋体" w:eastAsia="宋体" w:cs="宋体"/>
          <w:b/>
          <w:color w:val="auto"/>
          <w:sz w:val="24"/>
          <w:szCs w:val="21"/>
          <w:highlight w:val="none"/>
          <w:lang w:val="en-US" w:eastAsia="zh-CN"/>
        </w:rPr>
        <w:t xml:space="preserve">1：</w:t>
      </w:r>
      <w:r/>
    </w:p>
    <w:p>
      <w:pPr>
        <w:jc w:val="center"/>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color w:val="auto"/>
          <w:sz w:val="32"/>
          <w:highlight w:val="none"/>
          <w:lang w:eastAsia="zh-CN"/>
        </w:rPr>
        <w:t xml:space="preserve">盐城市综合档案馆物业服务项目</w:t>
      </w:r>
      <w:r>
        <w:rPr>
          <w:rFonts w:hint="eastAsia" w:ascii="宋体" w:hAnsi="宋体" w:eastAsia="宋体" w:cs="宋体"/>
          <w:b/>
          <w:color w:val="auto"/>
          <w:sz w:val="32"/>
          <w:highlight w:val="none"/>
        </w:rPr>
        <w:t xml:space="preserve">服务质量考核表</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为进一步提高盐城市</w:t>
      </w:r>
      <w:r>
        <w:rPr>
          <w:rFonts w:hint="eastAsia" w:ascii="宋体" w:hAnsi="宋体" w:eastAsia="宋体" w:cs="宋体"/>
          <w:b w:val="0"/>
          <w:color w:val="auto"/>
          <w:sz w:val="24"/>
          <w:highlight w:val="none"/>
          <w:lang w:eastAsia="zh-CN"/>
        </w:rPr>
        <w:t xml:space="preserve">综合</w:t>
      </w:r>
      <w:r>
        <w:rPr>
          <w:rFonts w:hint="eastAsia" w:ascii="宋体" w:hAnsi="宋体" w:eastAsia="宋体" w:cs="宋体"/>
          <w:b w:val="0"/>
          <w:color w:val="auto"/>
          <w:sz w:val="24"/>
          <w:highlight w:val="none"/>
        </w:rPr>
        <w:t xml:space="preserve">档案馆物业服务质量，规范物业服务行为，确保本合同各项服务内容落实到位，根据《</w:t>
      </w:r>
      <w:r>
        <w:rPr>
          <w:rFonts w:hint="eastAsia" w:ascii="宋体" w:hAnsi="宋体" w:eastAsia="宋体" w:cs="宋体"/>
          <w:b w:val="0"/>
          <w:color w:val="auto"/>
          <w:sz w:val="24"/>
          <w:highlight w:val="none"/>
          <w:lang w:eastAsia="zh-CN"/>
        </w:rPr>
        <w:t xml:space="preserve">盐城市综合档案馆物业服务项目</w:t>
      </w:r>
      <w:r>
        <w:rPr>
          <w:rFonts w:hint="eastAsia" w:ascii="宋体" w:hAnsi="宋体" w:eastAsia="宋体" w:cs="宋体"/>
          <w:b w:val="0"/>
          <w:color w:val="auto"/>
          <w:sz w:val="24"/>
          <w:highlight w:val="none"/>
        </w:rPr>
        <w:t xml:space="preserve">采购需求》及本合同约定，制定本考核表。</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color w:val="auto"/>
          <w:sz w:val="24"/>
          <w:highlight w:val="none"/>
        </w:rPr>
        <w:t xml:space="preserve">一、考核方式</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1.考核实行月度考核、季度汇总，由甲方组织，采用资料查核、现场验证、抽样检查、询问等方法进行。</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2.考核以百分制计分，每月基础分为100分，对照本考核表扣分事项累计扣分，扣完为止；当月考核得分＝100分－当月累计扣分。</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3.季度考核得分＝该季度3个月度考核得分之和÷3。</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4.乙方应积极配合甲方考核，如实提供相关资料和台账；拒绝配合或提供虚假资料的，按相应扣分事项处理。</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color w:val="auto"/>
          <w:sz w:val="24"/>
          <w:highlight w:val="none"/>
        </w:rPr>
        <w:t xml:space="preserve">二、考核得分与付款比例</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1.季度考核得分90分及以上的，按该季度服务费用的100%支付；</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2.季度考核得分85分（含）以上、90分以下的，按该季度服务费用的90%支付；</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3.季度考核得分80分（含）以上、85分以下的，按该季度服务费用的85%支付；</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4.季度考核得分75分（含）以上、80分以下的，按该季度服务费用的80%支付；</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5.季度考核得分70分（含）以上、75分以下的，按该季度服务费用的75%支付；</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6.季度考核得分低于70分的，视为未达到甲方最基本的服务要求，甲方有权拒绝支付该季度服务费用并终止合同。</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color w:val="auto"/>
          <w:sz w:val="24"/>
          <w:highlight w:val="none"/>
        </w:rPr>
        <w:t xml:space="preserve">三、一票否决项</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出现下列情形之一的，当月考核按0分计，甲方有权视情节解除合同：</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1.酒后上岗，打骂、辱骂馆内工作人员或来访查档群众，造成恶劣影响的；</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2.因服务人员履职不到位，发生外来人员强行闯入、火灾、盗窃、人员伤害等责任事故的；</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3.突发事件不作为、处置严重失误，造成严重后果的；</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4.消防控制室24小时值班期间脱岗、睡岗，或由无证人员独立值守，造成严重后果的；</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5.伪造台账、隐瞒重大安全隐患的；</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6.服务人员存在违法犯罪行为被查实的。</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color w:val="auto"/>
          <w:sz w:val="24"/>
          <w:highlight w:val="none"/>
        </w:rPr>
        <w:t xml:space="preserve">四、考核扣分细则</w:t>
      </w:r>
      <w:r/>
    </w:p>
    <w:tbl>
      <w:tblPr>
        <w:tblStyle w:val="864"/>
        <w:tblW w:w="87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5"/>
        <w:gridCol w:w="4798"/>
        <w:gridCol w:w="1340"/>
        <w:gridCol w:w="1281"/>
      </w:tblGrid>
      <w:tr>
        <w:trPr>
          <w:jc w:val="center"/>
          <w:trHeight w:val="389"/>
        </w:trPr>
        <w:tc>
          <w:tcPr>
            <w:tcW w:w="1285"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b/>
                <w:color w:val="auto"/>
                <w:sz w:val="21"/>
                <w:highlight w:val="none"/>
              </w:rPr>
              <w:t xml:space="preserve">考核项目</w:t>
            </w:r>
            <w:r/>
          </w:p>
        </w:tc>
        <w:tc>
          <w:tcPr>
            <w:tcW w:w="4798"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b/>
                <w:color w:val="auto"/>
                <w:sz w:val="21"/>
                <w:highlight w:val="none"/>
              </w:rPr>
              <w:t xml:space="preserve">考核标准</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b/>
                <w:color w:val="auto"/>
                <w:sz w:val="21"/>
                <w:highlight w:val="none"/>
              </w:rPr>
              <w:t xml:space="preserve">应扣分值</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b/>
                <w:color w:val="auto"/>
                <w:sz w:val="21"/>
                <w:highlight w:val="none"/>
              </w:rPr>
              <w:t xml:space="preserve">扣分说明</w:t>
            </w:r>
            <w:r/>
          </w:p>
        </w:tc>
      </w:tr>
      <w:tr>
        <w:trPr>
          <w:jc w:val="center"/>
          <w:trHeight w:val="1126"/>
        </w:trPr>
        <w:tc>
          <w:tcPr>
            <w:tcW w:w="1285" w:type="dxa"/>
            <w:vAlign w:val="center"/>
            <w:vMerge w:val="restart"/>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（一）制度建设</w:t>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1.建立健全安全、消防管理制度，制订突发性应急预案和处理办法，安全基础台账、应急预案规范。制度不完善或台账、预案不规范的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扣2分/项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2.建立健全各项岗位管理制度，加强人员出入管理，严格执行出入管理制度。检查发现问题的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3.各项工作有完整的工作流程，有规范的质量管理体系，各项质量内控记录齐全。没有的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1495"/>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4.建立健全人员使用政审和报告制度，有员工招聘审查、培训办法，有岗位职责、人员分工任务表等内部管理考核台账，资料健全；员工未发生损害公共利益、造成不良影响的事件。未能做到的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扣0.5分/项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restart"/>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（二）人员管理</w:t>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1.新进员工要进行政审，政审合格后报甲方备案方可录用使用。未执行的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642"/>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2.新进员工必须经培训合格后上岗。未培训合格上岗的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3.经政审、培训合格上岗后的员工，无特殊情况不得随意换人。新进员工在岗未达到10天以上的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389"/>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4.员工离岗须3天内上报。未及时报告和备案的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5.员工上岗培训必须有案可查、资料完备。培训不到位、资料不完备的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1126"/>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6.员工未按规定统一着装、未佩戴统一标识，服装有污渍、破损，不注重仪表仪容，留长发、蓄胡子，不注意文明用语等</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扣0.5分/次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7.员工在班期间玩手机（与工作无关内容）、看报纸，脱岗、串岗、睡岗</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扣0.5分/次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8.乙方随意更换服务人员，或人员年龄及其他要求未达到规定标准的，10日内未整改到位的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扣1-3分/次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restart"/>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（三）安全保卫服务</w:t>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1.因乙方工作不尽职出现</w:t>
            </w:r>
            <w:r>
              <w:rPr>
                <w:rFonts w:hint="eastAsia" w:ascii="宋体" w:hAnsi="宋体" w:eastAsia="宋体" w:cs="宋体"/>
                <w:color w:val="auto"/>
                <w:sz w:val="21"/>
                <w:highlight w:val="none"/>
                <w:lang w:val="en-US" w:eastAsia="zh-CN"/>
              </w:rPr>
              <w:t xml:space="preserve">安全</w:t>
            </w:r>
            <w:r>
              <w:rPr>
                <w:rFonts w:hint="eastAsia" w:ascii="宋体" w:hAnsi="宋体" w:eastAsia="宋体" w:cs="宋体"/>
                <w:color w:val="auto"/>
                <w:sz w:val="21"/>
                <w:highlight w:val="none"/>
              </w:rPr>
              <w:t xml:space="preserve">责任事故的（除追究当事人责任外）</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扣20分/次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9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2.安全服务工作不到位被市领导、甲方单位领导或有关部门提出批评的；接到馆内工作人员投诉经查实的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扣3分/项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3.人员、车辆出入管理未严格登记、验证，管理工作不到位，影响严重的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扣5分/次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642"/>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4.未按规定办理登记手续将危险品带入馆区等场所的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扣3分/次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642"/>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5.员工利用工作之便监守自盗，或发现有内部偷盗行为未及时制止的（经查实）</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扣10分/项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6.巡逻巡查不到位，特别是夜间巡更点无记录，白天、夜间无人查岗，有少查、漏查的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389"/>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7.物品出入未按管理规定查验的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8.大型车辆或大型物件进入未及时向管理部门报告并派人全程跟踪的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9.值班、巡查记录，班前班后交接记录，考勤、检查记录不完整的；不按时立岗的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扣0.5分/次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642"/>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10.岗亭环境不整洁，卫生不达标，有脏乱差现象的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扣0.5分/次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11.安保人员未按每人1部配备对讲机，未坚持每周1-2小时理论和业务培训的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扣0.5分/次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642"/>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12.安保人员在值班室和值班时间吸烟的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扣0.5分/次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13.安保人员值勤不规范、仪表仪态不整的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扣1分/项/次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389"/>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14.安保人员维持车辆秩序时与驾驶员吵架、斗殴的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389"/>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15.非机动车库、走道等停车占用消防通道的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16.A2楼正前方广场平台车辆停留超过10分钟未能清理离开的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389"/>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17.发现车证不符未及时处理的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389"/>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default" w:ascii="宋体" w:hAnsi="宋体" w:eastAsia="宋体" w:cs="宋体"/>
                <w:color w:val="auto"/>
                <w:sz w:val="21"/>
                <w:highlight w:val="none"/>
                <w:lang w:val="en-US" w:eastAsia="zh-CN"/>
              </w:rPr>
              <w:outlineLvl w:val="9"/>
            </w:pPr>
            <w:r>
              <w:rPr>
                <w:rFonts w:hint="eastAsia" w:ascii="宋体" w:hAnsi="宋体" w:eastAsia="宋体" w:cs="宋体"/>
                <w:color w:val="auto"/>
                <w:sz w:val="21"/>
                <w:highlight w:val="none"/>
                <w:lang w:val="en-US" w:eastAsia="zh-CN"/>
              </w:rPr>
              <w:t xml:space="preserve">18.安保人员未按规定频次巡察的</w:t>
            </w:r>
            <w:r/>
          </w:p>
        </w:tc>
        <w:tc>
          <w:tcPr>
            <w:tcW w:w="1340" w:type="dxa"/>
            <w:vAlign w:val="center"/>
            <w:textDirection w:val="lrTb"/>
            <w:noWrap w:val="false"/>
          </w:tcPr>
          <w:p>
            <w:pPr>
              <w:jc w:val="center"/>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扣1分/次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restart"/>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（四）环境保洁服务</w:t>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1.楼宇各出入口地台脚垫有脏杂物、污迹；楼内大厅不整洁光亮、有浮尘、水迹、污迹的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扣0.5分/项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2.各楼层走廊、过道、楼梯、阳台不整洁、有浮尘、水迹、污迹的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扣0.5分/项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3.各楼层公共区域门窗、窗台不干净；垃圾桶放置不合理，清倒不及时、外表不干净的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扣0.5分/项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4.玻璃门、玻璃幕、扶手、栏杆、镜面等不明净光亮，金属、不锈钢未按规定保养的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扣0.5分/项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5.各类设施表面（灯饰、监视器、报警控制器、风口、指示牌等）不干净、有灰尘污迹的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扣0.5分/项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9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6.公共区域卫生间洁具不光洁、有污垢异味；地面墙面不洁；厕纸篓、垃圾桶有陈积物；卫生纸未按时摆放的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扣0.5分/项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7.电梯门厅、轿厢壁、地面、天花板等不干净、有积尘污迹的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扣0.5分/项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8.室外场地、道路、绿化带有脏物垃圾；雕塑、灯箱、公告牌表面有积尘污迹的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扣0.5分/项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9.河道水面不清洁、有青苔脏物，未及时清理漂浮物的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扣0.5分/项/次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642"/>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10.平台台阶未定期清洗；地面未经常保养的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扣0.5分/项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642"/>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11.茶水间地面有污水，茶水箱、拖把池等表面有污迹的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扣0.5分/项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12.保洁作业操作程序不规范，因操作或使用不当造成设施损伤的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扣2分/次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389"/>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13.保洁作业安全措施不到位，发生安全事件的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扣3分/次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restart"/>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（五）消防监控值班服务</w:t>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1.消防控制室未实行24小时持证上岗值班，值班期间脱岗、睡岗的；无证人员独立值守的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扣5分/次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2.收到火灾报警信号或预警信息未按规程及时处置、报告，或处置记录不完整的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扣3分/次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9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3.消防设施设备日常巡查不到位，消火栓箱、灭火器、应急照明、疏散指示等损坏或失效未及时发现报告的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扣2分/次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4.监控设备未24小时正常运行，监控记录缺失或保存时间不足90天的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扣3分/次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642"/>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5.无关人员进入监控室或查阅监控记录未经批准登记的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6.未按要求开展消防宣传和应急演练，或演练记录、影像资料不全的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扣2分/项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restart"/>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（六）会议接待服务</w:t>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1.茶水服务不及时，未做好巡视倒茶，会场灰尘、溢出茶水清理不及时，会场不整洁的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2.会场服务人员随意翻阅会议资料，放行闲杂人员进场，或透露会议内容的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扣2分/项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3.服务人员着装不统一、未佩戴标识，工作时间内大声喧哗、接听电话、聊天、玩手机的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4.会前30分钟未在门口迎候引导；未按要求提供茶水服务；会后未在门口道别的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5.会中未做好茶水添加、话筒摆放、文具提供及多媒体技术支持的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9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6.会后未及时关闭设备电源、锁好会议室门；物品未归位、资料未收集；未及时清场、检查遗留物品的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扣1分/项</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642"/>
        </w:trPr>
        <w:tc>
          <w:tcPr>
            <w:tcW w:w="1285" w:type="dxa"/>
            <w:vAlign w:val="center"/>
            <w:vMerge w:val="restart"/>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（七）房屋及设施设备维护服务</w:t>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1.检查馆区设施设备运转，有情况未及时上报并维修整改的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389"/>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2.室内外灯泡异常未及时报告、更换的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3.未每天检查配电房、水泵站设备运行情况，管理台账不完整的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4.未及时发现安全隐患，或发现跑、冒、滴、漏未及时维修造成浪费的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扣2分/次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5.突发性故障未以最快时间报告、修复，接到报修通知15分钟内不到现场的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restart"/>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（八）绿化养护服务</w:t>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1.绿地、花木、盆栽及景观植物未按规定浇水、施肥、修剪整形，养护不到位的</w:t>
            </w:r>
            <w:r/>
          </w:p>
        </w:tc>
        <w:tc>
          <w:tcPr>
            <w:tcW w:w="1340"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sz w:val="21"/>
                <w:highlight w:val="none"/>
              </w:rPr>
              <w:t xml:space="preserve">扣1分/处</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shd w:val="clear" w:color="auto" w:fill="auto"/>
            <w:tcW w:w="4798" w:type="dxa"/>
            <w:vAlign w:val="center"/>
            <w:textDirection w:val="lrTb"/>
            <w:noWrap w:val="false"/>
          </w:tcPr>
          <w:p>
            <w:pPr>
              <w:jc w:val="left"/>
              <w:rPr>
                <w:rFonts w:hint="eastAsia" w:ascii="宋体" w:hAnsi="宋体" w:eastAsia="宋体" w:cs="宋体"/>
                <w:color w:val="auto"/>
                <w:sz w:val="21"/>
                <w:szCs w:val="24"/>
                <w:highlight w:val="none"/>
                <w:lang w:val="en-US" w:eastAsia="zh-CN" w:bidi="ar-SA"/>
              </w:rPr>
              <w:outlineLvl w:val="9"/>
            </w:pPr>
            <w:r>
              <w:rPr>
                <w:rFonts w:hint="eastAsia" w:ascii="宋体" w:hAnsi="宋体" w:eastAsia="宋体" w:cs="宋体"/>
                <w:color w:val="auto"/>
                <w:highlight w:val="none"/>
              </w:rPr>
              <w:t xml:space="preserve">2.杂草清理不及时，绿地内有枯草、杂物、干枯坏死或明显裸露土地的</w:t>
            </w:r>
            <w:r/>
          </w:p>
        </w:tc>
        <w:tc>
          <w:tcPr>
            <w:shd w:val="clear" w:color="auto" w:fill="auto"/>
            <w:tcW w:w="1340" w:type="dxa"/>
            <w:vAlign w:val="center"/>
            <w:textDirection w:val="lrTb"/>
            <w:noWrap w:val="false"/>
          </w:tcPr>
          <w:p>
            <w:pPr>
              <w:jc w:val="center"/>
              <w:rPr>
                <w:rFonts w:hint="eastAsia" w:ascii="宋体" w:hAnsi="宋体" w:eastAsia="宋体" w:cs="宋体"/>
                <w:color w:val="auto"/>
                <w:sz w:val="21"/>
                <w:szCs w:val="24"/>
                <w:highlight w:val="none"/>
                <w:lang w:val="en-US" w:eastAsia="zh-CN" w:bidi="ar-SA"/>
              </w:rPr>
              <w:outlineLvl w:val="9"/>
            </w:pPr>
            <w:r>
              <w:rPr>
                <w:rFonts w:hint="eastAsia" w:ascii="宋体" w:hAnsi="宋体" w:eastAsia="宋体" w:cs="宋体"/>
                <w:color w:val="auto"/>
                <w:sz w:val="21"/>
                <w:highlight w:val="none"/>
              </w:rPr>
              <w:t xml:space="preserve">扣1分/处</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642"/>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shd w:val="clear" w:color="auto" w:fill="auto"/>
            <w:tcW w:w="4798" w:type="dxa"/>
            <w:vAlign w:val="center"/>
            <w:textDirection w:val="lrTb"/>
            <w:noWrap w:val="false"/>
          </w:tcPr>
          <w:p>
            <w:pPr>
              <w:jc w:val="left"/>
              <w:rPr>
                <w:rFonts w:hint="eastAsia" w:ascii="宋体" w:hAnsi="宋体" w:eastAsia="宋体" w:cs="宋体"/>
                <w:color w:val="auto"/>
                <w:sz w:val="21"/>
                <w:szCs w:val="24"/>
                <w:highlight w:val="none"/>
                <w:lang w:val="en-US" w:eastAsia="zh-CN" w:bidi="ar-SA"/>
              </w:rPr>
              <w:outlineLvl w:val="9"/>
            </w:pPr>
            <w:r>
              <w:rPr>
                <w:rFonts w:hint="eastAsia" w:ascii="宋体" w:hAnsi="宋体" w:eastAsia="宋体" w:cs="宋体"/>
                <w:color w:val="auto"/>
                <w:highlight w:val="none"/>
              </w:rPr>
              <w:t xml:space="preserve">3.病虫害防治不到位，未及时清除枯枝落叶、死株的</w:t>
            </w:r>
            <w:r/>
          </w:p>
        </w:tc>
        <w:tc>
          <w:tcPr>
            <w:shd w:val="clear" w:color="auto" w:fill="auto"/>
            <w:tcW w:w="1340" w:type="dxa"/>
            <w:vAlign w:val="center"/>
            <w:textDirection w:val="lrTb"/>
            <w:noWrap w:val="false"/>
          </w:tcPr>
          <w:p>
            <w:pPr>
              <w:jc w:val="center"/>
              <w:rPr>
                <w:rFonts w:hint="eastAsia" w:ascii="宋体" w:hAnsi="宋体" w:eastAsia="宋体" w:cs="宋体"/>
                <w:color w:val="auto"/>
                <w:sz w:val="21"/>
                <w:szCs w:val="24"/>
                <w:highlight w:val="none"/>
                <w:lang w:val="en-US" w:eastAsia="zh-CN" w:bidi="ar-SA"/>
              </w:rPr>
              <w:outlineLvl w:val="9"/>
            </w:pPr>
            <w:r>
              <w:rPr>
                <w:rFonts w:hint="eastAsia" w:ascii="宋体" w:hAnsi="宋体" w:eastAsia="宋体" w:cs="宋体"/>
                <w:color w:val="auto"/>
                <w:sz w:val="21"/>
                <w:highlight w:val="none"/>
              </w:rPr>
              <w:t xml:space="preserve">扣1分/处</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shd w:val="clear" w:color="auto" w:fill="auto"/>
            <w:tcW w:w="4798" w:type="dxa"/>
            <w:vAlign w:val="center"/>
            <w:textDirection w:val="lrTb"/>
            <w:noWrap w:val="false"/>
          </w:tcPr>
          <w:p>
            <w:pPr>
              <w:jc w:val="left"/>
              <w:rPr>
                <w:rFonts w:hint="eastAsia" w:ascii="宋体" w:hAnsi="宋体" w:eastAsia="宋体" w:cs="宋体"/>
                <w:color w:val="auto"/>
                <w:sz w:val="21"/>
                <w:szCs w:val="24"/>
                <w:highlight w:val="none"/>
                <w:lang w:val="en-US" w:eastAsia="zh-CN" w:bidi="ar-SA"/>
              </w:rPr>
              <w:outlineLvl w:val="9"/>
            </w:pPr>
            <w:r>
              <w:rPr>
                <w:rFonts w:hint="eastAsia" w:ascii="宋体" w:hAnsi="宋体" w:eastAsia="宋体" w:cs="宋体"/>
                <w:color w:val="auto"/>
                <w:highlight w:val="none"/>
              </w:rPr>
              <w:t xml:space="preserve">4.恶劣天气前未对绿植采取防护措施，恶劣天气后未及时清理倒树断枝、疏通道路的</w:t>
            </w:r>
            <w:r/>
          </w:p>
        </w:tc>
        <w:tc>
          <w:tcPr>
            <w:shd w:val="clear" w:color="auto" w:fill="auto"/>
            <w:tcW w:w="1340" w:type="dxa"/>
            <w:vAlign w:val="center"/>
            <w:textDirection w:val="lrTb"/>
            <w:noWrap w:val="false"/>
          </w:tcPr>
          <w:p>
            <w:pPr>
              <w:jc w:val="center"/>
              <w:rPr>
                <w:rFonts w:hint="eastAsia" w:ascii="宋体" w:hAnsi="宋体" w:eastAsia="宋体" w:cs="宋体"/>
                <w:color w:val="auto"/>
                <w:sz w:val="21"/>
                <w:szCs w:val="24"/>
                <w:highlight w:val="none"/>
                <w:lang w:val="en-US" w:eastAsia="zh-CN" w:bidi="ar-SA"/>
              </w:rPr>
              <w:outlineLvl w:val="9"/>
            </w:pPr>
            <w:r>
              <w:rPr>
                <w:rFonts w:hint="eastAsia" w:ascii="宋体" w:hAnsi="宋体" w:eastAsia="宋体" w:cs="宋体"/>
                <w:color w:val="auto"/>
                <w:sz w:val="21"/>
                <w:highlight w:val="none"/>
              </w:rPr>
              <w:t xml:space="preserve">扣2分/次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958"/>
        </w:trPr>
        <w:tc>
          <w:tcPr>
            <w:tcW w:w="1285" w:type="dxa"/>
            <w:vAlign w:val="center"/>
            <w:vMerge w:val="restart"/>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九</w:t>
            </w:r>
            <w:r>
              <w:rPr>
                <w:rFonts w:hint="eastAsia" w:ascii="宋体" w:hAnsi="宋体" w:eastAsia="宋体" w:cs="宋体"/>
                <w:color w:val="auto"/>
                <w:highlight w:val="none"/>
              </w:rPr>
              <w:t xml:space="preserve">）机械设备管理</w:t>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1.乙方未按合同约定及投标承诺投入机械设备，或投入数量、规格不能满足馆区保洁及设施维护作业需要的</w:t>
            </w:r>
            <w:r/>
          </w:p>
        </w:tc>
        <w:tc>
          <w:tcPr>
            <w:tcW w:w="1340" w:type="dxa"/>
            <w:vAlign w:val="center"/>
            <w:textDirection w:val="lrTb"/>
            <w:noWrap w:val="false"/>
          </w:tcPr>
          <w:p>
            <w:pPr>
              <w:jc w:val="center"/>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扣2分/台/次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58"/>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2.机械设备未建立台账、未定期维护保养，或未按操作规程使用、停放不规范的</w:t>
            </w:r>
            <w:r/>
          </w:p>
        </w:tc>
        <w:tc>
          <w:tcPr>
            <w:tcW w:w="1340" w:type="dxa"/>
            <w:vAlign w:val="center"/>
            <w:textDirection w:val="lrTb"/>
            <w:noWrap w:val="false"/>
          </w:tcPr>
          <w:p>
            <w:pPr>
              <w:jc w:val="center"/>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扣1分/次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642"/>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3.因机械设备操作不当损坏馆区设施、绿化或造成人员伤害的</w:t>
            </w:r>
            <w:r/>
          </w:p>
        </w:tc>
        <w:tc>
          <w:tcPr>
            <w:tcW w:w="1340" w:type="dxa"/>
            <w:vAlign w:val="center"/>
            <w:textDirection w:val="lrTb"/>
            <w:noWrap w:val="false"/>
          </w:tcPr>
          <w:p>
            <w:pPr>
              <w:jc w:val="center"/>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扣3分/次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jc w:val="center"/>
          <w:trHeight w:val="779"/>
        </w:trPr>
        <w:tc>
          <w:tcPr>
            <w:tcW w:w="1285" w:type="dxa"/>
            <w:vAlign w:val="center"/>
            <w:vMerge w:val="continue"/>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8" w:type="dxa"/>
            <w:vAlign w:val="center"/>
            <w:textDirection w:val="lrTb"/>
            <w:noWrap w:val="false"/>
          </w:tcPr>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4.甲方移交的设备（含机械设备）保管不善、缺失或损坏，未及时报告并修复、赔偿的</w:t>
            </w:r>
            <w:r/>
          </w:p>
        </w:tc>
        <w:tc>
          <w:tcPr>
            <w:tcW w:w="1340" w:type="dxa"/>
            <w:vAlign w:val="center"/>
            <w:textDirection w:val="lrTb"/>
            <w:noWrap w:val="false"/>
          </w:tcPr>
          <w:p>
            <w:pPr>
              <w:jc w:val="center"/>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扣2分/次</w:t>
            </w:r>
            <w:r/>
          </w:p>
        </w:tc>
        <w:tc>
          <w:tcPr>
            <w:tcW w:w="1281" w:type="dxa"/>
            <w:vAlign w:val="center"/>
            <w:textDirection w:val="lrTb"/>
            <w:noWrap w:val="false"/>
          </w:tcPr>
          <w:p>
            <w:pPr>
              <w:jc w:val="center"/>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bl>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color w:val="auto"/>
          <w:sz w:val="24"/>
          <w:highlight w:val="none"/>
        </w:rPr>
        <w:t xml:space="preserve">五、考核结果运用</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1.甲方按月开展考核并形成考核记录，考核结果作为支付服务费用的依据。</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2.季度考核得分低于70分的，甲方有权拒绝支付该季度服务费用并终止合同；单年度服务期内累计出现3次月度考核得分低于70分的，甲方有权单方面解除合同，履约保证金不予退还。</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3.乙方对考核结果有异议的，可在收到考核结果后3个工作日内向甲方书面提出，甲方应在5个工作日内复核并书面答复。</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color w:val="auto"/>
          <w:sz w:val="24"/>
          <w:highlight w:val="none"/>
        </w:rPr>
        <w:t xml:space="preserve">六、附则</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1.乙方人员发现职责内问题、情况须作规范记录，视情节由项目经理及时向甲方汇报，因甲方原因未及时处理，乙方可免责。</w:t>
      </w:r>
      <w:r/>
    </w:p>
    <w:p>
      <w:pPr>
        <w:ind w:firstLine="480"/>
        <w:jc w:val="both"/>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t xml:space="preserve">2.本考核表未尽事宜，按采购需求、本合同及相关法律法规执行；本考核表作为本合同的附件，与合同具有同等法律效力。</w:t>
      </w:r>
      <w:r/>
    </w:p>
    <w:p>
      <w:pPr>
        <w:pStyle w:val="871"/>
        <w:ind w:left="657" w:firstLine="175"/>
        <w:jc w:val="both"/>
        <w:spacing w:before="120" w:beforeAutospacing="0" w:after="120" w:afterAutospacing="0" w:line="0" w:lineRule="atLeas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jc w:val="both"/>
        <w:spacing w:before="60" w:after="60" w:line="460" w:lineRule="exact"/>
        <w:rPr>
          <w:rFonts w:hint="eastAsia" w:ascii="宋体" w:hAnsi="宋体" w:eastAsia="宋体" w:cs="宋体"/>
          <w:b w:val="0"/>
          <w:color w:val="auto"/>
          <w:sz w:val="24"/>
          <w:highlight w:val="none"/>
        </w:rPr>
        <w:outlineLvl w:val="9"/>
      </w:pPr>
      <w:r>
        <w:rPr>
          <w:rFonts w:hint="eastAsia" w:ascii="宋体" w:hAnsi="宋体" w:eastAsia="宋体" w:cs="宋体"/>
          <w:b w:val="0"/>
          <w:color w:val="auto"/>
          <w:sz w:val="24"/>
          <w:highlight w:val="none"/>
        </w:rPr>
        <w:t xml:space="preserve">甲方：               </w:t>
      </w:r>
      <w:r>
        <w:rPr>
          <w:rFonts w:hint="eastAsia" w:ascii="宋体" w:hAnsi="宋体" w:eastAsia="宋体" w:cs="宋体"/>
          <w:b w:val="0"/>
          <w:color w:val="auto"/>
          <w:sz w:val="24"/>
          <w:highlight w:val="none"/>
          <w:lang w:val="en-US" w:eastAsia="zh-CN"/>
        </w:rPr>
        <w:t xml:space="preserve"> </w:t>
      </w:r>
      <w:r>
        <w:rPr>
          <w:rFonts w:hint="eastAsia" w:ascii="宋体" w:hAnsi="宋体" w:eastAsia="宋体" w:cs="宋体"/>
          <w:b w:val="0"/>
          <w:color w:val="auto"/>
          <w:sz w:val="24"/>
          <w:highlight w:val="none"/>
        </w:rPr>
        <w:t xml:space="preserve"> </w:t>
      </w:r>
      <w:r>
        <w:rPr>
          <w:rFonts w:hint="eastAsia" w:ascii="宋体" w:hAnsi="宋体" w:eastAsia="宋体" w:cs="宋体"/>
          <w:b w:val="0"/>
          <w:color w:val="auto"/>
          <w:sz w:val="24"/>
          <w:highlight w:val="none"/>
          <w:lang w:val="en-US" w:eastAsia="zh-CN"/>
        </w:rPr>
        <w:t xml:space="preserve">      </w:t>
      </w:r>
      <w:r>
        <w:rPr>
          <w:rFonts w:hint="eastAsia" w:ascii="宋体" w:hAnsi="宋体" w:eastAsia="宋体" w:cs="宋体"/>
          <w:b w:val="0"/>
          <w:color w:val="auto"/>
          <w:sz w:val="24"/>
          <w:highlight w:val="none"/>
        </w:rPr>
        <w:t xml:space="preserve">乙方： </w:t>
      </w:r>
      <w:r/>
    </w:p>
    <w:p>
      <w:pPr>
        <w:ind w:firstLine="480"/>
        <w:jc w:val="both"/>
        <w:spacing w:before="60" w:after="60" w:line="460" w:lineRule="exact"/>
        <w:rPr>
          <w:rFonts w:hint="eastAsia" w:ascii="宋体" w:hAnsi="宋体" w:eastAsia="宋体" w:cs="宋体"/>
          <w:b w:val="0"/>
          <w:color w:val="auto"/>
          <w:sz w:val="24"/>
          <w:highlight w:val="none"/>
        </w:rPr>
        <w:outlineLvl w:val="9"/>
      </w:pPr>
      <w:r>
        <w:rPr>
          <w:rFonts w:hint="eastAsia" w:ascii="宋体" w:hAnsi="宋体" w:eastAsia="宋体" w:cs="宋体"/>
          <w:b w:val="0"/>
          <w:color w:val="auto"/>
          <w:sz w:val="24"/>
          <w:highlight w:val="none"/>
        </w:rPr>
        <w:t xml:space="preserve">地址：                </w:t>
      </w:r>
      <w:r>
        <w:rPr>
          <w:rFonts w:hint="eastAsia" w:ascii="宋体" w:hAnsi="宋体" w:eastAsia="宋体" w:cs="宋体"/>
          <w:b w:val="0"/>
          <w:color w:val="auto"/>
          <w:sz w:val="24"/>
          <w:highlight w:val="none"/>
          <w:lang w:val="en-US" w:eastAsia="zh-CN"/>
        </w:rPr>
        <w:t xml:space="preserve">       </w:t>
      </w:r>
      <w:r>
        <w:rPr>
          <w:rFonts w:hint="eastAsia" w:ascii="宋体" w:hAnsi="宋体" w:eastAsia="宋体" w:cs="宋体"/>
          <w:b w:val="0"/>
          <w:color w:val="auto"/>
          <w:sz w:val="24"/>
          <w:highlight w:val="none"/>
        </w:rPr>
        <w:t xml:space="preserve">地址： </w:t>
      </w:r>
      <w:r/>
    </w:p>
    <w:p>
      <w:pPr>
        <w:ind w:firstLine="480"/>
        <w:jc w:val="both"/>
        <w:spacing w:before="60" w:after="60" w:line="460" w:lineRule="exact"/>
        <w:rPr>
          <w:rFonts w:hint="eastAsia" w:ascii="宋体" w:hAnsi="宋体" w:eastAsia="宋体" w:cs="宋体"/>
          <w:b w:val="0"/>
          <w:color w:val="auto"/>
          <w:sz w:val="24"/>
          <w:highlight w:val="none"/>
        </w:rPr>
        <w:outlineLvl w:val="9"/>
      </w:pPr>
      <w:r>
        <w:rPr>
          <w:rFonts w:hint="eastAsia" w:ascii="宋体" w:hAnsi="宋体" w:eastAsia="宋体" w:cs="宋体"/>
          <w:b w:val="0"/>
          <w:color w:val="auto"/>
          <w:sz w:val="24"/>
          <w:highlight w:val="none"/>
        </w:rPr>
        <w:t xml:space="preserve">法定代表人或授权代表：       </w:t>
      </w:r>
      <w:r>
        <w:rPr>
          <w:rFonts w:hint="eastAsia" w:ascii="宋体" w:hAnsi="宋体" w:eastAsia="宋体" w:cs="宋体"/>
          <w:b w:val="0"/>
          <w:color w:val="auto"/>
          <w:sz w:val="24"/>
          <w:highlight w:val="none"/>
        </w:rPr>
        <w:t xml:space="preserve">法定代表人或授权代表：</w:t>
      </w:r>
      <w:r/>
    </w:p>
    <w:p>
      <w:pPr>
        <w:ind w:firstLine="480"/>
        <w:jc w:val="both"/>
        <w:spacing w:before="60" w:after="60" w:line="460" w:lineRule="exact"/>
        <w:rPr>
          <w:rFonts w:hint="eastAsia" w:ascii="宋体" w:hAnsi="宋体" w:eastAsia="宋体" w:cs="宋体"/>
          <w:b w:val="0"/>
          <w:color w:val="auto"/>
          <w:sz w:val="24"/>
          <w:highlight w:val="none"/>
        </w:rPr>
        <w:outlineLvl w:val="9"/>
      </w:pPr>
      <w:r>
        <w:rPr>
          <w:rFonts w:hint="eastAsia" w:ascii="宋体" w:hAnsi="宋体" w:eastAsia="宋体" w:cs="宋体"/>
          <w:b w:val="0"/>
          <w:color w:val="auto"/>
          <w:sz w:val="24"/>
          <w:highlight w:val="none"/>
        </w:rPr>
        <w:t xml:space="preserve">联系电话：          </w:t>
      </w:r>
      <w:r>
        <w:rPr>
          <w:rFonts w:hint="eastAsia" w:ascii="宋体" w:hAnsi="宋体" w:eastAsia="宋体" w:cs="宋体"/>
          <w:b w:val="0"/>
          <w:color w:val="auto"/>
          <w:sz w:val="24"/>
          <w:highlight w:val="none"/>
          <w:lang w:val="en-US" w:eastAsia="zh-CN"/>
        </w:rPr>
        <w:t xml:space="preserve">         </w:t>
      </w:r>
      <w:r>
        <w:rPr>
          <w:rFonts w:hint="eastAsia" w:ascii="宋体" w:hAnsi="宋体" w:eastAsia="宋体" w:cs="宋体"/>
          <w:b w:val="0"/>
          <w:color w:val="auto"/>
          <w:sz w:val="24"/>
          <w:highlight w:val="none"/>
        </w:rPr>
        <w:t xml:space="preserve">联系电话：          </w:t>
      </w:r>
      <w:r/>
    </w:p>
    <w:p>
      <w:pPr>
        <w:ind w:firstLine="480"/>
        <w:jc w:val="both"/>
        <w:spacing w:before="60" w:after="60" w:line="460" w:lineRule="exact"/>
        <w:rPr>
          <w:rFonts w:hint="eastAsia" w:ascii="宋体" w:hAnsi="宋体" w:eastAsia="宋体" w:cs="宋体"/>
          <w:b w:val="0"/>
          <w:color w:val="auto"/>
          <w:sz w:val="24"/>
          <w:highlight w:val="none"/>
        </w:rPr>
        <w:outlineLvl w:val="9"/>
      </w:pPr>
      <w:r>
        <w:rPr>
          <w:rFonts w:hint="eastAsia" w:ascii="宋体" w:hAnsi="宋体" w:eastAsia="宋体" w:cs="宋体"/>
          <w:b w:val="0"/>
          <w:color w:val="auto"/>
          <w:sz w:val="24"/>
          <w:highlight w:val="none"/>
        </w:rPr>
        <w:t xml:space="preserve">签订日期： 年    月   日</w:t>
      </w:r>
      <w:bookmarkStart w:id="159" w:name="_Toc479757211"/>
      <w:r/>
      <w:bookmarkStart w:id="160" w:name="_Toc16938590"/>
      <w:r/>
      <w:bookmarkStart w:id="161" w:name="_Toc20823346"/>
      <w:r/>
      <w:bookmarkStart w:id="162" w:name="_Toc462564139"/>
      <w:r/>
      <w:bookmarkStart w:id="163" w:name="_Toc120614244"/>
      <w:r/>
      <w:bookmarkStart w:id="164" w:name="_Hlt16619350"/>
      <w:r/>
      <w:bookmarkStart w:id="165" w:name="_Hlt16619369"/>
      <w:r>
        <w:rPr>
          <w:rFonts w:hint="eastAsia" w:ascii="宋体" w:hAnsi="宋体" w:eastAsia="宋体" w:cs="宋体"/>
          <w:b w:val="0"/>
          <w:color w:val="auto"/>
          <w:sz w:val="24"/>
          <w:highlight w:val="none"/>
        </w:rPr>
        <w:t xml:space="preserve"> </w:t>
      </w:r>
      <w:r>
        <w:rPr>
          <w:rFonts w:hint="eastAsia" w:ascii="宋体" w:hAnsi="宋体" w:eastAsia="宋体" w:cs="宋体"/>
          <w:b w:val="0"/>
          <w:color w:val="auto"/>
          <w:sz w:val="24"/>
          <w:highlight w:val="none"/>
          <w:lang w:val="en-US" w:eastAsia="zh-CN"/>
        </w:rPr>
        <w:t xml:space="preserve">    </w:t>
      </w:r>
      <w:r>
        <w:rPr>
          <w:rFonts w:hint="eastAsia" w:ascii="宋体" w:hAnsi="宋体" w:eastAsia="宋体" w:cs="宋体"/>
          <w:b w:val="0"/>
          <w:color w:val="auto"/>
          <w:sz w:val="24"/>
          <w:highlight w:val="none"/>
        </w:rPr>
        <w:t xml:space="preserve">签订日期：   年    月   日</w:t>
      </w:r>
      <w:r/>
    </w:p>
    <w:p>
      <w:pPr>
        <w:ind w:firstLine="480"/>
        <w:jc w:val="center"/>
        <w:spacing w:before="60" w:after="60" w:line="460" w:lineRule="exact"/>
        <w:rPr>
          <w:rFonts w:hint="eastAsia" w:ascii="宋体" w:hAnsi="宋体" w:eastAsia="宋体" w:cs="宋体"/>
          <w:color w:val="auto"/>
          <w:highlight w:val="none"/>
        </w:rPr>
        <w:outlineLvl w:val="9"/>
      </w:pPr>
      <w:r>
        <w:rPr>
          <w:rFonts w:hint="eastAsia" w:ascii="宋体" w:hAnsi="宋体" w:eastAsia="宋体" w:cs="宋体"/>
          <w:b w:val="0"/>
          <w:color w:val="auto"/>
          <w:sz w:val="24"/>
          <w:highlight w:val="none"/>
        </w:rPr>
        <w:br w:type="page" w:clear="all"/>
      </w:r>
      <w:bookmarkStart w:id="166" w:name="_Toc26102"/>
      <w:r>
        <w:rPr>
          <w:rFonts w:hint="eastAsia" w:ascii="黑体" w:hAnsi="黑体" w:eastAsia="黑体" w:cs="黑体"/>
          <w:b w:val="0"/>
          <w:bCs w:val="0"/>
          <w:color w:val="auto"/>
          <w:sz w:val="44"/>
          <w:szCs w:val="44"/>
          <w:highlight w:val="none"/>
        </w:rPr>
        <w:t xml:space="preserve">第</w:t>
      </w:r>
      <w:bookmarkEnd w:id="159"/>
      <w:r>
        <w:rPr>
          <w:rFonts w:hint="eastAsia" w:ascii="黑体" w:hAnsi="黑体" w:eastAsia="黑体" w:cs="黑体"/>
          <w:b w:val="0"/>
          <w:bCs w:val="0"/>
          <w:color w:val="auto"/>
          <w:sz w:val="44"/>
          <w:szCs w:val="44"/>
          <w:highlight w:val="none"/>
        </w:rPr>
        <w:t xml:space="preserve">四章 采购需求</w:t>
      </w:r>
      <w:bookmarkEnd w:id="160"/>
      <w:r/>
      <w:bookmarkEnd w:id="161"/>
      <w:r/>
      <w:bookmarkEnd w:id="162"/>
      <w:r/>
      <w:bookmarkEnd w:id="163"/>
      <w:r/>
      <w:bookmarkEnd w:id="164"/>
      <w:r/>
      <w:bookmarkEnd w:id="166"/>
      <w:r/>
      <w:r/>
    </w:p>
    <w:p>
      <w:pPr>
        <w:ind w:firstLine="482"/>
        <w:jc w:val="left"/>
        <w:spacing w:line="560" w:lineRule="exact"/>
        <w:widowControl/>
        <w:rPr>
          <w:rFonts w:hint="eastAsia" w:ascii="宋体" w:hAnsi="宋体" w:eastAsia="宋体" w:cs="宋体"/>
          <w:b/>
          <w:bCs/>
          <w:color w:val="auto"/>
          <w:sz w:val="24"/>
          <w:highlight w:val="none"/>
        </w:rPr>
        <w:outlineLvl w:val="9"/>
      </w:pPr>
      <w:r/>
      <w:bookmarkStart w:id="167" w:name="_Toc49090575"/>
      <w:r/>
      <w:bookmarkStart w:id="168" w:name="_Toc26554093"/>
      <w:r>
        <w:rPr>
          <w:rFonts w:hint="eastAsia" w:ascii="宋体" w:hAnsi="宋体" w:eastAsia="宋体" w:cs="宋体"/>
          <w:b/>
          <w:bCs/>
          <w:color w:val="auto"/>
          <w:sz w:val="24"/>
          <w:highlight w:val="none"/>
        </w:rPr>
        <w:t xml:space="preserve">项目属性：服务类项目</w:t>
      </w:r>
      <w:bookmarkEnd w:id="167"/>
      <w:r/>
      <w:bookmarkEnd w:id="168"/>
      <w:r/>
      <w:r/>
    </w:p>
    <w:p>
      <w:pPr>
        <w:ind w:firstLine="482"/>
        <w:jc w:val="left"/>
        <w:spacing w:line="560" w:lineRule="exact"/>
        <w:widowControl/>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一、项目概况</w:t>
      </w:r>
      <w:r/>
    </w:p>
    <w:p>
      <w:pPr>
        <w:ind w:firstLine="482"/>
        <w:jc w:val="left"/>
        <w:spacing w:line="560" w:lineRule="exact"/>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1.项目名称：</w:t>
      </w:r>
      <w:r>
        <w:rPr>
          <w:rFonts w:hint="eastAsia" w:ascii="宋体" w:hAnsi="宋体" w:eastAsia="宋体" w:cs="宋体"/>
          <w:color w:val="auto"/>
          <w:sz w:val="24"/>
          <w:highlight w:val="none"/>
          <w:lang w:eastAsia="zh-CN"/>
        </w:rPr>
        <w:t xml:space="preserve">盐城市综合档案馆物业服务项目</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2.项目地点：盐城经济技术开发区天山中路1号（世纪大道以北、天山路以西）。</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3.项目概况：盐城市综合档案馆总建筑面积约9.59万㎡（含地下人防设施1.36万㎡），室外绿地约2万㎡；馆内设有档案库房、查档服务大厅、会议室、报告厅及办公用房等。详细情况请各投标人实地勘察。</w:t>
      </w:r>
      <w:r/>
    </w:p>
    <w:p>
      <w:pPr>
        <w:ind w:firstLine="480"/>
        <w:jc w:val="left"/>
        <w:spacing w:line="500" w:lineRule="exact"/>
        <w:widowControl/>
        <w:rPr>
          <w:rFonts w:ascii="宋体" w:hAnsi="宋体" w:cs="宋体"/>
          <w:b/>
          <w:bCs/>
          <w:sz w:val="24"/>
          <w:szCs w:val="20"/>
          <w:highlight w:val="none"/>
        </w:rPr>
      </w:pPr>
      <w:r>
        <w:rPr>
          <w:rFonts w:hint="eastAsia" w:ascii="宋体" w:hAnsi="宋体" w:eastAsia="宋体" w:cs="宋体"/>
          <w:b/>
          <w:bCs/>
          <w:color w:val="auto"/>
          <w:sz w:val="24"/>
          <w:szCs w:val="24"/>
          <w:highlight w:val="none"/>
        </w:rPr>
        <w:t xml:space="preserve">二、</w:t>
      </w:r>
      <w:r>
        <w:rPr>
          <w:rFonts w:hint="eastAsia" w:ascii="宋体" w:hAnsi="宋体" w:cs="宋体"/>
          <w:b/>
          <w:bCs/>
          <w:sz w:val="24"/>
          <w:szCs w:val="20"/>
          <w:highlight w:val="none"/>
        </w:rPr>
        <w:t xml:space="preserve">物业服务范围</w:t>
      </w:r>
      <w:r/>
    </w:p>
    <w:p>
      <w:pPr>
        <w:ind w:firstLine="480"/>
        <w:jc w:val="left"/>
        <w:spacing w:line="500" w:lineRule="exact"/>
        <w:widowControl/>
        <w:rPr>
          <w:rFonts w:ascii="宋体" w:hAnsi="宋体" w:cs="宋体"/>
          <w:b/>
          <w:bCs/>
          <w:sz w:val="24"/>
          <w:szCs w:val="20"/>
          <w:highlight w:val="none"/>
        </w:rPr>
      </w:pPr>
      <w:r>
        <w:rPr>
          <w:rFonts w:hint="eastAsia" w:ascii="宋体" w:hAnsi="宋体" w:cs="宋体"/>
          <w:b/>
          <w:bCs/>
          <w:sz w:val="24"/>
          <w:szCs w:val="20"/>
          <w:highlight w:val="none"/>
        </w:rPr>
        <w:t xml:space="preserve">（一）物业管理（建筑物）</w:t>
      </w:r>
      <w:r/>
    </w:p>
    <w:tbl>
      <w:tblPr>
        <w:tblStyle w:val="873"/>
        <w:tblW w:w="49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973"/>
        <w:gridCol w:w="2600"/>
        <w:gridCol w:w="2942"/>
      </w:tblGrid>
      <w:tr>
        <w:trPr>
          <w:jc w:val="center"/>
          <w:trHeight w:val="685"/>
        </w:trPr>
        <w:tc>
          <w:tcPr>
            <w:gridSpan w:val="2"/>
            <w:tcW w:w="3209" w:type="dxa"/>
            <w:vAlign w:val="center"/>
            <w:textDirection w:val="lrTb"/>
            <w:noWrap/>
          </w:tcPr>
          <w:p>
            <w:pPr>
              <w:jc w:val="center"/>
              <w:spacing w:line="350" w:lineRule="exact"/>
              <w:rPr>
                <w:rFonts w:ascii="宋体" w:hAnsi="宋体" w:cs="宋体"/>
                <w:b/>
                <w:bCs/>
                <w:sz w:val="24"/>
                <w:szCs w:val="24"/>
                <w:highlight w:val="none"/>
              </w:rPr>
            </w:pPr>
            <w:r>
              <w:rPr>
                <w:rFonts w:hint="eastAsia" w:ascii="宋体" w:hAnsi="宋体" w:cs="宋体"/>
                <w:b/>
                <w:bCs/>
                <w:sz w:val="24"/>
                <w:szCs w:val="24"/>
                <w:highlight w:val="none"/>
              </w:rPr>
              <w:t xml:space="preserve">名称</w:t>
            </w:r>
            <w:r/>
          </w:p>
        </w:tc>
        <w:tc>
          <w:tcPr>
            <w:tcW w:w="2600" w:type="dxa"/>
            <w:vAlign w:val="center"/>
            <w:textDirection w:val="lrTb"/>
            <w:noWrap/>
          </w:tcPr>
          <w:p>
            <w:pPr>
              <w:jc w:val="center"/>
              <w:spacing w:line="360" w:lineRule="exact"/>
              <w:rPr>
                <w:rFonts w:ascii="宋体" w:hAnsi="宋体" w:cs="宋体"/>
                <w:b/>
                <w:bCs/>
                <w:sz w:val="24"/>
                <w:szCs w:val="24"/>
                <w:highlight w:val="none"/>
              </w:rPr>
            </w:pPr>
            <w:r>
              <w:rPr>
                <w:rFonts w:hint="eastAsia" w:ascii="宋体" w:hAnsi="宋体" w:cs="宋体"/>
                <w:b/>
                <w:bCs/>
                <w:sz w:val="24"/>
                <w:szCs w:val="24"/>
                <w:highlight w:val="none"/>
              </w:rPr>
              <w:t xml:space="preserve">明细</w:t>
            </w:r>
            <w:r/>
          </w:p>
        </w:tc>
        <w:tc>
          <w:tcPr>
            <w:tcW w:w="2942" w:type="dxa"/>
            <w:vAlign w:val="center"/>
            <w:textDirection w:val="lrTb"/>
            <w:noWrap/>
          </w:tcPr>
          <w:p>
            <w:pPr>
              <w:jc w:val="center"/>
              <w:spacing w:line="360" w:lineRule="exact"/>
              <w:rPr>
                <w:rFonts w:ascii="宋体" w:hAnsi="宋体" w:cs="宋体"/>
                <w:b/>
                <w:bCs/>
                <w:sz w:val="24"/>
                <w:szCs w:val="24"/>
                <w:highlight w:val="none"/>
              </w:rPr>
            </w:pPr>
            <w:r>
              <w:rPr>
                <w:rFonts w:hint="eastAsia" w:ascii="宋体" w:hAnsi="宋体" w:cs="宋体"/>
                <w:b/>
                <w:bCs/>
                <w:sz w:val="24"/>
                <w:szCs w:val="24"/>
                <w:highlight w:val="none"/>
              </w:rPr>
              <w:t xml:space="preserve">服务内容及标准</w:t>
            </w:r>
            <w:r/>
          </w:p>
        </w:tc>
      </w:tr>
      <w:tr>
        <w:trPr>
          <w:jc w:val="center"/>
          <w:trHeight w:val="816"/>
        </w:trPr>
        <w:tc>
          <w:tcPr>
            <w:gridSpan w:val="2"/>
            <w:tcW w:w="3209" w:type="dxa"/>
            <w:vAlign w:val="center"/>
            <w:textDirection w:val="lrTb"/>
            <w:noWrap/>
          </w:tcPr>
          <w:p>
            <w:pPr>
              <w:jc w:val="center"/>
              <w:spacing w:line="350" w:lineRule="exact"/>
              <w:rPr>
                <w:rFonts w:ascii="宋体" w:hAnsi="宋体" w:cs="宋体"/>
                <w:sz w:val="24"/>
                <w:szCs w:val="24"/>
                <w:highlight w:val="none"/>
              </w:rPr>
            </w:pPr>
            <w:r>
              <w:rPr>
                <w:rFonts w:hint="eastAsia" w:ascii="宋体" w:hAnsi="宋体" w:cs="宋体"/>
                <w:b/>
                <w:sz w:val="24"/>
                <w:szCs w:val="24"/>
                <w:highlight w:val="none"/>
              </w:rPr>
              <w:t xml:space="preserve">建筑名称</w:t>
            </w:r>
            <w:r/>
          </w:p>
        </w:tc>
        <w:tc>
          <w:tcPr>
            <w:tcW w:w="2600" w:type="dxa"/>
            <w:vAlign w:val="center"/>
            <w:textDirection w:val="lrTb"/>
            <w:noWrap/>
          </w:tcPr>
          <w:p>
            <w:pPr>
              <w:jc w:val="center"/>
              <w:spacing w:line="360" w:lineRule="exact"/>
              <w:rPr>
                <w:rFonts w:ascii="宋体" w:hAnsi="宋体" w:cs="宋体"/>
                <w:b/>
                <w:sz w:val="24"/>
                <w:szCs w:val="24"/>
                <w:highlight w:val="none"/>
              </w:rPr>
            </w:pPr>
            <w:r>
              <w:rPr>
                <w:rFonts w:hint="eastAsia" w:ascii="宋体" w:hAnsi="宋体" w:eastAsia="宋体" w:cs="宋体"/>
                <w:color w:val="auto"/>
                <w:sz w:val="24"/>
                <w:szCs w:val="24"/>
                <w:highlight w:val="none"/>
                <w:lang w:eastAsia="zh-CN"/>
              </w:rPr>
              <w:t xml:space="preserve">盐城市综合档案馆</w:t>
            </w:r>
            <w:r/>
          </w:p>
        </w:tc>
        <w:tc>
          <w:tcPr>
            <w:tcW w:w="2942" w:type="dxa"/>
            <w:vAlign w:val="center"/>
            <w:textDirection w:val="lrTb"/>
            <w:noWrap/>
          </w:tcPr>
          <w:p>
            <w:pPr>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jc w:val="center"/>
          <w:trHeight w:val="886"/>
        </w:trPr>
        <w:tc>
          <w:tcPr>
            <w:tcW w:w="1236" w:type="dxa"/>
            <w:vAlign w:val="center"/>
            <w:textDirection w:val="lrTb"/>
            <w:noWrap/>
          </w:tcPr>
          <w:p>
            <w:pPr>
              <w:jc w:val="center"/>
              <w:spacing w:line="350" w:lineRule="exact"/>
              <w:rPr>
                <w:rFonts w:ascii="宋体" w:hAnsi="宋体" w:cs="宋体"/>
                <w:sz w:val="24"/>
                <w:szCs w:val="24"/>
                <w:highlight w:val="none"/>
              </w:rPr>
            </w:pPr>
            <w:r>
              <w:rPr>
                <w:rFonts w:hint="eastAsia" w:ascii="宋体" w:hAnsi="宋体" w:cs="宋体"/>
                <w:sz w:val="24"/>
                <w:szCs w:val="24"/>
                <w:highlight w:val="none"/>
              </w:rPr>
              <w:t xml:space="preserve">总面积</w:t>
            </w:r>
            <w:r/>
          </w:p>
        </w:tc>
        <w:tc>
          <w:tcPr>
            <w:tcW w:w="1973" w:type="dxa"/>
            <w:vAlign w:val="center"/>
            <w:textDirection w:val="lrTb"/>
            <w:noWrap/>
          </w:tcPr>
          <w:p>
            <w:pPr>
              <w:jc w:val="center"/>
              <w:spacing w:line="350" w:lineRule="exact"/>
              <w:rPr>
                <w:rFonts w:ascii="宋体" w:hAnsi="宋体" w:cs="宋体"/>
                <w:sz w:val="24"/>
                <w:szCs w:val="24"/>
                <w:highlight w:val="none"/>
              </w:rPr>
            </w:pPr>
            <w:r>
              <w:rPr>
                <w:rFonts w:hint="eastAsia" w:ascii="宋体" w:hAnsi="宋体" w:cs="宋体"/>
                <w:sz w:val="24"/>
                <w:szCs w:val="24"/>
                <w:highlight w:val="none"/>
              </w:rPr>
              <w:t xml:space="preserve">建筑面积（㎡）</w:t>
            </w:r>
            <w:r/>
          </w:p>
        </w:tc>
        <w:tc>
          <w:tcPr>
            <w:tcW w:w="2600" w:type="dxa"/>
            <w:vAlign w:val="center"/>
            <w:textDirection w:val="lrTb"/>
            <w:noWrap/>
          </w:tcPr>
          <w:p>
            <w:pPr>
              <w:jc w:val="center"/>
              <w:spacing w:line="36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95900</w:t>
            </w:r>
            <w:r>
              <w:rPr>
                <w:rFonts w:hint="eastAsia" w:ascii="宋体" w:hAnsi="宋体" w:cs="宋体"/>
                <w:sz w:val="24"/>
                <w:szCs w:val="24"/>
                <w:highlight w:val="none"/>
              </w:rPr>
              <w:t xml:space="preserve">㎡</w:t>
            </w:r>
            <w:r/>
          </w:p>
        </w:tc>
        <w:tc>
          <w:tcPr>
            <w:shd w:val="clear" w:color="auto" w:fill="auto"/>
            <w:tcW w:w="2942" w:type="dxa"/>
            <w:vAlign w:val="center"/>
            <w:textDirection w:val="lrTb"/>
            <w:noWrap/>
          </w:tcPr>
          <w:p>
            <w:pPr>
              <w:jc w:val="center"/>
              <w:spacing w:line="360" w:lineRule="exact"/>
              <w:rPr>
                <w:rFonts w:ascii="宋体" w:hAnsi="宋体" w:cs="宋体" w:eastAsiaTheme="minorEastAsia"/>
                <w:sz w:val="24"/>
                <w:szCs w:val="24"/>
                <w:highlight w:val="none"/>
                <w:lang w:val="en-US" w:eastAsia="zh-CN" w:bidi="ar-SA"/>
              </w:rPr>
            </w:pPr>
            <w:r>
              <w:rPr>
                <w:rFonts w:hint="eastAsia" w:ascii="宋体" w:hAnsi="宋体" w:cs="宋体"/>
                <w:sz w:val="24"/>
                <w:szCs w:val="24"/>
                <w:highlight w:val="none"/>
              </w:rPr>
              <w:t xml:space="preserve">见“</w:t>
            </w:r>
            <w:r>
              <w:rPr>
                <w:rFonts w:hint="eastAsia" w:ascii="宋体" w:hAnsi="宋体" w:cs="宋体"/>
                <w:sz w:val="24"/>
                <w:szCs w:val="24"/>
                <w:highlight w:val="none"/>
                <w:lang w:eastAsia="zh-CN"/>
              </w:rPr>
              <w:t xml:space="preserve">盐城市综合档案馆物业服务项目</w:t>
            </w:r>
            <w:r>
              <w:rPr>
                <w:rFonts w:hint="eastAsia" w:ascii="宋体" w:hAnsi="宋体" w:cs="宋体"/>
                <w:sz w:val="24"/>
                <w:szCs w:val="24"/>
                <w:highlight w:val="none"/>
              </w:rPr>
              <w:t xml:space="preserve">考核办法”</w:t>
            </w:r>
            <w:r/>
          </w:p>
        </w:tc>
      </w:tr>
    </w:tbl>
    <w:p>
      <w:pPr>
        <w:ind w:firstLine="482"/>
        <w:jc w:val="left"/>
        <w:spacing w:line="560" w:lineRule="exact"/>
        <w:widowControl/>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rPr>
        <w:t xml:space="preserve">物业管理服务内容及标准</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物业管理服务包括基本服务、</w:t>
      </w:r>
      <w:r>
        <w:rPr>
          <w:rFonts w:hint="eastAsia" w:ascii="宋体" w:hAnsi="宋体" w:eastAsia="宋体" w:cs="宋体"/>
          <w:color w:val="auto"/>
          <w:sz w:val="24"/>
          <w:highlight w:val="none"/>
          <w:lang w:val="en-US" w:eastAsia="zh-CN"/>
        </w:rPr>
        <w:t xml:space="preserve">安全保卫服务、保洁服务、消防监控值班服务、会议接待服务、房屋及设施设备维护服务、绿化养护服务</w:t>
      </w:r>
      <w:r>
        <w:rPr>
          <w:rFonts w:hint="eastAsia" w:ascii="宋体" w:hAnsi="宋体" w:eastAsia="宋体" w:cs="宋体"/>
          <w:color w:val="auto"/>
          <w:sz w:val="24"/>
          <w:highlight w:val="none"/>
        </w:rPr>
        <w:t xml:space="preserve">等。</w:t>
      </w:r>
      <w:r/>
    </w:p>
    <w:p>
      <w:pPr>
        <w:ind w:firstLine="482"/>
        <w:jc w:val="left"/>
        <w:spacing w:line="560" w:lineRule="exact"/>
        <w:widowControl/>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3.1基本服务</w:t>
      </w:r>
      <w:r/>
    </w:p>
    <w:tbl>
      <w:tblPr>
        <w:tblStyle w:val="873"/>
        <w:tblW w:w="4900"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382"/>
        <w:gridCol w:w="6473"/>
      </w:tblGrid>
      <w:tr>
        <w:trPr>
          <w:trHeight w:val="657"/>
        </w:trPr>
        <w:tc>
          <w:tcPr>
            <w:tcW w:w="825"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序号</w:t>
            </w:r>
            <w:r/>
          </w:p>
        </w:tc>
        <w:tc>
          <w:tcPr>
            <w:tcW w:w="1382"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服务内容</w:t>
            </w:r>
            <w:r/>
          </w:p>
        </w:tc>
        <w:tc>
          <w:tcPr>
            <w:tcW w:w="6473"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服务标准</w:t>
            </w:r>
            <w:r/>
          </w:p>
        </w:tc>
      </w:tr>
      <w:tr>
        <w:trPr>
          <w:trHeight w:val="454"/>
        </w:trPr>
        <w:tc>
          <w:tcPr>
            <w:tcW w:w="825" w:type="dxa"/>
            <w:vAlign w:val="center"/>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1</w:t>
            </w:r>
            <w:r/>
          </w:p>
        </w:tc>
        <w:tc>
          <w:tcPr>
            <w:tcW w:w="1382" w:type="dxa"/>
            <w:vAlign w:val="center"/>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目标与责任</w:t>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结合采购人要求及物业服务实际情况，制定年度管理目标，明确责任分工，并制定配套实施方案。</w:t>
            </w:r>
            <w:r/>
          </w:p>
        </w:tc>
      </w:tr>
      <w:tr>
        <w:trPr>
          <w:trHeight w:val="454"/>
        </w:trPr>
        <w:tc>
          <w:tcPr>
            <w:tcW w:w="825" w:type="dxa"/>
            <w:vAlign w:val="center"/>
            <w:textDirection w:val="lrTb"/>
            <w:noWrap/>
          </w:tcPr>
          <w:p>
            <w:pPr>
              <w:jc w:val="center"/>
              <w:spacing w:line="300" w:lineRule="auto"/>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c>
          <w:tcPr>
            <w:tcW w:w="1382" w:type="dxa"/>
            <w:vAlign w:val="center"/>
            <w:textDirection w:val="lrTb"/>
            <w:noWrap/>
          </w:tcPr>
          <w:p>
            <w:pPr>
              <w:jc w:val="center"/>
              <w:spacing w:line="300" w:lineRule="auto"/>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制度建设</w:t>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制定并严格执行各项管理制度，主要包括：人员录用制度、档案管理制度、物业服务管理制度、公用设施设备管理制度等；制定项目实施方案，主要包括：交接方案、人员培训方案、人员稳定性方案、保密方案等；制定物业服务方案，主要包括：房屋维护服务方案、公用设施设备维护服务方案、绿化服务方案、保洁服务方案、保安服务方案、会议服务方案等。</w:t>
            </w:r>
            <w:r/>
          </w:p>
        </w:tc>
      </w:tr>
      <w:tr>
        <w:trPr>
          <w:trHeight w:val="454"/>
        </w:trPr>
        <w:tc>
          <w:tcPr>
            <w:tcW w:w="825" w:type="dxa"/>
            <w:vAlign w:val="center"/>
            <w:vMerge w:val="restart"/>
            <w:textDirection w:val="lrTb"/>
            <w:noWrap/>
          </w:tcPr>
          <w:p>
            <w:pPr>
              <w:jc w:val="center"/>
              <w:spacing w:line="300" w:lineRule="auto"/>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3</w:t>
            </w:r>
            <w:r/>
          </w:p>
        </w:tc>
        <w:tc>
          <w:tcPr>
            <w:tcW w:w="1382"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服务人员要求</w:t>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（1）每季度至少开展1次岗位技能、职业素质、服务知识、客户文化、绿色节能环保等教育培训，并进行适当形式的考核。</w:t>
            </w:r>
            <w:r/>
          </w:p>
        </w:tc>
      </w:tr>
      <w:tr>
        <w:trPr>
          <w:trHeight w:val="454"/>
        </w:trPr>
        <w:tc>
          <w:tcPr>
            <w:tcW w:w="825" w:type="dxa"/>
            <w:vAlign w:val="center"/>
            <w:vMerge w:val="continue"/>
            <w:textDirection w:val="lrTb"/>
            <w:noWrap/>
          </w:tcPr>
          <w:p>
            <w:pPr>
              <w:jc w:val="center"/>
              <w:rPr>
                <w:rFonts w:ascii="宋体" w:hAnsi="宋体" w:cs="宋体"/>
                <w:sz w:val="24"/>
                <w:highlight w:val="none"/>
              </w:rPr>
            </w:pPr>
            <w:r>
              <w:rPr>
                <w:rFonts w:ascii="宋体" w:hAnsi="宋体" w:cs="宋体"/>
                <w:sz w:val="24"/>
                <w:highlight w:val="none"/>
              </w:rPr>
            </w:r>
            <w:r/>
          </w:p>
        </w:tc>
        <w:tc>
          <w:tcPr>
            <w:tcW w:w="1382" w:type="dxa"/>
            <w:vAlign w:val="center"/>
            <w:vMerge w:val="continue"/>
            <w:textDirection w:val="lrTb"/>
            <w:noWrap/>
          </w:tcPr>
          <w:p>
            <w:pPr>
              <w:jc w:val="center"/>
              <w:rPr>
                <w:rFonts w:ascii="宋体" w:hAnsi="宋体" w:cs="宋体"/>
                <w:sz w:val="24"/>
                <w:highlight w:val="none"/>
              </w:rPr>
            </w:pPr>
            <w:r>
              <w:rPr>
                <w:rFonts w:ascii="宋体" w:hAnsi="宋体" w:cs="宋体"/>
                <w:sz w:val="24"/>
                <w:highlight w:val="none"/>
              </w:rPr>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根据采购人要求对服务人员进行从业资格审查，审查结果向采购人报备；服务人员的年龄、学历、工作经验及资格条件应当与所在岗位能力要求相匹配，到岗前应当经过必要的岗前培训，国家、行业规定应当取得职业资格证书或特种作业证书的，应当按规定持证上岗。</w:t>
            </w:r>
            <w:r/>
          </w:p>
        </w:tc>
      </w:tr>
      <w:tr>
        <w:trPr>
          <w:trHeight w:val="454"/>
        </w:trPr>
        <w:tc>
          <w:tcPr>
            <w:tcW w:w="825" w:type="dxa"/>
            <w:vAlign w:val="center"/>
            <w:vMerge w:val="continue"/>
            <w:textDirection w:val="lrTb"/>
            <w:noWrap/>
          </w:tcPr>
          <w:p>
            <w:pPr>
              <w:jc w:val="center"/>
              <w:rPr>
                <w:rFonts w:ascii="宋体" w:hAnsi="宋体" w:cs="宋体"/>
                <w:sz w:val="24"/>
                <w:highlight w:val="none"/>
              </w:rPr>
            </w:pPr>
            <w:r>
              <w:rPr>
                <w:rFonts w:ascii="宋体" w:hAnsi="宋体" w:cs="宋体"/>
                <w:sz w:val="24"/>
                <w:highlight w:val="none"/>
              </w:rPr>
            </w:r>
            <w:r/>
          </w:p>
        </w:tc>
        <w:tc>
          <w:tcPr>
            <w:tcW w:w="1382" w:type="dxa"/>
            <w:vAlign w:val="center"/>
            <w:vMerge w:val="continue"/>
            <w:textDirection w:val="lrTb"/>
            <w:noWrap/>
          </w:tcPr>
          <w:p>
            <w:pPr>
              <w:jc w:val="center"/>
              <w:rPr>
                <w:rFonts w:ascii="宋体" w:hAnsi="宋体" w:cs="宋体"/>
                <w:sz w:val="24"/>
                <w:highlight w:val="none"/>
              </w:rPr>
            </w:pPr>
            <w:r>
              <w:rPr>
                <w:rFonts w:ascii="宋体" w:hAnsi="宋体" w:cs="宋体"/>
                <w:sz w:val="24"/>
                <w:highlight w:val="none"/>
              </w:rPr>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（3）服务人员着装分类统一、佩戴标识，仪容整洁、姿态端正、举止文明，用语文明礼貌、态度温和耐心。</w:t>
            </w:r>
            <w:r/>
          </w:p>
        </w:tc>
      </w:tr>
      <w:tr>
        <w:trPr>
          <w:trHeight w:val="454"/>
        </w:trPr>
        <w:tc>
          <w:tcPr>
            <w:tcW w:w="825" w:type="dxa"/>
            <w:vAlign w:val="center"/>
            <w:vMerge w:val="continue"/>
            <w:textDirection w:val="lrTb"/>
            <w:noWrap/>
          </w:tcPr>
          <w:p>
            <w:pPr>
              <w:jc w:val="center"/>
              <w:rPr>
                <w:rFonts w:ascii="宋体" w:hAnsi="宋体" w:cs="宋体"/>
                <w:sz w:val="24"/>
                <w:highlight w:val="none"/>
              </w:rPr>
            </w:pPr>
            <w:r>
              <w:rPr>
                <w:rFonts w:ascii="宋体" w:hAnsi="宋体" w:cs="宋体"/>
                <w:sz w:val="24"/>
                <w:highlight w:val="none"/>
              </w:rPr>
            </w:r>
            <w:r/>
          </w:p>
        </w:tc>
        <w:tc>
          <w:tcPr>
            <w:tcW w:w="1382" w:type="dxa"/>
            <w:vAlign w:val="center"/>
            <w:vMerge w:val="continue"/>
            <w:textDirection w:val="lrTb"/>
            <w:noWrap/>
          </w:tcPr>
          <w:p>
            <w:pPr>
              <w:jc w:val="center"/>
              <w:rPr>
                <w:rFonts w:ascii="宋体" w:hAnsi="宋体" w:cs="宋体"/>
                <w:sz w:val="24"/>
                <w:highlight w:val="none"/>
              </w:rPr>
            </w:pPr>
            <w:r>
              <w:rPr>
                <w:rFonts w:ascii="宋体" w:hAnsi="宋体" w:cs="宋体"/>
                <w:sz w:val="24"/>
                <w:highlight w:val="none"/>
              </w:rPr>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本项目服务人员不得在其他项目兼职。采购人认为服务人员不适应岗位要求或存在其他影响工作的，可要求供应商进行调换；因供应商原因对服务人员进行调换的，应当经采购人同意，更换比例不得超过本项目服务人员总数的20%。</w:t>
            </w:r>
            <w:r/>
          </w:p>
        </w:tc>
      </w:tr>
      <w:tr>
        <w:trPr>
          <w:trHeight w:val="454"/>
        </w:trPr>
        <w:tc>
          <w:tcPr>
            <w:tcW w:w="825" w:type="dxa"/>
            <w:vAlign w:val="center"/>
            <w:vMerge w:val="restart"/>
            <w:textDirection w:val="lrTb"/>
            <w:noWrap/>
          </w:tcPr>
          <w:p>
            <w:pPr>
              <w:jc w:val="center"/>
              <w:spacing w:line="300" w:lineRule="auto"/>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4</w:t>
            </w:r>
            <w:r/>
          </w:p>
        </w:tc>
        <w:tc>
          <w:tcPr>
            <w:tcW w:w="1382"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保密和思想政治教育</w:t>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（1）建立保密管理制度，遵守采购人的信息、档案资料保密要求，未经许可，不得将建筑物平面图等资料转作其他用途或向其他单位、个人提供。</w:t>
            </w:r>
            <w:r/>
          </w:p>
        </w:tc>
      </w:tr>
      <w:tr>
        <w:trPr>
          <w:trHeight w:val="454"/>
        </w:trPr>
        <w:tc>
          <w:tcPr>
            <w:tcW w:w="825" w:type="dxa"/>
            <w:vAlign w:val="center"/>
            <w:vMerge w:val="continue"/>
            <w:textDirection w:val="lrTb"/>
            <w:noWrap/>
          </w:tcPr>
          <w:p>
            <w:pPr>
              <w:jc w:val="center"/>
              <w:rPr>
                <w:rFonts w:ascii="宋体" w:hAnsi="宋体" w:cs="宋体"/>
                <w:sz w:val="24"/>
                <w:highlight w:val="none"/>
              </w:rPr>
            </w:pPr>
            <w:r>
              <w:rPr>
                <w:rFonts w:ascii="宋体" w:hAnsi="宋体" w:cs="宋体"/>
                <w:sz w:val="24"/>
                <w:highlight w:val="none"/>
              </w:rPr>
            </w:r>
            <w:r/>
          </w:p>
        </w:tc>
        <w:tc>
          <w:tcPr>
            <w:tcW w:w="1382" w:type="dxa"/>
            <w:vAlign w:val="center"/>
            <w:vMerge w:val="continue"/>
            <w:textDirection w:val="lrTb"/>
            <w:noWrap/>
          </w:tcPr>
          <w:p>
            <w:pPr>
              <w:jc w:val="center"/>
              <w:rPr>
                <w:rFonts w:ascii="宋体" w:hAnsi="宋体" w:cs="宋体"/>
                <w:sz w:val="24"/>
                <w:highlight w:val="none"/>
              </w:rPr>
            </w:pPr>
            <w:r>
              <w:rPr>
                <w:rFonts w:ascii="宋体" w:hAnsi="宋体" w:cs="宋体"/>
                <w:sz w:val="24"/>
                <w:highlight w:val="none"/>
              </w:rPr>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（2）每季度至少开展1次对服务人员的保密、思想政治教育培训；新入职员工应当接受保密、思想政治教育培训，经必要的人员经历审查，合格后签订保密协议方可上岗。</w:t>
            </w:r>
            <w:r/>
          </w:p>
        </w:tc>
      </w:tr>
      <w:tr>
        <w:trPr>
          <w:trHeight w:val="454"/>
        </w:trPr>
        <w:tc>
          <w:tcPr>
            <w:tcW w:w="825" w:type="dxa"/>
            <w:vAlign w:val="center"/>
            <w:vMerge w:val="continue"/>
            <w:textDirection w:val="lrTb"/>
            <w:noWrap/>
          </w:tcPr>
          <w:p>
            <w:pPr>
              <w:jc w:val="center"/>
              <w:rPr>
                <w:rFonts w:ascii="宋体" w:hAnsi="宋体" w:cs="宋体"/>
                <w:sz w:val="24"/>
                <w:highlight w:val="none"/>
              </w:rPr>
            </w:pPr>
            <w:r>
              <w:rPr>
                <w:rFonts w:ascii="宋体" w:hAnsi="宋体" w:cs="宋体"/>
                <w:sz w:val="24"/>
                <w:highlight w:val="none"/>
              </w:rPr>
            </w:r>
            <w:r/>
          </w:p>
        </w:tc>
        <w:tc>
          <w:tcPr>
            <w:tcW w:w="1382" w:type="dxa"/>
            <w:vAlign w:val="center"/>
            <w:vMerge w:val="continue"/>
            <w:textDirection w:val="lrTb"/>
            <w:noWrap/>
          </w:tcPr>
          <w:p>
            <w:pPr>
              <w:jc w:val="center"/>
              <w:rPr>
                <w:rFonts w:ascii="宋体" w:hAnsi="宋体" w:cs="宋体"/>
                <w:sz w:val="24"/>
                <w:highlight w:val="none"/>
              </w:rPr>
            </w:pPr>
            <w:r>
              <w:rPr>
                <w:rFonts w:ascii="宋体" w:hAnsi="宋体" w:cs="宋体"/>
                <w:sz w:val="24"/>
                <w:highlight w:val="none"/>
              </w:rPr>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（3）发现服务人员违法违规或重大过失的，及时报告采购人，并采取必要补救措施。</w:t>
            </w:r>
            <w:r/>
          </w:p>
        </w:tc>
      </w:tr>
      <w:tr>
        <w:trPr>
          <w:trHeight w:val="454"/>
        </w:trPr>
        <w:tc>
          <w:tcPr>
            <w:tcW w:w="825" w:type="dxa"/>
            <w:vAlign w:val="center"/>
            <w:vMerge w:val="restart"/>
            <w:textDirection w:val="lrTb"/>
            <w:noWrap/>
          </w:tcPr>
          <w:p>
            <w:pPr>
              <w:jc w:val="center"/>
              <w:spacing w:line="300" w:lineRule="auto"/>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5</w:t>
            </w:r>
            <w:r/>
          </w:p>
        </w:tc>
        <w:tc>
          <w:tcPr>
            <w:tcW w:w="1382"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档案管理</w:t>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（1）建立物业服务信息台账，准确、及时地对文件资料和服务记录进行归档保存，并确保其物理安全。</w:t>
            </w:r>
            <w:r/>
          </w:p>
        </w:tc>
      </w:tr>
      <w:tr>
        <w:trPr>
          <w:trHeight w:val="454"/>
        </w:trPr>
        <w:tc>
          <w:tcPr>
            <w:tcW w:w="825"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382"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档案和记录齐全，包括但不限于：采购人建议与投诉记录、教育培训和考核记录、保密及思想政治教育培训记录、房屋及设施设备台账与巡查维保记录、保安监控记录、突发事件演习与处置记录、保洁工作日志与清洁检查表、绿化养护与消杀记录、财务明细、合同协议、信报信息登记、大件物品进出登记等。</w:t>
            </w:r>
            <w:r/>
          </w:p>
        </w:tc>
      </w:tr>
      <w:tr>
        <w:trPr>
          <w:trHeight w:val="454"/>
        </w:trPr>
        <w:tc>
          <w:tcPr>
            <w:tcW w:w="825"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382"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（3）履约结束后，相关资料交还采购人，采购人按政府采购相关规定存档。</w:t>
            </w:r>
            <w:r/>
          </w:p>
        </w:tc>
      </w:tr>
      <w:tr>
        <w:trPr>
          <w:trHeight w:val="454"/>
        </w:trPr>
        <w:tc>
          <w:tcPr>
            <w:tcW w:w="825" w:type="dxa"/>
            <w:vAlign w:val="center"/>
            <w:textDirection w:val="lrTb"/>
            <w:noWrap/>
          </w:tcPr>
          <w:p>
            <w:pPr>
              <w:jc w:val="center"/>
              <w:spacing w:line="300" w:lineRule="auto"/>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6</w:t>
            </w:r>
            <w:r/>
          </w:p>
        </w:tc>
        <w:tc>
          <w:tcPr>
            <w:tcW w:w="1382" w:type="dxa"/>
            <w:vAlign w:val="center"/>
            <w:textDirection w:val="lrTb"/>
            <w:noWrap/>
          </w:tcPr>
          <w:p>
            <w:pPr>
              <w:jc w:val="center"/>
              <w:spacing w:line="300" w:lineRule="auto"/>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委托服务管理</w:t>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供应商如需将专项工作委托第三方实施的，应当合理控制委托服务人员数量和流动率，明确工作流程、安全管理责任和保密责任，签订安全管理责任书和保密责任书，开展服务检查和监管，评估服务效果，必要时进行服务流程调整。</w:t>
            </w:r>
            <w:r/>
          </w:p>
        </w:tc>
      </w:tr>
      <w:tr>
        <w:trPr>
          <w:trHeight w:val="454"/>
        </w:trPr>
        <w:tc>
          <w:tcPr>
            <w:tcW w:w="825" w:type="dxa"/>
            <w:vAlign w:val="center"/>
            <w:vMerge w:val="restart"/>
            <w:textDirection w:val="lrTb"/>
            <w:noWrap/>
          </w:tcPr>
          <w:p>
            <w:pPr>
              <w:jc w:val="center"/>
              <w:spacing w:line="300" w:lineRule="auto"/>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7</w:t>
            </w:r>
            <w:r/>
          </w:p>
        </w:tc>
        <w:tc>
          <w:tcPr>
            <w:tcW w:w="1382"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服务改进</w:t>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（1）明确负责人，定期对物业服务过程进行自查，结合反馈意见与评价结果采取改进措施，持续提升管理与服务水平。</w:t>
            </w:r>
            <w:r/>
          </w:p>
        </w:tc>
      </w:tr>
      <w:tr>
        <w:trPr>
          <w:trHeight w:val="454"/>
        </w:trPr>
        <w:tc>
          <w:tcPr>
            <w:tcW w:w="825"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382"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（2）对不合格服务进行控制，对不合格服务的原因进行识别和分析，及时采取纠正措施，消除不合格的原因，防止不合格服务再次发生。</w:t>
            </w:r>
            <w:r/>
          </w:p>
        </w:tc>
      </w:tr>
      <w:tr>
        <w:trPr>
          <w:trHeight w:val="454"/>
        </w:trPr>
        <w:tc>
          <w:tcPr>
            <w:tcW w:w="825" w:type="dxa"/>
            <w:vAlign w:val="center"/>
            <w:vMerge w:val="restart"/>
            <w:textDirection w:val="lrTb"/>
            <w:noWrap/>
          </w:tcPr>
          <w:p>
            <w:pPr>
              <w:jc w:val="center"/>
              <w:spacing w:line="300" w:lineRule="auto"/>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8</w:t>
            </w:r>
            <w:r/>
          </w:p>
        </w:tc>
        <w:tc>
          <w:tcPr>
            <w:tcW w:w="1382"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重大活动后勤保障</w:t>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（1）配合采购人制订重大活动后勤保障工作流程，详细了解任务内容，并根据工作安排制定详细的后勤保障计划。</w:t>
            </w:r>
            <w:r/>
          </w:p>
        </w:tc>
      </w:tr>
      <w:tr>
        <w:trPr>
          <w:trHeight w:val="625"/>
        </w:trPr>
        <w:tc>
          <w:tcPr>
            <w:tcW w:w="825"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382"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（2）按计划在关键区域和重点部位进行部署，对活动区域进行全面安全检查，发现并排除安全隐患；对车辆进行有序引导和管理，确保交通安全畅通，以礼貌、专业的态度对待来宾，展现良好形象。</w:t>
            </w:r>
            <w:r/>
          </w:p>
        </w:tc>
      </w:tr>
      <w:tr>
        <w:trPr>
          <w:trHeight w:val="625"/>
        </w:trPr>
        <w:tc>
          <w:tcPr>
            <w:tcW w:w="825"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382"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（3）活动结束后，对现场进行检查，做好清理收尾工作。</w:t>
            </w:r>
            <w:r/>
          </w:p>
        </w:tc>
      </w:tr>
      <w:tr>
        <w:trPr>
          <w:trHeight w:val="454"/>
        </w:trPr>
        <w:tc>
          <w:tcPr>
            <w:tcW w:w="825" w:type="dxa"/>
            <w:vAlign w:val="center"/>
            <w:textDirection w:val="lrTb"/>
            <w:noWrap/>
          </w:tcPr>
          <w:p>
            <w:pPr>
              <w:jc w:val="center"/>
              <w:spacing w:line="300" w:lineRule="auto"/>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9</w:t>
            </w:r>
            <w:r/>
          </w:p>
        </w:tc>
        <w:tc>
          <w:tcPr>
            <w:tcW w:w="1382" w:type="dxa"/>
            <w:vAlign w:val="center"/>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应急保障预案</w:t>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结合项目实际情况，对重点部位及危险隐患进行排查，建立清单台账，对危险隐患进行风险分析，制定相应措施进行控制或整改并定期监控；随着设施设备、服务内容的变化，及时更新清单台账，使风险隐患始终处于受控状态。</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（2）根据隐患排查结果和实际情况，制定专项应急预案，包括但不限于：火情火警紧急处理应急预案、紧急疏散应急预案、停水停电应急预案、恶劣天气应对应急预案等。</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（3）定期组织应急预案培训和演练，相关岗位每半年至少开展1次专项应急预案演练，留存培训及演练记录和影像资料，并对预案进行评价，确保与实际情况相结合。</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（4）根据专项预案的应对需要配备必要的应急物资，建立清单或台账，由专人定期检查，如有应急物资不足，及时通知采购人购置齐全，确保随时能够正常使用。</w:t>
            </w:r>
            <w:r/>
          </w:p>
        </w:tc>
      </w:tr>
      <w:tr>
        <w:trPr>
          <w:trHeight w:val="454"/>
        </w:trPr>
        <w:tc>
          <w:tcPr>
            <w:tcW w:w="825" w:type="dxa"/>
            <w:vAlign w:val="center"/>
            <w:textDirection w:val="lrTb"/>
            <w:noWrap/>
          </w:tcPr>
          <w:p>
            <w:pPr>
              <w:jc w:val="center"/>
              <w:spacing w:line="300" w:lineRule="auto"/>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10</w:t>
            </w:r>
            <w:r/>
          </w:p>
        </w:tc>
        <w:tc>
          <w:tcPr>
            <w:tcW w:w="1382" w:type="dxa"/>
            <w:vAlign w:val="center"/>
            <w:textDirection w:val="lrTb"/>
            <w:noWrap/>
          </w:tcPr>
          <w:p>
            <w:pPr>
              <w:jc w:val="center"/>
              <w:spacing w:line="300" w:lineRule="auto"/>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信报服务</w:t>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（1）对邮件、包裹和挂号信等进行正确分理、安全检查和防疫卫生检查，及时投送或通知收件人领取。</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（2）大件物品出入向采购人报告，待采购人确认无误后放行。</w:t>
            </w:r>
            <w:r/>
          </w:p>
        </w:tc>
      </w:tr>
      <w:tr>
        <w:trPr>
          <w:trHeight w:val="1786"/>
        </w:trPr>
        <w:tc>
          <w:tcPr>
            <w:tcW w:w="825" w:type="dxa"/>
            <w:vAlign w:val="center"/>
            <w:textDirection w:val="lrTb"/>
            <w:noWrap/>
          </w:tcPr>
          <w:p>
            <w:pPr>
              <w:jc w:val="center"/>
              <w:spacing w:line="300" w:lineRule="auto"/>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11</w:t>
            </w:r>
            <w:r/>
          </w:p>
        </w:tc>
        <w:tc>
          <w:tcPr>
            <w:tcW w:w="1382" w:type="dxa"/>
            <w:vAlign w:val="center"/>
            <w:textDirection w:val="lrTb"/>
            <w:noWrap/>
          </w:tcPr>
          <w:p>
            <w:pPr>
              <w:jc w:val="center"/>
              <w:spacing w:before="60" w:after="6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服务热线及紧急</w:t>
            </w:r>
            <w:r/>
          </w:p>
          <w:p>
            <w:pPr>
              <w:jc w:val="center"/>
              <w:spacing w:before="60" w:after="6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维修</w:t>
            </w:r>
            <w:r/>
          </w:p>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6473"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（1）设置24小时报修服务热线。</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（2）接到紧急维修通知后15分钟内到达现场，不间断维修直至修复。</w:t>
            </w:r>
            <w:r/>
          </w:p>
        </w:tc>
      </w:tr>
    </w:tbl>
    <w:p>
      <w:pPr>
        <w:ind w:firstLine="482"/>
        <w:jc w:val="left"/>
        <w:spacing w:line="56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3.2安全保卫服务</w:t>
      </w:r>
      <w:r/>
    </w:p>
    <w:tbl>
      <w:tblPr>
        <w:tblStyle w:val="873"/>
        <w:tblW w:w="4900"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425"/>
        <w:gridCol w:w="6451"/>
      </w:tblGrid>
      <w:tr>
        <w:trPr>
          <w:trHeight w:val="683"/>
        </w:trPr>
        <w:tc>
          <w:tcPr>
            <w:tcW w:w="803"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序号</w:t>
            </w:r>
            <w:r/>
          </w:p>
        </w:tc>
        <w:tc>
          <w:tcPr>
            <w:tcW w:w="1425"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服务内容</w:t>
            </w:r>
            <w:r/>
          </w:p>
        </w:tc>
        <w:tc>
          <w:tcPr>
            <w:tcW w:w="6451"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服务标准</w:t>
            </w:r>
            <w:r/>
          </w:p>
        </w:tc>
      </w:tr>
      <w:tr>
        <w:trPr>
          <w:trHeight w:val="454"/>
        </w:trPr>
        <w:tc>
          <w:tcPr>
            <w:tcW w:w="803" w:type="dxa"/>
            <w:vAlign w:val="center"/>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w:t>
            </w:r>
            <w:r/>
          </w:p>
        </w:tc>
        <w:tc>
          <w:tcPr>
            <w:tcW w:w="1425" w:type="dxa"/>
            <w:vAlign w:val="center"/>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基本要求</w:t>
            </w:r>
            <w:r/>
          </w:p>
        </w:tc>
        <w:tc>
          <w:tcPr>
            <w:tcW w:w="6451"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建立保安服务相关制度并严格执行；对巡查、值守及异常情况等做好相关记录，填写规范、保存完好；配备保安服务必要的器材。</w:t>
            </w:r>
            <w:r/>
          </w:p>
        </w:tc>
      </w:tr>
      <w:tr>
        <w:trPr>
          <w:trHeight w:val="1507"/>
        </w:trPr>
        <w:tc>
          <w:tcPr>
            <w:tcW w:w="803" w:type="dxa"/>
            <w:vAlign w:val="center"/>
            <w:vMerge w:val="restart"/>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w:t>
            </w:r>
            <w:r/>
          </w:p>
        </w:tc>
        <w:tc>
          <w:tcPr>
            <w:tcW w:w="1425" w:type="dxa"/>
            <w:vAlign w:val="center"/>
            <w:vMerge w:val="restart"/>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出入管理</w:t>
            </w:r>
            <w:r/>
          </w:p>
        </w:tc>
        <w:tc>
          <w:tcPr>
            <w:tcW w:w="6451"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临天山路侧主出入口：实行24小时值班值守，门岗配备固定电话和对讲机；区分访客和查档群众，指引好行进路线；做好外来车辆进出登记，引导车辆停放至指定位置，大型车辆或大型物件进入应及时向采购人报告，并派人全程跟踪；大件物品搬出须凭相关部门开具的证明和清单，经核实后放行。</w:t>
            </w:r>
            <w:r/>
          </w:p>
        </w:tc>
      </w:tr>
      <w:tr>
        <w:trPr>
          <w:trHeight w:val="1095"/>
        </w:trPr>
        <w:tc>
          <w:tcPr>
            <w:tcW w:w="803" w:type="dxa"/>
            <w:vAlign w:val="center"/>
            <w:vMerge w:val="continue"/>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1425" w:type="dxa"/>
            <w:vAlign w:val="center"/>
            <w:vMerge w:val="continue"/>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6451"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（2）排查可疑人员，严防违禁品（包括毒品、军火弹药、管制刀具、易燃易爆品等）、限带品（包括动物、任何未经授权的专业摄影设备、无人机等）进入馆区。</w:t>
            </w:r>
            <w:r/>
          </w:p>
        </w:tc>
      </w:tr>
      <w:tr>
        <w:trPr>
          <w:trHeight w:val="90"/>
        </w:trPr>
        <w:tc>
          <w:tcPr>
            <w:tcW w:w="803" w:type="dxa"/>
            <w:vAlign w:val="center"/>
            <w:vMerge w:val="continue"/>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1425" w:type="dxa"/>
            <w:vAlign w:val="center"/>
            <w:vMerge w:val="continue"/>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6451"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（3）配合相关部门积极疏导上访人员，有效处置出入口人群集聚、车辆拥堵、货物堵塞道路等情况。</w:t>
            </w:r>
            <w:r/>
          </w:p>
        </w:tc>
      </w:tr>
      <w:tr>
        <w:trPr>
          <w:trHeight w:val="454"/>
        </w:trPr>
        <w:tc>
          <w:tcPr>
            <w:tcW w:w="803" w:type="dxa"/>
            <w:vAlign w:val="center"/>
            <w:vMerge w:val="continue"/>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1425" w:type="dxa"/>
            <w:vAlign w:val="center"/>
            <w:vMerge w:val="continue"/>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6451"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办公区门厅：做好访客登记，与被访人联系核实，告知被访人办公室门牌号及访客注意事项；对来访人员咨询、建议、求助等事项及时处理或答复，处理和答复率100%；物品摆放整齐有序、分类放置；严禁无关人员、可疑人员和危险物品进入办公区，对不出示证件、不按规定登记、不听劝阻而强行闯入者，及时劝离，必要时通知公安机关处理。</w:t>
            </w:r>
            <w:r/>
          </w:p>
        </w:tc>
      </w:tr>
      <w:tr>
        <w:trPr>
          <w:trHeight w:val="454"/>
        </w:trPr>
        <w:tc>
          <w:tcPr>
            <w:tcW w:w="803" w:type="dxa"/>
            <w:vAlign w:val="center"/>
            <w:vMerge w:val="restart"/>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w:t>
            </w:r>
            <w:r/>
          </w:p>
        </w:tc>
        <w:tc>
          <w:tcPr>
            <w:tcW w:w="1425" w:type="dxa"/>
            <w:vAlign w:val="center"/>
            <w:vMerge w:val="restart"/>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值班巡查</w:t>
            </w:r>
            <w:r/>
          </w:p>
        </w:tc>
        <w:tc>
          <w:tcPr>
            <w:tcW w:w="6451"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（1）建立24小时值班巡查制度，制定巡查路线，按照指定时间和路线执行，加强重点区域、重点部位及装修区域、人防车库的巡查，每日巡察不少于3次，确保巡查不留盲区。</w:t>
            </w:r>
            <w:r/>
          </w:p>
        </w:tc>
      </w:tr>
      <w:tr>
        <w:trPr>
          <w:trHeight w:val="454"/>
        </w:trPr>
        <w:tc>
          <w:tcPr>
            <w:tcW w:w="803" w:type="dxa"/>
            <w:vAlign w:val="center"/>
            <w:vMerge w:val="continue"/>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1425" w:type="dxa"/>
            <w:vAlign w:val="center"/>
            <w:vMerge w:val="continue"/>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6451"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（2）巡查期间保持通信设施设备畅通，遇到异常情况立即上报并在现场采取相应措施；收到监控室指令后，巡查人员及时到达指定地点并迅速采取相应措施。</w:t>
            </w:r>
            <w:r/>
          </w:p>
        </w:tc>
      </w:tr>
      <w:tr>
        <w:trPr>
          <w:trHeight w:val="454"/>
        </w:trPr>
        <w:tc>
          <w:tcPr>
            <w:tcW w:w="803" w:type="dxa"/>
            <w:vAlign w:val="center"/>
            <w:vMerge w:val="restart"/>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w:t>
            </w:r>
            <w:r/>
          </w:p>
        </w:tc>
        <w:tc>
          <w:tcPr>
            <w:tcW w:w="1425" w:type="dxa"/>
            <w:vAlign w:val="center"/>
            <w:vMerge w:val="restart"/>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车辆停放</w:t>
            </w:r>
            <w:r/>
          </w:p>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6451"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（1）车辆行驶路线设置合理、规范，导向标志完整、清晰；合理规划车辆停放区域，张贴车辆引导标识，对车辆及停放区域实行规范管理。</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6451"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（2）严禁在办公楼的公用走道、楼梯间、安全出口处等公共区域停放车辆或充电；非机动车定点有序停放。</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6451"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（3）发现车辆异常情况及时通知车主，并做好登记；发生交通事故、自然灾害等意外事故时，及时赶赴现场疏导和协助处理，响应时间不超过3分钟。</w:t>
            </w:r>
            <w:r/>
          </w:p>
        </w:tc>
      </w:tr>
      <w:tr>
        <w:trPr>
          <w:trHeight w:val="532"/>
        </w:trPr>
        <w:tc>
          <w:tcPr>
            <w:tcW w:w="803" w:type="dxa"/>
            <w:vAlign w:val="center"/>
            <w:vMerge w:val="restart"/>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5</w:t>
            </w:r>
            <w:r/>
          </w:p>
        </w:tc>
        <w:tc>
          <w:tcPr>
            <w:tcW w:w="1425" w:type="dxa"/>
            <w:vAlign w:val="center"/>
            <w:vMerge w:val="restart"/>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消防安全管理</w:t>
            </w:r>
            <w:r/>
          </w:p>
        </w:tc>
        <w:tc>
          <w:tcPr>
            <w:tcW w:w="6451"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（1）建立消防安全责任制，确定各级消防安全责任人及其职责；消火栓、应急照明、应急物资、消防及人员逃生通道、消防车通道保持随时可正常使用。</w:t>
            </w:r>
            <w:r/>
          </w:p>
        </w:tc>
      </w:tr>
      <w:tr>
        <w:trPr>
          <w:trHeight w:val="418"/>
        </w:trPr>
        <w:tc>
          <w:tcPr>
            <w:tcW w:w="803" w:type="dxa"/>
            <w:vAlign w:val="center"/>
            <w:vMerge w:val="continue"/>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1425" w:type="dxa"/>
            <w:vAlign w:val="center"/>
            <w:vMerge w:val="continue"/>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6451"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（2）定期组织消防安全宣传，每年至少开展1次消防演练；消防控制室24小时值班值守按本部分"（四）消防监控值班服务"执行。</w:t>
            </w:r>
            <w:r/>
          </w:p>
        </w:tc>
      </w:tr>
      <w:tr>
        <w:trPr>
          <w:trHeight w:val="418"/>
        </w:trPr>
        <w:tc>
          <w:tcPr>
            <w:tcW w:w="803" w:type="dxa"/>
            <w:vAlign w:val="center"/>
            <w:vMerge w:val="restart"/>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6</w:t>
            </w:r>
            <w:r/>
          </w:p>
        </w:tc>
        <w:tc>
          <w:tcPr>
            <w:tcW w:w="1425" w:type="dxa"/>
            <w:vAlign w:val="center"/>
            <w:vMerge w:val="restart"/>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突发事件处理</w:t>
            </w:r>
            <w:r/>
          </w:p>
        </w:tc>
        <w:tc>
          <w:tcPr>
            <w:tcW w:w="6451"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（1）制定突发事件安全责任书，明确突发事件责任人及应承担的安全责任；建立应急突发事件处置队伍，明确各自职责。</w:t>
            </w:r>
            <w:r/>
          </w:p>
        </w:tc>
      </w:tr>
      <w:tr>
        <w:trPr>
          <w:trHeight w:val="418"/>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spacing w:line="300" w:lineRule="auto"/>
              <w:widowControl/>
              <w:rPr>
                <w:rFonts w:ascii="宋体" w:hAnsi="宋体" w:cs="宋体"/>
                <w:sz w:val="24"/>
                <w:highlight w:val="none"/>
              </w:rPr>
            </w:pPr>
            <w:r>
              <w:rPr>
                <w:rFonts w:ascii="宋体" w:hAnsi="宋体" w:cs="宋体"/>
                <w:sz w:val="24"/>
                <w:highlight w:val="none"/>
              </w:rPr>
            </w:r>
            <w:r/>
          </w:p>
        </w:tc>
        <w:tc>
          <w:tcPr>
            <w:tcW w:w="6451"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（2）识别、分析各种潜在风险，针对不同风险类型制定相应解决方案，并配备应急物资；每年至少开展1次突发事件应急演练，并有相应记录。</w:t>
            </w:r>
            <w:r/>
          </w:p>
        </w:tc>
      </w:tr>
      <w:tr>
        <w:trPr>
          <w:trHeight w:val="418"/>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spacing w:line="300" w:lineRule="auto"/>
              <w:widowControl/>
              <w:rPr>
                <w:rFonts w:ascii="宋体" w:hAnsi="宋体" w:cs="宋体"/>
                <w:sz w:val="24"/>
                <w:highlight w:val="none"/>
              </w:rPr>
            </w:pPr>
            <w:r>
              <w:rPr>
                <w:rFonts w:ascii="宋体" w:hAnsi="宋体" w:cs="宋体"/>
                <w:sz w:val="24"/>
                <w:highlight w:val="none"/>
              </w:rPr>
            </w:r>
            <w:r/>
          </w:p>
        </w:tc>
        <w:tc>
          <w:tcPr>
            <w:tcW w:w="6451"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（3）发生意外事件时，及时采取应急措施，维护馆区正常服务秩序，保护人身财产安全；事故处理后，及时形成事故应急总结报告，完善应急救援工作方案。</w:t>
            </w:r>
            <w:r/>
          </w:p>
        </w:tc>
      </w:tr>
      <w:tr>
        <w:trPr>
          <w:trHeight w:val="418"/>
        </w:trPr>
        <w:tc>
          <w:tcPr>
            <w:tcW w:w="803" w:type="dxa"/>
            <w:vAlign w:val="center"/>
            <w:vMerge w:val="restart"/>
            <w:textDirection w:val="lrTb"/>
            <w:noWrap/>
          </w:tcPr>
          <w:p>
            <w:pPr>
              <w:jc w:val="center"/>
              <w:spacing w:line="300" w:lineRule="auto"/>
              <w:widowControl/>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7</w:t>
            </w:r>
            <w:r/>
          </w:p>
        </w:tc>
        <w:tc>
          <w:tcPr>
            <w:tcW w:w="1425" w:type="dxa"/>
            <w:vAlign w:val="center"/>
            <w:vMerge w:val="restart"/>
            <w:textDirection w:val="lrTb"/>
            <w:noWrap/>
          </w:tcPr>
          <w:p>
            <w:pPr>
              <w:jc w:val="center"/>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大型活动</w:t>
            </w:r>
            <w:r/>
          </w:p>
          <w:p>
            <w:pPr>
              <w:jc w:val="center"/>
              <w:spacing w:line="300" w:lineRule="auto"/>
              <w:widowControl/>
              <w:rPr>
                <w:rFonts w:ascii="宋体" w:hAnsi="宋体" w:cs="宋体"/>
                <w:sz w:val="24"/>
                <w:highlight w:val="none"/>
              </w:rPr>
            </w:pPr>
            <w:r>
              <w:rPr>
                <w:rFonts w:hint="eastAsia" w:ascii="宋体" w:hAnsi="宋体" w:eastAsia="宋体" w:cs="宋体"/>
                <w:color w:val="auto"/>
                <w:sz w:val="24"/>
                <w:szCs w:val="24"/>
                <w:highlight w:val="none"/>
              </w:rPr>
              <w:t xml:space="preserve">秩序</w:t>
            </w:r>
            <w:r/>
          </w:p>
        </w:tc>
        <w:tc>
          <w:tcPr>
            <w:tcW w:w="6451"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（1）制定相应的活动秩序维护方案，合理安排人员，对场所的安全隐患进行排查；保障通道、出入口、停车场等区域畅通。</w:t>
            </w:r>
            <w:r/>
          </w:p>
        </w:tc>
      </w:tr>
      <w:tr>
        <w:trPr>
          <w:trHeight w:val="418"/>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spacing w:line="300" w:lineRule="auto"/>
              <w:widowControl/>
              <w:rPr>
                <w:rFonts w:ascii="宋体" w:hAnsi="宋体" w:cs="宋体"/>
                <w:sz w:val="24"/>
                <w:highlight w:val="none"/>
              </w:rPr>
            </w:pPr>
            <w:r>
              <w:rPr>
                <w:rFonts w:ascii="宋体" w:hAnsi="宋体" w:cs="宋体"/>
                <w:sz w:val="24"/>
                <w:highlight w:val="none"/>
              </w:rPr>
            </w:r>
            <w:r/>
          </w:p>
        </w:tc>
        <w:tc>
          <w:tcPr>
            <w:tcW w:w="6451"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（2）活动举办过程中，做好现场秩序的维护和突发事故的处置工作，确保活动正常进行。</w:t>
            </w:r>
            <w:r/>
          </w:p>
        </w:tc>
      </w:tr>
    </w:tbl>
    <w:p>
      <w:pPr>
        <w:ind w:firstLine="482"/>
        <w:jc w:val="left"/>
        <w:spacing w:line="56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3.3保洁服务</w:t>
      </w:r>
      <w:r/>
    </w:p>
    <w:tbl>
      <w:tblPr>
        <w:tblStyle w:val="873"/>
        <w:tblW w:w="4857"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425"/>
        <w:gridCol w:w="6375"/>
      </w:tblGrid>
      <w:tr>
        <w:trPr>
          <w:trHeight w:val="667"/>
        </w:trPr>
        <w:tc>
          <w:tcPr>
            <w:tcW w:w="803"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序号</w:t>
            </w:r>
            <w:r/>
          </w:p>
        </w:tc>
        <w:tc>
          <w:tcPr>
            <w:tcW w:w="1425"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服务内容</w:t>
            </w:r>
            <w:r/>
          </w:p>
        </w:tc>
        <w:tc>
          <w:tcPr>
            <w:tcW w:w="6375"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服务标准</w:t>
            </w:r>
            <w:r/>
          </w:p>
        </w:tc>
      </w:tr>
      <w:tr>
        <w:trPr>
          <w:trHeight w:val="454"/>
        </w:trPr>
        <w:tc>
          <w:tcPr>
            <w:tcW w:w="803"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1</w:t>
            </w:r>
            <w:r/>
          </w:p>
        </w:tc>
        <w:tc>
          <w:tcPr>
            <w:tcW w:w="1425"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基本要求</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（1）建立保洁服务的工作制度及工作计划，并按照执行；做好保洁服务工作记录，记录填写规范、保存完好。</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（2）作业时采取安全防护措施，防止对作业人员或他人造成伤害；相关耗材的环保、安全性等应当符合国家相关规定要求；进入保密区域时，有采购人相关人员全程在场。</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具体清洁要求：瓷砖地面、水磨石地面每日清洁，保持地面干净无杂物，必要时使用洗洁精或肥皂水深度清理；石材地面根据实际制定保养计划，使用中性清洁剂清洁，定期进行基础维护；内墙有污渍时用半干布擦拭。</w:t>
            </w:r>
            <w:r/>
          </w:p>
        </w:tc>
      </w:tr>
      <w:tr>
        <w:trPr>
          <w:trHeight w:val="1507"/>
        </w:trPr>
        <w:tc>
          <w:tcPr>
            <w:tcW w:w="803"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2</w:t>
            </w:r>
            <w:r/>
          </w:p>
        </w:tc>
        <w:tc>
          <w:tcPr>
            <w:tcW w:w="1425"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办公用房区域保洁</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大厅、楼内公共通道保持干净，无异味、无杂物、无积水，D1办公楼、A2门厅每日至少开展1次清洁作业；B楼等无人办公区每月至少开展1次清洁作业；报告厅、会议室按需打扫；门窗玻璃干净无尘、透光性好，每周至少开展1次清洁作业；指示牌干净无污渍，每日至少开展1次清洁作业。</w:t>
            </w:r>
            <w:r/>
          </w:p>
        </w:tc>
      </w:tr>
      <w:tr>
        <w:trPr>
          <w:trHeight w:val="1095"/>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（2）配电箱、设备机房、会议室音视频设备、消防栓及开关插座等保持表面干净，无尘无污迹，每月至少开展1次清洁作业；监控摄像头、门禁系统等表面光亮，无尘、无斑点，每月至少开展1次清洁作业。</w:t>
            </w:r>
            <w:r/>
          </w:p>
        </w:tc>
      </w:tr>
      <w:tr>
        <w:trPr>
          <w:trHeight w:val="90"/>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（3）楼梯及楼梯间、开水间、作业工具间保持干净，无异味、无杂物、无积水，每日至少开展1次清洁作业；作业工具摆放整齐有序，表面干净无渍，每日消毒。</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（4）公共卫生间保持干净、无异味，垃圾无溢出，每日至少开展1次清洁作业，及时补充厕纸、擦手纸等必要用品。</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（5）电梯轿厢保持干净，无污渍、无粘贴物、无异味，每日至少开展1次清洁作业，灯具、操作指示板明亮；平台、屋顶、天沟保持干净，有杂物及时清扫，每月至少开展1次清洁作业。</w:t>
            </w:r>
            <w:r/>
          </w:p>
        </w:tc>
      </w:tr>
      <w:tr>
        <w:trPr>
          <w:trHeight w:val="416"/>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（6）石材地面、内墙做好养护工作，每季度开展1次清洁作业。</w:t>
            </w:r>
            <w:r/>
          </w:p>
        </w:tc>
      </w:tr>
      <w:tr>
        <w:trPr>
          <w:trHeight w:val="1107"/>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（7）地库区域，保洁人员需日常巡查，每月至少开展1次深度清洁作业，确保地库无垃圾堆积、无粪便。</w:t>
            </w:r>
            <w:r/>
          </w:p>
        </w:tc>
      </w:tr>
      <w:tr>
        <w:trPr>
          <w:trHeight w:val="454"/>
        </w:trPr>
        <w:tc>
          <w:tcPr>
            <w:tcW w:w="803"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3</w:t>
            </w:r>
            <w:r/>
          </w:p>
        </w:tc>
        <w:tc>
          <w:tcPr>
            <w:tcW w:w="1425"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公共场地区域保洁</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（1）每日清扫道路地面、停车场等公共区域2次，保持干净、无杂物、无积水；雪、冰冻等恶劣天气时及时清扫积水、积雪，并采取安全防护措施。</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（2）各种路标、宣传栏等保持干净，每月至少开展1次清洁作业；室外照明设备每月至少开展1次清洁作业。</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（3）绿地内无杂物、无改变用途和破坏、践踏、占用现象，每天至少开展1次巡查；水池河道水面定期清理，无枯枝落叶、水质清洁。</w:t>
            </w:r>
            <w:r/>
          </w:p>
        </w:tc>
      </w:tr>
      <w:tr>
        <w:trPr>
          <w:trHeight w:val="454"/>
        </w:trPr>
        <w:tc>
          <w:tcPr>
            <w:tcW w:w="803"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4</w:t>
            </w:r>
            <w:r/>
          </w:p>
        </w:tc>
        <w:tc>
          <w:tcPr>
            <w:tcW w:w="1425"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垃圾处理</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（1）在指定位置摆放分类垃圾桶，并在显著处张贴垃圾分类标识；桶身表面干净无污渍，每日至少开展1次清洁作业。</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（2）做好垃圾分类管理的宣传工作，督促并引导全员参与垃圾分类投放；每个工作日内对楼层产生的垃圾进行清理分类，并运至垃圾集中堆放点。</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（3）垃圾集中堆放点保持整洁、无明显异味，每日至少开展1次清洁作业；垃圾日产日清，交由规范的渠道回收处理。</w:t>
            </w:r>
            <w:r/>
          </w:p>
        </w:tc>
      </w:tr>
      <w:tr>
        <w:trPr>
          <w:trHeight w:val="544"/>
        </w:trPr>
        <w:tc>
          <w:tcPr>
            <w:tcW w:w="803"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5</w:t>
            </w:r>
            <w:r/>
          </w:p>
        </w:tc>
        <w:tc>
          <w:tcPr>
            <w:tcW w:w="1425"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eastAsia="宋体" w:cs="宋体"/>
                <w:color w:val="auto"/>
                <w:sz w:val="24"/>
                <w:szCs w:val="24"/>
                <w:highlight w:val="none"/>
              </w:rPr>
              <w:t xml:space="preserve">卫生消毒</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（1）对办公用房区域、公共场所区域和周围环境开展预防性卫生消毒，消毒后及时通风，每周至少开展1次作业。</w:t>
            </w:r>
            <w:r/>
            <w:r>
              <w:rPr>
                <w:rFonts w:hint="eastAsia" w:ascii="宋体" w:hAnsi="宋体" w:eastAsia="宋体" w:cs="宋体"/>
                <w:color w:val="auto"/>
                <w:sz w:val="24"/>
                <w:highlight w:val="none"/>
                <w:lang w:val="en-US" w:eastAsia="zh-CN"/>
              </w:rPr>
            </w:r>
            <w:r/>
            <w:r>
              <w:rPr>
                <w:rFonts w:hint="eastAsia" w:ascii="宋体" w:hAnsi="宋体" w:eastAsia="宋体" w:cs="宋体"/>
                <w:color w:val="auto"/>
                <w:sz w:val="24"/>
                <w:highlight w:val="none"/>
                <w:lang w:val="en-US" w:eastAsia="zh-CN"/>
              </w:rPr>
            </w:r>
          </w:p>
        </w:tc>
      </w:tr>
      <w:tr>
        <w:trPr>
          <w:trHeight w:val="418"/>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（2）采取综合措施消灭老鼠、蟑螂，控制室内外蚊虫孳生，达到基本无蝇，每季度至少开展1次作业；发生公共卫生事件时，邀请专业单位开展消毒、检测等工作。</w:t>
            </w:r>
            <w:r/>
          </w:p>
        </w:tc>
      </w:tr>
    </w:tbl>
    <w:p>
      <w:pPr>
        <w:ind w:firstLine="482"/>
        <w:jc w:val="left"/>
        <w:spacing w:line="56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3.4消防监控值班服务</w:t>
      </w:r>
      <w:r/>
    </w:p>
    <w:tbl>
      <w:tblPr>
        <w:tblStyle w:val="873"/>
        <w:tblW w:w="4857"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425"/>
        <w:gridCol w:w="6375"/>
      </w:tblGrid>
      <w:tr>
        <w:trPr>
          <w:trHeight w:val="612"/>
        </w:trPr>
        <w:tc>
          <w:tcPr>
            <w:tcW w:w="803"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序号</w:t>
            </w:r>
            <w:r/>
          </w:p>
        </w:tc>
        <w:tc>
          <w:tcPr>
            <w:tcW w:w="1425"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服务内容</w:t>
            </w:r>
            <w:r/>
          </w:p>
        </w:tc>
        <w:tc>
          <w:tcPr>
            <w:tcW w:w="6375"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服务标准</w:t>
            </w:r>
            <w:r/>
          </w:p>
        </w:tc>
      </w:tr>
      <w:tr>
        <w:trPr>
          <w:trHeight w:val="454"/>
        </w:trPr>
        <w:tc>
          <w:tcPr>
            <w:tcW w:w="803" w:type="dxa"/>
            <w:vAlign w:val="center"/>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1</w:t>
            </w:r>
            <w:r/>
          </w:p>
        </w:tc>
        <w:tc>
          <w:tcPr>
            <w:tcW w:w="1425" w:type="dxa"/>
            <w:vAlign w:val="center"/>
            <w:textDirection w:val="lrTb"/>
            <w:noWrap/>
          </w:tcPr>
          <w:p>
            <w:pPr>
              <w:jc w:val="center"/>
              <w:spacing w:line="300" w:lineRule="auto"/>
              <w:widowControl/>
              <w:rPr>
                <w:rFonts w:ascii="宋体" w:hAnsi="宋体" w:cs="宋体"/>
                <w:sz w:val="24"/>
                <w:highlight w:val="none"/>
              </w:rPr>
            </w:pPr>
            <w:r>
              <w:rPr>
                <w:rFonts w:hint="eastAsia" w:ascii="宋体" w:hAnsi="宋体" w:eastAsia="宋体" w:cs="宋体"/>
                <w:color w:val="auto"/>
                <w:sz w:val="24"/>
                <w:szCs w:val="24"/>
                <w:highlight w:val="none"/>
              </w:rPr>
              <w:t xml:space="preserve">值班制度</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严格执行消防控制室24小时持证上岗值班制度，值班人员不得擅自离岗，遵守操作规程和保密制度。</w:t>
            </w:r>
            <w:r/>
          </w:p>
        </w:tc>
      </w:tr>
      <w:tr>
        <w:trPr>
          <w:trHeight w:val="90"/>
        </w:trPr>
        <w:tc>
          <w:tcPr>
            <w:tcW w:w="803"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2</w:t>
            </w:r>
            <w:r/>
          </w:p>
        </w:tc>
        <w:tc>
          <w:tcPr>
            <w:tcW w:w="1425"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eastAsia="宋体" w:cs="宋体"/>
                <w:color w:val="auto"/>
                <w:sz w:val="24"/>
                <w:szCs w:val="24"/>
                <w:highlight w:val="none"/>
              </w:rPr>
              <w:t xml:space="preserve">运行监控</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（1）负责消防设施设备运行状态监控，消防监控系统运行良好，自动和手动报警设施启动正常。</w:t>
            </w:r>
            <w:r/>
          </w:p>
        </w:tc>
      </w:tr>
      <w:tr>
        <w:trPr>
          <w:trHeight w:val="1095"/>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（2）及时处理火灾报警信号和预警信息，确认警情后立即按规程处置并报告，同时通知相关人员赶赴现场处理；收到火情等报警信号或其他异常情况信号后，及时报警并安排安保人员前往现场处置。</w:t>
            </w:r>
            <w:r/>
          </w:p>
        </w:tc>
      </w:tr>
      <w:tr>
        <w:trPr>
          <w:trHeight w:val="454"/>
        </w:trPr>
        <w:tc>
          <w:tcPr>
            <w:tcW w:w="803"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3</w:t>
            </w:r>
            <w:r/>
          </w:p>
        </w:tc>
        <w:tc>
          <w:tcPr>
            <w:tcW w:w="1425"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eastAsia="宋体" w:cs="宋体"/>
                <w:color w:val="auto"/>
                <w:sz w:val="24"/>
                <w:szCs w:val="24"/>
                <w:highlight w:val="none"/>
              </w:rPr>
              <w:t xml:space="preserve">巡查与记录</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（1）做好消防系统日常巡查与记录，定期检查消火栓箱、防火门、灭火器、消防水泵、应急照明、安全疏散等设施设备运行情况，确保完好有效；发现故障或隐患，及时报告采购人。</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（2）消防设施平面图、火警疏散示意图、防火分区图等按幢设置在楼层醒目位置；各设施设备使用说明清晰，宜图文结合。</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（3）值班、巡查记录填写规范、保存完好。</w:t>
            </w:r>
            <w:r/>
          </w:p>
        </w:tc>
      </w:tr>
      <w:tr>
        <w:trPr>
          <w:trHeight w:val="454"/>
        </w:trPr>
        <w:tc>
          <w:tcPr>
            <w:tcW w:w="803" w:type="dxa"/>
            <w:vAlign w:val="center"/>
            <w:vMerge w:val="restart"/>
            <w:textDirection w:val="lrTb"/>
            <w:noWrap/>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4</w:t>
            </w:r>
            <w:r/>
          </w:p>
        </w:tc>
        <w:tc>
          <w:tcPr>
            <w:tcW w:w="1425" w:type="dxa"/>
            <w:vAlign w:val="center"/>
            <w:vMerge w:val="restart"/>
            <w:textDirection w:val="lrTb"/>
            <w:noWrap/>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监控值守</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（1）监控设备24小时正常运行，监控室实行专人24小时值班制度；监控记录画面清晰，视频监控无死角、无盲区。</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（2）监控记录保持完整，保存时间不应少于90天；无关人员进入监控室或查阅监控记录，须经授权人批准并做好相关记录。</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（3）定期对监控系统进行检查和检测，确保系统功能正常，有故障及时排除。</w:t>
            </w:r>
            <w:r/>
          </w:p>
        </w:tc>
      </w:tr>
      <w:tr>
        <w:trPr>
          <w:trHeight w:val="532"/>
        </w:trPr>
        <w:tc>
          <w:tcPr>
            <w:tcW w:w="803" w:type="dxa"/>
            <w:vAlign w:val="center"/>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5</w:t>
            </w:r>
            <w:r/>
          </w:p>
        </w:tc>
        <w:tc>
          <w:tcPr>
            <w:tcW w:w="1425" w:type="dxa"/>
            <w:vAlign w:val="center"/>
            <w:textDirection w:val="lrTb"/>
            <w:noWrap/>
          </w:tcPr>
          <w:p>
            <w:pPr>
              <w:jc w:val="center"/>
              <w:spacing w:line="300" w:lineRule="auto"/>
              <w:widowControl/>
              <w:rPr>
                <w:rFonts w:ascii="宋体" w:hAnsi="宋体" w:cs="宋体"/>
                <w:sz w:val="24"/>
                <w:highlight w:val="none"/>
              </w:rPr>
            </w:pPr>
            <w:r>
              <w:rPr>
                <w:rFonts w:hint="eastAsia" w:ascii="宋体" w:hAnsi="宋体" w:eastAsia="宋体" w:cs="宋体"/>
                <w:color w:val="auto"/>
                <w:sz w:val="24"/>
                <w:szCs w:val="24"/>
                <w:highlight w:val="none"/>
              </w:rPr>
              <w:t xml:space="preserve">消防宣传与设施维保说明</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配合采购人开展消防宣传，每年至少组织1次消防演练；消防设施设备的检测、维修、保养，由采购人另行委托具备相应资质的专业单位实施（本项目不含消防维保内容）。</w:t>
            </w:r>
            <w:r/>
          </w:p>
        </w:tc>
      </w:tr>
    </w:tbl>
    <w:p>
      <w:pPr>
        <w:ind w:firstLine="482"/>
        <w:jc w:val="left"/>
        <w:spacing w:line="56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3.5会议接待服务</w:t>
      </w:r>
      <w:r/>
    </w:p>
    <w:tbl>
      <w:tblPr>
        <w:tblStyle w:val="873"/>
        <w:tblW w:w="4857"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425"/>
        <w:gridCol w:w="6375"/>
      </w:tblGrid>
      <w:tr>
        <w:trPr>
          <w:trHeight w:val="615"/>
        </w:trPr>
        <w:tc>
          <w:tcPr>
            <w:tcW w:w="803"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序号</w:t>
            </w:r>
            <w:r/>
          </w:p>
        </w:tc>
        <w:tc>
          <w:tcPr>
            <w:tcW w:w="1425"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服务内容</w:t>
            </w:r>
            <w:r/>
          </w:p>
        </w:tc>
        <w:tc>
          <w:tcPr>
            <w:tcW w:w="6375"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服务标准</w:t>
            </w:r>
            <w:r/>
          </w:p>
        </w:tc>
      </w:tr>
      <w:tr>
        <w:trPr>
          <w:trHeight w:val="649"/>
        </w:trPr>
        <w:tc>
          <w:tcPr>
            <w:tcW w:w="803" w:type="dxa"/>
            <w:vAlign w:val="center"/>
            <w:textDirection w:val="lrTb"/>
            <w:noWrap/>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1</w:t>
            </w:r>
            <w:r/>
          </w:p>
        </w:tc>
        <w:tc>
          <w:tcPr>
            <w:tcW w:w="1425" w:type="dxa"/>
            <w:vAlign w:val="center"/>
            <w:textDirection w:val="lrTb"/>
            <w:noWrap/>
          </w:tcPr>
          <w:p>
            <w:pPr>
              <w:jc w:val="center"/>
              <w:spacing w:line="300" w:lineRule="auto"/>
              <w:widowControl/>
              <w:rPr>
                <w:rFonts w:hint="eastAsia" w:ascii="宋体" w:hAnsi="宋体" w:cs="宋体" w:eastAsiaTheme="minorEastAsia"/>
                <w:sz w:val="24"/>
                <w:highlight w:val="none"/>
                <w:lang w:eastAsia="zh-CN"/>
              </w:rPr>
            </w:pPr>
            <w:r>
              <w:rPr>
                <w:rFonts w:hint="eastAsia" w:ascii="宋体" w:hAnsi="宋体" w:cs="宋体"/>
                <w:sz w:val="24"/>
                <w:highlight w:val="none"/>
              </w:rPr>
              <w:t xml:space="preserve">会议受理</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接受会议预订，记录会议需求，合理安排会务工作。</w:t>
            </w:r>
            <w:r/>
          </w:p>
        </w:tc>
      </w:tr>
      <w:tr>
        <w:trPr>
          <w:trHeight w:val="1507"/>
        </w:trPr>
        <w:tc>
          <w:tcPr>
            <w:tcW w:w="803" w:type="dxa"/>
            <w:vAlign w:val="center"/>
            <w:textDirection w:val="lrTb"/>
            <w:noWrap/>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2</w:t>
            </w:r>
            <w:r/>
          </w:p>
        </w:tc>
        <w:tc>
          <w:tcPr>
            <w:tcW w:w="1425" w:type="dxa"/>
            <w:vAlign w:val="center"/>
            <w:textDirection w:val="lrTb"/>
            <w:noWrap/>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会前准备</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根据会议需求、场地大小、用途，明确会议桌椅、物品、设备、文具等摆放规定和音视频设施保障措施，做好会场布置、设备调试及茶水、文具等准备。</w:t>
            </w:r>
            <w:r/>
          </w:p>
        </w:tc>
      </w:tr>
      <w:tr>
        <w:trPr>
          <w:trHeight w:val="1137"/>
        </w:trPr>
        <w:tc>
          <w:tcPr>
            <w:tcW w:w="803" w:type="dxa"/>
            <w:vAlign w:val="center"/>
            <w:textDirection w:val="lrTb"/>
            <w:noWrap/>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3</w:t>
            </w:r>
            <w:r/>
          </w:p>
        </w:tc>
        <w:tc>
          <w:tcPr>
            <w:tcW w:w="1425" w:type="dxa"/>
            <w:vAlign w:val="center"/>
            <w:textDirection w:val="lrTb"/>
            <w:noWrap/>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引导服务</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做好引导牌并放置在指定位置，引导人员引导手势规范、语言标准。</w:t>
            </w:r>
            <w:r/>
          </w:p>
        </w:tc>
      </w:tr>
      <w:tr>
        <w:trPr>
          <w:trHeight w:val="454"/>
        </w:trPr>
        <w:tc>
          <w:tcPr>
            <w:tcW w:w="803" w:type="dxa"/>
            <w:vAlign w:val="center"/>
            <w:textDirection w:val="lrTb"/>
            <w:noWrap/>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4</w:t>
            </w:r>
            <w:r/>
          </w:p>
        </w:tc>
        <w:tc>
          <w:tcPr>
            <w:tcW w:w="1425" w:type="dxa"/>
            <w:vAlign w:val="center"/>
            <w:textDirection w:val="lrTb"/>
            <w:noWrap/>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会中服务</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会议期间按要求提供茶水服务，及时巡视添加茶水，清理会场上的灰尘、溢出的茶水，保持会场整洁；保障话筒、多媒体等设施设备正常使用，并提供必要的技术支持。</w:t>
            </w:r>
            <w:r/>
          </w:p>
        </w:tc>
      </w:tr>
      <w:tr>
        <w:trPr>
          <w:trHeight w:val="532"/>
        </w:trPr>
        <w:tc>
          <w:tcPr>
            <w:tcW w:w="803" w:type="dxa"/>
            <w:vAlign w:val="center"/>
            <w:textDirection w:val="lrTb"/>
            <w:noWrap/>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5</w:t>
            </w:r>
            <w:r/>
          </w:p>
        </w:tc>
        <w:tc>
          <w:tcPr>
            <w:tcW w:w="1425" w:type="dxa"/>
            <w:vAlign w:val="center"/>
            <w:textDirection w:val="lrTb"/>
            <w:noWrap/>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会后整理</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对会议现场进行检查，及时关闭设施设备、多媒体电源、电灯、窗户并锁好会议室门；物品归位、资料收集、音像资料拷贝，做好参会人员引导（疏导）和有序离场；及时清理（清场），检查是否有遗留物品、未熄灭的火种等。</w:t>
            </w:r>
            <w:r/>
          </w:p>
        </w:tc>
      </w:tr>
      <w:tr>
        <w:trPr>
          <w:trHeight w:val="532"/>
        </w:trPr>
        <w:tc>
          <w:tcPr>
            <w:tcW w:w="803" w:type="dxa"/>
            <w:vAlign w:val="center"/>
            <w:textDirection w:val="lrTb"/>
            <w:noWrap/>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6</w:t>
            </w:r>
            <w:r/>
          </w:p>
        </w:tc>
        <w:tc>
          <w:tcPr>
            <w:tcW w:w="1425" w:type="dxa"/>
            <w:vAlign w:val="center"/>
            <w:textDirection w:val="lrTb"/>
            <w:noWrap/>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保密要求</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会场服务人员不得随意翻阅会议资料，防止闲杂人员进场，不得在任何场所透露会议的内容。</w:t>
            </w:r>
            <w:r/>
          </w:p>
        </w:tc>
      </w:tr>
    </w:tbl>
    <w:p>
      <w:pPr>
        <w:ind w:firstLine="482"/>
        <w:jc w:val="left"/>
        <w:spacing w:line="56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3.6房屋及设施设备维护服务</w:t>
      </w:r>
      <w:r/>
    </w:p>
    <w:tbl>
      <w:tblPr>
        <w:tblStyle w:val="873"/>
        <w:tblW w:w="4857"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425"/>
        <w:gridCol w:w="6375"/>
      </w:tblGrid>
      <w:tr>
        <w:trPr>
          <w:trHeight w:val="621"/>
        </w:trPr>
        <w:tc>
          <w:tcPr>
            <w:tcW w:w="803"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序号</w:t>
            </w:r>
            <w:r/>
          </w:p>
        </w:tc>
        <w:tc>
          <w:tcPr>
            <w:tcW w:w="1425"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服务内容</w:t>
            </w:r>
            <w:r/>
          </w:p>
        </w:tc>
        <w:tc>
          <w:tcPr>
            <w:tcW w:w="6375"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服务标准</w:t>
            </w:r>
            <w:r/>
          </w:p>
        </w:tc>
      </w:tr>
      <w:tr>
        <w:trPr>
          <w:trHeight w:val="454"/>
        </w:trPr>
        <w:tc>
          <w:tcPr>
            <w:tcW w:w="803"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1</w:t>
            </w:r>
            <w:r/>
          </w:p>
        </w:tc>
        <w:tc>
          <w:tcPr>
            <w:tcW w:w="1425"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基本要求</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（1）重大节假日及恶劣天气前后，组织系统巡检1次；具备设施设备安全、稳定运行的环境和场所（含有限空间），温湿度、照度、粉尘和烟雾浓度等符合相关安全规范。</w:t>
            </w:r>
            <w:r/>
          </w:p>
        </w:tc>
      </w:tr>
      <w:tr>
        <w:trPr>
          <w:trHeight w:val="1083"/>
        </w:trPr>
        <w:tc>
          <w:tcPr>
            <w:tcW w:w="803" w:type="dxa"/>
            <w:vAlign w:val="center"/>
            <w:vMerge w:val="continue"/>
            <w:textDirection w:val="lrTb"/>
            <w:noWrap/>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r>
            <w:r/>
          </w:p>
        </w:tc>
        <w:tc>
          <w:tcPr>
            <w:tcW w:w="1425" w:type="dxa"/>
            <w:vAlign w:val="center"/>
            <w:vMerge w:val="continue"/>
            <w:textDirection w:val="lrTb"/>
            <w:noWrap/>
          </w:tcPr>
          <w:p>
            <w:pPr>
              <w:jc w:val="center"/>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（2）凡因保养不到位造成的设施设备损坏，均由供应商负责修缮到位。</w:t>
            </w:r>
            <w:r/>
          </w:p>
        </w:tc>
      </w:tr>
      <w:tr>
        <w:trPr>
          <w:trHeight w:val="1507"/>
        </w:trPr>
        <w:tc>
          <w:tcPr>
            <w:tcW w:w="803"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2</w:t>
            </w:r>
            <w:r/>
          </w:p>
        </w:tc>
        <w:tc>
          <w:tcPr>
            <w:tcW w:w="1425"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eastAsia="宋体" w:cs="宋体"/>
                <w:color w:val="auto"/>
                <w:sz w:val="24"/>
                <w:szCs w:val="24"/>
                <w:highlight w:val="none"/>
              </w:rPr>
              <w:t xml:space="preserve">房屋维护</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主体结构、围护结构、部品部件：每季度至少开展1次房屋结构安全巡视，发现外观有变形、开裂等现象，及时建议采购人申请房屋安全鉴定，并采取必要的避险和防护措施；每季度至少开展1次外墙贴饰面、幕墙玻璃、雨篷、散水、空调室外机支撑构件等检查，每半月至少开展1次公用部位的门、窗、楼梯、通风道、室内地面、墙面、吊顶和室外屋面等巡查，发现破损及时向采购人报告，按采购人要求出具维修方案并组织实施；每年强降雨天气前后、雨雪季节检查屋面防水和雨落管；办公楼外观完好，建筑装饰面无脱落、无破损，通道、楼梯、门窗等设施完好并正常使用。</w:t>
            </w:r>
            <w:r/>
          </w:p>
        </w:tc>
      </w:tr>
      <w:tr>
        <w:trPr>
          <w:trHeight w:val="651"/>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其他设施：每半月至少开展1次大门、围墙、道路、场地、管井、沟渠等巡查，每半月至少检查1次雨污水管网、化粪池等，发现破损及时向采购人报告，按采购人要求出具维修方案并组织实施；每年至少开展1次防雷装置检测，发现失效及时报告；路面状态良好，地漏通畅不堵塞；接到采购人家具报修服务后，及时通知家具供货商对保修期内的家具进行维修，及时对保修期外的家具进行维修。</w:t>
            </w:r>
            <w:r/>
          </w:p>
        </w:tc>
      </w:tr>
      <w:tr>
        <w:trPr>
          <w:trHeight w:val="90"/>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装饰装修监督管理：装饰装修前，供应商应当与采购人或采购人委托的装修企业签订装饰装修管理服务协议，告知装饰装修须知，并对装饰装修过程进行管理服务；根据协议内容做好装修垃圾临时堆放、清运等；受采购人委托对房屋内装修进行严格的监督管理，发现问题及时上报，确保不因装修而危及大楼结构安全、人身安全和影响正常办公秩序。</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标识标牌：标识标牌符合《公共信息图形符号第1部分：通用符号》的相关要求，消防与安全标识符合《安全标志及其使用导则》、《消防安全标志第1部分：标志》的相关要求；每月至少检查1次，确保标识标牌规范清晰、路线指引正确、安装稳固。</w:t>
            </w:r>
            <w:r/>
          </w:p>
        </w:tc>
      </w:tr>
      <w:tr>
        <w:trPr>
          <w:trHeight w:val="1080"/>
        </w:trPr>
        <w:tc>
          <w:tcPr>
            <w:tcW w:w="803" w:type="dxa"/>
            <w:vAlign w:val="center"/>
            <w:vMerge w:val="restart"/>
            <w:textDirection w:val="lrTb"/>
            <w:noWrap/>
          </w:tcPr>
          <w:p>
            <w:pPr>
              <w:jc w:val="center"/>
              <w:spacing w:line="300" w:lineRule="auto"/>
              <w:widowControl/>
              <w:rPr>
                <w:rFonts w:ascii="宋体" w:hAnsi="宋体" w:cs="宋体"/>
                <w:b w:val="0"/>
                <w:bCs w:val="0"/>
                <w:sz w:val="24"/>
                <w:highlight w:val="none"/>
              </w:rPr>
            </w:pPr>
            <w:r>
              <w:rPr>
                <w:rFonts w:hint="eastAsia" w:ascii="宋体" w:hAnsi="宋体" w:cs="宋体"/>
                <w:b w:val="0"/>
                <w:bCs w:val="0"/>
                <w:sz w:val="24"/>
                <w:highlight w:val="none"/>
              </w:rPr>
              <w:t xml:space="preserve">3</w:t>
            </w:r>
            <w:r/>
          </w:p>
        </w:tc>
        <w:tc>
          <w:tcPr>
            <w:tcW w:w="1425" w:type="dxa"/>
            <w:vAlign w:val="center"/>
            <w:vMerge w:val="restart"/>
            <w:textDirection w:val="lrTb"/>
            <w:noWrap/>
          </w:tcPr>
          <w:p>
            <w:pPr>
              <w:jc w:val="center"/>
              <w:spacing w:line="300" w:lineRule="auto"/>
              <w:widowControl/>
              <w:rPr>
                <w:rFonts w:ascii="宋体" w:hAnsi="宋体" w:cs="宋体"/>
                <w:b w:val="0"/>
                <w:bCs w:val="0"/>
                <w:sz w:val="24"/>
                <w:highlight w:val="none"/>
              </w:rPr>
            </w:pPr>
            <w:r>
              <w:rPr>
                <w:rFonts w:hint="eastAsia" w:ascii="宋体" w:hAnsi="宋体" w:eastAsia="宋体" w:cs="宋体"/>
                <w:b w:val="0"/>
                <w:bCs w:val="0"/>
                <w:color w:val="auto"/>
                <w:sz w:val="24"/>
                <w:highlight w:val="none"/>
              </w:rPr>
              <w:t xml:space="preserve">供配电系统维保</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变电所位于C楼1层，2路10KV进线，设干式变压器6台，高压进线隔离柜16个，低压总开关柜6个，低压电容补偿柜11个，低压有源滤波柜5个，联络柜3个，低压馈电柜37个。各裙楼、地下室（含人防）配电箱（柜）共418个。采购人日常仅使用D楼和B楼的部分楼层，未启用的配电箱（柜）可拉闸。消控室、B楼2层机房各装配1套UPS系统。</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供应商需对上述设备做好检修保养，包括且不限于：</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（1）每天巡检1次，重点确认设备运行正常，各馈线负载率符合额定要求，电力管理系统数据正常。</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（2）每季度维保1次，重点确认设备运行正常，开展基础绝缘电阻测试，校验继电保护装置的灵敏性，排查潜在的接触不良、绝缘劣化等隐患。</w:t>
            </w:r>
            <w:r/>
          </w:p>
          <w:p>
            <w:pPr>
              <w:ind w:firstLine="482"/>
              <w:jc w:val="left"/>
              <w:spacing w:line="560" w:lineRule="exact"/>
              <w:widowControl/>
              <w:rPr>
                <w:rFonts w:ascii="宋体" w:hAnsi="宋体" w:cs="宋体"/>
                <w:sz w:val="24"/>
                <w:highlight w:val="none"/>
              </w:rPr>
              <w:outlineLvl w:val="9"/>
            </w:pPr>
            <w:r>
              <w:rPr>
                <w:rFonts w:hint="eastAsia" w:ascii="宋体" w:hAnsi="宋体" w:eastAsia="宋体" w:cs="宋体"/>
                <w:color w:val="auto"/>
                <w:sz w:val="24"/>
                <w:highlight w:val="none"/>
                <w:lang w:val="en-US" w:eastAsia="zh-CN"/>
              </w:rPr>
              <w:t xml:space="preserve">（3）服务周期内进行1次变电所电气设备预防性试验、防雷装置检测及接地网特性测试，并出具相应的纸质检测报告交采购人。电气设备预防性试验、防雷检测必须由具备资质的机构完成。</w:t>
            </w:r>
            <w:r/>
          </w:p>
        </w:tc>
      </w:tr>
      <w:tr>
        <w:trPr>
          <w:trHeight w:val="514"/>
        </w:trPr>
        <w:tc>
          <w:tcPr>
            <w:tcW w:w="803" w:type="dxa"/>
            <w:vAlign w:val="center"/>
            <w:textDirection w:val="lrTb"/>
            <w:noWrap/>
          </w:tcPr>
          <w:p>
            <w:pPr>
              <w:jc w:val="center"/>
              <w:spacing w:line="300" w:lineRule="auto"/>
              <w:widowControl/>
              <w:rPr>
                <w:rFonts w:ascii="宋体" w:hAnsi="宋体" w:cs="宋体"/>
                <w:b w:val="0"/>
                <w:bCs w:val="0"/>
                <w:sz w:val="24"/>
                <w:highlight w:val="none"/>
              </w:rPr>
            </w:pPr>
            <w:r>
              <w:rPr>
                <w:rFonts w:hint="eastAsia" w:ascii="宋体" w:hAnsi="宋体" w:cs="宋体"/>
                <w:b w:val="0"/>
                <w:bCs w:val="0"/>
                <w:sz w:val="24"/>
                <w:highlight w:val="none"/>
              </w:rPr>
              <w:t xml:space="preserve">4</w:t>
            </w:r>
            <w:r/>
          </w:p>
        </w:tc>
        <w:tc>
          <w:tcPr>
            <w:tcW w:w="1425" w:type="dxa"/>
            <w:vAlign w:val="center"/>
            <w:textDirection w:val="lrTb"/>
            <w:noWrap/>
          </w:tcPr>
          <w:p>
            <w:pPr>
              <w:jc w:val="center"/>
              <w:spacing w:before="60" w:after="60" w:line="460" w:lineRule="exact"/>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sz w:val="24"/>
                <w:highlight w:val="none"/>
              </w:rPr>
              <w:t xml:space="preserve">给排水系统维保</w:t>
            </w:r>
            <w:r/>
          </w:p>
          <w:p>
            <w:pPr>
              <w:jc w:val="center"/>
              <w:spacing w:line="300" w:lineRule="auto"/>
              <w:widowControl/>
              <w:rPr>
                <w:rFonts w:ascii="宋体" w:hAnsi="宋体" w:cs="宋体"/>
                <w:b w:val="0"/>
                <w:bCs w:val="0"/>
                <w:sz w:val="24"/>
                <w:highlight w:val="none"/>
              </w:rPr>
            </w:pPr>
            <w:r>
              <w:rPr>
                <w:rFonts w:ascii="宋体" w:hAnsi="宋体" w:cs="宋体"/>
                <w:b w:val="0"/>
                <w:bCs w:val="0"/>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两路DN150市政给水管道。污水经东南角13#化粪池处理后排出。东侧建有雨水处理系统，包含预处理、蓄水池、清水池、地埋式消毒过滤一体机、供水泵、控制柜等。地下室装配给水设备1套，含给水泵2套、压力罐1套、变频控制柜1套、水箱自洁消毒器1套。另配战时供水设备4套，水箱若干。地下室装配集水坑排污泵12套（含消防泵房排污泵），单套设备功率不超过4kw。另有喷泉泵45个。</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供应商需对上述设备做好检修保养，包括且不限于：</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（1）每天巡检1次，重点确认设施设备、阀门、管道等运行正常，无跑、冒、滴、漏现象。</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（2）每季度至少1次对排水管网进行疏通、清污，保证室内外排水系统通畅。雨季要加强检查频次，突出做好地上沟渠清理和地下室集水坑检查清污。随时疏通小型管道。</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（3）化粪池无明显异味，每年至少开展1次清洁作业。</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（4）每年至少养护1次水泵、水箱和重点管道。</w:t>
            </w:r>
            <w:r/>
          </w:p>
          <w:p>
            <w:pPr>
              <w:ind w:firstLine="482"/>
              <w:jc w:val="left"/>
              <w:spacing w:line="560" w:lineRule="exact"/>
              <w:widowControl/>
              <w:rPr>
                <w:rFonts w:ascii="宋体" w:hAnsi="宋体" w:cs="宋体"/>
                <w:sz w:val="24"/>
                <w:highlight w:val="none"/>
              </w:rPr>
              <w:outlineLvl w:val="9"/>
            </w:pPr>
            <w:r>
              <w:rPr>
                <w:rFonts w:hint="eastAsia" w:ascii="宋体" w:hAnsi="宋体" w:eastAsia="宋体" w:cs="宋体"/>
                <w:color w:val="auto"/>
                <w:sz w:val="24"/>
                <w:highlight w:val="none"/>
                <w:lang w:val="en-US" w:eastAsia="zh-CN"/>
              </w:rPr>
              <w:t xml:space="preserve">（5）全自动智能控制在线加药设备所需耗材由供应商负责。每年至少组织1次饮用水水质检测，并出具检测报告交采购人。</w:t>
            </w:r>
            <w:r/>
          </w:p>
        </w:tc>
      </w:tr>
      <w:tr>
        <w:trPr>
          <w:trHeight w:val="514"/>
        </w:trPr>
        <w:tc>
          <w:tcPr>
            <w:tcW w:w="803" w:type="dxa"/>
            <w:vAlign w:val="center"/>
            <w:textDirection w:val="lrTb"/>
            <w:noWrap/>
          </w:tcPr>
          <w:p>
            <w:pPr>
              <w:jc w:val="center"/>
              <w:spacing w:line="300" w:lineRule="auto"/>
              <w:widowControl/>
              <w:rPr>
                <w:rFonts w:hint="eastAsia" w:ascii="宋体" w:hAnsi="宋体" w:cs="宋体" w:eastAsiaTheme="minorEastAsia"/>
                <w:b w:val="0"/>
                <w:bCs w:val="0"/>
                <w:sz w:val="24"/>
                <w:highlight w:val="none"/>
                <w:lang w:val="en-US" w:eastAsia="zh-CN"/>
              </w:rPr>
            </w:pPr>
            <w:r>
              <w:rPr>
                <w:rFonts w:hint="eastAsia" w:ascii="宋体" w:hAnsi="宋体" w:cs="宋体"/>
                <w:b w:val="0"/>
                <w:bCs w:val="0"/>
                <w:sz w:val="24"/>
                <w:highlight w:val="none"/>
                <w:lang w:val="en-US" w:eastAsia="zh-CN"/>
              </w:rPr>
              <w:t xml:space="preserve">5</w:t>
            </w:r>
            <w:r/>
          </w:p>
        </w:tc>
        <w:tc>
          <w:tcPr>
            <w:tcW w:w="1425" w:type="dxa"/>
            <w:vAlign w:val="center"/>
            <w:textDirection w:val="lrTb"/>
            <w:noWrap/>
          </w:tcPr>
          <w:p>
            <w:pPr>
              <w:jc w:val="center"/>
              <w:spacing w:line="300" w:lineRule="auto"/>
              <w:widowControl/>
              <w:rPr>
                <w:rFonts w:ascii="宋体" w:hAnsi="宋体" w:cs="宋体"/>
                <w:b w:val="0"/>
                <w:bCs w:val="0"/>
                <w:sz w:val="24"/>
                <w:highlight w:val="none"/>
              </w:rPr>
            </w:pPr>
            <w:r>
              <w:rPr>
                <w:rFonts w:hint="eastAsia" w:ascii="宋体" w:hAnsi="宋体" w:eastAsia="宋体" w:cs="宋体"/>
                <w:color w:val="auto"/>
                <w:sz w:val="24"/>
                <w:highlight w:val="none"/>
                <w:lang w:val="en-US" w:eastAsia="zh-CN"/>
              </w:rPr>
              <w:t xml:space="preserve">其他专业维保范围说明</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电梯、消防、空调通风、机械车位等专业系统的安装、改造、维修保养，由采购人另行委托具备相应资质的专业单位实施（本项目不含上述专业维保内容）；供应商在日常巡查中发现相关隐患，应及时报告采购人。</w:t>
            </w:r>
            <w:r/>
          </w:p>
        </w:tc>
      </w:tr>
    </w:tbl>
    <w:p>
      <w:pPr>
        <w:ind w:firstLine="482"/>
        <w:jc w:val="left"/>
        <w:spacing w:line="56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3.7绿化养护服务</w:t>
      </w:r>
      <w:r/>
    </w:p>
    <w:tbl>
      <w:tblPr>
        <w:tblStyle w:val="873"/>
        <w:tblW w:w="4857"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425"/>
        <w:gridCol w:w="6375"/>
      </w:tblGrid>
      <w:tr>
        <w:trPr>
          <w:trHeight w:val="629"/>
        </w:trPr>
        <w:tc>
          <w:tcPr>
            <w:tcW w:w="803"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序号</w:t>
            </w:r>
            <w:r/>
          </w:p>
        </w:tc>
        <w:tc>
          <w:tcPr>
            <w:tcW w:w="1425"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服务内容</w:t>
            </w:r>
            <w:r/>
          </w:p>
        </w:tc>
        <w:tc>
          <w:tcPr>
            <w:tcW w:w="6375" w:type="dxa"/>
            <w:vAlign w:val="center"/>
            <w:textDirection w:val="lrTb"/>
            <w:noWrap/>
          </w:tcPr>
          <w:p>
            <w:pPr>
              <w:jc w:val="center"/>
              <w:spacing w:line="300" w:lineRule="auto"/>
              <w:widowControl/>
              <w:rPr>
                <w:rFonts w:ascii="宋体" w:hAnsi="宋体" w:cs="宋体"/>
                <w:b/>
                <w:bCs/>
                <w:sz w:val="24"/>
                <w:highlight w:val="none"/>
              </w:rPr>
            </w:pPr>
            <w:r>
              <w:rPr>
                <w:rFonts w:hint="eastAsia" w:ascii="宋体" w:hAnsi="宋体" w:cs="宋体"/>
                <w:b/>
                <w:bCs/>
                <w:sz w:val="24"/>
                <w:highlight w:val="none"/>
              </w:rPr>
              <w:t xml:space="preserve">服务标准</w:t>
            </w:r>
            <w:r/>
          </w:p>
        </w:tc>
      </w:tr>
      <w:tr>
        <w:trPr>
          <w:trHeight w:val="90"/>
        </w:trPr>
        <w:tc>
          <w:tcPr>
            <w:tcW w:w="803"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1</w:t>
            </w:r>
            <w:r/>
          </w:p>
        </w:tc>
        <w:tc>
          <w:tcPr>
            <w:tcW w:w="1425"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基本要求</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制定绿化服务的工作制度及工作计划，并按照执行；做好绿化服务工作记录，填写规范；作业时采取安全防护措施，防止对作业人员或他人造成伤害；相关耗材的环保、安全性应当符合规定要求。</w:t>
            </w:r>
            <w:r/>
          </w:p>
        </w:tc>
      </w:tr>
      <w:tr>
        <w:trPr>
          <w:trHeight w:val="1092"/>
        </w:trPr>
        <w:tc>
          <w:tcPr>
            <w:tcW w:w="803" w:type="dxa"/>
            <w:vAlign w:val="center"/>
            <w:vMerge w:val="restart"/>
            <w:textDirection w:val="lrTb"/>
            <w:noWrap/>
          </w:tcPr>
          <w:p>
            <w:pPr>
              <w:jc w:val="center"/>
              <w:spacing w:line="300" w:lineRule="auto"/>
              <w:widowControl/>
              <w:rPr>
                <w:rFonts w:ascii="宋体" w:hAnsi="宋体" w:cs="宋体"/>
                <w:sz w:val="24"/>
                <w:highlight w:val="none"/>
              </w:rPr>
            </w:pPr>
            <w:r>
              <w:rPr>
                <w:rFonts w:hint="eastAsia" w:ascii="宋体" w:hAnsi="宋体" w:cs="宋体"/>
                <w:sz w:val="24"/>
                <w:highlight w:val="none"/>
              </w:rPr>
              <w:t xml:space="preserve">2</w:t>
            </w:r>
            <w:r/>
          </w:p>
        </w:tc>
        <w:tc>
          <w:tcPr>
            <w:tcW w:w="1425" w:type="dxa"/>
            <w:vAlign w:val="center"/>
            <w:vMerge w:val="restart"/>
            <w:textDirection w:val="lrTb"/>
            <w:noWrap/>
          </w:tcPr>
          <w:p>
            <w:pPr>
              <w:jc w:val="center"/>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室外绿化</w:t>
            </w:r>
            <w:r/>
          </w:p>
          <w:p>
            <w:pPr>
              <w:jc w:val="center"/>
              <w:spacing w:line="300" w:lineRule="auto"/>
              <w:widowControl/>
              <w:rPr>
                <w:rFonts w:ascii="宋体" w:hAnsi="宋体" w:cs="宋体"/>
                <w:sz w:val="24"/>
                <w:highlight w:val="none"/>
              </w:rPr>
            </w:pPr>
            <w:r>
              <w:rPr>
                <w:rFonts w:hint="eastAsia" w:ascii="宋体" w:hAnsi="宋体" w:eastAsia="宋体" w:cs="宋体"/>
                <w:color w:val="auto"/>
                <w:sz w:val="24"/>
                <w:szCs w:val="24"/>
                <w:highlight w:val="none"/>
              </w:rPr>
              <w:t xml:space="preserve">养护</w:t>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（1）根据生长环境、植物特性进行除草、灌溉、施肥、整形修剪、病虫害防治等日常养护。</w:t>
            </w:r>
            <w:r/>
          </w:p>
        </w:tc>
      </w:tr>
      <w:tr>
        <w:trPr>
          <w:trHeight w:val="1095"/>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（2）根据生长情况修剪绿地，绿地内无枯草、无杂物，无干枯坏死和病虫侵害，基本无裸露土地；定期修剪树木、花卉等，乔灌木生长正常、造型美观自然、花枝新鲜，无枯叶、无病虫、无死树缺株。</w:t>
            </w:r>
            <w:r/>
          </w:p>
        </w:tc>
      </w:tr>
      <w:tr>
        <w:trPr>
          <w:trHeight w:val="90"/>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绿篱生长造型正常，颜色正常，修剪及时，基本无死株和干死株，有虫株率在10%以下；及时清除花坛和花景的花蒂、黄叶、杂草、垃圾，做好病虫害防治，根据病虫害发生规律实施综合治理，产生垃圾的主要区域和路段做到日产日清。</w:t>
            </w:r>
            <w:r/>
          </w:p>
        </w:tc>
      </w:tr>
      <w:tr>
        <w:trPr>
          <w:trHeight w:val="454"/>
        </w:trPr>
        <w:tc>
          <w:tcPr>
            <w:tcW w:w="803" w:type="dxa"/>
            <w:vAlign w:val="center"/>
            <w:vMerge w:val="continue"/>
            <w:textDirection w:val="lrTb"/>
            <w:noWrap/>
          </w:tcPr>
          <w:p>
            <w:pPr>
              <w:jc w:val="center"/>
              <w:spacing w:line="300" w:lineRule="auto"/>
              <w:widowControl/>
              <w:rPr>
                <w:rFonts w:ascii="宋体" w:hAnsi="宋体" w:cs="宋体"/>
                <w:sz w:val="24"/>
                <w:highlight w:val="none"/>
              </w:rPr>
            </w:pPr>
            <w:r>
              <w:rPr>
                <w:rFonts w:ascii="宋体" w:hAnsi="宋体" w:cs="宋体"/>
                <w:sz w:val="24"/>
                <w:highlight w:val="none"/>
              </w:rPr>
            </w:r>
            <w:r/>
          </w:p>
        </w:tc>
        <w:tc>
          <w:tcPr>
            <w:tcW w:w="1425" w:type="dxa"/>
            <w:vAlign w:val="center"/>
            <w:vMerge w:val="continue"/>
            <w:textDirection w:val="lrTb"/>
            <w:noWrap/>
          </w:tcPr>
          <w:p>
            <w:pPr>
              <w:spacing w:line="300" w:lineRule="auto"/>
              <w:widowControl/>
              <w:rPr>
                <w:rFonts w:ascii="宋体" w:hAnsi="宋体" w:cs="宋体"/>
                <w:sz w:val="24"/>
                <w:highlight w:val="none"/>
              </w:rPr>
            </w:pPr>
            <w:r>
              <w:rPr>
                <w:rFonts w:ascii="宋体" w:hAnsi="宋体" w:cs="宋体"/>
                <w:sz w:val="24"/>
                <w:highlight w:val="none"/>
              </w:rPr>
            </w:r>
            <w:r/>
          </w:p>
        </w:tc>
        <w:tc>
          <w:tcPr>
            <w:tcW w:w="6375" w:type="dxa"/>
            <w:vAlign w:val="center"/>
            <w:textDirection w:val="lrTb"/>
            <w:noWrap/>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（4）雨雪、冰冻等恶劣天气来临前，安排专人巡查，对绿植做好预防措施，排除安全隐患；恶劣天气后及时清除倒树断枝、疏通道路，尽快恢复原状。</w:t>
            </w:r>
            <w:r/>
          </w:p>
        </w:tc>
      </w:tr>
    </w:tbl>
    <w:p>
      <w:pPr>
        <w:ind w:firstLine="482"/>
        <w:jc w:val="left"/>
        <w:spacing w:line="56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四、物业管理服务人员配备及相关要求</w:t>
      </w:r>
      <w:r/>
    </w:p>
    <w:tbl>
      <w:tblPr>
        <w:tblStyle w:val="864"/>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383"/>
        <w:gridCol w:w="1002"/>
        <w:gridCol w:w="5399"/>
      </w:tblGrid>
      <w:tr>
        <w:trPr>
          <w:jc w:val="center"/>
          <w:trHeight w:val="626"/>
        </w:trPr>
        <w:tc>
          <w:tcPr>
            <w:tcW w:w="903" w:type="dxa"/>
            <w:vAlign w:val="center"/>
            <w:textDirection w:val="lrTb"/>
            <w:noWrap w:val="false"/>
          </w:tcPr>
          <w:p>
            <w:pPr>
              <w:jc w:val="center"/>
              <w:spacing w:line="500" w:lineRule="exact"/>
              <w:tabs>
                <w:tab w:val="left" w:pos="632" w:leader="none"/>
                <w:tab w:val="left" w:pos="2828"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序号</w:t>
            </w:r>
            <w:r/>
          </w:p>
        </w:tc>
        <w:tc>
          <w:tcPr>
            <w:tcW w:w="1383" w:type="dxa"/>
            <w:vAlign w:val="center"/>
            <w:textDirection w:val="lrTb"/>
            <w:noWrap w:val="false"/>
          </w:tcPr>
          <w:p>
            <w:pPr>
              <w:jc w:val="center"/>
              <w:spacing w:line="500" w:lineRule="exact"/>
              <w:tabs>
                <w:tab w:val="left" w:pos="632" w:leader="none"/>
                <w:tab w:val="left" w:pos="2828"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岗位</w:t>
            </w:r>
            <w:r/>
          </w:p>
        </w:tc>
        <w:tc>
          <w:tcPr>
            <w:tcW w:w="1002" w:type="dxa"/>
            <w:vAlign w:val="center"/>
            <w:textDirection w:val="lrTb"/>
            <w:noWrap w:val="false"/>
          </w:tcPr>
          <w:p>
            <w:pPr>
              <w:jc w:val="center"/>
              <w:spacing w:line="500" w:lineRule="exact"/>
              <w:tabs>
                <w:tab w:val="left" w:pos="632" w:leader="none"/>
                <w:tab w:val="left" w:pos="2828"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人数</w:t>
            </w:r>
            <w:r/>
          </w:p>
        </w:tc>
        <w:tc>
          <w:tcPr>
            <w:tcW w:w="5399" w:type="dxa"/>
            <w:vAlign w:val="center"/>
            <w:textDirection w:val="lrTb"/>
            <w:noWrap w:val="false"/>
          </w:tcPr>
          <w:p>
            <w:pPr>
              <w:jc w:val="center"/>
              <w:spacing w:line="500" w:lineRule="exact"/>
              <w:tabs>
                <w:tab w:val="left" w:pos="632" w:leader="none"/>
                <w:tab w:val="left" w:pos="2828"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要求</w:t>
            </w:r>
            <w:r/>
          </w:p>
        </w:tc>
      </w:tr>
      <w:tr>
        <w:trPr>
          <w:jc w:val="center"/>
          <w:trHeight w:val="944"/>
        </w:trPr>
        <w:tc>
          <w:tcPr>
            <w:tcW w:w="903" w:type="dxa"/>
            <w:vAlign w:val="center"/>
            <w:textDirection w:val="lrTb"/>
            <w:noWrap w:val="false"/>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1</w:t>
            </w:r>
            <w:r/>
          </w:p>
        </w:tc>
        <w:tc>
          <w:tcPr>
            <w:tcW w:w="1383" w:type="dxa"/>
            <w:vAlign w:val="center"/>
            <w:textDirection w:val="lrTb"/>
            <w:noWrap w:val="false"/>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项目负责人</w:t>
            </w:r>
            <w:r/>
          </w:p>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（项目经理）</w:t>
            </w:r>
            <w:r/>
          </w:p>
        </w:tc>
        <w:tc>
          <w:tcPr>
            <w:tcW w:w="1002" w:type="dxa"/>
            <w:vAlign w:val="center"/>
            <w:textDirection w:val="lrTb"/>
            <w:noWrap w:val="false"/>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1人</w:t>
            </w:r>
            <w:r/>
          </w:p>
        </w:tc>
        <w:tc>
          <w:tcPr>
            <w:tcW w:w="5399" w:type="dxa"/>
            <w:vAlign w:val="center"/>
            <w:textDirection w:val="lrTb"/>
            <w:noWrap w:val="false"/>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男性：55周岁（含）以下，女性：50周岁（含）以下； 3年以上相应岗位工作经验，具有良好的管理理念、服务意识和应急处理能力，具备管理大型综合物业的能力。</w:t>
            </w:r>
            <w:r/>
          </w:p>
        </w:tc>
      </w:tr>
      <w:tr>
        <w:trPr>
          <w:jc w:val="center"/>
          <w:trHeight w:val="847"/>
        </w:trPr>
        <w:tc>
          <w:tcPr>
            <w:tcW w:w="903" w:type="dxa"/>
            <w:vAlign w:val="center"/>
            <w:textDirection w:val="lrTb"/>
            <w:noWrap w:val="false"/>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2</w:t>
            </w:r>
            <w:r/>
          </w:p>
        </w:tc>
        <w:tc>
          <w:tcPr>
            <w:tcW w:w="1383" w:type="dxa"/>
            <w:vAlign w:val="center"/>
            <w:textDirection w:val="lrTb"/>
            <w:noWrap w:val="false"/>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保安员</w:t>
            </w:r>
            <w:r/>
          </w:p>
        </w:tc>
        <w:tc>
          <w:tcPr>
            <w:tcW w:w="1002" w:type="dxa"/>
            <w:vAlign w:val="center"/>
            <w:textDirection w:val="lrTb"/>
            <w:noWrap w:val="false"/>
          </w:tcPr>
          <w:p>
            <w:pPr>
              <w:jc w:val="center"/>
              <w:spacing w:line="300" w:lineRule="auto"/>
              <w:widowControl/>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人</w:t>
            </w:r>
            <w:r/>
          </w:p>
        </w:tc>
        <w:tc>
          <w:tcPr>
            <w:tcW w:w="5399" w:type="dxa"/>
            <w:vAlign w:val="center"/>
            <w:textDirection w:val="lrTb"/>
            <w:noWrap w:val="false"/>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工作安排：门卫3人，办公区秩序管理1人。男性：58周岁（含）以下，女性：50周岁（含）以下，高中及以上文化，持有保安员证书，身体健康，责任心强，体态良好，熟悉相关法律法规，掌握基本安全保卫技能，思想品质好，作风正派，无不良记录，五官端正，退伍军人最佳，经培训，采购人与中标人共同考核合格后上岗。</w:t>
            </w:r>
            <w:r/>
          </w:p>
        </w:tc>
      </w:tr>
      <w:tr>
        <w:trPr>
          <w:jc w:val="center"/>
          <w:trHeight w:val="924"/>
        </w:trPr>
        <w:tc>
          <w:tcPr>
            <w:tcW w:w="903" w:type="dxa"/>
            <w:vAlign w:val="center"/>
            <w:textDirection w:val="lrTb"/>
            <w:noWrap w:val="false"/>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3</w:t>
            </w:r>
            <w:r/>
          </w:p>
        </w:tc>
        <w:tc>
          <w:tcPr>
            <w:tcW w:w="1383" w:type="dxa"/>
            <w:vAlign w:val="center"/>
            <w:textDirection w:val="lrTb"/>
            <w:noWrap w:val="false"/>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保洁员</w:t>
            </w:r>
            <w:r/>
          </w:p>
        </w:tc>
        <w:tc>
          <w:tcPr>
            <w:tcW w:w="1002" w:type="dxa"/>
            <w:vAlign w:val="center"/>
            <w:textDirection w:val="lrTb"/>
            <w:noWrap w:val="false"/>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4人</w:t>
            </w:r>
            <w:r/>
          </w:p>
        </w:tc>
        <w:tc>
          <w:tcPr>
            <w:tcW w:w="5399" w:type="dxa"/>
            <w:vAlign w:val="center"/>
            <w:textDirection w:val="lrTb"/>
            <w:noWrap w:val="false"/>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男性：58周岁（含）以下，女性：50周岁（含）以下，初中以上文化，有吃苦耐劳精神，责任心强，经培训，采购人与中标人共同考核合格后上岗。</w:t>
            </w:r>
            <w:r/>
          </w:p>
        </w:tc>
      </w:tr>
      <w:tr>
        <w:trPr>
          <w:jc w:val="center"/>
          <w:trHeight w:val="924"/>
        </w:trPr>
        <w:tc>
          <w:tcPr>
            <w:tcW w:w="903" w:type="dxa"/>
            <w:vAlign w:val="center"/>
            <w:textDirection w:val="lrTb"/>
            <w:noWrap w:val="false"/>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4</w:t>
            </w:r>
            <w:r/>
          </w:p>
        </w:tc>
        <w:tc>
          <w:tcPr>
            <w:tcW w:w="1383" w:type="dxa"/>
            <w:vAlign w:val="center"/>
            <w:textDirection w:val="lrTb"/>
            <w:noWrap w:val="false"/>
          </w:tcPr>
          <w:p>
            <w:pPr>
              <w:jc w:val="center"/>
              <w:spacing w:line="300" w:lineRule="auto"/>
              <w:widowControl/>
              <w:rPr>
                <w:rFonts w:hint="eastAsia" w:ascii="宋体" w:hAnsi="宋体" w:cs="宋体"/>
                <w:sz w:val="24"/>
                <w:highlight w:val="none"/>
              </w:rPr>
            </w:pPr>
            <w:r>
              <w:rPr>
                <w:rFonts w:hint="eastAsia" w:ascii="宋体" w:hAnsi="宋体" w:cs="宋体"/>
                <w:sz w:val="24"/>
                <w:highlight w:val="none"/>
                <w:lang w:val="en-US" w:eastAsia="zh-CN"/>
              </w:rPr>
              <w:t xml:space="preserve">接待员</w:t>
            </w:r>
            <w:r/>
          </w:p>
        </w:tc>
        <w:tc>
          <w:tcPr>
            <w:tcW w:w="1002" w:type="dxa"/>
            <w:vAlign w:val="center"/>
            <w:textDirection w:val="lrTb"/>
            <w:noWrap w:val="false"/>
          </w:tcPr>
          <w:p>
            <w:pPr>
              <w:jc w:val="center"/>
              <w:spacing w:line="300" w:lineRule="auto"/>
              <w:widowControl/>
              <w:rPr>
                <w:rFonts w:hint="eastAsia"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人</w:t>
            </w:r>
            <w:r/>
          </w:p>
        </w:tc>
        <w:tc>
          <w:tcPr>
            <w:tcW w:w="5399" w:type="dxa"/>
            <w:vAlign w:val="center"/>
            <w:textDirection w:val="lrTb"/>
            <w:noWrap w:val="false"/>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女性，45周岁（含）以下、高中（中专）以上文化，相貌端正、形象气质佳、口齿清晰、普通话流利。</w:t>
            </w:r>
            <w:r/>
          </w:p>
        </w:tc>
      </w:tr>
      <w:tr>
        <w:trPr>
          <w:jc w:val="center"/>
          <w:trHeight w:val="924"/>
        </w:trPr>
        <w:tc>
          <w:tcPr>
            <w:tcW w:w="903" w:type="dxa"/>
            <w:vAlign w:val="center"/>
            <w:textDirection w:val="lrTb"/>
            <w:noWrap w:val="false"/>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5</w:t>
            </w:r>
            <w:r/>
          </w:p>
        </w:tc>
        <w:tc>
          <w:tcPr>
            <w:tcW w:w="1383" w:type="dxa"/>
            <w:vAlign w:val="center"/>
            <w:textDirection w:val="lrTb"/>
            <w:noWrap w:val="false"/>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rPr>
              <w:t xml:space="preserve">水电</w:t>
            </w:r>
            <w:r>
              <w:rPr>
                <w:rFonts w:hint="eastAsia" w:ascii="宋体" w:hAnsi="宋体" w:cs="宋体"/>
                <w:sz w:val="24"/>
                <w:highlight w:val="none"/>
                <w:lang w:val="en-US" w:eastAsia="zh-CN"/>
              </w:rPr>
              <w:t xml:space="preserve">维</w:t>
            </w:r>
            <w:r/>
          </w:p>
          <w:p>
            <w:pPr>
              <w:jc w:val="center"/>
              <w:spacing w:line="300" w:lineRule="auto"/>
              <w:widowControl/>
              <w:rPr>
                <w:rFonts w:hint="eastAsia" w:ascii="宋体" w:hAnsi="宋体" w:cs="宋体"/>
                <w:sz w:val="24"/>
                <w:highlight w:val="none"/>
                <w:lang w:eastAsia="zh-CN"/>
              </w:rPr>
            </w:pPr>
            <w:r>
              <w:rPr>
                <w:rFonts w:hint="eastAsia" w:ascii="宋体" w:hAnsi="宋体" w:cs="宋体"/>
                <w:sz w:val="24"/>
                <w:highlight w:val="none"/>
                <w:lang w:val="en-US" w:eastAsia="zh-CN"/>
              </w:rPr>
              <w:t xml:space="preserve">修工</w:t>
            </w:r>
            <w:r/>
          </w:p>
        </w:tc>
        <w:tc>
          <w:tcPr>
            <w:tcW w:w="1002" w:type="dxa"/>
            <w:vAlign w:val="center"/>
            <w:textDirection w:val="lrTb"/>
            <w:noWrap w:val="false"/>
          </w:tcPr>
          <w:p>
            <w:pPr>
              <w:jc w:val="center"/>
              <w:spacing w:line="300" w:lineRule="auto"/>
              <w:widowControl/>
              <w:rPr>
                <w:rFonts w:hint="eastAsia"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人</w:t>
            </w:r>
            <w:r/>
          </w:p>
        </w:tc>
        <w:tc>
          <w:tcPr>
            <w:tcW w:w="5399" w:type="dxa"/>
            <w:vAlign w:val="center"/>
            <w:textDirection w:val="lrTb"/>
            <w:noWrap w:val="false"/>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男性：58周岁（含）以下，女性：50周岁（含）以下，高中（或中专）以上文化。掌握水电维修、家具设施小修等实操技能。</w:t>
            </w:r>
            <w:r/>
          </w:p>
        </w:tc>
      </w:tr>
      <w:tr>
        <w:trPr>
          <w:jc w:val="center"/>
          <w:trHeight w:val="614"/>
        </w:trPr>
        <w:tc>
          <w:tcPr>
            <w:tcW w:w="903" w:type="dxa"/>
            <w:vAlign w:val="center"/>
            <w:textDirection w:val="lrTb"/>
            <w:noWrap w:val="false"/>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6</w:t>
            </w:r>
            <w:r/>
          </w:p>
        </w:tc>
        <w:tc>
          <w:tcPr>
            <w:tcW w:w="1383" w:type="dxa"/>
            <w:vAlign w:val="center"/>
            <w:textDirection w:val="lrTb"/>
            <w:noWrap w:val="false"/>
          </w:tcPr>
          <w:p>
            <w:pPr>
              <w:jc w:val="center"/>
              <w:spacing w:line="300" w:lineRule="auto"/>
              <w:widowControl/>
              <w:rPr>
                <w:rFonts w:hint="eastAsia" w:ascii="宋体" w:hAnsi="宋体" w:cs="宋体"/>
                <w:sz w:val="24"/>
                <w:highlight w:val="none"/>
              </w:rPr>
            </w:pPr>
            <w:r>
              <w:rPr>
                <w:rFonts w:hint="eastAsia" w:ascii="宋体" w:hAnsi="宋体" w:cs="宋体"/>
                <w:sz w:val="24"/>
                <w:highlight w:val="none"/>
              </w:rPr>
              <w:t xml:space="preserve">消控室值班员</w:t>
            </w:r>
            <w:r/>
          </w:p>
        </w:tc>
        <w:tc>
          <w:tcPr>
            <w:tcW w:w="1002" w:type="dxa"/>
            <w:vAlign w:val="center"/>
            <w:textDirection w:val="lrTb"/>
            <w:noWrap w:val="false"/>
          </w:tcPr>
          <w:p>
            <w:pPr>
              <w:jc w:val="center"/>
              <w:spacing w:line="300" w:lineRule="auto"/>
              <w:widowControl/>
              <w:rPr>
                <w:rFonts w:hint="eastAsia" w:ascii="宋体" w:hAnsi="宋体" w:cs="宋体"/>
                <w:sz w:val="24"/>
                <w:highlight w:val="none"/>
                <w:lang w:eastAsia="zh-CN"/>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人</w:t>
            </w:r>
            <w:r/>
          </w:p>
        </w:tc>
        <w:tc>
          <w:tcPr>
            <w:tcW w:w="5399" w:type="dxa"/>
            <w:vAlign w:val="center"/>
            <w:textDirection w:val="lrTb"/>
            <w:noWrap w:val="false"/>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男性：58周岁（含）以下，女性：50周岁（含）以下，高中及以上文化，身体健康，责任心强，持有中级（四级）及以上消防设施操作员证书，有一定的突发情况处理经验。实行每日24小时双人值班制度。</w:t>
            </w:r>
            <w:r/>
          </w:p>
        </w:tc>
      </w:tr>
      <w:tr>
        <w:trPr>
          <w:jc w:val="center"/>
          <w:trHeight w:val="568"/>
        </w:trPr>
        <w:tc>
          <w:tcPr>
            <w:tcW w:w="903" w:type="dxa"/>
            <w:vAlign w:val="center"/>
            <w:textDirection w:val="lrTb"/>
            <w:noWrap w:val="false"/>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7</w:t>
            </w:r>
            <w:r/>
          </w:p>
        </w:tc>
        <w:tc>
          <w:tcPr>
            <w:tcW w:w="1383" w:type="dxa"/>
            <w:vAlign w:val="center"/>
            <w:textDirection w:val="lrTb"/>
            <w:noWrap w:val="false"/>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绿化工</w:t>
            </w:r>
            <w:r/>
          </w:p>
        </w:tc>
        <w:tc>
          <w:tcPr>
            <w:tcW w:w="1002" w:type="dxa"/>
            <w:vAlign w:val="center"/>
            <w:textDirection w:val="lrTb"/>
            <w:noWrap w:val="false"/>
          </w:tcPr>
          <w:p>
            <w:pPr>
              <w:jc w:val="center"/>
              <w:spacing w:line="30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1人</w:t>
            </w:r>
            <w:r/>
          </w:p>
        </w:tc>
        <w:tc>
          <w:tcPr>
            <w:tcW w:w="5399" w:type="dxa"/>
            <w:vAlign w:val="center"/>
            <w:textDirection w:val="lrTb"/>
            <w:noWrap w:val="false"/>
          </w:tcPr>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男性：58周岁（含）以下，女性：50周岁（含）以下，初中（或中专）以上文化，身体健康，责任心强，熟悉苗木养护、修剪等相关专业知识。</w:t>
            </w:r>
            <w:r/>
          </w:p>
        </w:tc>
      </w:tr>
      <w:tr>
        <w:trPr>
          <w:jc w:val="center"/>
          <w:trHeight w:val="768"/>
        </w:trPr>
        <w:tc>
          <w:tcPr>
            <w:tcW w:w="903" w:type="dxa"/>
            <w:vAlign w:val="center"/>
            <w:textDirection w:val="lrTb"/>
            <w:noWrap w:val="false"/>
          </w:tcPr>
          <w:p>
            <w:pPr>
              <w:jc w:val="center"/>
              <w:spacing w:line="300" w:lineRule="auto"/>
              <w:widowControl/>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8</w:t>
            </w:r>
            <w:r/>
          </w:p>
        </w:tc>
        <w:tc>
          <w:tcPr>
            <w:tcW w:w="1383" w:type="dxa"/>
            <w:vAlign w:val="center"/>
            <w:textDirection w:val="lrTb"/>
            <w:noWrap w:val="false"/>
          </w:tcPr>
          <w:p>
            <w:pPr>
              <w:jc w:val="center"/>
              <w:spacing w:line="300" w:lineRule="auto"/>
              <w:widowControl/>
              <w:rPr>
                <w:rFonts w:hint="eastAsia" w:ascii="宋体" w:hAnsi="宋体" w:cs="宋体"/>
                <w:b w:val="0"/>
                <w:bCs w:val="0"/>
                <w:sz w:val="24"/>
                <w:highlight w:val="none"/>
              </w:rPr>
            </w:pPr>
            <w:r>
              <w:rPr>
                <w:rFonts w:hint="eastAsia" w:ascii="宋体" w:hAnsi="宋体" w:cs="宋体"/>
                <w:b w:val="0"/>
                <w:bCs w:val="0"/>
                <w:sz w:val="24"/>
                <w:highlight w:val="none"/>
              </w:rPr>
              <w:t xml:space="preserve">合计</w:t>
            </w:r>
            <w:r/>
          </w:p>
        </w:tc>
        <w:tc>
          <w:tcPr>
            <w:tcW w:w="1002" w:type="dxa"/>
            <w:vAlign w:val="center"/>
            <w:textDirection w:val="lrTb"/>
            <w:noWrap w:val="false"/>
          </w:tcPr>
          <w:p>
            <w:pPr>
              <w:jc w:val="center"/>
              <w:spacing w:line="300" w:lineRule="auto"/>
              <w:widowControl/>
              <w:rPr>
                <w:rFonts w:hint="eastAsia" w:ascii="宋体" w:hAnsi="宋体" w:cs="宋体"/>
                <w:sz w:val="24"/>
                <w:highlight w:val="none"/>
              </w:rPr>
            </w:pPr>
            <w:r>
              <w:rPr>
                <w:rFonts w:hint="eastAsia" w:ascii="宋体" w:hAnsi="宋体" w:cs="宋体"/>
                <w:sz w:val="24"/>
                <w:highlight w:val="none"/>
                <w:lang w:val="en-US" w:eastAsia="zh-CN"/>
              </w:rPr>
              <w:t xml:space="preserve">19</w:t>
            </w:r>
            <w:r>
              <w:rPr>
                <w:rFonts w:hint="eastAsia" w:ascii="宋体" w:hAnsi="宋体" w:cs="宋体"/>
                <w:sz w:val="24"/>
                <w:highlight w:val="none"/>
              </w:rPr>
              <w:t xml:space="preserve">人</w:t>
            </w:r>
            <w:r/>
          </w:p>
        </w:tc>
        <w:tc>
          <w:tcPr>
            <w:tcW w:w="5399" w:type="dxa"/>
            <w:vAlign w:val="center"/>
            <w:textDirection w:val="lrTb"/>
            <w:noWrap w:val="false"/>
          </w:tcPr>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服务人员应当品行端正、身体健康，无违法犯罪记录，无传染病、精神病等不适宜从事相关工作的重大疾病；年龄、学历、工作经验及资格条件应当与所在岗位能力要求相匹配，到岗前应当经必要的岗前培训并考核合格。</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2.每季度至少开展1次岗位技能、职业素质、服务知识、客户文化、绿色节能环保等教育培训并考核；根据采购人要求对服务人员进行从业资格审查，审查结果向采购人报备。</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3.服务人员着装分类统一、佩戴标识，仪容整洁、姿态端正、举止文明，用语文明礼貌、态度温和耐心。</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服务人员应专职本岗位工作，不得在其他项目兼职；采购人认为服务人员不适应岗位要求或存在其他影响工作的，可要求供应商调换，因供应商原因调换的，应当经采购人同意，更换比例不得超过本项目服务人员总数的20%。</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5.投标时无须提供以上人员其他相关证书及证明，中标人必须按岗位定员数量和素质要求配备人员，否则视为违约。</w:t>
      </w:r>
      <w:r/>
    </w:p>
    <w:p>
      <w:pPr>
        <w:ind w:firstLine="482"/>
        <w:jc w:val="left"/>
        <w:spacing w:line="56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五、供应商综合实力要求</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投标人应具备与本项目相适应的综合实力，相关评价标准详见第五章“评标方法与评标标准”。</w:t>
      </w:r>
      <w:r/>
    </w:p>
    <w:p>
      <w:pPr>
        <w:ind w:firstLine="482"/>
        <w:jc w:val="left"/>
        <w:spacing w:line="56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4.1 企业认证</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投标人须具备良好的质量管理体系规范日常管理与服务，积极保障员工健康和安全，以保障本项目的顺利实施，具有有效期的质量管理体系认证证书、环境管理体系认证证书、职业健康安全管理体系认证证书的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。具体设立原因及需求说明如下：</w:t>
      </w:r>
      <w:r/>
    </w:p>
    <w:p>
      <w:pPr>
        <w:ind w:firstLine="482"/>
        <w:jc w:val="left"/>
        <w:spacing w:line="56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（1）质量管理体系认证要求设立目的</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盐城市综合档案馆属于服务细致、服务需求持续性强的特殊公共场所，物业服务涵盖保洁、安保、消控值班、绿化养护、设施维保、秩序维护、后勤保障等多项核心工作，服务质量直接关联场馆正常秩序与日常工作。要求供应商具备有效期内的质量管理体系认证，是为了筛选具备成熟标准化服务流程、完善质量管控机制、规范运营管理体系的物业服务企业。</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具备该认证的企业，拥有完善的服务策划、过程管控、质量监督、问题整改、售后复盘全流程管理制度，能够严格按照标准化流程开展各项物业服务工作，有效规避服务随意化、流程不规范、质量参差不齐等问题，持续稳定保障物业服务品质，满足场馆常态化、高标准的后勤服务保障需求。同时，有效证书要求可确保企业质量管理体系持续有效落地，并非静态资质，保障服务质量长效稳定。</w:t>
      </w:r>
      <w:r/>
    </w:p>
    <w:p>
      <w:pPr>
        <w:ind w:firstLine="482"/>
        <w:jc w:val="left"/>
        <w:spacing w:line="56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（2）环境管理体系认证要求设立目的</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盐城市综合档案馆是档案储存的核心场所，场馆环境卫生、生态环境、绿色运维直接影响工作人员身心健康和环境建设，也是场馆文化创建的核心内容。物业服务过程中的垃圾清运、绿化养护、清洁消杀、耗材使用、污水杂物处理等工作，均与场馆环境息息相关，若运维不规范，易造成环境污染、卫生隐患、生态破坏等问题。</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要求供应商具备有效的环境管理体系认证，可确保投标企业具备专业的环境管控能力、绿色运维理念和规范的环境治理流程，能够严格遵守环保规范开展物业服务工作，科学做好场馆绿化养护、环境卫生治理、污染物合规处理、节能降耗管理等工作，杜绝不规范作业带来的环境问题，持续维护整洁、绿色、健康、宜居的工作环境，契合场馆环境建设的核心要求，助力场馆绿色、文明、规范化建设。</w:t>
      </w:r>
      <w:r/>
    </w:p>
    <w:p>
      <w:pPr>
        <w:ind w:firstLine="482"/>
        <w:jc w:val="left"/>
        <w:spacing w:line="56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（3）职业健康安全管理体系认证要求设立目的</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盐城市综合档案馆物业服务涉及设施设备检修、清洁消杀、应急处置等多项高危、高频作业内容，存在各类安全隐患，安全管理是物业服务的重中之重，直接关系工作人员人身安全、财产安全和场馆的安全稳定大局。</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职业健康安全管理体系是规范企业安全作业、规避安全风险、保障人员健康安全的核心资质。要求企业具备该有效认证，可筛选出具备完善安全管理制度、专业安全作业流程、风险防控能力、应急处置能力的物业服务企业。企业可通过标准化的安全管理体系，规范一线服务人员作业行为，定期开展安全隐患排查、员工职业健康防护、安全培训及应急演练，有效防范设备作业安全、消防安全、消杀安全、人员值守等各类安全事故发生，全方位保障物业服务人员职业健康，同时筑牢场馆安全防线，保障场馆内人身及财产安全，满足场馆安全管理的刚性要求。</w:t>
      </w:r>
      <w:r/>
    </w:p>
    <w:p>
      <w:pPr>
        <w:ind w:firstLine="482"/>
        <w:jc w:val="left"/>
        <w:spacing w:line="56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4.2 企业业绩</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投标人应具备同类物业管理服务经验，承担过相关物业服务业绩，确保本项目的顺利实施，投标人自2023年1月1日以来（以合同签订时间为准）承接过类似项目业绩（类似项目指党政机关、事业单位、企业单位物业管理项目（不含住宅、工厂等））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4.3 人员配备</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为体现投标人的服务质量、物业管理等综合实力水平，投标人拟派驻项目经理具有本科及以上学历、保安职业技能等级高级（三级）及以上证书的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；拟派保安人员中具有保安职业技能等级高级（三级）及以上证书的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；拟派水电维修工中同时持有高压和低压电工作业证的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w:t>
      </w:r>
      <w:r/>
    </w:p>
    <w:p>
      <w:pPr>
        <w:numPr>
          <w:ilvl w:val="0"/>
          <w:numId w:val="1"/>
        </w:numPr>
        <w:ind w:firstLine="482"/>
        <w:jc w:val="left"/>
        <w:keepLines w:val="0"/>
        <w:keepNext w:val="0"/>
        <w:pageBreakBefore w:val="0"/>
        <w:spacing w:line="560" w:lineRule="exact"/>
        <w:widowControl w:val="off"/>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投标技术方案</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投标人应根据采购需求和本项目实际，围绕盐城市综合档案馆物业服务（安全保卫服务、环境保洁服务、消防监控值班服务、会议接待服务、房屋及设施设备维护服务、绿化养护服务）编制投标技术方案，方案应至少包括以下七个方面内容。</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（一）项目总体实施方案与策划</w:t>
      </w:r>
      <w:r>
        <w:rPr>
          <w:rFonts w:hint="eastAsia" w:ascii="宋体" w:hAnsi="宋体" w:eastAsia="宋体" w:cs="宋体"/>
          <w:color w:val="auto"/>
          <w:sz w:val="24"/>
          <w:highlight w:val="none"/>
          <w:lang w:val="en-US" w:eastAsia="zh-CN"/>
        </w:rPr>
        <w:t xml:space="preserve">，内容应至少包括：</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投标人应根据本项目认知、服务定位、管理理念、整体设想四个方面编制总体实施方案与策划，方案至少包含以下内容：</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本项目认知：结合盐城市综合档案馆总建筑面积约9.59万㎡（含地下人防设施1.36万㎡）、室外绿地约2万㎡，馆内设有档案库房、查档服务大厅、会议室、报告厅及办公用房等实际情况，阐述投标人对本项目的理解和把握，至少包括管理服务的宗旨、方针、目标、设想与特色，服务的重点及难点（档案安全保管与保密、消防安全、秩序维护、环境品质等），以及拟采取的高标准、高水平管理模式及措施。</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服务定位：结合档案馆兼具公共服务窗口和档案安全保管场所的双重特点，明确服务定位，至少包括：基础定位——保障性服务（设施保障、秩序保障、环境保障、应急保障）；核心定位——品质化服务（环境品质、会务品质、响应品质、形象品质）；关键定位——档案安全保密服务（馆区安全防范、档案库房周边管控、涉密会议与资料保密管理）等。</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管理理念：阐述本项目拟遵循的管理理念，至少包括：以人为本，尊重馆内工作人员、查档群众的服务体验与员工职业成长；预防为先，强化风险前置管控与隐患排查治理，变被动应对为主动防控；精细运营，推行标准化作业、痕迹化管理和数据化决策，将服务品质落实到每个岗位、每个环节；持续改进，建立PDCA循环与对标提升机制，推动服务品质不断提升。</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整体设想：提出本项目物业服务的整体设想和实施蓝图，至少包括：专业筑基，建立标准化管理体系、组建专业化团队、关键岗位持证上岗；科技赋能，建设智慧物业综合管理平台，集成智能安防、线上报修、电子巡检、能耗监测、智能会务等模块；温度服务，推行主动服务、贴心服务，关注细节体验与人文关怀。统筹安全保卫、环境保洁、消防监控、会议接待、房屋及设施设备维护、绿化养护六大服务内容，明确进场交接、日常运行、各阶段工作安排及预期成效。</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（二）岗位设置及职责、培训考核等管理制度</w:t>
      </w:r>
      <w:r>
        <w:rPr>
          <w:rFonts w:hint="eastAsia" w:ascii="宋体" w:hAnsi="宋体" w:eastAsia="宋体" w:cs="宋体"/>
          <w:color w:val="auto"/>
          <w:sz w:val="24"/>
          <w:highlight w:val="none"/>
          <w:lang w:val="en-US" w:eastAsia="zh-CN"/>
        </w:rPr>
        <w:t xml:space="preserve">，内容应至少包括：</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岗位设置及职责：根据“三、物业管理服务人员配备及相关要求”，细化项目负责人（项目经理）、保安员、消控室值班员、保洁员、接待员、水电维修工、绿化工等岗位的设置和职责分工，至少包括各岗位的岗位说明书、职责边界、工作标准、考核指标等内容，做到职责分工明确、界限清晰、定岗定责，确保岗位不缺人、24小时服务不断档。</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培训考核：制定岗位培训体系和考核制度，至少包括培训体系架构、重点培训内容、培训管理流程，对各类管理人员的培训计划、培训方式、培训目标及言行规范、仪容仪表、公众形象等内容；明确新员工岗前培训、在岗人员定期培训及考核办法，确保人员持证上岗、规范作业。</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（三）制度的建立方案</w:t>
      </w:r>
      <w:r>
        <w:rPr>
          <w:rFonts w:hint="eastAsia" w:ascii="宋体" w:hAnsi="宋体" w:eastAsia="宋体" w:cs="宋体"/>
          <w:color w:val="auto"/>
          <w:sz w:val="24"/>
          <w:highlight w:val="none"/>
          <w:lang w:val="en-US" w:eastAsia="zh-CN"/>
        </w:rPr>
        <w:t xml:space="preserve">，内容应至少包括：</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1.建立健全管理制度：结合本项目实际，建立涵盖人员管理、安全管理、消防安全管理、保密管理、档案管理、保洁管理、绿化管理、设施设备管理等内容的制度体系，做到事事有章可循。</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2.制度更新机制：定期对制度进行评审、修订和完善，确保制度与项目实际、法律法规及采购人要求相适应。</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3.制度宣贯与执行：组织服务人员学习、培训、考核，确保制度落地执行，并将制度执行情况纳入日常考核。</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4.物业档案管理制度：建立物业档案管理制度，规范服务记录、设施设备台账、巡查维保记录、会议接待记录等档案的收集、整理、归档和保管，确保档案齐全、安全、可追溯。</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（四）拟采取的管理服务模式</w:t>
      </w:r>
      <w:r>
        <w:rPr>
          <w:rFonts w:hint="eastAsia" w:ascii="宋体" w:hAnsi="宋体" w:eastAsia="宋体" w:cs="宋体"/>
          <w:color w:val="auto"/>
          <w:sz w:val="24"/>
          <w:highlight w:val="none"/>
          <w:lang w:val="en-US" w:eastAsia="zh-CN"/>
        </w:rPr>
        <w:t xml:space="preserve">，内容应至少包括：</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1.管理模式创新：结合本项目实际，推行标准化、信息化、精细化管理，利用智慧物业手段（智能安防、线上报修、电子巡检、能耗监测等）提升服务效率和管理水平。</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2.区域职能划分：结合档案馆功能布局（档案库房、查档服务大厅、会议室、报告厅、办公用房等），科学划分管理区域，明确各区域管理职责和服务标准，实行网格化、责任化管理。</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3.关键岗位管理：对项目负责人（项目经理）、保安员、消控室值班员、接待员、水电维修工等关键岗位实行定岗、定责、定标准管理，关键岗位持证上岗，确保24小时不间断服务。</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4.服务质量监控：建立服务质量监控体系，实行日常巡查、定期检查和考核评价，通过数据分析和采购人满意度回访持续改进服务质量。</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（五）安保管理</w:t>
      </w:r>
      <w:r>
        <w:rPr>
          <w:rFonts w:hint="eastAsia" w:ascii="宋体" w:hAnsi="宋体" w:eastAsia="宋体" w:cs="宋体"/>
          <w:color w:val="auto"/>
          <w:sz w:val="24"/>
          <w:highlight w:val="none"/>
          <w:lang w:val="en-US" w:eastAsia="zh-CN"/>
        </w:rPr>
        <w:t xml:space="preserve">，内容应至少包括：</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结合“二、详细服务要求”中安全保卫服务、消防监控值班服务要求，从以下方面编制方案：</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巡逻与值守：落实24小时值班巡查制度，制定巡查路线，配备四轮电动巡逻车，加强档案库房周边、出入口、办公区域等重点区域、重点部位的巡查，确保巡查不留盲区；巡查期间保持通信畅通，遇异常情况立即上报并现场处置。</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2.秩序维护：做好门岗值守、访客登记、车辆停放管理、大件物品出入查验和馆内秩序维护，实行外来人员“联系确认—登记放行—离开注销”闭环管理，严防违禁品、限带品进入馆区。</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3.消防管理：落实消防安全责任制，配合消防监控值班，做好消火栓、灭火器、应急照明、疏散指示等消防设施设备日常巡查，确保消防设施完好、消防通道畅通，定期开展消防安全宣传和演练。</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4.技防管理：加强视频监控、门禁、报警等技防设施运行管理，确保监控设备24小时正常运行、监控记录保存不少于90天，实现人防、物防、技防有机结合。</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5.应急救援：建立应急突发事件处置队伍，明确各岗位应急职责，制定应急处置流程，确保突发事件及时处置、及时报告。</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（六）客服会务及保洁服务管理</w:t>
      </w:r>
      <w:r>
        <w:rPr>
          <w:rFonts w:hint="eastAsia" w:ascii="宋体" w:hAnsi="宋体" w:eastAsia="宋体" w:cs="宋体"/>
          <w:color w:val="auto"/>
          <w:sz w:val="24"/>
          <w:highlight w:val="none"/>
          <w:lang w:val="en-US" w:eastAsia="zh-CN"/>
        </w:rPr>
        <w:t xml:space="preserve">，内容应至少包括：</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结合“二、详细服务要求”中环境保洁服务、会议接待服务要求，从以下方面编制方案：</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会务服务：做好会议预订受理、会前准备（会场布置、设备调试、茶水文具准备）、会中服务（续水礼仪、多媒体技术支持、应急保障）、会后整理（清理现场、关闭设备、物品归位、检查遗留物品）全流程服务，保障会议设备正常使用；涉密会议严格执行保密纪律，不得翻阅、透露会议资料。</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2.报刊收发及邮寄：做好邮件、包裹、挂号信的登记、分理和安全检查，及时投送或通知收件人领取；大件物品出入向采购人报告、确认后放行。</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保洁服务：落实保洁区域分级管理，做好办公用房区域、公共场地区域、公共卫生间、电梯轿厢等的清洁作业，保持无杂物、无积水、无异味；做好垃圾日产日清、分类收集、密闭运输和卫生消毒、消杀除四害；雨雪天气及时铺设防滑垫、清理积水积雪，确保环境整洁有序。</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4.保洁机械配置：结合本项目保洁作业需要，列明拟投入的保洁机械（包括但不限于洗扫车、洗地机、高压清洗机、吸尘吸水机等）的名称、规格型号、数量及用途，满足馆区保洁作业需求。</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（七）适合本项目的各种突发事件的处理预案</w:t>
      </w:r>
      <w:r>
        <w:rPr>
          <w:rFonts w:hint="eastAsia" w:ascii="宋体" w:hAnsi="宋体" w:eastAsia="宋体" w:cs="宋体"/>
          <w:color w:val="auto"/>
          <w:sz w:val="24"/>
          <w:highlight w:val="none"/>
          <w:lang w:val="en-US" w:eastAsia="zh-CN"/>
        </w:rPr>
        <w:t xml:space="preserve">，内容应至少包括：</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1.预案体系：结合本项目实际，对重点部位和危险隐患进行排查建档，制定专项应急预案，至少包括火情火警紧急处理、紧急疏散、停水停电、恶劣天气应对等预案。</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2.应急组织与响应：明确应急组织架构和各岗位应急职责，建立分级响应机制，确保突发事件发生时快速响应、有效处置、及时报告。</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3.演练与改进：定期组织应急预案培训和演练，每半年至少开展一次专项演练，涵盖消防疏散、停水停电、恶劣天气等科目，演练后及时评估总结、修订完善预案，留存培训与演练记录。</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4.应急物资管理：配置必要的应急物资，分类建立应急物资清单和管理台账，明确物资名称、规格型号、数量、存放位置、责任人，专人管理、每月至少检查一次，确保账物相符、完好可用。</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5.应急响应时效：明确各类突发事件的响应时效标准（如紧急报修15分钟内到达现场等），确保第一时间响应、第一时间处置、第一时间报告。</w:t>
      </w:r>
      <w:r/>
    </w:p>
    <w:p>
      <w:pPr>
        <w:ind w:firstLine="482"/>
        <w:jc w:val="left"/>
        <w:spacing w:line="56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七、付款方式</w:t>
      </w:r>
      <w:r/>
    </w:p>
    <w:p>
      <w:pPr>
        <w:ind w:firstLine="482"/>
        <w:jc w:val="left"/>
        <w:spacing w:line="560" w:lineRule="exact"/>
        <w:widowControl/>
        <w:rPr>
          <w:rFonts w:hint="eastAsia" w:ascii="宋体" w:hAnsi="宋体" w:eastAsia="宋体" w:cs="宋体"/>
          <w:color w:val="auto"/>
          <w:sz w:val="24"/>
          <w:highlight w:val="none"/>
          <w:lang w:val="en-US"/>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en-US"/>
        </w:rPr>
        <w:t xml:space="preserve">预付款支付时间：合同签订后，甲方收到等额增值税发票后1</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en-US"/>
        </w:rPr>
        <w:t xml:space="preserve">个工作日内支付合同金额的30%。</w:t>
      </w:r>
      <w:r/>
    </w:p>
    <w:p>
      <w:pPr>
        <w:ind w:firstLine="482"/>
        <w:jc w:val="left"/>
        <w:spacing w:line="560" w:lineRule="exact"/>
        <w:widowControl/>
        <w:rPr>
          <w:rFonts w:hint="eastAsia" w:ascii="宋体" w:hAnsi="宋体" w:eastAsia="宋体" w:cs="宋体"/>
          <w:color w:val="auto"/>
          <w:sz w:val="24"/>
          <w:highlight w:val="none"/>
          <w:lang w:val="en-US"/>
        </w:rPr>
        <w:outlineLvl w:val="9"/>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en-US"/>
        </w:rPr>
        <w:t xml:space="preserve">剩余款项支付时间：</w:t>
      </w:r>
      <w:r>
        <w:rPr>
          <w:rFonts w:hint="eastAsia" w:ascii="宋体" w:hAnsi="宋体" w:eastAsia="宋体" w:cs="宋体"/>
          <w:color w:val="auto"/>
          <w:sz w:val="24"/>
          <w:highlight w:val="none"/>
          <w:lang w:val="zh-CN" w:eastAsia="zh-CN"/>
        </w:rPr>
        <w:t xml:space="preserve">物业管理服务费实行“月度考核、每三个月支付一次”的方式，即甲方于每月对上月度的物业管理服务工作进行考核，考核结果作为支付依据；自合同生效之日起每连续三个月为一个支付周期，乙方在每个支付周期结束后向甲方提供等额合规发票，甲方在收到发票后10个工作日内，根据该周期内各月的考核结果，向乙方支付经考核合格的上一个支付周期的物业管理服务费，每次支付时扣除预付款总额的四分之一。</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.每周期期满后，采购人采用资料查核、现场验证、抽样检查、询问等方法对物业服务质量进行综合考核（考核总分100分），并按考核结果支付相应服务费用：</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（1）考核得分90分及以上的，按应付金额的100%支付；</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（2）考核得分85分（含）以上、90分以下的，按应付金额的90%支付；</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（3）考核得分80分（含）以上、85分以下的，按应付金额的85%支付；</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（4）考核得分75分（含）以上、80分以下的，按应付金额的80%支付；</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（5）考核得分70分（含）以上、75分以下的，按应付金额的75%支付；</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（6）考核得分低于70分的，视为未达到采购人最基本的服务要求，采购人有权拒绝付款并终止合同。</w:t>
      </w:r>
      <w:r/>
    </w:p>
    <w:p>
      <w:pPr>
        <w:ind w:firstLine="480"/>
        <w:jc w:val="both"/>
        <w:keepLines w:val="0"/>
        <w:keepNext w:val="0"/>
        <w:pageBreakBefore w:val="0"/>
        <w:spacing w:before="60" w:after="60" w:line="42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、其他需要说明的事项</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零星维修材料费用：单次维修材料总费用在300元以内的配件（含螺丝、合页、灯泡、水龙头及密封圈、密封胶、门锁小配件、管道疏通耗材等）及局部维修主材（如墙面小面积修补腻子、局部补漆涂料、零星地砖更换等），其材料购置和人工费用包含在物业服务合同金额内，由供应商承担；上述情形之外的，材料购置费由采购人承担，人工费由供应商承担；在</w:t>
      </w:r>
      <w:r>
        <w:rPr>
          <w:rFonts w:hint="eastAsia" w:ascii="宋体" w:hAnsi="宋体" w:eastAsia="宋体" w:cs="宋体"/>
          <w:color w:val="auto"/>
          <w:sz w:val="24"/>
          <w:highlight w:val="none"/>
          <w:lang w:val="en-US" w:eastAsia="zh-CN"/>
        </w:rPr>
        <w:t xml:space="preserve">原工程建设</w:t>
      </w:r>
      <w:r>
        <w:rPr>
          <w:rFonts w:hint="eastAsia" w:ascii="宋体" w:hAnsi="宋体" w:eastAsia="宋体" w:cs="宋体"/>
          <w:color w:val="auto"/>
          <w:sz w:val="24"/>
          <w:highlight w:val="none"/>
        </w:rPr>
        <w:t xml:space="preserve">质保范围内的，由采购人联系施工单位维修。</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低值易耗品费用：采购人不提供低值易耗品，环境维护类（卫生间去味剂、普通清洁工具、垃圾袋、普通消杀药剂、保洁用手套等）及绿化养护类（小型修剪工具、常规农药、普通肥料、劳保防护手套、小型洒水壶等）工具耗材的相关费用包含在物业合同总价内，由供应商承担。</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3.客耗品费用：公共卫生间普通卷纸、擦手纸、洗手液及公共区域应急便民箱内普通创可贴、消毒棉片等小额便民物资的费用由供应商承担；开水间饮水机滤芯更换、会议用一次性饮水纸杯的费用由采购人承担。</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注：本款涉及的零星维修材料、低值易耗品、客耗品等费用，不论由供应商还是采购人承担，相关服务均由供应商提供，服务费用包含在物业服务项目合同金额之内。</w:t>
      </w:r>
      <w:r/>
    </w:p>
    <w:p>
      <w:pPr>
        <w:pStyle w:val="871"/>
        <w:ind w:firstLine="482"/>
        <w:jc w:val="both"/>
        <w:spacing w:beforeAutospacing="0" w:afterAutospacing="0" w:line="0" w:lineRule="atLeas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、采购标的对应的中小企业划分标准所属行业一览表</w:t>
      </w:r>
      <w:r/>
    </w:p>
    <w:tbl>
      <w:tblPr>
        <w:tblStyle w:val="864"/>
        <w:tblW w:w="8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24"/>
        <w:gridCol w:w="3996"/>
        <w:gridCol w:w="3668"/>
      </w:tblGrid>
      <w:tr>
        <w:trPr>
          <w:jc w:val="center"/>
          <w:tblCellSpacing w:w="0" w:type="dxa"/>
          <w:trHeight w:val="816"/>
        </w:trPr>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71"/>
              <w:jc w:val="center"/>
              <w:spacing w:beforeAutospacing="0" w:afterAutospacing="0"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pStyle w:val="871"/>
              <w:jc w:val="center"/>
              <w:spacing w:beforeAutospacing="0" w:afterAutospacing="0"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pStyle w:val="871"/>
              <w:jc w:val="center"/>
              <w:spacing w:beforeAutospacing="0" w:afterAutospacing="0" w:line="0" w:lineRule="atLeas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对应中小企业划分标准所属行业</w:t>
            </w:r>
            <w:r/>
          </w:p>
        </w:tc>
      </w:tr>
      <w:tr>
        <w:trPr>
          <w:jc w:val="center"/>
          <w:tblCellSpacing w:w="0" w:type="dxa"/>
          <w:trHeight w:val="819"/>
        </w:trPr>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center"/>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盐城市综合档案馆物业服务项目</w:t>
            </w:r>
            <w:r/>
          </w:p>
        </w:tc>
        <w:tc>
          <w:tcPr>
            <w:shd w:val="clear" w:color="auto" w:fill="auto"/>
            <w:tcBorders>
              <w:top w:val="single" w:color="000000" w:sz="4" w:space="0"/>
              <w:left w:val="single" w:color="000000" w:sz="4" w:space="0"/>
              <w:bottom w:val="single" w:color="000000" w:sz="4" w:space="0"/>
              <w:right w:val="single" w:color="000000" w:sz="4" w:space="0"/>
            </w:tcBorders>
            <w:tcW w:w="3668" w:type="dxa"/>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物业管理</w:t>
            </w:r>
            <w:r/>
          </w:p>
        </w:tc>
      </w:tr>
    </w:tbl>
    <w:p>
      <w:pPr>
        <w:shd w:val="nil" w:color="auto"/>
        <w:rPr>
          <w:rFonts w:hint="eastAsia" w:ascii="黑体" w:hAnsi="黑体" w:eastAsia="黑体" w:cs="黑体"/>
          <w:b w:val="0"/>
          <w:bCs w:val="0"/>
          <w:color w:val="auto"/>
          <w:highlight w:val="none"/>
        </w:rPr>
      </w:pPr>
      <w:r>
        <w:rPr>
          <w:highlight w:val="none"/>
        </w:rPr>
        <w:br w:type="page" w:clear="all"/>
      </w:r>
      <w:r>
        <w:rPr>
          <w:highlight w:val="none"/>
        </w:rPr>
      </w:r>
      <w:r/>
    </w:p>
    <w:p>
      <w:pPr>
        <w:jc w:val="center"/>
        <w:rPr>
          <w:highlight w:val="none"/>
        </w:rPr>
      </w:pPr>
      <w:r/>
      <w:bookmarkStart w:id="169" w:name="_Toc25376"/>
      <w:r/>
      <w:bookmarkStart w:id="170" w:name="_Toc120614281"/>
      <w:r>
        <w:rPr>
          <w:rFonts w:hint="eastAsia" w:ascii="黑体" w:hAnsi="黑体" w:eastAsia="黑体" w:cs="黑体"/>
          <w:b w:val="0"/>
          <w:bCs w:val="0"/>
          <w:color w:val="auto"/>
          <w:sz w:val="44"/>
          <w:szCs w:val="44"/>
          <w:highlight w:val="none"/>
        </w:rPr>
        <w:t xml:space="preserve">第五章</w:t>
      </w:r>
      <w:r>
        <w:rPr>
          <w:rFonts w:hint="eastAsia" w:ascii="黑体" w:hAnsi="黑体" w:eastAsia="黑体" w:cs="黑体"/>
          <w:b w:val="0"/>
          <w:bCs w:val="0"/>
          <w:color w:val="auto"/>
          <w:sz w:val="44"/>
          <w:szCs w:val="44"/>
          <w:highlight w:val="none"/>
          <w:lang w:val="en-US" w:eastAsia="zh-CN"/>
        </w:rPr>
        <w:t xml:space="preserve"> </w:t>
      </w:r>
      <w:r>
        <w:rPr>
          <w:rFonts w:hint="eastAsia" w:ascii="黑体" w:hAnsi="黑体" w:eastAsia="黑体" w:cs="黑体"/>
          <w:b w:val="0"/>
          <w:bCs w:val="0"/>
          <w:color w:val="auto"/>
          <w:sz w:val="44"/>
          <w:szCs w:val="44"/>
          <w:highlight w:val="none"/>
        </w:rPr>
        <w:t xml:space="preserve">评标方法与评标标准</w:t>
      </w:r>
      <w:bookmarkEnd w:id="169"/>
      <w:r/>
      <w:r/>
    </w:p>
    <w:p>
      <w:pPr>
        <w:ind w:firstLine="482"/>
        <w:jc w:val="left"/>
        <w:spacing w:line="560" w:lineRule="exact"/>
        <w:widowControl/>
        <w:rPr>
          <w:rFonts w:hint="eastAsia" w:ascii="宋体" w:hAnsi="宋体" w:eastAsia="宋体" w:cs="宋体"/>
          <w:b/>
          <w:bCs/>
          <w:color w:val="auto"/>
          <w:sz w:val="24"/>
          <w:highlight w:val="none"/>
          <w:lang w:val="zh-CN"/>
        </w:rPr>
        <w:outlineLvl w:val="9"/>
      </w:pPr>
      <w:r>
        <w:rPr>
          <w:rFonts w:hint="eastAsia" w:ascii="宋体" w:hAnsi="宋体" w:eastAsia="宋体" w:cs="宋体"/>
          <w:b/>
          <w:bCs/>
          <w:color w:val="auto"/>
          <w:sz w:val="24"/>
          <w:highlight w:val="none"/>
          <w:lang w:val="zh-CN"/>
        </w:rPr>
        <w:t xml:space="preserve">一、定标原则</w:t>
      </w:r>
      <w:r/>
    </w:p>
    <w:p>
      <w:pPr>
        <w:ind w:firstLine="482"/>
        <w:jc w:val="left"/>
        <w:spacing w:line="560" w:lineRule="exact"/>
        <w:widowControl/>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本项目采用</w:t>
      </w:r>
      <w:r>
        <w:rPr>
          <w:rFonts w:hint="eastAsia" w:ascii="宋体" w:hAnsi="宋体" w:eastAsia="宋体" w:cs="宋体"/>
          <w:color w:val="auto"/>
          <w:sz w:val="24"/>
          <w:highlight w:val="none"/>
          <w:u w:val="single"/>
          <w:lang w:val="zh-CN"/>
        </w:rPr>
        <w:t xml:space="preserve">综合评分</w:t>
      </w:r>
      <w:r>
        <w:rPr>
          <w:rFonts w:hint="eastAsia" w:ascii="宋体" w:hAnsi="宋体" w:eastAsia="宋体" w:cs="宋体"/>
          <w:color w:val="auto"/>
          <w:sz w:val="24"/>
          <w:highlight w:val="none"/>
          <w:lang w:val="zh-CN"/>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1、小微型企业价格扣除</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（1）本项目专门面向中小企业采购，不再对小型和微型企业报价给予价格扣除。</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（2）供应商需按照采购文件的要求提供相应的《中小企业声明函》。</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2、残疾人福利单位价格扣除</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（1）本项目对残疾人福利性单位视同小型、微型企业。</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（2）残疾人福利单位需按照采购文件的要求提供《残疾人福利性单位声明函》。</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3、监狱和戒毒企业价格扣除</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（1）本项目对监狱和戒毒企业（简称监狱企业）视同小型、微型企业。</w:t>
      </w:r>
      <w:r/>
    </w:p>
    <w:p>
      <w:pPr>
        <w:ind w:firstLine="482"/>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（3）监狱企业标准请参照《关于政府采购支持监狱企业发展有关问题的通知》（财库〔2014〕68号）。</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4、残疾人福利单位、监狱企业属于小型、微型企业的，不重复享受政策。</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w:t>
      </w:r>
      <w:r>
        <w:rPr>
          <w:rFonts w:hint="eastAsia" w:ascii="宋体" w:hAnsi="宋体" w:eastAsia="宋体" w:cs="宋体"/>
          <w:color w:val="auto"/>
          <w:sz w:val="24"/>
          <w:highlight w:val="none"/>
        </w:rPr>
        <w:t xml:space="preserve">优先采购节能产品、环境标志产品。</w:t>
      </w:r>
      <w:r/>
    </w:p>
    <w:p>
      <w:pPr>
        <w:ind w:firstLine="482"/>
        <w:jc w:val="left"/>
        <w:keepLines w:val="0"/>
        <w:keepNext w:val="0"/>
        <w:pageBreakBefore w:val="0"/>
        <w:spacing w:line="560" w:lineRule="exact"/>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评标方法与评标标准</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本项目评分总分值为100分。</w:t>
      </w:r>
      <w:r/>
    </w:p>
    <w:tbl>
      <w:tblPr>
        <w:tblStyle w:val="8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975"/>
        <w:gridCol w:w="836"/>
        <w:gridCol w:w="6233"/>
      </w:tblGrid>
      <w:tr>
        <w:trPr>
          <w:jc w:val="center"/>
          <w:trHeight w:val="90"/>
        </w:trPr>
        <w:tc>
          <w:tcPr>
            <w:tcW w:w="664" w:type="dxa"/>
            <w:vAlign w:val="center"/>
            <w:textDirection w:val="lrTb"/>
            <w:noWrap w:val="false"/>
          </w:tcPr>
          <w:p>
            <w:pPr>
              <w:jc w:val="center"/>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序号</w:t>
            </w:r>
            <w:r/>
          </w:p>
        </w:tc>
        <w:tc>
          <w:tcPr>
            <w:tcW w:w="975" w:type="dxa"/>
            <w:vAlign w:val="center"/>
            <w:textDirection w:val="lrTb"/>
            <w:noWrap w:val="false"/>
          </w:tcPr>
          <w:p>
            <w:pPr>
              <w:jc w:val="center"/>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评审</w:t>
            </w:r>
            <w:r/>
          </w:p>
          <w:p>
            <w:pPr>
              <w:jc w:val="center"/>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b/>
                <w:color w:val="auto"/>
                <w:sz w:val="21"/>
                <w:szCs w:val="21"/>
                <w:highlight w:val="none"/>
                <w:lang w:val="en-US" w:eastAsia="zh-CN"/>
              </w:rPr>
              <w:t xml:space="preserve">因素</w:t>
            </w:r>
            <w:r/>
          </w:p>
        </w:tc>
        <w:tc>
          <w:tcPr>
            <w:shd w:val="clear" w:color="auto" w:fill="auto"/>
            <w:tcW w:w="836" w:type="dxa"/>
            <w:vAlign w:val="center"/>
            <w:textDirection w:val="lrTb"/>
            <w:noWrap w:val="false"/>
          </w:tcPr>
          <w:p>
            <w:pPr>
              <w:jc w:val="center"/>
              <w:rPr>
                <w:rFonts w:hint="eastAsia" w:ascii="宋体" w:hAnsi="宋体" w:eastAsia="宋体" w:cs="宋体"/>
                <w:b/>
                <w:color w:val="auto"/>
                <w:sz w:val="21"/>
                <w:szCs w:val="21"/>
                <w:highlight w:val="none"/>
                <w:lang w:val="en-US" w:eastAsia="zh-CN"/>
              </w:rPr>
              <w:outlineLvl w:val="9"/>
            </w:pPr>
            <w:r>
              <w:rPr>
                <w:rFonts w:hint="eastAsia" w:ascii="宋体" w:hAnsi="宋体" w:eastAsia="宋体" w:cs="宋体"/>
                <w:b/>
                <w:color w:val="auto"/>
                <w:sz w:val="21"/>
                <w:szCs w:val="21"/>
                <w:highlight w:val="none"/>
                <w:lang w:val="en-US" w:eastAsia="zh-CN"/>
              </w:rPr>
              <w:t xml:space="preserve">满分</w:t>
            </w:r>
            <w:r/>
          </w:p>
          <w:p>
            <w:pPr>
              <w:jc w:val="center"/>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b/>
                <w:color w:val="auto"/>
                <w:sz w:val="21"/>
                <w:szCs w:val="21"/>
                <w:highlight w:val="none"/>
              </w:rPr>
              <w:t xml:space="preserve">分值</w:t>
            </w:r>
            <w:r/>
          </w:p>
        </w:tc>
        <w:tc>
          <w:tcPr>
            <w:tcW w:w="6233" w:type="dxa"/>
            <w:vAlign w:val="center"/>
            <w:textDirection w:val="lrTb"/>
            <w:noWrap w:val="false"/>
          </w:tcPr>
          <w:p>
            <w:pPr>
              <w:jc w:val="center"/>
              <w:rPr>
                <w:rFonts w:hint="eastAsia" w:ascii="宋体" w:hAnsi="宋体" w:eastAsia="宋体" w:cs="宋体"/>
                <w:color w:val="auto"/>
                <w:sz w:val="21"/>
                <w:szCs w:val="21"/>
                <w:highlight w:val="none"/>
                <w:lang w:eastAsia="zh-CN"/>
              </w:rPr>
              <w:outlineLvl w:val="9"/>
            </w:pPr>
            <w:r>
              <w:rPr>
                <w:rFonts w:hint="eastAsia" w:ascii="宋体" w:hAnsi="宋体" w:eastAsia="宋体" w:cs="宋体"/>
                <w:b/>
                <w:color w:val="auto"/>
                <w:sz w:val="21"/>
                <w:szCs w:val="21"/>
                <w:highlight w:val="none"/>
                <w:lang w:val="en-US" w:eastAsia="zh-CN"/>
              </w:rPr>
              <w:t xml:space="preserve">评分标准</w:t>
            </w:r>
            <w:r/>
          </w:p>
        </w:tc>
      </w:tr>
      <w:tr>
        <w:trPr>
          <w:jc w:val="center"/>
          <w:trHeight w:val="90"/>
        </w:trPr>
        <w:tc>
          <w:tcPr>
            <w:tcW w:w="66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p>
        </w:tc>
        <w:tc>
          <w:tcPr>
            <w:tcW w:w="97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投标</w:t>
            </w:r>
            <w:r/>
          </w:p>
          <w:p>
            <w:pPr>
              <w:jc w:val="center"/>
              <w:keepLines w:val="0"/>
              <w:keepNext w:val="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报价</w:t>
            </w:r>
            <w:r/>
          </w:p>
        </w:tc>
        <w:tc>
          <w:tcPr>
            <w:shd w:val="clear" w:color="auto" w:fill="auto"/>
            <w:tcW w:w="836"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50</w:t>
            </w:r>
            <w:r/>
          </w:p>
        </w:tc>
        <w:tc>
          <w:tcPr>
            <w:tcW w:w="6233" w:type="dxa"/>
            <w:vAlign w:val="center"/>
            <w:textDirection w:val="lrTb"/>
            <w:noWrap w:val="false"/>
          </w:tcPr>
          <w:p>
            <w:pPr>
              <w:ind w:firstLine="482"/>
              <w:jc w:val="left"/>
              <w:keepLines w:val="0"/>
              <w:keepNext w:val="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1.采用低价优先法，即满足招标文件要求且投标价格最低的投标报价为评标基准价，其价格分为满分。</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2.其他投标人的价格分统一按下列公式计算：投标报价得分＝（评标基准价/投标报价）×50（小数点保留两位）。</w:t>
            </w:r>
            <w:r/>
          </w:p>
        </w:tc>
      </w:tr>
      <w:tr>
        <w:trPr>
          <w:jc w:val="center"/>
          <w:trHeight w:val="90"/>
        </w:trPr>
        <w:tc>
          <w:tcPr>
            <w:tcW w:w="66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w:t>
            </w:r>
            <w:r/>
          </w:p>
        </w:tc>
        <w:tc>
          <w:tcPr>
            <w:tcW w:w="97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企业</w:t>
            </w:r>
            <w:r/>
          </w:p>
          <w:p>
            <w:pPr>
              <w:jc w:val="center"/>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认证</w:t>
            </w:r>
            <w:r/>
          </w:p>
        </w:tc>
        <w:tc>
          <w:tcPr>
            <w:shd w:val="clear" w:color="auto" w:fill="auto"/>
            <w:tcW w:w="836"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3</w:t>
            </w:r>
            <w:r/>
          </w:p>
        </w:tc>
        <w:tc>
          <w:tcPr>
            <w:tcW w:w="6233" w:type="dxa"/>
            <w:vAlign w:val="center"/>
            <w:textDirection w:val="lrTb"/>
            <w:noWrap w:val="false"/>
          </w:tcPr>
          <w:p>
            <w:pPr>
              <w:ind w:firstLine="482"/>
              <w:jc w:val="left"/>
              <w:keepLines w:val="0"/>
              <w:keepNext w:val="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投标人具有有效期内的环境管理体系认证证书、质量管理体系认证证书、职业健康安全管理体系认证证书的，每提供一个得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分，最多得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r>
      <w:tr>
        <w:trPr>
          <w:jc w:val="center"/>
          <w:trHeight w:val="90"/>
        </w:trPr>
        <w:tc>
          <w:tcPr>
            <w:tcW w:w="66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w:t>
            </w:r>
            <w:r/>
          </w:p>
        </w:tc>
        <w:tc>
          <w:tcPr>
            <w:tcW w:w="97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企业</w:t>
            </w:r>
            <w:r/>
          </w:p>
          <w:p>
            <w:pPr>
              <w:jc w:val="center"/>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业绩</w:t>
            </w:r>
            <w:r/>
          </w:p>
        </w:tc>
        <w:tc>
          <w:tcPr>
            <w:shd w:val="clear" w:color="auto" w:fill="auto"/>
            <w:tcW w:w="836"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5</w:t>
            </w:r>
            <w:r/>
          </w:p>
        </w:tc>
        <w:tc>
          <w:tcPr>
            <w:tcW w:w="6233" w:type="dxa"/>
            <w:vAlign w:val="center"/>
            <w:textDirection w:val="lrTb"/>
            <w:noWrap w:val="false"/>
          </w:tcPr>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投标人自2023年1月1日以来(以合同签订时间为准)承接过类似项目业绩的，每有一个得1分，最多得5分。</w:t>
            </w:r>
            <w:r/>
          </w:p>
          <w:p>
            <w:pPr>
              <w:ind w:firstLine="482"/>
              <w:jc w:val="left"/>
              <w:keepLines w:val="0"/>
              <w:keepNext w:val="0"/>
              <w:pageBreakBefore w:val="0"/>
              <w:spacing w:line="5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4"/>
                <w:highlight w:val="none"/>
                <w:lang w:val="en-US" w:eastAsia="zh-CN"/>
              </w:rPr>
              <w:t xml:space="preserve">注：投标时提供物业合同原件扫描件，合同中必须包含合同签订双方名称、签字盖章、合同签订时间等主要内容须体现，不提供不得分。本评分项所指的类似项目指党政机关、事业单位、企业单位物业管理项目(不含住宅、工厂等</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，同一委托单位或同一物业项目视为一份业绩。</w:t>
            </w:r>
            <w:r/>
          </w:p>
        </w:tc>
      </w:tr>
      <w:tr>
        <w:trPr>
          <w:jc w:val="center"/>
          <w:trHeight w:val="90"/>
        </w:trPr>
        <w:tc>
          <w:tcPr>
            <w:tcW w:w="66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w:t>
            </w:r>
            <w:r/>
          </w:p>
        </w:tc>
        <w:tc>
          <w:tcPr>
            <w:tcW w:w="97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人员</w:t>
            </w:r>
            <w:r/>
          </w:p>
          <w:p>
            <w:pPr>
              <w:jc w:val="center"/>
              <w:keepLines w:val="0"/>
              <w:keepNext w:val="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配备</w:t>
            </w:r>
            <w:r/>
          </w:p>
        </w:tc>
        <w:tc>
          <w:tcPr>
            <w:shd w:val="clear" w:color="auto" w:fill="auto"/>
            <w:tcW w:w="836" w:type="dxa"/>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5</w:t>
            </w:r>
            <w:r/>
          </w:p>
        </w:tc>
        <w:tc>
          <w:tcPr>
            <w:tcW w:w="6233" w:type="dxa"/>
            <w:vAlign w:val="center"/>
            <w:textDirection w:val="lrTb"/>
            <w:noWrap w:val="false"/>
          </w:tcPr>
          <w:p>
            <w:pPr>
              <w:numPr>
                <w:ilvl w:val="0"/>
                <w:numId w:val="2"/>
              </w:num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拟派项目经理具有本科及以上学历的得1分，具有保安职业技能等级高级（三级）及以上证书（包括原依法取得仍在有效期内的相应等级证书）的得1分，本条最高得2分。</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 拟派保安人员中具有保安职业技能等级高级（三级）及以上证书（包括原依法取得仍在有效期内的相应等级证书），每提供一个得1分，本条最高得1分。</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 拟派水电维修工中每有1人同时持有高压和低压电工作业证的得1分，本条最高得2分。</w:t>
            </w:r>
            <w:r/>
          </w:p>
          <w:p>
            <w:pPr>
              <w:ind w:firstLine="482"/>
              <w:jc w:val="left"/>
              <w:keepLines w:val="0"/>
              <w:keepNext w:val="0"/>
              <w:pageBreakBefore w:val="0"/>
              <w:spacing w:line="5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4"/>
                <w:highlight w:val="none"/>
                <w:lang w:val="en-US" w:eastAsia="zh-CN"/>
              </w:rPr>
              <w:t xml:space="preserve">注：以上材料须提供证书原件彩色扫描件，毕业证书须同时提供学信网查询截图，不提供不得分。以上人员须提供招标文件上网公告之日当月前1个月在本单位缴纳养老保险证明，不提供不得分。</w:t>
            </w:r>
            <w:r/>
          </w:p>
        </w:tc>
      </w:tr>
      <w:tr>
        <w:trPr>
          <w:jc w:val="center"/>
          <w:trHeight w:val="90"/>
        </w:trPr>
        <w:tc>
          <w:tcPr>
            <w:tcW w:w="66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5</w:t>
            </w:r>
            <w:r/>
          </w:p>
        </w:tc>
        <w:tc>
          <w:tcPr>
            <w:tcW w:w="97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服务</w:t>
            </w:r>
            <w:r/>
          </w:p>
          <w:p>
            <w:pPr>
              <w:jc w:val="center"/>
              <w:keepLines w:val="0"/>
              <w:keepNext w:val="0"/>
              <w:pageBreakBefore w:val="0"/>
              <w:spacing w:line="56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方案</w:t>
            </w:r>
            <w:r/>
          </w:p>
        </w:tc>
        <w:tc>
          <w:tcPr>
            <w:shd w:val="clear" w:color="auto" w:fill="auto"/>
            <w:tcW w:w="836"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7</w:t>
            </w:r>
            <w:r/>
          </w:p>
        </w:tc>
        <w:tc>
          <w:tcPr>
            <w:tcW w:w="6233" w:type="dxa"/>
            <w:vAlign w:val="center"/>
            <w:textDirection w:val="lrTb"/>
            <w:noWrap w:val="false"/>
          </w:tcPr>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1、项目总体实施方案与策划（本项最高得6分）</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投标人根据第四章第五条第一款中“</w:t>
            </w:r>
            <w:r>
              <w:rPr>
                <w:rFonts w:hint="eastAsia" w:ascii="宋体" w:hAnsi="宋体" w:eastAsia="宋体" w:cs="宋体"/>
                <w:color w:val="auto"/>
                <w:sz w:val="24"/>
                <w:highlight w:val="none"/>
                <w:lang w:val="zh-CN" w:eastAsia="zh-CN"/>
              </w:rPr>
              <w:t xml:space="preserve">对本项目认知、服务定位、管理理念、整体设想</w:t>
            </w:r>
            <w:r>
              <w:rPr>
                <w:rFonts w:hint="eastAsia" w:ascii="宋体" w:hAnsi="宋体" w:eastAsia="宋体" w:cs="宋体"/>
                <w:color w:val="auto"/>
                <w:sz w:val="24"/>
                <w:highlight w:val="none"/>
                <w:lang w:val="en-US" w:eastAsia="zh-CN"/>
              </w:rPr>
              <w:t xml:space="preserve">”要求，至少包含：①</w:t>
            </w:r>
            <w:r>
              <w:rPr>
                <w:rFonts w:hint="eastAsia" w:ascii="宋体" w:hAnsi="宋体" w:eastAsia="宋体" w:cs="宋体"/>
                <w:color w:val="auto"/>
                <w:sz w:val="24"/>
                <w:highlight w:val="none"/>
                <w:lang w:val="zh-CN" w:eastAsia="zh-CN"/>
              </w:rPr>
              <w:t xml:space="preserve">本项目认知</w:t>
            </w:r>
            <w:r>
              <w:rPr>
                <w:rFonts w:hint="eastAsia" w:ascii="宋体" w:hAnsi="宋体" w:eastAsia="宋体" w:cs="宋体"/>
                <w:color w:val="auto"/>
                <w:sz w:val="24"/>
                <w:highlight w:val="none"/>
                <w:lang w:val="en-US" w:eastAsia="zh-CN"/>
              </w:rPr>
              <w:t xml:space="preserve">；②</w:t>
            </w:r>
            <w:r>
              <w:rPr>
                <w:rFonts w:hint="eastAsia" w:ascii="宋体" w:hAnsi="宋体" w:eastAsia="宋体" w:cs="宋体"/>
                <w:color w:val="auto"/>
                <w:sz w:val="24"/>
                <w:highlight w:val="none"/>
                <w:lang w:val="zh-CN" w:eastAsia="zh-CN"/>
              </w:rPr>
              <w:t xml:space="preserve">服务定位</w:t>
            </w:r>
            <w:r>
              <w:rPr>
                <w:rFonts w:hint="eastAsia" w:ascii="宋体" w:hAnsi="宋体" w:eastAsia="宋体" w:cs="宋体"/>
                <w:color w:val="auto"/>
                <w:sz w:val="24"/>
                <w:highlight w:val="none"/>
                <w:lang w:val="en-US" w:eastAsia="zh-CN"/>
              </w:rPr>
              <w:t xml:space="preserve">；③</w:t>
            </w:r>
            <w:r>
              <w:rPr>
                <w:rFonts w:hint="eastAsia" w:ascii="宋体" w:hAnsi="宋体" w:eastAsia="宋体" w:cs="宋体"/>
                <w:color w:val="auto"/>
                <w:sz w:val="24"/>
                <w:highlight w:val="none"/>
                <w:lang w:val="zh-CN" w:eastAsia="zh-CN"/>
              </w:rPr>
              <w:t xml:space="preserve">管理理念</w:t>
            </w:r>
            <w:r>
              <w:rPr>
                <w:rFonts w:hint="eastAsia" w:ascii="宋体" w:hAnsi="宋体" w:eastAsia="宋体" w:cs="宋体"/>
                <w:color w:val="auto"/>
                <w:sz w:val="24"/>
                <w:highlight w:val="none"/>
                <w:lang w:val="en-US" w:eastAsia="zh-CN"/>
              </w:rPr>
              <w:t xml:space="preserve">；④</w:t>
            </w:r>
            <w:r>
              <w:rPr>
                <w:rFonts w:hint="eastAsia" w:ascii="宋体" w:hAnsi="宋体" w:eastAsia="宋体" w:cs="宋体"/>
                <w:color w:val="auto"/>
                <w:sz w:val="24"/>
                <w:highlight w:val="none"/>
                <w:lang w:val="zh-CN" w:eastAsia="zh-CN"/>
              </w:rPr>
              <w:t xml:space="preserve">整体设想</w:t>
            </w:r>
            <w:r>
              <w:rPr>
                <w:rFonts w:hint="eastAsia" w:ascii="宋体" w:hAnsi="宋体" w:eastAsia="宋体" w:cs="宋体"/>
                <w:color w:val="auto"/>
                <w:sz w:val="24"/>
                <w:highlight w:val="none"/>
                <w:lang w:val="en-US" w:eastAsia="zh-CN"/>
              </w:rPr>
              <w:t xml:space="preserve">等；优于项目需求得6分，满足项目需求得5分，不满足或不提供得0分。  </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eastAsia="zh-CN"/>
              </w:rPr>
              <w:t xml:space="preserve">岗位设置及职责、培训考核等管理制度</w:t>
            </w:r>
            <w:r>
              <w:rPr>
                <w:rFonts w:hint="eastAsia" w:ascii="宋体" w:hAnsi="宋体" w:eastAsia="宋体" w:cs="宋体"/>
                <w:color w:val="auto"/>
                <w:sz w:val="24"/>
                <w:highlight w:val="none"/>
                <w:lang w:val="en-US" w:eastAsia="zh-CN"/>
              </w:rPr>
              <w:t xml:space="preserve">（本项最高得6分）</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投标人根据本项目第四章第五条第二款中“</w:t>
            </w:r>
            <w:r>
              <w:rPr>
                <w:rFonts w:hint="eastAsia" w:ascii="宋体" w:hAnsi="宋体" w:eastAsia="宋体" w:cs="宋体"/>
                <w:color w:val="auto"/>
                <w:sz w:val="24"/>
                <w:highlight w:val="none"/>
                <w:lang w:val="zh-CN" w:eastAsia="zh-CN"/>
              </w:rPr>
              <w:t xml:space="preserve">岗位设置及职责、培训考核等管理制度</w:t>
            </w:r>
            <w:r>
              <w:rPr>
                <w:rFonts w:hint="eastAsia" w:ascii="宋体" w:hAnsi="宋体" w:eastAsia="宋体" w:cs="宋体"/>
                <w:color w:val="auto"/>
                <w:sz w:val="24"/>
                <w:highlight w:val="none"/>
                <w:lang w:val="en-US" w:eastAsia="zh-CN"/>
              </w:rPr>
              <w:t xml:space="preserve">”要求，至少包含：①</w:t>
            </w:r>
            <w:r>
              <w:rPr>
                <w:rFonts w:hint="eastAsia" w:ascii="宋体" w:hAnsi="宋体" w:eastAsia="宋体" w:cs="宋体"/>
                <w:color w:val="auto"/>
                <w:sz w:val="24"/>
                <w:highlight w:val="none"/>
                <w:lang w:val="zh-CN" w:eastAsia="zh-CN"/>
              </w:rPr>
              <w:t xml:space="preserve">岗位设置及职责</w:t>
            </w:r>
            <w:r>
              <w:rPr>
                <w:rFonts w:hint="eastAsia" w:ascii="宋体" w:hAnsi="宋体" w:eastAsia="宋体" w:cs="宋体"/>
                <w:color w:val="auto"/>
                <w:sz w:val="24"/>
                <w:highlight w:val="none"/>
                <w:lang w:val="en-US" w:eastAsia="zh-CN"/>
              </w:rPr>
              <w:t xml:space="preserve">；②</w:t>
            </w:r>
            <w:r>
              <w:rPr>
                <w:rFonts w:hint="eastAsia" w:ascii="宋体" w:hAnsi="宋体" w:eastAsia="宋体" w:cs="宋体"/>
                <w:color w:val="auto"/>
                <w:sz w:val="24"/>
                <w:highlight w:val="none"/>
                <w:lang w:val="zh-CN" w:eastAsia="zh-CN"/>
              </w:rPr>
              <w:t xml:space="preserve">培训考核</w:t>
            </w:r>
            <w:r>
              <w:rPr>
                <w:rFonts w:hint="eastAsia" w:ascii="宋体" w:hAnsi="宋体" w:eastAsia="宋体" w:cs="宋体"/>
                <w:color w:val="auto"/>
                <w:sz w:val="24"/>
                <w:highlight w:val="none"/>
                <w:lang w:val="en-US" w:eastAsia="zh-CN"/>
              </w:rPr>
              <w:t xml:space="preserve">等；优于项目需求得6分，满足项目需求得5分，不满足或不提供得0分。 </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3.制度的建立方案（本项最高得5分）</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投标人根据第四章第五条第三款中“制度的建立方案”要求，方案至少包含：①建立健全管理制度；②制度更新机制；③制度宣贯与执行；④物业档案管理制度等内容；优于项目需求得5分，满足项目需求得4分，不满足或不提供得0分。   </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4.拟采取的管理服务模式（本项最高得5分）</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投标人根据第四章第五条第四款中“拟采取的管理服务模式”要求，方案至少包含：①管理模式创新；②区域职能划分；③关键岗位管理；④服务质量监控等内容；优于项目需求得5分，满足项目需求得4分，不满足或不提供得0分。  </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5.安保管理（本项最高得5分）</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投标人根据第四章第五条第五款中“安保管理”要求，方案至少包含：①巡逻与值守；②秩序维护；③消防管理；④技防管理；⑤应急救援等内容；优于项目需求得5分，满足项目需求得4分，不满足或不提供得0分。</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6.客服会务及保洁服务管理（本项最高得5分）</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投标人根据第四章第五条第六款中“客服会务及保洁服务管理”要求，方案至少包含：①会务服务；②报刊收发及邮寄；③保洁服务；④保洁机械配置等内容；优于项目需求得5分，满足项目需求得4分，不满足或不提供得0分。</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7.适合本项目的各种突发事件的处理预案（本项最高得5分）</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投标人根据第四章第五条第七款中“适合本项目的各种突发事件的处理预案”要求，方案至少包含：①预案体系；②应急组织与响应；③演练与改进；④应急物资管理；⑤应急响应时效等内容；优于项目需求得5分，满足项目需求得4分，不满足或不提供得0分。</w:t>
            </w:r>
            <w:r/>
          </w:p>
          <w:p>
            <w:pPr>
              <w:ind w:firstLine="482"/>
              <w:jc w:val="left"/>
              <w:keepLines w:val="0"/>
              <w:keepNext w:val="0"/>
              <w:pageBreakBefore w:val="0"/>
              <w:spacing w:line="5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4"/>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ind w:firstLine="482"/>
        <w:jc w:val="left"/>
        <w:spacing w:line="500" w:lineRule="exact"/>
        <w:widowControl/>
        <w:rPr>
          <w:rFonts w:hint="eastAsia" w:ascii="宋体" w:hAnsi="宋体" w:eastAsia="宋体" w:cs="宋体"/>
          <w:b/>
          <w:bCs/>
          <w:i/>
          <w:iCs/>
          <w:color w:val="auto"/>
          <w:sz w:val="24"/>
          <w:szCs w:val="20"/>
          <w:highlight w:val="none"/>
          <w:u w:val="single"/>
          <w:lang w:val="zh-CN"/>
        </w:rPr>
        <w:outlineLvl w:val="9"/>
      </w:pPr>
      <w:r>
        <w:rPr>
          <w:rFonts w:hint="eastAsia" w:ascii="宋体" w:hAnsi="宋体" w:eastAsia="宋体" w:cs="宋体"/>
          <w:b/>
          <w:bCs/>
          <w:i/>
          <w:iCs/>
          <w:color w:val="auto"/>
          <w:sz w:val="24"/>
          <w:szCs w:val="20"/>
          <w:highlight w:val="none"/>
          <w:u w:val="single"/>
          <w:lang w:val="zh-CN"/>
        </w:rPr>
        <w:t xml:space="preserve">注：本项目服务方案部分为“暗标”，不得编制页眉以及目录，方案及页码字体大小均采用四号宋体</w:t>
      </w:r>
      <w:r>
        <w:rPr>
          <w:rFonts w:hint="eastAsia" w:ascii="宋体" w:hAnsi="宋体" w:eastAsia="宋体" w:cs="宋体"/>
          <w:b/>
          <w:bCs/>
          <w:i/>
          <w:iCs/>
          <w:color w:val="auto"/>
          <w:sz w:val="24"/>
          <w:highlight w:val="none"/>
          <w:u w:val="single"/>
        </w:rPr>
        <w:t xml:space="preserve">（不得出现加粗、下划线、斜体格式）</w:t>
      </w:r>
      <w:r>
        <w:rPr>
          <w:rFonts w:hint="eastAsia" w:ascii="宋体" w:hAnsi="宋体" w:eastAsia="宋体" w:cs="宋体"/>
          <w:b/>
          <w:bCs/>
          <w:i/>
          <w:iCs/>
          <w:color w:val="auto"/>
          <w:sz w:val="24"/>
          <w:szCs w:val="20"/>
          <w:highlight w:val="none"/>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w:t>
      </w:r>
      <w:bookmarkStart w:id="182" w:name="_GoBack"/>
      <w:r/>
      <w:bookmarkEnd w:id="182"/>
      <w:r>
        <w:rPr>
          <w:rFonts w:hint="eastAsia" w:ascii="宋体" w:hAnsi="宋体" w:eastAsia="宋体" w:cs="宋体"/>
          <w:b/>
          <w:bCs/>
          <w:i/>
          <w:iCs/>
          <w:color w:val="auto"/>
          <w:sz w:val="24"/>
          <w:szCs w:val="20"/>
          <w:highlight w:val="none"/>
          <w:u w:val="single"/>
          <w:lang w:val="zh-CN"/>
        </w:rPr>
        <w:t xml:space="preserve">职称代替，违反上述规定方案分得0分。</w:t>
      </w:r>
      <w:r/>
    </w:p>
    <w:p>
      <w:pPr>
        <w:ind w:firstLine="482"/>
        <w:jc w:val="left"/>
        <w:spacing w:line="500" w:lineRule="exact"/>
        <w:widowControl/>
        <w:rPr>
          <w:rFonts w:hint="eastAsia" w:ascii="宋体" w:hAnsi="宋体" w:eastAsia="宋体" w:cs="宋体"/>
          <w:b/>
          <w:bCs/>
          <w:i/>
          <w:iCs/>
          <w:color w:val="auto"/>
          <w:sz w:val="24"/>
          <w:szCs w:val="20"/>
          <w:highlight w:val="none"/>
          <w:u w:val="single"/>
          <w:lang w:val="zh-CN"/>
        </w:rPr>
        <w:outlineLvl w:val="9"/>
      </w:pPr>
      <w:r>
        <w:rPr>
          <w:rFonts w:hint="eastAsia" w:ascii="宋体" w:hAnsi="宋体" w:eastAsia="宋体" w:cs="宋体"/>
          <w:b/>
          <w:bCs/>
          <w:i/>
          <w:iCs/>
          <w:color w:val="auto"/>
          <w:sz w:val="24"/>
          <w:szCs w:val="20"/>
          <w:highlight w:val="none"/>
          <w:u w:val="single"/>
          <w:lang w:val="zh-CN"/>
        </w:rPr>
        <w:t xml:space="preserve">上传的“明标”材料中不得出现与服务方案相关的内容，否则作无效标书处理。</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r>
      <w:r/>
    </w:p>
    <w:p>
      <w:pPr>
        <w:pStyle w:val="871"/>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br w:type="page" w:clear="all"/>
      </w:r>
      <w:r/>
    </w:p>
    <w:p>
      <w:pPr>
        <w:pStyle w:val="871"/>
        <w:jc w:val="center"/>
        <w:keepNext/>
        <w:spacing w:beforeAutospacing="0" w:afterAutospacing="0"/>
        <w:rPr>
          <w:rFonts w:hint="eastAsia" w:ascii="黑体" w:hAnsi="黑体" w:eastAsia="黑体" w:cs="黑体"/>
          <w:b/>
          <w:bCs/>
          <w:color w:val="auto"/>
          <w:sz w:val="44"/>
          <w:szCs w:val="44"/>
          <w:highlight w:val="none"/>
        </w:rPr>
        <w:outlineLvl w:val="0"/>
      </w:pPr>
      <w:r/>
      <w:bookmarkStart w:id="171" w:name="_Toc15937"/>
      <w:r/>
      <w:r/>
    </w:p>
    <w:p>
      <w:pPr>
        <w:pStyle w:val="871"/>
        <w:jc w:val="center"/>
        <w:keepNext/>
        <w:spacing w:beforeAutospacing="0" w:afterAutospacing="0"/>
        <w:rPr>
          <w:rFonts w:hint="eastAsia" w:ascii="黑体" w:hAnsi="黑体" w:eastAsia="黑体" w:cs="黑体"/>
          <w:b w:val="0"/>
          <w:bCs w:val="0"/>
          <w:color w:val="auto"/>
          <w:sz w:val="44"/>
          <w:szCs w:val="44"/>
          <w:highlight w:val="none"/>
        </w:rPr>
        <w:outlineLvl w:val="0"/>
      </w:pPr>
      <w:r>
        <w:rPr>
          <w:rFonts w:hint="eastAsia" w:ascii="黑体" w:hAnsi="黑体" w:eastAsia="黑体" w:cs="黑体"/>
          <w:b w:val="0"/>
          <w:bCs w:val="0"/>
          <w:color w:val="auto"/>
          <w:sz w:val="44"/>
          <w:szCs w:val="44"/>
          <w:highlight w:val="none"/>
        </w:rPr>
      </w:r>
      <w:r/>
    </w:p>
    <w:p>
      <w:pPr>
        <w:pStyle w:val="871"/>
        <w:jc w:val="center"/>
        <w:keepNext/>
        <w:spacing w:beforeAutospacing="0" w:afterAutospacing="0"/>
        <w:rPr>
          <w:rFonts w:hint="eastAsia" w:ascii="黑体" w:hAnsi="黑体" w:eastAsia="黑体" w:cs="黑体"/>
          <w:b w:val="0"/>
          <w:bCs w:val="0"/>
          <w:color w:val="auto"/>
          <w:highlight w:val="none"/>
        </w:rPr>
        <w:outlineLvl w:val="0"/>
      </w:pPr>
      <w:r>
        <w:rPr>
          <w:rFonts w:hint="eastAsia" w:ascii="黑体" w:hAnsi="黑体" w:eastAsia="黑体" w:cs="黑体"/>
          <w:b w:val="0"/>
          <w:bCs w:val="0"/>
          <w:color w:val="auto"/>
          <w:sz w:val="44"/>
          <w:szCs w:val="44"/>
          <w:highlight w:val="none"/>
        </w:rPr>
        <w:t xml:space="preserve">第六章  投标文件格式</w:t>
      </w:r>
      <w:bookmarkEnd w:id="171"/>
      <w:r>
        <w:rPr>
          <w:rFonts w:hint="eastAsia" w:ascii="黑体" w:hAnsi="黑体" w:eastAsia="黑体" w:cs="黑体"/>
          <w:b w:val="0"/>
          <w:bCs w:val="0"/>
          <w:color w:val="auto"/>
          <w:sz w:val="44"/>
          <w:szCs w:val="44"/>
          <w:highlight w:val="none"/>
        </w:rPr>
        <w:t xml:space="preserve"> </w:t>
      </w:r>
      <w:r/>
    </w:p>
    <w:p>
      <w:pPr>
        <w:pStyle w:val="871"/>
        <w:jc w:val="center"/>
        <w:spacing w:beforeAutospacing="0" w:afterAutospacing="0"/>
        <w:rPr>
          <w:rFonts w:hint="eastAsia" w:ascii="宋体" w:hAnsi="宋体" w:eastAsia="宋体" w:cs="宋体"/>
          <w:b/>
          <w:color w:val="auto"/>
          <w:sz w:val="72"/>
          <w:szCs w:val="72"/>
          <w:highlight w:val="none"/>
        </w:rPr>
        <w:outlineLvl w:val="9"/>
      </w:pPr>
      <w:r/>
      <w:bookmarkStart w:id="172" w:name="_Hlt26955039"/>
      <w:r/>
      <w:bookmarkEnd w:id="172"/>
      <w:r/>
      <w:bookmarkStart w:id="173" w:name="_Toc26554094"/>
      <w:r/>
      <w:bookmarkEnd w:id="173"/>
      <w:r/>
      <w:bookmarkStart w:id="174" w:name="_Hlt26671244"/>
      <w:r/>
      <w:bookmarkEnd w:id="174"/>
      <w:r/>
      <w:bookmarkStart w:id="175" w:name="_Toc120614282"/>
      <w:r/>
      <w:bookmarkStart w:id="176" w:name="_Toc49090576"/>
      <w:r/>
      <w:r/>
    </w:p>
    <w:p>
      <w:pPr>
        <w:pStyle w:val="871"/>
        <w:jc w:val="center"/>
        <w:spacing w:beforeAutospacing="0" w:afterAutospacing="0"/>
        <w:rPr>
          <w:rFonts w:hint="eastAsia" w:ascii="宋体" w:hAnsi="宋体" w:eastAsia="宋体" w:cs="宋体"/>
          <w:b/>
          <w:color w:val="auto"/>
          <w:sz w:val="72"/>
          <w:szCs w:val="72"/>
          <w:highlight w:val="none"/>
        </w:rPr>
        <w:outlineLvl w:val="9"/>
      </w:pPr>
      <w:r>
        <w:rPr>
          <w:rFonts w:hint="eastAsia" w:ascii="宋体" w:hAnsi="宋体" w:eastAsia="宋体" w:cs="宋体"/>
          <w:b/>
          <w:color w:val="auto"/>
          <w:sz w:val="72"/>
          <w:szCs w:val="72"/>
          <w:highlight w:val="none"/>
        </w:rPr>
      </w:r>
      <w:r/>
    </w:p>
    <w:p>
      <w:pPr>
        <w:pStyle w:val="871"/>
        <w:jc w:val="center"/>
        <w:spacing w:beforeAutospacing="0" w:afterAutospacing="0"/>
        <w:rPr>
          <w:rFonts w:hint="eastAsia" w:ascii="宋体" w:hAnsi="宋体" w:eastAsia="宋体" w:cs="宋体"/>
          <w:b/>
          <w:color w:val="auto"/>
          <w:sz w:val="72"/>
          <w:szCs w:val="72"/>
          <w:highlight w:val="none"/>
        </w:rPr>
        <w:outlineLvl w:val="9"/>
      </w:pPr>
      <w:r>
        <w:rPr>
          <w:rFonts w:hint="eastAsia" w:ascii="宋体" w:hAnsi="宋体" w:eastAsia="宋体" w:cs="宋体"/>
          <w:b/>
          <w:color w:val="auto"/>
          <w:sz w:val="72"/>
          <w:szCs w:val="72"/>
          <w:highlight w:val="none"/>
        </w:rPr>
      </w:r>
      <w:r/>
    </w:p>
    <w:p>
      <w:pPr>
        <w:pStyle w:val="871"/>
        <w:jc w:val="center"/>
        <w:spacing w:beforeAutospacing="0" w:afterAutospacing="0"/>
        <w:rPr>
          <w:rFonts w:hint="eastAsia" w:ascii="宋体" w:hAnsi="宋体" w:eastAsia="宋体" w:cs="宋体"/>
          <w:color w:val="auto"/>
          <w:highlight w:val="none"/>
        </w:rPr>
        <w:outlineLvl w:val="9"/>
      </w:pPr>
      <w:r>
        <w:rPr>
          <w:rFonts w:hint="eastAsia" w:ascii="宋体" w:hAnsi="宋体" w:eastAsia="宋体" w:cs="宋体"/>
          <w:b/>
          <w:color w:val="auto"/>
          <w:sz w:val="72"/>
          <w:szCs w:val="72"/>
          <w:highlight w:val="none"/>
        </w:rPr>
        <w:t xml:space="preserve">投  标  文  件</w:t>
      </w:r>
      <w:r/>
    </w:p>
    <w:p>
      <w:pPr>
        <w:pStyle w:val="871"/>
        <w:jc w:val="center"/>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pStyle w:val="871"/>
        <w:jc w:val="center"/>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pStyle w:val="871"/>
        <w:jc w:val="center"/>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pStyle w:val="871"/>
        <w:jc w:val="center"/>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pStyle w:val="871"/>
        <w:jc w:val="center"/>
        <w:spacing w:beforeAutospacing="0" w:afterAutospacing="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pStyle w:val="871"/>
        <w:ind w:firstLine="1084"/>
        <w:jc w:val="both"/>
        <w:spacing w:beforeAutospacing="0" w:afterAutospacing="0" w:line="360" w:lineRule="auto"/>
        <w:rPr>
          <w:rFonts w:hint="eastAsia" w:ascii="宋体" w:hAnsi="宋体" w:eastAsia="宋体" w:cs="宋体"/>
          <w:color w:val="auto"/>
          <w:highlight w:val="none"/>
        </w:rPr>
        <w:outlineLvl w:val="9"/>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71"/>
        <w:ind w:firstLine="1084"/>
        <w:jc w:val="both"/>
        <w:spacing w:beforeAutospacing="0" w:afterAutospacing="0" w:line="360" w:lineRule="auto"/>
        <w:rPr>
          <w:rFonts w:hint="default" w:ascii="宋体" w:hAnsi="宋体" w:eastAsia="宋体" w:cs="宋体"/>
          <w:color w:val="auto"/>
          <w:highlight w:val="none"/>
          <w:lang w:val="en-US" w:eastAsia="zh-CN"/>
        </w:rPr>
        <w:outlineLvl w:val="9"/>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871"/>
        <w:jc w:val="both"/>
        <w:spacing w:beforeAutospacing="0" w:afterAutospacing="0" w:line="360" w:lineRule="auto"/>
        <w:rPr>
          <w:rFonts w:hint="eastAsia" w:ascii="宋体" w:hAnsi="宋体" w:eastAsia="宋体" w:cs="宋体"/>
          <w:color w:val="auto"/>
          <w:highlight w:val="none"/>
        </w:rPr>
        <w:outlineLvl w:val="9"/>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  投标人名称：</w:t>
      </w:r>
      <w:r>
        <w:rPr>
          <w:rFonts w:hint="eastAsia" w:ascii="宋体" w:hAnsi="宋体" w:eastAsia="宋体" w:cs="宋体"/>
          <w:b/>
          <w:color w:val="auto"/>
          <w:sz w:val="36"/>
          <w:szCs w:val="36"/>
          <w:highlight w:val="none"/>
          <w:u w:val="single"/>
        </w:rPr>
        <w:t xml:space="preserve">（加盖CA电子公章）    </w:t>
      </w:r>
      <w:r/>
    </w:p>
    <w:p>
      <w:pPr>
        <w:pStyle w:val="871"/>
        <w:jc w:val="both"/>
        <w:spacing w:beforeAutospacing="0" w:afterAutospacing="0" w:line="360" w:lineRule="auto"/>
        <w:rPr>
          <w:rFonts w:hint="eastAsia" w:ascii="宋体" w:hAnsi="宋体" w:eastAsia="宋体" w:cs="宋体"/>
          <w:color w:val="auto"/>
          <w:highlight w:val="none"/>
        </w:rPr>
        <w:outlineLvl w:val="9"/>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日      期：</w:t>
      </w:r>
      <w:r>
        <w:rPr>
          <w:rFonts w:hint="eastAsia" w:ascii="宋体" w:hAnsi="宋体" w:eastAsia="宋体" w:cs="宋体"/>
          <w:b/>
          <w:color w:val="auto"/>
          <w:sz w:val="36"/>
          <w:szCs w:val="36"/>
          <w:highlight w:val="none"/>
          <w:u w:val="single"/>
        </w:rPr>
        <w:t xml:space="preserve">                      </w:t>
      </w:r>
      <w:r/>
    </w:p>
    <w:p>
      <w:pPr>
        <w:pStyle w:val="871"/>
        <w:jc w:val="center"/>
        <w:spacing w:beforeAutospacing="0" w:afterAutospacing="0" w:line="0" w:lineRule="atLeas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pStyle w:val="871"/>
        <w:jc w:val="both"/>
        <w:spacing w:beforeAutospacing="0" w:afterAutospacing="0" w:line="0" w:lineRule="atLeas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pStyle w:val="871"/>
        <w:jc w:val="center"/>
        <w:spacing w:beforeAutospacing="0" w:afterAutospacing="0" w:line="0" w:lineRule="atLeast"/>
        <w:rPr>
          <w:rFonts w:hint="eastAsia" w:ascii="宋体" w:hAnsi="宋体" w:eastAsia="宋体" w:cs="宋体"/>
          <w:b/>
          <w:color w:val="auto"/>
          <w:sz w:val="36"/>
          <w:szCs w:val="36"/>
          <w:highlight w:val="none"/>
          <w:u w:val="single"/>
        </w:rPr>
        <w:outlineLvl w:val="9"/>
      </w:pPr>
      <w:r>
        <w:rPr>
          <w:rFonts w:hint="eastAsia" w:ascii="宋体" w:hAnsi="宋体" w:eastAsia="宋体" w:cs="宋体"/>
          <w:b/>
          <w:color w:val="auto"/>
          <w:sz w:val="36"/>
          <w:szCs w:val="36"/>
          <w:highlight w:val="none"/>
          <w:u w:val="singl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71"/>
        <w:jc w:val="center"/>
        <w:spacing w:beforeAutospacing="0" w:afterAutospacing="0" w:line="0" w:lineRule="atLeast"/>
        <w:rPr>
          <w:rFonts w:hint="eastAsia" w:ascii="宋体" w:hAnsi="宋体" w:eastAsia="宋体" w:cs="宋体"/>
          <w:color w:val="auto"/>
          <w:highlight w:val="none"/>
        </w:rPr>
        <w:outlineLvl w:val="9"/>
      </w:pPr>
      <w:r>
        <w:rPr>
          <w:rFonts w:hint="eastAsia" w:ascii="宋体" w:hAnsi="宋体" w:eastAsia="宋体" w:cs="宋体"/>
          <w:b/>
          <w:color w:val="auto"/>
          <w:sz w:val="32"/>
          <w:szCs w:val="32"/>
          <w:highlight w:val="none"/>
        </w:rPr>
        <w:t xml:space="preserve">投标文件目录</w:t>
      </w:r>
      <w:r/>
    </w:p>
    <w:p>
      <w:pPr>
        <w:ind w:firstLine="561"/>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一、法人或者其他组织的营业执照等证明文件，自然人的身份证明</w:t>
      </w:r>
      <w:r/>
    </w:p>
    <w:p>
      <w:pPr>
        <w:ind w:firstLine="561"/>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二、上一年度的财务状况报告（至少提供资产负债表、利润表、现金流量表，投标人成立不满一年无需提供）</w:t>
      </w:r>
      <w:r/>
    </w:p>
    <w:p>
      <w:pPr>
        <w:ind w:firstLine="561"/>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三、具备履行合同所必需的设备和专业技术能力的书面声明</w:t>
      </w:r>
      <w:r/>
    </w:p>
    <w:p>
      <w:pPr>
        <w:ind w:firstLine="561"/>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五、参加政府采购活动前3年内在经营活动中没有重大违法记录的书面声明</w:t>
      </w:r>
      <w:r/>
    </w:p>
    <w:p>
      <w:pPr>
        <w:ind w:firstLine="561"/>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六、单位负责人为同一人或者存在直接控股、管理关系的不同供应商，不得参加同一合同项下的政府采购活动（投标文件中需提供声明）</w:t>
      </w:r>
      <w:r/>
    </w:p>
    <w:p>
      <w:pPr>
        <w:ind w:firstLine="561"/>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七、特定资格要求的证明文件（如果本项目设置特定资格要求，则需要提供）</w:t>
      </w:r>
      <w:r/>
    </w:p>
    <w:p>
      <w:pPr>
        <w:ind w:firstLine="561"/>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八、法人授权书</w:t>
      </w:r>
      <w:r/>
    </w:p>
    <w:p>
      <w:pPr>
        <w:ind w:firstLine="561"/>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九、投标函</w:t>
      </w:r>
      <w:r/>
    </w:p>
    <w:p>
      <w:pPr>
        <w:ind w:firstLine="561"/>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十、中小企业声明函</w:t>
      </w:r>
      <w:r/>
    </w:p>
    <w:p>
      <w:pPr>
        <w:ind w:firstLine="561"/>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十一、残疾人福利性单位声明函</w:t>
      </w:r>
      <w:r/>
    </w:p>
    <w:p>
      <w:pPr>
        <w:ind w:firstLine="561"/>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十二、投标分项报价表</w:t>
      </w:r>
      <w:r/>
    </w:p>
    <w:p>
      <w:pPr>
        <w:ind w:firstLine="561"/>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十三、技术要求响应及偏离表</w:t>
      </w:r>
      <w:r/>
    </w:p>
    <w:p>
      <w:pPr>
        <w:ind w:firstLine="561"/>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十四、商务要求响应及偏离表</w:t>
      </w:r>
      <w:r/>
    </w:p>
    <w:p>
      <w:pPr>
        <w:ind w:firstLine="561"/>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十五、开标一览表</w:t>
      </w:r>
      <w:r/>
    </w:p>
    <w:p>
      <w:pPr>
        <w:ind w:firstLine="561"/>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十六、服务方案等</w:t>
      </w:r>
      <w:r/>
    </w:p>
    <w:p>
      <w:pPr>
        <w:ind w:firstLine="561"/>
        <w:jc w:val="left"/>
        <w:spacing w:line="56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十七、盐城市政府采购事前信用承诺书</w:t>
      </w:r>
      <w:r/>
    </w:p>
    <w:p>
      <w:pPr>
        <w:pStyle w:val="871"/>
        <w:ind w:firstLine="480"/>
        <w:jc w:val="both"/>
        <w:spacing w:beforeAutospacing="0" w:afterAutospacing="0" w:line="0" w:lineRule="atLeas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71"/>
        <w:ind w:firstLine="480"/>
        <w:jc w:val="both"/>
        <w:spacing w:beforeAutospacing="0" w:afterAutospacing="0" w:line="0" w:lineRule="atLeas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71"/>
        <w:ind w:firstLine="480"/>
        <w:jc w:val="both"/>
        <w:spacing w:beforeAutospacing="0" w:afterAutospacing="0" w:line="0" w:lineRule="atLeas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r/>
      <w:bookmarkStart w:id="177" w:name="_Toc32462"/>
      <w:r>
        <w:rPr>
          <w:rFonts w:hint="eastAsia" w:ascii="宋体" w:hAnsi="宋体" w:eastAsia="宋体" w:cs="宋体"/>
          <w:i/>
          <w:color w:val="auto"/>
          <w:sz w:val="32"/>
          <w:szCs w:val="32"/>
          <w:highlight w:val="none"/>
          <w:u w:val="single"/>
        </w:rPr>
      </w:r>
      <w:r/>
      <w:r/>
      <w:r>
        <w:rPr>
          <w:rFonts w:hint="eastAsia" w:ascii="宋体" w:hAnsi="宋体" w:eastAsia="宋体" w:cs="宋体"/>
          <w:color w:val="auto"/>
          <w:highlight w:val="none"/>
        </w:rP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一、法人或者其他组织的营业执照等证明文件，自然人的身份证明</w:t>
      </w:r>
      <w:r/>
    </w:p>
    <w:p>
      <w:pPr>
        <w:jc w:val="center"/>
        <w:spacing w:before="180"/>
        <w:widowControl/>
        <w:rPr>
          <w:rFonts w:asciiTheme="minorEastAsia" w:hAnsiTheme="minorEastAsia" w:cstheme="minorEastAsia"/>
          <w:b/>
          <w:bCs/>
          <w:sz w:val="32"/>
          <w:szCs w:val="32"/>
        </w:rPr>
      </w:pPr>
      <w:r>
        <w:rPr>
          <w:rFonts w:hint="eastAsia" w:asciiTheme="minorEastAsia" w:hAnsiTheme="minorEastAsia" w:cstheme="minorEastAsia"/>
          <w:b/>
          <w:bCs/>
          <w:sz w:val="32"/>
          <w:szCs w:val="32"/>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numPr>
          <w:ilvl w:val="0"/>
          <w:numId w:val="0"/>
        </w:numPr>
        <w:jc w:val="center"/>
        <w:spacing w:line="500" w:lineRule="exact"/>
        <w:widowControl/>
        <w:rPr>
          <w:rFonts w:ascii="黑体" w:eastAsia="黑体" w:cs="黑体"/>
          <w:i/>
          <w:sz w:val="32"/>
          <w:szCs w:val="32"/>
          <w:u w:val="single"/>
        </w:rPr>
      </w:pPr>
      <w:r>
        <w:rPr>
          <w:rFonts w:hint="eastAsia" w:ascii="黑体" w:eastAsia="黑体" w:cs="黑体"/>
          <w:i/>
          <w:sz w:val="32"/>
          <w:szCs w:val="32"/>
          <w:u w:val="single"/>
          <w:lang w:val="en-US" w:eastAsia="zh-CN"/>
        </w:rPr>
        <w:t xml:space="preserve">二、</w:t>
      </w:r>
      <w:r>
        <w:rPr>
          <w:rFonts w:hint="eastAsia" w:ascii="黑体" w:eastAsia="黑体" w:cs="黑体"/>
          <w:i/>
          <w:sz w:val="32"/>
          <w:szCs w:val="32"/>
          <w:u w:val="single"/>
        </w:rPr>
        <w:t xml:space="preserve">上一年度的财务状况报告（成立不满一年无需提供）</w:t>
      </w:r>
      <w:r/>
    </w:p>
    <w:p>
      <w:pPr>
        <w:spacing w:line="500" w:lineRule="exact"/>
        <w:widowControl/>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871"/>
        <w:jc w:val="both"/>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黑体" w:hAnsi="黑体" w:eastAsia="黑体" w:cs="黑体"/>
          <w:b w:val="0"/>
          <w:bCs w:val="0"/>
          <w:i/>
          <w:color w:val="auto"/>
          <w:sz w:val="32"/>
          <w:szCs w:val="32"/>
          <w:highlight w:val="none"/>
          <w:u w:val="single"/>
          <w:lang w:val="en-US" w:eastAsia="zh-CN" w:bidi="ar-SA"/>
        </w:rPr>
      </w:pPr>
      <w:r/>
      <w:bookmarkStart w:id="178" w:name="_Toc5439"/>
      <w:r>
        <w:rPr>
          <w:rFonts w:hint="eastAsia" w:ascii="黑体" w:hAnsi="黑体" w:eastAsia="黑体" w:cs="黑体"/>
          <w:b w:val="0"/>
          <w:bCs w:val="0"/>
          <w:i/>
          <w:color w:val="auto"/>
          <w:sz w:val="32"/>
          <w:szCs w:val="32"/>
          <w:highlight w:val="none"/>
          <w:u w:val="single"/>
          <w:lang w:val="en-US" w:eastAsia="zh-CN" w:bidi="ar-SA"/>
        </w:rPr>
        <w:br w:type="page" w:clear="all"/>
      </w:r>
      <w:r/>
    </w:p>
    <w:p>
      <w:pPr>
        <w:pStyle w:val="871"/>
        <w:jc w:val="center"/>
        <w:keepLines w:val="0"/>
        <w:keepNext w:val="0"/>
        <w:pageBreakBefore w:val="0"/>
        <w:spacing w:beforeAutospacing="0" w:afterAutospacing="0" w:line="500" w:lineRule="exact"/>
        <w:widowControl w:val="off"/>
        <w:rPr>
          <w:rFonts w:hint="eastAsia" w:ascii="黑体" w:hAnsi="黑体" w:eastAsia="黑体" w:cs="黑体"/>
          <w:b w:val="0"/>
          <w:bCs w:val="0"/>
          <w:i/>
          <w:color w:val="auto"/>
          <w:sz w:val="32"/>
          <w:szCs w:val="32"/>
          <w:highlight w:val="none"/>
          <w:u w:val="single"/>
          <w:lang w:val="en-US" w:eastAsia="zh-CN" w:bidi="ar-SA"/>
        </w:rPr>
        <w:outlineLvl w:val="9"/>
      </w:pPr>
      <w:r>
        <w:rPr>
          <w:rFonts w:hint="eastAsia" w:ascii="黑体" w:hAnsi="黑体" w:eastAsia="黑体" w:cs="黑体"/>
          <w:b w:val="0"/>
          <w:bCs w:val="0"/>
          <w:i/>
          <w:color w:val="auto"/>
          <w:sz w:val="32"/>
          <w:szCs w:val="32"/>
          <w:highlight w:val="none"/>
          <w:u w:val="single"/>
          <w:lang w:val="en-US" w:eastAsia="zh-CN" w:bidi="ar-SA"/>
        </w:rPr>
        <w:t xml:space="preserve">三、具备履行合同所必需的设备和专业技术能力的书面声明</w:t>
      </w:r>
      <w:bookmarkEnd w:id="178"/>
      <w:r/>
      <w:r/>
    </w:p>
    <w:p>
      <w:pPr>
        <w:pStyle w:val="871"/>
        <w:ind w:firstLine="49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71"/>
        <w:ind w:firstLine="49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7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71"/>
        <w:jc w:val="center"/>
        <w:spacing w:beforeAutospacing="0" w:afterAutospacing="0"/>
        <w:rPr>
          <w:rFonts w:hint="eastAsia" w:ascii="黑体" w:hAnsi="黑体" w:eastAsia="黑体" w:cs="黑体"/>
          <w:b w:val="0"/>
          <w:bCs w:val="0"/>
          <w:i/>
          <w:color w:val="auto"/>
          <w:sz w:val="32"/>
          <w:szCs w:val="32"/>
          <w:highlight w:val="none"/>
          <w:u w:val="single"/>
          <w:lang w:val="en-US" w:eastAsia="zh-CN" w:bidi="ar-SA"/>
        </w:rPr>
        <w:outlineLvl w:val="9"/>
      </w:pPr>
      <w:r/>
      <w:bookmarkStart w:id="179" w:name="_Toc8041"/>
      <w:r/>
      <w:r/>
    </w:p>
    <w:p>
      <w:pPr>
        <w:rPr>
          <w:rFonts w:hint="eastAsia" w:ascii="黑体" w:hAnsi="黑体" w:eastAsia="黑体" w:cs="黑体"/>
          <w:b w:val="0"/>
          <w:bCs w:val="0"/>
          <w:i/>
          <w:color w:val="auto"/>
          <w:sz w:val="32"/>
          <w:szCs w:val="32"/>
          <w:highlight w:val="none"/>
          <w:u w:val="single"/>
          <w:lang w:val="en-US" w:eastAsia="zh-CN" w:bidi="ar-SA"/>
        </w:rPr>
      </w:pPr>
      <w:r>
        <w:rPr>
          <w:rFonts w:hint="eastAsia" w:ascii="黑体" w:hAnsi="黑体" w:eastAsia="黑体" w:cs="黑体"/>
          <w:b w:val="0"/>
          <w:bCs w:val="0"/>
          <w:i/>
          <w:color w:val="auto"/>
          <w:sz w:val="32"/>
          <w:szCs w:val="32"/>
          <w:highlight w:val="none"/>
          <w:u w:val="single"/>
          <w:lang w:val="en-US" w:eastAsia="zh-CN" w:bidi="ar-SA"/>
        </w:rPr>
        <w:br w:type="page" w:clear="all"/>
      </w:r>
      <w:r/>
    </w:p>
    <w:p>
      <w:pPr>
        <w:pStyle w:val="871"/>
        <w:jc w:val="center"/>
        <w:keepLines w:val="0"/>
        <w:keepNext w:val="0"/>
        <w:pageBreakBefore w:val="0"/>
        <w:spacing w:beforeAutospacing="0" w:afterAutospacing="0" w:line="500" w:lineRule="exact"/>
        <w:widowControl w:val="off"/>
        <w:rPr>
          <w:rFonts w:hint="eastAsia" w:ascii="黑体" w:hAnsi="黑体" w:eastAsia="黑体" w:cs="黑体"/>
          <w:b w:val="0"/>
          <w:bCs w:val="0"/>
          <w:i/>
          <w:color w:val="auto"/>
          <w:sz w:val="32"/>
          <w:szCs w:val="32"/>
          <w:highlight w:val="none"/>
          <w:u w:val="single"/>
          <w:lang w:val="en-US" w:eastAsia="zh-CN" w:bidi="ar-SA"/>
        </w:rPr>
        <w:outlineLvl w:val="9"/>
      </w:pPr>
      <w:r>
        <w:rPr>
          <w:rFonts w:hint="eastAsia" w:ascii="黑体" w:hAnsi="黑体" w:eastAsia="黑体" w:cs="黑体"/>
          <w:b w:val="0"/>
          <w:bCs w:val="0"/>
          <w:i/>
          <w:color w:val="auto"/>
          <w:sz w:val="32"/>
          <w:szCs w:val="32"/>
          <w:highlight w:val="none"/>
          <w:u w:val="single"/>
          <w:lang w:val="en-US" w:eastAsia="zh-CN" w:bidi="ar-SA"/>
        </w:rPr>
        <w:t xml:space="preserve">四、依法缴纳税收和社会保障资金的相关材料</w:t>
      </w:r>
      <w:bookmarkEnd w:id="179"/>
      <w:r/>
      <w:r/>
    </w:p>
    <w:p>
      <w:pPr>
        <w:pStyle w:val="871"/>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outlineLvl w:val="9"/>
      </w:pPr>
      <w:r/>
      <w:bookmarkStart w:id="180"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0"/>
      <w:r/>
      <w:r/>
    </w:p>
    <w:p>
      <w:pPr>
        <w:pStyle w:val="871"/>
        <w:jc w:val="both"/>
        <w:keepLines w:val="0"/>
        <w:keepNext w:val="0"/>
        <w:pageBreakBefore w:val="0"/>
        <w:spacing w:beforeAutospacing="0" w:afterAutospacing="0" w:line="500" w:lineRule="exact"/>
        <w:widowControl w:val="off"/>
        <w:rPr>
          <w:rFonts w:hint="eastAsia" w:ascii="宋体" w:hAnsi="宋体" w:eastAsia="宋体" w:cs="宋体"/>
          <w:i/>
          <w:color w:val="auto"/>
          <w:sz w:val="32"/>
          <w:szCs w:val="32"/>
          <w:highlight w:val="none"/>
          <w:u w:val="single"/>
        </w:rPr>
        <w:outlineLvl w:val="9"/>
      </w:pPr>
      <w:r/>
      <w:bookmarkStart w:id="181" w:name="_Toc9727"/>
      <w:r/>
      <w:r/>
    </w:p>
    <w:p>
      <w:pPr>
        <w:rPr>
          <w:rFonts w:hint="eastAsia" w:ascii="黑体" w:hAnsi="黑体" w:eastAsia="黑体" w:cs="黑体"/>
          <w:b w:val="0"/>
          <w:bCs w:val="0"/>
          <w:i/>
          <w:color w:val="auto"/>
          <w:sz w:val="32"/>
          <w:szCs w:val="32"/>
          <w:highlight w:val="none"/>
          <w:u w:val="single"/>
          <w:lang w:val="en-US" w:eastAsia="zh-CN" w:bidi="ar-SA"/>
        </w:rPr>
      </w:pPr>
      <w:r>
        <w:rPr>
          <w:rFonts w:hint="eastAsia" w:ascii="黑体" w:hAnsi="黑体" w:eastAsia="黑体" w:cs="黑体"/>
          <w:b w:val="0"/>
          <w:bCs w:val="0"/>
          <w:i/>
          <w:color w:val="auto"/>
          <w:sz w:val="32"/>
          <w:szCs w:val="32"/>
          <w:highlight w:val="none"/>
          <w:u w:val="single"/>
          <w:lang w:val="en-US" w:eastAsia="zh-CN" w:bidi="ar-SA"/>
        </w:rPr>
        <w:br w:type="page" w:clear="all"/>
      </w:r>
      <w:r/>
    </w:p>
    <w:p>
      <w:pPr>
        <w:pStyle w:val="871"/>
        <w:jc w:val="center"/>
        <w:spacing w:beforeAutospacing="0" w:afterAutospacing="0"/>
        <w:rPr>
          <w:rFonts w:hint="eastAsia" w:ascii="黑体" w:hAnsi="黑体" w:eastAsia="黑体" w:cs="黑体"/>
          <w:b w:val="0"/>
          <w:bCs w:val="0"/>
          <w:i/>
          <w:color w:val="auto"/>
          <w:sz w:val="32"/>
          <w:szCs w:val="32"/>
          <w:highlight w:val="none"/>
          <w:u w:val="single"/>
          <w:lang w:val="en-US" w:eastAsia="zh-CN" w:bidi="ar-SA"/>
        </w:rPr>
        <w:outlineLvl w:val="9"/>
      </w:pPr>
      <w:r>
        <w:rPr>
          <w:rFonts w:hint="eastAsia" w:ascii="黑体" w:hAnsi="黑体" w:eastAsia="黑体" w:cs="黑体"/>
          <w:b w:val="0"/>
          <w:bCs w:val="0"/>
          <w:i/>
          <w:color w:val="auto"/>
          <w:sz w:val="32"/>
          <w:szCs w:val="32"/>
          <w:highlight w:val="none"/>
          <w:u w:val="single"/>
          <w:lang w:val="en-US" w:eastAsia="zh-CN" w:bidi="ar-SA"/>
        </w:rPr>
        <w:t xml:space="preserve">五、参加政府采购活动前 3 年内在经营活动中没有重大违法记录的书面声明</w:t>
      </w:r>
      <w:bookmarkEnd w:id="181"/>
      <w:r/>
      <w:r/>
    </w:p>
    <w:p>
      <w:pPr>
        <w:pStyle w:val="871"/>
        <w:jc w:val="center"/>
        <w:spacing w:beforeAutospacing="0" w:afterAutospacing="0" w:line="0" w:lineRule="atLeast"/>
        <w:rPr>
          <w:rFonts w:hint="eastAsia" w:ascii="宋体" w:hAnsi="宋体" w:eastAsia="宋体" w:cs="宋体"/>
          <w:color w:val="auto"/>
          <w:highlight w:val="none"/>
        </w:rPr>
        <w:outlineLvl w:val="9"/>
      </w:pPr>
      <w:r>
        <w:rPr>
          <w:rFonts w:hint="eastAsia" w:ascii="宋体" w:hAnsi="宋体" w:eastAsia="宋体" w:cs="宋体"/>
          <w:b/>
          <w:color w:val="auto"/>
          <w:sz w:val="44"/>
          <w:szCs w:val="44"/>
          <w:highlight w:val="none"/>
        </w:rPr>
        <w:t xml:space="preserve">声  明</w:t>
      </w:r>
      <w:r/>
    </w:p>
    <w:p>
      <w:pPr>
        <w:pStyle w:val="883"/>
        <w:ind w:firstLine="482"/>
        <w:spacing w:beforeAutospacing="0" w:afterAutospacing="0" w:line="500" w:lineRule="exact"/>
      </w:pPr>
      <w:r>
        <w:rPr>
          <w:rFonts w:hint="eastAsia"/>
        </w:rPr>
        <w:t xml:space="preserve">我单位郑重声明：参加本次政府采购活动前3年内，我单位在经营活动中没有因违法经营受到刑事处罚或者责令停产停业、吊销许可证或者执照、较大数额罚款等行政处罚。</w:t>
      </w:r>
      <w:r/>
    </w:p>
    <w:p>
      <w:pPr>
        <w:pStyle w:val="871"/>
        <w:jc w:val="both"/>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871"/>
        <w:jc w:val="center"/>
        <w:spacing w:beforeAutospacing="0" w:afterAutospacing="0"/>
        <w:rPr>
          <w:rFonts w:hint="eastAsia" w:ascii="黑体" w:hAnsi="黑体" w:eastAsia="黑体" w:cs="黑体"/>
          <w:b w:val="0"/>
          <w:bCs w:val="0"/>
          <w:i/>
          <w:color w:val="auto"/>
          <w:sz w:val="32"/>
          <w:szCs w:val="32"/>
          <w:highlight w:val="none"/>
          <w:u w:val="single"/>
          <w:lang w:val="en-US" w:eastAsia="zh-CN" w:bidi="ar-SA"/>
        </w:rPr>
        <w:outlineLvl w:val="9"/>
      </w:pPr>
      <w:r>
        <w:rPr>
          <w:rFonts w:hint="eastAsia" w:ascii="黑体" w:hAnsi="黑体" w:eastAsia="黑体" w:cs="黑体"/>
          <w:b w:val="0"/>
          <w:bCs w:val="0"/>
          <w:i/>
          <w:color w:val="auto"/>
          <w:sz w:val="32"/>
          <w:szCs w:val="32"/>
          <w:highlight w:val="none"/>
          <w:u w:val="single"/>
          <w:lang w:val="en-US" w:eastAsia="zh-CN" w:bidi="ar-SA"/>
        </w:rPr>
        <w:t xml:space="preserve">六、单位负责人为同一人或者存在直接控股、管理关系的不同供应商，不得参加同一合同项下的政府采购活动</w:t>
      </w:r>
      <w:r/>
    </w:p>
    <w:p>
      <w:pPr>
        <w:pStyle w:val="871"/>
        <w:jc w:val="center"/>
        <w:widowControl/>
        <w:rPr>
          <w:rFonts w:hint="eastAsia"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 xml:space="preserve">声 明</w:t>
      </w:r>
      <w:bookmarkEnd w:id="1"/>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94"/>
      <w:r/>
      <w:bookmarkEnd w:id="95"/>
      <w:r/>
      <w:bookmarkEnd w:id="96"/>
      <w:r/>
      <w:bookmarkEnd w:id="97"/>
      <w:r/>
      <w:bookmarkEnd w:id="98"/>
      <w:r/>
      <w:bookmarkEnd w:id="99"/>
      <w:r/>
      <w:bookmarkEnd w:id="165"/>
      <w:r/>
      <w:bookmarkEnd w:id="170"/>
      <w:r/>
      <w:bookmarkEnd w:id="175"/>
      <w:r/>
      <w:bookmarkEnd w:id="176"/>
      <w:r/>
      <w:r/>
    </w:p>
    <w:p>
      <w:pPr>
        <w:pStyle w:val="883"/>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ind w:left="4620" w:firstLine="480"/>
        <w:spacing w:line="520" w:lineRule="exact"/>
        <w:rPr>
          <w:sz w:val="24"/>
        </w:rPr>
      </w:pPr>
      <w:r>
        <w:rPr>
          <w:sz w:val="24"/>
        </w:rPr>
      </w:r>
      <w:r/>
    </w:p>
    <w:p>
      <w:pPr>
        <w:ind w:left="4620" w:firstLine="480"/>
        <w:spacing w:line="520" w:lineRule="exact"/>
        <w:rPr>
          <w:sz w:val="24"/>
        </w:rPr>
      </w:pPr>
      <w:r>
        <w:rPr>
          <w:sz w:val="24"/>
        </w:rPr>
      </w:r>
      <w:r/>
    </w:p>
    <w:p>
      <w:pPr>
        <w:ind w:left="4620" w:firstLine="480"/>
        <w:spacing w:line="360" w:lineRule="auto"/>
        <w:rPr>
          <w:sz w:val="24"/>
        </w:rPr>
      </w:pPr>
      <w:r>
        <w:rPr>
          <w:rFonts w:hint="eastAsia"/>
          <w:sz w:val="24"/>
        </w:rPr>
        <w:t xml:space="preserve">企业名称（加盖CA电子公章）：</w:t>
      </w:r>
      <w:r/>
    </w:p>
    <w:p>
      <w:pPr>
        <w:ind w:firstLine="440"/>
        <w:jc w:val="center"/>
        <w:spacing w:line="360" w:lineRule="auto"/>
      </w:pPr>
      <w:r>
        <w:rPr>
          <w:rFonts w:hint="eastAsia"/>
          <w:sz w:val="24"/>
        </w:rPr>
        <w:t xml:space="preserve">                                                           日 期：</w:t>
      </w:r>
      <w:r/>
    </w:p>
    <w:p>
      <w:pPr>
        <w:jc w:val="both"/>
        <w:spacing w:before="180" w:line="400" w:lineRule="exact"/>
        <w:widowControl/>
        <w:rPr>
          <w:rFonts w:hint="eastAsia" w:ascii="宋体" w:hAnsi="宋体" w:eastAsia="宋体" w:cs="宋体"/>
          <w:i/>
          <w:color w:val="auto"/>
          <w:sz w:val="32"/>
          <w:szCs w:val="32"/>
          <w:highlight w:val="none"/>
          <w:u w:val="single"/>
        </w:rPr>
        <w:outlineLvl w:val="9"/>
      </w:pPr>
      <w:r>
        <w:rPr>
          <w:rFonts w:hint="eastAsia" w:ascii="宋体" w:hAnsi="宋体" w:eastAsia="宋体" w:cs="宋体"/>
          <w:i/>
          <w:color w:val="auto"/>
          <w:sz w:val="32"/>
          <w:szCs w:val="32"/>
          <w:highlight w:val="none"/>
          <w:u w:val="single"/>
        </w:rPr>
      </w:r>
      <w:r/>
    </w:p>
    <w:p>
      <w:pPr>
        <w:jc w:val="both"/>
        <w:spacing w:before="180" w:line="400" w:lineRule="exact"/>
        <w:widowControl/>
        <w:rPr>
          <w:rFonts w:hint="eastAsia" w:ascii="宋体" w:hAnsi="宋体" w:eastAsia="宋体" w:cs="宋体"/>
          <w:i/>
          <w:color w:val="auto"/>
          <w:sz w:val="32"/>
          <w:szCs w:val="32"/>
          <w:highlight w:val="none"/>
          <w:u w:val="single"/>
        </w:rPr>
        <w:outlineLvl w:val="9"/>
      </w:pPr>
      <w:r>
        <w:rPr>
          <w:rFonts w:hint="eastAsia" w:ascii="宋体" w:hAnsi="宋体" w:eastAsia="宋体" w:cs="宋体"/>
          <w:i/>
          <w:color w:val="auto"/>
          <w:sz w:val="32"/>
          <w:szCs w:val="32"/>
          <w:highlight w:val="none"/>
          <w:u w:val="single"/>
        </w:rPr>
      </w:r>
      <w:r/>
    </w:p>
    <w:p>
      <w:pPr>
        <w:jc w:val="both"/>
        <w:spacing w:before="180" w:line="400" w:lineRule="exact"/>
        <w:widowControl/>
        <w:rPr>
          <w:rFonts w:hint="eastAsia" w:ascii="宋体" w:hAnsi="宋体" w:eastAsia="宋体" w:cs="宋体"/>
          <w:i/>
          <w:color w:val="auto"/>
          <w:sz w:val="32"/>
          <w:szCs w:val="32"/>
          <w:highlight w:val="none"/>
          <w:u w:val="single"/>
        </w:rPr>
        <w:outlineLvl w:val="9"/>
      </w:pPr>
      <w:r>
        <w:rPr>
          <w:rFonts w:hint="eastAsia" w:ascii="宋体" w:hAnsi="宋体" w:eastAsia="宋体" w:cs="宋体"/>
          <w:i/>
          <w:color w:val="auto"/>
          <w:sz w:val="32"/>
          <w:szCs w:val="32"/>
          <w:highlight w:val="none"/>
          <w:u w:val="single"/>
        </w:rPr>
      </w:r>
      <w:r/>
    </w:p>
    <w:p>
      <w:pPr>
        <w:jc w:val="both"/>
        <w:spacing w:before="180" w:line="400" w:lineRule="exact"/>
        <w:widowControl/>
        <w:rPr>
          <w:rFonts w:hint="eastAsia" w:ascii="宋体" w:hAnsi="宋体" w:eastAsia="宋体" w:cs="宋体"/>
          <w:i/>
          <w:color w:val="auto"/>
          <w:sz w:val="32"/>
          <w:szCs w:val="32"/>
          <w:highlight w:val="none"/>
          <w:u w:val="single"/>
        </w:rPr>
        <w:outlineLvl w:val="9"/>
      </w:pPr>
      <w:r>
        <w:rPr>
          <w:rFonts w:hint="eastAsia" w:ascii="宋体" w:hAnsi="宋体" w:eastAsia="宋体" w:cs="宋体"/>
          <w:i/>
          <w:color w:val="auto"/>
          <w:sz w:val="32"/>
          <w:szCs w:val="32"/>
          <w:highlight w:val="none"/>
          <w:u w:val="single"/>
        </w:rPr>
      </w:r>
      <w:r/>
    </w:p>
    <w:p>
      <w:pPr>
        <w:rPr>
          <w:rFonts w:hint="eastAsia" w:ascii="黑体" w:hAnsi="黑体" w:eastAsia="黑体" w:cs="黑体"/>
          <w:b w:val="0"/>
          <w:bCs w:val="0"/>
          <w:i/>
          <w:color w:val="auto"/>
          <w:sz w:val="32"/>
          <w:szCs w:val="32"/>
          <w:highlight w:val="none"/>
          <w:u w:val="single"/>
          <w:lang w:val="en-US" w:eastAsia="zh-CN" w:bidi="ar-SA"/>
        </w:rPr>
      </w:pPr>
      <w:r>
        <w:rPr>
          <w:rFonts w:hint="eastAsia" w:ascii="黑体" w:hAnsi="黑体" w:eastAsia="黑体" w:cs="黑体"/>
          <w:b w:val="0"/>
          <w:bCs w:val="0"/>
          <w:i/>
          <w:color w:val="auto"/>
          <w:sz w:val="32"/>
          <w:szCs w:val="32"/>
          <w:highlight w:val="none"/>
          <w:u w:val="single"/>
          <w:lang w:val="en-US" w:eastAsia="zh-CN" w:bidi="ar-SA"/>
        </w:rPr>
        <w:br w:type="page" w:clear="all"/>
      </w:r>
      <w:r/>
    </w:p>
    <w:p>
      <w:pPr>
        <w:jc w:val="center"/>
        <w:spacing w:before="180" w:line="400" w:lineRule="exact"/>
        <w:widowControl/>
        <w:rPr>
          <w:rFonts w:hint="eastAsia" w:ascii="黑体" w:hAnsi="黑体" w:eastAsia="黑体" w:cs="黑体"/>
          <w:b w:val="0"/>
          <w:bCs w:val="0"/>
          <w:i/>
          <w:color w:val="auto"/>
          <w:sz w:val="32"/>
          <w:szCs w:val="32"/>
          <w:highlight w:val="none"/>
          <w:u w:val="single"/>
          <w:lang w:val="en-US" w:eastAsia="zh-CN" w:bidi="ar-SA"/>
        </w:rPr>
        <w:outlineLvl w:val="9"/>
      </w:pPr>
      <w:r>
        <w:rPr>
          <w:rFonts w:hint="eastAsia" w:ascii="黑体" w:hAnsi="黑体" w:eastAsia="黑体" w:cs="黑体"/>
          <w:b w:val="0"/>
          <w:bCs w:val="0"/>
          <w:i/>
          <w:color w:val="auto"/>
          <w:sz w:val="32"/>
          <w:szCs w:val="32"/>
          <w:highlight w:val="none"/>
          <w:u w:val="single"/>
          <w:lang w:val="en-US" w:eastAsia="zh-CN" w:bidi="ar-SA"/>
        </w:rPr>
        <w:t xml:space="preserve">七、特定资格要求的证明文件</w:t>
      </w:r>
      <w:r/>
    </w:p>
    <w:p>
      <w:pPr>
        <w:ind w:firstLine="480"/>
        <w:jc w:val="center"/>
        <w:spacing w:before="180" w:line="40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如果本项目申请人的特定资格要求中要求提供的，必须提供。</w:t>
      </w:r>
      <w:r/>
    </w:p>
    <w:p>
      <w:pPr>
        <w:jc w:val="left"/>
        <w:rPr>
          <w:rFonts w:hint="eastAsia" w:ascii="宋体" w:hAnsi="宋体" w:eastAsia="宋体" w:cs="宋体"/>
          <w:i/>
          <w:color w:val="auto"/>
          <w:sz w:val="32"/>
          <w:szCs w:val="32"/>
          <w:highlight w:val="none"/>
          <w:u w:val="single"/>
        </w:rPr>
        <w:outlineLvl w:val="9"/>
      </w:pPr>
      <w:r>
        <w:rPr>
          <w:rFonts w:hint="eastAsia" w:ascii="宋体" w:hAnsi="宋体" w:eastAsia="宋体" w:cs="宋体"/>
          <w:i/>
          <w:color w:val="auto"/>
          <w:sz w:val="32"/>
          <w:szCs w:val="32"/>
          <w:highlight w:val="none"/>
          <w:u w:val="single"/>
        </w:rPr>
        <w:br w:type="page" w:clear="all"/>
      </w:r>
      <w:r/>
    </w:p>
    <w:p>
      <w:pPr>
        <w:jc w:val="center"/>
        <w:spacing w:before="180" w:line="400" w:lineRule="exact"/>
        <w:widowControl/>
        <w:rPr>
          <w:rFonts w:hint="eastAsia" w:ascii="黑体" w:hAnsi="黑体" w:eastAsia="黑体" w:cs="黑体"/>
          <w:b w:val="0"/>
          <w:bCs w:val="0"/>
          <w:i/>
          <w:color w:val="auto"/>
          <w:sz w:val="32"/>
          <w:szCs w:val="32"/>
          <w:highlight w:val="none"/>
          <w:u w:val="single"/>
          <w:lang w:val="en-US" w:eastAsia="zh-CN" w:bidi="ar-SA"/>
        </w:rPr>
        <w:outlineLvl w:val="9"/>
      </w:pPr>
      <w:r>
        <w:rPr>
          <w:rFonts w:hint="eastAsia" w:ascii="黑体" w:hAnsi="黑体" w:eastAsia="黑体" w:cs="黑体"/>
          <w:b w:val="0"/>
          <w:bCs w:val="0"/>
          <w:i/>
          <w:color w:val="auto"/>
          <w:sz w:val="32"/>
          <w:szCs w:val="32"/>
          <w:highlight w:val="none"/>
          <w:u w:val="single"/>
          <w:lang w:val="en-US" w:eastAsia="zh-CN" w:bidi="ar-SA"/>
        </w:rPr>
        <w:t xml:space="preserve">八、法人授权书</w:t>
      </w:r>
      <w:r/>
    </w:p>
    <w:p>
      <w:pPr>
        <w:pStyle w:val="871"/>
        <w:ind w:firstLine="480"/>
        <w:jc w:val="left"/>
        <w:spacing w:line="560" w:lineRule="exact"/>
        <w:widowControl/>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本授权书声明：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（供应商名称）授权</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（被授权人的姓名）为我方就</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采购活动的合法代理人，以本单位名义全权处理一切与该项目采购有关的事务。</w:t>
      </w:r>
      <w:r/>
    </w:p>
    <w:p>
      <w:pPr>
        <w:pStyle w:val="883"/>
        <w:ind w:firstLine="480"/>
        <w:jc w:val="left"/>
        <w:spacing w:beforeAutospacing="0" w:afterAutospacing="0" w:line="500" w:lineRule="exact"/>
        <w:tabs>
          <w:tab w:val="left" w:pos="36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本授权书于______年____月____日起生效，特此声明。</w:t>
      </w:r>
      <w:r/>
    </w:p>
    <w:p>
      <w:pPr>
        <w:pStyle w:val="883"/>
        <w:ind w:firstLine="480"/>
        <w:jc w:val="left"/>
        <w:spacing w:beforeAutospacing="0" w:afterAutospacing="0" w:line="500" w:lineRule="exact"/>
        <w:tabs>
          <w:tab w:val="left" w:pos="36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883"/>
        <w:ind w:firstLine="480"/>
        <w:jc w:val="left"/>
        <w:spacing w:beforeAutospacing="0" w:afterAutospacing="0" w:line="500" w:lineRule="exact"/>
        <w:tabs>
          <w:tab w:val="left" w:pos="36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被授权人联系电话：</w:t>
      </w:r>
      <w:r>
        <w:rPr>
          <w:rFonts w:hint="eastAsia" w:ascii="宋体" w:hAnsi="宋体" w:eastAsia="宋体" w:cs="宋体"/>
          <w:color w:val="auto"/>
          <w:highlight w:val="none"/>
          <w:u w:val="single"/>
        </w:rPr>
        <w:t xml:space="preserve">         （手机）         </w:t>
      </w:r>
      <w:r/>
    </w:p>
    <w:p>
      <w:pPr>
        <w:pStyle w:val="883"/>
        <w:ind w:firstLine="480"/>
        <w:jc w:val="left"/>
        <w:spacing w:beforeAutospacing="0" w:afterAutospacing="0" w:line="500" w:lineRule="exact"/>
        <w:tabs>
          <w:tab w:val="left" w:pos="36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      （加盖CA电子公章）      </w:t>
      </w:r>
      <w:r/>
    </w:p>
    <w:p>
      <w:pPr>
        <w:pStyle w:val="883"/>
        <w:ind w:firstLine="480"/>
        <w:jc w:val="left"/>
        <w:spacing w:beforeAutospacing="0" w:afterAutospacing="0" w:line="500" w:lineRule="exact"/>
        <w:tabs>
          <w:tab w:val="left" w:pos="36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883"/>
        <w:ind w:firstLine="480"/>
        <w:jc w:val="left"/>
        <w:spacing w:beforeAutospacing="0" w:afterAutospacing="0" w:line="500" w:lineRule="exact"/>
        <w:tabs>
          <w:tab w:val="left" w:pos="36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rPr>
          <w:rFonts w:hint="eastAsia" w:ascii="宋体" w:hAnsi="宋体" w:eastAsia="宋体" w:cs="宋体"/>
          <w:i/>
          <w:color w:val="auto"/>
          <w:sz w:val="32"/>
          <w:szCs w:val="32"/>
          <w:highlight w:val="none"/>
          <w:u w:val="single"/>
        </w:rPr>
        <w:br w:type="page" w:clear="all"/>
      </w:r>
      <w:r/>
    </w:p>
    <w:p>
      <w:pPr>
        <w:jc w:val="center"/>
        <w:spacing w:before="180" w:line="400" w:lineRule="exact"/>
        <w:widowControl/>
        <w:rPr>
          <w:rFonts w:hint="eastAsia" w:ascii="黑体" w:hAnsi="黑体" w:eastAsia="黑体" w:cs="黑体"/>
          <w:b w:val="0"/>
          <w:bCs w:val="0"/>
          <w:i/>
          <w:color w:val="auto"/>
          <w:sz w:val="32"/>
          <w:szCs w:val="32"/>
          <w:highlight w:val="none"/>
          <w:u w:val="single"/>
          <w:lang w:val="en-US" w:eastAsia="zh-CN" w:bidi="ar-SA"/>
        </w:rPr>
        <w:outlineLvl w:val="9"/>
      </w:pPr>
      <w:r>
        <w:rPr>
          <w:rFonts w:hint="eastAsia" w:ascii="黑体" w:hAnsi="黑体" w:eastAsia="黑体" w:cs="黑体"/>
          <w:b w:val="0"/>
          <w:bCs w:val="0"/>
          <w:i/>
          <w:color w:val="auto"/>
          <w:sz w:val="32"/>
          <w:szCs w:val="32"/>
          <w:highlight w:val="none"/>
          <w:u w:val="single"/>
          <w:lang w:val="en-US" w:eastAsia="zh-CN" w:bidi="ar-SA"/>
        </w:rPr>
        <w:t xml:space="preserve">九、投标函</w:t>
      </w:r>
      <w:r/>
    </w:p>
    <w:p>
      <w:pPr>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致：盐城市政府采购中心</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根据贵方的</w:t>
      </w:r>
      <w:r>
        <w:rPr>
          <w:rFonts w:hint="eastAsia" w:ascii="宋体" w:hAnsi="宋体" w:eastAsia="宋体" w:cs="宋体"/>
          <w:color w:val="auto"/>
          <w:sz w:val="24"/>
          <w:highlight w:val="none"/>
          <w:u w:val="single"/>
          <w:lang w:eastAsia="zh-CN"/>
        </w:rPr>
        <w:t xml:space="preserve">JSZC-320900-JZCG-G2026-</w:t>
      </w:r>
      <w:r>
        <w:rPr>
          <w:rFonts w:hint="eastAsia" w:ascii="宋体" w:hAnsi="宋体" w:eastAsia="宋体" w:cs="宋体"/>
          <w:color w:val="auto"/>
          <w:sz w:val="24"/>
          <w:highlight w:val="none"/>
          <w:u w:val="single"/>
          <w:lang w:val="en-US" w:eastAsia="zh-CN"/>
        </w:rPr>
        <w:t xml:space="preserve">0067</w:t>
      </w:r>
      <w:r>
        <w:rPr>
          <w:rFonts w:hint="eastAsia" w:ascii="宋体" w:hAnsi="宋体" w:eastAsia="宋体" w:cs="宋体"/>
          <w:color w:val="auto"/>
          <w:sz w:val="24"/>
          <w:highlight w:val="none"/>
        </w:rPr>
        <w:t xml:space="preserve">号招标文件，正式授权下述签字人</w:t>
      </w:r>
      <w:r/>
    </w:p>
    <w:p>
      <w:pPr>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(姓名)代表我方______________（投标人的名称），全权处理本次项目投标的有关事宜。</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据此函，__________签字人兹宣布同意如下：</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1.按招标文件规定的各项要求，向买方提供所需服务（包含与服务相关的货物）。</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2.我们完全理解贵方不一定将合同授予最低报价的投标人。</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4.我们同意从规定的开标日期起遵循本投标文件，并在规定的投标有效期期满之前均具有约束力。</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7.与本投标有关的正式通讯地址为：</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地        址：</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邮        编：</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电        话：</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传        真：</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投标人开户行：</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账        号： </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        期：______年____月____日</w:t>
      </w:r>
      <w:r/>
    </w:p>
    <w:p>
      <w:pPr>
        <w:jc w:val="left"/>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jc w:val="left"/>
        <w:rPr>
          <w:rFonts w:hint="eastAsia" w:ascii="宋体" w:hAnsi="宋体" w:eastAsia="宋体" w:cs="宋体"/>
          <w:bCs/>
          <w:iCs/>
          <w:color w:val="auto"/>
          <w:sz w:val="32"/>
          <w:szCs w:val="32"/>
          <w:highlight w:val="none"/>
        </w:rPr>
        <w:outlineLvl w:val="9"/>
      </w:pPr>
      <w:r>
        <w:rPr>
          <w:rFonts w:hint="eastAsia" w:ascii="宋体" w:hAnsi="宋体" w:eastAsia="宋体" w:cs="宋体"/>
          <w:bCs/>
          <w:iCs/>
          <w:color w:val="auto"/>
          <w:sz w:val="32"/>
          <w:szCs w:val="32"/>
          <w:highlight w:val="none"/>
        </w:rPr>
        <w:br w:type="page" w:clear="all"/>
      </w:r>
      <w:r/>
    </w:p>
    <w:p>
      <w:pPr>
        <w:jc w:val="center"/>
        <w:spacing w:before="180" w:line="400" w:lineRule="exact"/>
        <w:widowControl/>
        <w:rPr>
          <w:rFonts w:hint="eastAsia" w:ascii="黑体" w:hAnsi="黑体" w:eastAsia="黑体" w:cs="黑体"/>
          <w:b w:val="0"/>
          <w:bCs w:val="0"/>
          <w:i/>
          <w:color w:val="auto"/>
          <w:sz w:val="32"/>
          <w:szCs w:val="32"/>
          <w:highlight w:val="none"/>
          <w:u w:val="single"/>
          <w:lang w:val="en-US" w:eastAsia="zh-CN" w:bidi="ar-SA"/>
        </w:rPr>
        <w:outlineLvl w:val="9"/>
      </w:pPr>
      <w:r>
        <w:rPr>
          <w:rFonts w:hint="eastAsia" w:ascii="黑体" w:hAnsi="黑体" w:eastAsia="黑体" w:cs="黑体"/>
          <w:b w:val="0"/>
          <w:bCs w:val="0"/>
          <w:i/>
          <w:color w:val="auto"/>
          <w:sz w:val="32"/>
          <w:szCs w:val="32"/>
          <w:highlight w:val="none"/>
          <w:u w:val="single"/>
          <w:lang w:val="en-US" w:eastAsia="zh-CN" w:bidi="ar-SA"/>
        </w:rPr>
        <w:t xml:space="preserve">十、中小企业声明函（服务）</w:t>
      </w:r>
      <w:r/>
    </w:p>
    <w:p>
      <w:pPr>
        <w:ind w:firstLine="482"/>
        <w:jc w:val="left"/>
        <w:keepLines w:val="0"/>
        <w:keepNext w:val="0"/>
        <w:pageBreakBefore w:val="0"/>
        <w:spacing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auto"/>
          <w:sz w:val="24"/>
          <w:highlight w:val="none"/>
          <w:u w:val="single"/>
          <w:lang w:val="en-US" w:eastAsia="zh-CN"/>
        </w:rPr>
        <w:t xml:space="preserve">盐城市档案馆</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lang w:eastAsia="zh-CN"/>
        </w:rPr>
        <w:t xml:space="preserve">JSZC-320900-JZCG-G2026-</w:t>
      </w:r>
      <w:r>
        <w:rPr>
          <w:rFonts w:hint="eastAsia" w:ascii="宋体" w:hAnsi="宋体" w:eastAsia="宋体" w:cs="宋体"/>
          <w:color w:val="auto"/>
          <w:sz w:val="24"/>
          <w:highlight w:val="none"/>
          <w:u w:val="single"/>
          <w:lang w:val="en-US" w:eastAsia="zh-CN"/>
        </w:rPr>
        <w:t xml:space="preserve">0067</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eastAsia="zh-CN"/>
        </w:rPr>
        <w:t xml:space="preserve">盐城市综合档案馆物业服务项目</w:t>
      </w:r>
      <w:r>
        <w:rPr>
          <w:rFonts w:hint="eastAsia" w:ascii="宋体" w:hAnsi="宋体" w:eastAsia="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2"/>
        <w:jc w:val="left"/>
        <w:keepLines w:val="0"/>
        <w:keepNext w:val="0"/>
        <w:pageBreakBefore w:val="0"/>
        <w:spacing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1.</w:t>
      </w:r>
      <w:r>
        <w:rPr>
          <w:rFonts w:hint="eastAsia" w:ascii="宋体" w:hAnsi="宋体" w:eastAsia="宋体" w:cs="宋体"/>
          <w:i/>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i/>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行业；承接企业为（</w:t>
      </w:r>
      <w:r>
        <w:rPr>
          <w:rFonts w:hint="eastAsia" w:ascii="宋体" w:hAnsi="宋体" w:eastAsia="宋体" w:cs="宋体"/>
          <w:i/>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2"/>
        <w:jc w:val="left"/>
        <w:keepLines w:val="0"/>
        <w:keepNext w:val="0"/>
        <w:pageBreakBefore w:val="0"/>
        <w:spacing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2.</w:t>
      </w:r>
      <w:r>
        <w:rPr>
          <w:rFonts w:hint="eastAsia" w:ascii="宋体" w:hAnsi="宋体" w:eastAsia="宋体" w:cs="宋体"/>
          <w:i/>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i/>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行业；承接企业为（</w:t>
      </w:r>
      <w:r>
        <w:rPr>
          <w:rFonts w:hint="eastAsia" w:ascii="宋体" w:hAnsi="宋体" w:eastAsia="宋体" w:cs="宋体"/>
          <w:i/>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2"/>
        <w:jc w:val="left"/>
        <w:keepLines w:val="0"/>
        <w:keepNext w:val="0"/>
        <w:pageBreakBefore w:val="0"/>
        <w:spacing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w:t>
      </w:r>
      <w:r/>
    </w:p>
    <w:p>
      <w:pPr>
        <w:ind w:firstLine="482"/>
        <w:jc w:val="left"/>
        <w:keepLines w:val="0"/>
        <w:keepNext w:val="0"/>
        <w:pageBreakBefore w:val="0"/>
        <w:spacing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2"/>
        <w:jc w:val="left"/>
        <w:keepLines w:val="0"/>
        <w:keepNext w:val="0"/>
        <w:pageBreakBefore w:val="0"/>
        <w:spacing w:line="500" w:lineRule="exact"/>
        <w:widowControl w:val="off"/>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2"/>
        <w:jc w:val="left"/>
        <w:keepLines w:val="0"/>
        <w:keepNext w:val="0"/>
        <w:pageBreakBefore w:val="0"/>
        <w:spacing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 </w:t>
      </w:r>
      <w:r/>
    </w:p>
    <w:p>
      <w:pPr>
        <w:ind w:firstLine="482"/>
        <w:jc w:val="right"/>
        <w:keepLines w:val="0"/>
        <w:keepNext w:val="0"/>
        <w:pageBreakBefore w:val="0"/>
        <w:spacing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企业名称（加盖CA电子公章）：</w:t>
      </w:r>
      <w:r/>
    </w:p>
    <w:p>
      <w:pPr>
        <w:ind w:firstLine="482"/>
        <w:jc w:val="right"/>
        <w:keepLines w:val="0"/>
        <w:keepNext w:val="0"/>
        <w:pageBreakBefore w:val="0"/>
        <w:spacing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日  期：</w:t>
      </w:r>
      <w:r/>
    </w:p>
    <w:p>
      <w:pPr>
        <w:ind w:firstLine="482"/>
        <w:jc w:val="left"/>
        <w:keepLines w:val="0"/>
        <w:keepNext w:val="0"/>
        <w:pageBreakBefore w:val="0"/>
        <w:spacing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备注1：从业人员、营业收入、资产总额填报上一年度数据，无上一年度数据的新成立企业可不填报。</w:t>
      </w:r>
      <w:r/>
    </w:p>
    <w:p>
      <w:pPr>
        <w:ind w:firstLine="482"/>
        <w:jc w:val="left"/>
        <w:keepLines w:val="0"/>
        <w:keepNext w:val="0"/>
        <w:pageBreakBefore w:val="0"/>
        <w:spacing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备注2：供应商如不提供此声明函，价格将不做相应扣除（如项目全面面向中小企业，则资格审查不通过）。</w:t>
      </w:r>
      <w:r/>
    </w:p>
    <w:p>
      <w:pPr>
        <w:ind w:firstLine="480"/>
        <w:jc w:val="left"/>
        <w:spacing w:line="500" w:lineRule="exact"/>
        <w:shd w:val="clear" w:color="ffffff" w:themeColor="background1" w:fill="ffffff" w:themeFill="background1"/>
        <w:rPr>
          <w:rFonts w:hint="eastAsia" w:ascii="宋体" w:hAnsi="宋体" w:eastAsia="宋体" w:cs="宋体"/>
          <w:i/>
          <w:color w:val="auto"/>
          <w:sz w:val="34"/>
          <w:szCs w:val="32"/>
          <w:highlight w:val="none"/>
          <w:u w:val="single"/>
        </w:rPr>
        <w:outlineLvl w:val="9"/>
      </w:pPr>
      <w:r>
        <w:rPr>
          <w:rFonts w:hint="eastAsia" w:ascii="宋体" w:hAnsi="宋体" w:eastAsia="宋体" w:cs="宋体"/>
          <w:bCs/>
          <w:color w:val="auto"/>
          <w:sz w:val="32"/>
          <w:szCs w:val="32"/>
          <w:highlight w:val="none"/>
        </w:rPr>
        <w:br w:type="page" w:clear="all"/>
      </w:r>
      <w:r/>
    </w:p>
    <w:p>
      <w:pPr>
        <w:pStyle w:val="883"/>
        <w:jc w:val="center"/>
        <w:spacing w:beforeAutospacing="0" w:afterAutospacing="0" w:line="0" w:lineRule="atLeast"/>
        <w:rPr>
          <w:rFonts w:hint="eastAsia" w:ascii="黑体" w:hAnsi="黑体" w:eastAsia="黑体" w:cs="黑体"/>
          <w:b w:val="0"/>
          <w:bCs w:val="0"/>
          <w:i/>
          <w:color w:val="auto"/>
          <w:sz w:val="32"/>
          <w:szCs w:val="32"/>
          <w:highlight w:val="none"/>
          <w:u w:val="single"/>
        </w:rPr>
        <w:outlineLvl w:val="9"/>
      </w:pPr>
      <w:r>
        <w:rPr>
          <w:rFonts w:hint="eastAsia" w:ascii="黑体" w:hAnsi="黑体" w:eastAsia="黑体" w:cs="黑体"/>
          <w:b w:val="0"/>
          <w:bCs w:val="0"/>
          <w:i/>
          <w:color w:val="auto"/>
          <w:sz w:val="32"/>
          <w:szCs w:val="32"/>
          <w:highlight w:val="none"/>
          <w:u w:val="single"/>
        </w:rPr>
        <w:t xml:space="preserve">十一、残疾人福利性单位声明函</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lang w:val="en-US" w:eastAsia="zh-CN"/>
        </w:rPr>
        <w:t xml:space="preserve">盐城市档案馆</w:t>
      </w:r>
      <w:r>
        <w:rPr>
          <w:rFonts w:hint="eastAsia" w:ascii="宋体" w:hAnsi="宋体" w:eastAsia="宋体" w:cs="宋体"/>
          <w:color w:val="auto"/>
          <w:sz w:val="24"/>
          <w:highlight w:val="none"/>
        </w:rPr>
        <w:t xml:space="preserve">单位的采购文件编号为</w:t>
      </w:r>
      <w:r>
        <w:rPr>
          <w:rFonts w:hint="eastAsia" w:ascii="宋体" w:hAnsi="宋体" w:eastAsia="宋体" w:cs="宋体"/>
          <w:color w:val="auto"/>
          <w:sz w:val="24"/>
          <w:szCs w:val="24"/>
          <w:highlight w:val="none"/>
          <w:u w:val="single"/>
          <w:lang w:val="en-US" w:eastAsia="zh-CN" w:bidi="ar-SA"/>
        </w:rPr>
        <w:t xml:space="preserve">JSZC-320900-JZCG-G2026-0067</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lang w:eastAsia="zh-CN"/>
        </w:rPr>
        <w:t xml:space="preserve">盐城市综合档案馆物业服务项目</w:t>
      </w:r>
      <w:r>
        <w:rPr>
          <w:rFonts w:hint="eastAsia" w:ascii="宋体" w:hAnsi="宋体" w:eastAsia="宋体" w:cs="宋体"/>
          <w:color w:val="auto"/>
          <w:sz w:val="24"/>
          <w:highlight w:val="none"/>
        </w:rPr>
        <w:t xml:space="preserve">采购活动由本单位提供服务。</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备注：1、供应商如不提供此声明函，价格将不做相应扣除（如项目全面面向中小企业，则资格审查不通过）。</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2、中标人为残疾人福利单位的，此声明函将随中标结果同时公告，接受社会监督。</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w:t>
      </w:r>
      <w:r/>
    </w:p>
    <w:p>
      <w:pPr>
        <w:ind w:firstLine="480"/>
        <w:jc w:val="righ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企业名称（加盖CA电子公章）：</w:t>
      </w:r>
      <w:r/>
    </w:p>
    <w:p>
      <w:pPr>
        <w:ind w:firstLine="480"/>
        <w:jc w:val="righ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  期：</w:t>
      </w:r>
      <w:r/>
    </w:p>
    <w:p>
      <w:pPr>
        <w:jc w:val="lef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br w:type="page" w:clear="all"/>
      </w:r>
      <w:r/>
    </w:p>
    <w:p>
      <w:pPr>
        <w:pStyle w:val="883"/>
        <w:jc w:val="center"/>
        <w:spacing w:beforeAutospacing="0" w:afterAutospacing="0" w:line="0" w:lineRule="atLeast"/>
        <w:rPr>
          <w:rFonts w:hint="eastAsia" w:ascii="黑体" w:hAnsi="黑体" w:eastAsia="黑体" w:cs="黑体"/>
          <w:b w:val="0"/>
          <w:bCs w:val="0"/>
          <w:i/>
          <w:color w:val="auto"/>
          <w:sz w:val="32"/>
          <w:szCs w:val="32"/>
          <w:highlight w:val="none"/>
          <w:u w:val="single"/>
        </w:rPr>
        <w:outlineLvl w:val="9"/>
      </w:pPr>
      <w:r>
        <w:rPr>
          <w:rFonts w:hint="eastAsia" w:ascii="黑体" w:hAnsi="黑体" w:eastAsia="黑体" w:cs="黑体"/>
          <w:b w:val="0"/>
          <w:bCs w:val="0"/>
          <w:i/>
          <w:color w:val="auto"/>
          <w:sz w:val="32"/>
          <w:szCs w:val="32"/>
          <w:highlight w:val="none"/>
          <w:u w:val="single"/>
        </w:rPr>
        <w:t xml:space="preserve">十二、投标分项报价表</w:t>
      </w:r>
      <w:r/>
    </w:p>
    <w:tbl>
      <w:tblPr>
        <w:tblStyle w:val="864"/>
        <w:tblW w:w="86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4"/>
        <w:gridCol w:w="1758"/>
        <w:gridCol w:w="1114"/>
        <w:gridCol w:w="1050"/>
        <w:gridCol w:w="1328"/>
        <w:gridCol w:w="2604"/>
      </w:tblGrid>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人数</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单价</w:t>
            </w:r>
            <w:r>
              <w:rPr>
                <w:rFonts w:hint="eastAsia" w:ascii="宋体" w:hAnsi="宋体" w:eastAsia="宋体" w:cs="宋体"/>
                <w:b/>
                <w:bCs/>
                <w:i w:val="0"/>
                <w:iCs w:val="0"/>
                <w:color w:val="auto"/>
                <w:sz w:val="22"/>
                <w:szCs w:val="22"/>
                <w:highlight w:val="none"/>
                <w:u w:val="none"/>
                <w:lang w:val="en-US" w:eastAsia="zh-CN" w:bidi="ar"/>
              </w:rPr>
              <w:br/>
            </w:r>
            <w:r>
              <w:rPr>
                <w:rFonts w:hint="eastAsia" w:ascii="宋体" w:hAnsi="宋体" w:eastAsia="宋体" w:cs="宋体"/>
                <w:b/>
                <w:bCs/>
                <w:i w:val="0"/>
                <w:iCs w:val="0"/>
                <w:color w:val="auto"/>
                <w:sz w:val="22"/>
                <w:szCs w:val="22"/>
                <w:highlight w:val="none"/>
                <w:u w:val="none"/>
                <w:lang w:val="en-US" w:eastAsia="zh-CN" w:bidi="ar"/>
              </w:rPr>
              <w:t xml:space="preserve">（元/人/年）</w:t>
            </w:r>
            <w:r/>
          </w:p>
        </w:tc>
        <w:tc>
          <w:tcPr>
            <w:shd w:val="clear" w:color="auto" w:fill="auto"/>
            <w:tcBorders>
              <w:top w:val="single" w:color="000000" w:sz="4" w:space="0"/>
              <w:left w:val="single" w:color="000000" w:sz="4" w:space="0"/>
              <w:bottom w:val="non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物业管理服务人员工资、社保、福利及国假加班等费用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4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cs="宋体"/>
                <w:b/>
                <w:color w:val="auto"/>
                <w:sz w:val="21"/>
                <w:szCs w:val="21"/>
                <w:highlight w:val="none"/>
              </w:rPr>
              <w:t xml:space="preserve">（以下  项合计）</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所有人员工资不低于盐城市最新公布的最低工资标准2430元/人/月，所提供人员的费用不得低于上述标准进行测算，否则将视为未实质性响应招标文件要求。</w:t>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保安员</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消控室操作员</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接待员</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绿化工</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水电维修工</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1647"/>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社保（企业部分）按不低于1292.47元/人/月填报，否则作无效标书处理。</w:t>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both"/>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各投标人须按不低于1</w:t>
            </w:r>
            <w:r>
              <w:rPr>
                <w:rFonts w:hint="eastAsia" w:ascii="宋体" w:hAnsi="宋体" w:eastAsia="宋体" w:cs="宋体"/>
                <w:b/>
                <w:bCs/>
                <w:i w:val="0"/>
                <w:iCs w:val="0"/>
                <w:color w:val="auto"/>
                <w:sz w:val="22"/>
                <w:szCs w:val="22"/>
                <w:highlight w:val="none"/>
                <w:u w:val="none"/>
                <w:lang w:val="en-US" w:eastAsia="zh-CN" w:bidi="ar"/>
              </w:rPr>
              <w:t xml:space="preserve">1</w:t>
            </w:r>
            <w:r>
              <w:rPr>
                <w:rFonts w:hint="eastAsia" w:ascii="宋体" w:hAnsi="宋体" w:eastAsia="宋体" w:cs="宋体"/>
                <w:b/>
                <w:bCs/>
                <w:i w:val="0"/>
                <w:iCs w:val="0"/>
                <w:color w:val="auto"/>
                <w:sz w:val="22"/>
                <w:szCs w:val="22"/>
                <w:highlight w:val="none"/>
                <w:u w:val="none"/>
                <w:lang w:val="en-US" w:eastAsia="zh-CN" w:bidi="ar"/>
              </w:rPr>
              <w:t xml:space="preserve">4元/人/月填报，否则作无效标书处理。</w:t>
            </w:r>
            <w:r/>
          </w:p>
        </w:tc>
      </w:tr>
      <w:tr>
        <w:trPr>
          <w:trHeight w:val="891"/>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国假加班费</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每年法定国假加班天数为13天，加班人数不少于12人，各投标人须按不低于4357.25元/人/每年填报，否则作无效标书处理。</w:t>
            </w:r>
            <w:r/>
          </w:p>
        </w:tc>
      </w:tr>
      <w:tr>
        <w:trPr>
          <w:trHeight w:val="891"/>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福利费</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891"/>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夏季高温费</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各投标人须按不低于1200元/人/年填报，人数不少于12人，否则作无效标书处理。</w:t>
            </w:r>
            <w:r/>
          </w:p>
        </w:tc>
      </w:tr>
      <w:tr>
        <w:trPr>
          <w:trHeight w:val="891"/>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体检费</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891"/>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891"/>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综合管理杂费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4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b/>
                <w:color w:val="auto"/>
                <w:sz w:val="21"/>
                <w:szCs w:val="21"/>
                <w:highlight w:val="none"/>
              </w:rPr>
              <w:t xml:space="preserve">（以下  项合计）</w:t>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78"/>
        </w:trPr>
        <w:tc>
          <w:tcPr>
            <w:shd w:val="clear" w:color="auto" w:fill="auto"/>
            <w:tcBorders>
              <w:top w:val="none" w:color="000000" w:sz="4" w:space="0"/>
              <w:left w:val="single" w:color="000000" w:sz="4" w:space="0"/>
              <w:bottom w:val="none" w:color="000000" w:sz="4" w:space="0"/>
              <w:right w:val="single" w:color="000000" w:sz="4" w:space="0"/>
            </w:tcBorders>
            <w:tcW w:w="784" w:type="dxa"/>
            <w:vAlign w:val="center"/>
            <w:vMerge w:val="restart"/>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办公品消耗费</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78"/>
        </w:trPr>
        <w:tc>
          <w:tcPr>
            <w:shd w:val="clear" w:color="auto" w:fill="auto"/>
            <w:tcBorders>
              <w:top w:val="none" w:color="000000" w:sz="4" w:space="0"/>
              <w:left w:val="single" w:color="000000" w:sz="4" w:space="0"/>
              <w:bottom w:val="non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培训费</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bottom"/>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78"/>
        </w:trPr>
        <w:tc>
          <w:tcPr>
            <w:shd w:val="clear" w:color="auto" w:fill="auto"/>
            <w:tcBorders>
              <w:top w:val="none" w:color="000000" w:sz="4" w:space="0"/>
              <w:left w:val="single" w:color="000000" w:sz="4" w:space="0"/>
              <w:bottom w:val="non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低值易耗品、客耗品费</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bottom"/>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78"/>
        </w:trPr>
        <w:tc>
          <w:tcPr>
            <w:shd w:val="clear" w:color="auto" w:fill="auto"/>
            <w:tcBorders>
              <w:top w:val="none" w:color="000000" w:sz="4" w:space="0"/>
              <w:left w:val="single" w:color="000000" w:sz="4" w:space="0"/>
              <w:bottom w:val="non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零星维修费</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bottom"/>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78"/>
        </w:trPr>
        <w:tc>
          <w:tcPr>
            <w:shd w:val="clear" w:color="auto" w:fill="auto"/>
            <w:tcBorders>
              <w:top w:val="none" w:color="000000" w:sz="4" w:space="0"/>
              <w:left w:val="single" w:color="000000" w:sz="4" w:space="0"/>
              <w:bottom w:val="none" w:color="000000" w:sz="4" w:space="0"/>
              <w:right w:val="single" w:color="000000" w:sz="4" w:space="0"/>
            </w:tcBorders>
            <w:tcW w:w="784"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175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检测费</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bottom"/>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7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酬金（管理费）</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678"/>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17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法定税费</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1至3项合计的6.72%（各投标人填报的税率统一按照6.72%计算。）</w:t>
            </w:r>
            <w:r/>
          </w:p>
        </w:tc>
      </w:tr>
      <w:tr>
        <w:trPr>
          <w:trHeight w:val="917"/>
        </w:trPr>
        <w:tc>
          <w:tcPr>
            <w:gridSpan w:val="2"/>
            <w:shd w:val="clear" w:color="auto" w:fill="auto"/>
            <w:tcBorders>
              <w:top w:val="single" w:color="000000" w:sz="4" w:space="0"/>
              <w:left w:val="single" w:color="000000" w:sz="4" w:space="0"/>
              <w:bottom w:val="single" w:color="000000" w:sz="4" w:space="0"/>
              <w:right w:val="none" w:color="000000" w:sz="4" w:space="0"/>
            </w:tcBorders>
            <w:tcW w:w="2542"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费用合计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49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Style w:val="881"/>
                <w:rFonts w:hint="default"/>
                <w:color w:val="auto"/>
                <w:sz w:val="21"/>
                <w:szCs w:val="21"/>
                <w:highlight w:val="none"/>
                <w:lang w:bidi="ar"/>
              </w:rPr>
              <w:t xml:space="preserve">计算式：（</w:t>
            </w:r>
            <w:r>
              <w:rPr>
                <w:rFonts w:hint="eastAsia" w:ascii="宋体" w:hAnsi="宋体" w:cs="宋体"/>
                <w:b/>
                <w:bCs/>
                <w:color w:val="auto"/>
                <w:sz w:val="21"/>
                <w:szCs w:val="21"/>
                <w:highlight w:val="none"/>
                <w:lang w:val="zh-CN"/>
              </w:rPr>
              <w:t xml:space="preserve">1项+2项+</w:t>
            </w:r>
            <w:r>
              <w:rPr>
                <w:rFonts w:hint="eastAsia" w:ascii="宋体" w:hAnsi="宋体" w:cs="宋体"/>
                <w:b/>
                <w:bCs/>
                <w:color w:val="auto"/>
                <w:sz w:val="21"/>
                <w:szCs w:val="21"/>
                <w:highlight w:val="none"/>
                <w:lang w:val="en-US" w:eastAsia="zh-CN"/>
              </w:rPr>
              <w:t xml:space="preserve">3项</w:t>
            </w: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lang w:val="zh-CN"/>
              </w:rPr>
              <w:t xml:space="preserve">项</w:t>
            </w:r>
            <w:r>
              <w:rPr>
                <w:rStyle w:val="881"/>
                <w:rFonts w:hint="default"/>
                <w:color w:val="auto"/>
                <w:sz w:val="21"/>
                <w:szCs w:val="21"/>
                <w:highlight w:val="none"/>
                <w:lang w:bidi="ar"/>
              </w:rPr>
              <w:t xml:space="preserve">）</w:t>
            </w:r>
            <w:r/>
          </w:p>
        </w:tc>
      </w:tr>
    </w:tbl>
    <w:p>
      <w:pPr>
        <w:ind w:firstLine="470"/>
        <w:jc w:val="left"/>
        <w:spacing w:line="500" w:lineRule="exact"/>
        <w:rPr>
          <w:rFonts w:hint="eastAsia" w:ascii="宋体" w:hAnsi="宋体" w:eastAsia="宋体" w:cs="宋体"/>
          <w:i/>
          <w:color w:val="auto"/>
          <w:sz w:val="24"/>
          <w:highlight w:val="none"/>
          <w:u w:val="single"/>
        </w:rPr>
        <w:outlineLvl w:val="9"/>
      </w:pPr>
      <w:r>
        <w:rPr>
          <w:rFonts w:hint="eastAsia" w:ascii="宋体" w:hAnsi="宋体" w:eastAsia="宋体" w:cs="宋体"/>
          <w:b/>
          <w:i/>
          <w:iCs/>
          <w:color w:val="auto"/>
          <w:sz w:val="24"/>
          <w:highlight w:val="none"/>
          <w:u w:val="single"/>
        </w:rPr>
        <w:t xml:space="preserve">注：投标人所提供人员的费用不得低于上述标准进行测算，否则视为未实质性响应招标文件要求</w:t>
      </w:r>
      <w:r>
        <w:rPr>
          <w:rFonts w:hint="eastAsia" w:ascii="宋体" w:hAnsi="宋体" w:eastAsia="宋体" w:cs="宋体"/>
          <w:b/>
          <w:i/>
          <w:iCs/>
          <w:color w:val="auto"/>
          <w:sz w:val="24"/>
          <w:highlight w:val="none"/>
        </w:rPr>
        <w:t xml:space="preserve">。</w:t>
      </w:r>
      <w:r>
        <w:rPr>
          <w:rFonts w:hint="eastAsia" w:ascii="宋体" w:hAnsi="宋体" w:eastAsia="宋体" w:cs="宋体"/>
          <w:b/>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left"/>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br w:type="page" w:clear="all"/>
      </w:r>
      <w:r/>
    </w:p>
    <w:p>
      <w:pPr>
        <w:pStyle w:val="883"/>
        <w:jc w:val="center"/>
        <w:spacing w:beforeAutospacing="0" w:afterAutospacing="0" w:line="0" w:lineRule="atLeast"/>
        <w:rPr>
          <w:rFonts w:hint="eastAsia" w:ascii="黑体" w:hAnsi="黑体" w:eastAsia="黑体" w:cs="黑体"/>
          <w:b w:val="0"/>
          <w:bCs w:val="0"/>
          <w:i/>
          <w:color w:val="auto"/>
          <w:sz w:val="32"/>
          <w:szCs w:val="32"/>
          <w:highlight w:val="none"/>
          <w:u w:val="single"/>
        </w:rPr>
        <w:outlineLvl w:val="9"/>
      </w:pPr>
      <w:r>
        <w:rPr>
          <w:rFonts w:hint="eastAsia" w:ascii="黑体" w:hAnsi="黑体" w:eastAsia="黑体" w:cs="黑体"/>
          <w:b w:val="0"/>
          <w:bCs w:val="0"/>
          <w:i/>
          <w:color w:val="auto"/>
          <w:sz w:val="32"/>
          <w:szCs w:val="32"/>
          <w:highlight w:val="none"/>
          <w:u w:val="single"/>
        </w:rPr>
        <w:t xml:space="preserve">十三、技术要求响应及偏离表</w:t>
      </w:r>
      <w:r/>
    </w:p>
    <w:p>
      <w:pPr>
        <w:pStyle w:val="883"/>
        <w:jc w:val="left"/>
        <w:spacing w:beforeAutospacing="0" w:afterAutospacing="0"/>
        <w:rPr>
          <w:rFonts w:hint="eastAsia" w:ascii="宋体" w:hAnsi="宋体" w:eastAsia="宋体" w:cs="宋体"/>
          <w:bCs/>
          <w:i/>
          <w:color w:val="auto"/>
          <w:sz w:val="13"/>
          <w:szCs w:val="13"/>
          <w:highlight w:val="none"/>
          <w:u w:val="single"/>
        </w:rPr>
        <w:outlineLvl w:val="9"/>
      </w:pPr>
      <w:r>
        <w:rPr>
          <w:rFonts w:hint="eastAsia" w:ascii="宋体" w:hAnsi="宋体" w:eastAsia="宋体" w:cs="宋体"/>
          <w:bCs/>
          <w:i/>
          <w:color w:val="auto"/>
          <w:sz w:val="13"/>
          <w:szCs w:val="13"/>
          <w:highlight w:val="none"/>
          <w:u w:val="single"/>
        </w:rPr>
      </w:r>
      <w:r/>
    </w:p>
    <w:tbl>
      <w:tblPr>
        <w:tblStyle w:val="864"/>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883"/>
              <w:jc w:val="center"/>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序号</w:t>
            </w:r>
            <w:r/>
          </w:p>
        </w:tc>
        <w:tc>
          <w:tcPr>
            <w:tcW w:w="2369" w:type="dxa"/>
            <w:vAlign w:val="center"/>
            <w:textDirection w:val="lrTb"/>
            <w:noWrap/>
          </w:tcPr>
          <w:p>
            <w:pPr>
              <w:pStyle w:val="883"/>
              <w:jc w:val="center"/>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招标文件要求</w:t>
            </w:r>
            <w:r/>
          </w:p>
        </w:tc>
        <w:tc>
          <w:tcPr>
            <w:tcW w:w="2240" w:type="dxa"/>
            <w:vAlign w:val="center"/>
            <w:textDirection w:val="lrTb"/>
            <w:noWrap/>
          </w:tcPr>
          <w:p>
            <w:pPr>
              <w:pStyle w:val="883"/>
              <w:jc w:val="center"/>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投标响应情况</w:t>
            </w:r>
            <w:r/>
          </w:p>
        </w:tc>
        <w:tc>
          <w:tcPr>
            <w:tcW w:w="1679" w:type="dxa"/>
            <w:vAlign w:val="center"/>
            <w:textDirection w:val="lrTb"/>
            <w:noWrap/>
          </w:tcPr>
          <w:p>
            <w:pPr>
              <w:pStyle w:val="883"/>
              <w:jc w:val="center"/>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超出、符合或偏离</w:t>
            </w:r>
            <w:r/>
          </w:p>
        </w:tc>
        <w:tc>
          <w:tcPr>
            <w:tcW w:w="1679" w:type="dxa"/>
            <w:vAlign w:val="center"/>
            <w:textDirection w:val="lrTb"/>
            <w:noWrap/>
          </w:tcPr>
          <w:p>
            <w:pPr>
              <w:pStyle w:val="883"/>
              <w:jc w:val="center"/>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证明</w:t>
            </w:r>
            <w:r/>
          </w:p>
          <w:p>
            <w:pPr>
              <w:pStyle w:val="883"/>
              <w:jc w:val="center"/>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材料</w:t>
            </w:r>
            <w:r/>
          </w:p>
        </w:tc>
      </w:tr>
      <w:tr>
        <w:trPr>
          <w:jc w:val="center"/>
          <w:tblCellSpacing w:w="0" w:type="dxa"/>
          <w:trHeight w:val="770"/>
        </w:trPr>
        <w:tc>
          <w:tcPr>
            <w:tcW w:w="810"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36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240"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67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67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r>
      <w:tr>
        <w:trPr>
          <w:jc w:val="center"/>
          <w:tblCellSpacing w:w="0" w:type="dxa"/>
          <w:trHeight w:val="770"/>
        </w:trPr>
        <w:tc>
          <w:tcPr>
            <w:tcW w:w="810"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36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240"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67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67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r>
      <w:tr>
        <w:trPr>
          <w:jc w:val="center"/>
          <w:tblCellSpacing w:w="0" w:type="dxa"/>
          <w:trHeight w:val="770"/>
        </w:trPr>
        <w:tc>
          <w:tcPr>
            <w:tcW w:w="810"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36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240"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67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67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r>
      <w:tr>
        <w:trPr>
          <w:jc w:val="center"/>
          <w:tblCellSpacing w:w="0" w:type="dxa"/>
          <w:trHeight w:val="770"/>
        </w:trPr>
        <w:tc>
          <w:tcPr>
            <w:tcW w:w="810"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36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240"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67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67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r>
      <w:tr>
        <w:trPr>
          <w:jc w:val="center"/>
          <w:tblCellSpacing w:w="0" w:type="dxa"/>
          <w:trHeight w:val="770"/>
        </w:trPr>
        <w:tc>
          <w:tcPr>
            <w:tcW w:w="810"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36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240"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67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67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r>
      <w:tr>
        <w:trPr>
          <w:jc w:val="center"/>
          <w:tblCellSpacing w:w="0" w:type="dxa"/>
          <w:trHeight w:val="770"/>
        </w:trPr>
        <w:tc>
          <w:tcPr>
            <w:tcW w:w="810"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36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240"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67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67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r>
      <w:tr>
        <w:trPr>
          <w:jc w:val="center"/>
          <w:tblCellSpacing w:w="0" w:type="dxa"/>
          <w:trHeight w:val="770"/>
        </w:trPr>
        <w:tc>
          <w:tcPr>
            <w:tcW w:w="810"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36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240"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67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67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r>
      <w:tr>
        <w:trPr>
          <w:jc w:val="center"/>
          <w:tblCellSpacing w:w="0" w:type="dxa"/>
          <w:trHeight w:val="779"/>
        </w:trPr>
        <w:tc>
          <w:tcPr>
            <w:tcW w:w="810"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369" w:type="dxa"/>
            <w:vAlign w:val="center"/>
            <w:textDirection w:val="lrTb"/>
            <w:noWrap/>
          </w:tcPr>
          <w:p>
            <w:pPr>
              <w:pStyle w:val="883"/>
              <w:ind w:firstLine="48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w:t>
            </w:r>
            <w:r/>
          </w:p>
        </w:tc>
        <w:tc>
          <w:tcPr>
            <w:tcW w:w="2240"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67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679"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r>
    </w:tbl>
    <w:p>
      <w:pPr>
        <w:pStyle w:val="883"/>
        <w:ind w:firstLine="48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注：行数不够，可自行添加。</w:t>
      </w:r>
      <w:r/>
    </w:p>
    <w:p>
      <w:pPr>
        <w:pStyle w:val="883"/>
        <w:jc w:val="center"/>
        <w:spacing w:beforeAutospacing="0" w:afterAutospacing="0" w:line="0" w:lineRule="atLeast"/>
        <w:rPr>
          <w:rFonts w:hint="eastAsia" w:ascii="宋体" w:hAnsi="宋体" w:eastAsia="宋体" w:cs="宋体"/>
          <w:iCs/>
          <w:color w:val="auto"/>
          <w:highlight w:val="none"/>
        </w:rPr>
        <w:outlineLvl w:val="9"/>
      </w:pPr>
      <w:r>
        <w:rPr>
          <w:rFonts w:hint="eastAsia" w:ascii="宋体" w:hAnsi="宋体" w:eastAsia="宋体" w:cs="宋体"/>
          <w:color w:val="auto"/>
          <w:highlight w:val="none"/>
        </w:rPr>
        <w:br w:type="page" w:clear="all"/>
      </w:r>
      <w:r>
        <w:rPr>
          <w:rFonts w:hint="eastAsia" w:ascii="黑体" w:hAnsi="黑体" w:eastAsia="黑体" w:cs="黑体"/>
          <w:b w:val="0"/>
          <w:bCs w:val="0"/>
          <w:i/>
          <w:color w:val="auto"/>
          <w:sz w:val="32"/>
          <w:szCs w:val="32"/>
          <w:highlight w:val="none"/>
          <w:u w:val="single"/>
        </w:rPr>
        <w:t xml:space="preserve">十四、商务要求响应及偏离表</w:t>
      </w:r>
      <w:r/>
    </w:p>
    <w:p>
      <w:pPr>
        <w:pStyle w:val="883"/>
        <w:jc w:val="left"/>
        <w:spacing w:beforeAutospacing="0" w:afterAutospacing="0"/>
        <w:rPr>
          <w:rFonts w:hint="eastAsia" w:ascii="宋体" w:hAnsi="宋体" w:eastAsia="宋体" w:cs="宋体"/>
          <w:bCs/>
          <w:i/>
          <w:color w:val="auto"/>
          <w:sz w:val="13"/>
          <w:szCs w:val="13"/>
          <w:highlight w:val="none"/>
          <w:u w:val="single"/>
        </w:rPr>
        <w:outlineLvl w:val="9"/>
      </w:pPr>
      <w:r>
        <w:rPr>
          <w:rFonts w:hint="eastAsia" w:ascii="宋体" w:hAnsi="宋体" w:eastAsia="宋体" w:cs="宋体"/>
          <w:bCs/>
          <w:i/>
          <w:color w:val="auto"/>
          <w:sz w:val="13"/>
          <w:szCs w:val="13"/>
          <w:highlight w:val="none"/>
          <w:u w:val="single"/>
        </w:rPr>
      </w:r>
      <w:r/>
    </w:p>
    <w:tbl>
      <w:tblPr>
        <w:tblStyle w:val="864"/>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883"/>
              <w:jc w:val="center"/>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序号</w:t>
            </w:r>
            <w:r/>
          </w:p>
        </w:tc>
        <w:tc>
          <w:tcPr>
            <w:tcW w:w="2011" w:type="dxa"/>
            <w:vAlign w:val="center"/>
            <w:textDirection w:val="lrTb"/>
            <w:noWrap/>
          </w:tcPr>
          <w:p>
            <w:pPr>
              <w:pStyle w:val="883"/>
              <w:jc w:val="center"/>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招标文件要求</w:t>
            </w:r>
            <w:r/>
          </w:p>
        </w:tc>
        <w:tc>
          <w:tcPr>
            <w:tcW w:w="2304" w:type="dxa"/>
            <w:vAlign w:val="center"/>
            <w:textDirection w:val="lrTb"/>
            <w:noWrap/>
          </w:tcPr>
          <w:p>
            <w:pPr>
              <w:pStyle w:val="883"/>
              <w:jc w:val="center"/>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投标响应情况</w:t>
            </w:r>
            <w:r/>
          </w:p>
        </w:tc>
        <w:tc>
          <w:tcPr>
            <w:tcW w:w="1872" w:type="dxa"/>
            <w:vAlign w:val="center"/>
            <w:textDirection w:val="lrTb"/>
            <w:noWrap/>
          </w:tcPr>
          <w:p>
            <w:pPr>
              <w:pStyle w:val="883"/>
              <w:jc w:val="center"/>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超出、符合或偏离</w:t>
            </w:r>
            <w:r/>
          </w:p>
        </w:tc>
        <w:tc>
          <w:tcPr>
            <w:tcW w:w="1813" w:type="dxa"/>
            <w:vAlign w:val="center"/>
            <w:textDirection w:val="lrTb"/>
            <w:noWrap/>
          </w:tcPr>
          <w:p>
            <w:pPr>
              <w:pStyle w:val="883"/>
              <w:jc w:val="center"/>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证明</w:t>
            </w:r>
            <w:r/>
          </w:p>
          <w:p>
            <w:pPr>
              <w:pStyle w:val="883"/>
              <w:jc w:val="center"/>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材料</w:t>
            </w:r>
            <w:r/>
          </w:p>
        </w:tc>
      </w:tr>
      <w:tr>
        <w:trPr>
          <w:jc w:val="center"/>
          <w:tblCellSpacing w:w="0" w:type="dxa"/>
          <w:trHeight w:val="806"/>
        </w:trPr>
        <w:tc>
          <w:tcPr>
            <w:tcW w:w="777"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011"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304"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872"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813"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r>
      <w:tr>
        <w:trPr>
          <w:jc w:val="center"/>
          <w:tblCellSpacing w:w="0" w:type="dxa"/>
          <w:trHeight w:val="806"/>
        </w:trPr>
        <w:tc>
          <w:tcPr>
            <w:tcW w:w="777"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011"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304"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872"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813"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r>
      <w:tr>
        <w:trPr>
          <w:jc w:val="center"/>
          <w:tblCellSpacing w:w="0" w:type="dxa"/>
          <w:trHeight w:val="806"/>
        </w:trPr>
        <w:tc>
          <w:tcPr>
            <w:tcW w:w="777"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011"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304"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872"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813"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r>
      <w:tr>
        <w:trPr>
          <w:jc w:val="center"/>
          <w:tblCellSpacing w:w="0" w:type="dxa"/>
          <w:trHeight w:val="806"/>
        </w:trPr>
        <w:tc>
          <w:tcPr>
            <w:tcW w:w="777"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011"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304"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872"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813"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r>
      <w:tr>
        <w:trPr>
          <w:jc w:val="center"/>
          <w:tblCellSpacing w:w="0" w:type="dxa"/>
          <w:trHeight w:val="806"/>
        </w:trPr>
        <w:tc>
          <w:tcPr>
            <w:tcW w:w="777"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011"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304"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872"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813"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r>
      <w:tr>
        <w:trPr>
          <w:jc w:val="center"/>
          <w:tblCellSpacing w:w="0" w:type="dxa"/>
          <w:trHeight w:val="806"/>
        </w:trPr>
        <w:tc>
          <w:tcPr>
            <w:tcW w:w="777"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011"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304"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872"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813"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r>
      <w:tr>
        <w:trPr>
          <w:jc w:val="center"/>
          <w:tblCellSpacing w:w="0" w:type="dxa"/>
          <w:trHeight w:val="806"/>
        </w:trPr>
        <w:tc>
          <w:tcPr>
            <w:tcW w:w="777"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011"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304"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872"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813"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r>
      <w:tr>
        <w:trPr>
          <w:jc w:val="center"/>
          <w:tblCellSpacing w:w="0" w:type="dxa"/>
          <w:trHeight w:val="826"/>
        </w:trPr>
        <w:tc>
          <w:tcPr>
            <w:tcW w:w="777"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011"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2304"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872"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c>
          <w:tcPr>
            <w:tcW w:w="1813" w:type="dxa"/>
            <w:vAlign w:val="center"/>
            <w:textDirection w:val="lrTb"/>
            <w:noWrap/>
          </w:tcPr>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tc>
      </w:tr>
    </w:tbl>
    <w:p>
      <w:pPr>
        <w:pStyle w:val="883"/>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注：行数不够，可自行添加。</w:t>
      </w:r>
      <w:r/>
    </w:p>
    <w:p>
      <w:pPr>
        <w:pStyle w:val="883"/>
        <w:ind w:firstLine="600"/>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83"/>
        <w:jc w:val="center"/>
        <w:spacing w:beforeAutospacing="0" w:afterAutospacing="0" w:line="560" w:lineRule="exact"/>
        <w:rPr>
          <w:rFonts w:hint="eastAsia" w:ascii="宋体" w:hAnsi="宋体" w:eastAsia="宋体" w:cs="宋体"/>
          <w:bCs/>
          <w:color w:val="auto"/>
          <w:sz w:val="32"/>
          <w:szCs w:val="32"/>
          <w:highlight w:val="none"/>
        </w:rPr>
        <w:outlineLvl w:val="9"/>
      </w:pPr>
      <w:r>
        <w:rPr>
          <w:rFonts w:hint="eastAsia" w:ascii="宋体" w:hAnsi="宋体" w:eastAsia="宋体" w:cs="宋体"/>
          <w:b/>
          <w:i/>
          <w:color w:val="auto"/>
          <w:sz w:val="32"/>
          <w:szCs w:val="32"/>
          <w:highlight w:val="none"/>
          <w:u w:val="single"/>
        </w:rPr>
        <w:br w:type="page" w:clear="all"/>
      </w:r>
      <w:r>
        <w:rPr>
          <w:rFonts w:hint="eastAsia" w:ascii="黑体" w:hAnsi="黑体" w:eastAsia="黑体" w:cs="黑体"/>
          <w:b w:val="0"/>
          <w:bCs w:val="0"/>
          <w:i/>
          <w:color w:val="auto"/>
          <w:sz w:val="32"/>
          <w:szCs w:val="32"/>
          <w:highlight w:val="none"/>
          <w:u w:val="single"/>
        </w:rPr>
        <w:t xml:space="preserve">十五、开标一览表</w:t>
      </w:r>
      <w:r/>
    </w:p>
    <w:p>
      <w:pPr>
        <w:pStyle w:val="883"/>
        <w:ind w:firstLine="482"/>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投标人全称（加盖CA电子签章）：</w:t>
      </w:r>
      <w:r/>
    </w:p>
    <w:p>
      <w:pPr>
        <w:pStyle w:val="883"/>
        <w:ind w:firstLine="482"/>
        <w:jc w:val="left"/>
        <w:spacing w:beforeAutospacing="0" w:afterAutospacing="0" w:line="500" w:lineRule="exact"/>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盐城市综合档案馆物业服务项目</w:t>
      </w:r>
      <w:r/>
    </w:p>
    <w:p>
      <w:pPr>
        <w:pStyle w:val="883"/>
        <w:ind w:firstLine="482"/>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JSZC-320900-JZCG-G2026-</w:t>
      </w:r>
      <w:r>
        <w:rPr>
          <w:rFonts w:hint="eastAsia" w:ascii="宋体" w:hAnsi="宋体" w:eastAsia="宋体" w:cs="宋体"/>
          <w:color w:val="auto"/>
          <w:highlight w:val="none"/>
          <w:lang w:val="en-US" w:eastAsia="zh-CN"/>
        </w:rPr>
        <w:t xml:space="preserve">0067</w:t>
      </w:r>
      <w:r/>
    </w:p>
    <w:p>
      <w:pPr>
        <w:pStyle w:val="883"/>
        <w:ind w:firstLine="482"/>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分包号：/    </w:t>
      </w:r>
      <w:r/>
    </w:p>
    <w:tbl>
      <w:tblPr>
        <w:tblStyle w:val="864"/>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883"/>
              <w:jc w:val="center"/>
              <w:spacing w:beforeAutospacing="0" w:afterAutospacing="0" w:line="4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投标总报价：</w:t>
            </w:r>
            <w:r/>
          </w:p>
        </w:tc>
      </w:tr>
      <w:tr>
        <w:trPr>
          <w:tblCellSpacing w:w="0" w:type="dxa"/>
          <w:trHeight w:val="1070"/>
        </w:trPr>
        <w:tc>
          <w:tcPr>
            <w:tcW w:w="8619" w:type="dxa"/>
            <w:vAlign w:val="center"/>
            <w:textDirection w:val="lrTb"/>
            <w:noWrap/>
          </w:tcPr>
          <w:p>
            <w:pPr>
              <w:pStyle w:val="883"/>
              <w:spacing w:beforeAutospacing="0" w:afterAutospacing="0" w:line="4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小写：           （人民币：元）       </w:t>
            </w:r>
            <w:r/>
          </w:p>
        </w:tc>
      </w:tr>
      <w:tr>
        <w:trPr>
          <w:tblCellSpacing w:w="0" w:type="dxa"/>
          <w:trHeight w:val="1070"/>
        </w:trPr>
        <w:tc>
          <w:tcPr>
            <w:tcW w:w="8619" w:type="dxa"/>
            <w:vAlign w:val="center"/>
            <w:textDirection w:val="lrTb"/>
            <w:noWrap/>
          </w:tcPr>
          <w:p>
            <w:pPr>
              <w:pStyle w:val="883"/>
              <w:spacing w:beforeAutospacing="0" w:afterAutospacing="0" w:line="400" w:lineRule="exact"/>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报价（大写）：   </w:t>
            </w:r>
            <w:r>
              <w:rPr>
                <w:rFonts w:hint="eastAsia" w:ascii="宋体" w:hAnsi="宋体" w:eastAsia="宋体" w:cs="宋体"/>
                <w:color w:val="auto"/>
                <w:highlight w:val="none"/>
              </w:rPr>
              <w:t xml:space="preserve">        金额大写     </w:t>
            </w:r>
            <w:r/>
          </w:p>
        </w:tc>
      </w:tr>
    </w:tbl>
    <w:p>
      <w:pPr>
        <w:pStyle w:val="883"/>
        <w:ind w:firstLine="600"/>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pStyle w:val="883"/>
        <w:ind w:firstLine="480"/>
        <w:jc w:val="righ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83"/>
        <w:ind w:firstLine="600"/>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pStyle w:val="883"/>
        <w:jc w:val="center"/>
        <w:spacing w:beforeAutospacing="0" w:afterAutospacing="0" w:line="560" w:lineRule="exact"/>
        <w:rPr>
          <w:rFonts w:hint="eastAsia" w:ascii="黑体" w:hAnsi="黑体" w:eastAsia="黑体" w:cs="黑体"/>
          <w:b w:val="0"/>
          <w:bCs w:val="0"/>
          <w:i/>
          <w:color w:val="auto"/>
          <w:sz w:val="32"/>
          <w:szCs w:val="32"/>
          <w:highlight w:val="none"/>
          <w:u w:val="single"/>
        </w:rPr>
        <w:outlineLvl w:val="9"/>
      </w:pPr>
      <w:r>
        <w:rPr>
          <w:rFonts w:hint="eastAsia" w:ascii="黑体" w:hAnsi="黑体" w:eastAsia="黑体" w:cs="黑体"/>
          <w:b w:val="0"/>
          <w:bCs w:val="0"/>
          <w:i/>
          <w:color w:val="auto"/>
          <w:sz w:val="32"/>
          <w:szCs w:val="32"/>
          <w:highlight w:val="none"/>
          <w:u w:val="single"/>
        </w:rPr>
        <w:t xml:space="preserve">十六、服务方案等</w:t>
      </w:r>
      <w:r/>
    </w:p>
    <w:p>
      <w:pPr>
        <w:ind w:firstLine="480"/>
        <w:jc w:val="left"/>
        <w:spacing w:line="560" w:lineRule="exact"/>
        <w:widowControl/>
        <w:rPr>
          <w:rFonts w:hint="eastAsia" w:ascii="宋体" w:hAnsi="宋体" w:eastAsia="宋体" w:cs="宋体"/>
          <w:color w:val="auto"/>
          <w:sz w:val="32"/>
          <w:szCs w:val="32"/>
          <w:highlight w:val="none"/>
        </w:rPr>
        <w:outlineLvl w:val="9"/>
      </w:pPr>
      <w:r>
        <w:rPr>
          <w:rFonts w:hint="eastAsia" w:ascii="宋体" w:hAnsi="宋体" w:eastAsia="宋体" w:cs="宋体"/>
          <w:b/>
          <w:bCs/>
          <w:i/>
          <w:iCs/>
          <w:color w:val="auto"/>
          <w:sz w:val="24"/>
          <w:szCs w:val="20"/>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得0分。上传的“明标”材料中不得出现与服务方案相关的内容，否则作无效标书处理。</w:t>
      </w:r>
      <w:r>
        <w:rPr>
          <w:rFonts w:hint="eastAsia" w:ascii="宋体" w:hAnsi="宋体" w:eastAsia="宋体" w:cs="宋体"/>
          <w:color w:val="auto"/>
          <w:sz w:val="32"/>
          <w:szCs w:val="32"/>
          <w:highlight w:val="none"/>
        </w:rPr>
        <w:br w:type="page" w:clear="all"/>
      </w:r>
      <w:r/>
    </w:p>
    <w:p>
      <w:pPr>
        <w:pStyle w:val="883"/>
        <w:jc w:val="center"/>
        <w:spacing w:beforeAutospacing="0" w:afterAutospacing="0" w:line="560" w:lineRule="exact"/>
        <w:rPr>
          <w:rFonts w:hint="eastAsia" w:ascii="黑体" w:hAnsi="黑体" w:eastAsia="黑体" w:cs="黑体"/>
          <w:b w:val="0"/>
          <w:bCs w:val="0"/>
          <w:i/>
          <w:color w:val="auto"/>
          <w:sz w:val="32"/>
          <w:szCs w:val="32"/>
          <w:highlight w:val="none"/>
          <w:u w:val="single"/>
        </w:rPr>
        <w:outlineLvl w:val="9"/>
      </w:pPr>
      <w:r>
        <w:rPr>
          <w:rFonts w:hint="eastAsia" w:ascii="黑体" w:hAnsi="黑体" w:eastAsia="黑体" w:cs="黑体"/>
          <w:b w:val="0"/>
          <w:bCs w:val="0"/>
          <w:i/>
          <w:color w:val="auto"/>
          <w:sz w:val="32"/>
          <w:szCs w:val="32"/>
          <w:highlight w:val="none"/>
          <w:u w:val="single"/>
        </w:rPr>
        <w:t xml:space="preserve">十七、盐城市政府采购事前信用承诺书</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keepLines w:val="0"/>
        <w:keepNext w:val="0"/>
        <w:pageBreakBefore w:val="0"/>
        <w:spacing w:line="44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4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4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p>
    <w:p>
      <w:pPr>
        <w:jc w:val="left"/>
        <w:keepLines w:val="0"/>
        <w:keepNext w:val="0"/>
        <w:pageBreakBefore w:val="0"/>
        <w:spacing w:line="44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4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（六）自觉接受政府、行业组织、社会公众、新闻舆论的监督；</w:t>
      </w:r>
      <w:r/>
    </w:p>
    <w:p>
      <w:pPr>
        <w:ind w:firstLine="480"/>
        <w:jc w:val="left"/>
        <w:keepLines w:val="0"/>
        <w:keepNext w:val="0"/>
        <w:pageBreakBefore w:val="0"/>
        <w:spacing w:line="44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4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（八）本人已认真阅读了上述承诺，并向本单位员工作了宣传教育。</w:t>
      </w:r>
      <w:r/>
    </w:p>
    <w:p>
      <w:pPr>
        <w:jc w:val="left"/>
        <w:keepLines w:val="0"/>
        <w:keepNext w:val="0"/>
        <w:pageBreakBefore w:val="0"/>
        <w:spacing w:line="44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w:t>
      </w:r>
      <w:r/>
    </w:p>
    <w:p>
      <w:pPr>
        <w:jc w:val="left"/>
        <w:keepLines w:val="0"/>
        <w:keepNext w:val="0"/>
        <w:pageBreakBefore w:val="0"/>
        <w:spacing w:line="44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left"/>
        <w:keepLines w:val="0"/>
        <w:keepNext w:val="0"/>
        <w:pageBreakBefore w:val="0"/>
        <w:spacing w:line="44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单位名称（盖章）：</w:t>
      </w:r>
      <w:r/>
    </w:p>
    <w:p>
      <w:pPr>
        <w:jc w:val="left"/>
        <w:keepLines w:val="0"/>
        <w:keepNext w:val="0"/>
        <w:pageBreakBefore w:val="0"/>
        <w:spacing w:line="44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年  月  日</w:t>
      </w:r>
      <w:r/>
    </w:p>
    <w:p>
      <w:pPr>
        <w:pStyle w:val="871"/>
        <w:jc w:val="left"/>
        <w:spacing w:beforeAutospacing="0" w:afterAutospacing="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883"/>
        <w:jc w:val="center"/>
        <w:spacing w:beforeAutospacing="0" w:afterAutospacing="0" w:line="560" w:lineRule="exact"/>
        <w:rPr>
          <w:rFonts w:hint="eastAsia" w:ascii="黑体" w:hAnsi="黑体" w:eastAsia="黑体" w:cs="黑体"/>
          <w:b w:val="0"/>
          <w:bCs w:val="0"/>
          <w:i/>
          <w:color w:val="auto"/>
          <w:sz w:val="32"/>
          <w:szCs w:val="32"/>
          <w:highlight w:val="none"/>
          <w:u w:val="single"/>
        </w:rPr>
        <w:outlineLvl w:val="9"/>
      </w:pPr>
      <w:r>
        <w:rPr>
          <w:rFonts w:hint="eastAsia" w:ascii="黑体" w:hAnsi="黑体" w:eastAsia="黑体" w:cs="黑体"/>
          <w:b w:val="0"/>
          <w:bCs w:val="0"/>
          <w:i/>
          <w:color w:val="auto"/>
          <w:sz w:val="32"/>
          <w:szCs w:val="32"/>
          <w:highlight w:val="none"/>
          <w:u w:val="single"/>
        </w:rPr>
        <w:t xml:space="preserve">质疑函范本</w:t>
      </w:r>
      <w:r/>
    </w:p>
    <w:p>
      <w:pPr>
        <w:pStyle w:val="871"/>
        <w:jc w:val="left"/>
        <w:spacing w:before="290"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一、质疑供应商基本信息</w:t>
      </w:r>
      <w:r/>
    </w:p>
    <w:p>
      <w:pPr>
        <w:pStyle w:val="871"/>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1"/>
        <w:jc w:val="left"/>
        <w:spacing w:beforeAutospacing="0" w:afterAutospacing="0" w:line="500" w:lineRule="exact"/>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1"/>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1"/>
        <w:jc w:val="left"/>
        <w:spacing w:beforeAutospacing="0" w:afterAutospacing="0" w:line="500" w:lineRule="exact"/>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1"/>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71"/>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1"/>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1"/>
        <w:jc w:val="left"/>
        <w:spacing w:beforeAutospacing="0" w:afterAutospacing="0" w:line="500" w:lineRule="exact"/>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1"/>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71"/>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二、质疑项目基本情况</w:t>
      </w:r>
      <w:r/>
    </w:p>
    <w:p>
      <w:pPr>
        <w:pStyle w:val="871"/>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71"/>
        <w:jc w:val="left"/>
        <w:spacing w:beforeAutospacing="0" w:afterAutospacing="0" w:line="500" w:lineRule="exact"/>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71"/>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71"/>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71"/>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71"/>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三、质疑事项具体内容</w:t>
      </w:r>
      <w:r/>
    </w:p>
    <w:p>
      <w:pPr>
        <w:pStyle w:val="871"/>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71"/>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71"/>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71"/>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质疑事项2</w:t>
      </w:r>
      <w:r/>
    </w:p>
    <w:p>
      <w:pPr>
        <w:pStyle w:val="871"/>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w:t>
      </w:r>
      <w:r/>
    </w:p>
    <w:p>
      <w:pPr>
        <w:pStyle w:val="871"/>
        <w:jc w:val="left"/>
        <w:spacing w:beforeAutospacing="0" w:afterAutospacing="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四、与质疑事项相关的质疑请求</w:t>
      </w:r>
      <w:r/>
    </w:p>
    <w:p>
      <w:pPr>
        <w:pStyle w:val="871"/>
        <w:jc w:val="left"/>
        <w:spacing w:beforeAutospacing="0" w:afterAutospacing="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71"/>
        <w:jc w:val="left"/>
        <w:spacing w:beforeAutospacing="0" w:afterAutospacing="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签字(签章)：                 公章：               日期：    </w:t>
      </w:r>
      <w:r/>
    </w:p>
    <w:p>
      <w:pPr>
        <w:pStyle w:val="871"/>
        <w:jc w:val="left"/>
        <w:spacing w:beforeAutospacing="0" w:afterAutospacing="0" w:line="500" w:lineRule="exact"/>
        <w:rPr>
          <w:rFonts w:hint="eastAsia" w:ascii="宋体" w:hAnsi="宋体" w:eastAsia="宋体" w:cs="宋体"/>
          <w:color w:val="auto"/>
          <w:highlight w:val="none"/>
        </w:rPr>
        <w:outlineLvl w:val="9"/>
      </w:pPr>
      <w:r>
        <w:rPr>
          <w:rFonts w:hint="eastAsia" w:ascii="宋体" w:hAnsi="宋体" w:eastAsia="宋体" w:cs="宋体"/>
          <w:b/>
          <w:color w:val="auto"/>
          <w:highlight w:val="none"/>
        </w:rPr>
        <w:t xml:space="preserve">质疑函制作说明：</w:t>
      </w:r>
      <w:r/>
    </w:p>
    <w:p>
      <w:pPr>
        <w:pStyle w:val="871"/>
        <w:ind w:firstLine="480"/>
        <w:spacing w:beforeAutospacing="0" w:afterAutospacing="0" w:line="500" w:lineRule="exact"/>
        <w:widowControl/>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1.供应商提出质疑时，应提交质疑函和必要的证明材料。</w:t>
      </w:r>
      <w:r/>
    </w:p>
    <w:p>
      <w:pPr>
        <w:pStyle w:val="871"/>
        <w:ind w:firstLine="480"/>
        <w:spacing w:beforeAutospacing="0" w:afterAutospacing="0" w:line="500" w:lineRule="exact"/>
        <w:widowControl/>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1"/>
        <w:ind w:firstLine="480"/>
        <w:spacing w:beforeAutospacing="0" w:afterAutospacing="0" w:line="500" w:lineRule="exact"/>
        <w:widowControl/>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3.质疑供应商若对项目的某一分包进行质疑，质疑函中应列明具体分包号。</w:t>
      </w:r>
      <w:r/>
    </w:p>
    <w:p>
      <w:pPr>
        <w:pStyle w:val="871"/>
        <w:ind w:firstLine="480"/>
        <w:spacing w:beforeAutospacing="0" w:afterAutospacing="0" w:line="500" w:lineRule="exact"/>
        <w:widowControl/>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4.质疑函的质疑事项应具体、明确，并有必要的事实依据和法律依据。</w:t>
      </w:r>
      <w:r/>
    </w:p>
    <w:p>
      <w:pPr>
        <w:pStyle w:val="871"/>
        <w:ind w:firstLine="480"/>
        <w:spacing w:beforeAutospacing="0" w:afterAutospacing="0" w:line="500" w:lineRule="exact"/>
        <w:widowControl/>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5.质疑函的质疑请求应与质疑事项相关。</w:t>
      </w:r>
      <w:r/>
    </w:p>
    <w:p>
      <w:pPr>
        <w:pStyle w:val="871"/>
        <w:ind w:firstLine="480"/>
        <w:spacing w:beforeAutospacing="0" w:afterAutospacing="0" w:line="500" w:lineRule="exact"/>
        <w:widowControl/>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tabs>
          <w:tab w:val="left" w:pos="768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sectPr>
      <w:headerReference w:type="default" r:id="rId9"/>
      <w:footerReference w:type="default" r:id="rId10"/>
      <w:footnotePr/>
      <w:endnotePr/>
      <w:type w:val="nextPage"/>
      <w:pgSz w:w="11906" w:h="16838" w:orient="portrait"/>
      <w:pgMar w:top="1440" w:right="1633" w:bottom="1440" w:left="163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Wingdings">
    <w:panose1 w:val="05000000000000000000"/>
  </w:font>
  <w:font w:name="等线">
    <w:panose1 w:val="02010600030101010101"/>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Symbol">
    <w:panose1 w:val="05050102010706020507"/>
  </w:font>
  <w:font w:name="楷体">
    <w:panose1 w:val="02010609060101010101"/>
  </w:font>
  <w:font w:name="Arial">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2588260</wp:posOffset>
              </wp:positionH>
              <wp:positionV relativeFrom="paragraph">
                <wp:posOffset>29845</wp:posOffset>
              </wp:positionV>
              <wp:extent cx="522605" cy="12954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22605" cy="1295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03.8pt;mso-position-horizontal:absolute;mso-position-vertical-relative:text;margin-top:2.4pt;mso-position-vertical:absolute;width:41.1pt;height:10.2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firstLine="600"/>
      <w:spacing w:line="400" w:lineRule="exact"/>
      <w:pBdr>
        <w:bottom w:val="single" w:color="auto" w:sz="4" w:space="1"/>
      </w:pBdr>
    </w:pPr>
    <w:r>
      <w:rPr>
        <w:rFonts w:hint="eastAsia"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w:t>
    </w:r>
    <w:r>
      <w:rPr>
        <w:rFonts w:hint="eastAsia"/>
        <w:b/>
        <w:bCs/>
        <w:sz w:val="22"/>
        <w:szCs w:val="22"/>
        <w:lang w:val="en-US" w:eastAsia="zh-CN"/>
      </w:rPr>
      <w:t xml:space="preserve">0067</w:t>
    </w:r>
    <w:r>
      <w:rPr>
        <w:rFonts w:hint="eastAsia"/>
        <w:sz w:val="22"/>
        <w:szCs w:val="22"/>
      </w:rPr>
      <w:t xml:space="preserve">）</w:t>
    </w:r>
    <w:r>
      <w:rPr>
        <w:rFonts w:hint="eastAsia"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1"/>
    <w:basedOn w:val="861"/>
    <w:next w:val="861"/>
    <w:link w:val="689"/>
    <w:uiPriority w:val="9"/>
    <w:qFormat/>
    <w:pPr>
      <w:keepLines/>
      <w:keepNext/>
      <w:spacing w:before="480" w:after="200"/>
      <w:outlineLvl w:val="0"/>
    </w:pPr>
    <w:rPr>
      <w:rFonts w:ascii="Arial" w:hAnsi="Arial" w:eastAsia="Arial" w:cs="Arial"/>
      <w:sz w:val="40"/>
      <w:szCs w:val="40"/>
    </w:rPr>
  </w:style>
  <w:style w:type="character" w:styleId="689">
    <w:name w:val="Heading 1 Char"/>
    <w:basedOn w:val="863"/>
    <w:link w:val="688"/>
    <w:uiPriority w:val="9"/>
    <w:rPr>
      <w:rFonts w:ascii="Arial" w:hAnsi="Arial" w:eastAsia="Arial" w:cs="Arial"/>
      <w:sz w:val="40"/>
      <w:szCs w:val="40"/>
    </w:rPr>
  </w:style>
  <w:style w:type="character" w:styleId="690">
    <w:name w:val="Heading 2 Char"/>
    <w:basedOn w:val="863"/>
    <w:link w:val="862"/>
    <w:uiPriority w:val="9"/>
    <w:rPr>
      <w:rFonts w:ascii="Arial" w:hAnsi="Arial" w:eastAsia="Arial" w:cs="Arial"/>
      <w:sz w:val="34"/>
    </w:rPr>
  </w:style>
  <w:style w:type="paragraph" w:styleId="691">
    <w:name w:val="Heading 3"/>
    <w:basedOn w:val="861"/>
    <w:next w:val="861"/>
    <w:link w:val="692"/>
    <w:uiPriority w:val="9"/>
    <w:unhideWhenUsed/>
    <w:qFormat/>
    <w:pPr>
      <w:keepLines/>
      <w:keepNext/>
      <w:spacing w:before="320" w:after="200"/>
      <w:outlineLvl w:val="2"/>
    </w:pPr>
    <w:rPr>
      <w:rFonts w:ascii="Arial" w:hAnsi="Arial" w:eastAsia="Arial" w:cs="Arial"/>
      <w:sz w:val="30"/>
      <w:szCs w:val="30"/>
    </w:rPr>
  </w:style>
  <w:style w:type="character" w:styleId="692">
    <w:name w:val="Heading 3 Char"/>
    <w:basedOn w:val="863"/>
    <w:link w:val="691"/>
    <w:uiPriority w:val="9"/>
    <w:rPr>
      <w:rFonts w:ascii="Arial" w:hAnsi="Arial" w:eastAsia="Arial" w:cs="Arial"/>
      <w:sz w:val="30"/>
      <w:szCs w:val="30"/>
    </w:rPr>
  </w:style>
  <w:style w:type="paragraph" w:styleId="693">
    <w:name w:val="Heading 4"/>
    <w:basedOn w:val="861"/>
    <w:next w:val="861"/>
    <w:link w:val="694"/>
    <w:uiPriority w:val="9"/>
    <w:unhideWhenUsed/>
    <w:qFormat/>
    <w:pPr>
      <w:keepLines/>
      <w:keepNext/>
      <w:spacing w:before="320" w:after="200"/>
      <w:outlineLvl w:val="3"/>
    </w:pPr>
    <w:rPr>
      <w:rFonts w:ascii="Arial" w:hAnsi="Arial" w:eastAsia="Arial" w:cs="Arial"/>
      <w:b/>
      <w:bCs/>
      <w:sz w:val="26"/>
      <w:szCs w:val="26"/>
    </w:rPr>
  </w:style>
  <w:style w:type="character" w:styleId="694">
    <w:name w:val="Heading 4 Char"/>
    <w:basedOn w:val="863"/>
    <w:link w:val="693"/>
    <w:uiPriority w:val="9"/>
    <w:rPr>
      <w:rFonts w:ascii="Arial" w:hAnsi="Arial" w:eastAsia="Arial" w:cs="Arial"/>
      <w:b/>
      <w:bCs/>
      <w:sz w:val="26"/>
      <w:szCs w:val="26"/>
    </w:rPr>
  </w:style>
  <w:style w:type="paragraph" w:styleId="695">
    <w:name w:val="Heading 5"/>
    <w:basedOn w:val="861"/>
    <w:next w:val="861"/>
    <w:link w:val="696"/>
    <w:uiPriority w:val="9"/>
    <w:unhideWhenUsed/>
    <w:qFormat/>
    <w:pPr>
      <w:keepLines/>
      <w:keepNext/>
      <w:spacing w:before="320" w:after="200"/>
      <w:outlineLvl w:val="4"/>
    </w:pPr>
    <w:rPr>
      <w:rFonts w:ascii="Arial" w:hAnsi="Arial" w:eastAsia="Arial" w:cs="Arial"/>
      <w:b/>
      <w:bCs/>
      <w:sz w:val="24"/>
      <w:szCs w:val="24"/>
    </w:rPr>
  </w:style>
  <w:style w:type="character" w:styleId="696">
    <w:name w:val="Heading 5 Char"/>
    <w:basedOn w:val="863"/>
    <w:link w:val="695"/>
    <w:uiPriority w:val="9"/>
    <w:rPr>
      <w:rFonts w:ascii="Arial" w:hAnsi="Arial" w:eastAsia="Arial" w:cs="Arial"/>
      <w:b/>
      <w:bCs/>
      <w:sz w:val="24"/>
      <w:szCs w:val="24"/>
    </w:rPr>
  </w:style>
  <w:style w:type="paragraph" w:styleId="697">
    <w:name w:val="Heading 6"/>
    <w:basedOn w:val="861"/>
    <w:next w:val="861"/>
    <w:link w:val="698"/>
    <w:uiPriority w:val="9"/>
    <w:unhideWhenUsed/>
    <w:qFormat/>
    <w:pPr>
      <w:keepLines/>
      <w:keepNext/>
      <w:spacing w:before="320" w:after="200"/>
      <w:outlineLvl w:val="5"/>
    </w:pPr>
    <w:rPr>
      <w:rFonts w:ascii="Arial" w:hAnsi="Arial" w:eastAsia="Arial" w:cs="Arial"/>
      <w:b/>
      <w:bCs/>
      <w:sz w:val="22"/>
      <w:szCs w:val="22"/>
    </w:rPr>
  </w:style>
  <w:style w:type="character" w:styleId="698">
    <w:name w:val="Heading 6 Char"/>
    <w:basedOn w:val="863"/>
    <w:link w:val="697"/>
    <w:uiPriority w:val="9"/>
    <w:rPr>
      <w:rFonts w:ascii="Arial" w:hAnsi="Arial" w:eastAsia="Arial" w:cs="Arial"/>
      <w:b/>
      <w:bCs/>
      <w:sz w:val="22"/>
      <w:szCs w:val="22"/>
    </w:rPr>
  </w:style>
  <w:style w:type="paragraph" w:styleId="699">
    <w:name w:val="Heading 7"/>
    <w:basedOn w:val="861"/>
    <w:next w:val="861"/>
    <w:link w:val="700"/>
    <w:uiPriority w:val="9"/>
    <w:unhideWhenUsed/>
    <w:qFormat/>
    <w:pPr>
      <w:keepLines/>
      <w:keepNext/>
      <w:spacing w:before="320" w:after="200"/>
      <w:outlineLvl w:val="6"/>
    </w:pPr>
    <w:rPr>
      <w:rFonts w:ascii="Arial" w:hAnsi="Arial" w:eastAsia="Arial" w:cs="Arial"/>
      <w:b/>
      <w:bCs/>
      <w:i/>
      <w:iCs/>
      <w:sz w:val="22"/>
      <w:szCs w:val="22"/>
    </w:rPr>
  </w:style>
  <w:style w:type="character" w:styleId="700">
    <w:name w:val="Heading 7 Char"/>
    <w:basedOn w:val="863"/>
    <w:link w:val="699"/>
    <w:uiPriority w:val="9"/>
    <w:rPr>
      <w:rFonts w:ascii="Arial" w:hAnsi="Arial" w:eastAsia="Arial" w:cs="Arial"/>
      <w:b/>
      <w:bCs/>
      <w:i/>
      <w:iCs/>
      <w:sz w:val="22"/>
      <w:szCs w:val="22"/>
    </w:rPr>
  </w:style>
  <w:style w:type="paragraph" w:styleId="701">
    <w:name w:val="Heading 8"/>
    <w:basedOn w:val="861"/>
    <w:next w:val="861"/>
    <w:link w:val="702"/>
    <w:uiPriority w:val="9"/>
    <w:unhideWhenUsed/>
    <w:qFormat/>
    <w:pPr>
      <w:keepLines/>
      <w:keepNext/>
      <w:spacing w:before="320" w:after="200"/>
      <w:outlineLvl w:val="7"/>
    </w:pPr>
    <w:rPr>
      <w:rFonts w:ascii="Arial" w:hAnsi="Arial" w:eastAsia="Arial" w:cs="Arial"/>
      <w:i/>
      <w:iCs/>
      <w:sz w:val="22"/>
      <w:szCs w:val="22"/>
    </w:rPr>
  </w:style>
  <w:style w:type="character" w:styleId="702">
    <w:name w:val="Heading 8 Char"/>
    <w:basedOn w:val="863"/>
    <w:link w:val="701"/>
    <w:uiPriority w:val="9"/>
    <w:rPr>
      <w:rFonts w:ascii="Arial" w:hAnsi="Arial" w:eastAsia="Arial" w:cs="Arial"/>
      <w:i/>
      <w:iCs/>
      <w:sz w:val="22"/>
      <w:szCs w:val="22"/>
    </w:rPr>
  </w:style>
  <w:style w:type="paragraph" w:styleId="703">
    <w:name w:val="Heading 9"/>
    <w:basedOn w:val="861"/>
    <w:next w:val="861"/>
    <w:link w:val="704"/>
    <w:uiPriority w:val="9"/>
    <w:unhideWhenUsed/>
    <w:qFormat/>
    <w:pPr>
      <w:keepLines/>
      <w:keepNext/>
      <w:spacing w:before="320" w:after="200"/>
      <w:outlineLvl w:val="8"/>
    </w:pPr>
    <w:rPr>
      <w:rFonts w:ascii="Arial" w:hAnsi="Arial" w:eastAsia="Arial" w:cs="Arial"/>
      <w:i/>
      <w:iCs/>
      <w:sz w:val="21"/>
      <w:szCs w:val="21"/>
    </w:rPr>
  </w:style>
  <w:style w:type="character" w:styleId="704">
    <w:name w:val="Heading 9 Char"/>
    <w:basedOn w:val="863"/>
    <w:link w:val="703"/>
    <w:uiPriority w:val="9"/>
    <w:rPr>
      <w:rFonts w:ascii="Arial" w:hAnsi="Arial" w:eastAsia="Arial" w:cs="Arial"/>
      <w:i/>
      <w:iCs/>
      <w:sz w:val="21"/>
      <w:szCs w:val="21"/>
    </w:rPr>
  </w:style>
  <w:style w:type="paragraph" w:styleId="705">
    <w:name w:val="List Paragraph"/>
    <w:basedOn w:val="861"/>
    <w:uiPriority w:val="34"/>
    <w:qFormat/>
    <w:pPr>
      <w:contextualSpacing/>
      <w:ind w:left="720"/>
    </w:pPr>
  </w:style>
  <w:style w:type="paragraph" w:styleId="706">
    <w:name w:val="No Spacing"/>
    <w:uiPriority w:val="1"/>
    <w:qFormat/>
    <w:pPr>
      <w:spacing w:before="0" w:after="0" w:line="240" w:lineRule="auto"/>
    </w:pPr>
  </w:style>
  <w:style w:type="paragraph" w:styleId="707">
    <w:name w:val="Title"/>
    <w:basedOn w:val="861"/>
    <w:next w:val="861"/>
    <w:link w:val="708"/>
    <w:uiPriority w:val="10"/>
    <w:qFormat/>
    <w:pPr>
      <w:contextualSpacing/>
      <w:spacing w:before="300" w:after="200"/>
    </w:pPr>
    <w:rPr>
      <w:sz w:val="48"/>
      <w:szCs w:val="48"/>
    </w:rPr>
  </w:style>
  <w:style w:type="character" w:styleId="708">
    <w:name w:val="Title Char"/>
    <w:basedOn w:val="863"/>
    <w:link w:val="707"/>
    <w:uiPriority w:val="10"/>
    <w:rPr>
      <w:sz w:val="48"/>
      <w:szCs w:val="48"/>
    </w:rPr>
  </w:style>
  <w:style w:type="paragraph" w:styleId="709">
    <w:name w:val="Subtitle"/>
    <w:basedOn w:val="861"/>
    <w:next w:val="861"/>
    <w:link w:val="710"/>
    <w:uiPriority w:val="11"/>
    <w:qFormat/>
    <w:pPr>
      <w:spacing w:before="200" w:after="200"/>
    </w:pPr>
    <w:rPr>
      <w:sz w:val="24"/>
      <w:szCs w:val="24"/>
    </w:rPr>
  </w:style>
  <w:style w:type="character" w:styleId="710">
    <w:name w:val="Subtitle Char"/>
    <w:basedOn w:val="863"/>
    <w:link w:val="709"/>
    <w:uiPriority w:val="11"/>
    <w:rPr>
      <w:sz w:val="24"/>
      <w:szCs w:val="24"/>
    </w:rPr>
  </w:style>
  <w:style w:type="paragraph" w:styleId="711">
    <w:name w:val="Quote"/>
    <w:basedOn w:val="861"/>
    <w:next w:val="861"/>
    <w:link w:val="712"/>
    <w:uiPriority w:val="29"/>
    <w:qFormat/>
    <w:pPr>
      <w:ind w:left="720" w:right="720"/>
    </w:pPr>
    <w:rPr>
      <w:i/>
    </w:rPr>
  </w:style>
  <w:style w:type="character" w:styleId="712">
    <w:name w:val="Quote Char"/>
    <w:link w:val="711"/>
    <w:uiPriority w:val="29"/>
    <w:rPr>
      <w:i/>
    </w:rPr>
  </w:style>
  <w:style w:type="paragraph" w:styleId="713">
    <w:name w:val="Intense Quote"/>
    <w:basedOn w:val="861"/>
    <w:next w:val="861"/>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name w:val="Intense Quote Char"/>
    <w:link w:val="713"/>
    <w:uiPriority w:val="30"/>
    <w:rPr>
      <w:i/>
    </w:rPr>
  </w:style>
  <w:style w:type="character" w:styleId="715">
    <w:name w:val="Header Char"/>
    <w:basedOn w:val="863"/>
    <w:link w:val="868"/>
    <w:uiPriority w:val="99"/>
  </w:style>
  <w:style w:type="character" w:styleId="716">
    <w:name w:val="Footer Char"/>
    <w:basedOn w:val="863"/>
    <w:link w:val="867"/>
    <w:uiPriority w:val="99"/>
  </w:style>
  <w:style w:type="paragraph" w:styleId="717">
    <w:name w:val="Caption"/>
    <w:basedOn w:val="861"/>
    <w:next w:val="861"/>
    <w:uiPriority w:val="35"/>
    <w:semiHidden/>
    <w:unhideWhenUsed/>
    <w:qFormat/>
    <w:pPr>
      <w:spacing w:line="276" w:lineRule="auto"/>
    </w:pPr>
    <w:rPr>
      <w:b/>
      <w:bCs/>
      <w:color w:val="4f81bd" w:themeColor="accent1"/>
      <w:sz w:val="18"/>
      <w:szCs w:val="18"/>
    </w:rPr>
  </w:style>
  <w:style w:type="character" w:styleId="718">
    <w:name w:val="Caption Char"/>
    <w:basedOn w:val="717"/>
    <w:link w:val="867"/>
    <w:uiPriority w:val="99"/>
  </w:style>
  <w:style w:type="table" w:styleId="719">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5">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6">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7">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8">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9">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0">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6">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7">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0">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1">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2">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3">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4">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5">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7">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8">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9">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0">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1">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2">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1">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2">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3">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4">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5">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6">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8">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9">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0">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1">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2">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3">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5">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6">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7">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8">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9">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0">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2">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3">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4">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5">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6">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7">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1"/>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63"/>
    <w:uiPriority w:val="99"/>
    <w:unhideWhenUsed/>
    <w:rPr>
      <w:vertAlign w:val="superscript"/>
    </w:rPr>
  </w:style>
  <w:style w:type="paragraph" w:styleId="848">
    <w:name w:val="endnote text"/>
    <w:basedOn w:val="861"/>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3"/>
    <w:uiPriority w:val="99"/>
    <w:semiHidden/>
    <w:unhideWhenUsed/>
    <w:rPr>
      <w:vertAlign w:val="superscript"/>
    </w:r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62">
    <w:name w:val="Heading 2"/>
    <w:basedOn w:val="861"/>
    <w:next w:val="86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Body Text"/>
    <w:basedOn w:val="861"/>
    <w:uiPriority w:val="99"/>
    <w:qFormat/>
    <w:rPr>
      <w:rFonts w:ascii="楷体" w:hAnsi="Arial" w:eastAsia="楷体"/>
      <w:sz w:val="28"/>
      <w:szCs w:val="28"/>
    </w:rPr>
  </w:style>
  <w:style w:type="paragraph" w:styleId="866">
    <w:name w:val="Body Text Indent"/>
    <w:basedOn w:val="861"/>
    <w:uiPriority w:val="0"/>
    <w:qFormat/>
    <w:pPr>
      <w:ind w:firstLine="645"/>
    </w:pPr>
    <w:rPr>
      <w:rFonts w:ascii="楷体_GB2312" w:eastAsia="楷体_GB2312"/>
      <w:sz w:val="32"/>
      <w:szCs w:val="32"/>
    </w:rPr>
  </w:style>
  <w:style w:type="paragraph" w:styleId="867">
    <w:name w:val="Footer"/>
    <w:basedOn w:val="861"/>
    <w:link w:val="884"/>
    <w:uiPriority w:val="0"/>
    <w:qFormat/>
    <w:pPr>
      <w:jc w:val="left"/>
      <w:tabs>
        <w:tab w:val="center" w:pos="4153" w:leader="none"/>
        <w:tab w:val="right" w:pos="8306" w:leader="none"/>
      </w:tabs>
    </w:pPr>
    <w:rPr>
      <w:sz w:val="18"/>
      <w:szCs w:val="18"/>
    </w:rPr>
  </w:style>
  <w:style w:type="paragraph" w:styleId="868">
    <w:name w:val="Header"/>
    <w:basedOn w:val="861"/>
    <w:link w:val="882"/>
    <w:uiPriority w:val="0"/>
    <w:qFormat/>
    <w:pPr>
      <w:jc w:val="center"/>
      <w:tabs>
        <w:tab w:val="center" w:pos="4153" w:leader="none"/>
        <w:tab w:val="right" w:pos="8306" w:leader="none"/>
      </w:tabs>
      <w:pBdr>
        <w:bottom w:val="single" w:color="auto" w:sz="6" w:space="1"/>
      </w:pBdr>
    </w:pPr>
    <w:rPr>
      <w:sz w:val="18"/>
      <w:szCs w:val="18"/>
    </w:rPr>
  </w:style>
  <w:style w:type="paragraph" w:styleId="869">
    <w:name w:val="toc 1"/>
    <w:basedOn w:val="861"/>
    <w:next w:val="861"/>
    <w:uiPriority w:val="0"/>
    <w:qFormat/>
  </w:style>
  <w:style w:type="paragraph" w:styleId="870">
    <w:name w:val="Body Text Indent 3"/>
    <w:basedOn w:val="861"/>
    <w:uiPriority w:val="0"/>
    <w:qFormat/>
    <w:pPr>
      <w:ind w:left="645" w:firstLine="645"/>
    </w:pPr>
    <w:rPr>
      <w:rFonts w:ascii="Arial" w:hAnsi="Arial" w:eastAsia="仿宋_GB2312" w:cs="Arial"/>
      <w:color w:val="ffff00"/>
      <w:sz w:val="32"/>
      <w:szCs w:val="32"/>
    </w:rPr>
  </w:style>
  <w:style w:type="paragraph" w:styleId="871">
    <w:name w:val="Normal (Web)"/>
    <w:basedOn w:val="861"/>
    <w:uiPriority w:val="0"/>
    <w:qFormat/>
    <w:pPr>
      <w:jc w:val="left"/>
      <w:spacing w:beforeAutospacing="1" w:afterAutospacing="1"/>
    </w:pPr>
    <w:rPr>
      <w:rFonts w:cs="Times New Roman"/>
      <w:sz w:val="24"/>
    </w:rPr>
  </w:style>
  <w:style w:type="paragraph" w:styleId="872">
    <w:name w:val="Body Text First Indent"/>
    <w:basedOn w:val="861"/>
    <w:next w:val="861"/>
    <w:uiPriority w:val="99"/>
    <w:unhideWhenUsed/>
    <w:qFormat/>
    <w:pPr>
      <w:ind w:firstLine="420"/>
    </w:pPr>
    <w:rPr>
      <w:rFonts w:ascii="Times New Roman" w:hAnsi="Times New Roman" w:eastAsia="宋体" w:cs="Times New Roman"/>
    </w:rPr>
  </w:style>
  <w:style w:type="table" w:styleId="8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4">
    <w:name w:val="Emphasis"/>
    <w:uiPriority w:val="0"/>
    <w:qFormat/>
    <w:rPr>
      <w:i/>
    </w:rPr>
  </w:style>
  <w:style w:type="paragraph" w:styleId="875" w:customStyle="1">
    <w:name w:val="4"/>
    <w:basedOn w:val="861"/>
    <w:next w:val="870"/>
    <w:uiPriority w:val="0"/>
    <w:qFormat/>
    <w:pPr>
      <w:ind w:firstLine="420"/>
      <w:spacing w:line="360" w:lineRule="auto"/>
    </w:pPr>
    <w:rPr>
      <w:color w:val="ff0000"/>
      <w:sz w:val="24"/>
    </w:rPr>
  </w:style>
  <w:style w:type="paragraph" w:styleId="876" w:customStyle="1">
    <w:name w:val="正文首行缩进 21"/>
    <w:basedOn w:val="877"/>
    <w:uiPriority w:val="0"/>
    <w:qFormat/>
    <w:pPr>
      <w:ind w:firstLine="420"/>
    </w:pPr>
  </w:style>
  <w:style w:type="paragraph" w:styleId="877" w:customStyle="1">
    <w:name w:val="正文文本缩进1"/>
    <w:basedOn w:val="861"/>
    <w:uiPriority w:val="0"/>
    <w:qFormat/>
    <w:pPr>
      <w:ind w:left="420"/>
      <w:spacing w:after="120"/>
    </w:pPr>
  </w:style>
  <w:style w:type="paragraph" w:styleId="878" w:customStyle="1">
    <w:name w:val="页眉12"/>
    <w:basedOn w:val="861"/>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879" w:customStyle="1">
    <w:name w:val="纯文本1"/>
    <w:basedOn w:val="861"/>
    <w:uiPriority w:val="0"/>
    <w:qFormat/>
    <w:rPr>
      <w:rFonts w:ascii="宋体" w:hAnsi="Courier New" w:eastAsia="楷体_GB2312"/>
      <w:sz w:val="28"/>
      <w:szCs w:val="20"/>
    </w:rPr>
  </w:style>
  <w:style w:type="paragraph" w:styleId="880" w:customStyle="1">
    <w:name w:val="Default"/>
    <w:basedOn w:val="861"/>
    <w:uiPriority w:val="0"/>
    <w:semiHidden/>
    <w:qFormat/>
    <w:pPr>
      <w:jc w:val="left"/>
    </w:pPr>
    <w:rPr>
      <w:rFonts w:ascii="宋体" w:hAnsi="Calibri" w:cs="宋体"/>
      <w:color w:val="000000"/>
      <w:sz w:val="24"/>
    </w:rPr>
  </w:style>
  <w:style w:type="character" w:styleId="881" w:customStyle="1">
    <w:name w:val="font31"/>
    <w:basedOn w:val="863"/>
    <w:uiPriority w:val="0"/>
    <w:qFormat/>
    <w:rPr>
      <w:rFonts w:hint="eastAsia" w:ascii="宋体" w:hAnsi="宋体" w:eastAsia="宋体" w:cs="宋体"/>
      <w:color w:val="000000"/>
      <w:sz w:val="19"/>
      <w:szCs w:val="19"/>
      <w:u w:val="none"/>
    </w:rPr>
  </w:style>
  <w:style w:type="character" w:styleId="882" w:customStyle="1">
    <w:name w:val="页眉 Char"/>
    <w:basedOn w:val="863"/>
    <w:link w:val="868"/>
    <w:uiPriority w:val="0"/>
    <w:qFormat/>
    <w:rPr>
      <w:sz w:val="18"/>
      <w:szCs w:val="18"/>
    </w:rPr>
  </w:style>
  <w:style w:type="paragraph" w:styleId="883" w:customStyle="1">
    <w:name w:val="普通(网站)1"/>
    <w:basedOn w:val="861"/>
    <w:uiPriority w:val="99"/>
    <w:qFormat/>
    <w:pPr>
      <w:jc w:val="left"/>
      <w:spacing w:before="100" w:beforeAutospacing="1" w:after="100" w:afterAutospacing="1"/>
      <w:widowControl/>
    </w:pPr>
    <w:rPr>
      <w:rFonts w:ascii="宋体" w:hAnsi="宋体" w:cs="宋体"/>
      <w:sz w:val="24"/>
    </w:rPr>
  </w:style>
  <w:style w:type="character" w:styleId="884" w:customStyle="1">
    <w:name w:val="页脚 Char"/>
    <w:basedOn w:val="863"/>
    <w:link w:val="867"/>
    <w:uiPriority w:val="0"/>
    <w:qFormat/>
    <w:rPr>
      <w:sz w:val="18"/>
      <w:szCs w:val="18"/>
    </w:rPr>
  </w:style>
  <w:style w:type="paragraph" w:styleId="885" w:customStyle="1">
    <w:name w:val="页脚11"/>
    <w:basedOn w:val="861"/>
    <w:uiPriority w:val="0"/>
    <w:qFormat/>
    <w:pPr>
      <w:jc w:val="left"/>
      <w:tabs>
        <w:tab w:val="center" w:pos="4153" w:leader="none"/>
        <w:tab w:val="right" w:pos="8306" w:leader="none"/>
      </w:tabs>
    </w:pPr>
    <w:rPr>
      <w:sz w:val="18"/>
      <w:szCs w:val="20"/>
    </w:rPr>
  </w:style>
  <w:style w:type="paragraph" w:styleId="886" w:customStyle="1">
    <w:name w:val="普通正文"/>
    <w:basedOn w:val="861"/>
    <w:uiPriority w:val="0"/>
    <w:qFormat/>
    <w:pPr>
      <w:ind w:firstLine="480"/>
      <w:jc w:val="left"/>
      <w:spacing w:before="120" w:after="120" w:line="360" w:lineRule="auto"/>
    </w:pPr>
    <w:rPr>
      <w:rFonts w:ascii="Arial" w:hAnsi="Arial" w:eastAsia="等线" w:cs="Arial"/>
      <w:sz w:val="24"/>
      <w:szCs w:val="24"/>
    </w:rPr>
  </w:style>
  <w:style w:type="paragraph" w:styleId="887" w:customStyle="1">
    <w:name w:val="普通(网站)11"/>
    <w:basedOn w:val="861"/>
    <w:uiPriority w:val="0"/>
    <w:qFormat/>
    <w:pPr>
      <w:jc w:val="left"/>
      <w:spacing w:before="100" w:beforeAutospacing="1" w:after="100" w:afterAutospacing="1"/>
      <w:widowControl/>
    </w:pPr>
    <w:rPr>
      <w:rFonts w:ascii="宋体" w:hAnsi="宋体" w:cs="宋体"/>
      <w:sz w:val="24"/>
    </w:rPr>
  </w:style>
  <w:style w:type="numbering" w:styleId="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陆一增</dc:creator>
  <cp:lastModifiedBy>顾伟伟</cp:lastModifiedBy>
  <cp:revision>3</cp:revision>
  <dcterms:created xsi:type="dcterms:W3CDTF">2026-09-24T08:54:00Z</dcterms:created>
  <dcterms:modified xsi:type="dcterms:W3CDTF">2026-09-30T02:42:55Z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eyJoZGlkIjoiOTYyNjM1MmY1NjgzNDI5OTljNzE2MGVjNTYzNTZjNDMiLCJ1c2VySWQiOiIzMTE1NzU5NDgifQ==</vt:lpwstr>
  </property>
  <property fmtid="{D5CDD505-2E9C-101B-9397-08002B2CF9AE}" pid="3" name="KSOProductBuildVer">
    <vt:lpwstr>2052-12.1.0.28505</vt:lpwstr>
  </property>
  <property fmtid="{D5CDD505-2E9C-101B-9397-08002B2CF9AE}" pid="4" name="ICV">
    <vt:lpwstr>A315DB5108744E998176E61104BB3EF5_13</vt:lpwstr>
  </property>
</Properties>
</file>